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65E05" w14:textId="77777777" w:rsidR="00DA6369" w:rsidRPr="0029160A" w:rsidRDefault="00DA6369" w:rsidP="002E0E3A">
      <w:pPr>
        <w:widowControl/>
        <w:tabs>
          <w:tab w:val="center" w:pos="4680"/>
        </w:tabs>
        <w:jc w:val="center"/>
        <w:rPr>
          <w:b/>
          <w:color w:val="000000" w:themeColor="text1"/>
          <w:szCs w:val="26"/>
        </w:rPr>
      </w:pPr>
      <w:r w:rsidRPr="0029160A">
        <w:rPr>
          <w:b/>
          <w:color w:val="000000" w:themeColor="text1"/>
          <w:szCs w:val="26"/>
        </w:rPr>
        <w:t>PENNSYLVANIA</w:t>
      </w:r>
    </w:p>
    <w:p w14:paraId="3571A8CE" w14:textId="77777777" w:rsidR="00DA6369" w:rsidRPr="0029160A" w:rsidRDefault="00DA6369" w:rsidP="002E0E3A">
      <w:pPr>
        <w:widowControl/>
        <w:tabs>
          <w:tab w:val="center" w:pos="4680"/>
        </w:tabs>
        <w:jc w:val="center"/>
        <w:rPr>
          <w:color w:val="000000" w:themeColor="text1"/>
          <w:szCs w:val="26"/>
        </w:rPr>
      </w:pPr>
      <w:r w:rsidRPr="0029160A">
        <w:rPr>
          <w:b/>
          <w:color w:val="000000" w:themeColor="text1"/>
          <w:szCs w:val="26"/>
        </w:rPr>
        <w:t>PUBLIC UTILITY COMMISSION</w:t>
      </w:r>
    </w:p>
    <w:p w14:paraId="6465A925" w14:textId="77777777" w:rsidR="00DA6369" w:rsidRPr="0029160A" w:rsidRDefault="00DA6369" w:rsidP="002E0E3A">
      <w:pPr>
        <w:widowControl/>
        <w:tabs>
          <w:tab w:val="center" w:pos="4680"/>
        </w:tabs>
        <w:jc w:val="center"/>
        <w:rPr>
          <w:color w:val="000000" w:themeColor="text1"/>
          <w:szCs w:val="26"/>
        </w:rPr>
      </w:pPr>
      <w:r w:rsidRPr="0029160A">
        <w:rPr>
          <w:b/>
          <w:color w:val="000000" w:themeColor="text1"/>
          <w:szCs w:val="26"/>
        </w:rPr>
        <w:t>Harrisburg, PA 171</w:t>
      </w:r>
      <w:r w:rsidR="00BF3D1D" w:rsidRPr="0029160A">
        <w:rPr>
          <w:b/>
          <w:bCs/>
          <w:color w:val="000000" w:themeColor="text1"/>
          <w:szCs w:val="26"/>
        </w:rPr>
        <w:t>20</w:t>
      </w:r>
    </w:p>
    <w:p w14:paraId="2B16E721" w14:textId="77777777" w:rsidR="00DA6369" w:rsidRPr="0029160A" w:rsidRDefault="00DA6369" w:rsidP="002E0E3A">
      <w:pPr>
        <w:widowControl/>
        <w:spacing w:line="360" w:lineRule="auto"/>
        <w:rPr>
          <w:color w:val="000000" w:themeColor="text1"/>
          <w:szCs w:val="26"/>
        </w:rPr>
      </w:pPr>
    </w:p>
    <w:tbl>
      <w:tblPr>
        <w:tblW w:w="9540" w:type="dxa"/>
        <w:tblLook w:val="04A0" w:firstRow="1" w:lastRow="0" w:firstColumn="1" w:lastColumn="0" w:noHBand="0" w:noVBand="1"/>
      </w:tblPr>
      <w:tblGrid>
        <w:gridCol w:w="4950"/>
        <w:gridCol w:w="3150"/>
        <w:gridCol w:w="1440"/>
      </w:tblGrid>
      <w:tr w:rsidR="00DA6369" w:rsidRPr="0029160A" w14:paraId="24BCB8A4" w14:textId="77777777" w:rsidTr="00082208">
        <w:tc>
          <w:tcPr>
            <w:tcW w:w="4950" w:type="dxa"/>
          </w:tcPr>
          <w:p w14:paraId="28ADAC0A" w14:textId="77777777" w:rsidR="00DA6369" w:rsidRPr="0029160A" w:rsidRDefault="00DA6369" w:rsidP="002E0E3A">
            <w:pPr>
              <w:widowControl/>
              <w:rPr>
                <w:color w:val="000000" w:themeColor="text1"/>
                <w:szCs w:val="26"/>
              </w:rPr>
            </w:pPr>
          </w:p>
        </w:tc>
        <w:tc>
          <w:tcPr>
            <w:tcW w:w="4590" w:type="dxa"/>
            <w:gridSpan w:val="2"/>
          </w:tcPr>
          <w:p w14:paraId="29ADC750" w14:textId="77777777" w:rsidR="00DA6369" w:rsidRPr="0029160A" w:rsidRDefault="00DA6369" w:rsidP="002E0E3A">
            <w:pPr>
              <w:widowControl/>
              <w:jc w:val="right"/>
              <w:rPr>
                <w:color w:val="000000" w:themeColor="text1"/>
                <w:szCs w:val="26"/>
              </w:rPr>
            </w:pPr>
            <w:r w:rsidRPr="0029160A">
              <w:rPr>
                <w:color w:val="000000" w:themeColor="text1"/>
                <w:szCs w:val="26"/>
              </w:rPr>
              <w:t xml:space="preserve">Public Meeting held </w:t>
            </w:r>
            <w:r w:rsidR="00E67719" w:rsidRPr="0029160A">
              <w:rPr>
                <w:color w:val="000000" w:themeColor="text1"/>
                <w:szCs w:val="26"/>
              </w:rPr>
              <w:t>April 16</w:t>
            </w:r>
            <w:r w:rsidRPr="0029160A">
              <w:rPr>
                <w:color w:val="000000" w:themeColor="text1"/>
                <w:szCs w:val="26"/>
              </w:rPr>
              <w:t>, 20</w:t>
            </w:r>
            <w:r w:rsidR="00D232D2" w:rsidRPr="0029160A">
              <w:rPr>
                <w:color w:val="000000" w:themeColor="text1"/>
                <w:szCs w:val="26"/>
              </w:rPr>
              <w:t>20</w:t>
            </w:r>
          </w:p>
          <w:p w14:paraId="0AC40D13" w14:textId="77777777" w:rsidR="00DA6369" w:rsidRPr="0029160A" w:rsidRDefault="00DA6369" w:rsidP="002E0E3A">
            <w:pPr>
              <w:widowControl/>
              <w:jc w:val="right"/>
              <w:rPr>
                <w:color w:val="000000" w:themeColor="text1"/>
                <w:szCs w:val="26"/>
              </w:rPr>
            </w:pPr>
          </w:p>
          <w:p w14:paraId="1E36508B" w14:textId="77777777" w:rsidR="00DA6369" w:rsidRPr="0029160A" w:rsidRDefault="00DA6369" w:rsidP="002E0E3A">
            <w:pPr>
              <w:widowControl/>
              <w:jc w:val="right"/>
              <w:rPr>
                <w:color w:val="000000" w:themeColor="text1"/>
                <w:szCs w:val="26"/>
              </w:rPr>
            </w:pPr>
          </w:p>
        </w:tc>
      </w:tr>
      <w:tr w:rsidR="00DA6369" w:rsidRPr="0029160A" w14:paraId="4CFB0B75" w14:textId="77777777" w:rsidTr="00327C0C">
        <w:tc>
          <w:tcPr>
            <w:tcW w:w="8100" w:type="dxa"/>
            <w:gridSpan w:val="2"/>
          </w:tcPr>
          <w:p w14:paraId="770444BD" w14:textId="77777777" w:rsidR="00DA6369" w:rsidRPr="0029160A" w:rsidRDefault="009C529E" w:rsidP="002E0E3A">
            <w:pPr>
              <w:widowControl/>
              <w:rPr>
                <w:color w:val="000000" w:themeColor="text1"/>
                <w:szCs w:val="26"/>
              </w:rPr>
            </w:pPr>
            <w:r w:rsidRPr="0029160A">
              <w:rPr>
                <w:color w:val="000000" w:themeColor="text1"/>
                <w:szCs w:val="26"/>
              </w:rPr>
              <w:t>C</w:t>
            </w:r>
            <w:r w:rsidR="00DA6369" w:rsidRPr="0029160A">
              <w:rPr>
                <w:color w:val="000000" w:themeColor="text1"/>
                <w:szCs w:val="26"/>
              </w:rPr>
              <w:t>ommissioners Present:</w:t>
            </w:r>
          </w:p>
          <w:p w14:paraId="79CE0CB4" w14:textId="77777777" w:rsidR="00DA6369" w:rsidRPr="0029160A" w:rsidRDefault="00DA6369" w:rsidP="002E0E3A">
            <w:pPr>
              <w:widowControl/>
              <w:rPr>
                <w:color w:val="000000" w:themeColor="text1"/>
                <w:szCs w:val="26"/>
              </w:rPr>
            </w:pPr>
          </w:p>
          <w:p w14:paraId="70CA53F1" w14:textId="361DCBE2" w:rsidR="00DA6369" w:rsidRPr="0029160A" w:rsidRDefault="00DA6369" w:rsidP="002E0E3A">
            <w:pPr>
              <w:widowControl/>
              <w:tabs>
                <w:tab w:val="left" w:pos="705"/>
              </w:tabs>
              <w:ind w:firstLine="720"/>
              <w:rPr>
                <w:color w:val="000000" w:themeColor="text1"/>
                <w:szCs w:val="26"/>
              </w:rPr>
            </w:pPr>
            <w:r w:rsidRPr="0029160A">
              <w:rPr>
                <w:color w:val="000000" w:themeColor="text1"/>
                <w:szCs w:val="26"/>
              </w:rPr>
              <w:t>Gladys Brown</w:t>
            </w:r>
            <w:r w:rsidR="00082208" w:rsidRPr="0029160A">
              <w:rPr>
                <w:color w:val="000000" w:themeColor="text1"/>
                <w:szCs w:val="26"/>
              </w:rPr>
              <w:t xml:space="preserve"> Dutrieuille</w:t>
            </w:r>
            <w:r w:rsidRPr="0029160A">
              <w:rPr>
                <w:color w:val="000000" w:themeColor="text1"/>
                <w:szCs w:val="26"/>
              </w:rPr>
              <w:t>,</w:t>
            </w:r>
            <w:r w:rsidR="00082208" w:rsidRPr="0029160A">
              <w:rPr>
                <w:color w:val="000000" w:themeColor="text1"/>
                <w:szCs w:val="26"/>
              </w:rPr>
              <w:t xml:space="preserve"> C</w:t>
            </w:r>
            <w:r w:rsidRPr="0029160A">
              <w:rPr>
                <w:color w:val="000000" w:themeColor="text1"/>
                <w:szCs w:val="26"/>
              </w:rPr>
              <w:t>hairman</w:t>
            </w:r>
            <w:r w:rsidR="00327C0C">
              <w:rPr>
                <w:color w:val="000000" w:themeColor="text1"/>
                <w:szCs w:val="26"/>
              </w:rPr>
              <w:t>, Dissenting in part, Statement</w:t>
            </w:r>
          </w:p>
          <w:p w14:paraId="1D033CD0" w14:textId="77777777" w:rsidR="00E24356" w:rsidRPr="0029160A" w:rsidRDefault="003E0300" w:rsidP="002E0E3A">
            <w:pPr>
              <w:widowControl/>
              <w:tabs>
                <w:tab w:val="left" w:pos="705"/>
              </w:tabs>
              <w:ind w:firstLine="720"/>
              <w:rPr>
                <w:color w:val="000000" w:themeColor="text1"/>
                <w:szCs w:val="26"/>
              </w:rPr>
            </w:pPr>
            <w:r w:rsidRPr="0029160A">
              <w:rPr>
                <w:color w:val="000000" w:themeColor="text1"/>
                <w:szCs w:val="26"/>
              </w:rPr>
              <w:t>David W. Sweet</w:t>
            </w:r>
            <w:r w:rsidR="00E24356" w:rsidRPr="0029160A">
              <w:rPr>
                <w:color w:val="000000" w:themeColor="text1"/>
                <w:szCs w:val="26"/>
              </w:rPr>
              <w:t>, Vice Chairman</w:t>
            </w:r>
          </w:p>
          <w:p w14:paraId="2040BF92" w14:textId="1C077FC5" w:rsidR="00E41F42" w:rsidRPr="0029160A" w:rsidRDefault="003E0300" w:rsidP="002E0E3A">
            <w:pPr>
              <w:widowControl/>
              <w:tabs>
                <w:tab w:val="left" w:pos="705"/>
              </w:tabs>
              <w:ind w:firstLine="720"/>
              <w:rPr>
                <w:color w:val="000000" w:themeColor="text1"/>
                <w:szCs w:val="26"/>
              </w:rPr>
            </w:pPr>
            <w:r w:rsidRPr="0029160A">
              <w:rPr>
                <w:color w:val="000000" w:themeColor="text1"/>
                <w:szCs w:val="26"/>
              </w:rPr>
              <w:t>Andrew G. Place</w:t>
            </w:r>
            <w:r w:rsidR="00327C0C">
              <w:rPr>
                <w:color w:val="000000" w:themeColor="text1"/>
                <w:szCs w:val="26"/>
              </w:rPr>
              <w:t>, Dissenting in part, Statement</w:t>
            </w:r>
          </w:p>
          <w:p w14:paraId="6F020CDE" w14:textId="77777777" w:rsidR="00E24356" w:rsidRPr="0029160A" w:rsidRDefault="00DA6369" w:rsidP="002E0E3A">
            <w:pPr>
              <w:widowControl/>
              <w:tabs>
                <w:tab w:val="left" w:pos="705"/>
              </w:tabs>
              <w:ind w:firstLine="720"/>
              <w:rPr>
                <w:color w:val="000000" w:themeColor="text1"/>
                <w:szCs w:val="26"/>
              </w:rPr>
            </w:pPr>
            <w:r w:rsidRPr="0029160A">
              <w:rPr>
                <w:color w:val="000000" w:themeColor="text1"/>
                <w:szCs w:val="26"/>
              </w:rPr>
              <w:t>John F. Coleman, Jr.</w:t>
            </w:r>
          </w:p>
          <w:p w14:paraId="3CB48FC5" w14:textId="77777777" w:rsidR="00326908" w:rsidRPr="0029160A" w:rsidRDefault="00326908" w:rsidP="002E0E3A">
            <w:pPr>
              <w:widowControl/>
              <w:tabs>
                <w:tab w:val="left" w:pos="705"/>
              </w:tabs>
              <w:ind w:firstLine="720"/>
              <w:rPr>
                <w:color w:val="000000" w:themeColor="text1"/>
                <w:szCs w:val="26"/>
              </w:rPr>
            </w:pPr>
            <w:r w:rsidRPr="0029160A">
              <w:rPr>
                <w:color w:val="000000" w:themeColor="text1"/>
                <w:szCs w:val="26"/>
              </w:rPr>
              <w:t>Ralph V. Yanora</w:t>
            </w:r>
          </w:p>
          <w:p w14:paraId="75FC3A6D" w14:textId="77777777" w:rsidR="00DA6369" w:rsidRPr="0029160A" w:rsidRDefault="00DA6369" w:rsidP="002E0E3A">
            <w:pPr>
              <w:widowControl/>
              <w:tabs>
                <w:tab w:val="left" w:pos="705"/>
              </w:tabs>
              <w:ind w:firstLine="720"/>
              <w:rPr>
                <w:color w:val="000000" w:themeColor="text1"/>
                <w:szCs w:val="26"/>
              </w:rPr>
            </w:pPr>
          </w:p>
          <w:p w14:paraId="685A5AD6" w14:textId="77777777" w:rsidR="00DA6369" w:rsidRPr="0029160A" w:rsidRDefault="00DA6369" w:rsidP="002E0E3A">
            <w:pPr>
              <w:widowControl/>
              <w:rPr>
                <w:color w:val="000000" w:themeColor="text1"/>
                <w:szCs w:val="26"/>
              </w:rPr>
            </w:pPr>
          </w:p>
        </w:tc>
        <w:tc>
          <w:tcPr>
            <w:tcW w:w="1440" w:type="dxa"/>
          </w:tcPr>
          <w:p w14:paraId="4406AD7B" w14:textId="77777777" w:rsidR="00DA6369" w:rsidRPr="00327C0C" w:rsidRDefault="00DA6369" w:rsidP="00327C0C">
            <w:pPr>
              <w:rPr>
                <w:szCs w:val="26"/>
              </w:rPr>
            </w:pPr>
          </w:p>
        </w:tc>
      </w:tr>
      <w:tr w:rsidR="00DA6369" w:rsidRPr="0029160A" w14:paraId="732470A6" w14:textId="77777777" w:rsidTr="00082208">
        <w:tc>
          <w:tcPr>
            <w:tcW w:w="4950" w:type="dxa"/>
          </w:tcPr>
          <w:p w14:paraId="55F35D72" w14:textId="77777777" w:rsidR="00DA6369" w:rsidRPr="0029160A" w:rsidRDefault="00DA6369" w:rsidP="002E0E3A">
            <w:pPr>
              <w:widowControl/>
              <w:rPr>
                <w:color w:val="000000" w:themeColor="text1"/>
                <w:szCs w:val="26"/>
              </w:rPr>
            </w:pPr>
          </w:p>
        </w:tc>
        <w:tc>
          <w:tcPr>
            <w:tcW w:w="4590" w:type="dxa"/>
            <w:gridSpan w:val="2"/>
          </w:tcPr>
          <w:p w14:paraId="7454C55D" w14:textId="77777777" w:rsidR="00DA6369" w:rsidRPr="0029160A" w:rsidRDefault="00DA6369" w:rsidP="002E0E3A">
            <w:pPr>
              <w:widowControl/>
              <w:jc w:val="right"/>
              <w:rPr>
                <w:color w:val="000000" w:themeColor="text1"/>
                <w:szCs w:val="26"/>
              </w:rPr>
            </w:pPr>
          </w:p>
        </w:tc>
      </w:tr>
      <w:tr w:rsidR="00DA6369" w:rsidRPr="0029160A" w14:paraId="336A06C0" w14:textId="77777777" w:rsidTr="00082208">
        <w:tc>
          <w:tcPr>
            <w:tcW w:w="4950" w:type="dxa"/>
          </w:tcPr>
          <w:p w14:paraId="580297D9" w14:textId="77777777" w:rsidR="00E67719" w:rsidRPr="0029160A" w:rsidRDefault="00E67719" w:rsidP="002E0E3A">
            <w:pPr>
              <w:widowControl/>
              <w:contextualSpacing/>
              <w:rPr>
                <w:color w:val="000000" w:themeColor="text1"/>
                <w:szCs w:val="26"/>
              </w:rPr>
            </w:pPr>
            <w:r w:rsidRPr="0029160A">
              <w:rPr>
                <w:color w:val="000000" w:themeColor="text1"/>
                <w:szCs w:val="26"/>
              </w:rPr>
              <w:t>Pennsylvania Public Utility Commission</w:t>
            </w:r>
          </w:p>
          <w:p w14:paraId="7688504C" w14:textId="77777777" w:rsidR="00E67719" w:rsidRPr="0029160A" w:rsidRDefault="00E67719" w:rsidP="002E0E3A">
            <w:pPr>
              <w:widowControl/>
              <w:contextualSpacing/>
              <w:rPr>
                <w:color w:val="000000" w:themeColor="text1"/>
                <w:szCs w:val="26"/>
              </w:rPr>
            </w:pPr>
            <w:r w:rsidRPr="0029160A">
              <w:rPr>
                <w:color w:val="000000" w:themeColor="text1"/>
                <w:szCs w:val="26"/>
              </w:rPr>
              <w:t>Office of Consumer Advocate</w:t>
            </w:r>
          </w:p>
          <w:p w14:paraId="667D6619" w14:textId="77777777" w:rsidR="00E67719" w:rsidRPr="0029160A" w:rsidRDefault="00E67719" w:rsidP="002E0E3A">
            <w:pPr>
              <w:widowControl/>
              <w:contextualSpacing/>
              <w:rPr>
                <w:color w:val="000000" w:themeColor="text1"/>
                <w:szCs w:val="26"/>
              </w:rPr>
            </w:pPr>
            <w:r w:rsidRPr="0029160A">
              <w:rPr>
                <w:color w:val="000000" w:themeColor="text1"/>
                <w:szCs w:val="26"/>
              </w:rPr>
              <w:t>Office of Small Business Advocate</w:t>
            </w:r>
          </w:p>
          <w:p w14:paraId="73C2BBE6" w14:textId="77777777" w:rsidR="00E67719" w:rsidRPr="0029160A" w:rsidRDefault="00E67719" w:rsidP="002E0E3A">
            <w:pPr>
              <w:widowControl/>
              <w:contextualSpacing/>
              <w:rPr>
                <w:color w:val="000000" w:themeColor="text1"/>
                <w:szCs w:val="26"/>
              </w:rPr>
            </w:pPr>
          </w:p>
          <w:p w14:paraId="10AF5933" w14:textId="77777777" w:rsidR="00E67719" w:rsidRPr="0029160A" w:rsidRDefault="00E67719" w:rsidP="002E0E3A">
            <w:pPr>
              <w:widowControl/>
              <w:spacing w:line="360" w:lineRule="auto"/>
              <w:contextualSpacing/>
              <w:rPr>
                <w:color w:val="000000" w:themeColor="text1"/>
                <w:szCs w:val="26"/>
              </w:rPr>
            </w:pPr>
            <w:r w:rsidRPr="0029160A">
              <w:rPr>
                <w:color w:val="000000" w:themeColor="text1"/>
                <w:szCs w:val="26"/>
              </w:rPr>
              <w:tab/>
            </w:r>
            <w:r w:rsidRPr="0029160A">
              <w:rPr>
                <w:color w:val="000000" w:themeColor="text1"/>
                <w:szCs w:val="26"/>
              </w:rPr>
              <w:tab/>
              <w:t>v.</w:t>
            </w:r>
          </w:p>
          <w:p w14:paraId="31FDA9B5" w14:textId="77777777" w:rsidR="00E67719" w:rsidRPr="0029160A" w:rsidRDefault="00E67719" w:rsidP="002E0E3A">
            <w:pPr>
              <w:widowControl/>
              <w:contextualSpacing/>
              <w:rPr>
                <w:color w:val="000000" w:themeColor="text1"/>
                <w:szCs w:val="26"/>
              </w:rPr>
            </w:pPr>
          </w:p>
          <w:p w14:paraId="6B6456B9" w14:textId="77777777" w:rsidR="00E67719" w:rsidRPr="0029160A" w:rsidRDefault="00E67719" w:rsidP="002E0E3A">
            <w:pPr>
              <w:widowControl/>
              <w:contextualSpacing/>
              <w:rPr>
                <w:color w:val="000000" w:themeColor="text1"/>
                <w:szCs w:val="26"/>
              </w:rPr>
            </w:pPr>
            <w:r w:rsidRPr="0029160A">
              <w:rPr>
                <w:color w:val="000000" w:themeColor="text1"/>
                <w:szCs w:val="26"/>
              </w:rPr>
              <w:t>Wellsboro Electric Company</w:t>
            </w:r>
          </w:p>
          <w:p w14:paraId="035FEC79" w14:textId="77777777" w:rsidR="00DA6369" w:rsidRPr="0029160A" w:rsidRDefault="00DA6369" w:rsidP="002E0E3A">
            <w:pPr>
              <w:widowControl/>
              <w:ind w:firstLine="1440"/>
              <w:rPr>
                <w:color w:val="000000" w:themeColor="text1"/>
                <w:szCs w:val="26"/>
              </w:rPr>
            </w:pPr>
          </w:p>
        </w:tc>
        <w:tc>
          <w:tcPr>
            <w:tcW w:w="4590" w:type="dxa"/>
            <w:gridSpan w:val="2"/>
          </w:tcPr>
          <w:p w14:paraId="11FF9BC7" w14:textId="77777777" w:rsidR="00E67719" w:rsidRPr="0029160A" w:rsidRDefault="00E67719" w:rsidP="002E0E3A">
            <w:pPr>
              <w:widowControl/>
              <w:contextualSpacing/>
              <w:jc w:val="right"/>
              <w:rPr>
                <w:color w:val="000000" w:themeColor="text1"/>
                <w:szCs w:val="26"/>
              </w:rPr>
            </w:pPr>
            <w:r w:rsidRPr="0029160A">
              <w:rPr>
                <w:color w:val="000000" w:themeColor="text1"/>
                <w:szCs w:val="26"/>
              </w:rPr>
              <w:t>R-2019-3008208</w:t>
            </w:r>
          </w:p>
          <w:p w14:paraId="1607CF27" w14:textId="77777777" w:rsidR="00E67719" w:rsidRPr="0029160A" w:rsidRDefault="00E67719" w:rsidP="002E0E3A">
            <w:pPr>
              <w:widowControl/>
              <w:contextualSpacing/>
              <w:jc w:val="right"/>
              <w:rPr>
                <w:color w:val="000000" w:themeColor="text1"/>
                <w:szCs w:val="26"/>
              </w:rPr>
            </w:pPr>
            <w:r w:rsidRPr="0029160A">
              <w:rPr>
                <w:color w:val="000000" w:themeColor="text1"/>
                <w:szCs w:val="26"/>
              </w:rPr>
              <w:t>C-2019-3011959</w:t>
            </w:r>
          </w:p>
          <w:p w14:paraId="44A2C4F0" w14:textId="77777777" w:rsidR="00DA6369" w:rsidRPr="0029160A" w:rsidRDefault="00E67719" w:rsidP="002E0E3A">
            <w:pPr>
              <w:widowControl/>
              <w:jc w:val="right"/>
              <w:rPr>
                <w:color w:val="000000" w:themeColor="text1"/>
                <w:szCs w:val="26"/>
              </w:rPr>
            </w:pPr>
            <w:r w:rsidRPr="0029160A">
              <w:rPr>
                <w:color w:val="000000" w:themeColor="text1"/>
                <w:szCs w:val="26"/>
              </w:rPr>
              <w:t>C-2019-3012589</w:t>
            </w:r>
          </w:p>
        </w:tc>
      </w:tr>
      <w:tr w:rsidR="00DA6369" w:rsidRPr="0029160A" w14:paraId="6FCD0166" w14:textId="77777777" w:rsidTr="00A6545D">
        <w:trPr>
          <w:trHeight w:val="162"/>
        </w:trPr>
        <w:tc>
          <w:tcPr>
            <w:tcW w:w="4950" w:type="dxa"/>
          </w:tcPr>
          <w:p w14:paraId="0591CC3F" w14:textId="77777777" w:rsidR="00DA6369" w:rsidRPr="0029160A" w:rsidRDefault="00DA6369" w:rsidP="002E0E3A">
            <w:pPr>
              <w:widowControl/>
              <w:rPr>
                <w:color w:val="000000" w:themeColor="text1"/>
                <w:szCs w:val="26"/>
              </w:rPr>
            </w:pPr>
          </w:p>
        </w:tc>
        <w:tc>
          <w:tcPr>
            <w:tcW w:w="4590" w:type="dxa"/>
            <w:gridSpan w:val="2"/>
          </w:tcPr>
          <w:p w14:paraId="45552DDB" w14:textId="77777777" w:rsidR="00DA6369" w:rsidRPr="0029160A" w:rsidRDefault="00DA6369" w:rsidP="002E0E3A">
            <w:pPr>
              <w:widowControl/>
              <w:rPr>
                <w:color w:val="000000" w:themeColor="text1"/>
                <w:szCs w:val="26"/>
              </w:rPr>
            </w:pPr>
          </w:p>
        </w:tc>
      </w:tr>
    </w:tbl>
    <w:p w14:paraId="26BB93E7" w14:textId="77777777" w:rsidR="00DA6369" w:rsidRPr="0029160A" w:rsidRDefault="00DA6369" w:rsidP="002E0E3A">
      <w:pPr>
        <w:widowControl/>
        <w:spacing w:line="360" w:lineRule="auto"/>
        <w:rPr>
          <w:color w:val="000000" w:themeColor="text1"/>
          <w:szCs w:val="26"/>
        </w:rPr>
      </w:pPr>
    </w:p>
    <w:p w14:paraId="0525C37D" w14:textId="77777777" w:rsidR="00DA6369" w:rsidRPr="0029160A" w:rsidRDefault="00DA6369" w:rsidP="002E0E3A">
      <w:pPr>
        <w:widowControl/>
        <w:spacing w:line="360" w:lineRule="auto"/>
        <w:rPr>
          <w:color w:val="000000" w:themeColor="text1"/>
          <w:szCs w:val="26"/>
        </w:rPr>
      </w:pPr>
    </w:p>
    <w:p w14:paraId="14C9393A" w14:textId="77777777" w:rsidR="00FD4437" w:rsidRPr="0029160A" w:rsidRDefault="00DA6369" w:rsidP="002E0E3A">
      <w:pPr>
        <w:widowControl/>
        <w:tabs>
          <w:tab w:val="center" w:pos="4680"/>
        </w:tabs>
        <w:spacing w:line="360" w:lineRule="auto"/>
        <w:jc w:val="center"/>
        <w:rPr>
          <w:b/>
          <w:color w:val="000000" w:themeColor="text1"/>
          <w:szCs w:val="26"/>
        </w:rPr>
      </w:pPr>
      <w:r w:rsidRPr="0029160A">
        <w:rPr>
          <w:b/>
          <w:color w:val="000000" w:themeColor="text1"/>
          <w:szCs w:val="26"/>
        </w:rPr>
        <w:t>OPINION AND ORDE</w:t>
      </w:r>
      <w:r w:rsidR="00CA7D0B" w:rsidRPr="0029160A">
        <w:rPr>
          <w:b/>
          <w:color w:val="000000" w:themeColor="text1"/>
          <w:szCs w:val="26"/>
        </w:rPr>
        <w:t>R</w:t>
      </w:r>
    </w:p>
    <w:p w14:paraId="06A51CFF" w14:textId="77777777" w:rsidR="00FD4437" w:rsidRPr="0029160A" w:rsidRDefault="00FD4437" w:rsidP="002E0E3A">
      <w:pPr>
        <w:widowControl/>
        <w:tabs>
          <w:tab w:val="center" w:pos="4680"/>
        </w:tabs>
        <w:spacing w:line="360" w:lineRule="auto"/>
        <w:rPr>
          <w:b/>
          <w:color w:val="000000" w:themeColor="text1"/>
          <w:szCs w:val="26"/>
        </w:rPr>
      </w:pPr>
    </w:p>
    <w:p w14:paraId="07561B96" w14:textId="77777777" w:rsidR="00FB2FAC" w:rsidRPr="0029160A" w:rsidRDefault="00FB2FAC" w:rsidP="002E0E3A">
      <w:pPr>
        <w:widowControl/>
        <w:tabs>
          <w:tab w:val="center" w:pos="4680"/>
        </w:tabs>
        <w:spacing w:line="360" w:lineRule="auto"/>
        <w:rPr>
          <w:b/>
          <w:color w:val="000000" w:themeColor="text1"/>
          <w:szCs w:val="26"/>
        </w:rPr>
      </w:pPr>
    </w:p>
    <w:p w14:paraId="0D6CFEC5" w14:textId="77777777" w:rsidR="00FB2FAC" w:rsidRPr="0029160A" w:rsidRDefault="00FB2FAC" w:rsidP="002E0E3A">
      <w:pPr>
        <w:widowControl/>
        <w:tabs>
          <w:tab w:val="center" w:pos="4680"/>
        </w:tabs>
        <w:spacing w:line="360" w:lineRule="auto"/>
        <w:rPr>
          <w:b/>
          <w:color w:val="000000" w:themeColor="text1"/>
          <w:szCs w:val="26"/>
        </w:rPr>
      </w:pPr>
    </w:p>
    <w:p w14:paraId="297684AA" w14:textId="77777777" w:rsidR="00FB2FAC" w:rsidRPr="0029160A" w:rsidRDefault="00FB2FAC" w:rsidP="002E0E3A">
      <w:pPr>
        <w:widowControl/>
        <w:tabs>
          <w:tab w:val="center" w:pos="4680"/>
        </w:tabs>
        <w:spacing w:line="360" w:lineRule="auto"/>
        <w:rPr>
          <w:b/>
          <w:color w:val="000000" w:themeColor="text1"/>
          <w:szCs w:val="26"/>
        </w:rPr>
      </w:pPr>
    </w:p>
    <w:p w14:paraId="42CC30F8" w14:textId="77777777" w:rsidR="00FB2FAC" w:rsidRPr="0029160A" w:rsidRDefault="00FB2FAC" w:rsidP="002E0E3A">
      <w:pPr>
        <w:widowControl/>
        <w:tabs>
          <w:tab w:val="center" w:pos="4680"/>
        </w:tabs>
        <w:spacing w:line="360" w:lineRule="auto"/>
        <w:rPr>
          <w:b/>
          <w:color w:val="000000" w:themeColor="text1"/>
          <w:szCs w:val="26"/>
        </w:rPr>
      </w:pPr>
    </w:p>
    <w:p w14:paraId="2E7F7150" w14:textId="77777777" w:rsidR="00FB2FAC" w:rsidRPr="0029160A" w:rsidRDefault="00FB2FAC" w:rsidP="002E0E3A">
      <w:pPr>
        <w:widowControl/>
        <w:tabs>
          <w:tab w:val="center" w:pos="4680"/>
        </w:tabs>
        <w:spacing w:line="360" w:lineRule="auto"/>
        <w:rPr>
          <w:b/>
          <w:color w:val="000000" w:themeColor="text1"/>
          <w:szCs w:val="26"/>
        </w:rPr>
      </w:pPr>
    </w:p>
    <w:p w14:paraId="2E665B79" w14:textId="77777777" w:rsidR="004149A2" w:rsidRPr="0029160A" w:rsidRDefault="004149A2" w:rsidP="002E0E3A">
      <w:pPr>
        <w:widowControl/>
        <w:tabs>
          <w:tab w:val="center" w:pos="4680"/>
        </w:tabs>
        <w:spacing w:line="360" w:lineRule="auto"/>
        <w:rPr>
          <w:b/>
          <w:color w:val="000000" w:themeColor="text1"/>
          <w:szCs w:val="26"/>
        </w:rPr>
        <w:sectPr w:rsidR="004149A2" w:rsidRPr="0029160A" w:rsidSect="00F21794">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1FCB402C" w14:textId="451E31DC" w:rsidR="00D72D1C" w:rsidRPr="0029160A" w:rsidRDefault="00155950" w:rsidP="002E0E3A">
      <w:pPr>
        <w:widowControl/>
        <w:tabs>
          <w:tab w:val="center" w:pos="4680"/>
        </w:tabs>
        <w:spacing w:line="360" w:lineRule="auto"/>
        <w:jc w:val="center"/>
        <w:rPr>
          <w:b/>
          <w:color w:val="000000" w:themeColor="text1"/>
          <w:szCs w:val="26"/>
        </w:rPr>
      </w:pPr>
      <w:r w:rsidRPr="0029160A">
        <w:rPr>
          <w:b/>
          <w:color w:val="000000" w:themeColor="text1"/>
          <w:szCs w:val="26"/>
        </w:rPr>
        <w:lastRenderedPageBreak/>
        <w:t>Table of Contents</w:t>
      </w:r>
    </w:p>
    <w:p w14:paraId="326B97F2" w14:textId="77777777" w:rsidR="009D7A24" w:rsidRPr="0029160A" w:rsidRDefault="009D7A24" w:rsidP="002E0E3A">
      <w:pPr>
        <w:widowControl/>
        <w:tabs>
          <w:tab w:val="center" w:pos="4680"/>
        </w:tabs>
        <w:spacing w:line="360" w:lineRule="auto"/>
        <w:jc w:val="center"/>
        <w:rPr>
          <w:b/>
          <w:color w:val="000000" w:themeColor="text1"/>
          <w:szCs w:val="26"/>
        </w:rPr>
      </w:pPr>
    </w:p>
    <w:p w14:paraId="413BF810" w14:textId="38CFC601" w:rsidR="00CF796C" w:rsidRPr="0029160A" w:rsidRDefault="00897E66">
      <w:pPr>
        <w:pStyle w:val="TOC1"/>
        <w:rPr>
          <w:rFonts w:asciiTheme="minorHAnsi" w:eastAsiaTheme="minorEastAsia" w:hAnsiTheme="minorHAnsi" w:cstheme="minorBidi"/>
          <w:noProof/>
          <w:color w:val="000000" w:themeColor="text1"/>
          <w:sz w:val="22"/>
          <w:szCs w:val="22"/>
        </w:rPr>
      </w:pPr>
      <w:r w:rsidRPr="0029160A">
        <w:rPr>
          <w:bCs/>
          <w:color w:val="000000" w:themeColor="text1"/>
          <w:szCs w:val="26"/>
        </w:rPr>
        <w:fldChar w:fldCharType="begin"/>
      </w:r>
      <w:r w:rsidRPr="0029160A">
        <w:rPr>
          <w:bCs/>
          <w:color w:val="000000" w:themeColor="text1"/>
          <w:szCs w:val="26"/>
        </w:rPr>
        <w:instrText xml:space="preserve"> TOC \o "1-4" \h \z \u </w:instrText>
      </w:r>
      <w:r w:rsidRPr="0029160A">
        <w:rPr>
          <w:bCs/>
          <w:color w:val="000000" w:themeColor="text1"/>
          <w:szCs w:val="26"/>
        </w:rPr>
        <w:fldChar w:fldCharType="separate"/>
      </w:r>
      <w:hyperlink w:anchor="_Toc38951722" w:history="1">
        <w:r w:rsidR="00CF796C" w:rsidRPr="0029160A">
          <w:rPr>
            <w:rStyle w:val="Hyperlink"/>
            <w:noProof/>
            <w:color w:val="000000" w:themeColor="text1"/>
          </w:rPr>
          <w:t>I.</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Background</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_Toc38951722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w:t>
        </w:r>
        <w:r w:rsidR="00CF796C" w:rsidRPr="0029160A">
          <w:rPr>
            <w:noProof/>
            <w:webHidden/>
            <w:color w:val="000000" w:themeColor="text1"/>
          </w:rPr>
          <w:fldChar w:fldCharType="end"/>
        </w:r>
      </w:hyperlink>
    </w:p>
    <w:p w14:paraId="34A85E79" w14:textId="15076A9F" w:rsidR="00CF796C" w:rsidRPr="0029160A" w:rsidRDefault="00822091">
      <w:pPr>
        <w:pStyle w:val="TOC1"/>
        <w:rPr>
          <w:rFonts w:asciiTheme="minorHAnsi" w:eastAsiaTheme="minorEastAsia" w:hAnsiTheme="minorHAnsi" w:cstheme="minorBidi"/>
          <w:noProof/>
          <w:color w:val="000000" w:themeColor="text1"/>
          <w:sz w:val="22"/>
          <w:szCs w:val="22"/>
        </w:rPr>
      </w:pPr>
      <w:hyperlink w:anchor="_Toc38951723" w:history="1">
        <w:r w:rsidR="00CF796C" w:rsidRPr="0029160A">
          <w:rPr>
            <w:rStyle w:val="Hyperlink"/>
            <w:noProof/>
            <w:color w:val="000000" w:themeColor="text1"/>
          </w:rPr>
          <w:t>II.</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History of the Proceeding</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_Toc38951723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2</w:t>
        </w:r>
        <w:r w:rsidR="00CF796C" w:rsidRPr="0029160A">
          <w:rPr>
            <w:noProof/>
            <w:webHidden/>
            <w:color w:val="000000" w:themeColor="text1"/>
          </w:rPr>
          <w:fldChar w:fldCharType="end"/>
        </w:r>
      </w:hyperlink>
    </w:p>
    <w:p w14:paraId="3A3D0792" w14:textId="754B3CE6" w:rsidR="00CF796C" w:rsidRPr="0029160A" w:rsidRDefault="00822091">
      <w:pPr>
        <w:pStyle w:val="TOC1"/>
        <w:rPr>
          <w:rFonts w:asciiTheme="minorHAnsi" w:eastAsiaTheme="minorEastAsia" w:hAnsiTheme="minorHAnsi" w:cstheme="minorBidi"/>
          <w:noProof/>
          <w:color w:val="000000" w:themeColor="text1"/>
          <w:sz w:val="22"/>
          <w:szCs w:val="22"/>
        </w:rPr>
      </w:pPr>
      <w:hyperlink w:anchor="_Toc38951724" w:history="1">
        <w:r w:rsidR="00CF796C" w:rsidRPr="0029160A">
          <w:rPr>
            <w:rStyle w:val="Hyperlink"/>
            <w:noProof/>
            <w:color w:val="000000" w:themeColor="text1"/>
          </w:rPr>
          <w:t>III.</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Discussion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_Toc38951724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w:t>
        </w:r>
        <w:r w:rsidR="00CF796C" w:rsidRPr="0029160A">
          <w:rPr>
            <w:noProof/>
            <w:webHidden/>
            <w:color w:val="000000" w:themeColor="text1"/>
          </w:rPr>
          <w:fldChar w:fldCharType="end"/>
        </w:r>
      </w:hyperlink>
    </w:p>
    <w:p w14:paraId="52584E0B" w14:textId="6CC10E9F" w:rsidR="00CF796C" w:rsidRPr="0029160A" w:rsidRDefault="00822091">
      <w:pPr>
        <w:pStyle w:val="TOC2"/>
        <w:tabs>
          <w:tab w:val="left" w:pos="1440"/>
        </w:tabs>
        <w:rPr>
          <w:rFonts w:asciiTheme="minorHAnsi" w:eastAsiaTheme="minorEastAsia" w:hAnsiTheme="minorHAnsi" w:cstheme="minorBidi"/>
          <w:noProof/>
          <w:color w:val="000000" w:themeColor="text1"/>
          <w:sz w:val="22"/>
          <w:szCs w:val="22"/>
        </w:rPr>
      </w:pPr>
      <w:hyperlink w:anchor="_Toc3895172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Legal Standards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_Toc38951725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w:t>
        </w:r>
        <w:r w:rsidR="00CF796C" w:rsidRPr="0029160A">
          <w:rPr>
            <w:noProof/>
            <w:webHidden/>
            <w:color w:val="000000" w:themeColor="text1"/>
          </w:rPr>
          <w:fldChar w:fldCharType="end"/>
        </w:r>
      </w:hyperlink>
    </w:p>
    <w:p w14:paraId="20B6EC51" w14:textId="47AF89DD" w:rsidR="00CF796C" w:rsidRPr="0029160A" w:rsidRDefault="00822091">
      <w:pPr>
        <w:pStyle w:val="TOC2"/>
        <w:tabs>
          <w:tab w:val="left" w:pos="1440"/>
        </w:tabs>
        <w:rPr>
          <w:rFonts w:asciiTheme="minorHAnsi" w:eastAsiaTheme="minorEastAsia" w:hAnsiTheme="minorHAnsi" w:cstheme="minorBidi"/>
          <w:noProof/>
          <w:color w:val="000000" w:themeColor="text1"/>
          <w:sz w:val="22"/>
          <w:szCs w:val="22"/>
        </w:rPr>
      </w:pPr>
      <w:hyperlink w:anchor="_Toc3895172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Review of ALJs’ Uncontested Recommendations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_Toc38951726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w:t>
        </w:r>
        <w:r w:rsidR="00CF796C" w:rsidRPr="0029160A">
          <w:rPr>
            <w:noProof/>
            <w:webHidden/>
            <w:color w:val="000000" w:themeColor="text1"/>
          </w:rPr>
          <w:fldChar w:fldCharType="end"/>
        </w:r>
      </w:hyperlink>
    </w:p>
    <w:p w14:paraId="24949D9E" w14:textId="67EACB02" w:rsidR="00CF796C" w:rsidRPr="0029160A" w:rsidRDefault="00822091" w:rsidP="008D64D3">
      <w:pPr>
        <w:pStyle w:val="TOC3"/>
        <w:rPr>
          <w:rFonts w:asciiTheme="minorHAnsi" w:eastAsiaTheme="minorEastAsia" w:hAnsiTheme="minorHAnsi" w:cstheme="minorBidi"/>
          <w:noProof/>
          <w:sz w:val="22"/>
          <w:szCs w:val="22"/>
        </w:rPr>
      </w:pPr>
      <w:hyperlink w:anchor="_Toc38951727" w:history="1">
        <w:r w:rsidR="00CF796C" w:rsidRPr="0029160A">
          <w:rPr>
            <w:rStyle w:val="Hyperlink"/>
            <w:rFonts w:eastAsiaTheme="majorEastAsia"/>
            <w:noProof/>
            <w:color w:val="000000" w:themeColor="text1"/>
            <w14:scene3d>
              <w14:camera w14:prst="orthographicFront"/>
              <w14:lightRig w14:rig="threePt" w14:dir="t">
                <w14:rot w14:lat="0" w14:lon="0" w14:rev="0"/>
              </w14:lightRig>
            </w14:scene3d>
          </w:rPr>
          <w:t>1.</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Base:</w:t>
        </w:r>
        <w:r w:rsidR="00CF796C" w:rsidRPr="0029160A">
          <w:rPr>
            <w:rStyle w:val="Hyperlink"/>
            <w:rFonts w:eastAsiaTheme="minorHAnsi"/>
            <w:noProof/>
            <w:color w:val="000000" w:themeColor="text1"/>
          </w:rPr>
          <w:t xml:space="preserve"> </w:t>
        </w:r>
        <w:r w:rsidR="00CF796C" w:rsidRPr="0029160A">
          <w:rPr>
            <w:rStyle w:val="Hyperlink"/>
            <w:noProof/>
            <w:color w:val="000000" w:themeColor="text1"/>
          </w:rPr>
          <w:t>Materials and Supplies; ADIT; EDIT; Customer Deposits; CWIP; Accrued Pension/OPEB Liability; CWC</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_Toc38951727 \h </w:instrText>
        </w:r>
        <w:r w:rsidR="00CF796C" w:rsidRPr="0029160A">
          <w:rPr>
            <w:noProof/>
            <w:webHidden/>
          </w:rPr>
        </w:r>
        <w:r w:rsidR="00CF796C" w:rsidRPr="0029160A">
          <w:rPr>
            <w:noProof/>
            <w:webHidden/>
          </w:rPr>
          <w:fldChar w:fldCharType="separate"/>
        </w:r>
        <w:r w:rsidR="002261B3">
          <w:rPr>
            <w:noProof/>
            <w:webHidden/>
          </w:rPr>
          <w:t>8</w:t>
        </w:r>
        <w:r w:rsidR="00CF796C" w:rsidRPr="0029160A">
          <w:rPr>
            <w:noProof/>
            <w:webHidden/>
          </w:rPr>
          <w:fldChar w:fldCharType="end"/>
        </w:r>
      </w:hyperlink>
    </w:p>
    <w:p w14:paraId="746F8718" w14:textId="48A00802" w:rsidR="00CF796C" w:rsidRPr="0029160A" w:rsidRDefault="00822091" w:rsidP="008D64D3">
      <w:pPr>
        <w:pStyle w:val="TOC3"/>
        <w:rPr>
          <w:rFonts w:asciiTheme="minorHAnsi" w:eastAsiaTheme="minorEastAsia" w:hAnsiTheme="minorHAnsi" w:cstheme="minorBidi"/>
          <w:noProof/>
          <w:sz w:val="22"/>
          <w:szCs w:val="22"/>
        </w:rPr>
      </w:pPr>
      <w:hyperlink w:anchor="_Toc38951728" w:history="1">
        <w:r w:rsidR="00CF796C" w:rsidRPr="0029160A">
          <w:rPr>
            <w:rStyle w:val="Hyperlink"/>
            <w:noProof/>
            <w:color w:val="000000" w:themeColor="text1"/>
            <w14:scene3d>
              <w14:camera w14:prst="orthographicFront"/>
              <w14:lightRig w14:rig="threePt" w14:dir="t">
                <w14:rot w14:lat="0" w14:lon="0" w14:rev="0"/>
              </w14:lightRig>
            </w14:scene3d>
          </w:rPr>
          <w:t>2.</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Revenue:  Forfeited Discounts</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_Toc38951728 \h </w:instrText>
        </w:r>
        <w:r w:rsidR="00CF796C" w:rsidRPr="0029160A">
          <w:rPr>
            <w:noProof/>
            <w:webHidden/>
          </w:rPr>
        </w:r>
        <w:r w:rsidR="00CF796C" w:rsidRPr="0029160A">
          <w:rPr>
            <w:noProof/>
            <w:webHidden/>
          </w:rPr>
          <w:fldChar w:fldCharType="separate"/>
        </w:r>
        <w:r w:rsidR="002261B3">
          <w:rPr>
            <w:noProof/>
            <w:webHidden/>
          </w:rPr>
          <w:t>11</w:t>
        </w:r>
        <w:r w:rsidR="00CF796C" w:rsidRPr="0029160A">
          <w:rPr>
            <w:noProof/>
            <w:webHidden/>
          </w:rPr>
          <w:fldChar w:fldCharType="end"/>
        </w:r>
      </w:hyperlink>
    </w:p>
    <w:p w14:paraId="759E959B" w14:textId="079FB0E4" w:rsidR="00CF796C" w:rsidRPr="0029160A" w:rsidRDefault="00822091" w:rsidP="008D64D3">
      <w:pPr>
        <w:pStyle w:val="TOC3"/>
        <w:rPr>
          <w:rFonts w:asciiTheme="minorHAnsi" w:eastAsiaTheme="minorEastAsia" w:hAnsiTheme="minorHAnsi" w:cstheme="minorBidi"/>
          <w:noProof/>
          <w:sz w:val="22"/>
          <w:szCs w:val="22"/>
        </w:rPr>
      </w:pPr>
      <w:hyperlink w:anchor="_Toc38951729" w:history="1">
        <w:r w:rsidR="00CF796C" w:rsidRPr="0029160A">
          <w:rPr>
            <w:rStyle w:val="Hyperlink"/>
            <w:noProof/>
            <w:color w:val="000000" w:themeColor="text1"/>
            <w14:scene3d>
              <w14:camera w14:prst="orthographicFront"/>
              <w14:lightRig w14:rig="threePt" w14:dir="t">
                <w14:rot w14:lat="0" w14:lon="0" w14:rev="0"/>
              </w14:lightRig>
            </w14:scene3d>
          </w:rPr>
          <w:t>3.</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Regulatory Commission Expense (Account 928) and CWC</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_Toc38951729 \h </w:instrText>
        </w:r>
        <w:r w:rsidR="00CF796C" w:rsidRPr="0029160A">
          <w:rPr>
            <w:noProof/>
            <w:webHidden/>
          </w:rPr>
        </w:r>
        <w:r w:rsidR="00CF796C" w:rsidRPr="0029160A">
          <w:rPr>
            <w:noProof/>
            <w:webHidden/>
          </w:rPr>
          <w:fldChar w:fldCharType="separate"/>
        </w:r>
        <w:r w:rsidR="002261B3">
          <w:rPr>
            <w:noProof/>
            <w:webHidden/>
          </w:rPr>
          <w:t>12</w:t>
        </w:r>
        <w:r w:rsidR="00CF796C" w:rsidRPr="0029160A">
          <w:rPr>
            <w:noProof/>
            <w:webHidden/>
          </w:rPr>
          <w:fldChar w:fldCharType="end"/>
        </w:r>
      </w:hyperlink>
    </w:p>
    <w:p w14:paraId="5FDE5F1B" w14:textId="243017CF" w:rsidR="00CF796C" w:rsidRPr="0029160A" w:rsidRDefault="00822091" w:rsidP="008D64D3">
      <w:pPr>
        <w:pStyle w:val="TOC3"/>
        <w:rPr>
          <w:rFonts w:asciiTheme="minorHAnsi" w:eastAsiaTheme="minorEastAsia" w:hAnsiTheme="minorHAnsi" w:cstheme="minorBidi"/>
          <w:noProof/>
          <w:sz w:val="22"/>
          <w:szCs w:val="22"/>
        </w:rPr>
      </w:pPr>
      <w:hyperlink w:anchor="_Toc38951730" w:history="1">
        <w:r w:rsidR="00CF796C" w:rsidRPr="0029160A">
          <w:rPr>
            <w:rStyle w:val="Hyperlink"/>
            <w:noProof/>
            <w:color w:val="000000" w:themeColor="text1"/>
            <w14:scene3d>
              <w14:camera w14:prst="orthographicFront"/>
              <w14:lightRig w14:rig="threePt" w14:dir="t">
                <w14:rot w14:lat="0" w14:lon="0" w14:rev="0"/>
              </w14:lightRig>
            </w14:scene3d>
          </w:rPr>
          <w:t>4.</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of Return:  Capital Structure and Cost of Long-Term Debt</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_Toc38951730 \h </w:instrText>
        </w:r>
        <w:r w:rsidR="00CF796C" w:rsidRPr="0029160A">
          <w:rPr>
            <w:noProof/>
            <w:webHidden/>
          </w:rPr>
        </w:r>
        <w:r w:rsidR="00CF796C" w:rsidRPr="0029160A">
          <w:rPr>
            <w:noProof/>
            <w:webHidden/>
          </w:rPr>
          <w:fldChar w:fldCharType="separate"/>
        </w:r>
        <w:r w:rsidR="002261B3">
          <w:rPr>
            <w:noProof/>
            <w:webHidden/>
          </w:rPr>
          <w:t>14</w:t>
        </w:r>
        <w:r w:rsidR="00CF796C" w:rsidRPr="0029160A">
          <w:rPr>
            <w:noProof/>
            <w:webHidden/>
          </w:rPr>
          <w:fldChar w:fldCharType="end"/>
        </w:r>
      </w:hyperlink>
    </w:p>
    <w:p w14:paraId="70F37C20" w14:textId="0C77359E" w:rsidR="00CF796C" w:rsidRPr="0029160A" w:rsidRDefault="00822091" w:rsidP="008D64D3">
      <w:pPr>
        <w:pStyle w:val="TOC3"/>
        <w:rPr>
          <w:rFonts w:asciiTheme="minorHAnsi" w:eastAsiaTheme="minorEastAsia" w:hAnsiTheme="minorHAnsi" w:cstheme="minorBidi"/>
          <w:noProof/>
          <w:sz w:val="22"/>
          <w:szCs w:val="22"/>
        </w:rPr>
      </w:pPr>
      <w:hyperlink w:anchor="_Toc38951731" w:history="1">
        <w:r w:rsidR="00CF796C" w:rsidRPr="0029160A">
          <w:rPr>
            <w:rStyle w:val="Hyperlink"/>
            <w:rFonts w:eastAsiaTheme="minorHAnsi"/>
            <w:noProof/>
            <w:color w:val="000000" w:themeColor="text1"/>
            <w14:scene3d>
              <w14:camera w14:prst="orthographicFront"/>
              <w14:lightRig w14:rig="threePt" w14:dir="t">
                <w14:rot w14:lat="0" w14:lon="0" w14:rev="0"/>
              </w14:lightRig>
            </w14:scene3d>
          </w:rPr>
          <w:t>5.</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 xml:space="preserve">Taxes:  </w:t>
        </w:r>
        <w:r w:rsidR="00CF796C" w:rsidRPr="0029160A">
          <w:rPr>
            <w:rStyle w:val="Hyperlink"/>
            <w:rFonts w:eastAsiaTheme="minorHAnsi"/>
            <w:noProof/>
            <w:color w:val="000000" w:themeColor="text1"/>
          </w:rPr>
          <w:t>EDIT and Deferred Regulatory Liability</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_Toc38951731 \h </w:instrText>
        </w:r>
        <w:r w:rsidR="00CF796C" w:rsidRPr="0029160A">
          <w:rPr>
            <w:noProof/>
            <w:webHidden/>
          </w:rPr>
        </w:r>
        <w:r w:rsidR="00CF796C" w:rsidRPr="0029160A">
          <w:rPr>
            <w:noProof/>
            <w:webHidden/>
          </w:rPr>
          <w:fldChar w:fldCharType="separate"/>
        </w:r>
        <w:r w:rsidR="002261B3">
          <w:rPr>
            <w:noProof/>
            <w:webHidden/>
          </w:rPr>
          <w:t>17</w:t>
        </w:r>
        <w:r w:rsidR="00CF796C" w:rsidRPr="0029160A">
          <w:rPr>
            <w:noProof/>
            <w:webHidden/>
          </w:rPr>
          <w:fldChar w:fldCharType="end"/>
        </w:r>
      </w:hyperlink>
    </w:p>
    <w:p w14:paraId="47EDD85A" w14:textId="33144EEC" w:rsidR="00CF796C" w:rsidRPr="0029160A" w:rsidRDefault="00822091" w:rsidP="008D64D3">
      <w:pPr>
        <w:pStyle w:val="TOC3"/>
        <w:rPr>
          <w:rFonts w:asciiTheme="minorHAnsi" w:eastAsiaTheme="minorEastAsia" w:hAnsiTheme="minorHAnsi" w:cstheme="minorBidi"/>
          <w:noProof/>
          <w:sz w:val="22"/>
          <w:szCs w:val="22"/>
        </w:rPr>
      </w:pPr>
      <w:hyperlink w:anchor="_Toc38951732" w:history="1">
        <w:r w:rsidR="00CF796C" w:rsidRPr="0029160A">
          <w:rPr>
            <w:rStyle w:val="Hyperlink"/>
            <w:noProof/>
            <w:color w:val="000000" w:themeColor="text1"/>
            <w14:scene3d>
              <w14:camera w14:prst="orthographicFront"/>
              <w14:lightRig w14:rig="threePt" w14:dir="t">
                <w14:rot w14:lat="0" w14:lon="0" w14:rev="0"/>
              </w14:lightRig>
            </w14:scene3d>
          </w:rPr>
          <w:t>6.</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Structure:  Scale Back</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_Toc38951732 \h </w:instrText>
        </w:r>
        <w:r w:rsidR="00CF796C" w:rsidRPr="0029160A">
          <w:rPr>
            <w:noProof/>
            <w:webHidden/>
          </w:rPr>
        </w:r>
        <w:r w:rsidR="00CF796C" w:rsidRPr="0029160A">
          <w:rPr>
            <w:noProof/>
            <w:webHidden/>
          </w:rPr>
          <w:fldChar w:fldCharType="separate"/>
        </w:r>
        <w:r w:rsidR="002261B3">
          <w:rPr>
            <w:noProof/>
            <w:webHidden/>
          </w:rPr>
          <w:t>22</w:t>
        </w:r>
        <w:r w:rsidR="00CF796C" w:rsidRPr="0029160A">
          <w:rPr>
            <w:noProof/>
            <w:webHidden/>
          </w:rPr>
          <w:fldChar w:fldCharType="end"/>
        </w:r>
      </w:hyperlink>
    </w:p>
    <w:p w14:paraId="0A91D0F0" w14:textId="6A8F5DA8" w:rsidR="00CF796C" w:rsidRPr="0029160A" w:rsidRDefault="00822091">
      <w:pPr>
        <w:pStyle w:val="TOC2"/>
        <w:tabs>
          <w:tab w:val="left" w:pos="1440"/>
        </w:tabs>
        <w:rPr>
          <w:rFonts w:asciiTheme="minorHAnsi" w:eastAsiaTheme="minorEastAsia" w:hAnsiTheme="minorHAnsi" w:cstheme="minorBidi"/>
          <w:noProof/>
          <w:color w:val="000000" w:themeColor="text1"/>
          <w:sz w:val="22"/>
          <w:szCs w:val="22"/>
        </w:rPr>
      </w:pPr>
      <w:hyperlink w:anchor="_Toc38951733"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Review of Exceptions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_Toc38951733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25</w:t>
        </w:r>
        <w:r w:rsidR="00CF796C" w:rsidRPr="0029160A">
          <w:rPr>
            <w:noProof/>
            <w:webHidden/>
            <w:color w:val="000000" w:themeColor="text1"/>
          </w:rPr>
          <w:fldChar w:fldCharType="end"/>
        </w:r>
      </w:hyperlink>
    </w:p>
    <w:p w14:paraId="17092B4E" w14:textId="03324325" w:rsidR="00CF796C" w:rsidRPr="0029160A" w:rsidRDefault="00822091" w:rsidP="008D64D3">
      <w:pPr>
        <w:pStyle w:val="TOC3"/>
        <w:rPr>
          <w:rFonts w:asciiTheme="minorHAnsi" w:eastAsiaTheme="minorEastAsia" w:hAnsiTheme="minorHAnsi" w:cstheme="minorBidi"/>
          <w:noProof/>
          <w:sz w:val="22"/>
          <w:szCs w:val="22"/>
        </w:rPr>
      </w:pPr>
      <w:hyperlink w:anchor="_Toc38951734" w:history="1">
        <w:r w:rsidR="00CF796C" w:rsidRPr="0029160A">
          <w:rPr>
            <w:rStyle w:val="Hyperlink"/>
            <w:noProof/>
            <w:color w:val="000000" w:themeColor="text1"/>
            <w14:scene3d>
              <w14:camera w14:prst="orthographicFront"/>
              <w14:lightRig w14:rig="threePt" w14:dir="t">
                <w14:rot w14:lat="0" w14:lon="0" w14:rev="0"/>
              </w14:lightRig>
            </w14:scene3d>
          </w:rPr>
          <w:t>1.</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Base:  Utility-Plant-in-Service and FPFTY Methodology</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_Toc38951734 \h </w:instrText>
        </w:r>
        <w:r w:rsidR="00CF796C" w:rsidRPr="0029160A">
          <w:rPr>
            <w:noProof/>
            <w:webHidden/>
          </w:rPr>
        </w:r>
        <w:r w:rsidR="00CF796C" w:rsidRPr="0029160A">
          <w:rPr>
            <w:noProof/>
            <w:webHidden/>
          </w:rPr>
          <w:fldChar w:fldCharType="separate"/>
        </w:r>
        <w:r w:rsidR="002261B3">
          <w:rPr>
            <w:noProof/>
            <w:webHidden/>
          </w:rPr>
          <w:t>25</w:t>
        </w:r>
        <w:r w:rsidR="00CF796C" w:rsidRPr="0029160A">
          <w:rPr>
            <w:noProof/>
            <w:webHidden/>
          </w:rPr>
          <w:fldChar w:fldCharType="end"/>
        </w:r>
      </w:hyperlink>
    </w:p>
    <w:p w14:paraId="55CF17F1" w14:textId="3E76E6A0"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3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_Toc38951735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25</w:t>
        </w:r>
        <w:r w:rsidR="00CF796C" w:rsidRPr="0029160A">
          <w:rPr>
            <w:noProof/>
            <w:webHidden/>
            <w:color w:val="000000" w:themeColor="text1"/>
          </w:rPr>
          <w:fldChar w:fldCharType="end"/>
        </w:r>
      </w:hyperlink>
    </w:p>
    <w:p w14:paraId="04D652C5" w14:textId="5DEFFCA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3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_Toc38951736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27</w:t>
        </w:r>
        <w:r w:rsidR="00CF796C" w:rsidRPr="0029160A">
          <w:rPr>
            <w:noProof/>
            <w:webHidden/>
            <w:color w:val="000000" w:themeColor="text1"/>
          </w:rPr>
          <w:fldChar w:fldCharType="end"/>
        </w:r>
      </w:hyperlink>
    </w:p>
    <w:p w14:paraId="2D31F75B" w14:textId="2BC97F3B"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3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OCA Exception No. 1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_Toc38951737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28</w:t>
        </w:r>
        <w:r w:rsidR="00CF796C" w:rsidRPr="0029160A">
          <w:rPr>
            <w:noProof/>
            <w:webHidden/>
            <w:color w:val="000000" w:themeColor="text1"/>
          </w:rPr>
          <w:fldChar w:fldCharType="end"/>
        </w:r>
      </w:hyperlink>
    </w:p>
    <w:p w14:paraId="70EB22D7" w14:textId="0F30935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3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_Toc38951738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30</w:t>
        </w:r>
        <w:r w:rsidR="00CF796C" w:rsidRPr="0029160A">
          <w:rPr>
            <w:noProof/>
            <w:webHidden/>
            <w:color w:val="000000" w:themeColor="text1"/>
          </w:rPr>
          <w:fldChar w:fldCharType="end"/>
        </w:r>
      </w:hyperlink>
    </w:p>
    <w:p w14:paraId="07A48892" w14:textId="5FCB708F" w:rsidR="00CF796C" w:rsidRPr="0029160A" w:rsidRDefault="00822091" w:rsidP="008D64D3">
      <w:pPr>
        <w:pStyle w:val="TOC3"/>
        <w:rPr>
          <w:rFonts w:asciiTheme="minorHAnsi" w:eastAsiaTheme="minorEastAsia" w:hAnsiTheme="minorHAnsi" w:cstheme="minorBidi"/>
          <w:noProof/>
          <w:sz w:val="22"/>
          <w:szCs w:val="22"/>
        </w:rPr>
      </w:pPr>
      <w:hyperlink w:anchor="_Toc38951739" w:history="1">
        <w:r w:rsidR="00CF796C" w:rsidRPr="0029160A">
          <w:rPr>
            <w:rStyle w:val="Hyperlink"/>
            <w:noProof/>
            <w:color w:val="000000" w:themeColor="text1"/>
            <w14:scene3d>
              <w14:camera w14:prst="orthographicFront"/>
              <w14:lightRig w14:rig="threePt" w14:dir="t">
                <w14:rot w14:lat="0" w14:lon="0" w14:rev="0"/>
              </w14:lightRig>
            </w14:scene3d>
          </w:rPr>
          <w:t>2.</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Base:  Utility-Plant-in-Service and Plant Retirements</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_Toc38951739 \h </w:instrText>
        </w:r>
        <w:r w:rsidR="00CF796C" w:rsidRPr="0029160A">
          <w:rPr>
            <w:noProof/>
            <w:webHidden/>
          </w:rPr>
        </w:r>
        <w:r w:rsidR="00CF796C" w:rsidRPr="0029160A">
          <w:rPr>
            <w:noProof/>
            <w:webHidden/>
          </w:rPr>
          <w:fldChar w:fldCharType="separate"/>
        </w:r>
        <w:r w:rsidR="002261B3">
          <w:rPr>
            <w:noProof/>
            <w:webHidden/>
          </w:rPr>
          <w:t>33</w:t>
        </w:r>
        <w:r w:rsidR="00CF796C" w:rsidRPr="0029160A">
          <w:rPr>
            <w:noProof/>
            <w:webHidden/>
          </w:rPr>
          <w:fldChar w:fldCharType="end"/>
        </w:r>
      </w:hyperlink>
    </w:p>
    <w:p w14:paraId="4E180342" w14:textId="0A455C00"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4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_Toc38951740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33</w:t>
        </w:r>
        <w:r w:rsidR="00CF796C" w:rsidRPr="0029160A">
          <w:rPr>
            <w:noProof/>
            <w:webHidden/>
            <w:color w:val="000000" w:themeColor="text1"/>
          </w:rPr>
          <w:fldChar w:fldCharType="end"/>
        </w:r>
      </w:hyperlink>
    </w:p>
    <w:p w14:paraId="0A41D9FD" w14:textId="3B2DD74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4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_Toc38951741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34</w:t>
        </w:r>
        <w:r w:rsidR="00CF796C" w:rsidRPr="0029160A">
          <w:rPr>
            <w:noProof/>
            <w:webHidden/>
            <w:color w:val="000000" w:themeColor="text1"/>
          </w:rPr>
          <w:fldChar w:fldCharType="end"/>
        </w:r>
      </w:hyperlink>
    </w:p>
    <w:p w14:paraId="1B547EAD" w14:textId="4AF3F1E8"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4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OCA Exception No. 2</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_Toc38951742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35</w:t>
        </w:r>
        <w:r w:rsidR="00CF796C" w:rsidRPr="0029160A">
          <w:rPr>
            <w:noProof/>
            <w:webHidden/>
            <w:color w:val="000000" w:themeColor="text1"/>
          </w:rPr>
          <w:fldChar w:fldCharType="end"/>
        </w:r>
      </w:hyperlink>
    </w:p>
    <w:p w14:paraId="138C7C6E" w14:textId="4BF130D5"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4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_Toc38951743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36</w:t>
        </w:r>
        <w:r w:rsidR="00CF796C" w:rsidRPr="0029160A">
          <w:rPr>
            <w:noProof/>
            <w:webHidden/>
            <w:color w:val="000000" w:themeColor="text1"/>
          </w:rPr>
          <w:fldChar w:fldCharType="end"/>
        </w:r>
      </w:hyperlink>
    </w:p>
    <w:p w14:paraId="0F8E49AD" w14:textId="224E2108" w:rsidR="00CF796C" w:rsidRPr="0029160A" w:rsidRDefault="00822091" w:rsidP="008D64D3">
      <w:pPr>
        <w:pStyle w:val="TOC3"/>
        <w:rPr>
          <w:rFonts w:asciiTheme="minorHAnsi" w:eastAsiaTheme="minorEastAsia" w:hAnsiTheme="minorHAnsi" w:cstheme="minorBidi"/>
          <w:noProof/>
          <w:sz w:val="22"/>
          <w:szCs w:val="22"/>
        </w:rPr>
      </w:pPr>
      <w:hyperlink w:anchor="_Toc38951744" w:history="1">
        <w:r w:rsidR="00CF796C" w:rsidRPr="0029160A">
          <w:rPr>
            <w:rStyle w:val="Hyperlink"/>
            <w:noProof/>
            <w:color w:val="000000" w:themeColor="text1"/>
            <w14:scene3d>
              <w14:camera w14:prst="orthographicFront"/>
              <w14:lightRig w14:rig="threePt" w14:dir="t">
                <w14:rot w14:lat="0" w14:lon="0" w14:rev="0"/>
              </w14:lightRig>
            </w14:scene3d>
          </w:rPr>
          <w:t>3.</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Inflation Adjustment to O&amp;M Expense Claims</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_Toc38951744 \h </w:instrText>
        </w:r>
        <w:r w:rsidR="00CF796C" w:rsidRPr="0029160A">
          <w:rPr>
            <w:noProof/>
            <w:webHidden/>
          </w:rPr>
        </w:r>
        <w:r w:rsidR="00CF796C" w:rsidRPr="0029160A">
          <w:rPr>
            <w:noProof/>
            <w:webHidden/>
          </w:rPr>
          <w:fldChar w:fldCharType="separate"/>
        </w:r>
        <w:r w:rsidR="002261B3">
          <w:rPr>
            <w:noProof/>
            <w:webHidden/>
          </w:rPr>
          <w:t>37</w:t>
        </w:r>
        <w:r w:rsidR="00CF796C" w:rsidRPr="0029160A">
          <w:rPr>
            <w:noProof/>
            <w:webHidden/>
          </w:rPr>
          <w:fldChar w:fldCharType="end"/>
        </w:r>
      </w:hyperlink>
    </w:p>
    <w:p w14:paraId="60AD30C9" w14:textId="402E482A"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4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_Toc38951745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37</w:t>
        </w:r>
        <w:r w:rsidR="00CF796C" w:rsidRPr="0029160A">
          <w:rPr>
            <w:noProof/>
            <w:webHidden/>
            <w:color w:val="000000" w:themeColor="text1"/>
          </w:rPr>
          <w:fldChar w:fldCharType="end"/>
        </w:r>
      </w:hyperlink>
    </w:p>
    <w:p w14:paraId="6F357F09" w14:textId="1029C7F2"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4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_Toc38951746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38</w:t>
        </w:r>
        <w:r w:rsidR="00CF796C" w:rsidRPr="0029160A">
          <w:rPr>
            <w:noProof/>
            <w:webHidden/>
            <w:color w:val="000000" w:themeColor="text1"/>
          </w:rPr>
          <w:fldChar w:fldCharType="end"/>
        </w:r>
      </w:hyperlink>
    </w:p>
    <w:p w14:paraId="72576B4F" w14:textId="4510A7E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4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1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_Toc38951747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38</w:t>
        </w:r>
        <w:r w:rsidR="00CF796C" w:rsidRPr="0029160A">
          <w:rPr>
            <w:noProof/>
            <w:webHidden/>
            <w:color w:val="000000" w:themeColor="text1"/>
          </w:rPr>
          <w:fldChar w:fldCharType="end"/>
        </w:r>
      </w:hyperlink>
    </w:p>
    <w:p w14:paraId="1EBCBD66" w14:textId="49EE59D7"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4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_Toc38951748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40</w:t>
        </w:r>
        <w:r w:rsidR="00CF796C" w:rsidRPr="0029160A">
          <w:rPr>
            <w:noProof/>
            <w:webHidden/>
            <w:color w:val="000000" w:themeColor="text1"/>
          </w:rPr>
          <w:fldChar w:fldCharType="end"/>
        </w:r>
      </w:hyperlink>
    </w:p>
    <w:p w14:paraId="49BAA3BB" w14:textId="152BAC62" w:rsidR="00CF796C" w:rsidRPr="0029160A" w:rsidRDefault="00822091" w:rsidP="008D64D3">
      <w:pPr>
        <w:pStyle w:val="TOC3"/>
        <w:rPr>
          <w:rFonts w:asciiTheme="minorHAnsi" w:eastAsiaTheme="minorEastAsia" w:hAnsiTheme="minorHAnsi" w:cstheme="minorBidi"/>
          <w:noProof/>
          <w:sz w:val="22"/>
          <w:szCs w:val="22"/>
        </w:rPr>
      </w:pPr>
      <w:hyperlink w:anchor="_Toc38951749" w:history="1">
        <w:r w:rsidR="00CF796C" w:rsidRPr="0029160A">
          <w:rPr>
            <w:rStyle w:val="Hyperlink"/>
            <w:noProof/>
            <w:color w:val="000000" w:themeColor="text1"/>
            <w14:scene3d>
              <w14:camera w14:prst="orthographicFront"/>
              <w14:lightRig w14:rig="threePt" w14:dir="t">
                <w14:rot w14:lat="0" w14:lon="0" w14:rev="0"/>
              </w14:lightRig>
            </w14:scene3d>
          </w:rPr>
          <w:t>4.</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Review of Individual Adjustments to O&amp;M Expense Claims</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_Toc38951749 \h </w:instrText>
        </w:r>
        <w:r w:rsidR="00CF796C" w:rsidRPr="0029160A">
          <w:rPr>
            <w:noProof/>
            <w:webHidden/>
          </w:rPr>
        </w:r>
        <w:r w:rsidR="00CF796C" w:rsidRPr="0029160A">
          <w:rPr>
            <w:noProof/>
            <w:webHidden/>
          </w:rPr>
          <w:fldChar w:fldCharType="separate"/>
        </w:r>
        <w:r w:rsidR="002261B3">
          <w:rPr>
            <w:noProof/>
            <w:webHidden/>
          </w:rPr>
          <w:t>40</w:t>
        </w:r>
        <w:r w:rsidR="00CF796C" w:rsidRPr="0029160A">
          <w:rPr>
            <w:noProof/>
            <w:webHidden/>
          </w:rPr>
          <w:fldChar w:fldCharType="end"/>
        </w:r>
      </w:hyperlink>
    </w:p>
    <w:p w14:paraId="1828272F" w14:textId="37AA008A"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5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_Toc38951750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40</w:t>
        </w:r>
        <w:r w:rsidR="00CF796C" w:rsidRPr="0029160A">
          <w:rPr>
            <w:noProof/>
            <w:webHidden/>
            <w:color w:val="000000" w:themeColor="text1"/>
          </w:rPr>
          <w:fldChar w:fldCharType="end"/>
        </w:r>
      </w:hyperlink>
    </w:p>
    <w:p w14:paraId="5773FF47" w14:textId="262C3568"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5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_Toc38951751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42</w:t>
        </w:r>
        <w:r w:rsidR="00CF796C" w:rsidRPr="0029160A">
          <w:rPr>
            <w:noProof/>
            <w:webHidden/>
            <w:color w:val="000000" w:themeColor="text1"/>
          </w:rPr>
          <w:fldChar w:fldCharType="end"/>
        </w:r>
      </w:hyperlink>
    </w:p>
    <w:p w14:paraId="18153265" w14:textId="53005E7C"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5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2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_Toc38951752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42</w:t>
        </w:r>
        <w:r w:rsidR="00CF796C" w:rsidRPr="0029160A">
          <w:rPr>
            <w:noProof/>
            <w:webHidden/>
            <w:color w:val="000000" w:themeColor="text1"/>
          </w:rPr>
          <w:fldChar w:fldCharType="end"/>
        </w:r>
      </w:hyperlink>
    </w:p>
    <w:p w14:paraId="003AF9E1" w14:textId="3588F883"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5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_Toc38951753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44</w:t>
        </w:r>
        <w:r w:rsidR="00CF796C" w:rsidRPr="0029160A">
          <w:rPr>
            <w:noProof/>
            <w:webHidden/>
            <w:color w:val="000000" w:themeColor="text1"/>
          </w:rPr>
          <w:fldChar w:fldCharType="end"/>
        </w:r>
      </w:hyperlink>
    </w:p>
    <w:p w14:paraId="7190CE27" w14:textId="7824F0C0" w:rsidR="00CF796C" w:rsidRPr="0029160A" w:rsidRDefault="00822091" w:rsidP="008D64D3">
      <w:pPr>
        <w:pStyle w:val="TOC3"/>
        <w:rPr>
          <w:rFonts w:asciiTheme="minorHAnsi" w:eastAsiaTheme="minorEastAsia" w:hAnsiTheme="minorHAnsi" w:cstheme="minorBidi"/>
          <w:noProof/>
          <w:sz w:val="22"/>
          <w:szCs w:val="22"/>
        </w:rPr>
      </w:pPr>
      <w:hyperlink w:anchor="_Toc38951754" w:history="1">
        <w:r w:rsidR="00CF796C" w:rsidRPr="0029160A">
          <w:rPr>
            <w:rStyle w:val="Hyperlink"/>
            <w:noProof/>
            <w:color w:val="000000" w:themeColor="text1"/>
            <w14:scene3d>
              <w14:camera w14:prst="orthographicFront"/>
              <w14:lightRig w14:rig="threePt" w14:dir="t">
                <w14:rot w14:lat="0" w14:lon="0" w14:rev="0"/>
              </w14:lightRig>
            </w14:scene3d>
          </w:rPr>
          <w:t>5.</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Overhead Lines/Vegetation Management     (Account 593)</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_Toc38951754 \h </w:instrText>
        </w:r>
        <w:r w:rsidR="00CF796C" w:rsidRPr="0029160A">
          <w:rPr>
            <w:noProof/>
            <w:webHidden/>
          </w:rPr>
        </w:r>
        <w:r w:rsidR="00CF796C" w:rsidRPr="0029160A">
          <w:rPr>
            <w:noProof/>
            <w:webHidden/>
          </w:rPr>
          <w:fldChar w:fldCharType="separate"/>
        </w:r>
        <w:r w:rsidR="002261B3">
          <w:rPr>
            <w:noProof/>
            <w:webHidden/>
          </w:rPr>
          <w:t>45</w:t>
        </w:r>
        <w:r w:rsidR="00CF796C" w:rsidRPr="0029160A">
          <w:rPr>
            <w:noProof/>
            <w:webHidden/>
          </w:rPr>
          <w:fldChar w:fldCharType="end"/>
        </w:r>
      </w:hyperlink>
    </w:p>
    <w:p w14:paraId="5B41AED2" w14:textId="557372E8"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5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_Toc38951755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45</w:t>
        </w:r>
        <w:r w:rsidR="00CF796C" w:rsidRPr="0029160A">
          <w:rPr>
            <w:noProof/>
            <w:webHidden/>
            <w:color w:val="000000" w:themeColor="text1"/>
          </w:rPr>
          <w:fldChar w:fldCharType="end"/>
        </w:r>
      </w:hyperlink>
    </w:p>
    <w:p w14:paraId="01DC91DF" w14:textId="6DF97AEC"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5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_Toc38951756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46</w:t>
        </w:r>
        <w:r w:rsidR="00CF796C" w:rsidRPr="0029160A">
          <w:rPr>
            <w:noProof/>
            <w:webHidden/>
            <w:color w:val="000000" w:themeColor="text1"/>
          </w:rPr>
          <w:fldChar w:fldCharType="end"/>
        </w:r>
      </w:hyperlink>
    </w:p>
    <w:p w14:paraId="05D4DADA" w14:textId="358C527E"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5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3, I&amp;E Exception No. 1, OCA Exception No. 4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_Toc38951757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48</w:t>
        </w:r>
        <w:r w:rsidR="00CF796C" w:rsidRPr="0029160A">
          <w:rPr>
            <w:noProof/>
            <w:webHidden/>
            <w:color w:val="000000" w:themeColor="text1"/>
          </w:rPr>
          <w:fldChar w:fldCharType="end"/>
        </w:r>
      </w:hyperlink>
    </w:p>
    <w:p w14:paraId="51DC9192" w14:textId="7BEA57C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5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_Toc38951758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51</w:t>
        </w:r>
        <w:r w:rsidR="00CF796C" w:rsidRPr="0029160A">
          <w:rPr>
            <w:noProof/>
            <w:webHidden/>
            <w:color w:val="000000" w:themeColor="text1"/>
          </w:rPr>
          <w:fldChar w:fldCharType="end"/>
        </w:r>
      </w:hyperlink>
    </w:p>
    <w:p w14:paraId="15C97D9A" w14:textId="2BD45991" w:rsidR="00CF796C" w:rsidRPr="0029160A" w:rsidRDefault="00822091" w:rsidP="008D64D3">
      <w:pPr>
        <w:pStyle w:val="TOC3"/>
        <w:rPr>
          <w:rFonts w:asciiTheme="minorHAnsi" w:eastAsiaTheme="minorEastAsia" w:hAnsiTheme="minorHAnsi" w:cstheme="minorBidi"/>
          <w:noProof/>
          <w:sz w:val="22"/>
          <w:szCs w:val="22"/>
        </w:rPr>
      </w:pPr>
      <w:hyperlink w:anchor="_Toc38951759" w:history="1">
        <w:r w:rsidR="00CF796C" w:rsidRPr="0029160A">
          <w:rPr>
            <w:rStyle w:val="Hyperlink"/>
            <w:noProof/>
            <w:color w:val="000000" w:themeColor="text1"/>
            <w14:scene3d>
              <w14:camera w14:prst="orthographicFront"/>
              <w14:lightRig w14:rig="threePt" w14:dir="t">
                <w14:rot w14:lat="0" w14:lon="0" w14:rev="0"/>
              </w14:lightRig>
            </w14:scene3d>
          </w:rPr>
          <w:t>6.</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Operations Supervision &amp; Maintenance      (Account 580)</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_Toc38951759 \h </w:instrText>
        </w:r>
        <w:r w:rsidR="00CF796C" w:rsidRPr="0029160A">
          <w:rPr>
            <w:noProof/>
            <w:webHidden/>
          </w:rPr>
        </w:r>
        <w:r w:rsidR="00CF796C" w:rsidRPr="0029160A">
          <w:rPr>
            <w:noProof/>
            <w:webHidden/>
          </w:rPr>
          <w:fldChar w:fldCharType="separate"/>
        </w:r>
        <w:r w:rsidR="002261B3">
          <w:rPr>
            <w:noProof/>
            <w:webHidden/>
          </w:rPr>
          <w:t>52</w:t>
        </w:r>
        <w:r w:rsidR="00CF796C" w:rsidRPr="0029160A">
          <w:rPr>
            <w:noProof/>
            <w:webHidden/>
          </w:rPr>
          <w:fldChar w:fldCharType="end"/>
        </w:r>
      </w:hyperlink>
    </w:p>
    <w:p w14:paraId="6DE432E4" w14:textId="2D03768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6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_Toc38951760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52</w:t>
        </w:r>
        <w:r w:rsidR="00CF796C" w:rsidRPr="0029160A">
          <w:rPr>
            <w:noProof/>
            <w:webHidden/>
            <w:color w:val="000000" w:themeColor="text1"/>
          </w:rPr>
          <w:fldChar w:fldCharType="end"/>
        </w:r>
      </w:hyperlink>
    </w:p>
    <w:p w14:paraId="66814CA3" w14:textId="70B2F5AA"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6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_Toc38951761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52</w:t>
        </w:r>
        <w:r w:rsidR="00CF796C" w:rsidRPr="0029160A">
          <w:rPr>
            <w:noProof/>
            <w:webHidden/>
            <w:color w:val="000000" w:themeColor="text1"/>
          </w:rPr>
          <w:fldChar w:fldCharType="end"/>
        </w:r>
      </w:hyperlink>
    </w:p>
    <w:p w14:paraId="0965F424" w14:textId="12519A77"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6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4, I&amp;E Exception No. 2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_Toc38951762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53</w:t>
        </w:r>
        <w:r w:rsidR="00CF796C" w:rsidRPr="0029160A">
          <w:rPr>
            <w:noProof/>
            <w:webHidden/>
            <w:color w:val="000000" w:themeColor="text1"/>
          </w:rPr>
          <w:fldChar w:fldCharType="end"/>
        </w:r>
      </w:hyperlink>
    </w:p>
    <w:p w14:paraId="2753C446" w14:textId="057DD48F"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6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_Toc38951763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55</w:t>
        </w:r>
        <w:r w:rsidR="00CF796C" w:rsidRPr="0029160A">
          <w:rPr>
            <w:noProof/>
            <w:webHidden/>
            <w:color w:val="000000" w:themeColor="text1"/>
          </w:rPr>
          <w:fldChar w:fldCharType="end"/>
        </w:r>
      </w:hyperlink>
    </w:p>
    <w:p w14:paraId="539D77F0" w14:textId="669F1074" w:rsidR="00CF796C" w:rsidRPr="0029160A" w:rsidRDefault="00822091" w:rsidP="008D64D3">
      <w:pPr>
        <w:pStyle w:val="TOC3"/>
        <w:rPr>
          <w:rFonts w:asciiTheme="minorHAnsi" w:eastAsiaTheme="minorEastAsia" w:hAnsiTheme="minorHAnsi" w:cstheme="minorBidi"/>
          <w:noProof/>
          <w:sz w:val="22"/>
          <w:szCs w:val="22"/>
        </w:rPr>
      </w:pPr>
      <w:hyperlink w:anchor="_Toc38951764" w:history="1">
        <w:r w:rsidR="00CF796C" w:rsidRPr="0029160A">
          <w:rPr>
            <w:rStyle w:val="Hyperlink"/>
            <w:noProof/>
            <w:color w:val="000000" w:themeColor="text1"/>
            <w14:scene3d>
              <w14:camera w14:prst="orthographicFront"/>
              <w14:lightRig w14:rig="threePt" w14:dir="t">
                <w14:rot w14:lat="0" w14:lon="0" w14:rev="0"/>
              </w14:lightRig>
            </w14:scene3d>
          </w:rPr>
          <w:t>7.</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Miscellaneous Distribution Expense (Account 588)</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_Toc38951764 \h </w:instrText>
        </w:r>
        <w:r w:rsidR="00CF796C" w:rsidRPr="0029160A">
          <w:rPr>
            <w:noProof/>
            <w:webHidden/>
          </w:rPr>
        </w:r>
        <w:r w:rsidR="00CF796C" w:rsidRPr="0029160A">
          <w:rPr>
            <w:noProof/>
            <w:webHidden/>
          </w:rPr>
          <w:fldChar w:fldCharType="separate"/>
        </w:r>
        <w:r w:rsidR="002261B3">
          <w:rPr>
            <w:noProof/>
            <w:webHidden/>
          </w:rPr>
          <w:t>56</w:t>
        </w:r>
        <w:r w:rsidR="00CF796C" w:rsidRPr="0029160A">
          <w:rPr>
            <w:noProof/>
            <w:webHidden/>
          </w:rPr>
          <w:fldChar w:fldCharType="end"/>
        </w:r>
      </w:hyperlink>
    </w:p>
    <w:p w14:paraId="5B0F091A" w14:textId="641388CF"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6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_Toc38951765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56</w:t>
        </w:r>
        <w:r w:rsidR="00CF796C" w:rsidRPr="0029160A">
          <w:rPr>
            <w:noProof/>
            <w:webHidden/>
            <w:color w:val="000000" w:themeColor="text1"/>
          </w:rPr>
          <w:fldChar w:fldCharType="end"/>
        </w:r>
      </w:hyperlink>
    </w:p>
    <w:p w14:paraId="6ADD1F42" w14:textId="7870A747"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6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_Toc38951766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57</w:t>
        </w:r>
        <w:r w:rsidR="00CF796C" w:rsidRPr="0029160A">
          <w:rPr>
            <w:noProof/>
            <w:webHidden/>
            <w:color w:val="000000" w:themeColor="text1"/>
          </w:rPr>
          <w:fldChar w:fldCharType="end"/>
        </w:r>
      </w:hyperlink>
    </w:p>
    <w:p w14:paraId="400507A2" w14:textId="4968E201"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6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5, OCA Exception No. 3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_Toc38951767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58</w:t>
        </w:r>
        <w:r w:rsidR="00CF796C" w:rsidRPr="0029160A">
          <w:rPr>
            <w:noProof/>
            <w:webHidden/>
            <w:color w:val="000000" w:themeColor="text1"/>
          </w:rPr>
          <w:fldChar w:fldCharType="end"/>
        </w:r>
      </w:hyperlink>
    </w:p>
    <w:p w14:paraId="1C02B7FB" w14:textId="0E06A2CC"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6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_Toc38951768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60</w:t>
        </w:r>
        <w:r w:rsidR="00CF796C" w:rsidRPr="0029160A">
          <w:rPr>
            <w:noProof/>
            <w:webHidden/>
            <w:color w:val="000000" w:themeColor="text1"/>
          </w:rPr>
          <w:fldChar w:fldCharType="end"/>
        </w:r>
      </w:hyperlink>
    </w:p>
    <w:p w14:paraId="2F58E1C4" w14:textId="2E21E112" w:rsidR="00CF796C" w:rsidRPr="0029160A" w:rsidRDefault="00822091" w:rsidP="008D64D3">
      <w:pPr>
        <w:pStyle w:val="TOC3"/>
        <w:rPr>
          <w:rFonts w:asciiTheme="minorHAnsi" w:eastAsiaTheme="minorEastAsia" w:hAnsiTheme="minorHAnsi" w:cstheme="minorBidi"/>
          <w:noProof/>
          <w:sz w:val="22"/>
          <w:szCs w:val="22"/>
        </w:rPr>
      </w:pPr>
      <w:hyperlink w:anchor="_Toc38951769" w:history="1">
        <w:r w:rsidR="00CF796C" w:rsidRPr="0029160A">
          <w:rPr>
            <w:rStyle w:val="Hyperlink"/>
            <w:noProof/>
            <w:color w:val="000000" w:themeColor="text1"/>
            <w14:scene3d>
              <w14:camera w14:prst="orthographicFront"/>
              <w14:lightRig w14:rig="threePt" w14:dir="t">
                <w14:rot w14:lat="0" w14:lon="0" w14:rev="0"/>
              </w14:lightRig>
            </w14:scene3d>
          </w:rPr>
          <w:t>8.</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Maintenance Supervision and Engineering  (Account 590)</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_Toc38951769 \h </w:instrText>
        </w:r>
        <w:r w:rsidR="00CF796C" w:rsidRPr="0029160A">
          <w:rPr>
            <w:noProof/>
            <w:webHidden/>
          </w:rPr>
        </w:r>
        <w:r w:rsidR="00CF796C" w:rsidRPr="0029160A">
          <w:rPr>
            <w:noProof/>
            <w:webHidden/>
          </w:rPr>
          <w:fldChar w:fldCharType="separate"/>
        </w:r>
        <w:r w:rsidR="002261B3">
          <w:rPr>
            <w:noProof/>
            <w:webHidden/>
          </w:rPr>
          <w:t>60</w:t>
        </w:r>
        <w:r w:rsidR="00CF796C" w:rsidRPr="0029160A">
          <w:rPr>
            <w:noProof/>
            <w:webHidden/>
          </w:rPr>
          <w:fldChar w:fldCharType="end"/>
        </w:r>
      </w:hyperlink>
    </w:p>
    <w:p w14:paraId="7FD9DDE9" w14:textId="551B2FA1"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7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_Toc38951770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60</w:t>
        </w:r>
        <w:r w:rsidR="00CF796C" w:rsidRPr="0029160A">
          <w:rPr>
            <w:noProof/>
            <w:webHidden/>
            <w:color w:val="000000" w:themeColor="text1"/>
          </w:rPr>
          <w:fldChar w:fldCharType="end"/>
        </w:r>
      </w:hyperlink>
    </w:p>
    <w:p w14:paraId="64233F4F" w14:textId="6D49D7AC"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7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_Toc38951771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61</w:t>
        </w:r>
        <w:r w:rsidR="00CF796C" w:rsidRPr="0029160A">
          <w:rPr>
            <w:noProof/>
            <w:webHidden/>
            <w:color w:val="000000" w:themeColor="text1"/>
          </w:rPr>
          <w:fldChar w:fldCharType="end"/>
        </w:r>
      </w:hyperlink>
    </w:p>
    <w:p w14:paraId="3740A9B8" w14:textId="727EAF7A"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7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6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_Toc38951772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62</w:t>
        </w:r>
        <w:r w:rsidR="00CF796C" w:rsidRPr="0029160A">
          <w:rPr>
            <w:noProof/>
            <w:webHidden/>
            <w:color w:val="000000" w:themeColor="text1"/>
          </w:rPr>
          <w:fldChar w:fldCharType="end"/>
        </w:r>
      </w:hyperlink>
    </w:p>
    <w:p w14:paraId="46BBC086" w14:textId="1523B4AC"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7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_Toc38951773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62</w:t>
        </w:r>
        <w:r w:rsidR="00CF796C" w:rsidRPr="0029160A">
          <w:rPr>
            <w:noProof/>
            <w:webHidden/>
            <w:color w:val="000000" w:themeColor="text1"/>
          </w:rPr>
          <w:fldChar w:fldCharType="end"/>
        </w:r>
      </w:hyperlink>
    </w:p>
    <w:p w14:paraId="2BD5B5DD" w14:textId="706F93A1" w:rsidR="00CF796C" w:rsidRPr="0029160A" w:rsidRDefault="00822091" w:rsidP="008D64D3">
      <w:pPr>
        <w:pStyle w:val="TOC3"/>
        <w:rPr>
          <w:rFonts w:asciiTheme="minorHAnsi" w:eastAsiaTheme="minorEastAsia" w:hAnsiTheme="minorHAnsi" w:cstheme="minorBidi"/>
          <w:noProof/>
          <w:sz w:val="22"/>
          <w:szCs w:val="22"/>
        </w:rPr>
      </w:pPr>
      <w:hyperlink w:anchor="_Toc38951774" w:history="1">
        <w:r w:rsidR="00CF796C" w:rsidRPr="0029160A">
          <w:rPr>
            <w:rStyle w:val="Hyperlink"/>
            <w:noProof/>
            <w:color w:val="000000" w:themeColor="text1"/>
            <w14:scene3d>
              <w14:camera w14:prst="orthographicFront"/>
              <w14:lightRig w14:rig="threePt" w14:dir="t">
                <w14:rot w14:lat="0" w14:lon="0" w14:rev="0"/>
              </w14:lightRig>
            </w14:scene3d>
          </w:rPr>
          <w:t>9.</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Safety and Communication (Account 908-913)</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_Toc38951774 \h </w:instrText>
        </w:r>
        <w:r w:rsidR="00CF796C" w:rsidRPr="0029160A">
          <w:rPr>
            <w:noProof/>
            <w:webHidden/>
          </w:rPr>
        </w:r>
        <w:r w:rsidR="00CF796C" w:rsidRPr="0029160A">
          <w:rPr>
            <w:noProof/>
            <w:webHidden/>
          </w:rPr>
          <w:fldChar w:fldCharType="separate"/>
        </w:r>
        <w:r w:rsidR="002261B3">
          <w:rPr>
            <w:noProof/>
            <w:webHidden/>
          </w:rPr>
          <w:t>63</w:t>
        </w:r>
        <w:r w:rsidR="00CF796C" w:rsidRPr="0029160A">
          <w:rPr>
            <w:noProof/>
            <w:webHidden/>
          </w:rPr>
          <w:fldChar w:fldCharType="end"/>
        </w:r>
      </w:hyperlink>
    </w:p>
    <w:p w14:paraId="40AEA951" w14:textId="4F6CC899"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7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_Toc38951775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63</w:t>
        </w:r>
        <w:r w:rsidR="00CF796C" w:rsidRPr="0029160A">
          <w:rPr>
            <w:noProof/>
            <w:webHidden/>
            <w:color w:val="000000" w:themeColor="text1"/>
          </w:rPr>
          <w:fldChar w:fldCharType="end"/>
        </w:r>
      </w:hyperlink>
    </w:p>
    <w:p w14:paraId="07A24D97" w14:textId="2D329754"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7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_Toc38951776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63</w:t>
        </w:r>
        <w:r w:rsidR="00CF796C" w:rsidRPr="0029160A">
          <w:rPr>
            <w:noProof/>
            <w:webHidden/>
            <w:color w:val="000000" w:themeColor="text1"/>
          </w:rPr>
          <w:fldChar w:fldCharType="end"/>
        </w:r>
      </w:hyperlink>
    </w:p>
    <w:p w14:paraId="78874011" w14:textId="34D90586" w:rsidR="00CF796C" w:rsidRPr="0029160A" w:rsidRDefault="00822091" w:rsidP="00CF796C">
      <w:pPr>
        <w:pStyle w:val="TOC4"/>
        <w:keepNext/>
        <w:tabs>
          <w:tab w:val="left" w:pos="2880"/>
        </w:tabs>
        <w:rPr>
          <w:rFonts w:asciiTheme="minorHAnsi" w:eastAsiaTheme="minorEastAsia" w:hAnsiTheme="minorHAnsi" w:cstheme="minorBidi"/>
          <w:noProof/>
          <w:color w:val="000000" w:themeColor="text1"/>
          <w:sz w:val="22"/>
          <w:szCs w:val="22"/>
        </w:rPr>
      </w:pPr>
      <w:hyperlink w:anchor="_Toc3895177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I&amp;E Exception No. 3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_Toc38951777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64</w:t>
        </w:r>
        <w:r w:rsidR="00CF796C" w:rsidRPr="0029160A">
          <w:rPr>
            <w:noProof/>
            <w:webHidden/>
            <w:color w:val="000000" w:themeColor="text1"/>
          </w:rPr>
          <w:fldChar w:fldCharType="end"/>
        </w:r>
      </w:hyperlink>
    </w:p>
    <w:p w14:paraId="77B1BE70" w14:textId="47BE2E50" w:rsidR="00CF796C" w:rsidRPr="0029160A" w:rsidRDefault="00822091" w:rsidP="00CF796C">
      <w:pPr>
        <w:pStyle w:val="TOC4"/>
        <w:keepNext/>
        <w:tabs>
          <w:tab w:val="left" w:pos="2880"/>
        </w:tabs>
        <w:rPr>
          <w:rFonts w:asciiTheme="minorHAnsi" w:eastAsiaTheme="minorEastAsia" w:hAnsiTheme="minorHAnsi" w:cstheme="minorBidi"/>
          <w:noProof/>
          <w:color w:val="000000" w:themeColor="text1"/>
          <w:sz w:val="22"/>
          <w:szCs w:val="22"/>
        </w:rPr>
      </w:pPr>
      <w:hyperlink w:anchor="_Toc3895177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_Toc38951778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65</w:t>
        </w:r>
        <w:r w:rsidR="00CF796C" w:rsidRPr="0029160A">
          <w:rPr>
            <w:noProof/>
            <w:webHidden/>
            <w:color w:val="000000" w:themeColor="text1"/>
          </w:rPr>
          <w:fldChar w:fldCharType="end"/>
        </w:r>
      </w:hyperlink>
    </w:p>
    <w:p w14:paraId="78E3CF09" w14:textId="311BED46" w:rsidR="00CF796C" w:rsidRPr="0029160A" w:rsidRDefault="00822091" w:rsidP="008D64D3">
      <w:pPr>
        <w:pStyle w:val="TOC3"/>
        <w:rPr>
          <w:rFonts w:asciiTheme="minorHAnsi" w:eastAsiaTheme="minorEastAsia" w:hAnsiTheme="minorHAnsi" w:cstheme="minorBidi"/>
          <w:noProof/>
          <w:sz w:val="22"/>
          <w:szCs w:val="22"/>
        </w:rPr>
      </w:pPr>
      <w:hyperlink w:anchor="_Toc38951779" w:history="1">
        <w:r w:rsidR="00CF796C" w:rsidRPr="0029160A">
          <w:rPr>
            <w:rStyle w:val="Hyperlink"/>
            <w:noProof/>
            <w:color w:val="000000" w:themeColor="text1"/>
            <w14:scene3d>
              <w14:camera w14:prst="orthographicFront"/>
              <w14:lightRig w14:rig="threePt" w14:dir="t">
                <w14:rot w14:lat="0" w14:lon="0" w14:rev="0"/>
              </w14:lightRig>
            </w14:scene3d>
          </w:rPr>
          <w:t>10.</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Office Supplies (Account 921)</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_Toc38951779 \h </w:instrText>
        </w:r>
        <w:r w:rsidR="00CF796C" w:rsidRPr="0029160A">
          <w:rPr>
            <w:noProof/>
            <w:webHidden/>
          </w:rPr>
        </w:r>
        <w:r w:rsidR="00CF796C" w:rsidRPr="0029160A">
          <w:rPr>
            <w:noProof/>
            <w:webHidden/>
          </w:rPr>
          <w:fldChar w:fldCharType="separate"/>
        </w:r>
        <w:r w:rsidR="002261B3">
          <w:rPr>
            <w:noProof/>
            <w:webHidden/>
          </w:rPr>
          <w:t>65</w:t>
        </w:r>
        <w:r w:rsidR="00CF796C" w:rsidRPr="0029160A">
          <w:rPr>
            <w:noProof/>
            <w:webHidden/>
          </w:rPr>
          <w:fldChar w:fldCharType="end"/>
        </w:r>
      </w:hyperlink>
    </w:p>
    <w:p w14:paraId="568A9251" w14:textId="65D86179"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8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_Toc38951780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65</w:t>
        </w:r>
        <w:r w:rsidR="00CF796C" w:rsidRPr="0029160A">
          <w:rPr>
            <w:noProof/>
            <w:webHidden/>
            <w:color w:val="000000" w:themeColor="text1"/>
          </w:rPr>
          <w:fldChar w:fldCharType="end"/>
        </w:r>
      </w:hyperlink>
    </w:p>
    <w:p w14:paraId="1D1C059E" w14:textId="28EFA514"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8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_Toc38951781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66</w:t>
        </w:r>
        <w:r w:rsidR="00CF796C" w:rsidRPr="0029160A">
          <w:rPr>
            <w:noProof/>
            <w:webHidden/>
            <w:color w:val="000000" w:themeColor="text1"/>
          </w:rPr>
          <w:fldChar w:fldCharType="end"/>
        </w:r>
      </w:hyperlink>
    </w:p>
    <w:p w14:paraId="57105038" w14:textId="736A3D5A"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8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I&amp;E Exception No. 4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_Toc38951782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67</w:t>
        </w:r>
        <w:r w:rsidR="00CF796C" w:rsidRPr="0029160A">
          <w:rPr>
            <w:noProof/>
            <w:webHidden/>
            <w:color w:val="000000" w:themeColor="text1"/>
          </w:rPr>
          <w:fldChar w:fldCharType="end"/>
        </w:r>
      </w:hyperlink>
    </w:p>
    <w:p w14:paraId="27E25BAC" w14:textId="7186E770"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8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_Toc38951783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68</w:t>
        </w:r>
        <w:r w:rsidR="00CF796C" w:rsidRPr="0029160A">
          <w:rPr>
            <w:noProof/>
            <w:webHidden/>
            <w:color w:val="000000" w:themeColor="text1"/>
          </w:rPr>
          <w:fldChar w:fldCharType="end"/>
        </w:r>
      </w:hyperlink>
    </w:p>
    <w:p w14:paraId="31E39B78" w14:textId="708F588B" w:rsidR="00CF796C" w:rsidRPr="0029160A" w:rsidRDefault="00822091" w:rsidP="008D64D3">
      <w:pPr>
        <w:pStyle w:val="TOC3"/>
        <w:rPr>
          <w:rFonts w:asciiTheme="minorHAnsi" w:eastAsiaTheme="minorEastAsia" w:hAnsiTheme="minorHAnsi" w:cstheme="minorBidi"/>
          <w:noProof/>
          <w:sz w:val="22"/>
          <w:szCs w:val="22"/>
        </w:rPr>
      </w:pPr>
      <w:hyperlink w:anchor="_Toc38951784" w:history="1">
        <w:r w:rsidR="00CF796C" w:rsidRPr="0029160A">
          <w:rPr>
            <w:rStyle w:val="Hyperlink"/>
            <w:noProof/>
            <w:color w:val="000000" w:themeColor="text1"/>
            <w14:scene3d>
              <w14:camera w14:prst="orthographicFront"/>
              <w14:lightRig w14:rig="threePt" w14:dir="t">
                <w14:rot w14:lat="0" w14:lon="0" w14:rev="0"/>
              </w14:lightRig>
            </w14:scene3d>
          </w:rPr>
          <w:t>11.</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Maintenance of General Property (Account 932)</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_Toc38951784 \h </w:instrText>
        </w:r>
        <w:r w:rsidR="00CF796C" w:rsidRPr="0029160A">
          <w:rPr>
            <w:noProof/>
            <w:webHidden/>
          </w:rPr>
        </w:r>
        <w:r w:rsidR="00CF796C" w:rsidRPr="0029160A">
          <w:rPr>
            <w:noProof/>
            <w:webHidden/>
          </w:rPr>
          <w:fldChar w:fldCharType="separate"/>
        </w:r>
        <w:r w:rsidR="002261B3">
          <w:rPr>
            <w:noProof/>
            <w:webHidden/>
          </w:rPr>
          <w:t>68</w:t>
        </w:r>
        <w:r w:rsidR="00CF796C" w:rsidRPr="0029160A">
          <w:rPr>
            <w:noProof/>
            <w:webHidden/>
          </w:rPr>
          <w:fldChar w:fldCharType="end"/>
        </w:r>
      </w:hyperlink>
    </w:p>
    <w:p w14:paraId="03D01719" w14:textId="5454900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8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_Toc38951785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68</w:t>
        </w:r>
        <w:r w:rsidR="00CF796C" w:rsidRPr="0029160A">
          <w:rPr>
            <w:noProof/>
            <w:webHidden/>
            <w:color w:val="000000" w:themeColor="text1"/>
          </w:rPr>
          <w:fldChar w:fldCharType="end"/>
        </w:r>
      </w:hyperlink>
    </w:p>
    <w:p w14:paraId="6112DF04" w14:textId="39B88CDE"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8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_Toc38951786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69</w:t>
        </w:r>
        <w:r w:rsidR="00CF796C" w:rsidRPr="0029160A">
          <w:rPr>
            <w:noProof/>
            <w:webHidden/>
            <w:color w:val="000000" w:themeColor="text1"/>
          </w:rPr>
          <w:fldChar w:fldCharType="end"/>
        </w:r>
      </w:hyperlink>
    </w:p>
    <w:p w14:paraId="2C027A7D" w14:textId="597F349B"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8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OCA Exception No. 5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_Toc38951787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69</w:t>
        </w:r>
        <w:r w:rsidR="00CF796C" w:rsidRPr="0029160A">
          <w:rPr>
            <w:noProof/>
            <w:webHidden/>
            <w:color w:val="000000" w:themeColor="text1"/>
          </w:rPr>
          <w:fldChar w:fldCharType="end"/>
        </w:r>
      </w:hyperlink>
    </w:p>
    <w:p w14:paraId="7621E5AC" w14:textId="4E130856"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8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_Toc38951788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70</w:t>
        </w:r>
        <w:r w:rsidR="00CF796C" w:rsidRPr="0029160A">
          <w:rPr>
            <w:noProof/>
            <w:webHidden/>
            <w:color w:val="000000" w:themeColor="text1"/>
          </w:rPr>
          <w:fldChar w:fldCharType="end"/>
        </w:r>
      </w:hyperlink>
    </w:p>
    <w:p w14:paraId="0D74F6A4" w14:textId="17D52FFE" w:rsidR="00CF796C" w:rsidRPr="0029160A" w:rsidRDefault="00822091" w:rsidP="008D64D3">
      <w:pPr>
        <w:pStyle w:val="TOC3"/>
        <w:rPr>
          <w:rFonts w:asciiTheme="minorHAnsi" w:eastAsiaTheme="minorEastAsia" w:hAnsiTheme="minorHAnsi" w:cstheme="minorBidi"/>
          <w:noProof/>
          <w:sz w:val="22"/>
          <w:szCs w:val="22"/>
        </w:rPr>
      </w:pPr>
      <w:hyperlink w:anchor="_Toc38951789" w:history="1">
        <w:r w:rsidR="00CF796C" w:rsidRPr="0029160A">
          <w:rPr>
            <w:rStyle w:val="Hyperlink"/>
            <w:noProof/>
            <w:color w:val="000000" w:themeColor="text1"/>
            <w14:scene3d>
              <w14:camera w14:prst="orthographicFront"/>
              <w14:lightRig w14:rig="threePt" w14:dir="t">
                <w14:rot w14:lat="0" w14:lon="0" w14:rev="0"/>
              </w14:lightRig>
            </w14:scene3d>
          </w:rPr>
          <w:t>12.</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Expenses:  Rate Case Expense</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_Toc38951789 \h </w:instrText>
        </w:r>
        <w:r w:rsidR="00CF796C" w:rsidRPr="0029160A">
          <w:rPr>
            <w:noProof/>
            <w:webHidden/>
          </w:rPr>
        </w:r>
        <w:r w:rsidR="00CF796C" w:rsidRPr="0029160A">
          <w:rPr>
            <w:noProof/>
            <w:webHidden/>
          </w:rPr>
          <w:fldChar w:fldCharType="separate"/>
        </w:r>
        <w:r w:rsidR="002261B3">
          <w:rPr>
            <w:noProof/>
            <w:webHidden/>
          </w:rPr>
          <w:t>70</w:t>
        </w:r>
        <w:r w:rsidR="00CF796C" w:rsidRPr="0029160A">
          <w:rPr>
            <w:noProof/>
            <w:webHidden/>
          </w:rPr>
          <w:fldChar w:fldCharType="end"/>
        </w:r>
      </w:hyperlink>
    </w:p>
    <w:p w14:paraId="5B26AE7E" w14:textId="313C8E71"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9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_Toc38951790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70</w:t>
        </w:r>
        <w:r w:rsidR="00CF796C" w:rsidRPr="0029160A">
          <w:rPr>
            <w:noProof/>
            <w:webHidden/>
            <w:color w:val="000000" w:themeColor="text1"/>
          </w:rPr>
          <w:fldChar w:fldCharType="end"/>
        </w:r>
      </w:hyperlink>
    </w:p>
    <w:p w14:paraId="76010B76" w14:textId="2B66584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9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_Toc38951791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71</w:t>
        </w:r>
        <w:r w:rsidR="00CF796C" w:rsidRPr="0029160A">
          <w:rPr>
            <w:noProof/>
            <w:webHidden/>
            <w:color w:val="000000" w:themeColor="text1"/>
          </w:rPr>
          <w:fldChar w:fldCharType="end"/>
        </w:r>
      </w:hyperlink>
    </w:p>
    <w:p w14:paraId="21219917" w14:textId="5A35A171"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9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I&amp;E Exception No. 5, OCA Exception No. 6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_Toc38951792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71</w:t>
        </w:r>
        <w:r w:rsidR="00CF796C" w:rsidRPr="0029160A">
          <w:rPr>
            <w:noProof/>
            <w:webHidden/>
            <w:color w:val="000000" w:themeColor="text1"/>
          </w:rPr>
          <w:fldChar w:fldCharType="end"/>
        </w:r>
      </w:hyperlink>
    </w:p>
    <w:p w14:paraId="20FADE80" w14:textId="6F242568"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9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_Toc38951793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72</w:t>
        </w:r>
        <w:r w:rsidR="00CF796C" w:rsidRPr="0029160A">
          <w:rPr>
            <w:noProof/>
            <w:webHidden/>
            <w:color w:val="000000" w:themeColor="text1"/>
          </w:rPr>
          <w:fldChar w:fldCharType="end"/>
        </w:r>
      </w:hyperlink>
    </w:p>
    <w:p w14:paraId="5336917E" w14:textId="3E98D7FC" w:rsidR="00CF796C" w:rsidRPr="0029160A" w:rsidRDefault="00822091" w:rsidP="008D64D3">
      <w:pPr>
        <w:pStyle w:val="TOC3"/>
        <w:rPr>
          <w:rFonts w:asciiTheme="minorHAnsi" w:eastAsiaTheme="minorEastAsia" w:hAnsiTheme="minorHAnsi" w:cstheme="minorBidi"/>
          <w:noProof/>
          <w:sz w:val="22"/>
          <w:szCs w:val="22"/>
        </w:rPr>
      </w:pPr>
      <w:hyperlink w:anchor="_Toc38951794" w:history="1">
        <w:r w:rsidR="00CF796C" w:rsidRPr="0029160A">
          <w:rPr>
            <w:rStyle w:val="Hyperlink"/>
            <w:noProof/>
            <w:color w:val="000000" w:themeColor="text1"/>
            <w14:scene3d>
              <w14:camera w14:prst="orthographicFront"/>
              <w14:lightRig w14:rig="threePt" w14:dir="t">
                <w14:rot w14:lat="0" w14:lon="0" w14:rev="0"/>
              </w14:lightRig>
            </w14:scene3d>
          </w:rPr>
          <w:t>13.</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of Return:  Primary Methodology to Determine ROE</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_Toc38951794 \h </w:instrText>
        </w:r>
        <w:r w:rsidR="00CF796C" w:rsidRPr="0029160A">
          <w:rPr>
            <w:noProof/>
            <w:webHidden/>
          </w:rPr>
        </w:r>
        <w:r w:rsidR="00CF796C" w:rsidRPr="0029160A">
          <w:rPr>
            <w:noProof/>
            <w:webHidden/>
          </w:rPr>
          <w:fldChar w:fldCharType="separate"/>
        </w:r>
        <w:r w:rsidR="002261B3">
          <w:rPr>
            <w:noProof/>
            <w:webHidden/>
          </w:rPr>
          <w:t>74</w:t>
        </w:r>
        <w:r w:rsidR="00CF796C" w:rsidRPr="0029160A">
          <w:rPr>
            <w:noProof/>
            <w:webHidden/>
          </w:rPr>
          <w:fldChar w:fldCharType="end"/>
        </w:r>
      </w:hyperlink>
    </w:p>
    <w:p w14:paraId="6F786311" w14:textId="679687F8"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9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_Toc38951795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74</w:t>
        </w:r>
        <w:r w:rsidR="00CF796C" w:rsidRPr="0029160A">
          <w:rPr>
            <w:noProof/>
            <w:webHidden/>
            <w:color w:val="000000" w:themeColor="text1"/>
          </w:rPr>
          <w:fldChar w:fldCharType="end"/>
        </w:r>
      </w:hyperlink>
    </w:p>
    <w:p w14:paraId="787D6A46" w14:textId="1A8E82A5"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9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_Toc38951796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75</w:t>
        </w:r>
        <w:r w:rsidR="00CF796C" w:rsidRPr="0029160A">
          <w:rPr>
            <w:noProof/>
            <w:webHidden/>
            <w:color w:val="000000" w:themeColor="text1"/>
          </w:rPr>
          <w:fldChar w:fldCharType="end"/>
        </w:r>
      </w:hyperlink>
    </w:p>
    <w:p w14:paraId="7E62FD3B" w14:textId="12CD308A"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9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7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_Toc38951797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76</w:t>
        </w:r>
        <w:r w:rsidR="00CF796C" w:rsidRPr="0029160A">
          <w:rPr>
            <w:noProof/>
            <w:webHidden/>
            <w:color w:val="000000" w:themeColor="text1"/>
          </w:rPr>
          <w:fldChar w:fldCharType="end"/>
        </w:r>
      </w:hyperlink>
    </w:p>
    <w:p w14:paraId="3699BFBD" w14:textId="7AE47774"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79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_Toc38951798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80</w:t>
        </w:r>
        <w:r w:rsidR="00CF796C" w:rsidRPr="0029160A">
          <w:rPr>
            <w:noProof/>
            <w:webHidden/>
            <w:color w:val="000000" w:themeColor="text1"/>
          </w:rPr>
          <w:fldChar w:fldCharType="end"/>
        </w:r>
      </w:hyperlink>
    </w:p>
    <w:p w14:paraId="435D8083" w14:textId="66AD502A" w:rsidR="00CF796C" w:rsidRPr="0029160A" w:rsidRDefault="00822091" w:rsidP="008D64D3">
      <w:pPr>
        <w:pStyle w:val="TOC3"/>
        <w:rPr>
          <w:rFonts w:asciiTheme="minorHAnsi" w:eastAsiaTheme="minorEastAsia" w:hAnsiTheme="minorHAnsi" w:cstheme="minorBidi"/>
          <w:noProof/>
          <w:sz w:val="22"/>
          <w:szCs w:val="22"/>
        </w:rPr>
      </w:pPr>
      <w:hyperlink w:anchor="_Toc38951799" w:history="1">
        <w:r w:rsidR="00CF796C" w:rsidRPr="0029160A">
          <w:rPr>
            <w:rStyle w:val="Hyperlink"/>
            <w:noProof/>
            <w:color w:val="000000" w:themeColor="text1"/>
            <w14:scene3d>
              <w14:camera w14:prst="orthographicFront"/>
              <w14:lightRig w14:rig="threePt" w14:dir="t">
                <w14:rot w14:lat="0" w14:lon="0" w14:rev="0"/>
              </w14:lightRig>
            </w14:scene3d>
          </w:rPr>
          <w:t>14.</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of Return:  Size Risk Adjustment to ROE</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_Toc38951799 \h </w:instrText>
        </w:r>
        <w:r w:rsidR="00CF796C" w:rsidRPr="0029160A">
          <w:rPr>
            <w:noProof/>
            <w:webHidden/>
          </w:rPr>
        </w:r>
        <w:r w:rsidR="00CF796C" w:rsidRPr="0029160A">
          <w:rPr>
            <w:noProof/>
            <w:webHidden/>
          </w:rPr>
          <w:fldChar w:fldCharType="separate"/>
        </w:r>
        <w:r w:rsidR="002261B3">
          <w:rPr>
            <w:noProof/>
            <w:webHidden/>
          </w:rPr>
          <w:t>82</w:t>
        </w:r>
        <w:r w:rsidR="00CF796C" w:rsidRPr="0029160A">
          <w:rPr>
            <w:noProof/>
            <w:webHidden/>
          </w:rPr>
          <w:fldChar w:fldCharType="end"/>
        </w:r>
      </w:hyperlink>
    </w:p>
    <w:p w14:paraId="75180D09" w14:textId="0CEE5781"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0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_Toc38951800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82</w:t>
        </w:r>
        <w:r w:rsidR="00CF796C" w:rsidRPr="0029160A">
          <w:rPr>
            <w:noProof/>
            <w:webHidden/>
            <w:color w:val="000000" w:themeColor="text1"/>
          </w:rPr>
          <w:fldChar w:fldCharType="end"/>
        </w:r>
      </w:hyperlink>
    </w:p>
    <w:p w14:paraId="36B8FE3E" w14:textId="3E556640"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0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_Toc38951801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82</w:t>
        </w:r>
        <w:r w:rsidR="00CF796C" w:rsidRPr="0029160A">
          <w:rPr>
            <w:noProof/>
            <w:webHidden/>
            <w:color w:val="000000" w:themeColor="text1"/>
          </w:rPr>
          <w:fldChar w:fldCharType="end"/>
        </w:r>
      </w:hyperlink>
    </w:p>
    <w:p w14:paraId="71FE609E" w14:textId="5E558728"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0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8, I&amp;E Exception No. 6, OCA Exception No. 7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_Toc38951802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83</w:t>
        </w:r>
        <w:r w:rsidR="00CF796C" w:rsidRPr="0029160A">
          <w:rPr>
            <w:noProof/>
            <w:webHidden/>
            <w:color w:val="000000" w:themeColor="text1"/>
          </w:rPr>
          <w:fldChar w:fldCharType="end"/>
        </w:r>
      </w:hyperlink>
    </w:p>
    <w:p w14:paraId="46CD9445" w14:textId="2C653EB8"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0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_Toc38951803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86</w:t>
        </w:r>
        <w:r w:rsidR="00CF796C" w:rsidRPr="0029160A">
          <w:rPr>
            <w:noProof/>
            <w:webHidden/>
            <w:color w:val="000000" w:themeColor="text1"/>
          </w:rPr>
          <w:fldChar w:fldCharType="end"/>
        </w:r>
      </w:hyperlink>
    </w:p>
    <w:p w14:paraId="57BDF31B" w14:textId="52EE8E98" w:rsidR="00CF796C" w:rsidRPr="0029160A" w:rsidRDefault="00822091" w:rsidP="008D64D3">
      <w:pPr>
        <w:pStyle w:val="TOC3"/>
        <w:rPr>
          <w:rFonts w:asciiTheme="minorHAnsi" w:eastAsiaTheme="minorEastAsia" w:hAnsiTheme="minorHAnsi" w:cstheme="minorBidi"/>
          <w:noProof/>
          <w:sz w:val="22"/>
          <w:szCs w:val="22"/>
        </w:rPr>
      </w:pPr>
      <w:hyperlink w:anchor="_Toc38951804" w:history="1">
        <w:r w:rsidR="00CF796C" w:rsidRPr="0029160A">
          <w:rPr>
            <w:rStyle w:val="Hyperlink"/>
            <w:noProof/>
            <w:color w:val="000000" w:themeColor="text1"/>
            <w14:scene3d>
              <w14:camera w14:prst="orthographicFront"/>
              <w14:lightRig w14:rig="threePt" w14:dir="t">
                <w14:rot w14:lat="0" w14:lon="0" w14:rev="0"/>
              </w14:lightRig>
            </w14:scene3d>
          </w:rPr>
          <w:t>15.</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of Return:  Management Effectiveness Adjustment to ROE</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_Toc38951804 \h </w:instrText>
        </w:r>
        <w:r w:rsidR="00CF796C" w:rsidRPr="0029160A">
          <w:rPr>
            <w:noProof/>
            <w:webHidden/>
          </w:rPr>
        </w:r>
        <w:r w:rsidR="00CF796C" w:rsidRPr="0029160A">
          <w:rPr>
            <w:noProof/>
            <w:webHidden/>
          </w:rPr>
          <w:fldChar w:fldCharType="separate"/>
        </w:r>
        <w:r w:rsidR="002261B3">
          <w:rPr>
            <w:noProof/>
            <w:webHidden/>
          </w:rPr>
          <w:t>88</w:t>
        </w:r>
        <w:r w:rsidR="00CF796C" w:rsidRPr="0029160A">
          <w:rPr>
            <w:noProof/>
            <w:webHidden/>
          </w:rPr>
          <w:fldChar w:fldCharType="end"/>
        </w:r>
      </w:hyperlink>
    </w:p>
    <w:p w14:paraId="2D243D0F" w14:textId="6F494946"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0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_Toc38951805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88</w:t>
        </w:r>
        <w:r w:rsidR="00CF796C" w:rsidRPr="0029160A">
          <w:rPr>
            <w:noProof/>
            <w:webHidden/>
            <w:color w:val="000000" w:themeColor="text1"/>
          </w:rPr>
          <w:fldChar w:fldCharType="end"/>
        </w:r>
      </w:hyperlink>
    </w:p>
    <w:p w14:paraId="624731A7" w14:textId="5F82EB6D"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0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_Toc38951806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88</w:t>
        </w:r>
        <w:r w:rsidR="00CF796C" w:rsidRPr="0029160A">
          <w:rPr>
            <w:noProof/>
            <w:webHidden/>
            <w:color w:val="000000" w:themeColor="text1"/>
          </w:rPr>
          <w:fldChar w:fldCharType="end"/>
        </w:r>
      </w:hyperlink>
    </w:p>
    <w:p w14:paraId="6048BF43" w14:textId="488D1BB9" w:rsidR="00CF796C" w:rsidRPr="0029160A" w:rsidRDefault="00822091" w:rsidP="00CF796C">
      <w:pPr>
        <w:pStyle w:val="TOC4"/>
        <w:keepNext/>
        <w:tabs>
          <w:tab w:val="left" w:pos="2880"/>
        </w:tabs>
        <w:rPr>
          <w:rFonts w:asciiTheme="minorHAnsi" w:eastAsiaTheme="minorEastAsia" w:hAnsiTheme="minorHAnsi" w:cstheme="minorBidi"/>
          <w:noProof/>
          <w:color w:val="000000" w:themeColor="text1"/>
          <w:sz w:val="22"/>
          <w:szCs w:val="22"/>
        </w:rPr>
      </w:pPr>
      <w:hyperlink w:anchor="_Toc3895180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I&amp;E Exception No. 7, OCA Exception No. 8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_Toc38951807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90</w:t>
        </w:r>
        <w:r w:rsidR="00CF796C" w:rsidRPr="0029160A">
          <w:rPr>
            <w:noProof/>
            <w:webHidden/>
            <w:color w:val="000000" w:themeColor="text1"/>
          </w:rPr>
          <w:fldChar w:fldCharType="end"/>
        </w:r>
      </w:hyperlink>
    </w:p>
    <w:p w14:paraId="61DE673F" w14:textId="48E10650" w:rsidR="00CF796C" w:rsidRPr="0029160A" w:rsidRDefault="00822091" w:rsidP="00CF796C">
      <w:pPr>
        <w:pStyle w:val="TOC4"/>
        <w:keepNext/>
        <w:tabs>
          <w:tab w:val="left" w:pos="2880"/>
        </w:tabs>
        <w:rPr>
          <w:rFonts w:asciiTheme="minorHAnsi" w:eastAsiaTheme="minorEastAsia" w:hAnsiTheme="minorHAnsi" w:cstheme="minorBidi"/>
          <w:noProof/>
          <w:color w:val="000000" w:themeColor="text1"/>
          <w:sz w:val="22"/>
          <w:szCs w:val="22"/>
        </w:rPr>
      </w:pPr>
      <w:hyperlink w:anchor="_Toc3895180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_Toc38951808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91</w:t>
        </w:r>
        <w:r w:rsidR="00CF796C" w:rsidRPr="0029160A">
          <w:rPr>
            <w:noProof/>
            <w:webHidden/>
            <w:color w:val="000000" w:themeColor="text1"/>
          </w:rPr>
          <w:fldChar w:fldCharType="end"/>
        </w:r>
      </w:hyperlink>
    </w:p>
    <w:p w14:paraId="2C2BCA08" w14:textId="78A4719C" w:rsidR="00CF796C" w:rsidRPr="0029160A" w:rsidRDefault="00822091" w:rsidP="008D64D3">
      <w:pPr>
        <w:pStyle w:val="TOC3"/>
        <w:rPr>
          <w:rFonts w:asciiTheme="minorHAnsi" w:eastAsiaTheme="minorEastAsia" w:hAnsiTheme="minorHAnsi" w:cstheme="minorBidi"/>
          <w:noProof/>
          <w:sz w:val="22"/>
          <w:szCs w:val="22"/>
        </w:rPr>
      </w:pPr>
      <w:hyperlink w:anchor="_Toc38951809" w:history="1">
        <w:r w:rsidR="00CF796C" w:rsidRPr="0029160A">
          <w:rPr>
            <w:rStyle w:val="Hyperlink"/>
            <w:noProof/>
            <w:color w:val="000000" w:themeColor="text1"/>
            <w14:scene3d>
              <w14:camera w14:prst="orthographicFront"/>
              <w14:lightRig w14:rig="threePt" w14:dir="t">
                <w14:rot w14:lat="0" w14:lon="0" w14:rev="0"/>
              </w14:lightRig>
            </w14:scene3d>
          </w:rPr>
          <w:t>16.</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Structure:  Allocated Class Cost of Service Study</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_Toc38951809 \h </w:instrText>
        </w:r>
        <w:r w:rsidR="00CF796C" w:rsidRPr="0029160A">
          <w:rPr>
            <w:noProof/>
            <w:webHidden/>
          </w:rPr>
        </w:r>
        <w:r w:rsidR="00CF796C" w:rsidRPr="0029160A">
          <w:rPr>
            <w:noProof/>
            <w:webHidden/>
          </w:rPr>
          <w:fldChar w:fldCharType="separate"/>
        </w:r>
        <w:r w:rsidR="002261B3">
          <w:rPr>
            <w:noProof/>
            <w:webHidden/>
          </w:rPr>
          <w:t>94</w:t>
        </w:r>
        <w:r w:rsidR="00CF796C" w:rsidRPr="0029160A">
          <w:rPr>
            <w:noProof/>
            <w:webHidden/>
          </w:rPr>
          <w:fldChar w:fldCharType="end"/>
        </w:r>
      </w:hyperlink>
    </w:p>
    <w:p w14:paraId="26F26F32" w14:textId="4D85383E"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1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_Toc38951810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94</w:t>
        </w:r>
        <w:r w:rsidR="00CF796C" w:rsidRPr="0029160A">
          <w:rPr>
            <w:noProof/>
            <w:webHidden/>
            <w:color w:val="000000" w:themeColor="text1"/>
          </w:rPr>
          <w:fldChar w:fldCharType="end"/>
        </w:r>
      </w:hyperlink>
    </w:p>
    <w:p w14:paraId="3DA0A648" w14:textId="3B2130F3"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1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_Toc38951811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96</w:t>
        </w:r>
        <w:r w:rsidR="00CF796C" w:rsidRPr="0029160A">
          <w:rPr>
            <w:noProof/>
            <w:webHidden/>
            <w:color w:val="000000" w:themeColor="text1"/>
          </w:rPr>
          <w:fldChar w:fldCharType="end"/>
        </w:r>
      </w:hyperlink>
    </w:p>
    <w:p w14:paraId="5717FF2E" w14:textId="08E9DBF2"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1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OCA Exception No. 9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_Toc38951812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97</w:t>
        </w:r>
        <w:r w:rsidR="00CF796C" w:rsidRPr="0029160A">
          <w:rPr>
            <w:noProof/>
            <w:webHidden/>
            <w:color w:val="000000" w:themeColor="text1"/>
          </w:rPr>
          <w:fldChar w:fldCharType="end"/>
        </w:r>
      </w:hyperlink>
    </w:p>
    <w:p w14:paraId="4EA57E8C" w14:textId="4C7F54A1"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1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_Toc38951813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101</w:t>
        </w:r>
        <w:r w:rsidR="00CF796C" w:rsidRPr="0029160A">
          <w:rPr>
            <w:noProof/>
            <w:webHidden/>
            <w:color w:val="000000" w:themeColor="text1"/>
          </w:rPr>
          <w:fldChar w:fldCharType="end"/>
        </w:r>
      </w:hyperlink>
    </w:p>
    <w:p w14:paraId="3DF49DD9" w14:textId="30DAD71D" w:rsidR="00CF796C" w:rsidRPr="0029160A" w:rsidRDefault="00822091" w:rsidP="008D64D3">
      <w:pPr>
        <w:pStyle w:val="TOC3"/>
        <w:rPr>
          <w:rFonts w:asciiTheme="minorHAnsi" w:eastAsiaTheme="minorEastAsia" w:hAnsiTheme="minorHAnsi" w:cstheme="minorBidi"/>
          <w:noProof/>
          <w:sz w:val="22"/>
          <w:szCs w:val="22"/>
        </w:rPr>
      </w:pPr>
      <w:hyperlink w:anchor="_Toc38951814" w:history="1">
        <w:r w:rsidR="00CF796C" w:rsidRPr="0029160A">
          <w:rPr>
            <w:rStyle w:val="Hyperlink"/>
            <w:noProof/>
            <w:color w:val="000000" w:themeColor="text1"/>
            <w14:scene3d>
              <w14:camera w14:prst="orthographicFront"/>
              <w14:lightRig w14:rig="threePt" w14:dir="t">
                <w14:rot w14:lat="0" w14:lon="0" w14:rev="0"/>
              </w14:lightRig>
            </w14:scene3d>
          </w:rPr>
          <w:t>17.</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Structure:  Revenue Allocation</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_Toc38951814 \h </w:instrText>
        </w:r>
        <w:r w:rsidR="00CF796C" w:rsidRPr="0029160A">
          <w:rPr>
            <w:noProof/>
            <w:webHidden/>
          </w:rPr>
        </w:r>
        <w:r w:rsidR="00CF796C" w:rsidRPr="0029160A">
          <w:rPr>
            <w:noProof/>
            <w:webHidden/>
          </w:rPr>
          <w:fldChar w:fldCharType="separate"/>
        </w:r>
        <w:r w:rsidR="002261B3">
          <w:rPr>
            <w:noProof/>
            <w:webHidden/>
          </w:rPr>
          <w:t>103</w:t>
        </w:r>
        <w:r w:rsidR="00CF796C" w:rsidRPr="0029160A">
          <w:rPr>
            <w:noProof/>
            <w:webHidden/>
          </w:rPr>
          <w:fldChar w:fldCharType="end"/>
        </w:r>
      </w:hyperlink>
    </w:p>
    <w:p w14:paraId="6C585144" w14:textId="4FE1B540"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1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_Toc38951815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103</w:t>
        </w:r>
        <w:r w:rsidR="00CF796C" w:rsidRPr="0029160A">
          <w:rPr>
            <w:noProof/>
            <w:webHidden/>
            <w:color w:val="000000" w:themeColor="text1"/>
          </w:rPr>
          <w:fldChar w:fldCharType="end"/>
        </w:r>
      </w:hyperlink>
    </w:p>
    <w:p w14:paraId="133289D4" w14:textId="2CA4903A"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1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_Toc38951816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105</w:t>
        </w:r>
        <w:r w:rsidR="00CF796C" w:rsidRPr="0029160A">
          <w:rPr>
            <w:noProof/>
            <w:webHidden/>
            <w:color w:val="000000" w:themeColor="text1"/>
          </w:rPr>
          <w:fldChar w:fldCharType="end"/>
        </w:r>
      </w:hyperlink>
    </w:p>
    <w:p w14:paraId="14DE41B1" w14:textId="1EF2DA9B"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1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9, OCA Exception No. 10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_Toc38951817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107</w:t>
        </w:r>
        <w:r w:rsidR="00CF796C" w:rsidRPr="0029160A">
          <w:rPr>
            <w:noProof/>
            <w:webHidden/>
            <w:color w:val="000000" w:themeColor="text1"/>
          </w:rPr>
          <w:fldChar w:fldCharType="end"/>
        </w:r>
      </w:hyperlink>
    </w:p>
    <w:p w14:paraId="2D8AD534" w14:textId="0B21C6E4"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1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_Toc38951818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110</w:t>
        </w:r>
        <w:r w:rsidR="00CF796C" w:rsidRPr="0029160A">
          <w:rPr>
            <w:noProof/>
            <w:webHidden/>
            <w:color w:val="000000" w:themeColor="text1"/>
          </w:rPr>
          <w:fldChar w:fldCharType="end"/>
        </w:r>
      </w:hyperlink>
    </w:p>
    <w:p w14:paraId="422204AE" w14:textId="58CDE699" w:rsidR="00CF796C" w:rsidRPr="0029160A" w:rsidRDefault="00822091" w:rsidP="008D64D3">
      <w:pPr>
        <w:pStyle w:val="TOC3"/>
        <w:rPr>
          <w:rFonts w:asciiTheme="minorHAnsi" w:eastAsiaTheme="minorEastAsia" w:hAnsiTheme="minorHAnsi" w:cstheme="minorBidi"/>
          <w:noProof/>
          <w:sz w:val="22"/>
          <w:szCs w:val="22"/>
        </w:rPr>
      </w:pPr>
      <w:hyperlink w:anchor="_Toc38951819" w:history="1">
        <w:r w:rsidR="00CF796C" w:rsidRPr="0029160A">
          <w:rPr>
            <w:rStyle w:val="Hyperlink"/>
            <w:noProof/>
            <w:color w:val="000000" w:themeColor="text1"/>
            <w14:scene3d>
              <w14:camera w14:prst="orthographicFront"/>
              <w14:lightRig w14:rig="threePt" w14:dir="t">
                <w14:rot w14:lat="0" w14:lon="0" w14:rev="0"/>
              </w14:lightRig>
            </w14:scene3d>
          </w:rPr>
          <w:t>18.</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Rate Structure:  Rate Design</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_Toc38951819 \h </w:instrText>
        </w:r>
        <w:r w:rsidR="00CF796C" w:rsidRPr="0029160A">
          <w:rPr>
            <w:noProof/>
            <w:webHidden/>
          </w:rPr>
        </w:r>
        <w:r w:rsidR="00CF796C" w:rsidRPr="0029160A">
          <w:rPr>
            <w:noProof/>
            <w:webHidden/>
          </w:rPr>
          <w:fldChar w:fldCharType="separate"/>
        </w:r>
        <w:r w:rsidR="002261B3">
          <w:rPr>
            <w:noProof/>
            <w:webHidden/>
          </w:rPr>
          <w:t>111</w:t>
        </w:r>
        <w:r w:rsidR="00CF796C" w:rsidRPr="0029160A">
          <w:rPr>
            <w:noProof/>
            <w:webHidden/>
          </w:rPr>
          <w:fldChar w:fldCharType="end"/>
        </w:r>
      </w:hyperlink>
    </w:p>
    <w:p w14:paraId="2E1A6A6B" w14:textId="203FDDD4"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20"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111</w:t>
        </w:r>
        <w:r w:rsidR="00CF796C" w:rsidRPr="0029160A">
          <w:rPr>
            <w:noProof/>
            <w:webHidden/>
            <w:color w:val="000000" w:themeColor="text1"/>
          </w:rPr>
          <w:fldChar w:fldCharType="end"/>
        </w:r>
      </w:hyperlink>
    </w:p>
    <w:p w14:paraId="4671513B" w14:textId="6F818F26"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21"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_Toc38951821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114</w:t>
        </w:r>
        <w:r w:rsidR="00CF796C" w:rsidRPr="0029160A">
          <w:rPr>
            <w:noProof/>
            <w:webHidden/>
            <w:color w:val="000000" w:themeColor="text1"/>
          </w:rPr>
          <w:fldChar w:fldCharType="end"/>
        </w:r>
      </w:hyperlink>
    </w:p>
    <w:p w14:paraId="04460D6B" w14:textId="1B11952B"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22"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Wellsboro Exception No. 10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_Toc38951822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115</w:t>
        </w:r>
        <w:r w:rsidR="00CF796C" w:rsidRPr="0029160A">
          <w:rPr>
            <w:noProof/>
            <w:webHidden/>
            <w:color w:val="000000" w:themeColor="text1"/>
          </w:rPr>
          <w:fldChar w:fldCharType="end"/>
        </w:r>
      </w:hyperlink>
    </w:p>
    <w:p w14:paraId="0E7D7234" w14:textId="2EB9A59C"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23"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_Toc38951823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117</w:t>
        </w:r>
        <w:r w:rsidR="00CF796C" w:rsidRPr="0029160A">
          <w:rPr>
            <w:noProof/>
            <w:webHidden/>
            <w:color w:val="000000" w:themeColor="text1"/>
          </w:rPr>
          <w:fldChar w:fldCharType="end"/>
        </w:r>
      </w:hyperlink>
    </w:p>
    <w:p w14:paraId="7D92EE6F" w14:textId="2FA48758" w:rsidR="00CF796C" w:rsidRPr="0029160A" w:rsidRDefault="00822091" w:rsidP="008D64D3">
      <w:pPr>
        <w:pStyle w:val="TOC3"/>
        <w:rPr>
          <w:rFonts w:asciiTheme="minorHAnsi" w:eastAsiaTheme="minorEastAsia" w:hAnsiTheme="minorHAnsi" w:cstheme="minorBidi"/>
          <w:noProof/>
          <w:sz w:val="22"/>
          <w:szCs w:val="22"/>
        </w:rPr>
      </w:pPr>
      <w:hyperlink w:anchor="_Toc38951824" w:history="1">
        <w:r w:rsidR="00CF796C" w:rsidRPr="0029160A">
          <w:rPr>
            <w:rStyle w:val="Hyperlink"/>
            <w:noProof/>
            <w:color w:val="000000" w:themeColor="text1"/>
            <w14:scene3d>
              <w14:camera w14:prst="orthographicFront"/>
              <w14:lightRig w14:rig="threePt" w14:dir="t">
                <w14:rot w14:lat="0" w14:lon="0" w14:rev="0"/>
              </w14:lightRig>
            </w14:scene3d>
          </w:rPr>
          <w:t>19.</w:t>
        </w:r>
        <w:r w:rsidR="00CF796C" w:rsidRPr="0029160A">
          <w:rPr>
            <w:rFonts w:asciiTheme="minorHAnsi" w:eastAsiaTheme="minorEastAsia" w:hAnsiTheme="minorHAnsi" w:cstheme="minorBidi"/>
            <w:noProof/>
            <w:sz w:val="22"/>
            <w:szCs w:val="22"/>
          </w:rPr>
          <w:tab/>
        </w:r>
        <w:r w:rsidR="00CF796C" w:rsidRPr="0029160A">
          <w:rPr>
            <w:rStyle w:val="Hyperlink"/>
            <w:noProof/>
            <w:color w:val="000000" w:themeColor="text1"/>
          </w:rPr>
          <w:t>Miscellaneous:  Reporting Requirements</w:t>
        </w:r>
        <w:r w:rsidR="00CF796C" w:rsidRPr="0029160A">
          <w:rPr>
            <w:noProof/>
            <w:webHidden/>
          </w:rPr>
          <w:tab/>
        </w:r>
        <w:r w:rsidR="00CF796C" w:rsidRPr="0029160A">
          <w:rPr>
            <w:noProof/>
            <w:webHidden/>
          </w:rPr>
          <w:fldChar w:fldCharType="begin"/>
        </w:r>
        <w:r w:rsidR="00CF796C" w:rsidRPr="0029160A">
          <w:rPr>
            <w:noProof/>
            <w:webHidden/>
          </w:rPr>
          <w:instrText xml:space="preserve"> PAGEREF _Toc38951824 \h </w:instrText>
        </w:r>
        <w:r w:rsidR="00CF796C" w:rsidRPr="0029160A">
          <w:rPr>
            <w:noProof/>
            <w:webHidden/>
          </w:rPr>
        </w:r>
        <w:r w:rsidR="00CF796C" w:rsidRPr="0029160A">
          <w:rPr>
            <w:noProof/>
            <w:webHidden/>
          </w:rPr>
          <w:fldChar w:fldCharType="separate"/>
        </w:r>
        <w:r w:rsidR="002261B3">
          <w:rPr>
            <w:noProof/>
            <w:webHidden/>
          </w:rPr>
          <w:t>119</w:t>
        </w:r>
        <w:r w:rsidR="00CF796C" w:rsidRPr="0029160A">
          <w:rPr>
            <w:noProof/>
            <w:webHidden/>
          </w:rPr>
          <w:fldChar w:fldCharType="end"/>
        </w:r>
      </w:hyperlink>
    </w:p>
    <w:p w14:paraId="08D20559" w14:textId="66ED5C1B"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25" w:history="1">
        <w:r w:rsidR="00CF796C" w:rsidRPr="0029160A">
          <w:rPr>
            <w:rStyle w:val="Hyperlink"/>
            <w:noProof/>
            <w:color w:val="000000" w:themeColor="text1"/>
          </w:rPr>
          <w:t>a.</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Positions of the Parties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_Toc38951825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119</w:t>
        </w:r>
        <w:r w:rsidR="00CF796C" w:rsidRPr="0029160A">
          <w:rPr>
            <w:noProof/>
            <w:webHidden/>
            <w:color w:val="000000" w:themeColor="text1"/>
          </w:rPr>
          <w:fldChar w:fldCharType="end"/>
        </w:r>
      </w:hyperlink>
    </w:p>
    <w:p w14:paraId="7C23E5E5" w14:textId="26FCD789"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26" w:history="1">
        <w:r w:rsidR="00CF796C" w:rsidRPr="0029160A">
          <w:rPr>
            <w:rStyle w:val="Hyperlink"/>
            <w:noProof/>
            <w:color w:val="000000" w:themeColor="text1"/>
          </w:rPr>
          <w:t>b.</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Recommended Decision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_Toc38951826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120</w:t>
        </w:r>
        <w:r w:rsidR="00CF796C" w:rsidRPr="0029160A">
          <w:rPr>
            <w:noProof/>
            <w:webHidden/>
            <w:color w:val="000000" w:themeColor="text1"/>
          </w:rPr>
          <w:fldChar w:fldCharType="end"/>
        </w:r>
      </w:hyperlink>
    </w:p>
    <w:p w14:paraId="083775BC" w14:textId="167511B0"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27" w:history="1">
        <w:r w:rsidR="00CF796C" w:rsidRPr="0029160A">
          <w:rPr>
            <w:rStyle w:val="Hyperlink"/>
            <w:noProof/>
            <w:color w:val="000000" w:themeColor="text1"/>
          </w:rPr>
          <w:t>c.</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I&amp;E Exception No. 8 and Replies</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_Toc38951827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120</w:t>
        </w:r>
        <w:r w:rsidR="00CF796C" w:rsidRPr="0029160A">
          <w:rPr>
            <w:noProof/>
            <w:webHidden/>
            <w:color w:val="000000" w:themeColor="text1"/>
          </w:rPr>
          <w:fldChar w:fldCharType="end"/>
        </w:r>
      </w:hyperlink>
    </w:p>
    <w:p w14:paraId="52AC645E" w14:textId="073E2A27" w:rsidR="00CF796C" w:rsidRPr="0029160A" w:rsidRDefault="00822091">
      <w:pPr>
        <w:pStyle w:val="TOC4"/>
        <w:tabs>
          <w:tab w:val="left" w:pos="2880"/>
        </w:tabs>
        <w:rPr>
          <w:rFonts w:asciiTheme="minorHAnsi" w:eastAsiaTheme="minorEastAsia" w:hAnsiTheme="minorHAnsi" w:cstheme="minorBidi"/>
          <w:noProof/>
          <w:color w:val="000000" w:themeColor="text1"/>
          <w:sz w:val="22"/>
          <w:szCs w:val="22"/>
        </w:rPr>
      </w:pPr>
      <w:hyperlink w:anchor="_Toc38951828"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_Toc38951828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121</w:t>
        </w:r>
        <w:r w:rsidR="00CF796C" w:rsidRPr="0029160A">
          <w:rPr>
            <w:noProof/>
            <w:webHidden/>
            <w:color w:val="000000" w:themeColor="text1"/>
          </w:rPr>
          <w:fldChar w:fldCharType="end"/>
        </w:r>
      </w:hyperlink>
    </w:p>
    <w:p w14:paraId="3A935765" w14:textId="1CC51F92" w:rsidR="00CF796C" w:rsidRPr="0029160A" w:rsidRDefault="00822091">
      <w:pPr>
        <w:pStyle w:val="TOC2"/>
        <w:tabs>
          <w:tab w:val="left" w:pos="1440"/>
        </w:tabs>
        <w:rPr>
          <w:rFonts w:asciiTheme="minorHAnsi" w:eastAsiaTheme="minorEastAsia" w:hAnsiTheme="minorHAnsi" w:cstheme="minorBidi"/>
          <w:noProof/>
          <w:color w:val="000000" w:themeColor="text1"/>
          <w:sz w:val="22"/>
          <w:szCs w:val="22"/>
        </w:rPr>
      </w:pPr>
      <w:hyperlink w:anchor="_Toc38951829" w:history="1">
        <w:r w:rsidR="00CF796C" w:rsidRPr="0029160A">
          <w:rPr>
            <w:rStyle w:val="Hyperlink"/>
            <w:noProof/>
            <w:color w:val="000000" w:themeColor="text1"/>
          </w:rPr>
          <w:t>D.</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Final Disposition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_Toc38951829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122</w:t>
        </w:r>
        <w:r w:rsidR="00CF796C" w:rsidRPr="0029160A">
          <w:rPr>
            <w:noProof/>
            <w:webHidden/>
            <w:color w:val="000000" w:themeColor="text1"/>
          </w:rPr>
          <w:fldChar w:fldCharType="end"/>
        </w:r>
      </w:hyperlink>
    </w:p>
    <w:p w14:paraId="418C9116" w14:textId="5CEB3F9A" w:rsidR="00CF796C" w:rsidRPr="0029160A" w:rsidRDefault="00822091">
      <w:pPr>
        <w:pStyle w:val="TOC1"/>
        <w:rPr>
          <w:rFonts w:asciiTheme="minorHAnsi" w:eastAsiaTheme="minorEastAsia" w:hAnsiTheme="minorHAnsi" w:cstheme="minorBidi"/>
          <w:noProof/>
          <w:color w:val="000000" w:themeColor="text1"/>
          <w:sz w:val="22"/>
          <w:szCs w:val="22"/>
        </w:rPr>
      </w:pPr>
      <w:hyperlink w:anchor="_Toc38951830" w:history="1">
        <w:r w:rsidR="00CF796C" w:rsidRPr="0029160A">
          <w:rPr>
            <w:rStyle w:val="Hyperlink"/>
            <w:noProof/>
            <w:color w:val="000000" w:themeColor="text1"/>
          </w:rPr>
          <w:t>IV.</w:t>
        </w:r>
        <w:r w:rsidR="00CF796C" w:rsidRPr="0029160A">
          <w:rPr>
            <w:rFonts w:asciiTheme="minorHAnsi" w:eastAsiaTheme="minorEastAsia" w:hAnsiTheme="minorHAnsi" w:cstheme="minorBidi"/>
            <w:noProof/>
            <w:color w:val="000000" w:themeColor="text1"/>
            <w:sz w:val="22"/>
            <w:szCs w:val="22"/>
          </w:rPr>
          <w:tab/>
        </w:r>
        <w:r w:rsidR="00CF796C" w:rsidRPr="0029160A">
          <w:rPr>
            <w:rStyle w:val="Hyperlink"/>
            <w:noProof/>
            <w:color w:val="000000" w:themeColor="text1"/>
          </w:rPr>
          <w:t>Conclusion</w:t>
        </w:r>
        <w:r w:rsidR="00CF796C" w:rsidRPr="0029160A">
          <w:rPr>
            <w:noProof/>
            <w:webHidden/>
            <w:color w:val="000000" w:themeColor="text1"/>
          </w:rPr>
          <w:tab/>
        </w:r>
        <w:r w:rsidR="00CF796C" w:rsidRPr="0029160A">
          <w:rPr>
            <w:noProof/>
            <w:webHidden/>
            <w:color w:val="000000" w:themeColor="text1"/>
          </w:rPr>
          <w:fldChar w:fldCharType="begin"/>
        </w:r>
        <w:r w:rsidR="00CF796C" w:rsidRPr="0029160A">
          <w:rPr>
            <w:noProof/>
            <w:webHidden/>
            <w:color w:val="000000" w:themeColor="text1"/>
          </w:rPr>
          <w:instrText xml:space="preserve"> PAGEREF _Toc38951830 \h </w:instrText>
        </w:r>
        <w:r w:rsidR="00CF796C" w:rsidRPr="0029160A">
          <w:rPr>
            <w:noProof/>
            <w:webHidden/>
            <w:color w:val="000000" w:themeColor="text1"/>
          </w:rPr>
        </w:r>
        <w:r w:rsidR="00CF796C" w:rsidRPr="0029160A">
          <w:rPr>
            <w:noProof/>
            <w:webHidden/>
            <w:color w:val="000000" w:themeColor="text1"/>
          </w:rPr>
          <w:fldChar w:fldCharType="separate"/>
        </w:r>
        <w:r w:rsidR="002261B3">
          <w:rPr>
            <w:noProof/>
            <w:webHidden/>
            <w:color w:val="000000" w:themeColor="text1"/>
          </w:rPr>
          <w:t>123</w:t>
        </w:r>
        <w:r w:rsidR="00CF796C" w:rsidRPr="0029160A">
          <w:rPr>
            <w:noProof/>
            <w:webHidden/>
            <w:color w:val="000000" w:themeColor="text1"/>
          </w:rPr>
          <w:fldChar w:fldCharType="end"/>
        </w:r>
      </w:hyperlink>
    </w:p>
    <w:p w14:paraId="48A6D933" w14:textId="5E8D13CD" w:rsidR="00CF796C" w:rsidRPr="0029160A" w:rsidRDefault="00822091">
      <w:pPr>
        <w:pStyle w:val="TOC1"/>
        <w:rPr>
          <w:rFonts w:asciiTheme="minorHAnsi" w:eastAsiaTheme="minorEastAsia" w:hAnsiTheme="minorHAnsi" w:cstheme="minorBidi"/>
          <w:noProof/>
          <w:color w:val="000000" w:themeColor="text1"/>
          <w:sz w:val="22"/>
          <w:szCs w:val="22"/>
        </w:rPr>
      </w:pPr>
      <w:hyperlink w:anchor="_Toc38951831" w:history="1">
        <w:r w:rsidR="00CF796C" w:rsidRPr="0029160A">
          <w:rPr>
            <w:rStyle w:val="Hyperlink"/>
            <w:bCs/>
            <w:noProof/>
            <w:color w:val="000000" w:themeColor="text1"/>
          </w:rPr>
          <w:t>Commission Tables Calculating Allowed Revenue Increase</w:t>
        </w:r>
      </w:hyperlink>
    </w:p>
    <w:p w14:paraId="1E60C53D" w14:textId="43E75C0F" w:rsidR="004149A2" w:rsidRPr="0029160A" w:rsidRDefault="00897E66">
      <w:pPr>
        <w:widowControl/>
        <w:tabs>
          <w:tab w:val="center" w:pos="4680"/>
        </w:tabs>
        <w:spacing w:line="360" w:lineRule="auto"/>
        <w:ind w:left="1440"/>
        <w:rPr>
          <w:bCs/>
          <w:color w:val="000000" w:themeColor="text1"/>
          <w:szCs w:val="26"/>
        </w:rPr>
        <w:sectPr w:rsidR="004149A2" w:rsidRPr="0029160A" w:rsidSect="004149A2">
          <w:footerReference w:type="first" r:id="rId14"/>
          <w:pgSz w:w="12240" w:h="15840"/>
          <w:pgMar w:top="1440" w:right="1440" w:bottom="1440" w:left="1440" w:header="720" w:footer="720" w:gutter="0"/>
          <w:pgNumType w:fmt="lowerRoman" w:start="1"/>
          <w:cols w:space="720"/>
          <w:titlePg/>
          <w:docGrid w:linePitch="360"/>
        </w:sectPr>
      </w:pPr>
      <w:r w:rsidRPr="0029160A">
        <w:rPr>
          <w:bCs/>
          <w:color w:val="000000" w:themeColor="text1"/>
          <w:szCs w:val="26"/>
        </w:rPr>
        <w:fldChar w:fldCharType="end"/>
      </w:r>
      <w:r w:rsidR="005A19B0" w:rsidRPr="0029160A" w:rsidDel="005A19B0">
        <w:rPr>
          <w:bCs/>
          <w:color w:val="000000" w:themeColor="text1"/>
          <w:szCs w:val="26"/>
        </w:rPr>
        <w:t xml:space="preserve"> </w:t>
      </w:r>
    </w:p>
    <w:p w14:paraId="3BB0D3D9" w14:textId="77777777" w:rsidR="00DA6369" w:rsidRPr="0029160A" w:rsidRDefault="00DA6369">
      <w:pPr>
        <w:widowControl/>
        <w:tabs>
          <w:tab w:val="center" w:pos="4680"/>
        </w:tabs>
        <w:spacing w:line="360" w:lineRule="auto"/>
        <w:rPr>
          <w:color w:val="000000" w:themeColor="text1"/>
          <w:szCs w:val="26"/>
        </w:rPr>
      </w:pPr>
      <w:r w:rsidRPr="0029160A">
        <w:rPr>
          <w:b/>
          <w:color w:val="000000" w:themeColor="text1"/>
          <w:szCs w:val="26"/>
        </w:rPr>
        <w:lastRenderedPageBreak/>
        <w:t>BY THE COMMISSION:</w:t>
      </w:r>
    </w:p>
    <w:p w14:paraId="09BBF2DE" w14:textId="77777777" w:rsidR="00DA6369" w:rsidRPr="0029160A" w:rsidRDefault="00DA6369">
      <w:pPr>
        <w:widowControl/>
        <w:tabs>
          <w:tab w:val="left" w:pos="-720"/>
        </w:tabs>
        <w:spacing w:line="360" w:lineRule="auto"/>
        <w:rPr>
          <w:color w:val="000000" w:themeColor="text1"/>
          <w:szCs w:val="26"/>
        </w:rPr>
      </w:pPr>
    </w:p>
    <w:p w14:paraId="0A60E99F" w14:textId="2364A8DA" w:rsidR="00E67719" w:rsidRPr="0029160A" w:rsidRDefault="00DA6369">
      <w:pPr>
        <w:widowControl/>
        <w:spacing w:line="360" w:lineRule="auto"/>
        <w:contextualSpacing/>
        <w:rPr>
          <w:rFonts w:eastAsia="Calibri"/>
          <w:color w:val="000000" w:themeColor="text1"/>
          <w:szCs w:val="26"/>
        </w:rPr>
      </w:pPr>
      <w:r w:rsidRPr="0029160A">
        <w:rPr>
          <w:color w:val="000000" w:themeColor="text1"/>
          <w:szCs w:val="26"/>
        </w:rPr>
        <w:tab/>
      </w:r>
      <w:r w:rsidRPr="0029160A">
        <w:rPr>
          <w:color w:val="000000" w:themeColor="text1"/>
          <w:szCs w:val="26"/>
        </w:rPr>
        <w:tab/>
      </w:r>
      <w:r w:rsidR="00E67719" w:rsidRPr="0029160A">
        <w:rPr>
          <w:rFonts w:eastAsia="Calibri"/>
          <w:color w:val="000000" w:themeColor="text1"/>
          <w:szCs w:val="26"/>
        </w:rPr>
        <w:t xml:space="preserve">Before the Pennsylvania Public Utility Commission (Commission) for consideration and disposition is the Recommended Decision (R.D.) of Administrative Law Judges (ALJs) Steven K. Haas and Benjamin J. Myers, </w:t>
      </w:r>
      <w:r w:rsidR="00E01838" w:rsidRPr="0029160A">
        <w:rPr>
          <w:rFonts w:eastAsia="Calibri"/>
          <w:color w:val="000000" w:themeColor="text1"/>
          <w:szCs w:val="26"/>
        </w:rPr>
        <w:t>served on the Parties of Record</w:t>
      </w:r>
      <w:r w:rsidR="00E67719" w:rsidRPr="0029160A">
        <w:rPr>
          <w:rFonts w:eastAsia="Calibri"/>
          <w:color w:val="000000" w:themeColor="text1"/>
          <w:szCs w:val="26"/>
        </w:rPr>
        <w:t xml:space="preserve"> on February 28, 2020, relative to the above-captioned general rate increase </w:t>
      </w:r>
      <w:r w:rsidR="00CF1568" w:rsidRPr="0029160A">
        <w:rPr>
          <w:rFonts w:eastAsia="Calibri"/>
          <w:color w:val="000000" w:themeColor="text1"/>
          <w:szCs w:val="26"/>
        </w:rPr>
        <w:t>request filed by Wellsboro Electric Company (Wellsboro or the Company)</w:t>
      </w:r>
      <w:r w:rsidR="00E67719" w:rsidRPr="0029160A">
        <w:rPr>
          <w:rFonts w:eastAsia="Calibri"/>
          <w:color w:val="000000" w:themeColor="text1"/>
          <w:szCs w:val="26"/>
        </w:rPr>
        <w:t>.  Also</w:t>
      </w:r>
      <w:r w:rsidR="00F56509" w:rsidRPr="0029160A">
        <w:rPr>
          <w:rFonts w:eastAsia="Calibri"/>
          <w:color w:val="000000" w:themeColor="text1"/>
          <w:szCs w:val="26"/>
        </w:rPr>
        <w:t>,</w:t>
      </w:r>
      <w:r w:rsidR="00E67719" w:rsidRPr="0029160A">
        <w:rPr>
          <w:rFonts w:eastAsia="Calibri"/>
          <w:color w:val="000000" w:themeColor="text1"/>
          <w:szCs w:val="26"/>
        </w:rPr>
        <w:t xml:space="preserve"> before the Commission </w:t>
      </w:r>
      <w:r w:rsidR="00F3703A" w:rsidRPr="0029160A">
        <w:rPr>
          <w:rFonts w:eastAsia="Calibri"/>
          <w:color w:val="000000" w:themeColor="text1"/>
          <w:szCs w:val="26"/>
        </w:rPr>
        <w:t xml:space="preserve">for consideration and disposition </w:t>
      </w:r>
      <w:r w:rsidR="00E67719" w:rsidRPr="0029160A">
        <w:rPr>
          <w:rFonts w:eastAsia="Calibri"/>
          <w:color w:val="000000" w:themeColor="text1"/>
          <w:szCs w:val="26"/>
        </w:rPr>
        <w:t>are the Exceptions</w:t>
      </w:r>
      <w:r w:rsidR="00CF1568" w:rsidRPr="0029160A">
        <w:rPr>
          <w:rFonts w:eastAsia="Calibri"/>
          <w:color w:val="000000" w:themeColor="text1"/>
          <w:szCs w:val="26"/>
        </w:rPr>
        <w:t xml:space="preserve"> to the R.D.,</w:t>
      </w:r>
      <w:r w:rsidR="00E67719" w:rsidRPr="0029160A">
        <w:rPr>
          <w:rFonts w:eastAsia="Calibri"/>
          <w:color w:val="000000" w:themeColor="text1"/>
          <w:szCs w:val="26"/>
        </w:rPr>
        <w:t xml:space="preserve"> </w:t>
      </w:r>
      <w:r w:rsidR="00CF1568" w:rsidRPr="0029160A">
        <w:rPr>
          <w:rFonts w:eastAsia="Calibri"/>
          <w:color w:val="000000" w:themeColor="text1"/>
          <w:szCs w:val="26"/>
        </w:rPr>
        <w:t>filed on or before March 13, 2020</w:t>
      </w:r>
      <w:r w:rsidR="00E67719" w:rsidRPr="0029160A">
        <w:rPr>
          <w:rFonts w:eastAsia="Calibri"/>
          <w:color w:val="000000" w:themeColor="text1"/>
          <w:szCs w:val="26"/>
        </w:rPr>
        <w:t xml:space="preserve">, by the following Parties:  Wellsboro, </w:t>
      </w:r>
      <w:r w:rsidR="00CF1568" w:rsidRPr="0029160A">
        <w:rPr>
          <w:rFonts w:eastAsia="Calibri"/>
          <w:color w:val="000000" w:themeColor="text1"/>
          <w:szCs w:val="26"/>
        </w:rPr>
        <w:t xml:space="preserve">the Commission’s Bureau of Investigation and Enforcement (I&amp;E), </w:t>
      </w:r>
      <w:r w:rsidR="00E67719" w:rsidRPr="0029160A">
        <w:rPr>
          <w:rFonts w:eastAsia="Calibri"/>
          <w:color w:val="000000" w:themeColor="text1"/>
          <w:szCs w:val="26"/>
        </w:rPr>
        <w:t>and the Office of Consumer Advocate (OCA).  On March 23, 2020, Wellsboro, I&amp;E</w:t>
      </w:r>
      <w:r w:rsidR="001122A8" w:rsidRPr="0029160A">
        <w:rPr>
          <w:rFonts w:eastAsia="Calibri"/>
          <w:color w:val="000000" w:themeColor="text1"/>
          <w:szCs w:val="26"/>
        </w:rPr>
        <w:t xml:space="preserve"> and</w:t>
      </w:r>
      <w:r w:rsidR="00E67719" w:rsidRPr="0029160A">
        <w:rPr>
          <w:rFonts w:eastAsia="Calibri"/>
          <w:color w:val="000000" w:themeColor="text1"/>
          <w:szCs w:val="26"/>
        </w:rPr>
        <w:t xml:space="preserve"> the OCA filed Replies to Exceptions.</w:t>
      </w:r>
      <w:r w:rsidR="001122A8" w:rsidRPr="0029160A">
        <w:rPr>
          <w:rFonts w:eastAsia="Calibri"/>
          <w:color w:val="000000" w:themeColor="text1"/>
          <w:szCs w:val="26"/>
        </w:rPr>
        <w:t xml:space="preserve">  On March 24, 2020, the Office of Small Business Advocate (OSBA) filed Replies to Exceptions.  </w:t>
      </w:r>
    </w:p>
    <w:p w14:paraId="42EF2A5D" w14:textId="77777777" w:rsidR="00E67719" w:rsidRPr="0029160A" w:rsidRDefault="00E67719">
      <w:pPr>
        <w:widowControl/>
        <w:tabs>
          <w:tab w:val="left" w:pos="-720"/>
        </w:tabs>
        <w:spacing w:line="360" w:lineRule="auto"/>
        <w:ind w:firstLine="1440"/>
        <w:contextualSpacing/>
        <w:rPr>
          <w:color w:val="000000" w:themeColor="text1"/>
          <w:szCs w:val="26"/>
        </w:rPr>
      </w:pPr>
    </w:p>
    <w:p w14:paraId="6C391510" w14:textId="751DDBD0" w:rsidR="00E67719" w:rsidRPr="0029160A" w:rsidRDefault="00E67719">
      <w:pPr>
        <w:widowControl/>
        <w:spacing w:line="360" w:lineRule="auto"/>
        <w:ind w:firstLine="1440"/>
        <w:rPr>
          <w:color w:val="000000" w:themeColor="text1"/>
          <w:szCs w:val="26"/>
        </w:rPr>
      </w:pPr>
      <w:r w:rsidRPr="0029160A">
        <w:rPr>
          <w:color w:val="000000" w:themeColor="text1"/>
          <w:szCs w:val="26"/>
        </w:rPr>
        <w:t xml:space="preserve">For the reasons stated, </w:t>
      </w:r>
      <w:r w:rsidRPr="0029160A">
        <w:rPr>
          <w:i/>
          <w:color w:val="000000" w:themeColor="text1"/>
          <w:szCs w:val="26"/>
        </w:rPr>
        <w:t>infra</w:t>
      </w:r>
      <w:r w:rsidRPr="0029160A">
        <w:rPr>
          <w:color w:val="000000" w:themeColor="text1"/>
          <w:szCs w:val="26"/>
        </w:rPr>
        <w:t xml:space="preserve">, we shall </w:t>
      </w:r>
      <w:r w:rsidR="00622B61" w:rsidRPr="0029160A">
        <w:rPr>
          <w:color w:val="000000" w:themeColor="text1"/>
          <w:szCs w:val="26"/>
        </w:rPr>
        <w:t xml:space="preserve">grant, in part, and </w:t>
      </w:r>
      <w:r w:rsidRPr="0029160A">
        <w:rPr>
          <w:color w:val="000000" w:themeColor="text1"/>
          <w:szCs w:val="26"/>
        </w:rPr>
        <w:t>deny</w:t>
      </w:r>
      <w:r w:rsidR="00622B61" w:rsidRPr="0029160A">
        <w:rPr>
          <w:color w:val="000000" w:themeColor="text1"/>
          <w:szCs w:val="26"/>
        </w:rPr>
        <w:t>, in part,</w:t>
      </w:r>
      <w:r w:rsidRPr="0029160A">
        <w:rPr>
          <w:color w:val="000000" w:themeColor="text1"/>
          <w:szCs w:val="26"/>
        </w:rPr>
        <w:t xml:space="preserve"> the Exceptions filed by Wellsboro</w:t>
      </w:r>
      <w:r w:rsidR="00E85254" w:rsidRPr="0029160A">
        <w:rPr>
          <w:color w:val="000000" w:themeColor="text1"/>
          <w:szCs w:val="26"/>
        </w:rPr>
        <w:t>,</w:t>
      </w:r>
      <w:r w:rsidRPr="0029160A">
        <w:rPr>
          <w:color w:val="000000" w:themeColor="text1"/>
          <w:szCs w:val="26"/>
        </w:rPr>
        <w:t xml:space="preserve"> the OCA,</w:t>
      </w:r>
      <w:r w:rsidR="00622B61" w:rsidRPr="0029160A">
        <w:rPr>
          <w:color w:val="000000" w:themeColor="text1"/>
          <w:szCs w:val="26"/>
        </w:rPr>
        <w:t xml:space="preserve"> </w:t>
      </w:r>
      <w:r w:rsidR="00E85254" w:rsidRPr="0029160A">
        <w:rPr>
          <w:color w:val="000000" w:themeColor="text1"/>
          <w:szCs w:val="26"/>
        </w:rPr>
        <w:t xml:space="preserve">and </w:t>
      </w:r>
      <w:r w:rsidR="00622B61" w:rsidRPr="0029160A">
        <w:rPr>
          <w:color w:val="000000" w:themeColor="text1"/>
          <w:szCs w:val="26"/>
        </w:rPr>
        <w:t xml:space="preserve">I&amp;E, and </w:t>
      </w:r>
      <w:r w:rsidRPr="0029160A">
        <w:rPr>
          <w:color w:val="000000" w:themeColor="text1"/>
          <w:szCs w:val="26"/>
        </w:rPr>
        <w:t>adopt the ALJs’ Recommended Decision,</w:t>
      </w:r>
      <w:r w:rsidR="00622B61" w:rsidRPr="0029160A">
        <w:rPr>
          <w:color w:val="000000" w:themeColor="text1"/>
          <w:szCs w:val="26"/>
        </w:rPr>
        <w:t xml:space="preserve"> as modified,</w:t>
      </w:r>
      <w:r w:rsidRPr="0029160A">
        <w:rPr>
          <w:color w:val="000000" w:themeColor="text1"/>
          <w:szCs w:val="26"/>
        </w:rPr>
        <w:t xml:space="preserve"> consistent with this Opinion and Order.</w:t>
      </w:r>
    </w:p>
    <w:p w14:paraId="64E9FA80" w14:textId="77777777" w:rsidR="00E67719" w:rsidRPr="0029160A" w:rsidRDefault="00E67719">
      <w:pPr>
        <w:widowControl/>
        <w:spacing w:line="360" w:lineRule="auto"/>
        <w:ind w:firstLine="1440"/>
        <w:rPr>
          <w:color w:val="000000" w:themeColor="text1"/>
          <w:szCs w:val="26"/>
        </w:rPr>
      </w:pPr>
    </w:p>
    <w:p w14:paraId="7F3BEBB8" w14:textId="26883693" w:rsidR="0019298C" w:rsidRPr="0029160A" w:rsidRDefault="00E67719">
      <w:pPr>
        <w:widowControl/>
        <w:spacing w:line="360" w:lineRule="auto"/>
        <w:ind w:firstLine="1440"/>
        <w:rPr>
          <w:color w:val="000000" w:themeColor="text1"/>
          <w:szCs w:val="26"/>
        </w:rPr>
      </w:pPr>
      <w:r w:rsidRPr="0029160A">
        <w:rPr>
          <w:color w:val="000000" w:themeColor="text1"/>
          <w:szCs w:val="26"/>
        </w:rPr>
        <w:t>As discussed below, Wellsboro proposed a</w:t>
      </w:r>
      <w:r w:rsidR="00B866B0" w:rsidRPr="0029160A">
        <w:rPr>
          <w:color w:val="000000" w:themeColor="text1"/>
          <w:szCs w:val="26"/>
        </w:rPr>
        <w:t>n increase in</w:t>
      </w:r>
      <w:r w:rsidRPr="0029160A">
        <w:rPr>
          <w:color w:val="000000" w:themeColor="text1"/>
          <w:szCs w:val="26"/>
        </w:rPr>
        <w:t xml:space="preserve"> </w:t>
      </w:r>
      <w:r w:rsidR="00B866B0" w:rsidRPr="0029160A">
        <w:rPr>
          <w:color w:val="000000" w:themeColor="text1"/>
          <w:szCs w:val="26"/>
        </w:rPr>
        <w:t xml:space="preserve">its </w:t>
      </w:r>
      <w:r w:rsidR="00340CE8" w:rsidRPr="0029160A">
        <w:rPr>
          <w:color w:val="000000" w:themeColor="text1"/>
          <w:szCs w:val="26"/>
        </w:rPr>
        <w:t xml:space="preserve">base </w:t>
      </w:r>
      <w:r w:rsidR="00400949" w:rsidRPr="0029160A">
        <w:rPr>
          <w:color w:val="000000" w:themeColor="text1"/>
          <w:szCs w:val="26"/>
        </w:rPr>
        <w:t>rates that</w:t>
      </w:r>
      <w:r w:rsidRPr="0029160A">
        <w:rPr>
          <w:color w:val="000000" w:themeColor="text1"/>
          <w:szCs w:val="26"/>
        </w:rPr>
        <w:t xml:space="preserve"> would have increased its annual revenues by $999,967, or approximately 19.5%, based on a fully projected future test year (FPFTY) ending December 30, 2020</w:t>
      </w:r>
      <w:r w:rsidR="00CC0E05" w:rsidRPr="0029160A">
        <w:rPr>
          <w:color w:val="000000" w:themeColor="text1"/>
          <w:szCs w:val="26"/>
        </w:rPr>
        <w:t xml:space="preserve">.  </w:t>
      </w:r>
      <w:r w:rsidRPr="0029160A">
        <w:rPr>
          <w:color w:val="000000" w:themeColor="text1"/>
          <w:szCs w:val="26"/>
        </w:rPr>
        <w:t>In this Opinion and Order, we shall approve an annual revenue increase of $95</w:t>
      </w:r>
      <w:r w:rsidR="00873444" w:rsidRPr="0029160A">
        <w:rPr>
          <w:color w:val="000000" w:themeColor="text1"/>
          <w:szCs w:val="26"/>
        </w:rPr>
        <w:t>0,243</w:t>
      </w:r>
      <w:r w:rsidR="00B866B0" w:rsidRPr="0029160A">
        <w:rPr>
          <w:color w:val="000000" w:themeColor="text1"/>
          <w:szCs w:val="26"/>
        </w:rPr>
        <w:t>,</w:t>
      </w:r>
      <w:r w:rsidRPr="0029160A">
        <w:rPr>
          <w:color w:val="000000" w:themeColor="text1"/>
          <w:szCs w:val="26"/>
        </w:rPr>
        <w:t xml:space="preserve"> or</w:t>
      </w:r>
      <w:r w:rsidR="00B866B0" w:rsidRPr="0029160A">
        <w:rPr>
          <w:color w:val="000000" w:themeColor="text1"/>
          <w:szCs w:val="26"/>
        </w:rPr>
        <w:t xml:space="preserve"> approximately</w:t>
      </w:r>
      <w:r w:rsidRPr="0029160A">
        <w:rPr>
          <w:color w:val="000000" w:themeColor="text1"/>
          <w:szCs w:val="26"/>
        </w:rPr>
        <w:t xml:space="preserve"> 18.</w:t>
      </w:r>
      <w:r w:rsidR="00873444" w:rsidRPr="0029160A">
        <w:rPr>
          <w:color w:val="000000" w:themeColor="text1"/>
          <w:szCs w:val="26"/>
        </w:rPr>
        <w:t>15</w:t>
      </w:r>
      <w:r w:rsidRPr="0029160A">
        <w:rPr>
          <w:color w:val="000000" w:themeColor="text1"/>
          <w:szCs w:val="26"/>
        </w:rPr>
        <w:t>%.</w:t>
      </w:r>
    </w:p>
    <w:p w14:paraId="38CEEF46" w14:textId="77777777" w:rsidR="00E62BD8" w:rsidRPr="0029160A" w:rsidRDefault="00E62BD8">
      <w:pPr>
        <w:widowControl/>
        <w:tabs>
          <w:tab w:val="left" w:pos="-720"/>
        </w:tabs>
        <w:spacing w:line="360" w:lineRule="auto"/>
        <w:rPr>
          <w:color w:val="000000" w:themeColor="text1"/>
          <w:szCs w:val="26"/>
        </w:rPr>
      </w:pPr>
    </w:p>
    <w:p w14:paraId="75BE2CF7" w14:textId="77777777" w:rsidR="001E648B" w:rsidRPr="0029160A" w:rsidRDefault="001E648B">
      <w:pPr>
        <w:pStyle w:val="Heading1"/>
        <w:keepNext w:val="0"/>
        <w:keepLines w:val="0"/>
        <w:widowControl/>
        <w:numPr>
          <w:ilvl w:val="0"/>
          <w:numId w:val="4"/>
        </w:numPr>
        <w:spacing w:before="0" w:line="360" w:lineRule="auto"/>
        <w:ind w:left="0" w:firstLine="0"/>
        <w:rPr>
          <w:rFonts w:cs="Times New Roman"/>
          <w:color w:val="000000" w:themeColor="text1"/>
          <w:szCs w:val="26"/>
        </w:rPr>
      </w:pPr>
      <w:bookmarkStart w:id="0" w:name="_Toc10812921"/>
      <w:bookmarkStart w:id="1" w:name="_Toc36552338"/>
      <w:bookmarkStart w:id="2" w:name="_Toc38951722"/>
      <w:r w:rsidRPr="0029160A">
        <w:rPr>
          <w:rFonts w:cs="Times New Roman"/>
          <w:color w:val="000000" w:themeColor="text1"/>
          <w:szCs w:val="26"/>
        </w:rPr>
        <w:t>Background</w:t>
      </w:r>
      <w:bookmarkEnd w:id="0"/>
      <w:bookmarkEnd w:id="1"/>
      <w:bookmarkEnd w:id="2"/>
    </w:p>
    <w:p w14:paraId="1BCFE616" w14:textId="77777777" w:rsidR="001E648B" w:rsidRPr="0029160A" w:rsidRDefault="001E648B">
      <w:pPr>
        <w:widowControl/>
        <w:spacing w:line="360" w:lineRule="auto"/>
        <w:rPr>
          <w:color w:val="000000" w:themeColor="text1"/>
          <w:szCs w:val="26"/>
        </w:rPr>
      </w:pPr>
    </w:p>
    <w:p w14:paraId="11BA9244" w14:textId="1D05168D" w:rsidR="00E67719" w:rsidRPr="0029160A" w:rsidRDefault="00E67719">
      <w:pPr>
        <w:widowControl/>
        <w:spacing w:line="360" w:lineRule="auto"/>
        <w:ind w:right="144" w:firstLine="1440"/>
        <w:contextualSpacing/>
        <w:textAlignment w:val="baseline"/>
        <w:rPr>
          <w:color w:val="000000" w:themeColor="text1"/>
          <w:szCs w:val="26"/>
        </w:rPr>
      </w:pPr>
      <w:r w:rsidRPr="0029160A">
        <w:rPr>
          <w:color w:val="000000" w:themeColor="text1"/>
          <w:szCs w:val="26"/>
        </w:rPr>
        <w:t xml:space="preserve">Wellsboro </w:t>
      </w:r>
      <w:r w:rsidR="00F3703A" w:rsidRPr="0029160A">
        <w:rPr>
          <w:color w:val="000000" w:themeColor="text1"/>
          <w:szCs w:val="26"/>
        </w:rPr>
        <w:t>i</w:t>
      </w:r>
      <w:r w:rsidRPr="0029160A">
        <w:rPr>
          <w:color w:val="000000" w:themeColor="text1"/>
          <w:szCs w:val="26"/>
        </w:rPr>
        <w:t xml:space="preserve">s a small investor-owned </w:t>
      </w:r>
      <w:r w:rsidR="00340CE8" w:rsidRPr="0029160A">
        <w:rPr>
          <w:color w:val="000000" w:themeColor="text1"/>
          <w:szCs w:val="26"/>
        </w:rPr>
        <w:t>e</w:t>
      </w:r>
      <w:r w:rsidRPr="0029160A">
        <w:rPr>
          <w:color w:val="000000" w:themeColor="text1"/>
          <w:szCs w:val="26"/>
        </w:rPr>
        <w:t xml:space="preserve">lectric </w:t>
      </w:r>
      <w:r w:rsidR="00340CE8" w:rsidRPr="0029160A">
        <w:rPr>
          <w:color w:val="000000" w:themeColor="text1"/>
          <w:szCs w:val="26"/>
        </w:rPr>
        <w:t>d</w:t>
      </w:r>
      <w:r w:rsidRPr="0029160A">
        <w:rPr>
          <w:color w:val="000000" w:themeColor="text1"/>
          <w:szCs w:val="26"/>
        </w:rPr>
        <w:t xml:space="preserve">istribution </w:t>
      </w:r>
      <w:r w:rsidR="00340CE8" w:rsidRPr="0029160A">
        <w:rPr>
          <w:color w:val="000000" w:themeColor="text1"/>
          <w:szCs w:val="26"/>
        </w:rPr>
        <w:t>c</w:t>
      </w:r>
      <w:r w:rsidRPr="0029160A">
        <w:rPr>
          <w:color w:val="000000" w:themeColor="text1"/>
          <w:szCs w:val="26"/>
        </w:rPr>
        <w:t xml:space="preserve">ompany (EDC) providing service in the Borough of Wellsboro, Pennsylvania, and surrounding areas in Tioga County.  Wellsboro is wholly owned by C&amp;T Enterprises, Inc. (C&amp;T).  C&amp;T is a </w:t>
      </w:r>
      <w:r w:rsidRPr="0029160A">
        <w:rPr>
          <w:color w:val="000000" w:themeColor="text1"/>
          <w:szCs w:val="26"/>
        </w:rPr>
        <w:lastRenderedPageBreak/>
        <w:t>holding and management services company that also owns Citizens</w:t>
      </w:r>
      <w:r w:rsidR="005C717E" w:rsidRPr="0029160A">
        <w:rPr>
          <w:color w:val="000000" w:themeColor="text1"/>
          <w:szCs w:val="26"/>
        </w:rPr>
        <w:t>’</w:t>
      </w:r>
      <w:r w:rsidRPr="0029160A">
        <w:rPr>
          <w:color w:val="000000" w:themeColor="text1"/>
          <w:szCs w:val="26"/>
        </w:rPr>
        <w:t xml:space="preserve"> Electric Company of Lewisburg (Citizens’) and Valley Energy, Inc. (Valley).</w:t>
      </w:r>
    </w:p>
    <w:p w14:paraId="3D89FDFD" w14:textId="77777777" w:rsidR="00E67719" w:rsidRPr="0029160A" w:rsidRDefault="00E67719">
      <w:pPr>
        <w:widowControl/>
        <w:spacing w:line="360" w:lineRule="auto"/>
        <w:ind w:right="144" w:firstLine="1440"/>
        <w:contextualSpacing/>
        <w:textAlignment w:val="baseline"/>
        <w:rPr>
          <w:color w:val="000000" w:themeColor="text1"/>
          <w:szCs w:val="26"/>
        </w:rPr>
      </w:pPr>
      <w:r w:rsidRPr="0029160A">
        <w:rPr>
          <w:color w:val="000000" w:themeColor="text1"/>
          <w:szCs w:val="26"/>
        </w:rPr>
        <w:t xml:space="preserve">  </w:t>
      </w:r>
    </w:p>
    <w:p w14:paraId="71E1B118" w14:textId="4F227A61" w:rsidR="00E67719" w:rsidRPr="0029160A" w:rsidRDefault="00E67719">
      <w:pPr>
        <w:widowControl/>
        <w:spacing w:line="360" w:lineRule="auto"/>
        <w:ind w:right="144" w:firstLine="1440"/>
        <w:contextualSpacing/>
        <w:textAlignment w:val="baseline"/>
        <w:rPr>
          <w:color w:val="000000" w:themeColor="text1"/>
          <w:szCs w:val="26"/>
        </w:rPr>
      </w:pPr>
      <w:r w:rsidRPr="0029160A">
        <w:rPr>
          <w:color w:val="000000" w:themeColor="text1"/>
          <w:szCs w:val="26"/>
        </w:rPr>
        <w:t>Wellsboro</w:t>
      </w:r>
      <w:r w:rsidR="004149A2" w:rsidRPr="0029160A">
        <w:rPr>
          <w:color w:val="000000" w:themeColor="text1"/>
          <w:szCs w:val="26"/>
        </w:rPr>
        <w:t>’</w:t>
      </w:r>
      <w:r w:rsidRPr="0029160A">
        <w:rPr>
          <w:color w:val="000000" w:themeColor="text1"/>
          <w:szCs w:val="26"/>
        </w:rPr>
        <w:t>s service territory is predominantly rural and is surrounded by the service territory of Pennsylvania Electric Company (Penelec) and Tri-County Rural Electric Cooperative.  As of December 31, 2018, Wellsboro served 6,337 customers</w:t>
      </w:r>
      <w:r w:rsidR="00255EFC" w:rsidRPr="0029160A">
        <w:rPr>
          <w:color w:val="000000" w:themeColor="text1"/>
          <w:szCs w:val="26"/>
        </w:rPr>
        <w:t xml:space="preserve"> -</w:t>
      </w:r>
      <w:r w:rsidRPr="0029160A">
        <w:rPr>
          <w:color w:val="000000" w:themeColor="text1"/>
          <w:szCs w:val="26"/>
        </w:rPr>
        <w:t>5,116 were residential, 1,216 were commercial and industrial, 2 were lighting, and 4 were exchange utilit</w:t>
      </w:r>
      <w:r w:rsidR="00255EFC" w:rsidRPr="0029160A">
        <w:rPr>
          <w:color w:val="000000" w:themeColor="text1"/>
          <w:szCs w:val="26"/>
        </w:rPr>
        <w:t>ies</w:t>
      </w:r>
      <w:r w:rsidRPr="0029160A">
        <w:rPr>
          <w:color w:val="000000" w:themeColor="text1"/>
          <w:szCs w:val="26"/>
        </w:rPr>
        <w:t xml:space="preserve">.  </w:t>
      </w:r>
    </w:p>
    <w:p w14:paraId="7A53CBEB" w14:textId="77777777" w:rsidR="00E67719" w:rsidRPr="0029160A" w:rsidRDefault="00E67719">
      <w:pPr>
        <w:widowControl/>
        <w:spacing w:line="360" w:lineRule="auto"/>
        <w:ind w:right="144" w:firstLine="1440"/>
        <w:contextualSpacing/>
        <w:textAlignment w:val="baseline"/>
        <w:rPr>
          <w:color w:val="000000" w:themeColor="text1"/>
          <w:szCs w:val="26"/>
        </w:rPr>
      </w:pPr>
    </w:p>
    <w:p w14:paraId="7BC2ED47" w14:textId="77777777" w:rsidR="00D46567" w:rsidRPr="0029160A" w:rsidRDefault="00E67719">
      <w:pPr>
        <w:widowControl/>
        <w:spacing w:line="360" w:lineRule="auto"/>
        <w:ind w:right="144" w:firstLine="1440"/>
        <w:textAlignment w:val="baseline"/>
        <w:rPr>
          <w:bCs/>
          <w:color w:val="000000" w:themeColor="text1"/>
          <w:szCs w:val="26"/>
        </w:rPr>
      </w:pPr>
      <w:r w:rsidRPr="0029160A">
        <w:rPr>
          <w:bCs/>
          <w:color w:val="000000" w:themeColor="text1"/>
          <w:szCs w:val="26"/>
        </w:rPr>
        <w:t xml:space="preserve">Wellsboro </w:t>
      </w:r>
      <w:r w:rsidR="00F3703A" w:rsidRPr="0029160A">
        <w:rPr>
          <w:bCs/>
          <w:color w:val="000000" w:themeColor="text1"/>
          <w:szCs w:val="26"/>
        </w:rPr>
        <w:t>filed its general base rate case seeking the Commission’s</w:t>
      </w:r>
      <w:r w:rsidRPr="0029160A">
        <w:rPr>
          <w:bCs/>
          <w:color w:val="000000" w:themeColor="text1"/>
          <w:szCs w:val="26"/>
        </w:rPr>
        <w:t xml:space="preserve"> approval for an increase in annual distribution revenues</w:t>
      </w:r>
      <w:r w:rsidR="00F3703A" w:rsidRPr="0029160A">
        <w:rPr>
          <w:bCs/>
          <w:color w:val="000000" w:themeColor="text1"/>
          <w:szCs w:val="26"/>
        </w:rPr>
        <w:t xml:space="preserve"> </w:t>
      </w:r>
      <w:r w:rsidR="00214740" w:rsidRPr="0029160A">
        <w:rPr>
          <w:bCs/>
          <w:color w:val="000000" w:themeColor="text1"/>
          <w:szCs w:val="26"/>
        </w:rPr>
        <w:t>by</w:t>
      </w:r>
      <w:r w:rsidR="00F3703A" w:rsidRPr="0029160A">
        <w:rPr>
          <w:bCs/>
          <w:color w:val="000000" w:themeColor="text1"/>
          <w:szCs w:val="26"/>
        </w:rPr>
        <w:t xml:space="preserve"> $999,967, or by approximately 19.5%.</w:t>
      </w:r>
      <w:r w:rsidRPr="0029160A">
        <w:rPr>
          <w:bCs/>
          <w:color w:val="000000" w:themeColor="text1"/>
          <w:szCs w:val="26"/>
        </w:rPr>
        <w:t xml:space="preserve">  </w:t>
      </w:r>
      <w:r w:rsidR="00F3703A" w:rsidRPr="0029160A">
        <w:rPr>
          <w:bCs/>
          <w:color w:val="000000" w:themeColor="text1"/>
          <w:szCs w:val="26"/>
        </w:rPr>
        <w:t>The Company’s rate</w:t>
      </w:r>
      <w:r w:rsidR="00EA0529" w:rsidRPr="0029160A">
        <w:rPr>
          <w:bCs/>
          <w:color w:val="000000" w:themeColor="text1"/>
          <w:szCs w:val="26"/>
        </w:rPr>
        <w:t xml:space="preserve"> increase</w:t>
      </w:r>
      <w:r w:rsidR="00F3703A" w:rsidRPr="0029160A">
        <w:rPr>
          <w:bCs/>
          <w:color w:val="000000" w:themeColor="text1"/>
          <w:szCs w:val="26"/>
        </w:rPr>
        <w:t xml:space="preserve"> request is based on </w:t>
      </w:r>
      <w:r w:rsidRPr="0029160A">
        <w:rPr>
          <w:bCs/>
          <w:color w:val="000000" w:themeColor="text1"/>
          <w:szCs w:val="26"/>
        </w:rPr>
        <w:t>a FPFTY</w:t>
      </w:r>
      <w:r w:rsidR="00F3703A" w:rsidRPr="0029160A">
        <w:rPr>
          <w:bCs/>
          <w:color w:val="000000" w:themeColor="text1"/>
          <w:szCs w:val="26"/>
        </w:rPr>
        <w:t xml:space="preserve"> ending December 31, 2020. </w:t>
      </w:r>
      <w:r w:rsidRPr="0029160A">
        <w:rPr>
          <w:bCs/>
          <w:color w:val="000000" w:themeColor="text1"/>
          <w:szCs w:val="26"/>
        </w:rPr>
        <w:t xml:space="preserve"> According to Wellsboro, under current rates, </w:t>
      </w:r>
      <w:r w:rsidR="00F3703A" w:rsidRPr="0029160A">
        <w:rPr>
          <w:bCs/>
          <w:color w:val="000000" w:themeColor="text1"/>
          <w:szCs w:val="26"/>
        </w:rPr>
        <w:t xml:space="preserve">in the Historic Test Year (HTY) ending December 31, 2018, it </w:t>
      </w:r>
      <w:r w:rsidRPr="0029160A">
        <w:rPr>
          <w:bCs/>
          <w:color w:val="000000" w:themeColor="text1"/>
          <w:szCs w:val="26"/>
        </w:rPr>
        <w:t xml:space="preserve">earned a rate of return on its </w:t>
      </w:r>
      <w:r w:rsidR="00EA0529" w:rsidRPr="0029160A">
        <w:rPr>
          <w:bCs/>
          <w:color w:val="000000" w:themeColor="text1"/>
          <w:szCs w:val="26"/>
        </w:rPr>
        <w:t xml:space="preserve">electric </w:t>
      </w:r>
      <w:r w:rsidRPr="0029160A">
        <w:rPr>
          <w:bCs/>
          <w:color w:val="000000" w:themeColor="text1"/>
          <w:szCs w:val="26"/>
        </w:rPr>
        <w:t xml:space="preserve">distribution business of </w:t>
      </w:r>
      <w:r w:rsidRPr="0029160A">
        <w:rPr>
          <w:color w:val="000000" w:themeColor="text1"/>
          <w:szCs w:val="26"/>
        </w:rPr>
        <w:t xml:space="preserve">5.73%, a return that </w:t>
      </w:r>
      <w:r w:rsidR="00A511DE" w:rsidRPr="0029160A">
        <w:rPr>
          <w:color w:val="000000" w:themeColor="text1"/>
          <w:szCs w:val="26"/>
        </w:rPr>
        <w:t>it</w:t>
      </w:r>
      <w:r w:rsidRPr="0029160A">
        <w:rPr>
          <w:color w:val="000000" w:themeColor="text1"/>
          <w:szCs w:val="26"/>
        </w:rPr>
        <w:t xml:space="preserve"> argues will not support the long-term</w:t>
      </w:r>
      <w:r w:rsidR="00F3703A" w:rsidRPr="0029160A">
        <w:rPr>
          <w:color w:val="000000" w:themeColor="text1"/>
          <w:szCs w:val="26"/>
        </w:rPr>
        <w:t xml:space="preserve"> viability</w:t>
      </w:r>
      <w:r w:rsidRPr="0029160A">
        <w:rPr>
          <w:color w:val="000000" w:themeColor="text1"/>
          <w:szCs w:val="26"/>
        </w:rPr>
        <w:t xml:space="preserve"> of the Company</w:t>
      </w:r>
      <w:r w:rsidRPr="0029160A">
        <w:rPr>
          <w:bCs/>
          <w:color w:val="000000" w:themeColor="text1"/>
          <w:szCs w:val="26"/>
        </w:rPr>
        <w:t xml:space="preserve">.  </w:t>
      </w:r>
      <w:r w:rsidR="00F3703A" w:rsidRPr="0029160A">
        <w:rPr>
          <w:bCs/>
          <w:color w:val="000000" w:themeColor="text1"/>
          <w:szCs w:val="26"/>
        </w:rPr>
        <w:t xml:space="preserve">By </w:t>
      </w:r>
      <w:r w:rsidRPr="0029160A">
        <w:rPr>
          <w:bCs/>
          <w:color w:val="000000" w:themeColor="text1"/>
          <w:szCs w:val="26"/>
        </w:rPr>
        <w:t>its FPFTY, the Company</w:t>
      </w:r>
      <w:r w:rsidR="005969B8" w:rsidRPr="0029160A">
        <w:rPr>
          <w:bCs/>
          <w:color w:val="000000" w:themeColor="text1"/>
          <w:szCs w:val="26"/>
        </w:rPr>
        <w:t xml:space="preserve"> projected its </w:t>
      </w:r>
      <w:r w:rsidR="00214740" w:rsidRPr="0029160A">
        <w:rPr>
          <w:bCs/>
          <w:color w:val="000000" w:themeColor="text1"/>
          <w:szCs w:val="26"/>
        </w:rPr>
        <w:t>rate of</w:t>
      </w:r>
      <w:r w:rsidRPr="0029160A">
        <w:rPr>
          <w:bCs/>
          <w:color w:val="000000" w:themeColor="text1"/>
          <w:szCs w:val="26"/>
        </w:rPr>
        <w:t xml:space="preserve"> return </w:t>
      </w:r>
      <w:r w:rsidR="00F3703A" w:rsidRPr="0029160A">
        <w:rPr>
          <w:bCs/>
          <w:color w:val="000000" w:themeColor="text1"/>
          <w:szCs w:val="26"/>
        </w:rPr>
        <w:t>to</w:t>
      </w:r>
      <w:r w:rsidRPr="0029160A">
        <w:rPr>
          <w:bCs/>
          <w:color w:val="000000" w:themeColor="text1"/>
          <w:szCs w:val="26"/>
        </w:rPr>
        <w:t xml:space="preserve"> decline substantially to </w:t>
      </w:r>
      <w:r w:rsidRPr="0029160A">
        <w:rPr>
          <w:color w:val="000000" w:themeColor="text1"/>
          <w:szCs w:val="26"/>
        </w:rPr>
        <w:t>2.56%</w:t>
      </w:r>
      <w:r w:rsidRPr="0029160A">
        <w:rPr>
          <w:bCs/>
          <w:color w:val="000000" w:themeColor="text1"/>
          <w:szCs w:val="26"/>
        </w:rPr>
        <w:t xml:space="preserve">.  If the </w:t>
      </w:r>
      <w:r w:rsidR="00F3703A" w:rsidRPr="0029160A">
        <w:rPr>
          <w:bCs/>
          <w:color w:val="000000" w:themeColor="text1"/>
          <w:szCs w:val="26"/>
        </w:rPr>
        <w:t xml:space="preserve">Company’s </w:t>
      </w:r>
      <w:r w:rsidRPr="0029160A">
        <w:rPr>
          <w:bCs/>
          <w:color w:val="000000" w:themeColor="text1"/>
          <w:szCs w:val="26"/>
        </w:rPr>
        <w:t>full</w:t>
      </w:r>
      <w:r w:rsidR="00F3703A" w:rsidRPr="0029160A">
        <w:rPr>
          <w:bCs/>
          <w:color w:val="000000" w:themeColor="text1"/>
          <w:szCs w:val="26"/>
        </w:rPr>
        <w:t xml:space="preserve"> rate increase</w:t>
      </w:r>
      <w:r w:rsidRPr="0029160A">
        <w:rPr>
          <w:bCs/>
          <w:color w:val="000000" w:themeColor="text1"/>
          <w:szCs w:val="26"/>
        </w:rPr>
        <w:t xml:space="preserve"> request is granted</w:t>
      </w:r>
      <w:r w:rsidR="00F3703A" w:rsidRPr="0029160A">
        <w:rPr>
          <w:bCs/>
          <w:color w:val="000000" w:themeColor="text1"/>
          <w:szCs w:val="26"/>
        </w:rPr>
        <w:t xml:space="preserve"> by the Commission</w:t>
      </w:r>
      <w:r w:rsidRPr="0029160A">
        <w:rPr>
          <w:bCs/>
          <w:color w:val="000000" w:themeColor="text1"/>
          <w:szCs w:val="26"/>
        </w:rPr>
        <w:t xml:space="preserve">, the Company </w:t>
      </w:r>
      <w:r w:rsidR="00A511DE" w:rsidRPr="0029160A">
        <w:rPr>
          <w:bCs/>
          <w:color w:val="000000" w:themeColor="text1"/>
          <w:szCs w:val="26"/>
        </w:rPr>
        <w:t>stated that it belie</w:t>
      </w:r>
      <w:r w:rsidRPr="0029160A">
        <w:rPr>
          <w:bCs/>
          <w:color w:val="000000" w:themeColor="text1"/>
          <w:szCs w:val="26"/>
        </w:rPr>
        <w:t xml:space="preserve">ves it will have the opportunity to earn a </w:t>
      </w:r>
      <w:r w:rsidR="00F3703A" w:rsidRPr="0029160A">
        <w:rPr>
          <w:bCs/>
          <w:color w:val="000000" w:themeColor="text1"/>
          <w:szCs w:val="26"/>
        </w:rPr>
        <w:t xml:space="preserve">fair rate of </w:t>
      </w:r>
      <w:r w:rsidRPr="0029160A">
        <w:rPr>
          <w:bCs/>
          <w:color w:val="000000" w:themeColor="text1"/>
          <w:szCs w:val="26"/>
        </w:rPr>
        <w:t xml:space="preserve">return of approximately </w:t>
      </w:r>
      <w:r w:rsidRPr="0029160A">
        <w:rPr>
          <w:color w:val="000000" w:themeColor="text1"/>
          <w:szCs w:val="26"/>
        </w:rPr>
        <w:t>7.14%</w:t>
      </w:r>
      <w:r w:rsidRPr="0029160A">
        <w:rPr>
          <w:bCs/>
          <w:color w:val="000000" w:themeColor="text1"/>
          <w:szCs w:val="26"/>
        </w:rPr>
        <w:t xml:space="preserve">.  </w:t>
      </w:r>
    </w:p>
    <w:p w14:paraId="0015C731" w14:textId="77777777" w:rsidR="00D15169" w:rsidRPr="0029160A" w:rsidRDefault="00D15169">
      <w:pPr>
        <w:widowControl/>
        <w:spacing w:line="360" w:lineRule="auto"/>
        <w:ind w:right="144" w:firstLine="1440"/>
        <w:textAlignment w:val="baseline"/>
        <w:rPr>
          <w:bCs/>
          <w:color w:val="000000" w:themeColor="text1"/>
          <w:szCs w:val="26"/>
        </w:rPr>
      </w:pPr>
    </w:p>
    <w:p w14:paraId="5E8742CB" w14:textId="77777777" w:rsidR="00DA6369" w:rsidRPr="0029160A" w:rsidRDefault="00DA6369">
      <w:pPr>
        <w:pStyle w:val="Heading1"/>
        <w:keepNext w:val="0"/>
        <w:keepLines w:val="0"/>
        <w:widowControl/>
        <w:spacing w:before="0" w:line="360" w:lineRule="auto"/>
        <w:ind w:left="0" w:firstLine="0"/>
        <w:rPr>
          <w:rFonts w:cs="Times New Roman"/>
          <w:color w:val="000000" w:themeColor="text1"/>
          <w:szCs w:val="26"/>
        </w:rPr>
      </w:pPr>
      <w:bookmarkStart w:id="3" w:name="_Toc10812922"/>
      <w:bookmarkStart w:id="4" w:name="_Toc36552339"/>
      <w:bookmarkStart w:id="5" w:name="_Toc38951723"/>
      <w:r w:rsidRPr="0029160A">
        <w:rPr>
          <w:rFonts w:cs="Times New Roman"/>
          <w:color w:val="000000" w:themeColor="text1"/>
          <w:szCs w:val="26"/>
        </w:rPr>
        <w:t>History of the Proceeding</w:t>
      </w:r>
      <w:bookmarkEnd w:id="3"/>
      <w:bookmarkEnd w:id="4"/>
      <w:bookmarkEnd w:id="5"/>
    </w:p>
    <w:p w14:paraId="061A5518" w14:textId="77777777" w:rsidR="003E502C" w:rsidRPr="0029160A" w:rsidRDefault="003E502C">
      <w:pPr>
        <w:widowControl/>
        <w:spacing w:line="360" w:lineRule="auto"/>
        <w:rPr>
          <w:color w:val="000000" w:themeColor="text1"/>
          <w:szCs w:val="26"/>
        </w:rPr>
      </w:pPr>
    </w:p>
    <w:p w14:paraId="3B3F37AF" w14:textId="51AC1E76" w:rsidR="00214740" w:rsidRPr="0029160A" w:rsidRDefault="00E67719">
      <w:pPr>
        <w:widowControl/>
        <w:spacing w:line="360" w:lineRule="auto"/>
        <w:ind w:right="72" w:firstLine="1440"/>
        <w:contextualSpacing/>
        <w:textAlignment w:val="baseline"/>
        <w:rPr>
          <w:bCs/>
          <w:color w:val="000000" w:themeColor="text1"/>
          <w:szCs w:val="26"/>
        </w:rPr>
      </w:pPr>
      <w:r w:rsidRPr="0029160A">
        <w:rPr>
          <w:color w:val="000000" w:themeColor="text1"/>
          <w:szCs w:val="26"/>
        </w:rPr>
        <w:t>On July 1, 2019, Wellsboro filed</w:t>
      </w:r>
      <w:r w:rsidR="00F9646C" w:rsidRPr="0029160A">
        <w:rPr>
          <w:color w:val="000000" w:themeColor="text1"/>
          <w:szCs w:val="26"/>
        </w:rPr>
        <w:t xml:space="preserve"> with the Commission proposed</w:t>
      </w:r>
      <w:r w:rsidRPr="0029160A">
        <w:rPr>
          <w:color w:val="000000" w:themeColor="text1"/>
          <w:szCs w:val="26"/>
        </w:rPr>
        <w:t xml:space="preserve"> Supplement No. 125 to Tariff Electric Pa. P.U.C. No. 8</w:t>
      </w:r>
      <w:r w:rsidR="00F9646C" w:rsidRPr="0029160A">
        <w:rPr>
          <w:color w:val="000000" w:themeColor="text1"/>
          <w:szCs w:val="26"/>
        </w:rPr>
        <w:t xml:space="preserve">, requesting an </w:t>
      </w:r>
      <w:r w:rsidRPr="0029160A">
        <w:rPr>
          <w:color w:val="000000" w:themeColor="text1"/>
          <w:szCs w:val="26"/>
        </w:rPr>
        <w:t>increase</w:t>
      </w:r>
      <w:r w:rsidR="00F9646C" w:rsidRPr="0029160A">
        <w:rPr>
          <w:color w:val="000000" w:themeColor="text1"/>
          <w:szCs w:val="26"/>
        </w:rPr>
        <w:t xml:space="preserve"> in</w:t>
      </w:r>
      <w:r w:rsidRPr="0029160A">
        <w:rPr>
          <w:color w:val="000000" w:themeColor="text1"/>
          <w:szCs w:val="26"/>
        </w:rPr>
        <w:t xml:space="preserve"> Wellsboro’s total annual operating revenues in excess of $1 million.  </w:t>
      </w:r>
      <w:r w:rsidR="00214740" w:rsidRPr="0029160A">
        <w:rPr>
          <w:bCs/>
          <w:color w:val="000000" w:themeColor="text1"/>
          <w:szCs w:val="26"/>
        </w:rPr>
        <w:t>On July 31, 2019, Wellsboro filed replacement base rate schedules and tariff sheets, re</w:t>
      </w:r>
      <w:r w:rsidR="00F9646C" w:rsidRPr="0029160A">
        <w:rPr>
          <w:bCs/>
          <w:color w:val="000000" w:themeColor="text1"/>
          <w:szCs w:val="26"/>
        </w:rPr>
        <w:t xml:space="preserve">vising its </w:t>
      </w:r>
      <w:r w:rsidR="00214740" w:rsidRPr="0029160A">
        <w:rPr>
          <w:bCs/>
          <w:color w:val="000000" w:themeColor="text1"/>
          <w:szCs w:val="26"/>
        </w:rPr>
        <w:t>reques</w:t>
      </w:r>
      <w:r w:rsidR="00F9646C" w:rsidRPr="0029160A">
        <w:rPr>
          <w:bCs/>
          <w:color w:val="000000" w:themeColor="text1"/>
          <w:szCs w:val="26"/>
        </w:rPr>
        <w:t>t to reflect an increase in distribution revenues in the amount of $</w:t>
      </w:r>
      <w:r w:rsidR="00214740" w:rsidRPr="0029160A">
        <w:rPr>
          <w:bCs/>
          <w:color w:val="000000" w:themeColor="text1"/>
          <w:szCs w:val="26"/>
        </w:rPr>
        <w:t xml:space="preserve">999,967, or </w:t>
      </w:r>
      <w:r w:rsidR="00F9646C" w:rsidRPr="0029160A">
        <w:rPr>
          <w:bCs/>
          <w:color w:val="000000" w:themeColor="text1"/>
          <w:szCs w:val="26"/>
        </w:rPr>
        <w:t xml:space="preserve">by </w:t>
      </w:r>
      <w:r w:rsidR="00214740" w:rsidRPr="0029160A">
        <w:rPr>
          <w:bCs/>
          <w:color w:val="000000" w:themeColor="text1"/>
          <w:szCs w:val="26"/>
        </w:rPr>
        <w:lastRenderedPageBreak/>
        <w:t xml:space="preserve">approximately 19.5%.  </w:t>
      </w:r>
      <w:r w:rsidR="00255EFC" w:rsidRPr="0029160A">
        <w:rPr>
          <w:bCs/>
          <w:color w:val="000000" w:themeColor="text1"/>
          <w:szCs w:val="26"/>
        </w:rPr>
        <w:t xml:space="preserve">By Secretarial Letter dated </w:t>
      </w:r>
      <w:r w:rsidR="00214740" w:rsidRPr="0029160A">
        <w:rPr>
          <w:bCs/>
          <w:color w:val="000000" w:themeColor="text1"/>
          <w:szCs w:val="26"/>
        </w:rPr>
        <w:t xml:space="preserve">August 8, </w:t>
      </w:r>
      <w:r w:rsidR="00DD05A9" w:rsidRPr="0029160A">
        <w:rPr>
          <w:bCs/>
          <w:color w:val="000000" w:themeColor="text1"/>
          <w:szCs w:val="26"/>
        </w:rPr>
        <w:t>2019, the</w:t>
      </w:r>
      <w:r w:rsidR="00214740" w:rsidRPr="0029160A">
        <w:rPr>
          <w:bCs/>
          <w:color w:val="000000" w:themeColor="text1"/>
          <w:szCs w:val="26"/>
        </w:rPr>
        <w:t xml:space="preserve"> Commission, </w:t>
      </w:r>
      <w:r w:rsidR="00214740" w:rsidRPr="0029160A">
        <w:rPr>
          <w:bCs/>
          <w:i/>
          <w:iCs/>
          <w:color w:val="000000" w:themeColor="text1"/>
          <w:szCs w:val="26"/>
        </w:rPr>
        <w:t>inter alia</w:t>
      </w:r>
      <w:r w:rsidR="00214740" w:rsidRPr="0029160A">
        <w:rPr>
          <w:bCs/>
          <w:color w:val="000000" w:themeColor="text1"/>
          <w:szCs w:val="26"/>
        </w:rPr>
        <w:t>, acknowledged Wellsboro</w:t>
      </w:r>
      <w:r w:rsidR="005C717E" w:rsidRPr="0029160A">
        <w:rPr>
          <w:bCs/>
          <w:color w:val="000000" w:themeColor="text1"/>
          <w:szCs w:val="26"/>
        </w:rPr>
        <w:t>’</w:t>
      </w:r>
      <w:r w:rsidR="00214740" w:rsidRPr="0029160A">
        <w:rPr>
          <w:bCs/>
          <w:color w:val="000000" w:themeColor="text1"/>
          <w:szCs w:val="26"/>
        </w:rPr>
        <w:t>s updated revenue request.</w:t>
      </w:r>
      <w:r w:rsidR="00214740" w:rsidRPr="0029160A">
        <w:rPr>
          <w:rStyle w:val="FootnoteReference"/>
          <w:bCs/>
          <w:color w:val="000000" w:themeColor="text1"/>
          <w:szCs w:val="26"/>
        </w:rPr>
        <w:footnoteReference w:id="2"/>
      </w:r>
      <w:r w:rsidR="00214740" w:rsidRPr="0029160A">
        <w:rPr>
          <w:bCs/>
          <w:color w:val="000000" w:themeColor="text1"/>
          <w:szCs w:val="26"/>
        </w:rPr>
        <w:t xml:space="preserve">  </w:t>
      </w:r>
    </w:p>
    <w:p w14:paraId="034816BC" w14:textId="77777777" w:rsidR="00214740" w:rsidRPr="0029160A" w:rsidRDefault="00214740">
      <w:pPr>
        <w:widowControl/>
        <w:spacing w:line="360" w:lineRule="auto"/>
        <w:ind w:right="72" w:firstLine="1440"/>
        <w:contextualSpacing/>
        <w:textAlignment w:val="baseline"/>
        <w:rPr>
          <w:bCs/>
          <w:color w:val="000000" w:themeColor="text1"/>
          <w:szCs w:val="26"/>
        </w:rPr>
      </w:pPr>
    </w:p>
    <w:p w14:paraId="7F9CDBD2" w14:textId="77777777" w:rsidR="00214740" w:rsidRPr="0029160A" w:rsidRDefault="00214740">
      <w:pPr>
        <w:widowControl/>
        <w:spacing w:line="360" w:lineRule="auto"/>
        <w:ind w:right="72" w:firstLine="1440"/>
        <w:textAlignment w:val="baseline"/>
        <w:rPr>
          <w:color w:val="000000" w:themeColor="text1"/>
          <w:szCs w:val="26"/>
        </w:rPr>
      </w:pPr>
      <w:r w:rsidRPr="0029160A">
        <w:rPr>
          <w:color w:val="000000" w:themeColor="text1"/>
          <w:szCs w:val="26"/>
        </w:rPr>
        <w:t xml:space="preserve">By Order entered on August 29, 2019, the Commission instituted an investigation to determine the lawfulness, justness, and reasonableness of the proposed rate increase and the tariff was suspended until March 30, 2020.  </w:t>
      </w:r>
    </w:p>
    <w:p w14:paraId="3FAA09F7" w14:textId="77777777" w:rsidR="00214740" w:rsidRPr="0029160A" w:rsidRDefault="00214740">
      <w:pPr>
        <w:widowControl/>
        <w:spacing w:line="360" w:lineRule="auto"/>
        <w:ind w:right="72" w:firstLine="1440"/>
        <w:textAlignment w:val="baseline"/>
        <w:rPr>
          <w:color w:val="000000" w:themeColor="text1"/>
          <w:szCs w:val="26"/>
        </w:rPr>
      </w:pPr>
    </w:p>
    <w:p w14:paraId="794D3141" w14:textId="77777777" w:rsidR="00214740" w:rsidRPr="0029160A" w:rsidRDefault="005969B8">
      <w:pPr>
        <w:widowControl/>
        <w:spacing w:line="360" w:lineRule="auto"/>
        <w:ind w:right="72" w:firstLine="1440"/>
        <w:textAlignment w:val="baseline"/>
        <w:rPr>
          <w:color w:val="000000" w:themeColor="text1"/>
          <w:szCs w:val="26"/>
        </w:rPr>
      </w:pPr>
      <w:r w:rsidRPr="0029160A">
        <w:rPr>
          <w:color w:val="000000" w:themeColor="text1"/>
          <w:szCs w:val="26"/>
        </w:rPr>
        <w:t>On July 19, 2019, I&amp;E filed a Notice of Appearance</w:t>
      </w:r>
      <w:r w:rsidR="00D8190B" w:rsidRPr="0029160A">
        <w:rPr>
          <w:color w:val="000000" w:themeColor="text1"/>
          <w:szCs w:val="26"/>
        </w:rPr>
        <w:t xml:space="preserve"> in the R-docket.  O</w:t>
      </w:r>
      <w:r w:rsidRPr="0029160A">
        <w:rPr>
          <w:color w:val="000000" w:themeColor="text1"/>
          <w:szCs w:val="26"/>
        </w:rPr>
        <w:t>n August 5, 2019, t</w:t>
      </w:r>
      <w:r w:rsidR="00E67719" w:rsidRPr="0029160A">
        <w:rPr>
          <w:color w:val="000000" w:themeColor="text1"/>
          <w:szCs w:val="26"/>
        </w:rPr>
        <w:t>he OCA filed a Formal Complaint</w:t>
      </w:r>
      <w:r w:rsidR="00D8190B" w:rsidRPr="0029160A">
        <w:rPr>
          <w:color w:val="000000" w:themeColor="text1"/>
          <w:szCs w:val="26"/>
        </w:rPr>
        <w:t>,</w:t>
      </w:r>
      <w:r w:rsidR="00E67719" w:rsidRPr="0029160A">
        <w:rPr>
          <w:color w:val="000000" w:themeColor="text1"/>
          <w:szCs w:val="26"/>
        </w:rPr>
        <w:t xml:space="preserve"> </w:t>
      </w:r>
      <w:r w:rsidR="00D8190B" w:rsidRPr="0029160A">
        <w:rPr>
          <w:color w:val="000000" w:themeColor="text1"/>
          <w:szCs w:val="26"/>
        </w:rPr>
        <w:t xml:space="preserve">docketed at C-2019-3011959.  </w:t>
      </w:r>
      <w:r w:rsidR="00E67719" w:rsidRPr="0029160A">
        <w:rPr>
          <w:color w:val="000000" w:themeColor="text1"/>
          <w:szCs w:val="26"/>
        </w:rPr>
        <w:t xml:space="preserve">On </w:t>
      </w:r>
      <w:r w:rsidR="00CF7757" w:rsidRPr="0029160A">
        <w:rPr>
          <w:color w:val="000000" w:themeColor="text1"/>
          <w:szCs w:val="26"/>
        </w:rPr>
        <w:t>September 3</w:t>
      </w:r>
      <w:r w:rsidR="00E67719" w:rsidRPr="0029160A">
        <w:rPr>
          <w:color w:val="000000" w:themeColor="text1"/>
          <w:szCs w:val="26"/>
        </w:rPr>
        <w:t>, 2019, the OSBA filed a Formal Complaint</w:t>
      </w:r>
      <w:r w:rsidR="00D8190B" w:rsidRPr="0029160A">
        <w:rPr>
          <w:color w:val="000000" w:themeColor="text1"/>
          <w:szCs w:val="26"/>
        </w:rPr>
        <w:t>,</w:t>
      </w:r>
      <w:r w:rsidR="00E67719" w:rsidRPr="0029160A">
        <w:rPr>
          <w:color w:val="000000" w:themeColor="text1"/>
          <w:szCs w:val="26"/>
        </w:rPr>
        <w:t xml:space="preserve"> docketed at C-2019-3012589.</w:t>
      </w:r>
      <w:r w:rsidR="00803CAE" w:rsidRPr="0029160A">
        <w:rPr>
          <w:bCs/>
          <w:color w:val="000000" w:themeColor="text1"/>
          <w:szCs w:val="26"/>
        </w:rPr>
        <w:t xml:space="preserve">  </w:t>
      </w:r>
    </w:p>
    <w:p w14:paraId="2167735E" w14:textId="77777777" w:rsidR="00214740" w:rsidRPr="0029160A" w:rsidRDefault="00214740">
      <w:pPr>
        <w:widowControl/>
        <w:spacing w:line="360" w:lineRule="auto"/>
        <w:ind w:right="72" w:firstLine="1440"/>
        <w:textAlignment w:val="baseline"/>
        <w:rPr>
          <w:bCs/>
          <w:color w:val="000000" w:themeColor="text1"/>
          <w:szCs w:val="26"/>
        </w:rPr>
      </w:pPr>
    </w:p>
    <w:p w14:paraId="18C18E3B" w14:textId="77777777" w:rsidR="00E67719" w:rsidRPr="0029160A" w:rsidRDefault="00E67719">
      <w:pPr>
        <w:widowControl/>
        <w:spacing w:line="360" w:lineRule="auto"/>
        <w:ind w:right="72" w:firstLine="1440"/>
        <w:textAlignment w:val="baseline"/>
        <w:rPr>
          <w:color w:val="000000" w:themeColor="text1"/>
          <w:szCs w:val="26"/>
        </w:rPr>
      </w:pPr>
      <w:r w:rsidRPr="0029160A">
        <w:rPr>
          <w:color w:val="000000" w:themeColor="text1"/>
          <w:szCs w:val="26"/>
        </w:rPr>
        <w:t xml:space="preserve">On October 2, 2019, Wellsboro filed a tariff supplement voluntarily extending the suspension period until May 1, 2020.  </w:t>
      </w:r>
    </w:p>
    <w:p w14:paraId="547A1FEF" w14:textId="77777777" w:rsidR="00E67719" w:rsidRPr="0029160A" w:rsidRDefault="00E67719">
      <w:pPr>
        <w:widowControl/>
        <w:spacing w:line="360" w:lineRule="auto"/>
        <w:ind w:right="72" w:firstLine="1440"/>
        <w:contextualSpacing/>
        <w:textAlignment w:val="baseline"/>
        <w:rPr>
          <w:color w:val="000000" w:themeColor="text1"/>
          <w:szCs w:val="26"/>
        </w:rPr>
      </w:pPr>
    </w:p>
    <w:p w14:paraId="6C27FDFF" w14:textId="6F9946E2" w:rsidR="00E67719" w:rsidRPr="0029160A" w:rsidRDefault="00E67719">
      <w:pPr>
        <w:widowControl/>
        <w:spacing w:line="360" w:lineRule="auto"/>
        <w:ind w:right="72" w:firstLine="1440"/>
        <w:contextualSpacing/>
        <w:textAlignment w:val="baseline"/>
        <w:rPr>
          <w:color w:val="000000" w:themeColor="text1"/>
          <w:szCs w:val="26"/>
        </w:rPr>
      </w:pPr>
      <w:r w:rsidRPr="0029160A">
        <w:rPr>
          <w:color w:val="000000" w:themeColor="text1"/>
          <w:szCs w:val="26"/>
        </w:rPr>
        <w:t>Evidentiary hearings were held on December 16 and 17, 2019,</w:t>
      </w:r>
      <w:r w:rsidR="00803CAE" w:rsidRPr="0029160A">
        <w:rPr>
          <w:color w:val="000000" w:themeColor="text1"/>
          <w:szCs w:val="26"/>
        </w:rPr>
        <w:t xml:space="preserve"> before</w:t>
      </w:r>
      <w:r w:rsidRPr="0029160A">
        <w:rPr>
          <w:color w:val="000000" w:themeColor="text1"/>
          <w:szCs w:val="26"/>
        </w:rPr>
        <w:t xml:space="preserve"> </w:t>
      </w:r>
      <w:r w:rsidR="00DD05A9" w:rsidRPr="0029160A">
        <w:rPr>
          <w:color w:val="000000" w:themeColor="text1"/>
          <w:szCs w:val="26"/>
        </w:rPr>
        <w:t>ALJs Haas</w:t>
      </w:r>
      <w:r w:rsidR="00803CAE" w:rsidRPr="0029160A">
        <w:rPr>
          <w:color w:val="000000" w:themeColor="text1"/>
          <w:szCs w:val="26"/>
        </w:rPr>
        <w:t xml:space="preserve"> </w:t>
      </w:r>
      <w:r w:rsidR="00DD05A9" w:rsidRPr="0029160A">
        <w:rPr>
          <w:color w:val="000000" w:themeColor="text1"/>
          <w:szCs w:val="26"/>
        </w:rPr>
        <w:t>and Myers</w:t>
      </w:r>
      <w:r w:rsidR="00803CAE" w:rsidRPr="0029160A">
        <w:rPr>
          <w:color w:val="000000" w:themeColor="text1"/>
          <w:szCs w:val="26"/>
        </w:rPr>
        <w:t>.</w:t>
      </w:r>
      <w:r w:rsidR="00803CAE" w:rsidRPr="0029160A">
        <w:rPr>
          <w:rStyle w:val="FootnoteReference"/>
          <w:color w:val="000000" w:themeColor="text1"/>
          <w:szCs w:val="26"/>
        </w:rPr>
        <w:footnoteReference w:id="3"/>
      </w:r>
      <w:r w:rsidR="00803CAE" w:rsidRPr="0029160A">
        <w:rPr>
          <w:color w:val="000000" w:themeColor="text1"/>
          <w:szCs w:val="26"/>
        </w:rPr>
        <w:t xml:space="preserve">  During the hearing, a</w:t>
      </w:r>
      <w:r w:rsidRPr="0029160A">
        <w:rPr>
          <w:color w:val="000000" w:themeColor="text1"/>
          <w:szCs w:val="26"/>
        </w:rPr>
        <w:t xml:space="preserve">ll prepared </w:t>
      </w:r>
      <w:r w:rsidR="007600A8" w:rsidRPr="0029160A">
        <w:rPr>
          <w:color w:val="000000" w:themeColor="text1"/>
          <w:szCs w:val="26"/>
        </w:rPr>
        <w:t xml:space="preserve">testimony </w:t>
      </w:r>
      <w:r w:rsidRPr="0029160A">
        <w:rPr>
          <w:color w:val="000000" w:themeColor="text1"/>
          <w:szCs w:val="26"/>
        </w:rPr>
        <w:t xml:space="preserve">and Exhibits were entered into the record by verification or by witness authentication.  </w:t>
      </w:r>
      <w:r w:rsidR="00803CAE" w:rsidRPr="0029160A">
        <w:rPr>
          <w:color w:val="000000" w:themeColor="text1"/>
          <w:szCs w:val="26"/>
        </w:rPr>
        <w:t xml:space="preserve">The </w:t>
      </w:r>
      <w:r w:rsidRPr="0029160A">
        <w:rPr>
          <w:color w:val="000000" w:themeColor="text1"/>
          <w:szCs w:val="26"/>
        </w:rPr>
        <w:t>Company</w:t>
      </w:r>
      <w:r w:rsidR="00803CAE" w:rsidRPr="0029160A">
        <w:rPr>
          <w:color w:val="000000" w:themeColor="text1"/>
          <w:szCs w:val="26"/>
        </w:rPr>
        <w:t>’s</w:t>
      </w:r>
      <w:r w:rsidRPr="0029160A">
        <w:rPr>
          <w:color w:val="000000" w:themeColor="text1"/>
          <w:szCs w:val="26"/>
        </w:rPr>
        <w:t xml:space="preserve"> witnesses </w:t>
      </w:r>
      <w:r w:rsidR="00CE4D45" w:rsidRPr="0029160A">
        <w:rPr>
          <w:color w:val="000000" w:themeColor="text1"/>
          <w:szCs w:val="26"/>
        </w:rPr>
        <w:t xml:space="preserve">Howard S. </w:t>
      </w:r>
      <w:r w:rsidRPr="0029160A">
        <w:rPr>
          <w:color w:val="000000" w:themeColor="text1"/>
          <w:szCs w:val="26"/>
        </w:rPr>
        <w:t xml:space="preserve">Gorman, </w:t>
      </w:r>
      <w:r w:rsidR="00CE4D45" w:rsidRPr="0029160A">
        <w:rPr>
          <w:color w:val="000000" w:themeColor="text1"/>
          <w:szCs w:val="26"/>
        </w:rPr>
        <w:t xml:space="preserve">Dylan W. </w:t>
      </w:r>
      <w:r w:rsidRPr="0029160A">
        <w:rPr>
          <w:color w:val="000000" w:themeColor="text1"/>
          <w:szCs w:val="26"/>
        </w:rPr>
        <w:t>D</w:t>
      </w:r>
      <w:r w:rsidR="00FC4B01" w:rsidRPr="0029160A">
        <w:rPr>
          <w:color w:val="000000" w:themeColor="text1"/>
          <w:szCs w:val="26"/>
        </w:rPr>
        <w:t>’</w:t>
      </w:r>
      <w:r w:rsidRPr="0029160A">
        <w:rPr>
          <w:color w:val="000000" w:themeColor="text1"/>
          <w:szCs w:val="26"/>
        </w:rPr>
        <w:t xml:space="preserve">Ascendis, and </w:t>
      </w:r>
      <w:r w:rsidR="003A045E" w:rsidRPr="0029160A">
        <w:rPr>
          <w:color w:val="000000" w:themeColor="text1"/>
          <w:szCs w:val="26"/>
        </w:rPr>
        <w:t xml:space="preserve">Byron </w:t>
      </w:r>
      <w:r w:rsidRPr="0029160A">
        <w:rPr>
          <w:color w:val="000000" w:themeColor="text1"/>
          <w:szCs w:val="26"/>
        </w:rPr>
        <w:t>Farnsworth were sworn in</w:t>
      </w:r>
      <w:r w:rsidR="00C61B5A" w:rsidRPr="0029160A">
        <w:rPr>
          <w:color w:val="000000" w:themeColor="text1"/>
          <w:szCs w:val="26"/>
        </w:rPr>
        <w:t>,</w:t>
      </w:r>
      <w:r w:rsidRPr="0029160A">
        <w:rPr>
          <w:color w:val="000000" w:themeColor="text1"/>
          <w:szCs w:val="26"/>
        </w:rPr>
        <w:t xml:space="preserve"> presented oral rejoinder testimony and </w:t>
      </w:r>
      <w:r w:rsidR="00C61B5A" w:rsidRPr="0029160A">
        <w:rPr>
          <w:color w:val="000000" w:themeColor="text1"/>
          <w:szCs w:val="26"/>
        </w:rPr>
        <w:t xml:space="preserve">were </w:t>
      </w:r>
      <w:r w:rsidRPr="0029160A">
        <w:rPr>
          <w:color w:val="000000" w:themeColor="text1"/>
          <w:szCs w:val="26"/>
        </w:rPr>
        <w:t xml:space="preserve">submitted to cross-examination.  I&amp;E witnesses </w:t>
      </w:r>
      <w:r w:rsidR="003A045E" w:rsidRPr="0029160A">
        <w:rPr>
          <w:color w:val="000000" w:themeColor="text1"/>
          <w:szCs w:val="26"/>
        </w:rPr>
        <w:t xml:space="preserve">D.C. </w:t>
      </w:r>
      <w:r w:rsidRPr="0029160A">
        <w:rPr>
          <w:color w:val="000000" w:themeColor="text1"/>
          <w:szCs w:val="26"/>
        </w:rPr>
        <w:t xml:space="preserve">Patel and </w:t>
      </w:r>
      <w:r w:rsidR="003A045E" w:rsidRPr="0029160A">
        <w:rPr>
          <w:color w:val="000000" w:themeColor="text1"/>
          <w:szCs w:val="26"/>
        </w:rPr>
        <w:t xml:space="preserve">Ethan </w:t>
      </w:r>
      <w:r w:rsidRPr="0029160A">
        <w:rPr>
          <w:color w:val="000000" w:themeColor="text1"/>
          <w:szCs w:val="26"/>
        </w:rPr>
        <w:t xml:space="preserve">Cline and OCA witnesses </w:t>
      </w:r>
      <w:r w:rsidR="003A045E" w:rsidRPr="0029160A">
        <w:rPr>
          <w:color w:val="000000" w:themeColor="text1"/>
          <w:szCs w:val="26"/>
        </w:rPr>
        <w:t xml:space="preserve">Stacy </w:t>
      </w:r>
      <w:r w:rsidRPr="0029160A">
        <w:rPr>
          <w:color w:val="000000" w:themeColor="text1"/>
          <w:szCs w:val="26"/>
        </w:rPr>
        <w:t xml:space="preserve">Sherwood, </w:t>
      </w:r>
      <w:r w:rsidR="003A045E" w:rsidRPr="0029160A">
        <w:rPr>
          <w:color w:val="000000" w:themeColor="text1"/>
          <w:szCs w:val="26"/>
        </w:rPr>
        <w:t xml:space="preserve">Lafayette </w:t>
      </w:r>
      <w:r w:rsidRPr="0029160A">
        <w:rPr>
          <w:color w:val="000000" w:themeColor="text1"/>
          <w:szCs w:val="26"/>
        </w:rPr>
        <w:t>Morgan</w:t>
      </w:r>
      <w:r w:rsidR="003A045E" w:rsidRPr="0029160A">
        <w:rPr>
          <w:color w:val="000000" w:themeColor="text1"/>
          <w:szCs w:val="26"/>
        </w:rPr>
        <w:t>, Jr.</w:t>
      </w:r>
      <w:r w:rsidRPr="0029160A">
        <w:rPr>
          <w:color w:val="000000" w:themeColor="text1"/>
          <w:szCs w:val="26"/>
        </w:rPr>
        <w:t xml:space="preserve">, and </w:t>
      </w:r>
      <w:r w:rsidR="003A045E" w:rsidRPr="0029160A">
        <w:rPr>
          <w:color w:val="000000" w:themeColor="text1"/>
          <w:szCs w:val="26"/>
        </w:rPr>
        <w:t xml:space="preserve">Jerome D. </w:t>
      </w:r>
      <w:r w:rsidRPr="0029160A">
        <w:rPr>
          <w:color w:val="000000" w:themeColor="text1"/>
          <w:szCs w:val="26"/>
        </w:rPr>
        <w:t xml:space="preserve">Mierzwa were sworn in and submitted to cross-examination.  </w:t>
      </w:r>
      <w:r w:rsidRPr="0029160A">
        <w:rPr>
          <w:color w:val="000000" w:themeColor="text1"/>
          <w:szCs w:val="26"/>
        </w:rPr>
        <w:lastRenderedPageBreak/>
        <w:t xml:space="preserve">The </w:t>
      </w:r>
      <w:r w:rsidR="00803CAE" w:rsidRPr="0029160A">
        <w:rPr>
          <w:color w:val="000000" w:themeColor="text1"/>
          <w:szCs w:val="26"/>
        </w:rPr>
        <w:t xml:space="preserve">prepared written </w:t>
      </w:r>
      <w:r w:rsidRPr="0029160A">
        <w:rPr>
          <w:color w:val="000000" w:themeColor="text1"/>
          <w:szCs w:val="26"/>
        </w:rPr>
        <w:t>testimon</w:t>
      </w:r>
      <w:r w:rsidR="00803CAE" w:rsidRPr="0029160A">
        <w:rPr>
          <w:color w:val="000000" w:themeColor="text1"/>
          <w:szCs w:val="26"/>
        </w:rPr>
        <w:t>ies</w:t>
      </w:r>
      <w:r w:rsidRPr="0029160A">
        <w:rPr>
          <w:color w:val="000000" w:themeColor="text1"/>
          <w:szCs w:val="26"/>
        </w:rPr>
        <w:t xml:space="preserve"> of other witnesses w</w:t>
      </w:r>
      <w:r w:rsidR="00803CAE" w:rsidRPr="0029160A">
        <w:rPr>
          <w:color w:val="000000" w:themeColor="text1"/>
          <w:szCs w:val="26"/>
        </w:rPr>
        <w:t>ere</w:t>
      </w:r>
      <w:r w:rsidRPr="0029160A">
        <w:rPr>
          <w:color w:val="000000" w:themeColor="text1"/>
          <w:szCs w:val="26"/>
        </w:rPr>
        <w:t xml:space="preserve"> entered into the record by stipulation without </w:t>
      </w:r>
      <w:r w:rsidR="00C61B5A" w:rsidRPr="0029160A">
        <w:rPr>
          <w:color w:val="000000" w:themeColor="text1"/>
          <w:szCs w:val="26"/>
        </w:rPr>
        <w:t>being sub</w:t>
      </w:r>
      <w:r w:rsidR="003625FF" w:rsidRPr="0029160A">
        <w:rPr>
          <w:color w:val="000000" w:themeColor="text1"/>
          <w:szCs w:val="26"/>
        </w:rPr>
        <w:t>mitted</w:t>
      </w:r>
      <w:r w:rsidR="00C61B5A" w:rsidRPr="0029160A">
        <w:rPr>
          <w:color w:val="000000" w:themeColor="text1"/>
          <w:szCs w:val="26"/>
        </w:rPr>
        <w:t xml:space="preserve"> to </w:t>
      </w:r>
      <w:r w:rsidRPr="0029160A">
        <w:rPr>
          <w:color w:val="000000" w:themeColor="text1"/>
          <w:szCs w:val="26"/>
        </w:rPr>
        <w:t>cross-examination.</w:t>
      </w:r>
    </w:p>
    <w:p w14:paraId="5548083C" w14:textId="77777777" w:rsidR="00E67719" w:rsidRPr="0029160A" w:rsidRDefault="00E67719">
      <w:pPr>
        <w:widowControl/>
        <w:spacing w:line="360" w:lineRule="auto"/>
        <w:ind w:right="72" w:firstLine="1440"/>
        <w:contextualSpacing/>
        <w:textAlignment w:val="baseline"/>
        <w:rPr>
          <w:color w:val="000000" w:themeColor="text1"/>
          <w:szCs w:val="26"/>
        </w:rPr>
      </w:pPr>
    </w:p>
    <w:p w14:paraId="4770D584" w14:textId="1586AF87" w:rsidR="00E67719" w:rsidRPr="0029160A" w:rsidRDefault="00902E47">
      <w:pPr>
        <w:widowControl/>
        <w:spacing w:line="360" w:lineRule="auto"/>
        <w:ind w:right="72" w:firstLine="1440"/>
        <w:contextualSpacing/>
        <w:textAlignment w:val="baseline"/>
        <w:rPr>
          <w:color w:val="000000" w:themeColor="text1"/>
          <w:szCs w:val="26"/>
        </w:rPr>
      </w:pPr>
      <w:r w:rsidRPr="0029160A">
        <w:rPr>
          <w:color w:val="000000" w:themeColor="text1"/>
          <w:szCs w:val="26"/>
        </w:rPr>
        <w:t xml:space="preserve">On January 8, </w:t>
      </w:r>
      <w:r w:rsidR="00DD05A9" w:rsidRPr="0029160A">
        <w:rPr>
          <w:color w:val="000000" w:themeColor="text1"/>
          <w:szCs w:val="26"/>
        </w:rPr>
        <w:t>2020, the</w:t>
      </w:r>
      <w:r w:rsidR="00FE1F29" w:rsidRPr="0029160A">
        <w:rPr>
          <w:color w:val="000000" w:themeColor="text1"/>
          <w:szCs w:val="26"/>
        </w:rPr>
        <w:t xml:space="preserve"> </w:t>
      </w:r>
      <w:r w:rsidRPr="0029160A">
        <w:rPr>
          <w:color w:val="000000" w:themeColor="text1"/>
          <w:szCs w:val="26"/>
        </w:rPr>
        <w:t>Parties</w:t>
      </w:r>
      <w:r w:rsidR="00287A77" w:rsidRPr="0029160A">
        <w:rPr>
          <w:color w:val="000000" w:themeColor="text1"/>
          <w:szCs w:val="26"/>
        </w:rPr>
        <w:t xml:space="preserve"> filed </w:t>
      </w:r>
      <w:r w:rsidR="00FE1F29" w:rsidRPr="0029160A">
        <w:rPr>
          <w:color w:val="000000" w:themeColor="text1"/>
          <w:szCs w:val="26"/>
        </w:rPr>
        <w:t xml:space="preserve">their </w:t>
      </w:r>
      <w:r w:rsidR="00B576E7" w:rsidRPr="0029160A">
        <w:rPr>
          <w:color w:val="000000" w:themeColor="text1"/>
          <w:szCs w:val="26"/>
        </w:rPr>
        <w:t>Main Briefs</w:t>
      </w:r>
      <w:r w:rsidR="00C61B5A" w:rsidRPr="0029160A">
        <w:rPr>
          <w:color w:val="000000" w:themeColor="text1"/>
          <w:szCs w:val="26"/>
        </w:rPr>
        <w:t>,</w:t>
      </w:r>
      <w:r w:rsidR="00FE1F29" w:rsidRPr="0029160A">
        <w:rPr>
          <w:color w:val="000000" w:themeColor="text1"/>
          <w:szCs w:val="26"/>
        </w:rPr>
        <w:t xml:space="preserve"> and</w:t>
      </w:r>
      <w:r w:rsidR="00C61B5A" w:rsidRPr="0029160A">
        <w:rPr>
          <w:color w:val="000000" w:themeColor="text1"/>
          <w:szCs w:val="26"/>
        </w:rPr>
        <w:t>,</w:t>
      </w:r>
      <w:r w:rsidR="00E67719" w:rsidRPr="0029160A">
        <w:rPr>
          <w:color w:val="000000" w:themeColor="text1"/>
          <w:szCs w:val="26"/>
        </w:rPr>
        <w:t xml:space="preserve"> </w:t>
      </w:r>
      <w:r w:rsidR="00FE1F29" w:rsidRPr="0029160A">
        <w:rPr>
          <w:color w:val="000000" w:themeColor="text1"/>
          <w:szCs w:val="26"/>
        </w:rPr>
        <w:t>o</w:t>
      </w:r>
      <w:r w:rsidR="00287A77" w:rsidRPr="0029160A">
        <w:rPr>
          <w:color w:val="000000" w:themeColor="text1"/>
          <w:szCs w:val="26"/>
        </w:rPr>
        <w:t xml:space="preserve">n January 22, 2020, </w:t>
      </w:r>
      <w:r w:rsidR="00DD05A9" w:rsidRPr="0029160A">
        <w:rPr>
          <w:color w:val="000000" w:themeColor="text1"/>
          <w:szCs w:val="26"/>
        </w:rPr>
        <w:t>the Parties</w:t>
      </w:r>
      <w:r w:rsidR="00287A77" w:rsidRPr="0029160A">
        <w:rPr>
          <w:color w:val="000000" w:themeColor="text1"/>
          <w:szCs w:val="26"/>
        </w:rPr>
        <w:t xml:space="preserve"> filed </w:t>
      </w:r>
      <w:r w:rsidR="00FE1F29" w:rsidRPr="0029160A">
        <w:rPr>
          <w:color w:val="000000" w:themeColor="text1"/>
          <w:szCs w:val="26"/>
        </w:rPr>
        <w:t xml:space="preserve">their </w:t>
      </w:r>
      <w:r w:rsidR="00287A77" w:rsidRPr="0029160A">
        <w:rPr>
          <w:color w:val="000000" w:themeColor="text1"/>
          <w:szCs w:val="26"/>
        </w:rPr>
        <w:t>Reply Briefs.</w:t>
      </w:r>
      <w:r w:rsidR="00E67719" w:rsidRPr="0029160A">
        <w:rPr>
          <w:color w:val="000000" w:themeColor="text1"/>
          <w:szCs w:val="26"/>
        </w:rPr>
        <w:t xml:space="preserve">  The record closed on January 22, 2020</w:t>
      </w:r>
      <w:r w:rsidR="00C42AA9" w:rsidRPr="0029160A">
        <w:rPr>
          <w:color w:val="000000" w:themeColor="text1"/>
          <w:szCs w:val="26"/>
        </w:rPr>
        <w:t>, after the Reply Briefs were filed</w:t>
      </w:r>
      <w:r w:rsidR="00E67719" w:rsidRPr="0029160A">
        <w:rPr>
          <w:color w:val="000000" w:themeColor="text1"/>
          <w:szCs w:val="26"/>
        </w:rPr>
        <w:t xml:space="preserve">.  </w:t>
      </w:r>
    </w:p>
    <w:p w14:paraId="4EBBFC1F" w14:textId="77777777" w:rsidR="00E67719" w:rsidRPr="0029160A" w:rsidRDefault="00E67719">
      <w:pPr>
        <w:widowControl/>
        <w:spacing w:line="360" w:lineRule="auto"/>
        <w:ind w:right="72" w:firstLine="1440"/>
        <w:contextualSpacing/>
        <w:textAlignment w:val="baseline"/>
        <w:rPr>
          <w:color w:val="000000" w:themeColor="text1"/>
          <w:szCs w:val="26"/>
        </w:rPr>
      </w:pPr>
    </w:p>
    <w:p w14:paraId="1CC422EE" w14:textId="6B089659" w:rsidR="007600A8" w:rsidRPr="0029160A" w:rsidRDefault="00E67719">
      <w:pPr>
        <w:widowControl/>
        <w:spacing w:line="360" w:lineRule="auto"/>
        <w:ind w:right="72" w:firstLine="1440"/>
        <w:textAlignment w:val="baseline"/>
        <w:rPr>
          <w:color w:val="000000" w:themeColor="text1"/>
          <w:szCs w:val="26"/>
        </w:rPr>
      </w:pPr>
      <w:r w:rsidRPr="0029160A">
        <w:rPr>
          <w:color w:val="000000" w:themeColor="text1"/>
          <w:szCs w:val="26"/>
        </w:rPr>
        <w:t>In their Recommended Decision issued on February 28, 2020, the ALJs recommended that the Company be permitted to file tariffs or tariff supplements containing rates designed to produce</w:t>
      </w:r>
      <w:r w:rsidR="00214740" w:rsidRPr="0029160A">
        <w:rPr>
          <w:color w:val="000000" w:themeColor="text1"/>
          <w:szCs w:val="26"/>
        </w:rPr>
        <w:t xml:space="preserve"> a revenue increase of</w:t>
      </w:r>
      <w:r w:rsidRPr="0029160A">
        <w:rPr>
          <w:color w:val="000000" w:themeColor="text1"/>
          <w:szCs w:val="26"/>
        </w:rPr>
        <w:t xml:space="preserve"> $954,649</w:t>
      </w:r>
      <w:r w:rsidR="00214740" w:rsidRPr="0029160A">
        <w:rPr>
          <w:color w:val="000000" w:themeColor="text1"/>
          <w:szCs w:val="26"/>
        </w:rPr>
        <w:t>, or by approximately 18.23%, o</w:t>
      </w:r>
      <w:r w:rsidRPr="0029160A">
        <w:rPr>
          <w:color w:val="000000" w:themeColor="text1"/>
          <w:szCs w:val="26"/>
        </w:rPr>
        <w:t xml:space="preserve">ver its present annual operating revenues.  R.D. at 1. </w:t>
      </w:r>
    </w:p>
    <w:p w14:paraId="2B7CCCFE" w14:textId="77777777" w:rsidR="007600A8" w:rsidRPr="0029160A" w:rsidRDefault="007600A8">
      <w:pPr>
        <w:widowControl/>
        <w:spacing w:line="360" w:lineRule="auto"/>
        <w:ind w:right="72" w:firstLine="1440"/>
        <w:textAlignment w:val="baseline"/>
        <w:rPr>
          <w:color w:val="000000" w:themeColor="text1"/>
          <w:szCs w:val="26"/>
        </w:rPr>
      </w:pPr>
    </w:p>
    <w:p w14:paraId="6DD0FF84" w14:textId="77777777" w:rsidR="00461A7E" w:rsidRPr="0029160A" w:rsidRDefault="00E67719" w:rsidP="002734CE">
      <w:pPr>
        <w:widowControl/>
        <w:spacing w:line="360" w:lineRule="auto"/>
        <w:ind w:right="72" w:firstLine="1440"/>
        <w:textAlignment w:val="baseline"/>
        <w:rPr>
          <w:color w:val="000000" w:themeColor="text1"/>
          <w:szCs w:val="24"/>
        </w:rPr>
      </w:pPr>
      <w:r w:rsidRPr="0029160A">
        <w:rPr>
          <w:color w:val="000000" w:themeColor="text1"/>
          <w:szCs w:val="26"/>
        </w:rPr>
        <w:t>As previously noted, I&amp;E filed Exceptions</w:t>
      </w:r>
      <w:r w:rsidR="00214740" w:rsidRPr="0029160A">
        <w:rPr>
          <w:rStyle w:val="FootnoteReference"/>
          <w:color w:val="000000" w:themeColor="text1"/>
          <w:szCs w:val="26"/>
        </w:rPr>
        <w:footnoteReference w:id="4"/>
      </w:r>
      <w:r w:rsidR="00214740" w:rsidRPr="0029160A">
        <w:rPr>
          <w:color w:val="000000" w:themeColor="text1"/>
          <w:szCs w:val="26"/>
        </w:rPr>
        <w:t xml:space="preserve"> </w:t>
      </w:r>
      <w:r w:rsidRPr="0029160A">
        <w:rPr>
          <w:color w:val="000000" w:themeColor="text1"/>
          <w:szCs w:val="26"/>
        </w:rPr>
        <w:t>on March 12, 2020, and Replies to Exceptions on March 23, 2020.  The OCA and Wellsboro filed Exceptions on March 13, 2020 and Replies to Exceptions on March 23</w:t>
      </w:r>
      <w:r w:rsidRPr="0029160A">
        <w:rPr>
          <w:rFonts w:eastAsia="Calibri"/>
          <w:color w:val="000000" w:themeColor="text1"/>
          <w:szCs w:val="26"/>
        </w:rPr>
        <w:t>, 2020.</w:t>
      </w:r>
      <w:bookmarkStart w:id="6" w:name="_Toc10812923"/>
      <w:r w:rsidR="00803CAE" w:rsidRPr="0029160A">
        <w:rPr>
          <w:rFonts w:eastAsia="Calibri"/>
          <w:color w:val="000000" w:themeColor="text1"/>
          <w:szCs w:val="26"/>
        </w:rPr>
        <w:t xml:space="preserve"> </w:t>
      </w:r>
      <w:r w:rsidR="001122A8" w:rsidRPr="0029160A">
        <w:rPr>
          <w:rFonts w:eastAsia="Calibri"/>
          <w:color w:val="000000" w:themeColor="text1"/>
          <w:szCs w:val="26"/>
        </w:rPr>
        <w:t xml:space="preserve"> The </w:t>
      </w:r>
      <w:r w:rsidR="00803CAE" w:rsidRPr="0029160A">
        <w:rPr>
          <w:rFonts w:eastAsia="Calibri"/>
          <w:color w:val="000000" w:themeColor="text1"/>
          <w:szCs w:val="26"/>
        </w:rPr>
        <w:t>OSBA</w:t>
      </w:r>
      <w:r w:rsidR="001122A8" w:rsidRPr="0029160A">
        <w:rPr>
          <w:color w:val="000000" w:themeColor="text1"/>
          <w:szCs w:val="24"/>
        </w:rPr>
        <w:t xml:space="preserve"> filed Replies to Exceptions on March 24, 2020.</w:t>
      </w:r>
    </w:p>
    <w:p w14:paraId="05E76397" w14:textId="77777777" w:rsidR="009222F8" w:rsidRPr="0029160A" w:rsidRDefault="009222F8" w:rsidP="002734CE">
      <w:pPr>
        <w:widowControl/>
        <w:spacing w:line="360" w:lineRule="auto"/>
        <w:ind w:right="72" w:firstLine="1440"/>
        <w:textAlignment w:val="baseline"/>
        <w:rPr>
          <w:color w:val="000000" w:themeColor="text1"/>
          <w:szCs w:val="26"/>
        </w:rPr>
      </w:pPr>
    </w:p>
    <w:p w14:paraId="18E45C6B" w14:textId="77777777" w:rsidR="0032489B" w:rsidRPr="0029160A" w:rsidRDefault="00FD6333" w:rsidP="002734CE">
      <w:pPr>
        <w:pStyle w:val="Heading1"/>
        <w:widowControl/>
        <w:spacing w:before="0" w:line="360" w:lineRule="auto"/>
        <w:ind w:left="0" w:firstLine="0"/>
        <w:rPr>
          <w:rFonts w:cs="Times New Roman"/>
          <w:color w:val="000000" w:themeColor="text1"/>
          <w:szCs w:val="26"/>
        </w:rPr>
      </w:pPr>
      <w:bookmarkStart w:id="7" w:name="_Toc38951724"/>
      <w:bookmarkEnd w:id="6"/>
      <w:r w:rsidRPr="0029160A">
        <w:rPr>
          <w:rFonts w:cs="Times New Roman"/>
          <w:color w:val="000000" w:themeColor="text1"/>
          <w:szCs w:val="26"/>
        </w:rPr>
        <w:t>Discussion</w:t>
      </w:r>
      <w:bookmarkEnd w:id="7"/>
    </w:p>
    <w:p w14:paraId="0BBA3011" w14:textId="77777777" w:rsidR="00461A7E" w:rsidRPr="0029160A" w:rsidRDefault="00461A7E" w:rsidP="002734CE">
      <w:pPr>
        <w:keepNext/>
        <w:keepLines/>
        <w:widowControl/>
        <w:spacing w:line="360" w:lineRule="auto"/>
        <w:rPr>
          <w:color w:val="000000" w:themeColor="text1"/>
        </w:rPr>
      </w:pPr>
    </w:p>
    <w:p w14:paraId="00D2C2B0" w14:textId="77777777" w:rsidR="00FD6333" w:rsidRPr="0029160A" w:rsidRDefault="00FD6333" w:rsidP="002734CE">
      <w:pPr>
        <w:pStyle w:val="Heading2"/>
        <w:keepNext/>
        <w:keepLines/>
        <w:contextualSpacing w:val="0"/>
        <w:rPr>
          <w:color w:val="000000" w:themeColor="text1"/>
        </w:rPr>
      </w:pPr>
      <w:bookmarkStart w:id="8" w:name="_Toc38951725"/>
      <w:r w:rsidRPr="0029160A">
        <w:rPr>
          <w:color w:val="000000" w:themeColor="text1"/>
        </w:rPr>
        <w:t>Legal Standards</w:t>
      </w:r>
      <w:bookmarkEnd w:id="8"/>
      <w:r w:rsidRPr="0029160A">
        <w:rPr>
          <w:color w:val="000000" w:themeColor="text1"/>
        </w:rPr>
        <w:t xml:space="preserve"> </w:t>
      </w:r>
    </w:p>
    <w:p w14:paraId="30838A7E" w14:textId="77777777" w:rsidR="00FD6333" w:rsidRPr="0029160A" w:rsidRDefault="00FD6333" w:rsidP="002734CE">
      <w:pPr>
        <w:keepNext/>
        <w:keepLines/>
        <w:widowControl/>
        <w:spacing w:line="360" w:lineRule="auto"/>
        <w:rPr>
          <w:color w:val="000000" w:themeColor="text1"/>
        </w:rPr>
      </w:pPr>
    </w:p>
    <w:p w14:paraId="4164D23A" w14:textId="77777777" w:rsidR="00E67719" w:rsidRPr="0029160A" w:rsidRDefault="00E67719" w:rsidP="002734CE">
      <w:pPr>
        <w:widowControl/>
        <w:tabs>
          <w:tab w:val="left" w:pos="-720"/>
        </w:tabs>
        <w:spacing w:line="360" w:lineRule="auto"/>
        <w:ind w:firstLine="1440"/>
        <w:rPr>
          <w:color w:val="000000" w:themeColor="text1"/>
          <w:szCs w:val="26"/>
        </w:rPr>
      </w:pPr>
      <w:r w:rsidRPr="0029160A">
        <w:rPr>
          <w:color w:val="000000" w:themeColor="text1"/>
          <w:szCs w:val="26"/>
        </w:rPr>
        <w:t xml:space="preserve">At issue here is the Company’s </w:t>
      </w:r>
      <w:r w:rsidR="005969B8" w:rsidRPr="0029160A">
        <w:rPr>
          <w:color w:val="000000" w:themeColor="text1"/>
          <w:szCs w:val="26"/>
        </w:rPr>
        <w:t xml:space="preserve">request for a </w:t>
      </w:r>
      <w:r w:rsidRPr="0029160A">
        <w:rPr>
          <w:color w:val="000000" w:themeColor="text1"/>
          <w:szCs w:val="26"/>
        </w:rPr>
        <w:t xml:space="preserve">general </w:t>
      </w:r>
      <w:r w:rsidR="005969B8" w:rsidRPr="0029160A">
        <w:rPr>
          <w:color w:val="000000" w:themeColor="text1"/>
          <w:szCs w:val="26"/>
        </w:rPr>
        <w:t xml:space="preserve">base </w:t>
      </w:r>
      <w:r w:rsidRPr="0029160A">
        <w:rPr>
          <w:color w:val="000000" w:themeColor="text1"/>
          <w:szCs w:val="26"/>
        </w:rPr>
        <w:t>rate increase</w:t>
      </w:r>
      <w:r w:rsidR="005969B8" w:rsidRPr="0029160A">
        <w:rPr>
          <w:color w:val="000000" w:themeColor="text1"/>
          <w:szCs w:val="26"/>
        </w:rPr>
        <w:t>, which is</w:t>
      </w:r>
      <w:r w:rsidRPr="0029160A">
        <w:rPr>
          <w:color w:val="000000" w:themeColor="text1"/>
          <w:szCs w:val="26"/>
        </w:rPr>
        <w:t xml:space="preserve"> governed by Section 1308(d) of the </w:t>
      </w:r>
      <w:r w:rsidR="005969B8" w:rsidRPr="0029160A">
        <w:rPr>
          <w:color w:val="000000" w:themeColor="text1"/>
          <w:szCs w:val="26"/>
        </w:rPr>
        <w:t xml:space="preserve">Public Utility </w:t>
      </w:r>
      <w:r w:rsidRPr="0029160A">
        <w:rPr>
          <w:color w:val="000000" w:themeColor="text1"/>
          <w:szCs w:val="26"/>
        </w:rPr>
        <w:t>Code</w:t>
      </w:r>
      <w:r w:rsidR="005969B8" w:rsidRPr="0029160A">
        <w:rPr>
          <w:color w:val="000000" w:themeColor="text1"/>
          <w:szCs w:val="26"/>
        </w:rPr>
        <w:t xml:space="preserve"> (Code).  Section </w:t>
      </w:r>
      <w:r w:rsidR="005969B8" w:rsidRPr="0029160A">
        <w:rPr>
          <w:color w:val="000000" w:themeColor="text1"/>
          <w:szCs w:val="26"/>
        </w:rPr>
        <w:lastRenderedPageBreak/>
        <w:t xml:space="preserve">1308(d) of the Code </w:t>
      </w:r>
      <w:r w:rsidRPr="0029160A">
        <w:rPr>
          <w:color w:val="000000" w:themeColor="text1"/>
          <w:szCs w:val="26"/>
        </w:rPr>
        <w:t xml:space="preserve">provides the procedures for changing </w:t>
      </w:r>
      <w:r w:rsidR="005969B8" w:rsidRPr="0029160A">
        <w:rPr>
          <w:color w:val="000000" w:themeColor="text1"/>
          <w:szCs w:val="26"/>
        </w:rPr>
        <w:t xml:space="preserve">base </w:t>
      </w:r>
      <w:r w:rsidRPr="0029160A">
        <w:rPr>
          <w:color w:val="000000" w:themeColor="text1"/>
          <w:szCs w:val="26"/>
        </w:rPr>
        <w:t>rates, the time limitations for the suspension of the new rates, and the time limitations on the Commission’s actions. 66 Pa. C.S. § 1308(d).</w:t>
      </w:r>
      <w:bookmarkStart w:id="9" w:name="co_fnRef_B00022050131946_ID0EO2AE_1"/>
      <w:bookmarkEnd w:id="9"/>
      <w:r w:rsidRPr="0029160A">
        <w:rPr>
          <w:color w:val="000000" w:themeColor="text1"/>
          <w:szCs w:val="26"/>
          <w:vertAlign w:val="superscript"/>
        </w:rPr>
        <w:footnoteReference w:id="5"/>
      </w:r>
      <w:r w:rsidRPr="0029160A">
        <w:rPr>
          <w:color w:val="000000" w:themeColor="text1"/>
          <w:szCs w:val="26"/>
        </w:rPr>
        <w:t xml:space="preserve">  </w:t>
      </w:r>
      <w:r w:rsidRPr="0029160A">
        <w:rPr>
          <w:rFonts w:eastAsiaTheme="minorEastAsia"/>
          <w:color w:val="000000" w:themeColor="text1"/>
          <w:szCs w:val="26"/>
        </w:rPr>
        <w:t xml:space="preserve">“Under traditional ratemaking, utilities may not change rates charged to customers outside of a base rate case.” </w:t>
      </w:r>
      <w:r w:rsidRPr="0029160A">
        <w:rPr>
          <w:rFonts w:eastAsiaTheme="minorEastAsia"/>
          <w:i/>
          <w:iCs/>
          <w:color w:val="000000" w:themeColor="text1"/>
          <w:szCs w:val="26"/>
        </w:rPr>
        <w:t>McCloskey v. Pa. PUC</w:t>
      </w:r>
      <w:r w:rsidRPr="0029160A">
        <w:rPr>
          <w:rFonts w:eastAsiaTheme="minorEastAsia"/>
          <w:color w:val="000000" w:themeColor="text1"/>
          <w:szCs w:val="26"/>
        </w:rPr>
        <w:t>, 127 A.3d 860, 863 n.2 (Pa. Cmwlth. 2015).</w:t>
      </w:r>
    </w:p>
    <w:p w14:paraId="53E1C0DD" w14:textId="77777777" w:rsidR="00E67719" w:rsidRPr="0029160A" w:rsidRDefault="00E67719">
      <w:pPr>
        <w:widowControl/>
        <w:tabs>
          <w:tab w:val="left" w:pos="-720"/>
        </w:tabs>
        <w:spacing w:line="360" w:lineRule="auto"/>
        <w:ind w:firstLine="1440"/>
        <w:rPr>
          <w:color w:val="000000" w:themeColor="text1"/>
          <w:szCs w:val="26"/>
        </w:rPr>
      </w:pPr>
    </w:p>
    <w:p w14:paraId="16B0D2E0" w14:textId="7E3A5F1F" w:rsidR="00E67719" w:rsidRPr="0029160A" w:rsidRDefault="00E67719">
      <w:pPr>
        <w:widowControl/>
        <w:tabs>
          <w:tab w:val="left" w:pos="-720"/>
        </w:tabs>
        <w:spacing w:line="360" w:lineRule="auto"/>
        <w:ind w:firstLine="1440"/>
        <w:rPr>
          <w:rFonts w:eastAsiaTheme="minorEastAsia"/>
          <w:color w:val="000000" w:themeColor="text1"/>
          <w:szCs w:val="26"/>
        </w:rPr>
      </w:pPr>
      <w:r w:rsidRPr="0029160A">
        <w:rPr>
          <w:rFonts w:eastAsiaTheme="minorEastAsia"/>
          <w:color w:val="000000" w:themeColor="text1"/>
          <w:szCs w:val="26"/>
        </w:rPr>
        <w:t xml:space="preserve">Section 1301(a) of the Code mandates that “[e]very rate made, demanded, or received by any public utility ... shall be just and reasonable, and in conformity with [the] regulations or orders of the [C]ommission.” </w:t>
      </w:r>
      <w:r w:rsidR="000855B1" w:rsidRPr="0029160A">
        <w:rPr>
          <w:rFonts w:eastAsiaTheme="minorEastAsia"/>
          <w:color w:val="000000" w:themeColor="text1"/>
          <w:szCs w:val="26"/>
        </w:rPr>
        <w:t xml:space="preserve"> </w:t>
      </w:r>
      <w:r w:rsidRPr="0029160A">
        <w:rPr>
          <w:rFonts w:eastAsiaTheme="minorEastAsia"/>
          <w:color w:val="000000" w:themeColor="text1"/>
          <w:szCs w:val="26"/>
        </w:rPr>
        <w:t>66 Pa.</w:t>
      </w:r>
      <w:r w:rsidR="000855B1" w:rsidRPr="0029160A">
        <w:rPr>
          <w:rFonts w:eastAsiaTheme="minorEastAsia"/>
          <w:color w:val="000000" w:themeColor="text1"/>
          <w:szCs w:val="26"/>
        </w:rPr>
        <w:t xml:space="preserve"> </w:t>
      </w:r>
      <w:r w:rsidRPr="0029160A">
        <w:rPr>
          <w:rFonts w:eastAsiaTheme="minorEastAsia"/>
          <w:color w:val="000000" w:themeColor="text1"/>
          <w:szCs w:val="26"/>
        </w:rPr>
        <w:t xml:space="preserve">C.S. § 1301(a).  Pursuant to the just and reasonable standard, a utility may obtain “a rate that allows it to recover those expenses that are reasonably necessary to provide service to its customers[,] as well as a reasonable rate of return on its investment.” </w:t>
      </w:r>
      <w:r w:rsidRPr="0029160A">
        <w:rPr>
          <w:rFonts w:eastAsiaTheme="minorEastAsia"/>
          <w:i/>
          <w:iCs/>
          <w:color w:val="000000" w:themeColor="text1"/>
          <w:szCs w:val="26"/>
        </w:rPr>
        <w:t>City of Lancaster (Sewer Fund) v. Pa. PUC</w:t>
      </w:r>
      <w:r w:rsidRPr="0029160A">
        <w:rPr>
          <w:rFonts w:eastAsiaTheme="minorEastAsia"/>
          <w:color w:val="000000" w:themeColor="text1"/>
          <w:szCs w:val="26"/>
        </w:rPr>
        <w:t>, 793 A.2d 978, 982 (Pa. Cmwlth. 2002).</w:t>
      </w:r>
      <w:r w:rsidR="004A088C" w:rsidRPr="0029160A">
        <w:rPr>
          <w:rFonts w:eastAsiaTheme="minorEastAsia"/>
          <w:color w:val="000000" w:themeColor="text1"/>
          <w:szCs w:val="26"/>
        </w:rPr>
        <w:t xml:space="preserve">  </w:t>
      </w:r>
      <w:r w:rsidRPr="0029160A">
        <w:rPr>
          <w:rFonts w:eastAsiaTheme="minorEastAsia"/>
          <w:color w:val="000000" w:themeColor="text1"/>
          <w:szCs w:val="26"/>
        </w:rPr>
        <w:t xml:space="preserve">There is no single way to arrive at just and reasonable rates, and “[t]he [Commission] has broad discretion in determining whether rates are reasonable” and “is vested with discretion to decide what factors it will consider in setting or evaluating a utility’s rates.” </w:t>
      </w:r>
      <w:r w:rsidR="000855B1" w:rsidRPr="0029160A">
        <w:rPr>
          <w:rFonts w:eastAsiaTheme="minorEastAsia"/>
          <w:color w:val="000000" w:themeColor="text1"/>
          <w:szCs w:val="26"/>
        </w:rPr>
        <w:t xml:space="preserve"> </w:t>
      </w:r>
      <w:r w:rsidRPr="0029160A">
        <w:rPr>
          <w:rFonts w:eastAsiaTheme="minorEastAsia"/>
          <w:i/>
          <w:iCs/>
          <w:color w:val="000000" w:themeColor="text1"/>
          <w:szCs w:val="26"/>
        </w:rPr>
        <w:t>Popowsky v. Pa. PUC</w:t>
      </w:r>
      <w:r w:rsidRPr="0029160A">
        <w:rPr>
          <w:rFonts w:eastAsiaTheme="minorEastAsia"/>
          <w:color w:val="000000" w:themeColor="text1"/>
          <w:szCs w:val="26"/>
        </w:rPr>
        <w:t>, 683 A.2d 958, 961 (Pa.</w:t>
      </w:r>
      <w:r w:rsidR="000855B1" w:rsidRPr="0029160A">
        <w:rPr>
          <w:rFonts w:eastAsiaTheme="minorEastAsia"/>
          <w:color w:val="000000" w:themeColor="text1"/>
          <w:szCs w:val="26"/>
        </w:rPr>
        <w:t> </w:t>
      </w:r>
      <w:r w:rsidRPr="0029160A">
        <w:rPr>
          <w:rFonts w:eastAsiaTheme="minorEastAsia"/>
          <w:color w:val="000000" w:themeColor="text1"/>
          <w:szCs w:val="26"/>
        </w:rPr>
        <w:t xml:space="preserve">Cmwlth. 1996). </w:t>
      </w:r>
    </w:p>
    <w:p w14:paraId="1896A721" w14:textId="77777777" w:rsidR="00E67719" w:rsidRPr="0029160A" w:rsidRDefault="00E67719">
      <w:pPr>
        <w:widowControl/>
        <w:tabs>
          <w:tab w:val="left" w:pos="-720"/>
        </w:tabs>
        <w:spacing w:line="360" w:lineRule="auto"/>
        <w:ind w:firstLine="1440"/>
        <w:rPr>
          <w:rFonts w:eastAsiaTheme="minorEastAsia"/>
          <w:color w:val="000000" w:themeColor="text1"/>
          <w:szCs w:val="26"/>
        </w:rPr>
      </w:pPr>
    </w:p>
    <w:p w14:paraId="669668F7" w14:textId="5D796791" w:rsidR="00E67719" w:rsidRPr="0029160A" w:rsidRDefault="00E67719">
      <w:pPr>
        <w:widowControl/>
        <w:tabs>
          <w:tab w:val="left" w:pos="-720"/>
        </w:tabs>
        <w:spacing w:line="360" w:lineRule="auto"/>
        <w:ind w:firstLine="1440"/>
        <w:rPr>
          <w:rFonts w:eastAsiaTheme="minorHAnsi"/>
          <w:color w:val="000000" w:themeColor="text1"/>
          <w:szCs w:val="26"/>
        </w:rPr>
      </w:pPr>
      <w:r w:rsidRPr="0029160A">
        <w:rPr>
          <w:color w:val="000000" w:themeColor="text1"/>
          <w:szCs w:val="26"/>
        </w:rPr>
        <w:t xml:space="preserve">The Commission is required to investigate all general rate increase filings. </w:t>
      </w:r>
      <w:r w:rsidRPr="0029160A">
        <w:rPr>
          <w:i/>
          <w:iCs/>
          <w:color w:val="000000" w:themeColor="text1"/>
          <w:szCs w:val="26"/>
        </w:rPr>
        <w:t>Popowsky</w:t>
      </w:r>
      <w:r w:rsidRPr="0029160A">
        <w:rPr>
          <w:color w:val="000000" w:themeColor="text1"/>
          <w:szCs w:val="26"/>
        </w:rPr>
        <w:t>, 683 A.2d at 961</w:t>
      </w:r>
      <w:r w:rsidRPr="0029160A">
        <w:rPr>
          <w:color w:val="000000" w:themeColor="text1"/>
          <w:sz w:val="20"/>
        </w:rPr>
        <w:t>.</w:t>
      </w:r>
      <w:r w:rsidRPr="0029160A">
        <w:rPr>
          <w:rFonts w:eastAsiaTheme="minorHAnsi"/>
          <w:color w:val="000000" w:themeColor="text1"/>
          <w:szCs w:val="26"/>
        </w:rPr>
        <w:t xml:space="preserve">  </w:t>
      </w:r>
      <w:bookmarkStart w:id="10" w:name="co_anchor_B32050131946_1"/>
      <w:bookmarkEnd w:id="10"/>
      <w:r w:rsidRPr="0029160A">
        <w:rPr>
          <w:rFonts w:eastAsiaTheme="minorHAnsi"/>
          <w:color w:val="000000" w:themeColor="text1"/>
          <w:szCs w:val="26"/>
        </w:rPr>
        <w:t xml:space="preserve">The burden of proof to establish the justness and reasonableness of every element of a public utility’s rate increase request rests solely upon the public utility in all proceedings filed under Section 1308(d) of the Code.  </w:t>
      </w:r>
      <w:r w:rsidRPr="0029160A">
        <w:rPr>
          <w:rFonts w:eastAsiaTheme="minorHAnsi"/>
          <w:color w:val="000000" w:themeColor="text1"/>
          <w:szCs w:val="26"/>
        </w:rPr>
        <w:lastRenderedPageBreak/>
        <w:t>66</w:t>
      </w:r>
      <w:r w:rsidR="000855B1" w:rsidRPr="0029160A">
        <w:rPr>
          <w:rFonts w:eastAsiaTheme="minorHAnsi"/>
          <w:color w:val="000000" w:themeColor="text1"/>
          <w:szCs w:val="26"/>
        </w:rPr>
        <w:t> </w:t>
      </w:r>
      <w:r w:rsidRPr="0029160A">
        <w:rPr>
          <w:rFonts w:eastAsiaTheme="minorHAnsi"/>
          <w:color w:val="000000" w:themeColor="text1"/>
          <w:szCs w:val="26"/>
        </w:rPr>
        <w:t>Pa.</w:t>
      </w:r>
      <w:r w:rsidR="000855B1" w:rsidRPr="0029160A">
        <w:rPr>
          <w:rFonts w:eastAsiaTheme="minorHAnsi"/>
          <w:color w:val="000000" w:themeColor="text1"/>
          <w:szCs w:val="26"/>
        </w:rPr>
        <w:t> </w:t>
      </w:r>
      <w:r w:rsidRPr="0029160A">
        <w:rPr>
          <w:rFonts w:eastAsiaTheme="minorHAnsi"/>
          <w:color w:val="000000" w:themeColor="text1"/>
          <w:szCs w:val="26"/>
        </w:rPr>
        <w:t>C.S. 315(a); s</w:t>
      </w:r>
      <w:r w:rsidRPr="0029160A">
        <w:rPr>
          <w:i/>
          <w:iCs/>
          <w:color w:val="000000" w:themeColor="text1"/>
          <w:szCs w:val="26"/>
        </w:rPr>
        <w:t>ee also</w:t>
      </w:r>
      <w:r w:rsidR="0071290C" w:rsidRPr="0029160A">
        <w:rPr>
          <w:i/>
          <w:iCs/>
          <w:color w:val="000000" w:themeColor="text1"/>
          <w:szCs w:val="26"/>
        </w:rPr>
        <w:t>,</w:t>
      </w:r>
      <w:r w:rsidRPr="0029160A">
        <w:rPr>
          <w:color w:val="000000" w:themeColor="text1"/>
          <w:szCs w:val="26"/>
        </w:rPr>
        <w:t xml:space="preserve"> </w:t>
      </w:r>
      <w:r w:rsidRPr="0029160A">
        <w:rPr>
          <w:i/>
          <w:iCs/>
          <w:color w:val="000000" w:themeColor="text1"/>
          <w:szCs w:val="26"/>
        </w:rPr>
        <w:t>Lower Frederick Twp. Water Co. v. Pa. PUC</w:t>
      </w:r>
      <w:r w:rsidRPr="0029160A">
        <w:rPr>
          <w:color w:val="000000" w:themeColor="text1"/>
          <w:szCs w:val="26"/>
        </w:rPr>
        <w:t>, 409 A.2d 505, 507 (Pa. Cmwlth. 1980) (</w:t>
      </w:r>
      <w:r w:rsidRPr="0029160A">
        <w:rPr>
          <w:i/>
          <w:iCs/>
          <w:color w:val="000000" w:themeColor="text1"/>
          <w:szCs w:val="26"/>
        </w:rPr>
        <w:t>Lower Frederick</w:t>
      </w:r>
      <w:r w:rsidRPr="0029160A">
        <w:rPr>
          <w:color w:val="000000" w:themeColor="text1"/>
          <w:szCs w:val="26"/>
        </w:rPr>
        <w:t xml:space="preserve">); </w:t>
      </w:r>
      <w:r w:rsidRPr="0029160A">
        <w:rPr>
          <w:rFonts w:eastAsiaTheme="minorHAnsi"/>
          <w:i/>
          <w:color w:val="000000" w:themeColor="text1"/>
          <w:szCs w:val="26"/>
        </w:rPr>
        <w:t>see also</w:t>
      </w:r>
      <w:r w:rsidRPr="0029160A">
        <w:rPr>
          <w:rFonts w:eastAsiaTheme="minorHAnsi"/>
          <w:color w:val="000000" w:themeColor="text1"/>
          <w:szCs w:val="26"/>
        </w:rPr>
        <w:t xml:space="preserve">, </w:t>
      </w:r>
      <w:r w:rsidRPr="0029160A">
        <w:rPr>
          <w:rFonts w:eastAsiaTheme="minorHAnsi"/>
          <w:i/>
          <w:color w:val="000000" w:themeColor="text1"/>
          <w:szCs w:val="26"/>
        </w:rPr>
        <w:t>Brockway Glass Co. v. Pa. PUC</w:t>
      </w:r>
      <w:r w:rsidRPr="0029160A">
        <w:rPr>
          <w:rFonts w:eastAsiaTheme="minorHAnsi"/>
          <w:color w:val="000000" w:themeColor="text1"/>
          <w:szCs w:val="26"/>
        </w:rPr>
        <w:t>, 437 A.2d 1067 (Pa. Cmwlth. 1981).  Section 315(a) of the Code provides as follows:</w:t>
      </w:r>
    </w:p>
    <w:p w14:paraId="3345AC9D" w14:textId="77777777" w:rsidR="00E67719" w:rsidRPr="0029160A" w:rsidRDefault="00E67719" w:rsidP="000855B1">
      <w:pPr>
        <w:widowControl/>
        <w:ind w:right="1440"/>
        <w:contextualSpacing/>
        <w:rPr>
          <w:rFonts w:eastAsiaTheme="minorHAnsi"/>
          <w:b/>
          <w:color w:val="000000" w:themeColor="text1"/>
          <w:szCs w:val="26"/>
        </w:rPr>
      </w:pPr>
    </w:p>
    <w:p w14:paraId="12FBD78F" w14:textId="77777777" w:rsidR="00E67719" w:rsidRPr="0029160A" w:rsidRDefault="00E67719">
      <w:pPr>
        <w:widowControl/>
        <w:ind w:left="1440" w:right="1440"/>
        <w:contextualSpacing/>
        <w:rPr>
          <w:rFonts w:eastAsiaTheme="minorHAnsi"/>
          <w:color w:val="000000" w:themeColor="text1"/>
          <w:szCs w:val="26"/>
        </w:rPr>
      </w:pPr>
      <w:r w:rsidRPr="0029160A">
        <w:rPr>
          <w:rFonts w:eastAsiaTheme="minorHAnsi"/>
          <w:b/>
          <w:color w:val="000000" w:themeColor="text1"/>
          <w:szCs w:val="26"/>
        </w:rPr>
        <w:t>Reasonableness of rates.</w:t>
      </w:r>
      <w:r w:rsidRPr="0029160A">
        <w:rPr>
          <w:rFonts w:eastAsiaTheme="minorHAnsi"/>
          <w:color w:val="000000" w:themeColor="text1"/>
          <w:szCs w:val="26"/>
        </w:rPr>
        <w:t xml:space="preserve">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w:t>
      </w:r>
    </w:p>
    <w:p w14:paraId="6289383A" w14:textId="77777777" w:rsidR="00E67719" w:rsidRPr="0029160A" w:rsidRDefault="00E67719">
      <w:pPr>
        <w:widowControl/>
        <w:spacing w:line="360" w:lineRule="auto"/>
        <w:ind w:left="1440" w:right="1440"/>
        <w:contextualSpacing/>
        <w:rPr>
          <w:rFonts w:eastAsiaTheme="minorHAnsi"/>
          <w:color w:val="000000" w:themeColor="text1"/>
          <w:szCs w:val="26"/>
        </w:rPr>
      </w:pPr>
    </w:p>
    <w:p w14:paraId="453EFA83" w14:textId="69E5FA4B" w:rsidR="00E67719" w:rsidRPr="0029160A" w:rsidRDefault="00E67719">
      <w:pPr>
        <w:widowControl/>
        <w:spacing w:line="360" w:lineRule="auto"/>
        <w:rPr>
          <w:rFonts w:eastAsiaTheme="minorHAnsi"/>
          <w:color w:val="000000" w:themeColor="text1"/>
          <w:szCs w:val="26"/>
        </w:rPr>
      </w:pPr>
      <w:r w:rsidRPr="0029160A">
        <w:rPr>
          <w:rFonts w:eastAsiaTheme="minorHAnsi"/>
          <w:color w:val="000000" w:themeColor="text1"/>
          <w:szCs w:val="26"/>
        </w:rPr>
        <w:t>66 Pa.</w:t>
      </w:r>
      <w:r w:rsidR="000855B1" w:rsidRPr="0029160A">
        <w:rPr>
          <w:rFonts w:eastAsiaTheme="minorHAnsi"/>
          <w:color w:val="000000" w:themeColor="text1"/>
          <w:szCs w:val="26"/>
        </w:rPr>
        <w:t xml:space="preserve"> </w:t>
      </w:r>
      <w:r w:rsidRPr="0029160A">
        <w:rPr>
          <w:rFonts w:eastAsiaTheme="minorHAnsi"/>
          <w:color w:val="000000" w:themeColor="text1"/>
          <w:szCs w:val="26"/>
        </w:rPr>
        <w:t>C.S. § 315(a).  The evidence necessary to meet that burden must be substantial.</w:t>
      </w:r>
      <w:r w:rsidRPr="0029160A">
        <w:rPr>
          <w:color w:val="000000" w:themeColor="text1"/>
          <w:szCs w:val="26"/>
        </w:rPr>
        <w:t xml:space="preserve"> </w:t>
      </w:r>
      <w:r w:rsidRPr="0029160A">
        <w:rPr>
          <w:i/>
          <w:iCs/>
          <w:color w:val="000000" w:themeColor="text1"/>
          <w:szCs w:val="26"/>
        </w:rPr>
        <w:t>Lower Frederick</w:t>
      </w:r>
      <w:r w:rsidRPr="0029160A">
        <w:rPr>
          <w:color w:val="000000" w:themeColor="text1"/>
          <w:szCs w:val="26"/>
        </w:rPr>
        <w:t xml:space="preserve"> at 507.</w:t>
      </w:r>
    </w:p>
    <w:p w14:paraId="1C1D4D95" w14:textId="77777777" w:rsidR="00E67719" w:rsidRPr="0029160A" w:rsidRDefault="00E67719">
      <w:pPr>
        <w:widowControl/>
        <w:spacing w:line="360" w:lineRule="auto"/>
        <w:rPr>
          <w:rFonts w:eastAsiaTheme="minorHAnsi"/>
          <w:color w:val="000000" w:themeColor="text1"/>
          <w:szCs w:val="26"/>
        </w:rPr>
      </w:pPr>
    </w:p>
    <w:p w14:paraId="2B360660" w14:textId="77777777" w:rsidR="00E67719" w:rsidRPr="0029160A" w:rsidRDefault="00E67719">
      <w:pPr>
        <w:widowControl/>
        <w:spacing w:line="360" w:lineRule="auto"/>
        <w:ind w:firstLine="1440"/>
        <w:rPr>
          <w:rFonts w:eastAsiaTheme="minorHAnsi"/>
          <w:color w:val="000000" w:themeColor="text1"/>
          <w:szCs w:val="26"/>
        </w:rPr>
      </w:pPr>
      <w:r w:rsidRPr="0029160A">
        <w:rPr>
          <w:rFonts w:eastAsiaTheme="minorHAnsi"/>
          <w:color w:val="000000" w:themeColor="text1"/>
          <w:szCs w:val="26"/>
        </w:rPr>
        <w:t>In general rate increase proceedings, the burden of proof does not shift to parties challenging a requested rate increase.  Rather, the utility’s burden of establishing the justness and reasonableness of every component of its rate request is an affirmative one, and that burden remains with the public utility throughout the course of the rate proceeding.  There is no similar burden placed on parties to justify a proposed adjustment to the Company’s filing.  The Pennsylvania Supreme Court has held:</w:t>
      </w:r>
    </w:p>
    <w:p w14:paraId="529F6206" w14:textId="77777777" w:rsidR="00E67719" w:rsidRPr="0029160A" w:rsidRDefault="00E67719">
      <w:pPr>
        <w:widowControl/>
        <w:ind w:firstLine="1440"/>
        <w:rPr>
          <w:rFonts w:eastAsiaTheme="minorHAnsi"/>
          <w:color w:val="000000" w:themeColor="text1"/>
          <w:szCs w:val="26"/>
        </w:rPr>
      </w:pPr>
    </w:p>
    <w:p w14:paraId="47804F27" w14:textId="77777777" w:rsidR="00E67719" w:rsidRPr="0029160A" w:rsidRDefault="00E67719">
      <w:pPr>
        <w:widowControl/>
        <w:ind w:left="1440" w:right="1296"/>
        <w:contextualSpacing/>
        <w:rPr>
          <w:rFonts w:eastAsiaTheme="minorHAnsi"/>
          <w:color w:val="000000" w:themeColor="text1"/>
          <w:szCs w:val="26"/>
        </w:rPr>
      </w:pPr>
      <w:r w:rsidRPr="0029160A">
        <w:rPr>
          <w:rFonts w:eastAsiaTheme="minorHAnsi"/>
          <w:color w:val="000000" w:themeColor="text1"/>
          <w:szCs w:val="26"/>
        </w:rPr>
        <w:t xml:space="preserve">[T]he appellants did not have the burden of proving that the plant additions were improper, unnecessary or too costly; on the contrary, that burden is, by statute, on the utility to </w:t>
      </w:r>
    </w:p>
    <w:p w14:paraId="2069763E" w14:textId="77777777" w:rsidR="00E67719" w:rsidRPr="0029160A" w:rsidRDefault="00E67719" w:rsidP="00CB0B2E">
      <w:pPr>
        <w:keepNext/>
        <w:widowControl/>
        <w:ind w:left="1440" w:right="1296"/>
        <w:contextualSpacing/>
        <w:rPr>
          <w:rFonts w:eastAsiaTheme="minorHAnsi"/>
          <w:color w:val="000000" w:themeColor="text1"/>
          <w:szCs w:val="26"/>
        </w:rPr>
      </w:pPr>
      <w:r w:rsidRPr="0029160A">
        <w:rPr>
          <w:rFonts w:eastAsiaTheme="minorHAnsi"/>
          <w:color w:val="000000" w:themeColor="text1"/>
          <w:szCs w:val="26"/>
        </w:rPr>
        <w:t>demonstrate the reasonable necessity and cost of the installations, and that is the burden which the utility patently failed to carry.</w:t>
      </w:r>
    </w:p>
    <w:p w14:paraId="08E9F1A8" w14:textId="77777777" w:rsidR="00E67719" w:rsidRPr="0029160A" w:rsidRDefault="00E67719" w:rsidP="00CB0B2E">
      <w:pPr>
        <w:keepNext/>
        <w:widowControl/>
        <w:spacing w:line="360" w:lineRule="auto"/>
        <w:ind w:left="1440" w:right="1296"/>
        <w:contextualSpacing/>
        <w:rPr>
          <w:rFonts w:eastAsiaTheme="minorHAnsi"/>
          <w:color w:val="000000" w:themeColor="text1"/>
          <w:szCs w:val="26"/>
        </w:rPr>
      </w:pPr>
    </w:p>
    <w:p w14:paraId="11E8784D" w14:textId="77777777" w:rsidR="00E67719" w:rsidRPr="0029160A" w:rsidRDefault="00E67719" w:rsidP="00CB0B2E">
      <w:pPr>
        <w:keepNext/>
        <w:widowControl/>
        <w:spacing w:line="360" w:lineRule="auto"/>
        <w:ind w:right="1440"/>
        <w:contextualSpacing/>
        <w:rPr>
          <w:rFonts w:eastAsiaTheme="minorHAnsi"/>
          <w:color w:val="000000" w:themeColor="text1"/>
          <w:szCs w:val="26"/>
        </w:rPr>
      </w:pPr>
      <w:r w:rsidRPr="0029160A">
        <w:rPr>
          <w:rFonts w:eastAsiaTheme="minorHAnsi"/>
          <w:i/>
          <w:color w:val="000000" w:themeColor="text1"/>
          <w:szCs w:val="26"/>
        </w:rPr>
        <w:t>Berner v. Pa. PUC</w:t>
      </w:r>
      <w:r w:rsidRPr="0029160A">
        <w:rPr>
          <w:rFonts w:eastAsiaTheme="minorHAnsi"/>
          <w:color w:val="000000" w:themeColor="text1"/>
          <w:szCs w:val="26"/>
        </w:rPr>
        <w:t>, 116 A.2d 738, 744 (Pa. 1955).</w:t>
      </w:r>
    </w:p>
    <w:p w14:paraId="1E5BD347" w14:textId="77777777" w:rsidR="00E67719" w:rsidRPr="0029160A" w:rsidRDefault="00E67719">
      <w:pPr>
        <w:widowControl/>
        <w:spacing w:line="360" w:lineRule="auto"/>
        <w:ind w:right="1440"/>
        <w:contextualSpacing/>
        <w:rPr>
          <w:rFonts w:eastAsiaTheme="minorHAnsi"/>
          <w:color w:val="000000" w:themeColor="text1"/>
          <w:szCs w:val="26"/>
        </w:rPr>
      </w:pPr>
    </w:p>
    <w:p w14:paraId="43C51233" w14:textId="77777777" w:rsidR="00E67719" w:rsidRPr="0029160A" w:rsidRDefault="00E67719">
      <w:pPr>
        <w:widowControl/>
        <w:tabs>
          <w:tab w:val="left" w:pos="-720"/>
        </w:tabs>
        <w:spacing w:line="360" w:lineRule="auto"/>
        <w:ind w:firstLine="1440"/>
        <w:rPr>
          <w:rFonts w:eastAsiaTheme="minorHAnsi"/>
          <w:color w:val="000000" w:themeColor="text1"/>
          <w:szCs w:val="26"/>
        </w:rPr>
      </w:pPr>
      <w:r w:rsidRPr="0029160A">
        <w:rPr>
          <w:rFonts w:eastAsiaTheme="minorHAnsi"/>
          <w:color w:val="000000" w:themeColor="text1"/>
          <w:szCs w:val="26"/>
        </w:rPr>
        <w:t xml:space="preserve">However, in proving that its proposed rates are just and reasonable, a public utility need not affirmatively defend every claim it has made in its filing, even those </w:t>
      </w:r>
      <w:r w:rsidRPr="0029160A">
        <w:rPr>
          <w:rFonts w:eastAsiaTheme="minorHAnsi"/>
          <w:color w:val="000000" w:themeColor="text1"/>
          <w:szCs w:val="26"/>
        </w:rPr>
        <w:lastRenderedPageBreak/>
        <w:t>which no other party has questioned.  As the Pennsylvania Commonwealth Court has held:</w:t>
      </w:r>
    </w:p>
    <w:p w14:paraId="1EDE28F8" w14:textId="77777777" w:rsidR="00E67719" w:rsidRPr="0029160A" w:rsidRDefault="00E67719">
      <w:pPr>
        <w:widowControl/>
        <w:ind w:left="1440" w:right="1296"/>
        <w:contextualSpacing/>
        <w:rPr>
          <w:rFonts w:eastAsiaTheme="minorHAnsi"/>
          <w:color w:val="000000" w:themeColor="text1"/>
          <w:szCs w:val="26"/>
        </w:rPr>
      </w:pPr>
      <w:r w:rsidRPr="0029160A">
        <w:rPr>
          <w:rFonts w:eastAsiaTheme="minorHAnsi"/>
          <w:color w:val="000000" w:themeColor="text1"/>
          <w:szCs w:val="26"/>
        </w:rPr>
        <w:t>While it is axiomatic that a utility has the burden of proving the justness and reasonableness of its proposed rates, it cannot be called upon to account for every action absent prior notice that such action is to be challenged.</w:t>
      </w:r>
    </w:p>
    <w:p w14:paraId="4BD670F5" w14:textId="77777777" w:rsidR="00E67719" w:rsidRPr="0029160A" w:rsidRDefault="00E67719">
      <w:pPr>
        <w:widowControl/>
        <w:spacing w:line="360" w:lineRule="auto"/>
        <w:ind w:left="1440" w:right="1296"/>
        <w:contextualSpacing/>
        <w:rPr>
          <w:rFonts w:eastAsiaTheme="minorHAnsi"/>
          <w:color w:val="000000" w:themeColor="text1"/>
          <w:szCs w:val="26"/>
        </w:rPr>
      </w:pPr>
    </w:p>
    <w:p w14:paraId="7CB8500D" w14:textId="77777777" w:rsidR="00E67719" w:rsidRPr="0029160A" w:rsidRDefault="00E67719">
      <w:pPr>
        <w:widowControl/>
        <w:spacing w:line="360" w:lineRule="auto"/>
        <w:rPr>
          <w:rFonts w:eastAsiaTheme="minorHAnsi"/>
          <w:color w:val="000000" w:themeColor="text1"/>
          <w:szCs w:val="26"/>
        </w:rPr>
      </w:pPr>
      <w:r w:rsidRPr="0029160A">
        <w:rPr>
          <w:rFonts w:eastAsiaTheme="minorHAnsi"/>
          <w:i/>
          <w:color w:val="000000" w:themeColor="text1"/>
          <w:szCs w:val="26"/>
        </w:rPr>
        <w:t>Allegheny Center Assocs. v. Pa. PUC</w:t>
      </w:r>
      <w:r w:rsidRPr="0029160A">
        <w:rPr>
          <w:rFonts w:eastAsiaTheme="minorHAnsi"/>
          <w:color w:val="000000" w:themeColor="text1"/>
          <w:szCs w:val="26"/>
        </w:rPr>
        <w:t xml:space="preserve">, 570 A.2d 149, 153 (Pa. Cmwlth. 1990) (citation omitted); </w:t>
      </w:r>
      <w:r w:rsidRPr="0029160A">
        <w:rPr>
          <w:rFonts w:eastAsiaTheme="minorHAnsi"/>
          <w:i/>
          <w:iCs/>
          <w:color w:val="000000" w:themeColor="text1"/>
          <w:szCs w:val="26"/>
        </w:rPr>
        <w:t>s</w:t>
      </w:r>
      <w:r w:rsidRPr="0029160A">
        <w:rPr>
          <w:rFonts w:eastAsiaTheme="minorHAnsi"/>
          <w:i/>
          <w:color w:val="000000" w:themeColor="text1"/>
          <w:szCs w:val="26"/>
        </w:rPr>
        <w:t>ee also Pa. PUC v. Equitable Gas Co.</w:t>
      </w:r>
      <w:r w:rsidRPr="0029160A">
        <w:rPr>
          <w:rFonts w:eastAsiaTheme="minorHAnsi"/>
          <w:color w:val="000000" w:themeColor="text1"/>
          <w:szCs w:val="26"/>
        </w:rPr>
        <w:t>, 73 Pa. P.U.C. 310, 359-360 (1990).</w:t>
      </w:r>
    </w:p>
    <w:p w14:paraId="45E3F5E3" w14:textId="77777777" w:rsidR="00E67719" w:rsidRPr="0029160A" w:rsidRDefault="00E67719">
      <w:pPr>
        <w:widowControl/>
        <w:spacing w:line="360" w:lineRule="auto"/>
        <w:ind w:firstLine="1440"/>
        <w:rPr>
          <w:rFonts w:eastAsiaTheme="minorHAnsi"/>
          <w:color w:val="000000" w:themeColor="text1"/>
          <w:szCs w:val="26"/>
        </w:rPr>
      </w:pPr>
    </w:p>
    <w:p w14:paraId="555CE659" w14:textId="36BFECAF" w:rsidR="00B4347C" w:rsidRPr="0029160A" w:rsidRDefault="00E67719">
      <w:pPr>
        <w:widowControl/>
        <w:spacing w:line="360" w:lineRule="auto"/>
        <w:ind w:firstLine="1440"/>
        <w:rPr>
          <w:color w:val="000000" w:themeColor="text1"/>
          <w:szCs w:val="26"/>
        </w:rPr>
      </w:pPr>
      <w:r w:rsidRPr="0029160A">
        <w:rPr>
          <w:rFonts w:eastAsiaTheme="minorHAnsi"/>
          <w:color w:val="000000" w:themeColor="text1"/>
          <w:szCs w:val="26"/>
        </w:rPr>
        <w:t>Additionally, Section 315(a) of the Code cannot reasonably be read to place the burden of proof on the utility with respect to an issue the utility did not include in its general rate case filing and which, frequently, the utility would oppose.  66 Pa.</w:t>
      </w:r>
      <w:r w:rsidR="000855B1" w:rsidRPr="0029160A">
        <w:rPr>
          <w:rFonts w:eastAsiaTheme="minorHAnsi"/>
          <w:color w:val="000000" w:themeColor="text1"/>
          <w:szCs w:val="26"/>
        </w:rPr>
        <w:t xml:space="preserve"> </w:t>
      </w:r>
      <w:r w:rsidRPr="0029160A">
        <w:rPr>
          <w:rFonts w:eastAsiaTheme="minorHAnsi"/>
          <w:color w:val="000000" w:themeColor="text1"/>
          <w:szCs w:val="26"/>
        </w:rPr>
        <w:t>C.S. §</w:t>
      </w:r>
      <w:r w:rsidR="0071290C" w:rsidRPr="0029160A">
        <w:rPr>
          <w:rFonts w:eastAsiaTheme="minorHAnsi"/>
          <w:color w:val="000000" w:themeColor="text1"/>
          <w:szCs w:val="26"/>
        </w:rPr>
        <w:t> </w:t>
      </w:r>
      <w:r w:rsidRPr="0029160A">
        <w:rPr>
          <w:rFonts w:eastAsiaTheme="minorHAnsi"/>
          <w:color w:val="000000" w:themeColor="text1"/>
          <w:szCs w:val="26"/>
        </w:rPr>
        <w:t xml:space="preserve">315(a).  The burden of proof must be on the party who proposes a rate increase beyond that sought by the utility.  </w:t>
      </w:r>
      <w:r w:rsidRPr="0029160A">
        <w:rPr>
          <w:i/>
          <w:color w:val="000000" w:themeColor="text1"/>
          <w:szCs w:val="26"/>
        </w:rPr>
        <w:t>Pa. PUC v. Metropolitan Edison Company</w:t>
      </w:r>
      <w:r w:rsidRPr="0029160A">
        <w:rPr>
          <w:iCs/>
          <w:color w:val="000000" w:themeColor="text1"/>
          <w:szCs w:val="26"/>
        </w:rPr>
        <w:t>,</w:t>
      </w:r>
      <w:r w:rsidRPr="0029160A">
        <w:rPr>
          <w:i/>
          <w:color w:val="000000" w:themeColor="text1"/>
          <w:szCs w:val="26"/>
        </w:rPr>
        <w:t xml:space="preserve"> </w:t>
      </w:r>
      <w:r w:rsidRPr="0029160A">
        <w:rPr>
          <w:color w:val="000000" w:themeColor="text1"/>
          <w:szCs w:val="26"/>
        </w:rPr>
        <w:t xml:space="preserve">Docket No. </w:t>
      </w:r>
    </w:p>
    <w:p w14:paraId="67FDB8D9" w14:textId="77777777" w:rsidR="00E67719" w:rsidRPr="0029160A" w:rsidRDefault="00E67719">
      <w:pPr>
        <w:widowControl/>
        <w:spacing w:line="360" w:lineRule="auto"/>
        <w:rPr>
          <w:rFonts w:eastAsiaTheme="minorHAnsi"/>
          <w:color w:val="000000" w:themeColor="text1"/>
          <w:szCs w:val="26"/>
        </w:rPr>
      </w:pPr>
      <w:r w:rsidRPr="0029160A">
        <w:rPr>
          <w:color w:val="000000" w:themeColor="text1"/>
          <w:szCs w:val="26"/>
        </w:rPr>
        <w:t>R-00061366, 2007 Pa. PUC LEXIS 5 (Order entered January 11, 2007).</w:t>
      </w:r>
      <w:r w:rsidRPr="0029160A">
        <w:rPr>
          <w:color w:val="000000" w:themeColor="text1"/>
          <w:sz w:val="24"/>
        </w:rPr>
        <w:t xml:space="preserve">  </w:t>
      </w:r>
      <w:r w:rsidRPr="0029160A">
        <w:rPr>
          <w:rFonts w:eastAsiaTheme="minorHAnsi"/>
          <w:color w:val="000000" w:themeColor="text1"/>
          <w:szCs w:val="26"/>
        </w:rPr>
        <w:t xml:space="preserve">The mere rejection of evidence contrary to that presented by the public utility is not an impermissible shifting of the evidentiary burden.  </w:t>
      </w:r>
      <w:r w:rsidRPr="0029160A">
        <w:rPr>
          <w:rFonts w:eastAsiaTheme="minorHAnsi"/>
          <w:i/>
          <w:color w:val="000000" w:themeColor="text1"/>
          <w:szCs w:val="26"/>
        </w:rPr>
        <w:t>United States Steel Corp. v. Pa. PUC</w:t>
      </w:r>
      <w:r w:rsidRPr="0029160A">
        <w:rPr>
          <w:rFonts w:eastAsiaTheme="minorHAnsi"/>
          <w:color w:val="000000" w:themeColor="text1"/>
          <w:szCs w:val="26"/>
        </w:rPr>
        <w:t>, 456 A.2d 686 (Pa. Cmwlth. 1983).</w:t>
      </w:r>
    </w:p>
    <w:p w14:paraId="0BA958D8" w14:textId="77777777" w:rsidR="008B421D" w:rsidRPr="0029160A" w:rsidRDefault="008B421D">
      <w:pPr>
        <w:widowControl/>
        <w:spacing w:line="360" w:lineRule="auto"/>
        <w:rPr>
          <w:rFonts w:eastAsiaTheme="minorHAnsi"/>
          <w:color w:val="000000" w:themeColor="text1"/>
          <w:szCs w:val="26"/>
        </w:rPr>
      </w:pPr>
    </w:p>
    <w:p w14:paraId="7AC1FB2E" w14:textId="6487391B" w:rsidR="00E67719" w:rsidRPr="0029160A" w:rsidRDefault="00E67719">
      <w:pPr>
        <w:widowControl/>
        <w:spacing w:line="360" w:lineRule="auto"/>
        <w:ind w:firstLine="1440"/>
        <w:rPr>
          <w:color w:val="000000" w:themeColor="text1"/>
          <w:szCs w:val="26"/>
        </w:rPr>
      </w:pPr>
      <w:r w:rsidRPr="0029160A">
        <w:rPr>
          <w:rFonts w:eastAsiaTheme="minorHAnsi"/>
          <w:color w:val="000000" w:themeColor="text1"/>
          <w:szCs w:val="26"/>
        </w:rPr>
        <w:t xml:space="preserve">Finally, </w:t>
      </w:r>
      <w:r w:rsidR="00CE40EC" w:rsidRPr="0029160A">
        <w:rPr>
          <w:rFonts w:eastAsiaTheme="minorHAnsi"/>
          <w:color w:val="000000" w:themeColor="text1"/>
          <w:szCs w:val="26"/>
        </w:rPr>
        <w:t>any argument</w:t>
      </w:r>
      <w:r w:rsidR="00E13BF1" w:rsidRPr="0029160A">
        <w:rPr>
          <w:rFonts w:eastAsiaTheme="minorHAnsi"/>
          <w:color w:val="000000" w:themeColor="text1"/>
          <w:szCs w:val="26"/>
        </w:rPr>
        <w:t xml:space="preserve"> </w:t>
      </w:r>
      <w:r w:rsidRPr="0029160A">
        <w:rPr>
          <w:rFonts w:eastAsiaTheme="minorHAnsi"/>
          <w:color w:val="000000" w:themeColor="text1"/>
          <w:szCs w:val="26"/>
        </w:rPr>
        <w:t xml:space="preserve">or Exception that we do not specifically address </w:t>
      </w:r>
      <w:r w:rsidRPr="0029160A">
        <w:rPr>
          <w:color w:val="000000" w:themeColor="text1"/>
          <w:szCs w:val="26"/>
        </w:rPr>
        <w:t xml:space="preserve">shall be deemed to have been duly considered and denied without further discussion.  The Commission is not required to consider expressly or at length each contention or argument raised by the parties.  </w:t>
      </w:r>
      <w:hyperlink r:id="rId15" w:history="1">
        <w:r w:rsidRPr="0029160A">
          <w:rPr>
            <w:i/>
            <w:iCs/>
            <w:color w:val="000000" w:themeColor="text1"/>
            <w:szCs w:val="26"/>
          </w:rPr>
          <w:t>Consolidated Rail Corp. v. Pa. PUC</w:t>
        </w:r>
        <w:r w:rsidRPr="0029160A">
          <w:rPr>
            <w:color w:val="000000" w:themeColor="text1"/>
            <w:szCs w:val="26"/>
          </w:rPr>
          <w:t>, 625 A.2d 741 (Pa. Cmwlth. 1993);</w:t>
        </w:r>
      </w:hyperlink>
      <w:r w:rsidRPr="0029160A">
        <w:rPr>
          <w:color w:val="000000" w:themeColor="text1"/>
          <w:szCs w:val="26"/>
        </w:rPr>
        <w:t xml:space="preserve"> </w:t>
      </w:r>
      <w:r w:rsidRPr="0029160A">
        <w:rPr>
          <w:i/>
          <w:color w:val="000000" w:themeColor="text1"/>
          <w:szCs w:val="26"/>
        </w:rPr>
        <w:t xml:space="preserve">also </w:t>
      </w:r>
      <w:r w:rsidRPr="0029160A">
        <w:rPr>
          <w:i/>
          <w:iCs/>
          <w:color w:val="000000" w:themeColor="text1"/>
          <w:szCs w:val="26"/>
        </w:rPr>
        <w:t xml:space="preserve">see generally, </w:t>
      </w:r>
      <w:hyperlink r:id="rId16" w:history="1">
        <w:r w:rsidRPr="0029160A">
          <w:rPr>
            <w:i/>
            <w:iCs/>
            <w:color w:val="000000" w:themeColor="text1"/>
            <w:szCs w:val="26"/>
          </w:rPr>
          <w:t>University of Pennsylvania v. Pa. PUC</w:t>
        </w:r>
        <w:r w:rsidRPr="0029160A">
          <w:rPr>
            <w:color w:val="000000" w:themeColor="text1"/>
            <w:szCs w:val="26"/>
          </w:rPr>
          <w:t>, 485 A.2d 1217 (Pa. Cmwlth. 1984).</w:t>
        </w:r>
      </w:hyperlink>
    </w:p>
    <w:p w14:paraId="7ECE140F" w14:textId="77777777" w:rsidR="00E67719" w:rsidRPr="0029160A" w:rsidRDefault="00E67719">
      <w:pPr>
        <w:widowControl/>
        <w:spacing w:line="360" w:lineRule="auto"/>
        <w:rPr>
          <w:color w:val="000000" w:themeColor="text1"/>
        </w:rPr>
      </w:pPr>
    </w:p>
    <w:p w14:paraId="42E4897F" w14:textId="77777777" w:rsidR="00461A7E" w:rsidRPr="0029160A" w:rsidRDefault="00461A7E" w:rsidP="00CB0B2E">
      <w:pPr>
        <w:pStyle w:val="Heading2"/>
        <w:keepNext/>
        <w:rPr>
          <w:color w:val="000000" w:themeColor="text1"/>
        </w:rPr>
      </w:pPr>
      <w:bookmarkStart w:id="11" w:name="_Toc36552341"/>
      <w:bookmarkStart w:id="12" w:name="_Toc38951726"/>
      <w:r w:rsidRPr="0029160A">
        <w:rPr>
          <w:color w:val="000000" w:themeColor="text1"/>
        </w:rPr>
        <w:lastRenderedPageBreak/>
        <w:t>Review of ALJs’ Uncontested Recommendations</w:t>
      </w:r>
      <w:bookmarkEnd w:id="11"/>
      <w:bookmarkEnd w:id="12"/>
    </w:p>
    <w:p w14:paraId="547BA554" w14:textId="77777777" w:rsidR="00461A7E" w:rsidRPr="0029160A" w:rsidRDefault="00461A7E" w:rsidP="00CB0B2E">
      <w:pPr>
        <w:keepNext/>
        <w:widowControl/>
        <w:spacing w:line="360" w:lineRule="auto"/>
        <w:rPr>
          <w:color w:val="000000" w:themeColor="text1"/>
        </w:rPr>
      </w:pPr>
    </w:p>
    <w:p w14:paraId="26825957" w14:textId="77777777" w:rsidR="00AD56AF" w:rsidRPr="0029160A" w:rsidRDefault="00397541" w:rsidP="00CB0B2E">
      <w:pPr>
        <w:keepNext/>
        <w:widowControl/>
        <w:spacing w:line="360" w:lineRule="auto"/>
        <w:ind w:left="72" w:right="72" w:firstLine="1440"/>
        <w:textAlignment w:val="baseline"/>
        <w:rPr>
          <w:color w:val="000000" w:themeColor="text1"/>
          <w:szCs w:val="26"/>
        </w:rPr>
      </w:pPr>
      <w:r w:rsidRPr="0029160A">
        <w:rPr>
          <w:color w:val="000000" w:themeColor="text1"/>
          <w:szCs w:val="26"/>
        </w:rPr>
        <w:t>Our review of the ALJs</w:t>
      </w:r>
      <w:r w:rsidR="00004506" w:rsidRPr="0029160A">
        <w:rPr>
          <w:color w:val="000000" w:themeColor="text1"/>
          <w:szCs w:val="26"/>
        </w:rPr>
        <w:t>’</w:t>
      </w:r>
      <w:r w:rsidRPr="0029160A">
        <w:rPr>
          <w:color w:val="000000" w:themeColor="text1"/>
          <w:szCs w:val="26"/>
        </w:rPr>
        <w:t xml:space="preserve"> uncontested recommendations pertains to all matters which </w:t>
      </w:r>
      <w:r w:rsidR="00B24747" w:rsidRPr="0029160A">
        <w:rPr>
          <w:color w:val="000000" w:themeColor="text1"/>
          <w:szCs w:val="26"/>
        </w:rPr>
        <w:t>were not</w:t>
      </w:r>
      <w:r w:rsidR="003817E6" w:rsidRPr="0029160A">
        <w:rPr>
          <w:color w:val="000000" w:themeColor="text1"/>
          <w:szCs w:val="26"/>
        </w:rPr>
        <w:t xml:space="preserve"> raised</w:t>
      </w:r>
      <w:r w:rsidR="00B24747" w:rsidRPr="0029160A">
        <w:rPr>
          <w:color w:val="000000" w:themeColor="text1"/>
          <w:szCs w:val="26"/>
        </w:rPr>
        <w:t xml:space="preserve"> expressly </w:t>
      </w:r>
      <w:r w:rsidR="003817E6" w:rsidRPr="0029160A">
        <w:rPr>
          <w:color w:val="000000" w:themeColor="text1"/>
          <w:szCs w:val="26"/>
        </w:rPr>
        <w:t xml:space="preserve">or </w:t>
      </w:r>
      <w:r w:rsidR="00A511DE" w:rsidRPr="0029160A">
        <w:rPr>
          <w:color w:val="000000" w:themeColor="text1"/>
          <w:szCs w:val="26"/>
        </w:rPr>
        <w:t>by implication in</w:t>
      </w:r>
      <w:r w:rsidRPr="0029160A">
        <w:rPr>
          <w:color w:val="000000" w:themeColor="text1"/>
          <w:szCs w:val="26"/>
        </w:rPr>
        <w:t xml:space="preserve"> the Exceptions filed by Wellsboro, I&amp;E and the OCA.  Therefore, our review of the ALJs</w:t>
      </w:r>
      <w:r w:rsidR="006849D3" w:rsidRPr="0029160A">
        <w:rPr>
          <w:color w:val="000000" w:themeColor="text1"/>
          <w:szCs w:val="26"/>
        </w:rPr>
        <w:t>’</w:t>
      </w:r>
      <w:r w:rsidRPr="0029160A">
        <w:rPr>
          <w:color w:val="000000" w:themeColor="text1"/>
          <w:szCs w:val="26"/>
        </w:rPr>
        <w:t xml:space="preserve"> uncontested recommendations </w:t>
      </w:r>
      <w:r w:rsidR="00C61B5A" w:rsidRPr="0029160A">
        <w:rPr>
          <w:color w:val="000000" w:themeColor="text1"/>
          <w:szCs w:val="26"/>
        </w:rPr>
        <w:t xml:space="preserve">in the R.D. </w:t>
      </w:r>
      <w:r w:rsidRPr="0029160A">
        <w:rPr>
          <w:color w:val="000000" w:themeColor="text1"/>
          <w:szCs w:val="26"/>
        </w:rPr>
        <w:t>includes</w:t>
      </w:r>
      <w:r w:rsidR="007600A8" w:rsidRPr="0029160A">
        <w:rPr>
          <w:color w:val="000000" w:themeColor="text1"/>
          <w:szCs w:val="26"/>
        </w:rPr>
        <w:t xml:space="preserve"> the following</w:t>
      </w:r>
      <w:r w:rsidR="004758E9" w:rsidRPr="0029160A">
        <w:rPr>
          <w:color w:val="000000" w:themeColor="text1"/>
          <w:szCs w:val="26"/>
        </w:rPr>
        <w:t xml:space="preserve"> issues</w:t>
      </w:r>
      <w:r w:rsidRPr="0029160A">
        <w:rPr>
          <w:color w:val="000000" w:themeColor="text1"/>
          <w:szCs w:val="26"/>
        </w:rPr>
        <w:t xml:space="preserve">: </w:t>
      </w:r>
    </w:p>
    <w:p w14:paraId="71AA1F91" w14:textId="77777777" w:rsidR="00AD56AF" w:rsidRPr="0029160A" w:rsidRDefault="00AD56AF" w:rsidP="00FC4B01">
      <w:pPr>
        <w:pStyle w:val="ListParagraph"/>
        <w:widowControl/>
        <w:ind w:left="1080" w:right="72"/>
        <w:textAlignment w:val="baseline"/>
        <w:rPr>
          <w:color w:val="000000" w:themeColor="text1"/>
          <w:szCs w:val="26"/>
        </w:rPr>
      </w:pPr>
    </w:p>
    <w:p w14:paraId="2689EA06" w14:textId="1807CCBD" w:rsidR="00D5165C" w:rsidRPr="0029160A" w:rsidRDefault="00D5165C" w:rsidP="000855B1">
      <w:pPr>
        <w:pStyle w:val="ListParagraph"/>
        <w:widowControl/>
        <w:numPr>
          <w:ilvl w:val="0"/>
          <w:numId w:val="38"/>
        </w:numPr>
        <w:ind w:left="1440" w:right="72" w:hanging="720"/>
        <w:textAlignment w:val="baseline"/>
        <w:rPr>
          <w:color w:val="000000" w:themeColor="text1"/>
          <w:szCs w:val="26"/>
        </w:rPr>
      </w:pPr>
      <w:r w:rsidRPr="0029160A">
        <w:rPr>
          <w:color w:val="000000" w:themeColor="text1"/>
          <w:szCs w:val="26"/>
        </w:rPr>
        <w:t xml:space="preserve">Rate Base: Materials and </w:t>
      </w:r>
      <w:r w:rsidR="0075718F" w:rsidRPr="0029160A">
        <w:rPr>
          <w:color w:val="000000" w:themeColor="text1"/>
          <w:szCs w:val="26"/>
        </w:rPr>
        <w:t>S</w:t>
      </w:r>
      <w:r w:rsidRPr="0029160A">
        <w:rPr>
          <w:color w:val="000000" w:themeColor="text1"/>
          <w:szCs w:val="26"/>
        </w:rPr>
        <w:t>upplies;</w:t>
      </w:r>
      <w:r w:rsidRPr="0029160A">
        <w:rPr>
          <w:rFonts w:eastAsiaTheme="minorHAnsi"/>
          <w:color w:val="000000" w:themeColor="text1"/>
          <w:szCs w:val="26"/>
        </w:rPr>
        <w:t xml:space="preserve"> accumulated deferred income taxes (ADIT); excess deferred income taxes (EDIT); customer depos</w:t>
      </w:r>
      <w:r w:rsidR="00472638" w:rsidRPr="0029160A">
        <w:rPr>
          <w:rFonts w:eastAsiaTheme="minorHAnsi"/>
          <w:color w:val="000000" w:themeColor="text1"/>
          <w:szCs w:val="26"/>
        </w:rPr>
        <w:t>it</w:t>
      </w:r>
      <w:r w:rsidRPr="0029160A">
        <w:rPr>
          <w:rFonts w:eastAsiaTheme="minorHAnsi"/>
          <w:color w:val="000000" w:themeColor="text1"/>
          <w:szCs w:val="26"/>
        </w:rPr>
        <w:t>s; Construction Work</w:t>
      </w:r>
      <w:r w:rsidR="0075718F" w:rsidRPr="0029160A">
        <w:rPr>
          <w:rFonts w:eastAsiaTheme="minorHAnsi"/>
          <w:color w:val="000000" w:themeColor="text1"/>
          <w:szCs w:val="26"/>
        </w:rPr>
        <w:t>-</w:t>
      </w:r>
      <w:r w:rsidRPr="0029160A">
        <w:rPr>
          <w:rFonts w:eastAsiaTheme="minorHAnsi"/>
          <w:color w:val="000000" w:themeColor="text1"/>
          <w:szCs w:val="26"/>
        </w:rPr>
        <w:t>in</w:t>
      </w:r>
      <w:r w:rsidR="0075718F" w:rsidRPr="0029160A">
        <w:rPr>
          <w:rFonts w:eastAsiaTheme="minorHAnsi"/>
          <w:color w:val="000000" w:themeColor="text1"/>
          <w:szCs w:val="26"/>
        </w:rPr>
        <w:t>-</w:t>
      </w:r>
      <w:r w:rsidRPr="0029160A">
        <w:rPr>
          <w:rFonts w:eastAsiaTheme="minorHAnsi"/>
          <w:color w:val="000000" w:themeColor="text1"/>
          <w:szCs w:val="26"/>
        </w:rPr>
        <w:t>Progress (CWIP); accrued pension/</w:t>
      </w:r>
      <w:r w:rsidRPr="0029160A">
        <w:rPr>
          <w:color w:val="000000" w:themeColor="text1"/>
          <w:szCs w:val="26"/>
        </w:rPr>
        <w:t>Other Post-Employment Benefits (</w:t>
      </w:r>
      <w:r w:rsidRPr="0029160A">
        <w:rPr>
          <w:rFonts w:eastAsiaTheme="minorHAnsi"/>
          <w:color w:val="000000" w:themeColor="text1"/>
          <w:szCs w:val="26"/>
        </w:rPr>
        <w:t xml:space="preserve">OBEP) liability; </w:t>
      </w:r>
      <w:r w:rsidRPr="0029160A">
        <w:rPr>
          <w:rFonts w:eastAsiaTheme="minorHAnsi" w:cstheme="minorBidi"/>
          <w:color w:val="000000" w:themeColor="text1"/>
          <w:szCs w:val="26"/>
        </w:rPr>
        <w:t>and Cash Working Capital (CWC)</w:t>
      </w:r>
      <w:r w:rsidR="009961D7" w:rsidRPr="0029160A">
        <w:rPr>
          <w:rFonts w:eastAsiaTheme="minorHAnsi" w:cstheme="minorBidi"/>
          <w:color w:val="000000" w:themeColor="text1"/>
          <w:szCs w:val="26"/>
        </w:rPr>
        <w:t>;</w:t>
      </w:r>
    </w:p>
    <w:p w14:paraId="13E3B4D6" w14:textId="77777777" w:rsidR="00D5165C" w:rsidRPr="0029160A" w:rsidRDefault="00D5165C" w:rsidP="000855B1">
      <w:pPr>
        <w:pStyle w:val="ListParagraph"/>
        <w:widowControl/>
        <w:ind w:left="1440" w:right="72" w:hanging="720"/>
        <w:textAlignment w:val="baseline"/>
        <w:rPr>
          <w:color w:val="000000" w:themeColor="text1"/>
          <w:szCs w:val="26"/>
        </w:rPr>
      </w:pPr>
    </w:p>
    <w:p w14:paraId="219D2240" w14:textId="67331DED" w:rsidR="00AD56AF" w:rsidRPr="0029160A" w:rsidRDefault="00AD56AF" w:rsidP="000855B1">
      <w:pPr>
        <w:pStyle w:val="ListParagraph"/>
        <w:widowControl/>
        <w:numPr>
          <w:ilvl w:val="0"/>
          <w:numId w:val="38"/>
        </w:numPr>
        <w:ind w:left="1440" w:right="720" w:hanging="720"/>
        <w:textAlignment w:val="baseline"/>
        <w:rPr>
          <w:color w:val="000000" w:themeColor="text1"/>
          <w:szCs w:val="26"/>
        </w:rPr>
      </w:pPr>
      <w:r w:rsidRPr="0029160A">
        <w:rPr>
          <w:rFonts w:eastAsiaTheme="minorHAnsi" w:cstheme="minorBidi"/>
          <w:color w:val="000000" w:themeColor="text1"/>
          <w:szCs w:val="26"/>
        </w:rPr>
        <w:t>Revenue: Forfeited Discounts;</w:t>
      </w:r>
    </w:p>
    <w:p w14:paraId="2F0FFAB8" w14:textId="77777777" w:rsidR="00DC2967" w:rsidRPr="0029160A" w:rsidRDefault="00DC2967" w:rsidP="000855B1">
      <w:pPr>
        <w:widowControl/>
        <w:ind w:left="1440" w:right="720"/>
        <w:textAlignment w:val="baseline"/>
        <w:rPr>
          <w:color w:val="000000" w:themeColor="text1"/>
          <w:szCs w:val="26"/>
        </w:rPr>
      </w:pPr>
    </w:p>
    <w:p w14:paraId="2437C70B" w14:textId="437CB909" w:rsidR="00AD56AF" w:rsidRPr="0029160A" w:rsidRDefault="00AD56AF" w:rsidP="000855B1">
      <w:pPr>
        <w:pStyle w:val="ListParagraph"/>
        <w:widowControl/>
        <w:numPr>
          <w:ilvl w:val="0"/>
          <w:numId w:val="38"/>
        </w:numPr>
        <w:ind w:left="1440" w:right="720" w:hanging="720"/>
        <w:textAlignment w:val="baseline"/>
        <w:rPr>
          <w:color w:val="000000" w:themeColor="text1"/>
          <w:szCs w:val="26"/>
        </w:rPr>
      </w:pPr>
      <w:r w:rsidRPr="0029160A">
        <w:rPr>
          <w:rFonts w:eastAsiaTheme="minorHAnsi" w:cstheme="minorBidi"/>
          <w:color w:val="000000" w:themeColor="text1"/>
          <w:szCs w:val="26"/>
        </w:rPr>
        <w:t xml:space="preserve">Expenses: Regulatory Commission Expense </w:t>
      </w:r>
      <w:r w:rsidR="00472638" w:rsidRPr="0029160A">
        <w:rPr>
          <w:rFonts w:eastAsiaTheme="minorHAnsi" w:cstheme="minorBidi"/>
          <w:color w:val="000000" w:themeColor="text1"/>
          <w:szCs w:val="26"/>
        </w:rPr>
        <w:t xml:space="preserve">(Account 928) </w:t>
      </w:r>
      <w:r w:rsidRPr="0029160A">
        <w:rPr>
          <w:rFonts w:eastAsiaTheme="minorHAnsi" w:cstheme="minorBidi"/>
          <w:color w:val="000000" w:themeColor="text1"/>
          <w:szCs w:val="26"/>
        </w:rPr>
        <w:t>and CWC;</w:t>
      </w:r>
    </w:p>
    <w:p w14:paraId="4AAE8576" w14:textId="77777777" w:rsidR="00DC2967" w:rsidRPr="0029160A" w:rsidRDefault="00DC2967" w:rsidP="000855B1">
      <w:pPr>
        <w:widowControl/>
        <w:ind w:left="1440" w:right="720"/>
        <w:textAlignment w:val="baseline"/>
        <w:rPr>
          <w:color w:val="000000" w:themeColor="text1"/>
          <w:szCs w:val="26"/>
        </w:rPr>
      </w:pPr>
    </w:p>
    <w:p w14:paraId="0ADBCA04" w14:textId="49EF0457" w:rsidR="00AD56AF" w:rsidRPr="0029160A" w:rsidRDefault="00AD56AF" w:rsidP="000855B1">
      <w:pPr>
        <w:pStyle w:val="ListParagraph"/>
        <w:widowControl/>
        <w:numPr>
          <w:ilvl w:val="0"/>
          <w:numId w:val="38"/>
        </w:numPr>
        <w:ind w:left="1440" w:right="720" w:hanging="720"/>
        <w:textAlignment w:val="baseline"/>
        <w:rPr>
          <w:color w:val="000000" w:themeColor="text1"/>
          <w:szCs w:val="26"/>
        </w:rPr>
      </w:pPr>
      <w:r w:rsidRPr="0029160A">
        <w:rPr>
          <w:rFonts w:eastAsiaTheme="minorHAnsi" w:cstheme="minorBidi"/>
          <w:color w:val="000000" w:themeColor="text1"/>
          <w:szCs w:val="26"/>
        </w:rPr>
        <w:t xml:space="preserve">Rate of Return: </w:t>
      </w:r>
      <w:r w:rsidR="007600A8" w:rsidRPr="0029160A">
        <w:rPr>
          <w:rFonts w:eastAsiaTheme="minorHAnsi" w:cstheme="minorBidi"/>
          <w:color w:val="000000" w:themeColor="text1"/>
          <w:szCs w:val="26"/>
        </w:rPr>
        <w:t>Capital Structure and Cost of Debt;</w:t>
      </w:r>
    </w:p>
    <w:p w14:paraId="71864B27" w14:textId="77777777" w:rsidR="002E0E3A" w:rsidRPr="0029160A" w:rsidRDefault="002E0E3A" w:rsidP="000855B1">
      <w:pPr>
        <w:widowControl/>
        <w:ind w:left="1440" w:right="720"/>
        <w:textAlignment w:val="baseline"/>
        <w:rPr>
          <w:color w:val="000000" w:themeColor="text1"/>
          <w:szCs w:val="26"/>
        </w:rPr>
      </w:pPr>
    </w:p>
    <w:p w14:paraId="2CE1A6D7" w14:textId="7E95A6B4" w:rsidR="00AD56AF" w:rsidRPr="0029160A" w:rsidRDefault="00AD56AF" w:rsidP="000855B1">
      <w:pPr>
        <w:pStyle w:val="ListParagraph"/>
        <w:widowControl/>
        <w:numPr>
          <w:ilvl w:val="0"/>
          <w:numId w:val="38"/>
        </w:numPr>
        <w:ind w:left="1440" w:right="720" w:hanging="720"/>
        <w:textAlignment w:val="baseline"/>
        <w:rPr>
          <w:color w:val="000000" w:themeColor="text1"/>
          <w:szCs w:val="26"/>
        </w:rPr>
      </w:pPr>
      <w:r w:rsidRPr="0029160A">
        <w:rPr>
          <w:rFonts w:eastAsiaTheme="minorHAnsi" w:cstheme="minorBidi"/>
          <w:color w:val="000000" w:themeColor="text1"/>
          <w:szCs w:val="26"/>
        </w:rPr>
        <w:t xml:space="preserve">Taxes: </w:t>
      </w:r>
      <w:r w:rsidR="009A5DFE" w:rsidRPr="0029160A">
        <w:rPr>
          <w:rFonts w:eastAsiaTheme="minorHAnsi" w:cstheme="minorBidi"/>
          <w:color w:val="000000" w:themeColor="text1"/>
          <w:szCs w:val="26"/>
        </w:rPr>
        <w:t>EDIT</w:t>
      </w:r>
      <w:r w:rsidR="007600A8" w:rsidRPr="0029160A">
        <w:rPr>
          <w:rFonts w:eastAsiaTheme="minorHAnsi" w:cstheme="minorBidi"/>
          <w:color w:val="000000" w:themeColor="text1"/>
          <w:szCs w:val="26"/>
        </w:rPr>
        <w:t xml:space="preserve"> and Deferred Regulatory Liability; and</w:t>
      </w:r>
    </w:p>
    <w:p w14:paraId="4E29517C" w14:textId="77777777" w:rsidR="002E0E3A" w:rsidRPr="0029160A" w:rsidRDefault="002E0E3A" w:rsidP="000855B1">
      <w:pPr>
        <w:widowControl/>
        <w:ind w:left="1440" w:right="720"/>
        <w:textAlignment w:val="baseline"/>
        <w:rPr>
          <w:color w:val="000000" w:themeColor="text1"/>
          <w:szCs w:val="26"/>
        </w:rPr>
      </w:pPr>
    </w:p>
    <w:p w14:paraId="67CA4019" w14:textId="30AC7EED" w:rsidR="00AD56AF" w:rsidRPr="0029160A" w:rsidRDefault="00AD56AF" w:rsidP="000855B1">
      <w:pPr>
        <w:pStyle w:val="ListParagraph"/>
        <w:widowControl/>
        <w:numPr>
          <w:ilvl w:val="0"/>
          <w:numId w:val="38"/>
        </w:numPr>
        <w:ind w:left="1440" w:right="720" w:hanging="720"/>
        <w:textAlignment w:val="baseline"/>
        <w:rPr>
          <w:color w:val="000000" w:themeColor="text1"/>
          <w:szCs w:val="26"/>
        </w:rPr>
      </w:pPr>
      <w:r w:rsidRPr="0029160A">
        <w:rPr>
          <w:rFonts w:eastAsiaTheme="minorHAnsi" w:cstheme="minorBidi"/>
          <w:color w:val="000000" w:themeColor="text1"/>
          <w:szCs w:val="26"/>
        </w:rPr>
        <w:t>Rate Structure:</w:t>
      </w:r>
      <w:r w:rsidR="007600A8" w:rsidRPr="0029160A">
        <w:rPr>
          <w:rFonts w:eastAsiaTheme="minorHAnsi" w:cstheme="minorBidi"/>
          <w:color w:val="000000" w:themeColor="text1"/>
          <w:szCs w:val="26"/>
        </w:rPr>
        <w:t xml:space="preserve"> Scale Back</w:t>
      </w:r>
      <w:r w:rsidR="009961D7" w:rsidRPr="0029160A">
        <w:rPr>
          <w:rFonts w:eastAsiaTheme="minorHAnsi" w:cstheme="minorBidi"/>
          <w:color w:val="000000" w:themeColor="text1"/>
          <w:szCs w:val="26"/>
        </w:rPr>
        <w:t>.</w:t>
      </w:r>
    </w:p>
    <w:p w14:paraId="5509EF8C" w14:textId="77777777" w:rsidR="00120221" w:rsidRPr="0029160A" w:rsidRDefault="00120221">
      <w:pPr>
        <w:widowControl/>
        <w:spacing w:line="360" w:lineRule="auto"/>
        <w:ind w:right="72"/>
        <w:textAlignment w:val="baseline"/>
        <w:rPr>
          <w:i/>
          <w:color w:val="000000" w:themeColor="text1"/>
          <w:szCs w:val="26"/>
        </w:rPr>
      </w:pPr>
    </w:p>
    <w:p w14:paraId="7937C059" w14:textId="641CA470" w:rsidR="00397541" w:rsidRPr="0029160A" w:rsidRDefault="00397541" w:rsidP="0067382A">
      <w:pPr>
        <w:widowControl/>
        <w:spacing w:line="360" w:lineRule="auto"/>
        <w:ind w:right="72"/>
        <w:textAlignment w:val="baseline"/>
        <w:rPr>
          <w:color w:val="000000" w:themeColor="text1"/>
          <w:szCs w:val="26"/>
        </w:rPr>
      </w:pPr>
      <w:r w:rsidRPr="0029160A">
        <w:rPr>
          <w:color w:val="000000" w:themeColor="text1"/>
          <w:szCs w:val="26"/>
        </w:rPr>
        <w:t xml:space="preserve">R.D. at </w:t>
      </w:r>
      <w:r w:rsidR="00472638" w:rsidRPr="0029160A">
        <w:rPr>
          <w:color w:val="000000" w:themeColor="text1"/>
          <w:szCs w:val="26"/>
        </w:rPr>
        <w:t>12-17; 17-18; 39-40; 45; 50; 81-86; 125-129.</w:t>
      </w:r>
    </w:p>
    <w:p w14:paraId="6ADB0526" w14:textId="77777777" w:rsidR="00D72D1C" w:rsidRPr="0029160A" w:rsidRDefault="00D72D1C" w:rsidP="0067382A">
      <w:pPr>
        <w:widowControl/>
        <w:spacing w:line="360" w:lineRule="auto"/>
        <w:rPr>
          <w:color w:val="000000" w:themeColor="text1"/>
          <w:szCs w:val="26"/>
        </w:rPr>
      </w:pPr>
    </w:p>
    <w:p w14:paraId="6F617584" w14:textId="77777777" w:rsidR="007E215E" w:rsidRPr="0029160A" w:rsidRDefault="00461A7E" w:rsidP="00CB0B2E">
      <w:pPr>
        <w:pStyle w:val="Heading3"/>
        <w:keepNext/>
        <w:keepLines/>
        <w:spacing w:line="240" w:lineRule="auto"/>
        <w:ind w:left="1440" w:hanging="720"/>
        <w:rPr>
          <w:rFonts w:eastAsiaTheme="majorEastAsia"/>
          <w:color w:val="000000" w:themeColor="text1"/>
        </w:rPr>
      </w:pPr>
      <w:bookmarkStart w:id="13" w:name="_Toc36552342"/>
      <w:bookmarkStart w:id="14" w:name="_Toc38951727"/>
      <w:r w:rsidRPr="0029160A">
        <w:rPr>
          <w:color w:val="000000" w:themeColor="text1"/>
        </w:rPr>
        <w:t>Rate Base</w:t>
      </w:r>
      <w:bookmarkEnd w:id="13"/>
      <w:r w:rsidR="00472638" w:rsidRPr="0029160A">
        <w:rPr>
          <w:color w:val="000000" w:themeColor="text1"/>
        </w:rPr>
        <w:t>:</w:t>
      </w:r>
      <w:r w:rsidR="0032039B" w:rsidRPr="0029160A">
        <w:rPr>
          <w:rStyle w:val="FootnoteReference"/>
          <w:rFonts w:eastAsiaTheme="minorHAnsi" w:cstheme="minorBidi"/>
          <w:color w:val="000000" w:themeColor="text1"/>
        </w:rPr>
        <w:t xml:space="preserve"> </w:t>
      </w:r>
      <w:r w:rsidR="0032039B" w:rsidRPr="0029160A">
        <w:rPr>
          <w:rStyle w:val="FootnoteReference"/>
          <w:rFonts w:eastAsiaTheme="minorHAnsi" w:cstheme="minorBidi"/>
          <w:color w:val="000000" w:themeColor="text1"/>
        </w:rPr>
        <w:footnoteReference w:id="6"/>
      </w:r>
      <w:r w:rsidR="0032039B" w:rsidRPr="0029160A">
        <w:rPr>
          <w:rFonts w:eastAsiaTheme="minorHAnsi" w:cstheme="minorBidi"/>
          <w:color w:val="000000" w:themeColor="text1"/>
        </w:rPr>
        <w:t xml:space="preserve"> </w:t>
      </w:r>
      <w:r w:rsidR="00472638" w:rsidRPr="0029160A">
        <w:rPr>
          <w:color w:val="000000" w:themeColor="text1"/>
        </w:rPr>
        <w:t>Materials and Supplies; ADIT; EDIT; Customer Deposits; CWIP; Accrued Pension/OPEB Liability; CWC</w:t>
      </w:r>
      <w:bookmarkEnd w:id="14"/>
    </w:p>
    <w:p w14:paraId="08E64CC1" w14:textId="77777777" w:rsidR="006C2D23" w:rsidRPr="0029160A" w:rsidRDefault="006C2D23" w:rsidP="0067382A">
      <w:pPr>
        <w:keepNext/>
        <w:widowControl/>
        <w:spacing w:line="480" w:lineRule="auto"/>
        <w:ind w:firstLine="1440"/>
        <w:rPr>
          <w:rFonts w:eastAsiaTheme="majorEastAsia"/>
          <w:color w:val="000000" w:themeColor="text1"/>
          <w:szCs w:val="26"/>
        </w:rPr>
      </w:pPr>
    </w:p>
    <w:p w14:paraId="061B4F13" w14:textId="77777777" w:rsidR="00C60A9E" w:rsidRPr="0029160A" w:rsidRDefault="00C60A9E" w:rsidP="00CB0B2E">
      <w:pPr>
        <w:keepNext/>
        <w:widowControl/>
        <w:spacing w:line="360" w:lineRule="auto"/>
        <w:ind w:firstLine="1440"/>
        <w:rPr>
          <w:rFonts w:eastAsiaTheme="majorEastAsia"/>
          <w:color w:val="000000" w:themeColor="text1"/>
          <w:szCs w:val="26"/>
        </w:rPr>
      </w:pPr>
      <w:r w:rsidRPr="0029160A">
        <w:rPr>
          <w:rFonts w:eastAsiaTheme="majorEastAsia"/>
          <w:color w:val="000000" w:themeColor="text1"/>
          <w:szCs w:val="26"/>
        </w:rPr>
        <w:t>The Company state</w:t>
      </w:r>
      <w:r w:rsidR="009A5DFE" w:rsidRPr="0029160A">
        <w:rPr>
          <w:rFonts w:eastAsiaTheme="majorEastAsia"/>
          <w:color w:val="000000" w:themeColor="text1"/>
          <w:szCs w:val="26"/>
        </w:rPr>
        <w:t>d</w:t>
      </w:r>
      <w:r w:rsidRPr="0029160A">
        <w:rPr>
          <w:rFonts w:eastAsiaTheme="majorEastAsia"/>
          <w:color w:val="000000" w:themeColor="text1"/>
          <w:szCs w:val="26"/>
        </w:rPr>
        <w:t xml:space="preserve"> that its claim for a new rate base in this case is based upon data for the FPFTY ending December 31, 2020.  Wellsboro </w:t>
      </w:r>
      <w:r w:rsidR="00B576E7" w:rsidRPr="0029160A">
        <w:rPr>
          <w:rFonts w:eastAsiaTheme="majorEastAsia"/>
          <w:color w:val="000000" w:themeColor="text1"/>
          <w:szCs w:val="26"/>
        </w:rPr>
        <w:t>M.B.</w:t>
      </w:r>
      <w:r w:rsidRPr="0029160A">
        <w:rPr>
          <w:rFonts w:eastAsiaTheme="majorEastAsia"/>
          <w:color w:val="000000" w:themeColor="text1"/>
          <w:szCs w:val="26"/>
        </w:rPr>
        <w:t xml:space="preserve"> at 6; Wellsboro </w:t>
      </w:r>
      <w:r w:rsidR="00DC265B" w:rsidRPr="0029160A">
        <w:rPr>
          <w:rFonts w:eastAsiaTheme="majorEastAsia"/>
          <w:color w:val="000000" w:themeColor="text1"/>
          <w:szCs w:val="26"/>
        </w:rPr>
        <w:lastRenderedPageBreak/>
        <w:t>St.</w:t>
      </w:r>
      <w:r w:rsidRPr="0029160A">
        <w:rPr>
          <w:rFonts w:eastAsiaTheme="majorEastAsia"/>
          <w:color w:val="000000" w:themeColor="text1"/>
          <w:szCs w:val="26"/>
        </w:rPr>
        <w:t xml:space="preserve"> 1 at 2; Wellsboro </w:t>
      </w:r>
      <w:r w:rsidR="00DC265B" w:rsidRPr="0029160A">
        <w:rPr>
          <w:rFonts w:eastAsiaTheme="majorEastAsia"/>
          <w:color w:val="000000" w:themeColor="text1"/>
          <w:szCs w:val="26"/>
        </w:rPr>
        <w:t>St.</w:t>
      </w:r>
      <w:r w:rsidRPr="0029160A">
        <w:rPr>
          <w:rFonts w:eastAsiaTheme="majorEastAsia"/>
          <w:color w:val="000000" w:themeColor="text1"/>
          <w:szCs w:val="26"/>
        </w:rPr>
        <w:t xml:space="preserve"> 1-R, Exhibit_(HSG-1R), Schedule C1 (R).  The Company provided data for the HTY ending December 31, 2018.  Wellsboro </w:t>
      </w:r>
      <w:r w:rsidR="00DC265B" w:rsidRPr="0029160A">
        <w:rPr>
          <w:rFonts w:eastAsiaTheme="majorEastAsia"/>
          <w:color w:val="000000" w:themeColor="text1"/>
          <w:szCs w:val="26"/>
        </w:rPr>
        <w:t>St.</w:t>
      </w:r>
      <w:r w:rsidRPr="0029160A">
        <w:rPr>
          <w:rFonts w:eastAsiaTheme="majorEastAsia"/>
          <w:color w:val="000000" w:themeColor="text1"/>
          <w:szCs w:val="26"/>
        </w:rPr>
        <w:t xml:space="preserve"> 1 at 9, 10.</w:t>
      </w:r>
    </w:p>
    <w:p w14:paraId="60B53FE7" w14:textId="77777777" w:rsidR="00C60A9E" w:rsidRPr="0029160A" w:rsidRDefault="00C60A9E" w:rsidP="00CB0B2E">
      <w:pPr>
        <w:widowControl/>
        <w:spacing w:line="360" w:lineRule="auto"/>
        <w:ind w:firstLine="1440"/>
        <w:rPr>
          <w:rFonts w:asciiTheme="minorHAnsi" w:eastAsiaTheme="minorHAnsi" w:hAnsiTheme="minorHAnsi" w:cstheme="minorBidi"/>
          <w:color w:val="000000" w:themeColor="text1"/>
          <w:szCs w:val="26"/>
        </w:rPr>
      </w:pPr>
    </w:p>
    <w:p w14:paraId="24615D02" w14:textId="59A3732A" w:rsidR="00C60A9E" w:rsidRPr="0029160A" w:rsidRDefault="00C60A9E" w:rsidP="00CB0B2E">
      <w:pPr>
        <w:widowControl/>
        <w:spacing w:line="360" w:lineRule="auto"/>
        <w:ind w:firstLine="1440"/>
        <w:rPr>
          <w:rFonts w:eastAsiaTheme="minorHAnsi" w:cstheme="minorBidi"/>
          <w:color w:val="000000" w:themeColor="text1"/>
          <w:szCs w:val="26"/>
        </w:rPr>
      </w:pPr>
      <w:bookmarkStart w:id="15" w:name="_Hlk29369243"/>
      <w:r w:rsidRPr="0029160A">
        <w:rPr>
          <w:rFonts w:eastAsiaTheme="minorHAnsi" w:cstheme="minorBidi"/>
          <w:color w:val="000000" w:themeColor="text1"/>
          <w:szCs w:val="26"/>
        </w:rPr>
        <w:t xml:space="preserve">According to the Company, its final claimed rate base of $14,614,186 reflects all adjustments adopted by the Company in this proceeding.  Wellsboro </w:t>
      </w:r>
      <w:r w:rsidR="00B576E7" w:rsidRPr="0029160A">
        <w:rPr>
          <w:rFonts w:eastAsiaTheme="minorHAnsi" w:cstheme="minorBidi"/>
          <w:color w:val="000000" w:themeColor="text1"/>
          <w:szCs w:val="26"/>
        </w:rPr>
        <w:t>M.B.</w:t>
      </w:r>
      <w:r w:rsidRPr="0029160A">
        <w:rPr>
          <w:rFonts w:eastAsiaTheme="minorHAnsi" w:cstheme="minorBidi"/>
          <w:color w:val="000000" w:themeColor="text1"/>
          <w:szCs w:val="26"/>
        </w:rPr>
        <w:t xml:space="preserve"> at</w:t>
      </w:r>
      <w:r w:rsidR="002734CE" w:rsidRPr="0029160A">
        <w:rPr>
          <w:rFonts w:eastAsiaTheme="minorHAnsi" w:cstheme="minorBidi"/>
          <w:color w:val="000000" w:themeColor="text1"/>
          <w:szCs w:val="26"/>
        </w:rPr>
        <w:t> </w:t>
      </w:r>
      <w:r w:rsidRPr="0029160A">
        <w:rPr>
          <w:rFonts w:eastAsiaTheme="minorHAnsi" w:cstheme="minorBidi"/>
          <w:color w:val="000000" w:themeColor="text1"/>
          <w:szCs w:val="26"/>
        </w:rPr>
        <w:t xml:space="preserve">17; Wellsboro </w:t>
      </w:r>
      <w:r w:rsidR="00DC265B" w:rsidRPr="0029160A">
        <w:rPr>
          <w:rFonts w:eastAsiaTheme="minorHAnsi" w:cstheme="minorBidi"/>
          <w:color w:val="000000" w:themeColor="text1"/>
          <w:szCs w:val="26"/>
        </w:rPr>
        <w:t>St.</w:t>
      </w:r>
      <w:r w:rsidRPr="0029160A">
        <w:rPr>
          <w:rFonts w:eastAsiaTheme="minorHAnsi" w:cstheme="minorBidi"/>
          <w:color w:val="000000" w:themeColor="text1"/>
          <w:szCs w:val="26"/>
        </w:rPr>
        <w:t xml:space="preserve"> 1-R, Exhibit_(HSG-1R), Schedule C1 (R).  </w:t>
      </w:r>
      <w:bookmarkEnd w:id="15"/>
      <w:r w:rsidRPr="0029160A">
        <w:rPr>
          <w:rFonts w:eastAsiaTheme="minorHAnsi" w:cstheme="minorBidi"/>
          <w:color w:val="000000" w:themeColor="text1"/>
          <w:szCs w:val="26"/>
        </w:rPr>
        <w:t xml:space="preserve">The </w:t>
      </w:r>
      <w:r w:rsidR="00120221" w:rsidRPr="0029160A">
        <w:rPr>
          <w:rFonts w:eastAsiaTheme="minorHAnsi" w:cstheme="minorBidi"/>
          <w:color w:val="000000" w:themeColor="text1"/>
          <w:szCs w:val="26"/>
        </w:rPr>
        <w:t xml:space="preserve">Company’s </w:t>
      </w:r>
      <w:r w:rsidRPr="0029160A">
        <w:rPr>
          <w:rFonts w:eastAsiaTheme="minorHAnsi" w:cstheme="minorBidi"/>
          <w:color w:val="000000" w:themeColor="text1"/>
          <w:szCs w:val="26"/>
        </w:rPr>
        <w:t>claimed rate base consists of:</w:t>
      </w:r>
    </w:p>
    <w:p w14:paraId="4639D245" w14:textId="77777777" w:rsidR="00C60A9E" w:rsidRPr="0029160A" w:rsidRDefault="00C60A9E" w:rsidP="000855B1">
      <w:pPr>
        <w:widowControl/>
        <w:rPr>
          <w:rFonts w:eastAsiaTheme="minorHAnsi" w:cstheme="minorBidi"/>
          <w:color w:val="000000" w:themeColor="text1"/>
          <w:szCs w:val="26"/>
        </w:rPr>
      </w:pPr>
    </w:p>
    <w:p w14:paraId="334471EA" w14:textId="77777777" w:rsidR="00C60A9E" w:rsidRPr="0029160A" w:rsidRDefault="00C60A9E" w:rsidP="00CB0B2E">
      <w:pPr>
        <w:widowControl/>
        <w:numPr>
          <w:ilvl w:val="0"/>
          <w:numId w:val="32"/>
        </w:numPr>
        <w:ind w:left="2160" w:right="1440" w:hanging="720"/>
        <w:rPr>
          <w:rFonts w:eastAsiaTheme="minorHAnsi"/>
          <w:color w:val="000000" w:themeColor="text1"/>
          <w:szCs w:val="26"/>
        </w:rPr>
      </w:pPr>
      <w:r w:rsidRPr="0029160A">
        <w:rPr>
          <w:rFonts w:eastAsiaTheme="minorHAnsi"/>
          <w:color w:val="000000" w:themeColor="text1"/>
          <w:szCs w:val="26"/>
        </w:rPr>
        <w:t>the original cost of its utility plant</w:t>
      </w:r>
      <w:r w:rsidR="005D54AE" w:rsidRPr="0029160A">
        <w:rPr>
          <w:rFonts w:eastAsiaTheme="minorHAnsi"/>
          <w:color w:val="000000" w:themeColor="text1"/>
          <w:szCs w:val="26"/>
        </w:rPr>
        <w:t>-</w:t>
      </w:r>
      <w:r w:rsidRPr="0029160A">
        <w:rPr>
          <w:rFonts w:eastAsiaTheme="minorHAnsi"/>
          <w:color w:val="000000" w:themeColor="text1"/>
          <w:szCs w:val="26"/>
        </w:rPr>
        <w:t>in</w:t>
      </w:r>
      <w:r w:rsidR="005D54AE" w:rsidRPr="0029160A">
        <w:rPr>
          <w:rFonts w:eastAsiaTheme="minorHAnsi"/>
          <w:color w:val="000000" w:themeColor="text1"/>
          <w:szCs w:val="26"/>
        </w:rPr>
        <w:t>-</w:t>
      </w:r>
      <w:r w:rsidRPr="0029160A">
        <w:rPr>
          <w:rFonts w:eastAsiaTheme="minorHAnsi"/>
          <w:color w:val="000000" w:themeColor="text1"/>
          <w:szCs w:val="26"/>
        </w:rPr>
        <w:t>service as of December 31, 2020</w:t>
      </w:r>
      <w:r w:rsidR="00536A0A" w:rsidRPr="0029160A">
        <w:rPr>
          <w:rFonts w:eastAsiaTheme="minorHAnsi"/>
          <w:color w:val="000000" w:themeColor="text1"/>
          <w:szCs w:val="26"/>
        </w:rPr>
        <w:t>;</w:t>
      </w:r>
    </w:p>
    <w:p w14:paraId="63D2F778" w14:textId="77777777" w:rsidR="00C60A9E" w:rsidRPr="0029160A" w:rsidRDefault="00C60A9E" w:rsidP="00CB0B2E">
      <w:pPr>
        <w:widowControl/>
        <w:ind w:left="2160" w:right="1440" w:hanging="720"/>
        <w:jc w:val="both"/>
        <w:rPr>
          <w:rFonts w:eastAsiaTheme="minorHAnsi"/>
          <w:color w:val="000000" w:themeColor="text1"/>
          <w:szCs w:val="26"/>
        </w:rPr>
      </w:pPr>
    </w:p>
    <w:p w14:paraId="2F6CB227" w14:textId="77777777" w:rsidR="00C60A9E" w:rsidRPr="0029160A" w:rsidRDefault="00C60A9E" w:rsidP="00CB0B2E">
      <w:pPr>
        <w:widowControl/>
        <w:numPr>
          <w:ilvl w:val="0"/>
          <w:numId w:val="32"/>
        </w:numPr>
        <w:ind w:left="2160" w:right="1440" w:hanging="720"/>
        <w:rPr>
          <w:rFonts w:eastAsiaTheme="minorHAnsi"/>
          <w:color w:val="000000" w:themeColor="text1"/>
          <w:szCs w:val="26"/>
        </w:rPr>
      </w:pPr>
      <w:r w:rsidRPr="0029160A">
        <w:rPr>
          <w:rFonts w:eastAsiaTheme="minorHAnsi"/>
          <w:color w:val="000000" w:themeColor="text1"/>
          <w:szCs w:val="26"/>
          <w:u w:val="single"/>
        </w:rPr>
        <w:t>less</w:t>
      </w:r>
      <w:r w:rsidRPr="0029160A">
        <w:rPr>
          <w:rFonts w:eastAsiaTheme="minorHAnsi"/>
          <w:color w:val="000000" w:themeColor="text1"/>
          <w:szCs w:val="26"/>
        </w:rPr>
        <w:t>: accumulated depreciation; ADIT; EDIT; and customer deposits</w:t>
      </w:r>
      <w:r w:rsidR="00536A0A" w:rsidRPr="0029160A">
        <w:rPr>
          <w:rFonts w:eastAsiaTheme="minorHAnsi"/>
          <w:color w:val="000000" w:themeColor="text1"/>
          <w:szCs w:val="26"/>
        </w:rPr>
        <w:t>;</w:t>
      </w:r>
      <w:r w:rsidRPr="0029160A">
        <w:rPr>
          <w:rFonts w:eastAsiaTheme="minorHAnsi"/>
          <w:color w:val="000000" w:themeColor="text1"/>
          <w:szCs w:val="26"/>
        </w:rPr>
        <w:t xml:space="preserve"> </w:t>
      </w:r>
    </w:p>
    <w:p w14:paraId="77FB49CC" w14:textId="77777777" w:rsidR="00C60A9E" w:rsidRPr="0029160A" w:rsidRDefault="00C60A9E" w:rsidP="00CB0B2E">
      <w:pPr>
        <w:widowControl/>
        <w:ind w:left="2160" w:right="1440" w:hanging="720"/>
        <w:rPr>
          <w:rFonts w:eastAsiaTheme="minorHAnsi"/>
          <w:color w:val="000000" w:themeColor="text1"/>
          <w:szCs w:val="26"/>
        </w:rPr>
      </w:pPr>
    </w:p>
    <w:p w14:paraId="7E4B09D2" w14:textId="77777777" w:rsidR="00C60A9E" w:rsidRPr="0029160A" w:rsidRDefault="00C60A9E" w:rsidP="00CB0B2E">
      <w:pPr>
        <w:widowControl/>
        <w:numPr>
          <w:ilvl w:val="0"/>
          <w:numId w:val="32"/>
        </w:numPr>
        <w:ind w:left="2160" w:right="1440" w:hanging="720"/>
        <w:rPr>
          <w:rFonts w:eastAsiaTheme="minorHAnsi" w:cstheme="minorBidi"/>
          <w:color w:val="000000" w:themeColor="text1"/>
          <w:szCs w:val="26"/>
        </w:rPr>
      </w:pPr>
      <w:r w:rsidRPr="0029160A">
        <w:rPr>
          <w:rFonts w:eastAsiaTheme="minorHAnsi"/>
          <w:color w:val="000000" w:themeColor="text1"/>
          <w:szCs w:val="26"/>
          <w:u w:val="single"/>
        </w:rPr>
        <w:t>plus</w:t>
      </w:r>
      <w:r w:rsidRPr="0029160A">
        <w:rPr>
          <w:rFonts w:eastAsiaTheme="minorHAnsi"/>
          <w:color w:val="000000" w:themeColor="text1"/>
          <w:szCs w:val="26"/>
        </w:rPr>
        <w:t xml:space="preserve">: </w:t>
      </w:r>
      <w:r w:rsidR="00536A0A" w:rsidRPr="0029160A">
        <w:rPr>
          <w:rFonts w:eastAsiaTheme="minorHAnsi"/>
          <w:color w:val="000000" w:themeColor="text1"/>
          <w:szCs w:val="26"/>
        </w:rPr>
        <w:t>CWIP</w:t>
      </w:r>
      <w:r w:rsidRPr="0029160A">
        <w:rPr>
          <w:rFonts w:eastAsiaTheme="minorHAnsi"/>
          <w:color w:val="000000" w:themeColor="text1"/>
          <w:szCs w:val="26"/>
        </w:rPr>
        <w:t>; accrued pension / OBEP liability; materials and supplies</w:t>
      </w:r>
      <w:r w:rsidRPr="0029160A">
        <w:rPr>
          <w:rFonts w:eastAsiaTheme="minorHAnsi" w:cstheme="minorBidi"/>
          <w:color w:val="000000" w:themeColor="text1"/>
          <w:szCs w:val="26"/>
        </w:rPr>
        <w:t>; and CWC</w:t>
      </w:r>
      <w:r w:rsidR="00B24747" w:rsidRPr="0029160A">
        <w:rPr>
          <w:rFonts w:eastAsiaTheme="minorHAnsi" w:cstheme="minorBidi"/>
          <w:color w:val="000000" w:themeColor="text1"/>
          <w:szCs w:val="26"/>
        </w:rPr>
        <w:t>.</w:t>
      </w:r>
    </w:p>
    <w:p w14:paraId="1FC4C117" w14:textId="77777777" w:rsidR="00C60A9E" w:rsidRPr="0029160A" w:rsidRDefault="00C60A9E">
      <w:pPr>
        <w:widowControl/>
        <w:spacing w:line="360" w:lineRule="auto"/>
        <w:ind w:right="1440"/>
        <w:rPr>
          <w:rFonts w:eastAsiaTheme="minorHAnsi" w:cstheme="minorBidi"/>
          <w:color w:val="000000" w:themeColor="text1"/>
          <w:szCs w:val="26"/>
        </w:rPr>
      </w:pPr>
    </w:p>
    <w:p w14:paraId="5A305650" w14:textId="77777777" w:rsidR="007E215E" w:rsidRPr="0029160A" w:rsidRDefault="00C60A9E">
      <w:pPr>
        <w:widowControl/>
        <w:spacing w:line="360" w:lineRule="auto"/>
        <w:rPr>
          <w:rFonts w:eastAsiaTheme="minorHAnsi" w:cstheme="minorBidi"/>
          <w:color w:val="000000" w:themeColor="text1"/>
          <w:szCs w:val="26"/>
        </w:rPr>
      </w:pPr>
      <w:r w:rsidRPr="0029160A">
        <w:rPr>
          <w:rFonts w:eastAsiaTheme="minorHAnsi" w:cstheme="minorBidi"/>
          <w:color w:val="000000" w:themeColor="text1"/>
          <w:szCs w:val="26"/>
        </w:rPr>
        <w:t xml:space="preserve">Wellsboro </w:t>
      </w:r>
      <w:r w:rsidR="00B576E7" w:rsidRPr="0029160A">
        <w:rPr>
          <w:rFonts w:eastAsiaTheme="minorHAnsi" w:cstheme="minorBidi"/>
          <w:color w:val="000000" w:themeColor="text1"/>
          <w:szCs w:val="26"/>
        </w:rPr>
        <w:t>M.B.</w:t>
      </w:r>
      <w:r w:rsidRPr="0029160A">
        <w:rPr>
          <w:rFonts w:eastAsiaTheme="minorHAnsi" w:cstheme="minorBidi"/>
          <w:color w:val="000000" w:themeColor="text1"/>
          <w:szCs w:val="26"/>
        </w:rPr>
        <w:t xml:space="preserve"> at 17; Wellsboro </w:t>
      </w:r>
      <w:r w:rsidR="00DC265B" w:rsidRPr="0029160A">
        <w:rPr>
          <w:rFonts w:eastAsiaTheme="minorHAnsi" w:cstheme="minorBidi"/>
          <w:color w:val="000000" w:themeColor="text1"/>
          <w:szCs w:val="26"/>
        </w:rPr>
        <w:t>St</w:t>
      </w:r>
      <w:r w:rsidR="00C46701" w:rsidRPr="0029160A">
        <w:rPr>
          <w:rFonts w:eastAsiaTheme="minorHAnsi" w:cstheme="minorBidi"/>
          <w:color w:val="000000" w:themeColor="text1"/>
          <w:szCs w:val="26"/>
        </w:rPr>
        <w:t>.</w:t>
      </w:r>
      <w:r w:rsidRPr="0029160A">
        <w:rPr>
          <w:rFonts w:eastAsiaTheme="minorHAnsi" w:cstheme="minorBidi"/>
          <w:color w:val="000000" w:themeColor="text1"/>
          <w:szCs w:val="26"/>
        </w:rPr>
        <w:t xml:space="preserve"> 1-R at 6.  </w:t>
      </w:r>
    </w:p>
    <w:p w14:paraId="0B6C156E" w14:textId="77777777" w:rsidR="007E215E" w:rsidRPr="0029160A" w:rsidRDefault="007E215E">
      <w:pPr>
        <w:widowControl/>
        <w:spacing w:line="360" w:lineRule="auto"/>
        <w:rPr>
          <w:rFonts w:eastAsiaTheme="minorHAnsi" w:cstheme="minorBidi"/>
          <w:color w:val="000000" w:themeColor="text1"/>
          <w:szCs w:val="26"/>
        </w:rPr>
      </w:pPr>
    </w:p>
    <w:p w14:paraId="4C7ED2AF" w14:textId="77777777" w:rsidR="00C60A9E" w:rsidRPr="0029160A" w:rsidRDefault="00C60A9E">
      <w:pPr>
        <w:widowControl/>
        <w:spacing w:line="360" w:lineRule="auto"/>
        <w:ind w:firstLine="1440"/>
        <w:rPr>
          <w:rFonts w:eastAsiaTheme="minorHAnsi"/>
          <w:color w:val="000000" w:themeColor="text1"/>
          <w:szCs w:val="26"/>
        </w:rPr>
      </w:pPr>
      <w:r w:rsidRPr="0029160A">
        <w:rPr>
          <w:rFonts w:eastAsiaTheme="minorHAnsi" w:cstheme="minorBidi"/>
          <w:color w:val="000000" w:themeColor="text1"/>
          <w:szCs w:val="26"/>
        </w:rPr>
        <w:t xml:space="preserve">I&amp;E proposed changes to </w:t>
      </w:r>
      <w:r w:rsidR="003F2696" w:rsidRPr="0029160A">
        <w:rPr>
          <w:rFonts w:eastAsiaTheme="minorHAnsi" w:cstheme="minorBidi"/>
          <w:color w:val="000000" w:themeColor="text1"/>
          <w:szCs w:val="26"/>
        </w:rPr>
        <w:t xml:space="preserve">the </w:t>
      </w:r>
      <w:r w:rsidRPr="0029160A">
        <w:rPr>
          <w:rFonts w:eastAsiaTheme="minorHAnsi" w:cstheme="minorBidi"/>
          <w:color w:val="000000" w:themeColor="text1"/>
          <w:szCs w:val="26"/>
        </w:rPr>
        <w:t xml:space="preserve">CWIP and </w:t>
      </w:r>
      <w:r w:rsidR="003F2696" w:rsidRPr="0029160A">
        <w:rPr>
          <w:rFonts w:eastAsiaTheme="minorHAnsi" w:cstheme="minorBidi"/>
          <w:color w:val="000000" w:themeColor="text1"/>
          <w:szCs w:val="26"/>
        </w:rPr>
        <w:t xml:space="preserve">the </w:t>
      </w:r>
      <w:r w:rsidR="00300623" w:rsidRPr="0029160A">
        <w:rPr>
          <w:rFonts w:eastAsiaTheme="minorHAnsi" w:cstheme="minorBidi"/>
          <w:color w:val="000000" w:themeColor="text1"/>
          <w:szCs w:val="26"/>
        </w:rPr>
        <w:t>M</w:t>
      </w:r>
      <w:r w:rsidRPr="0029160A">
        <w:rPr>
          <w:rFonts w:eastAsiaTheme="minorHAnsi" w:cstheme="minorBidi"/>
          <w:color w:val="000000" w:themeColor="text1"/>
          <w:szCs w:val="26"/>
        </w:rPr>
        <w:t xml:space="preserve">aterials and </w:t>
      </w:r>
      <w:r w:rsidR="00300623" w:rsidRPr="0029160A">
        <w:rPr>
          <w:rFonts w:eastAsiaTheme="minorHAnsi" w:cstheme="minorBidi"/>
          <w:color w:val="000000" w:themeColor="text1"/>
          <w:szCs w:val="26"/>
        </w:rPr>
        <w:t>S</w:t>
      </w:r>
      <w:r w:rsidRPr="0029160A">
        <w:rPr>
          <w:rFonts w:eastAsiaTheme="minorHAnsi" w:cstheme="minorBidi"/>
          <w:color w:val="000000" w:themeColor="text1"/>
          <w:szCs w:val="26"/>
        </w:rPr>
        <w:t>upplies but did not dispute any other rate base components</w:t>
      </w:r>
      <w:r w:rsidR="007E215E" w:rsidRPr="0029160A">
        <w:rPr>
          <w:rFonts w:eastAsiaTheme="minorHAnsi" w:cstheme="minorBidi"/>
          <w:color w:val="000000" w:themeColor="text1"/>
          <w:szCs w:val="26"/>
        </w:rPr>
        <w:t xml:space="preserve">.  </w:t>
      </w:r>
      <w:r w:rsidR="00120221" w:rsidRPr="0029160A">
        <w:rPr>
          <w:rFonts w:eastAsiaTheme="minorHAnsi" w:cstheme="minorBidi"/>
          <w:color w:val="000000" w:themeColor="text1"/>
          <w:szCs w:val="26"/>
        </w:rPr>
        <w:t>T</w:t>
      </w:r>
      <w:r w:rsidR="007E215E" w:rsidRPr="0029160A">
        <w:rPr>
          <w:rFonts w:eastAsiaTheme="minorHAnsi" w:cstheme="minorBidi"/>
          <w:color w:val="000000" w:themeColor="text1"/>
          <w:szCs w:val="26"/>
        </w:rPr>
        <w:t>he</w:t>
      </w:r>
      <w:r w:rsidRPr="0029160A">
        <w:rPr>
          <w:rFonts w:eastAsiaTheme="minorHAnsi" w:cstheme="minorBidi"/>
          <w:color w:val="000000" w:themeColor="text1"/>
          <w:szCs w:val="26"/>
        </w:rPr>
        <w:t xml:space="preserve"> OCA proposed adjustments to </w:t>
      </w:r>
      <w:r w:rsidR="001F57B5" w:rsidRPr="0029160A">
        <w:rPr>
          <w:rFonts w:eastAsiaTheme="minorHAnsi" w:cstheme="minorBidi"/>
          <w:color w:val="000000" w:themeColor="text1"/>
          <w:szCs w:val="26"/>
        </w:rPr>
        <w:t xml:space="preserve">the </w:t>
      </w:r>
      <w:r w:rsidR="00300623" w:rsidRPr="0029160A">
        <w:rPr>
          <w:rFonts w:eastAsiaTheme="minorHAnsi" w:cstheme="minorBidi"/>
          <w:color w:val="000000" w:themeColor="text1"/>
          <w:szCs w:val="26"/>
        </w:rPr>
        <w:t>P</w:t>
      </w:r>
      <w:r w:rsidRPr="0029160A">
        <w:rPr>
          <w:rFonts w:eastAsiaTheme="minorHAnsi" w:cstheme="minorBidi"/>
          <w:color w:val="000000" w:themeColor="text1"/>
          <w:szCs w:val="26"/>
        </w:rPr>
        <w:t>lant</w:t>
      </w:r>
      <w:r w:rsidR="005D54AE" w:rsidRPr="0029160A">
        <w:rPr>
          <w:rFonts w:eastAsiaTheme="minorHAnsi" w:cstheme="minorBidi"/>
          <w:color w:val="000000" w:themeColor="text1"/>
          <w:szCs w:val="26"/>
        </w:rPr>
        <w:t>-</w:t>
      </w:r>
      <w:r w:rsidRPr="0029160A">
        <w:rPr>
          <w:rFonts w:eastAsiaTheme="minorHAnsi" w:cstheme="minorBidi"/>
          <w:color w:val="000000" w:themeColor="text1"/>
          <w:szCs w:val="26"/>
        </w:rPr>
        <w:t>in</w:t>
      </w:r>
      <w:r w:rsidR="005D54AE" w:rsidRPr="0029160A">
        <w:rPr>
          <w:rFonts w:eastAsiaTheme="minorHAnsi" w:cstheme="minorBidi"/>
          <w:color w:val="000000" w:themeColor="text1"/>
          <w:szCs w:val="26"/>
        </w:rPr>
        <w:t>-</w:t>
      </w:r>
      <w:r w:rsidR="00300623" w:rsidRPr="0029160A">
        <w:rPr>
          <w:rFonts w:eastAsiaTheme="minorHAnsi" w:cstheme="minorBidi"/>
          <w:color w:val="000000" w:themeColor="text1"/>
          <w:szCs w:val="26"/>
        </w:rPr>
        <w:t>S</w:t>
      </w:r>
      <w:r w:rsidRPr="0029160A">
        <w:rPr>
          <w:rFonts w:eastAsiaTheme="minorHAnsi" w:cstheme="minorBidi"/>
          <w:color w:val="000000" w:themeColor="text1"/>
          <w:szCs w:val="26"/>
        </w:rPr>
        <w:t xml:space="preserve">ervice, </w:t>
      </w:r>
      <w:r w:rsidR="001F57B5" w:rsidRPr="0029160A">
        <w:rPr>
          <w:rFonts w:eastAsiaTheme="minorHAnsi" w:cstheme="minorBidi"/>
          <w:color w:val="000000" w:themeColor="text1"/>
          <w:szCs w:val="26"/>
        </w:rPr>
        <w:t xml:space="preserve">the </w:t>
      </w:r>
      <w:r w:rsidR="00120221" w:rsidRPr="0029160A">
        <w:rPr>
          <w:rFonts w:eastAsiaTheme="minorHAnsi" w:cstheme="minorBidi"/>
          <w:color w:val="000000" w:themeColor="text1"/>
          <w:szCs w:val="26"/>
        </w:rPr>
        <w:t xml:space="preserve">Depreciation Expense, </w:t>
      </w:r>
      <w:r w:rsidR="001F57B5" w:rsidRPr="0029160A">
        <w:rPr>
          <w:rFonts w:eastAsiaTheme="minorHAnsi" w:cstheme="minorBidi"/>
          <w:color w:val="000000" w:themeColor="text1"/>
          <w:szCs w:val="26"/>
        </w:rPr>
        <w:t xml:space="preserve">the </w:t>
      </w:r>
      <w:r w:rsidR="00300623" w:rsidRPr="0029160A">
        <w:rPr>
          <w:rFonts w:eastAsiaTheme="minorHAnsi" w:cstheme="minorBidi"/>
          <w:color w:val="000000" w:themeColor="text1"/>
          <w:szCs w:val="26"/>
        </w:rPr>
        <w:t>M</w:t>
      </w:r>
      <w:r w:rsidRPr="0029160A">
        <w:rPr>
          <w:rFonts w:eastAsiaTheme="minorHAnsi" w:cstheme="minorBidi"/>
          <w:color w:val="000000" w:themeColor="text1"/>
          <w:szCs w:val="26"/>
        </w:rPr>
        <w:t xml:space="preserve">aterials and </w:t>
      </w:r>
      <w:r w:rsidR="00300623" w:rsidRPr="0029160A">
        <w:rPr>
          <w:rFonts w:eastAsiaTheme="minorHAnsi" w:cstheme="minorBidi"/>
          <w:color w:val="000000" w:themeColor="text1"/>
          <w:szCs w:val="26"/>
        </w:rPr>
        <w:t>S</w:t>
      </w:r>
      <w:r w:rsidRPr="0029160A">
        <w:rPr>
          <w:rFonts w:eastAsiaTheme="minorHAnsi" w:cstheme="minorBidi"/>
          <w:color w:val="000000" w:themeColor="text1"/>
          <w:szCs w:val="26"/>
        </w:rPr>
        <w:t xml:space="preserve">upplies, </w:t>
      </w:r>
      <w:r w:rsidR="001F57B5" w:rsidRPr="0029160A">
        <w:rPr>
          <w:rFonts w:eastAsiaTheme="minorHAnsi" w:cstheme="minorBidi"/>
          <w:color w:val="000000" w:themeColor="text1"/>
          <w:szCs w:val="26"/>
        </w:rPr>
        <w:t xml:space="preserve">the </w:t>
      </w:r>
      <w:r w:rsidR="00120221" w:rsidRPr="0029160A">
        <w:rPr>
          <w:rFonts w:eastAsiaTheme="minorHAnsi" w:cstheme="minorBidi"/>
          <w:color w:val="000000" w:themeColor="text1"/>
          <w:szCs w:val="26"/>
        </w:rPr>
        <w:t xml:space="preserve">CWIP, </w:t>
      </w:r>
      <w:r w:rsidR="001F57B5" w:rsidRPr="0029160A">
        <w:rPr>
          <w:rFonts w:eastAsiaTheme="minorHAnsi" w:cstheme="minorBidi"/>
          <w:color w:val="000000" w:themeColor="text1"/>
          <w:szCs w:val="26"/>
        </w:rPr>
        <w:t xml:space="preserve">the </w:t>
      </w:r>
      <w:r w:rsidR="00300623" w:rsidRPr="0029160A">
        <w:rPr>
          <w:rFonts w:eastAsiaTheme="minorHAnsi" w:cstheme="minorBidi"/>
          <w:color w:val="000000" w:themeColor="text1"/>
          <w:szCs w:val="26"/>
        </w:rPr>
        <w:t>C</w:t>
      </w:r>
      <w:r w:rsidRPr="0029160A">
        <w:rPr>
          <w:rFonts w:eastAsiaTheme="minorHAnsi" w:cstheme="minorBidi"/>
          <w:color w:val="000000" w:themeColor="text1"/>
          <w:szCs w:val="26"/>
        </w:rPr>
        <w:t xml:space="preserve">ustomer </w:t>
      </w:r>
      <w:r w:rsidR="00300623" w:rsidRPr="0029160A">
        <w:rPr>
          <w:rFonts w:eastAsiaTheme="minorHAnsi" w:cstheme="minorBidi"/>
          <w:color w:val="000000" w:themeColor="text1"/>
          <w:szCs w:val="26"/>
        </w:rPr>
        <w:t>D</w:t>
      </w:r>
      <w:r w:rsidRPr="0029160A">
        <w:rPr>
          <w:rFonts w:eastAsiaTheme="minorHAnsi" w:cstheme="minorBidi"/>
          <w:color w:val="000000" w:themeColor="text1"/>
          <w:szCs w:val="26"/>
        </w:rPr>
        <w:t>eposits</w:t>
      </w:r>
      <w:r w:rsidR="00120221" w:rsidRPr="0029160A">
        <w:rPr>
          <w:rFonts w:eastAsiaTheme="minorHAnsi" w:cstheme="minorBidi"/>
          <w:color w:val="000000" w:themeColor="text1"/>
          <w:szCs w:val="26"/>
        </w:rPr>
        <w:t xml:space="preserve"> </w:t>
      </w:r>
      <w:r w:rsidRPr="0029160A">
        <w:rPr>
          <w:rFonts w:eastAsiaTheme="minorHAnsi" w:cstheme="minorBidi"/>
          <w:color w:val="000000" w:themeColor="text1"/>
          <w:szCs w:val="26"/>
        </w:rPr>
        <w:t xml:space="preserve">and </w:t>
      </w:r>
      <w:r w:rsidR="001F57B5" w:rsidRPr="0029160A">
        <w:rPr>
          <w:rFonts w:eastAsiaTheme="minorHAnsi" w:cstheme="minorBidi"/>
          <w:color w:val="000000" w:themeColor="text1"/>
          <w:szCs w:val="26"/>
        </w:rPr>
        <w:t xml:space="preserve">the </w:t>
      </w:r>
      <w:r w:rsidRPr="0029160A">
        <w:rPr>
          <w:rFonts w:eastAsiaTheme="minorHAnsi" w:cstheme="minorBidi"/>
          <w:color w:val="000000" w:themeColor="text1"/>
          <w:szCs w:val="26"/>
        </w:rPr>
        <w:t xml:space="preserve">EDIT.  </w:t>
      </w:r>
    </w:p>
    <w:p w14:paraId="3865667B" w14:textId="77777777" w:rsidR="00536A0A" w:rsidRPr="0029160A" w:rsidRDefault="00536A0A">
      <w:pPr>
        <w:widowControl/>
        <w:spacing w:line="360" w:lineRule="auto"/>
        <w:rPr>
          <w:rFonts w:eastAsiaTheme="minorHAnsi"/>
          <w:color w:val="000000" w:themeColor="text1"/>
          <w:szCs w:val="26"/>
        </w:rPr>
      </w:pPr>
    </w:p>
    <w:p w14:paraId="25194D88" w14:textId="77777777" w:rsidR="00F16841" w:rsidRPr="0029160A" w:rsidRDefault="00536A0A">
      <w:pPr>
        <w:widowControl/>
        <w:spacing w:line="360" w:lineRule="auto"/>
        <w:ind w:firstLine="1440"/>
        <w:rPr>
          <w:color w:val="000000" w:themeColor="text1"/>
          <w:szCs w:val="26"/>
        </w:rPr>
      </w:pPr>
      <w:r w:rsidRPr="0029160A">
        <w:rPr>
          <w:rFonts w:eastAsiaTheme="minorHAnsi"/>
          <w:color w:val="000000" w:themeColor="text1"/>
          <w:szCs w:val="26"/>
        </w:rPr>
        <w:t xml:space="preserve">The following adjustments to rate base were </w:t>
      </w:r>
      <w:r w:rsidR="00F16841" w:rsidRPr="0029160A">
        <w:rPr>
          <w:color w:val="000000" w:themeColor="text1"/>
          <w:szCs w:val="26"/>
        </w:rPr>
        <w:t xml:space="preserve">agreed upon by all </w:t>
      </w:r>
      <w:r w:rsidRPr="0029160A">
        <w:rPr>
          <w:color w:val="000000" w:themeColor="text1"/>
          <w:szCs w:val="26"/>
        </w:rPr>
        <w:t>P</w:t>
      </w:r>
      <w:r w:rsidR="00F16841" w:rsidRPr="0029160A">
        <w:rPr>
          <w:color w:val="000000" w:themeColor="text1"/>
          <w:szCs w:val="26"/>
        </w:rPr>
        <w:t>arties</w:t>
      </w:r>
      <w:r w:rsidRPr="0029160A">
        <w:rPr>
          <w:color w:val="000000" w:themeColor="text1"/>
          <w:szCs w:val="26"/>
        </w:rPr>
        <w:t xml:space="preserve"> and recommended for approval in the R.D.:</w:t>
      </w:r>
    </w:p>
    <w:p w14:paraId="56C033DF" w14:textId="77777777" w:rsidR="00536A0A" w:rsidRPr="0029160A" w:rsidRDefault="00536A0A" w:rsidP="0067382A">
      <w:pPr>
        <w:widowControl/>
        <w:ind w:firstLine="1440"/>
        <w:rPr>
          <w:color w:val="000000" w:themeColor="text1"/>
          <w:szCs w:val="26"/>
        </w:rPr>
      </w:pPr>
    </w:p>
    <w:p w14:paraId="2692C735" w14:textId="77777777" w:rsidR="00F16841" w:rsidRPr="0029160A" w:rsidRDefault="00F16841" w:rsidP="00CB0B2E">
      <w:pPr>
        <w:pStyle w:val="ListParagraph"/>
        <w:widowControl/>
        <w:numPr>
          <w:ilvl w:val="0"/>
          <w:numId w:val="37"/>
        </w:numPr>
        <w:ind w:left="2160" w:hanging="720"/>
        <w:contextualSpacing w:val="0"/>
        <w:rPr>
          <w:color w:val="000000" w:themeColor="text1"/>
        </w:rPr>
      </w:pPr>
      <w:r w:rsidRPr="0029160A">
        <w:rPr>
          <w:color w:val="000000" w:themeColor="text1"/>
        </w:rPr>
        <w:t>A</w:t>
      </w:r>
      <w:r w:rsidR="00AD56AF" w:rsidRPr="0029160A">
        <w:rPr>
          <w:color w:val="000000" w:themeColor="text1"/>
        </w:rPr>
        <w:t>n adjustment to</w:t>
      </w:r>
      <w:r w:rsidRPr="0029160A">
        <w:rPr>
          <w:color w:val="000000" w:themeColor="text1"/>
        </w:rPr>
        <w:t xml:space="preserve"> </w:t>
      </w:r>
      <w:r w:rsidR="00536A0A" w:rsidRPr="0029160A">
        <w:rPr>
          <w:color w:val="000000" w:themeColor="text1"/>
        </w:rPr>
        <w:t>m</w:t>
      </w:r>
      <w:r w:rsidRPr="0029160A">
        <w:rPr>
          <w:color w:val="000000" w:themeColor="text1"/>
        </w:rPr>
        <w:t xml:space="preserve">aterials and </w:t>
      </w:r>
      <w:r w:rsidR="00536A0A" w:rsidRPr="0029160A">
        <w:rPr>
          <w:color w:val="000000" w:themeColor="text1"/>
        </w:rPr>
        <w:t>s</w:t>
      </w:r>
      <w:r w:rsidRPr="0029160A">
        <w:rPr>
          <w:color w:val="000000" w:themeColor="text1"/>
        </w:rPr>
        <w:t xml:space="preserve">upplies </w:t>
      </w:r>
      <w:r w:rsidR="00AD56AF" w:rsidRPr="0029160A">
        <w:rPr>
          <w:color w:val="000000" w:themeColor="text1"/>
        </w:rPr>
        <w:t>d</w:t>
      </w:r>
      <w:r w:rsidRPr="0029160A">
        <w:rPr>
          <w:color w:val="000000" w:themeColor="text1"/>
        </w:rPr>
        <w:t>ecreasing the Company’s claim by $37,074 from $245,607 to $208,533;</w:t>
      </w:r>
    </w:p>
    <w:p w14:paraId="67F103E2" w14:textId="77777777" w:rsidR="00F16841" w:rsidRPr="0029160A" w:rsidRDefault="00F16841" w:rsidP="00CB0B2E">
      <w:pPr>
        <w:widowControl/>
        <w:ind w:left="2160" w:hanging="720"/>
        <w:rPr>
          <w:color w:val="000000" w:themeColor="text1"/>
        </w:rPr>
      </w:pPr>
    </w:p>
    <w:p w14:paraId="242EE7D2" w14:textId="77777777" w:rsidR="00F16841" w:rsidRPr="0029160A" w:rsidRDefault="00F16841" w:rsidP="00CB0B2E">
      <w:pPr>
        <w:pStyle w:val="ListParagraph"/>
        <w:widowControl/>
        <w:numPr>
          <w:ilvl w:val="0"/>
          <w:numId w:val="37"/>
        </w:numPr>
        <w:ind w:left="2160" w:hanging="720"/>
        <w:contextualSpacing w:val="0"/>
        <w:rPr>
          <w:color w:val="000000" w:themeColor="text1"/>
        </w:rPr>
      </w:pPr>
      <w:r w:rsidRPr="0029160A">
        <w:rPr>
          <w:color w:val="000000" w:themeColor="text1"/>
        </w:rPr>
        <w:t xml:space="preserve">A deduction of $59,971 from the Company’s claimed rate base in its original filing, reflecting the disallowance of </w:t>
      </w:r>
      <w:r w:rsidR="003F2696" w:rsidRPr="0029160A">
        <w:rPr>
          <w:color w:val="000000" w:themeColor="text1"/>
        </w:rPr>
        <w:t xml:space="preserve">the </w:t>
      </w:r>
      <w:r w:rsidR="00536A0A" w:rsidRPr="0029160A">
        <w:rPr>
          <w:color w:val="000000" w:themeColor="text1"/>
        </w:rPr>
        <w:t>CWIP</w:t>
      </w:r>
      <w:r w:rsidRPr="0029160A">
        <w:rPr>
          <w:color w:val="000000" w:themeColor="text1"/>
        </w:rPr>
        <w:t>;</w:t>
      </w:r>
    </w:p>
    <w:p w14:paraId="36801A4A" w14:textId="77777777" w:rsidR="00F16841" w:rsidRPr="0029160A" w:rsidRDefault="00F16841" w:rsidP="00CB0B2E">
      <w:pPr>
        <w:widowControl/>
        <w:ind w:left="2160" w:hanging="720"/>
        <w:rPr>
          <w:color w:val="000000" w:themeColor="text1"/>
        </w:rPr>
      </w:pPr>
    </w:p>
    <w:p w14:paraId="6B7D48CB" w14:textId="77777777" w:rsidR="00F16841" w:rsidRPr="0029160A" w:rsidRDefault="00F16841" w:rsidP="00CB0B2E">
      <w:pPr>
        <w:pStyle w:val="ListParagraph"/>
        <w:widowControl/>
        <w:numPr>
          <w:ilvl w:val="0"/>
          <w:numId w:val="37"/>
        </w:numPr>
        <w:ind w:left="2160" w:hanging="720"/>
        <w:contextualSpacing w:val="0"/>
        <w:rPr>
          <w:color w:val="000000" w:themeColor="text1"/>
        </w:rPr>
      </w:pPr>
      <w:r w:rsidRPr="0029160A">
        <w:rPr>
          <w:color w:val="000000" w:themeColor="text1"/>
        </w:rPr>
        <w:lastRenderedPageBreak/>
        <w:t xml:space="preserve">An increase to rate base for </w:t>
      </w:r>
      <w:bookmarkStart w:id="16" w:name="_Hlk36634520"/>
      <w:r w:rsidR="003F2696" w:rsidRPr="0029160A">
        <w:rPr>
          <w:color w:val="000000" w:themeColor="text1"/>
        </w:rPr>
        <w:t xml:space="preserve">the </w:t>
      </w:r>
      <w:r w:rsidRPr="0029160A">
        <w:rPr>
          <w:color w:val="000000" w:themeColor="text1"/>
        </w:rPr>
        <w:t>Accrued Pension/OPEB liability</w:t>
      </w:r>
      <w:bookmarkEnd w:id="16"/>
      <w:r w:rsidRPr="0029160A">
        <w:rPr>
          <w:color w:val="000000" w:themeColor="text1"/>
        </w:rPr>
        <w:t>.  This increase reflects the excess of amounts paid to expense over amounts charged.  The additional amount is $29,500;</w:t>
      </w:r>
    </w:p>
    <w:p w14:paraId="405E91A0" w14:textId="77777777" w:rsidR="00F16841" w:rsidRPr="0029160A" w:rsidRDefault="00F16841" w:rsidP="00CB0B2E">
      <w:pPr>
        <w:widowControl/>
        <w:ind w:left="2160" w:hanging="720"/>
        <w:rPr>
          <w:color w:val="000000" w:themeColor="text1"/>
        </w:rPr>
      </w:pPr>
    </w:p>
    <w:p w14:paraId="070586F6" w14:textId="77777777" w:rsidR="00F16841" w:rsidRPr="0029160A" w:rsidRDefault="00F16841" w:rsidP="00CB0B2E">
      <w:pPr>
        <w:pStyle w:val="ListParagraph"/>
        <w:widowControl/>
        <w:numPr>
          <w:ilvl w:val="0"/>
          <w:numId w:val="37"/>
        </w:numPr>
        <w:ind w:left="2160" w:hanging="720"/>
        <w:contextualSpacing w:val="0"/>
        <w:rPr>
          <w:color w:val="000000" w:themeColor="text1"/>
        </w:rPr>
      </w:pPr>
      <w:r w:rsidRPr="0029160A">
        <w:rPr>
          <w:color w:val="000000" w:themeColor="text1"/>
        </w:rPr>
        <w:t>A</w:t>
      </w:r>
      <w:r w:rsidR="00AD56AF" w:rsidRPr="0029160A">
        <w:rPr>
          <w:color w:val="000000" w:themeColor="text1"/>
        </w:rPr>
        <w:t xml:space="preserve">n adjustment in the amount of </w:t>
      </w:r>
      <w:r w:rsidRPr="0029160A">
        <w:rPr>
          <w:color w:val="000000" w:themeColor="text1"/>
        </w:rPr>
        <w:t>$5,810</w:t>
      </w:r>
      <w:r w:rsidR="00AD56AF" w:rsidRPr="0029160A">
        <w:rPr>
          <w:color w:val="000000" w:themeColor="text1"/>
        </w:rPr>
        <w:t xml:space="preserve"> </w:t>
      </w:r>
      <w:r w:rsidRPr="0029160A">
        <w:rPr>
          <w:color w:val="000000" w:themeColor="text1"/>
        </w:rPr>
        <w:t>increas</w:t>
      </w:r>
      <w:r w:rsidR="00AD56AF" w:rsidRPr="0029160A">
        <w:rPr>
          <w:color w:val="000000" w:themeColor="text1"/>
        </w:rPr>
        <w:t>ing</w:t>
      </w:r>
      <w:r w:rsidRPr="0029160A">
        <w:rPr>
          <w:color w:val="000000" w:themeColor="text1"/>
        </w:rPr>
        <w:t xml:space="preserve"> </w:t>
      </w:r>
      <w:r w:rsidR="003F2696" w:rsidRPr="0029160A">
        <w:rPr>
          <w:color w:val="000000" w:themeColor="text1"/>
        </w:rPr>
        <w:t xml:space="preserve">the </w:t>
      </w:r>
      <w:r w:rsidRPr="0029160A">
        <w:rPr>
          <w:color w:val="000000" w:themeColor="text1"/>
        </w:rPr>
        <w:t>Customer Deposits and decreas</w:t>
      </w:r>
      <w:r w:rsidR="00AD56AF" w:rsidRPr="0029160A">
        <w:rPr>
          <w:color w:val="000000" w:themeColor="text1"/>
        </w:rPr>
        <w:t>ing</w:t>
      </w:r>
      <w:r w:rsidRPr="0029160A">
        <w:rPr>
          <w:color w:val="000000" w:themeColor="text1"/>
        </w:rPr>
        <w:t xml:space="preserve"> rate base;</w:t>
      </w:r>
    </w:p>
    <w:p w14:paraId="7A174B0E" w14:textId="77777777" w:rsidR="00F16841" w:rsidRPr="0029160A" w:rsidRDefault="00F16841" w:rsidP="00CB0B2E">
      <w:pPr>
        <w:widowControl/>
        <w:ind w:left="2160" w:hanging="720"/>
        <w:rPr>
          <w:color w:val="000000" w:themeColor="text1"/>
        </w:rPr>
      </w:pPr>
    </w:p>
    <w:p w14:paraId="6AA7410F" w14:textId="0ED7A3A1" w:rsidR="00F16841" w:rsidRPr="0029160A" w:rsidRDefault="00F16841" w:rsidP="00CB0B2E">
      <w:pPr>
        <w:pStyle w:val="ListParagraph"/>
        <w:widowControl/>
        <w:numPr>
          <w:ilvl w:val="0"/>
          <w:numId w:val="37"/>
        </w:numPr>
        <w:ind w:left="2160" w:hanging="720"/>
        <w:contextualSpacing w:val="0"/>
        <w:rPr>
          <w:color w:val="000000" w:themeColor="text1"/>
        </w:rPr>
      </w:pPr>
      <w:r w:rsidRPr="0029160A">
        <w:rPr>
          <w:color w:val="000000" w:themeColor="text1"/>
        </w:rPr>
        <w:t xml:space="preserve">An EDIT balance reducing rate base by $5,289 (The EDIT is computed on Schedule C1-6, lines 34-39 and carried up to Schedule C1-6, line 7.  The Company is amortizing the balance over the estimated remaining book life of the assets – ten years.  The EDIT balance included in rate base declines each year during this ten-year </w:t>
      </w:r>
      <w:r w:rsidR="003E3AF8" w:rsidRPr="0029160A">
        <w:rPr>
          <w:color w:val="000000" w:themeColor="text1"/>
        </w:rPr>
        <w:t>period. The</w:t>
      </w:r>
      <w:r w:rsidRPr="0029160A">
        <w:rPr>
          <w:color w:val="000000" w:themeColor="text1"/>
        </w:rPr>
        <w:t xml:space="preserve"> annual EDIT accretion (Schedule C1-6, line 40) is carried forward to reduce Income tax expense (Schedule C1-4, line 28))</w:t>
      </w:r>
      <w:r w:rsidR="00051BC0" w:rsidRPr="0029160A">
        <w:rPr>
          <w:color w:val="000000" w:themeColor="text1"/>
        </w:rPr>
        <w:t>;</w:t>
      </w:r>
      <w:r w:rsidR="005C717E" w:rsidRPr="0029160A">
        <w:rPr>
          <w:color w:val="000000" w:themeColor="text1"/>
        </w:rPr>
        <w:t xml:space="preserve"> and</w:t>
      </w:r>
    </w:p>
    <w:p w14:paraId="2D77C8B9" w14:textId="77777777" w:rsidR="00F16841" w:rsidRPr="0029160A" w:rsidRDefault="00F16841" w:rsidP="00CB0B2E">
      <w:pPr>
        <w:widowControl/>
        <w:ind w:left="2160" w:hanging="720"/>
        <w:rPr>
          <w:color w:val="000000" w:themeColor="text1"/>
        </w:rPr>
      </w:pPr>
    </w:p>
    <w:p w14:paraId="675C26BD" w14:textId="77777777" w:rsidR="00F16841" w:rsidRPr="0029160A" w:rsidRDefault="00F16841" w:rsidP="00CB0B2E">
      <w:pPr>
        <w:pStyle w:val="ListParagraph"/>
        <w:widowControl/>
        <w:numPr>
          <w:ilvl w:val="0"/>
          <w:numId w:val="37"/>
        </w:numPr>
        <w:ind w:left="2160" w:hanging="720"/>
        <w:contextualSpacing w:val="0"/>
        <w:rPr>
          <w:color w:val="000000" w:themeColor="text1"/>
        </w:rPr>
      </w:pPr>
      <w:r w:rsidRPr="0029160A">
        <w:rPr>
          <w:color w:val="000000" w:themeColor="text1"/>
        </w:rPr>
        <w:t xml:space="preserve">A reduction to rate base of $40,701 for </w:t>
      </w:r>
      <w:r w:rsidR="003F2696" w:rsidRPr="0029160A">
        <w:rPr>
          <w:color w:val="000000" w:themeColor="text1"/>
        </w:rPr>
        <w:t xml:space="preserve">the </w:t>
      </w:r>
      <w:r w:rsidRPr="0029160A">
        <w:rPr>
          <w:color w:val="000000" w:themeColor="text1"/>
        </w:rPr>
        <w:t>ADIT for the end of the FPFTY.</w:t>
      </w:r>
    </w:p>
    <w:p w14:paraId="55471014" w14:textId="77777777" w:rsidR="00F16841" w:rsidRPr="0029160A" w:rsidRDefault="00F16841" w:rsidP="00926AD4">
      <w:pPr>
        <w:widowControl/>
        <w:spacing w:line="360" w:lineRule="auto"/>
        <w:rPr>
          <w:color w:val="000000" w:themeColor="text1"/>
          <w:szCs w:val="26"/>
        </w:rPr>
      </w:pPr>
    </w:p>
    <w:p w14:paraId="2240ACEE" w14:textId="77777777" w:rsidR="00536A0A" w:rsidRPr="0029160A" w:rsidRDefault="00536A0A" w:rsidP="000855B1">
      <w:pPr>
        <w:widowControl/>
        <w:spacing w:line="360" w:lineRule="auto"/>
        <w:rPr>
          <w:color w:val="000000" w:themeColor="text1"/>
          <w:szCs w:val="26"/>
        </w:rPr>
      </w:pPr>
      <w:r w:rsidRPr="0029160A">
        <w:rPr>
          <w:color w:val="000000" w:themeColor="text1"/>
          <w:szCs w:val="26"/>
        </w:rPr>
        <w:t>R.D. at 12-17.</w:t>
      </w:r>
    </w:p>
    <w:p w14:paraId="2636DBE3" w14:textId="45AD4B9C" w:rsidR="00536A0A" w:rsidRPr="0029160A" w:rsidRDefault="00536A0A" w:rsidP="000855B1">
      <w:pPr>
        <w:widowControl/>
        <w:spacing w:line="360" w:lineRule="auto"/>
        <w:rPr>
          <w:color w:val="000000" w:themeColor="text1"/>
          <w:szCs w:val="26"/>
        </w:rPr>
      </w:pPr>
    </w:p>
    <w:p w14:paraId="219E5A80" w14:textId="6AC518F6" w:rsidR="00F16841" w:rsidRPr="0029160A" w:rsidRDefault="00F16841" w:rsidP="000855B1">
      <w:pPr>
        <w:widowControl/>
        <w:spacing w:line="360" w:lineRule="auto"/>
        <w:ind w:firstLine="1440"/>
        <w:rPr>
          <w:color w:val="000000" w:themeColor="text1"/>
          <w:szCs w:val="26"/>
        </w:rPr>
      </w:pPr>
      <w:r w:rsidRPr="0029160A">
        <w:rPr>
          <w:color w:val="000000" w:themeColor="text1"/>
          <w:szCs w:val="26"/>
        </w:rPr>
        <w:t xml:space="preserve">Additionally, </w:t>
      </w:r>
      <w:r w:rsidR="00536A0A" w:rsidRPr="0029160A">
        <w:rPr>
          <w:color w:val="000000" w:themeColor="text1"/>
          <w:szCs w:val="26"/>
        </w:rPr>
        <w:t>the Company agree</w:t>
      </w:r>
      <w:r w:rsidR="00B26CA7" w:rsidRPr="0029160A">
        <w:rPr>
          <w:color w:val="000000" w:themeColor="text1"/>
          <w:szCs w:val="26"/>
        </w:rPr>
        <w:t>d</w:t>
      </w:r>
      <w:r w:rsidR="00536A0A" w:rsidRPr="0029160A">
        <w:rPr>
          <w:color w:val="000000" w:themeColor="text1"/>
          <w:szCs w:val="26"/>
        </w:rPr>
        <w:t xml:space="preserve"> that </w:t>
      </w:r>
      <w:r w:rsidR="003F2696" w:rsidRPr="0029160A">
        <w:rPr>
          <w:color w:val="000000" w:themeColor="text1"/>
          <w:szCs w:val="26"/>
        </w:rPr>
        <w:t xml:space="preserve">the </w:t>
      </w:r>
      <w:r w:rsidR="00536A0A" w:rsidRPr="0029160A">
        <w:rPr>
          <w:color w:val="000000" w:themeColor="text1"/>
          <w:szCs w:val="26"/>
        </w:rPr>
        <w:t>CWC</w:t>
      </w:r>
      <w:r w:rsidRPr="0029160A">
        <w:rPr>
          <w:color w:val="000000" w:themeColor="text1"/>
          <w:szCs w:val="26"/>
        </w:rPr>
        <w:t xml:space="preserve"> will be </w:t>
      </w:r>
      <w:r w:rsidR="00536A0A" w:rsidRPr="0029160A">
        <w:rPr>
          <w:color w:val="000000" w:themeColor="text1"/>
          <w:szCs w:val="26"/>
        </w:rPr>
        <w:t xml:space="preserve">recalculated if the Commission orders any changes to the Company’s claimed </w:t>
      </w:r>
      <w:r w:rsidR="005D54AE" w:rsidRPr="0029160A">
        <w:rPr>
          <w:color w:val="000000" w:themeColor="text1"/>
          <w:szCs w:val="26"/>
        </w:rPr>
        <w:t xml:space="preserve">Operation and </w:t>
      </w:r>
      <w:r w:rsidR="005D54AE" w:rsidRPr="0029160A">
        <w:rPr>
          <w:color w:val="000000" w:themeColor="text1"/>
        </w:rPr>
        <w:t>M</w:t>
      </w:r>
      <w:r w:rsidR="005D54AE" w:rsidRPr="0029160A">
        <w:rPr>
          <w:color w:val="000000" w:themeColor="text1"/>
          <w:szCs w:val="26"/>
        </w:rPr>
        <w:t>aintenance (</w:t>
      </w:r>
      <w:r w:rsidR="00536A0A" w:rsidRPr="0029160A">
        <w:rPr>
          <w:color w:val="000000" w:themeColor="text1"/>
          <w:szCs w:val="26"/>
        </w:rPr>
        <w:t>O&amp;M</w:t>
      </w:r>
      <w:r w:rsidR="005D54AE" w:rsidRPr="0029160A">
        <w:rPr>
          <w:color w:val="000000" w:themeColor="text1"/>
          <w:szCs w:val="26"/>
        </w:rPr>
        <w:t>)</w:t>
      </w:r>
      <w:r w:rsidR="00536A0A" w:rsidRPr="0029160A">
        <w:rPr>
          <w:color w:val="000000" w:themeColor="text1"/>
          <w:szCs w:val="26"/>
        </w:rPr>
        <w:t xml:space="preserve"> expenses.  R.D. at 13.  </w:t>
      </w:r>
      <w:r w:rsidR="003679FD" w:rsidRPr="0029160A">
        <w:rPr>
          <w:rFonts w:eastAsiaTheme="minorHAnsi"/>
          <w:color w:val="000000" w:themeColor="text1"/>
          <w:szCs w:val="26"/>
        </w:rPr>
        <w:t>Wellsboro’s</w:t>
      </w:r>
      <w:r w:rsidR="003679FD" w:rsidRPr="0029160A">
        <w:rPr>
          <w:rFonts w:eastAsia="Calibri"/>
          <w:color w:val="000000" w:themeColor="text1"/>
          <w:szCs w:val="26"/>
        </w:rPr>
        <w:t xml:space="preserve"> CWC claim is based on one-eighth (12.5%) of its O&amp;M expenses.  R.D. at 45.  </w:t>
      </w:r>
      <w:r w:rsidR="00536A0A" w:rsidRPr="0029160A">
        <w:rPr>
          <w:color w:val="000000" w:themeColor="text1"/>
          <w:szCs w:val="26"/>
        </w:rPr>
        <w:t xml:space="preserve">The ALJs recommended </w:t>
      </w:r>
      <w:r w:rsidR="003679FD" w:rsidRPr="0029160A">
        <w:rPr>
          <w:color w:val="000000" w:themeColor="text1"/>
          <w:szCs w:val="26"/>
        </w:rPr>
        <w:t xml:space="preserve">a downward adjustment to </w:t>
      </w:r>
      <w:r w:rsidR="001F57B5" w:rsidRPr="0029160A">
        <w:rPr>
          <w:color w:val="000000" w:themeColor="text1"/>
          <w:szCs w:val="26"/>
        </w:rPr>
        <w:t xml:space="preserve">the </w:t>
      </w:r>
      <w:r w:rsidR="003679FD" w:rsidRPr="0029160A">
        <w:rPr>
          <w:color w:val="000000" w:themeColor="text1"/>
          <w:szCs w:val="26"/>
        </w:rPr>
        <w:t xml:space="preserve">CWC reflecting </w:t>
      </w:r>
      <w:r w:rsidR="00536A0A" w:rsidRPr="0029160A">
        <w:rPr>
          <w:color w:val="000000" w:themeColor="text1"/>
          <w:szCs w:val="26"/>
        </w:rPr>
        <w:t>the ALJs’</w:t>
      </w:r>
      <w:r w:rsidRPr="0029160A">
        <w:rPr>
          <w:color w:val="000000" w:themeColor="text1"/>
          <w:szCs w:val="26"/>
        </w:rPr>
        <w:t xml:space="preserve"> adjustment to operating expenses of $40,376, and, an adjustment reducing </w:t>
      </w:r>
      <w:r w:rsidR="001F57B5" w:rsidRPr="0029160A">
        <w:rPr>
          <w:color w:val="000000" w:themeColor="text1"/>
          <w:szCs w:val="26"/>
        </w:rPr>
        <w:t xml:space="preserve">the </w:t>
      </w:r>
      <w:r w:rsidRPr="0029160A">
        <w:rPr>
          <w:color w:val="000000" w:themeColor="text1"/>
          <w:szCs w:val="26"/>
        </w:rPr>
        <w:t xml:space="preserve">EDIT by $2,267, which reflects the OCA’s flowback of </w:t>
      </w:r>
      <w:r w:rsidR="001F57B5" w:rsidRPr="0029160A">
        <w:rPr>
          <w:color w:val="000000" w:themeColor="text1"/>
          <w:szCs w:val="26"/>
        </w:rPr>
        <w:t xml:space="preserve">the </w:t>
      </w:r>
      <w:r w:rsidRPr="0029160A">
        <w:rPr>
          <w:color w:val="000000" w:themeColor="text1"/>
          <w:szCs w:val="26"/>
        </w:rPr>
        <w:t xml:space="preserve">EDIT for 2018; making </w:t>
      </w:r>
      <w:r w:rsidR="00536A0A" w:rsidRPr="0029160A">
        <w:rPr>
          <w:color w:val="000000" w:themeColor="text1"/>
          <w:szCs w:val="26"/>
        </w:rPr>
        <w:t>the ALJs</w:t>
      </w:r>
      <w:r w:rsidR="00FE18B2" w:rsidRPr="0029160A">
        <w:rPr>
          <w:color w:val="000000" w:themeColor="text1"/>
          <w:szCs w:val="26"/>
        </w:rPr>
        <w:t>’</w:t>
      </w:r>
      <w:r w:rsidRPr="0029160A">
        <w:rPr>
          <w:color w:val="000000" w:themeColor="text1"/>
          <w:szCs w:val="26"/>
        </w:rPr>
        <w:t xml:space="preserve"> total adjustments </w:t>
      </w:r>
      <w:r w:rsidR="002E176F" w:rsidRPr="0029160A">
        <w:rPr>
          <w:color w:val="000000" w:themeColor="text1"/>
          <w:szCs w:val="26"/>
        </w:rPr>
        <w:t xml:space="preserve">at </w:t>
      </w:r>
      <w:r w:rsidRPr="0029160A">
        <w:rPr>
          <w:color w:val="000000" w:themeColor="text1"/>
          <w:szCs w:val="26"/>
        </w:rPr>
        <w:t>$7,314.</w:t>
      </w:r>
      <w:r w:rsidR="00536A0A" w:rsidRPr="0029160A">
        <w:rPr>
          <w:color w:val="000000" w:themeColor="text1"/>
          <w:szCs w:val="26"/>
        </w:rPr>
        <w:t xml:space="preserve">  R.D. at 17.</w:t>
      </w:r>
      <w:r w:rsidR="003679FD" w:rsidRPr="0029160A">
        <w:rPr>
          <w:rFonts w:eastAsiaTheme="minorHAnsi"/>
          <w:color w:val="000000" w:themeColor="text1"/>
          <w:szCs w:val="26"/>
        </w:rPr>
        <w:t xml:space="preserve">  </w:t>
      </w:r>
      <w:r w:rsidR="003679FD" w:rsidRPr="0029160A">
        <w:rPr>
          <w:rFonts w:eastAsia="Calibri"/>
          <w:color w:val="000000" w:themeColor="text1"/>
          <w:szCs w:val="26"/>
        </w:rPr>
        <w:t>B</w:t>
      </w:r>
      <w:r w:rsidR="003679FD" w:rsidRPr="0029160A">
        <w:rPr>
          <w:rFonts w:eastAsiaTheme="minorHAnsi" w:cstheme="minorBidi"/>
          <w:color w:val="000000" w:themeColor="text1"/>
          <w:szCs w:val="26"/>
        </w:rPr>
        <w:t>ased on the total O&amp;M expense adjustments recommended by the ALJs ($</w:t>
      </w:r>
      <w:r w:rsidR="003679FD" w:rsidRPr="0029160A">
        <w:rPr>
          <w:rFonts w:eastAsiaTheme="minorHAnsi"/>
          <w:color w:val="000000" w:themeColor="text1"/>
          <w:szCs w:val="26"/>
        </w:rPr>
        <w:t>40,736</w:t>
      </w:r>
      <w:r w:rsidR="003679FD" w:rsidRPr="0029160A">
        <w:rPr>
          <w:rFonts w:eastAsiaTheme="minorHAnsi" w:cstheme="minorBidi"/>
          <w:color w:val="000000" w:themeColor="text1"/>
          <w:szCs w:val="26"/>
        </w:rPr>
        <w:t xml:space="preserve">), the ALJs recommended that </w:t>
      </w:r>
      <w:r w:rsidR="001F57B5" w:rsidRPr="0029160A">
        <w:rPr>
          <w:rFonts w:eastAsiaTheme="minorHAnsi" w:cstheme="minorBidi"/>
          <w:color w:val="000000" w:themeColor="text1"/>
          <w:szCs w:val="26"/>
        </w:rPr>
        <w:t xml:space="preserve">the </w:t>
      </w:r>
      <w:r w:rsidR="003679FD" w:rsidRPr="0029160A">
        <w:rPr>
          <w:rFonts w:eastAsiaTheme="minorHAnsi" w:cstheme="minorBidi"/>
          <w:color w:val="000000" w:themeColor="text1"/>
          <w:szCs w:val="26"/>
        </w:rPr>
        <w:t>CWC will be adjusted downward by $5,092 ($40,736 * 12.5%).  R.D. at 45.</w:t>
      </w:r>
    </w:p>
    <w:p w14:paraId="53029B78" w14:textId="77777777" w:rsidR="00F16841" w:rsidRPr="0029160A" w:rsidRDefault="00F16841">
      <w:pPr>
        <w:widowControl/>
        <w:spacing w:line="360" w:lineRule="auto"/>
        <w:rPr>
          <w:color w:val="000000" w:themeColor="text1"/>
          <w:szCs w:val="26"/>
        </w:rPr>
      </w:pPr>
      <w:r w:rsidRPr="0029160A">
        <w:rPr>
          <w:color w:val="000000" w:themeColor="text1"/>
          <w:szCs w:val="26"/>
        </w:rPr>
        <w:t xml:space="preserve"> </w:t>
      </w:r>
    </w:p>
    <w:p w14:paraId="26132290" w14:textId="77777777" w:rsidR="00F16841" w:rsidRPr="0029160A" w:rsidRDefault="00F16841" w:rsidP="000855B1">
      <w:pPr>
        <w:widowControl/>
        <w:spacing w:line="360" w:lineRule="auto"/>
        <w:rPr>
          <w:color w:val="000000" w:themeColor="text1"/>
          <w:szCs w:val="26"/>
        </w:rPr>
      </w:pPr>
      <w:r w:rsidRPr="0029160A">
        <w:rPr>
          <w:color w:val="000000" w:themeColor="text1"/>
          <w:szCs w:val="26"/>
        </w:rPr>
        <w:tab/>
      </w:r>
      <w:r w:rsidRPr="0029160A">
        <w:rPr>
          <w:color w:val="000000" w:themeColor="text1"/>
          <w:szCs w:val="26"/>
        </w:rPr>
        <w:tab/>
        <w:t>Given the above adjustments,</w:t>
      </w:r>
      <w:r w:rsidR="00120221" w:rsidRPr="0029160A">
        <w:rPr>
          <w:color w:val="000000" w:themeColor="text1"/>
          <w:szCs w:val="26"/>
        </w:rPr>
        <w:t xml:space="preserve"> and the ALJs’ recommendations regarding plant</w:t>
      </w:r>
      <w:r w:rsidR="00FD3720" w:rsidRPr="0029160A">
        <w:rPr>
          <w:color w:val="000000" w:themeColor="text1"/>
          <w:szCs w:val="26"/>
        </w:rPr>
        <w:t>-</w:t>
      </w:r>
      <w:r w:rsidR="00120221" w:rsidRPr="0029160A">
        <w:rPr>
          <w:color w:val="000000" w:themeColor="text1"/>
          <w:szCs w:val="26"/>
        </w:rPr>
        <w:t>in</w:t>
      </w:r>
      <w:r w:rsidR="00FD3720" w:rsidRPr="0029160A">
        <w:rPr>
          <w:color w:val="000000" w:themeColor="text1"/>
          <w:szCs w:val="26"/>
        </w:rPr>
        <w:t>-</w:t>
      </w:r>
      <w:r w:rsidR="00120221" w:rsidRPr="0029160A">
        <w:rPr>
          <w:color w:val="000000" w:themeColor="text1"/>
          <w:szCs w:val="26"/>
        </w:rPr>
        <w:t xml:space="preserve">service and depreciation expense (as discussed further below under the </w:t>
      </w:r>
      <w:r w:rsidR="00120221" w:rsidRPr="0029160A">
        <w:rPr>
          <w:rFonts w:eastAsiaTheme="minorHAnsi"/>
          <w:color w:val="000000" w:themeColor="text1"/>
          <w:szCs w:val="26"/>
        </w:rPr>
        <w:t>OCA Exception Nos. 1 and</w:t>
      </w:r>
      <w:r w:rsidR="00120221" w:rsidRPr="0029160A">
        <w:rPr>
          <w:color w:val="000000" w:themeColor="text1"/>
          <w:szCs w:val="26"/>
        </w:rPr>
        <w:t xml:space="preserve"> 2),</w:t>
      </w:r>
      <w:r w:rsidRPr="0029160A">
        <w:rPr>
          <w:color w:val="000000" w:themeColor="text1"/>
          <w:szCs w:val="26"/>
        </w:rPr>
        <w:t xml:space="preserve"> </w:t>
      </w:r>
      <w:r w:rsidR="00536A0A" w:rsidRPr="0029160A">
        <w:rPr>
          <w:color w:val="000000" w:themeColor="text1"/>
          <w:szCs w:val="26"/>
        </w:rPr>
        <w:t>the ALJs</w:t>
      </w:r>
      <w:r w:rsidRPr="0029160A">
        <w:rPr>
          <w:color w:val="000000" w:themeColor="text1"/>
          <w:szCs w:val="26"/>
        </w:rPr>
        <w:t xml:space="preserve"> </w:t>
      </w:r>
      <w:r w:rsidR="00EC4DFE" w:rsidRPr="0029160A">
        <w:rPr>
          <w:color w:val="000000" w:themeColor="text1"/>
          <w:szCs w:val="26"/>
        </w:rPr>
        <w:t>recommended that</w:t>
      </w:r>
      <w:r w:rsidRPr="0029160A">
        <w:rPr>
          <w:color w:val="000000" w:themeColor="text1"/>
          <w:szCs w:val="26"/>
        </w:rPr>
        <w:t xml:space="preserve"> the final rate base for Commission </w:t>
      </w:r>
      <w:r w:rsidRPr="0029160A">
        <w:rPr>
          <w:color w:val="000000" w:themeColor="text1"/>
          <w:szCs w:val="26"/>
        </w:rPr>
        <w:lastRenderedPageBreak/>
        <w:t>approval is $14,606,872.</w:t>
      </w:r>
      <w:r w:rsidR="007A19D8" w:rsidRPr="0029160A">
        <w:rPr>
          <w:color w:val="000000" w:themeColor="text1"/>
          <w:szCs w:val="26"/>
        </w:rPr>
        <w:t xml:space="preserve"> </w:t>
      </w:r>
      <w:r w:rsidR="00B26CA7" w:rsidRPr="0029160A">
        <w:rPr>
          <w:color w:val="000000" w:themeColor="text1"/>
          <w:szCs w:val="26"/>
        </w:rPr>
        <w:t xml:space="preserve"> R.D. at 17.</w:t>
      </w:r>
      <w:r w:rsidR="003817E6" w:rsidRPr="0029160A">
        <w:rPr>
          <w:color w:val="000000" w:themeColor="text1"/>
          <w:szCs w:val="26"/>
        </w:rPr>
        <w:t xml:space="preserve">  However, the ALJ</w:t>
      </w:r>
      <w:r w:rsidR="003F2696" w:rsidRPr="0029160A">
        <w:rPr>
          <w:color w:val="000000" w:themeColor="text1"/>
          <w:szCs w:val="26"/>
        </w:rPr>
        <w:t>s</w:t>
      </w:r>
      <w:r w:rsidR="003817E6" w:rsidRPr="0029160A">
        <w:rPr>
          <w:color w:val="000000" w:themeColor="text1"/>
          <w:szCs w:val="26"/>
        </w:rPr>
        <w:t>’ recommendation for the Company’s final rate base is raised by implication in the OCA’s Exception No</w:t>
      </w:r>
      <w:r w:rsidR="00580798" w:rsidRPr="0029160A">
        <w:rPr>
          <w:color w:val="000000" w:themeColor="text1"/>
          <w:szCs w:val="26"/>
        </w:rPr>
        <w:t>s</w:t>
      </w:r>
      <w:r w:rsidR="003817E6" w:rsidRPr="0029160A">
        <w:rPr>
          <w:color w:val="000000" w:themeColor="text1"/>
          <w:szCs w:val="26"/>
        </w:rPr>
        <w:t>. 1 and 2, and</w:t>
      </w:r>
      <w:r w:rsidR="00C61B5A" w:rsidRPr="0029160A">
        <w:rPr>
          <w:color w:val="000000" w:themeColor="text1"/>
          <w:szCs w:val="26"/>
        </w:rPr>
        <w:t>,</w:t>
      </w:r>
      <w:r w:rsidR="003817E6" w:rsidRPr="0029160A">
        <w:rPr>
          <w:color w:val="000000" w:themeColor="text1"/>
          <w:szCs w:val="26"/>
        </w:rPr>
        <w:t xml:space="preserve"> thus</w:t>
      </w:r>
      <w:r w:rsidR="003F2696" w:rsidRPr="0029160A">
        <w:rPr>
          <w:color w:val="000000" w:themeColor="text1"/>
          <w:szCs w:val="26"/>
        </w:rPr>
        <w:t>,</w:t>
      </w:r>
      <w:r w:rsidR="003817E6" w:rsidRPr="0029160A">
        <w:rPr>
          <w:color w:val="000000" w:themeColor="text1"/>
          <w:szCs w:val="26"/>
        </w:rPr>
        <w:t xml:space="preserve"> will be addressed in our Final Disposition below. </w:t>
      </w:r>
    </w:p>
    <w:p w14:paraId="4721AB3B" w14:textId="77777777" w:rsidR="00C71416" w:rsidRPr="0029160A" w:rsidRDefault="00C71416" w:rsidP="00CB0B2E">
      <w:pPr>
        <w:widowControl/>
        <w:spacing w:line="360" w:lineRule="auto"/>
        <w:rPr>
          <w:color w:val="000000" w:themeColor="text1"/>
        </w:rPr>
      </w:pPr>
    </w:p>
    <w:p w14:paraId="71B2C3C2" w14:textId="77777777" w:rsidR="00461A7E" w:rsidRPr="0029160A" w:rsidRDefault="00461A7E" w:rsidP="00CB0B2E">
      <w:pPr>
        <w:pStyle w:val="Heading3"/>
        <w:ind w:left="1440" w:hanging="720"/>
        <w:rPr>
          <w:color w:val="000000" w:themeColor="text1"/>
        </w:rPr>
      </w:pPr>
      <w:bookmarkStart w:id="17" w:name="_Toc36552343"/>
      <w:bookmarkStart w:id="18" w:name="_Toc38951728"/>
      <w:r w:rsidRPr="0029160A">
        <w:rPr>
          <w:color w:val="000000" w:themeColor="text1"/>
        </w:rPr>
        <w:t>Revenue</w:t>
      </w:r>
      <w:bookmarkEnd w:id="17"/>
      <w:r w:rsidR="00472638" w:rsidRPr="0029160A">
        <w:rPr>
          <w:color w:val="000000" w:themeColor="text1"/>
        </w:rPr>
        <w:t>:</w:t>
      </w:r>
      <w:r w:rsidR="0032039B" w:rsidRPr="0029160A">
        <w:rPr>
          <w:rStyle w:val="FootnoteReference"/>
          <w:color w:val="000000" w:themeColor="text1"/>
        </w:rPr>
        <w:footnoteReference w:id="7"/>
      </w:r>
      <w:r w:rsidR="00472638" w:rsidRPr="0029160A">
        <w:rPr>
          <w:color w:val="000000" w:themeColor="text1"/>
        </w:rPr>
        <w:t xml:space="preserve">  Forfeited Discounts</w:t>
      </w:r>
      <w:bookmarkEnd w:id="18"/>
    </w:p>
    <w:p w14:paraId="720CD4B2" w14:textId="77777777" w:rsidR="00397541" w:rsidRPr="0029160A" w:rsidRDefault="00397541" w:rsidP="00CB0B2E">
      <w:pPr>
        <w:widowControl/>
        <w:spacing w:line="360" w:lineRule="auto"/>
        <w:rPr>
          <w:color w:val="000000" w:themeColor="text1"/>
          <w:szCs w:val="26"/>
        </w:rPr>
      </w:pPr>
    </w:p>
    <w:p w14:paraId="7148AE2B" w14:textId="6A9C299C" w:rsidR="00A511DE" w:rsidRPr="0029160A" w:rsidRDefault="00A511DE" w:rsidP="000855B1">
      <w:pPr>
        <w:widowControl/>
        <w:spacing w:line="360" w:lineRule="auto"/>
        <w:ind w:firstLine="1440"/>
        <w:contextualSpacing/>
        <w:rPr>
          <w:color w:val="000000" w:themeColor="text1"/>
          <w:szCs w:val="26"/>
        </w:rPr>
      </w:pPr>
      <w:r w:rsidRPr="0029160A">
        <w:rPr>
          <w:color w:val="000000" w:themeColor="text1"/>
          <w:szCs w:val="26"/>
        </w:rPr>
        <w:t>At issue in this proceeding is the appropriate adjustment f</w:t>
      </w:r>
      <w:r w:rsidR="00C61B5A" w:rsidRPr="0029160A">
        <w:rPr>
          <w:color w:val="000000" w:themeColor="text1"/>
          <w:szCs w:val="26"/>
        </w:rPr>
        <w:t>or</w:t>
      </w:r>
      <w:r w:rsidRPr="0029160A">
        <w:rPr>
          <w:color w:val="000000" w:themeColor="text1"/>
          <w:szCs w:val="26"/>
        </w:rPr>
        <w:t xml:space="preserve"> projected revenues for </w:t>
      </w:r>
      <w:r w:rsidR="001F57B5" w:rsidRPr="0029160A">
        <w:rPr>
          <w:color w:val="000000" w:themeColor="text1"/>
          <w:szCs w:val="26"/>
        </w:rPr>
        <w:t xml:space="preserve">the </w:t>
      </w:r>
      <w:r w:rsidRPr="0029160A">
        <w:rPr>
          <w:color w:val="000000" w:themeColor="text1"/>
          <w:szCs w:val="26"/>
        </w:rPr>
        <w:t xml:space="preserve">Forfeited Discounts (late payment charges).  Wellsboro claimed $35,443 in revenue </w:t>
      </w:r>
      <w:r w:rsidR="00C61B5A" w:rsidRPr="0029160A">
        <w:rPr>
          <w:color w:val="000000" w:themeColor="text1"/>
          <w:szCs w:val="26"/>
        </w:rPr>
        <w:t>from</w:t>
      </w:r>
      <w:r w:rsidR="001F57B5" w:rsidRPr="0029160A">
        <w:rPr>
          <w:color w:val="000000" w:themeColor="text1"/>
          <w:szCs w:val="26"/>
        </w:rPr>
        <w:t xml:space="preserve"> </w:t>
      </w:r>
      <w:r w:rsidRPr="0029160A">
        <w:rPr>
          <w:color w:val="000000" w:themeColor="text1"/>
          <w:szCs w:val="26"/>
        </w:rPr>
        <w:t xml:space="preserve">Forfeited Discounts for 2020.  R.D. at 17 (citing Wellsboro </w:t>
      </w:r>
      <w:r w:rsidR="00DC265B" w:rsidRPr="0029160A">
        <w:rPr>
          <w:color w:val="000000" w:themeColor="text1"/>
          <w:szCs w:val="26"/>
        </w:rPr>
        <w:t>St.</w:t>
      </w:r>
      <w:r w:rsidRPr="0029160A">
        <w:rPr>
          <w:color w:val="000000" w:themeColor="text1"/>
          <w:szCs w:val="26"/>
        </w:rPr>
        <w:t xml:space="preserve"> 1, Ex</w:t>
      </w:r>
      <w:r w:rsidR="004475CA" w:rsidRPr="0029160A">
        <w:rPr>
          <w:color w:val="000000" w:themeColor="text1"/>
          <w:szCs w:val="26"/>
        </w:rPr>
        <w:t>hibit</w:t>
      </w:r>
      <w:r w:rsidR="004D586D" w:rsidRPr="0029160A">
        <w:rPr>
          <w:color w:val="000000" w:themeColor="text1"/>
          <w:szCs w:val="26"/>
        </w:rPr>
        <w:t>_</w:t>
      </w:r>
      <w:r w:rsidRPr="0029160A">
        <w:rPr>
          <w:color w:val="000000" w:themeColor="text1"/>
          <w:szCs w:val="26"/>
        </w:rPr>
        <w:t xml:space="preserve">(HSG-1), Schedule B6 (W)).  I&amp;E was the only Party to challenge this claim.  I&amp;E witness Cline argued that the Company’s revenue claim </w:t>
      </w:r>
      <w:r w:rsidR="00C61B5A" w:rsidRPr="0029160A">
        <w:rPr>
          <w:color w:val="000000" w:themeColor="text1"/>
          <w:szCs w:val="26"/>
        </w:rPr>
        <w:t>from</w:t>
      </w:r>
      <w:r w:rsidRPr="0029160A">
        <w:rPr>
          <w:color w:val="000000" w:themeColor="text1"/>
          <w:szCs w:val="26"/>
        </w:rPr>
        <w:t xml:space="preserve"> </w:t>
      </w:r>
      <w:r w:rsidR="001F57B5" w:rsidRPr="0029160A">
        <w:rPr>
          <w:color w:val="000000" w:themeColor="text1"/>
          <w:szCs w:val="26"/>
        </w:rPr>
        <w:t xml:space="preserve">the </w:t>
      </w:r>
      <w:r w:rsidRPr="0029160A">
        <w:rPr>
          <w:color w:val="000000" w:themeColor="text1"/>
          <w:szCs w:val="26"/>
        </w:rPr>
        <w:t xml:space="preserve">Forfeited Discounts was the same under both present and proposed rates.  R.D. at 17 (citing I&amp;E </w:t>
      </w:r>
      <w:r w:rsidR="00DC265B" w:rsidRPr="0029160A">
        <w:rPr>
          <w:color w:val="000000" w:themeColor="text1"/>
          <w:szCs w:val="26"/>
        </w:rPr>
        <w:t>St.</w:t>
      </w:r>
      <w:r w:rsidRPr="0029160A">
        <w:rPr>
          <w:color w:val="000000" w:themeColor="text1"/>
          <w:szCs w:val="26"/>
        </w:rPr>
        <w:t xml:space="preserve"> 3 at 18).  I&amp;E argued that the Company should include revenue from </w:t>
      </w:r>
      <w:r w:rsidR="001F57B5" w:rsidRPr="0029160A">
        <w:rPr>
          <w:color w:val="000000" w:themeColor="text1"/>
          <w:szCs w:val="26"/>
        </w:rPr>
        <w:t xml:space="preserve">the </w:t>
      </w:r>
      <w:r w:rsidRPr="0029160A">
        <w:rPr>
          <w:color w:val="000000" w:themeColor="text1"/>
          <w:szCs w:val="26"/>
        </w:rPr>
        <w:t xml:space="preserve">Forfeited Discounts equal to the percentage of sales the Company is ultimately granted the opportunity to recover through rates by the Commission.  I&amp;E recommends that revenue from </w:t>
      </w:r>
      <w:r w:rsidR="001F57B5" w:rsidRPr="0029160A">
        <w:rPr>
          <w:color w:val="000000" w:themeColor="text1"/>
          <w:szCs w:val="26"/>
        </w:rPr>
        <w:t xml:space="preserve">the </w:t>
      </w:r>
      <w:r w:rsidRPr="0029160A">
        <w:rPr>
          <w:color w:val="000000" w:themeColor="text1"/>
          <w:szCs w:val="26"/>
        </w:rPr>
        <w:t xml:space="preserve">Forfeited Discounts claimed by Wellsboro be increased by $1,734.00.  </w:t>
      </w:r>
      <w:r w:rsidR="00EF3FA4" w:rsidRPr="0029160A">
        <w:rPr>
          <w:color w:val="000000" w:themeColor="text1"/>
          <w:szCs w:val="26"/>
        </w:rPr>
        <w:t>R.D. at</w:t>
      </w:r>
      <w:r w:rsidR="004475CA" w:rsidRPr="0029160A">
        <w:rPr>
          <w:color w:val="000000" w:themeColor="text1"/>
          <w:szCs w:val="26"/>
        </w:rPr>
        <w:t> </w:t>
      </w:r>
      <w:r w:rsidR="00EF3FA4" w:rsidRPr="0029160A">
        <w:rPr>
          <w:color w:val="000000" w:themeColor="text1"/>
          <w:szCs w:val="26"/>
        </w:rPr>
        <w:t xml:space="preserve">17 (citing </w:t>
      </w:r>
      <w:r w:rsidRPr="0029160A">
        <w:rPr>
          <w:color w:val="000000" w:themeColor="text1"/>
          <w:szCs w:val="26"/>
        </w:rPr>
        <w:t xml:space="preserve">I&amp;E </w:t>
      </w:r>
      <w:r w:rsidR="00DC265B" w:rsidRPr="0029160A">
        <w:rPr>
          <w:color w:val="000000" w:themeColor="text1"/>
          <w:szCs w:val="26"/>
        </w:rPr>
        <w:t>St.</w:t>
      </w:r>
      <w:r w:rsidR="000855B1" w:rsidRPr="0029160A">
        <w:rPr>
          <w:color w:val="000000" w:themeColor="text1"/>
          <w:szCs w:val="26"/>
        </w:rPr>
        <w:t> </w:t>
      </w:r>
      <w:r w:rsidRPr="0029160A">
        <w:rPr>
          <w:color w:val="000000" w:themeColor="text1"/>
          <w:szCs w:val="26"/>
        </w:rPr>
        <w:t>3</w:t>
      </w:r>
      <w:r w:rsidR="000855B1" w:rsidRPr="0029160A">
        <w:rPr>
          <w:color w:val="000000" w:themeColor="text1"/>
          <w:szCs w:val="26"/>
        </w:rPr>
        <w:noBreakHyphen/>
      </w:r>
      <w:r w:rsidRPr="0029160A">
        <w:rPr>
          <w:color w:val="000000" w:themeColor="text1"/>
          <w:szCs w:val="26"/>
        </w:rPr>
        <w:t>SR at 10-11</w:t>
      </w:r>
      <w:r w:rsidR="00EF3FA4" w:rsidRPr="0029160A">
        <w:rPr>
          <w:color w:val="000000" w:themeColor="text1"/>
          <w:szCs w:val="26"/>
        </w:rPr>
        <w:t>)</w:t>
      </w:r>
      <w:r w:rsidRPr="0029160A">
        <w:rPr>
          <w:color w:val="000000" w:themeColor="text1"/>
          <w:szCs w:val="26"/>
        </w:rPr>
        <w:t xml:space="preserve">.  </w:t>
      </w:r>
    </w:p>
    <w:p w14:paraId="0C4E8B0E" w14:textId="77777777" w:rsidR="00A511DE" w:rsidRPr="0029160A" w:rsidRDefault="00A511DE">
      <w:pPr>
        <w:widowControl/>
        <w:spacing w:line="360" w:lineRule="auto"/>
        <w:ind w:firstLine="1440"/>
        <w:contextualSpacing/>
        <w:rPr>
          <w:color w:val="000000" w:themeColor="text1"/>
          <w:szCs w:val="26"/>
        </w:rPr>
      </w:pPr>
    </w:p>
    <w:p w14:paraId="3C394D10" w14:textId="77777777" w:rsidR="00A511DE" w:rsidRPr="0029160A" w:rsidRDefault="00A511DE">
      <w:pPr>
        <w:widowControl/>
        <w:spacing w:line="360" w:lineRule="auto"/>
        <w:ind w:firstLine="1440"/>
        <w:contextualSpacing/>
        <w:rPr>
          <w:color w:val="000000" w:themeColor="text1"/>
          <w:szCs w:val="26"/>
        </w:rPr>
      </w:pPr>
      <w:r w:rsidRPr="0029160A">
        <w:rPr>
          <w:color w:val="000000" w:themeColor="text1"/>
          <w:szCs w:val="26"/>
        </w:rPr>
        <w:t>In response, Wellsboro agree</w:t>
      </w:r>
      <w:r w:rsidR="00EF3FA4" w:rsidRPr="0029160A">
        <w:rPr>
          <w:color w:val="000000" w:themeColor="text1"/>
          <w:szCs w:val="26"/>
        </w:rPr>
        <w:t>d</w:t>
      </w:r>
      <w:r w:rsidRPr="0029160A">
        <w:rPr>
          <w:color w:val="000000" w:themeColor="text1"/>
          <w:szCs w:val="26"/>
        </w:rPr>
        <w:t xml:space="preserve"> with I&amp;E and acknowledge</w:t>
      </w:r>
      <w:r w:rsidR="00EF3FA4" w:rsidRPr="0029160A">
        <w:rPr>
          <w:color w:val="000000" w:themeColor="text1"/>
          <w:szCs w:val="26"/>
        </w:rPr>
        <w:t>d</w:t>
      </w:r>
      <w:r w:rsidRPr="0029160A">
        <w:rPr>
          <w:color w:val="000000" w:themeColor="text1"/>
          <w:szCs w:val="26"/>
        </w:rPr>
        <w:t xml:space="preserve"> that </w:t>
      </w:r>
      <w:r w:rsidR="001F57B5" w:rsidRPr="0029160A">
        <w:rPr>
          <w:color w:val="000000" w:themeColor="text1"/>
          <w:szCs w:val="26"/>
        </w:rPr>
        <w:t xml:space="preserve">the </w:t>
      </w:r>
      <w:r w:rsidRPr="0029160A">
        <w:rPr>
          <w:color w:val="000000" w:themeColor="text1"/>
          <w:szCs w:val="26"/>
        </w:rPr>
        <w:t>Forfeited Discounts may, in fact, increase with higher revenue, but argue</w:t>
      </w:r>
      <w:r w:rsidR="00EF3FA4" w:rsidRPr="0029160A">
        <w:rPr>
          <w:color w:val="000000" w:themeColor="text1"/>
          <w:szCs w:val="26"/>
        </w:rPr>
        <w:t>d</w:t>
      </w:r>
      <w:r w:rsidRPr="0029160A">
        <w:rPr>
          <w:color w:val="000000" w:themeColor="text1"/>
          <w:szCs w:val="26"/>
        </w:rPr>
        <w:t xml:space="preserve"> that </w:t>
      </w:r>
      <w:r w:rsidR="00DB1360" w:rsidRPr="0029160A">
        <w:rPr>
          <w:color w:val="000000" w:themeColor="text1"/>
          <w:szCs w:val="26"/>
        </w:rPr>
        <w:t xml:space="preserve">the </w:t>
      </w:r>
      <w:r w:rsidRPr="0029160A">
        <w:rPr>
          <w:color w:val="000000" w:themeColor="text1"/>
          <w:szCs w:val="26"/>
        </w:rPr>
        <w:t xml:space="preserve">Uncollectible Accounts expense is also likely to increase in a corresponding amount.  </w:t>
      </w:r>
      <w:r w:rsidR="00EF3FA4" w:rsidRPr="0029160A">
        <w:rPr>
          <w:color w:val="000000" w:themeColor="text1"/>
          <w:szCs w:val="26"/>
        </w:rPr>
        <w:t xml:space="preserve">R.D. at 18 (citing </w:t>
      </w:r>
      <w:r w:rsidRPr="0029160A">
        <w:rPr>
          <w:color w:val="000000" w:themeColor="text1"/>
          <w:szCs w:val="26"/>
        </w:rPr>
        <w:t xml:space="preserve">Wellsboro </w:t>
      </w:r>
      <w:r w:rsidR="00DC265B" w:rsidRPr="0029160A">
        <w:rPr>
          <w:color w:val="000000" w:themeColor="text1"/>
          <w:szCs w:val="26"/>
        </w:rPr>
        <w:t>St.</w:t>
      </w:r>
      <w:r w:rsidRPr="0029160A">
        <w:rPr>
          <w:color w:val="000000" w:themeColor="text1"/>
          <w:szCs w:val="26"/>
        </w:rPr>
        <w:t xml:space="preserve"> 1-R at 7</w:t>
      </w:r>
      <w:r w:rsidR="00C61B5A" w:rsidRPr="0029160A">
        <w:rPr>
          <w:color w:val="000000" w:themeColor="text1"/>
          <w:szCs w:val="26"/>
        </w:rPr>
        <w:t>)</w:t>
      </w:r>
      <w:r w:rsidRPr="0029160A">
        <w:rPr>
          <w:color w:val="000000" w:themeColor="text1"/>
          <w:szCs w:val="26"/>
        </w:rPr>
        <w:t>.  Wellsboro recommend</w:t>
      </w:r>
      <w:r w:rsidR="009A5DFE" w:rsidRPr="0029160A">
        <w:rPr>
          <w:color w:val="000000" w:themeColor="text1"/>
          <w:szCs w:val="26"/>
        </w:rPr>
        <w:t>ed</w:t>
      </w:r>
      <w:r w:rsidRPr="0029160A">
        <w:rPr>
          <w:color w:val="000000" w:themeColor="text1"/>
          <w:szCs w:val="26"/>
        </w:rPr>
        <w:t xml:space="preserve"> that, because the difference between the two changes will likely be immaterial, I&amp;E’s recommended adjustment should be rejected.  </w:t>
      </w:r>
      <w:r w:rsidR="00EF3FA4" w:rsidRPr="0029160A">
        <w:rPr>
          <w:color w:val="000000" w:themeColor="text1"/>
          <w:szCs w:val="26"/>
        </w:rPr>
        <w:t xml:space="preserve">R.D. at 18 (citing </w:t>
      </w:r>
      <w:r w:rsidRPr="0029160A">
        <w:rPr>
          <w:color w:val="000000" w:themeColor="text1"/>
          <w:szCs w:val="26"/>
        </w:rPr>
        <w:t xml:space="preserve">Wellsboro </w:t>
      </w:r>
      <w:r w:rsidR="00DC265B" w:rsidRPr="0029160A">
        <w:rPr>
          <w:color w:val="000000" w:themeColor="text1"/>
          <w:szCs w:val="26"/>
        </w:rPr>
        <w:t>St.</w:t>
      </w:r>
      <w:r w:rsidRPr="0029160A">
        <w:rPr>
          <w:color w:val="000000" w:themeColor="text1"/>
          <w:szCs w:val="26"/>
        </w:rPr>
        <w:t xml:space="preserve"> 1-R at 7</w:t>
      </w:r>
      <w:r w:rsidR="00EF3FA4" w:rsidRPr="0029160A">
        <w:rPr>
          <w:color w:val="000000" w:themeColor="text1"/>
          <w:szCs w:val="26"/>
        </w:rPr>
        <w:t>)</w:t>
      </w:r>
      <w:r w:rsidRPr="0029160A">
        <w:rPr>
          <w:color w:val="000000" w:themeColor="text1"/>
          <w:szCs w:val="26"/>
        </w:rPr>
        <w:t>.  In the alternative, Wellsboro argue</w:t>
      </w:r>
      <w:r w:rsidR="009A5DFE" w:rsidRPr="0029160A">
        <w:rPr>
          <w:color w:val="000000" w:themeColor="text1"/>
          <w:szCs w:val="26"/>
        </w:rPr>
        <w:t>d</w:t>
      </w:r>
      <w:r w:rsidRPr="0029160A">
        <w:rPr>
          <w:color w:val="000000" w:themeColor="text1"/>
          <w:szCs w:val="26"/>
        </w:rPr>
        <w:t xml:space="preserve"> that, if I&amp;E’s adjustment for </w:t>
      </w:r>
      <w:r w:rsidR="00DB1360" w:rsidRPr="0029160A">
        <w:rPr>
          <w:color w:val="000000" w:themeColor="text1"/>
          <w:szCs w:val="26"/>
        </w:rPr>
        <w:t xml:space="preserve">the </w:t>
      </w:r>
      <w:r w:rsidRPr="0029160A">
        <w:rPr>
          <w:color w:val="000000" w:themeColor="text1"/>
          <w:szCs w:val="26"/>
        </w:rPr>
        <w:t xml:space="preserve">Forfeited Discounts is </w:t>
      </w:r>
      <w:r w:rsidRPr="0029160A">
        <w:rPr>
          <w:color w:val="000000" w:themeColor="text1"/>
          <w:szCs w:val="26"/>
        </w:rPr>
        <w:lastRenderedPageBreak/>
        <w:t xml:space="preserve">accepted by the Commission, a corresponding expense increase for </w:t>
      </w:r>
      <w:r w:rsidR="001F57B5" w:rsidRPr="0029160A">
        <w:rPr>
          <w:color w:val="000000" w:themeColor="text1"/>
          <w:szCs w:val="26"/>
        </w:rPr>
        <w:t xml:space="preserve">the </w:t>
      </w:r>
      <w:r w:rsidRPr="0029160A">
        <w:rPr>
          <w:color w:val="000000" w:themeColor="text1"/>
          <w:szCs w:val="26"/>
        </w:rPr>
        <w:t>Uncollectible Accounts should also be approved.</w:t>
      </w:r>
      <w:r w:rsidR="00EF3FA4" w:rsidRPr="0029160A">
        <w:rPr>
          <w:color w:val="000000" w:themeColor="text1"/>
          <w:szCs w:val="26"/>
        </w:rPr>
        <w:t xml:space="preserve">  R.D. at 18.</w:t>
      </w:r>
    </w:p>
    <w:p w14:paraId="0FFA798C" w14:textId="2F357410" w:rsidR="00C71416" w:rsidRPr="0029160A" w:rsidRDefault="00EF3FA4" w:rsidP="000855B1">
      <w:pPr>
        <w:widowControl/>
        <w:spacing w:line="360" w:lineRule="auto"/>
        <w:ind w:firstLine="1440"/>
        <w:contextualSpacing/>
        <w:rPr>
          <w:color w:val="000000" w:themeColor="text1"/>
          <w:szCs w:val="26"/>
        </w:rPr>
      </w:pPr>
      <w:r w:rsidRPr="0029160A">
        <w:rPr>
          <w:color w:val="000000" w:themeColor="text1"/>
          <w:szCs w:val="26"/>
        </w:rPr>
        <w:t>Upon review, t</w:t>
      </w:r>
      <w:r w:rsidR="00B26CA7" w:rsidRPr="0029160A">
        <w:rPr>
          <w:color w:val="000000" w:themeColor="text1"/>
          <w:szCs w:val="26"/>
        </w:rPr>
        <w:t>he ALJs recommend</w:t>
      </w:r>
      <w:r w:rsidR="00A511DE" w:rsidRPr="0029160A">
        <w:rPr>
          <w:color w:val="000000" w:themeColor="text1"/>
          <w:szCs w:val="26"/>
        </w:rPr>
        <w:t>ed</w:t>
      </w:r>
      <w:r w:rsidR="00B26CA7" w:rsidRPr="0029160A">
        <w:rPr>
          <w:color w:val="000000" w:themeColor="text1"/>
          <w:szCs w:val="26"/>
        </w:rPr>
        <w:t xml:space="preserve"> approval of I&amp;E’s recommended upward adjustment to revenues in the amount of $1,734 from </w:t>
      </w:r>
      <w:r w:rsidR="00D82143" w:rsidRPr="0029160A">
        <w:rPr>
          <w:color w:val="000000" w:themeColor="text1"/>
          <w:szCs w:val="26"/>
        </w:rPr>
        <w:t xml:space="preserve">the </w:t>
      </w:r>
      <w:r w:rsidR="00B26CA7" w:rsidRPr="0029160A">
        <w:rPr>
          <w:color w:val="000000" w:themeColor="text1"/>
          <w:szCs w:val="26"/>
        </w:rPr>
        <w:t xml:space="preserve">Forfeited Discounts claimed by Wellsboro.  </w:t>
      </w:r>
      <w:r w:rsidRPr="0029160A">
        <w:rPr>
          <w:color w:val="000000" w:themeColor="text1"/>
          <w:szCs w:val="26"/>
        </w:rPr>
        <w:t xml:space="preserve">Because </w:t>
      </w:r>
      <w:r w:rsidR="00B26CA7" w:rsidRPr="0029160A">
        <w:rPr>
          <w:color w:val="000000" w:themeColor="text1"/>
          <w:szCs w:val="26"/>
        </w:rPr>
        <w:t>Wellsboro</w:t>
      </w:r>
      <w:r w:rsidRPr="0029160A">
        <w:rPr>
          <w:color w:val="000000" w:themeColor="text1"/>
          <w:szCs w:val="26"/>
        </w:rPr>
        <w:t>’s</w:t>
      </w:r>
      <w:r w:rsidR="00B26CA7" w:rsidRPr="0029160A">
        <w:rPr>
          <w:color w:val="000000" w:themeColor="text1"/>
          <w:szCs w:val="26"/>
        </w:rPr>
        <w:t xml:space="preserve"> witness Gorman acknowledged in rebuttal testimony that </w:t>
      </w:r>
      <w:r w:rsidR="00D82143" w:rsidRPr="0029160A">
        <w:rPr>
          <w:color w:val="000000" w:themeColor="text1"/>
          <w:szCs w:val="26"/>
        </w:rPr>
        <w:t xml:space="preserve">the </w:t>
      </w:r>
      <w:r w:rsidR="00B26CA7" w:rsidRPr="0029160A">
        <w:rPr>
          <w:color w:val="000000" w:themeColor="text1"/>
          <w:szCs w:val="26"/>
        </w:rPr>
        <w:t>Forfeited Discounts will likely increase with higher revenue</w:t>
      </w:r>
      <w:r w:rsidRPr="0029160A">
        <w:rPr>
          <w:color w:val="000000" w:themeColor="text1"/>
          <w:szCs w:val="26"/>
        </w:rPr>
        <w:t xml:space="preserve">, </w:t>
      </w:r>
      <w:r w:rsidR="00B26CA7" w:rsidRPr="0029160A">
        <w:rPr>
          <w:color w:val="000000" w:themeColor="text1"/>
          <w:szCs w:val="26"/>
        </w:rPr>
        <w:t xml:space="preserve">Wellsboro </w:t>
      </w:r>
      <w:r w:rsidR="00DC265B" w:rsidRPr="0029160A">
        <w:rPr>
          <w:color w:val="000000" w:themeColor="text1"/>
          <w:szCs w:val="26"/>
        </w:rPr>
        <w:t>St.</w:t>
      </w:r>
      <w:r w:rsidR="00B26CA7" w:rsidRPr="0029160A">
        <w:rPr>
          <w:color w:val="000000" w:themeColor="text1"/>
          <w:szCs w:val="26"/>
        </w:rPr>
        <w:t xml:space="preserve"> 1-R at 7</w:t>
      </w:r>
      <w:r w:rsidRPr="0029160A">
        <w:rPr>
          <w:color w:val="000000" w:themeColor="text1"/>
          <w:szCs w:val="26"/>
        </w:rPr>
        <w:t xml:space="preserve">, </w:t>
      </w:r>
      <w:r w:rsidR="00B26CA7" w:rsidRPr="0029160A">
        <w:rPr>
          <w:color w:val="000000" w:themeColor="text1"/>
          <w:szCs w:val="26"/>
        </w:rPr>
        <w:t xml:space="preserve">the ALJs concluded that Wellsboro is generally in agreement with I&amp;E on the issue of </w:t>
      </w:r>
      <w:r w:rsidR="00D82143" w:rsidRPr="0029160A">
        <w:rPr>
          <w:color w:val="000000" w:themeColor="text1"/>
          <w:szCs w:val="26"/>
        </w:rPr>
        <w:t xml:space="preserve">the </w:t>
      </w:r>
      <w:r w:rsidR="00B26CA7" w:rsidRPr="0029160A">
        <w:rPr>
          <w:color w:val="000000" w:themeColor="text1"/>
          <w:szCs w:val="26"/>
        </w:rPr>
        <w:t xml:space="preserve">Forfeited Discounts.  The ALJs rejected Wellsboro’s request that its Uncollectible Accounts expense amount be increased by a corresponding amount.  While Wellsboro did project increases in its Uncollectible Accounts in its filing, it did not request an adjustment associated with </w:t>
      </w:r>
      <w:r w:rsidR="00D82143" w:rsidRPr="0029160A">
        <w:rPr>
          <w:color w:val="000000" w:themeColor="text1"/>
          <w:szCs w:val="26"/>
        </w:rPr>
        <w:t xml:space="preserve">the </w:t>
      </w:r>
      <w:r w:rsidR="00B26CA7" w:rsidRPr="0029160A">
        <w:rPr>
          <w:color w:val="000000" w:themeColor="text1"/>
          <w:szCs w:val="26"/>
        </w:rPr>
        <w:t>Forfeited Discounts, with associated supporting documentation and analysis.  Thus, the ALJs recommend</w:t>
      </w:r>
      <w:r w:rsidR="00A511DE" w:rsidRPr="0029160A">
        <w:rPr>
          <w:color w:val="000000" w:themeColor="text1"/>
          <w:szCs w:val="26"/>
        </w:rPr>
        <w:t>ed</w:t>
      </w:r>
      <w:r w:rsidR="00B26CA7" w:rsidRPr="0029160A">
        <w:rPr>
          <w:color w:val="000000" w:themeColor="text1"/>
          <w:szCs w:val="26"/>
        </w:rPr>
        <w:t xml:space="preserve"> </w:t>
      </w:r>
      <w:r w:rsidR="00A511DE" w:rsidRPr="0029160A">
        <w:rPr>
          <w:color w:val="000000" w:themeColor="text1"/>
          <w:szCs w:val="26"/>
        </w:rPr>
        <w:t>no</w:t>
      </w:r>
      <w:r w:rsidR="00B26CA7" w:rsidRPr="0029160A">
        <w:rPr>
          <w:color w:val="000000" w:themeColor="text1"/>
          <w:szCs w:val="26"/>
        </w:rPr>
        <w:t xml:space="preserve"> further adjustment based on the record in this proceeding.  </w:t>
      </w:r>
      <w:r w:rsidR="004031AD" w:rsidRPr="0029160A">
        <w:rPr>
          <w:color w:val="000000" w:themeColor="text1"/>
          <w:szCs w:val="26"/>
        </w:rPr>
        <w:t xml:space="preserve">R.D. at 17-18. </w:t>
      </w:r>
      <w:r w:rsidR="00B26CA7" w:rsidRPr="0029160A">
        <w:rPr>
          <w:color w:val="000000" w:themeColor="text1"/>
          <w:szCs w:val="26"/>
        </w:rPr>
        <w:t xml:space="preserve"> </w:t>
      </w:r>
    </w:p>
    <w:p w14:paraId="1715A284" w14:textId="77777777" w:rsidR="00C71416" w:rsidRPr="0029160A" w:rsidRDefault="00C71416" w:rsidP="000855B1">
      <w:pPr>
        <w:widowControl/>
        <w:spacing w:line="360" w:lineRule="auto"/>
        <w:rPr>
          <w:color w:val="000000" w:themeColor="text1"/>
        </w:rPr>
      </w:pPr>
    </w:p>
    <w:p w14:paraId="34084D56" w14:textId="77777777" w:rsidR="00461A7E" w:rsidRPr="0029160A" w:rsidRDefault="00461A7E" w:rsidP="000855B1">
      <w:pPr>
        <w:pStyle w:val="Heading3"/>
        <w:keepNext/>
        <w:ind w:left="1440" w:hanging="720"/>
        <w:rPr>
          <w:color w:val="000000" w:themeColor="text1"/>
        </w:rPr>
      </w:pPr>
      <w:bookmarkStart w:id="19" w:name="_Toc36552344"/>
      <w:bookmarkStart w:id="20" w:name="_Toc38951729"/>
      <w:r w:rsidRPr="0029160A">
        <w:rPr>
          <w:color w:val="000000" w:themeColor="text1"/>
        </w:rPr>
        <w:t>Expenses</w:t>
      </w:r>
      <w:bookmarkEnd w:id="19"/>
      <w:r w:rsidR="00472638" w:rsidRPr="0029160A">
        <w:rPr>
          <w:color w:val="000000" w:themeColor="text1"/>
        </w:rPr>
        <w:t>:</w:t>
      </w:r>
      <w:r w:rsidR="00A511DE" w:rsidRPr="0029160A">
        <w:rPr>
          <w:rStyle w:val="FootnoteReference"/>
          <w:color w:val="000000" w:themeColor="text1"/>
        </w:rPr>
        <w:footnoteReference w:id="8"/>
      </w:r>
      <w:r w:rsidR="00472638" w:rsidRPr="0029160A">
        <w:rPr>
          <w:color w:val="000000" w:themeColor="text1"/>
        </w:rPr>
        <w:t xml:space="preserve">  Regulatory Commission Expense (Account 928) and CWC</w:t>
      </w:r>
      <w:bookmarkEnd w:id="20"/>
    </w:p>
    <w:p w14:paraId="34CF2A0D" w14:textId="77777777" w:rsidR="009222F8" w:rsidRPr="0029160A" w:rsidRDefault="009222F8" w:rsidP="000855B1">
      <w:pPr>
        <w:keepNext/>
        <w:widowControl/>
        <w:spacing w:line="360" w:lineRule="auto"/>
        <w:rPr>
          <w:color w:val="000000" w:themeColor="text1"/>
        </w:rPr>
      </w:pPr>
    </w:p>
    <w:p w14:paraId="0A8D00DA" w14:textId="77777777" w:rsidR="004E72E8" w:rsidRPr="0029160A" w:rsidRDefault="004E72E8" w:rsidP="000855B1">
      <w:pPr>
        <w:keepNext/>
        <w:widowControl/>
        <w:spacing w:line="360" w:lineRule="auto"/>
        <w:ind w:firstLine="1440"/>
        <w:rPr>
          <w:color w:val="000000" w:themeColor="text1"/>
          <w:szCs w:val="26"/>
        </w:rPr>
      </w:pPr>
      <w:r w:rsidRPr="0029160A">
        <w:rPr>
          <w:color w:val="000000" w:themeColor="text1"/>
          <w:szCs w:val="26"/>
        </w:rPr>
        <w:t>The ALJs explained that, as a matter of law, a utility is entitled to recover in its rates all legitimate expenses incurred in the rendition of its public utility service.</w:t>
      </w:r>
      <w:r w:rsidRPr="0029160A">
        <w:rPr>
          <w:color w:val="000000" w:themeColor="text1"/>
          <w:szCs w:val="26"/>
          <w:vertAlign w:val="superscript"/>
        </w:rPr>
        <w:t xml:space="preserve">  </w:t>
      </w:r>
      <w:r w:rsidRPr="0029160A">
        <w:rPr>
          <w:i/>
          <w:color w:val="000000" w:themeColor="text1"/>
          <w:szCs w:val="26"/>
        </w:rPr>
        <w:t>UGI Corp. v. Pa. PUC</w:t>
      </w:r>
      <w:r w:rsidRPr="0029160A">
        <w:rPr>
          <w:iCs/>
          <w:color w:val="000000" w:themeColor="text1"/>
          <w:szCs w:val="26"/>
        </w:rPr>
        <w:t>,</w:t>
      </w:r>
      <w:r w:rsidRPr="0029160A">
        <w:rPr>
          <w:color w:val="000000" w:themeColor="text1"/>
          <w:szCs w:val="26"/>
        </w:rPr>
        <w:t xml:space="preserve"> 410 A.2d 923, 932 (Pa. Cmwlth. 1980).  The general rule is that utilities are permitted to set rates which will recover those operating expenses reasonably necessary to provide service to customers, while earning a fair rate of return on the investment in plant used and useful in providing adequate utility service.  </w:t>
      </w:r>
      <w:r w:rsidRPr="0029160A">
        <w:rPr>
          <w:i/>
          <w:color w:val="000000" w:themeColor="text1"/>
          <w:szCs w:val="26"/>
        </w:rPr>
        <w:t xml:space="preserve">Western Pa. </w:t>
      </w:r>
      <w:r w:rsidRPr="0029160A">
        <w:rPr>
          <w:i/>
          <w:color w:val="000000" w:themeColor="text1"/>
          <w:szCs w:val="26"/>
        </w:rPr>
        <w:lastRenderedPageBreak/>
        <w:t>Water Company v. Pa. PUC</w:t>
      </w:r>
      <w:r w:rsidRPr="0029160A">
        <w:rPr>
          <w:color w:val="000000" w:themeColor="text1"/>
          <w:szCs w:val="26"/>
        </w:rPr>
        <w:t xml:space="preserve">, 422 A.2d 906 (Pa. Cmwlth. 1980).  The objective evaluation of reasonableness is whether the record provides sufficient detail to objectively determine whether the expense is prudently incurred.  </w:t>
      </w:r>
      <w:r w:rsidRPr="0029160A">
        <w:rPr>
          <w:i/>
          <w:iCs/>
          <w:color w:val="000000" w:themeColor="text1"/>
          <w:szCs w:val="26"/>
        </w:rPr>
        <w:t>Popowsky v. Pa. PUC</w:t>
      </w:r>
      <w:r w:rsidRPr="0029160A">
        <w:rPr>
          <w:color w:val="000000" w:themeColor="text1"/>
          <w:szCs w:val="26"/>
        </w:rPr>
        <w:t xml:space="preserve">, 674 A.2d 1149, 1153-54 (Pa. Cmwlth. 1996).  With respect to operating and maintenance expenses, those expenses, if properly incurred, are allowed as part of the overall rate computation.  To the extent that expenses are not incurred, imprudently incurred, or abnormally overstated during the test year, they should be disallowed and found not recoverable through rates.  R.D. at 18-19. </w:t>
      </w:r>
    </w:p>
    <w:p w14:paraId="5E6673A6" w14:textId="77777777" w:rsidR="004E72E8" w:rsidRPr="0029160A" w:rsidRDefault="004E72E8" w:rsidP="000855B1">
      <w:pPr>
        <w:widowControl/>
        <w:spacing w:line="360" w:lineRule="auto"/>
        <w:rPr>
          <w:color w:val="000000" w:themeColor="text1"/>
          <w:szCs w:val="26"/>
        </w:rPr>
      </w:pPr>
    </w:p>
    <w:p w14:paraId="1B6F99F3" w14:textId="0E88F378" w:rsidR="00E5214B" w:rsidRPr="0029160A" w:rsidRDefault="008B2050">
      <w:pPr>
        <w:widowControl/>
        <w:spacing w:line="360" w:lineRule="auto"/>
        <w:ind w:firstLine="1440"/>
        <w:rPr>
          <w:rFonts w:eastAsiaTheme="minorHAnsi"/>
          <w:color w:val="000000" w:themeColor="text1"/>
          <w:szCs w:val="26"/>
        </w:rPr>
      </w:pPr>
      <w:r w:rsidRPr="0029160A">
        <w:rPr>
          <w:rFonts w:eastAsiaTheme="minorHAnsi"/>
          <w:color w:val="000000" w:themeColor="text1"/>
          <w:szCs w:val="26"/>
        </w:rPr>
        <w:t>T</w:t>
      </w:r>
      <w:r w:rsidR="00E5214B" w:rsidRPr="0029160A">
        <w:rPr>
          <w:rFonts w:eastAsiaTheme="minorHAnsi"/>
          <w:color w:val="000000" w:themeColor="text1"/>
          <w:szCs w:val="26"/>
        </w:rPr>
        <w:t>he following</w:t>
      </w:r>
      <w:r w:rsidR="004031AD" w:rsidRPr="0029160A">
        <w:rPr>
          <w:rFonts w:eastAsiaTheme="minorHAnsi"/>
          <w:color w:val="000000" w:themeColor="text1"/>
          <w:szCs w:val="26"/>
        </w:rPr>
        <w:t xml:space="preserve"> </w:t>
      </w:r>
      <w:r w:rsidR="00E5214B" w:rsidRPr="0029160A">
        <w:rPr>
          <w:rFonts w:eastAsiaTheme="minorHAnsi"/>
          <w:color w:val="000000" w:themeColor="text1"/>
          <w:szCs w:val="26"/>
        </w:rPr>
        <w:t>recommendations in the R.D.</w:t>
      </w:r>
      <w:r w:rsidR="00B24747" w:rsidRPr="0029160A">
        <w:rPr>
          <w:rFonts w:eastAsiaTheme="minorHAnsi"/>
          <w:color w:val="000000" w:themeColor="text1"/>
          <w:szCs w:val="26"/>
        </w:rPr>
        <w:t xml:space="preserve"> pertaining to</w:t>
      </w:r>
      <w:r w:rsidR="00B576E7" w:rsidRPr="0029160A">
        <w:rPr>
          <w:rFonts w:eastAsiaTheme="minorHAnsi"/>
          <w:color w:val="000000" w:themeColor="text1"/>
          <w:szCs w:val="26"/>
        </w:rPr>
        <w:t xml:space="preserve"> two</w:t>
      </w:r>
      <w:r w:rsidR="00B24747" w:rsidRPr="0029160A">
        <w:rPr>
          <w:rFonts w:eastAsiaTheme="minorHAnsi"/>
          <w:color w:val="000000" w:themeColor="text1"/>
          <w:szCs w:val="26"/>
        </w:rPr>
        <w:t xml:space="preserve"> expense</w:t>
      </w:r>
      <w:r w:rsidR="00B576E7" w:rsidRPr="0029160A">
        <w:rPr>
          <w:rFonts w:eastAsiaTheme="minorHAnsi"/>
          <w:color w:val="000000" w:themeColor="text1"/>
          <w:szCs w:val="26"/>
        </w:rPr>
        <w:t xml:space="preserve"> items</w:t>
      </w:r>
      <w:r w:rsidR="00E5214B" w:rsidRPr="0029160A">
        <w:rPr>
          <w:rFonts w:eastAsiaTheme="minorHAnsi"/>
          <w:color w:val="000000" w:themeColor="text1"/>
          <w:szCs w:val="26"/>
        </w:rPr>
        <w:t xml:space="preserve"> are not </w:t>
      </w:r>
      <w:r w:rsidR="003817E6" w:rsidRPr="0029160A">
        <w:rPr>
          <w:rFonts w:eastAsiaTheme="minorHAnsi"/>
          <w:color w:val="000000" w:themeColor="text1"/>
          <w:szCs w:val="26"/>
        </w:rPr>
        <w:t>raised expressly or by implication</w:t>
      </w:r>
      <w:r w:rsidR="004031AD" w:rsidRPr="0029160A">
        <w:rPr>
          <w:rFonts w:eastAsiaTheme="minorHAnsi"/>
          <w:color w:val="000000" w:themeColor="text1"/>
          <w:szCs w:val="26"/>
        </w:rPr>
        <w:t xml:space="preserve"> in the</w:t>
      </w:r>
      <w:r w:rsidR="00E5214B" w:rsidRPr="0029160A">
        <w:rPr>
          <w:rFonts w:eastAsiaTheme="minorHAnsi"/>
          <w:color w:val="000000" w:themeColor="text1"/>
          <w:szCs w:val="26"/>
        </w:rPr>
        <w:t xml:space="preserve"> Parties</w:t>
      </w:r>
      <w:r w:rsidR="00C822FC" w:rsidRPr="0029160A">
        <w:rPr>
          <w:rFonts w:eastAsiaTheme="minorHAnsi"/>
          <w:color w:val="000000" w:themeColor="text1"/>
          <w:szCs w:val="26"/>
        </w:rPr>
        <w:t>’</w:t>
      </w:r>
      <w:r w:rsidR="00E5214B" w:rsidRPr="0029160A">
        <w:rPr>
          <w:rFonts w:eastAsiaTheme="minorHAnsi"/>
          <w:color w:val="000000" w:themeColor="text1"/>
          <w:szCs w:val="26"/>
        </w:rPr>
        <w:t xml:space="preserve"> Exceptions and Replies to Exceptions:</w:t>
      </w:r>
      <w:r w:rsidR="004031AD" w:rsidRPr="0029160A">
        <w:rPr>
          <w:rFonts w:eastAsiaTheme="minorHAnsi"/>
          <w:color w:val="000000" w:themeColor="text1"/>
          <w:szCs w:val="26"/>
        </w:rPr>
        <w:t xml:space="preserve">  Regulatory Commission Expense (Account 928)</w:t>
      </w:r>
      <w:r w:rsidR="00B24747" w:rsidRPr="0029160A">
        <w:rPr>
          <w:rFonts w:eastAsiaTheme="minorHAnsi"/>
          <w:color w:val="000000" w:themeColor="text1"/>
          <w:szCs w:val="26"/>
        </w:rPr>
        <w:t xml:space="preserve"> and</w:t>
      </w:r>
      <w:r w:rsidR="004031AD" w:rsidRPr="0029160A">
        <w:rPr>
          <w:rFonts w:eastAsiaTheme="minorHAnsi"/>
          <w:color w:val="000000" w:themeColor="text1"/>
          <w:szCs w:val="26"/>
        </w:rPr>
        <w:t xml:space="preserve"> CWC </w:t>
      </w:r>
      <w:r w:rsidR="00C822FC" w:rsidRPr="0029160A">
        <w:rPr>
          <w:rFonts w:eastAsiaTheme="minorHAnsi"/>
          <w:color w:val="000000" w:themeColor="text1"/>
          <w:szCs w:val="26"/>
        </w:rPr>
        <w:t>E</w:t>
      </w:r>
      <w:r w:rsidR="004031AD" w:rsidRPr="0029160A">
        <w:rPr>
          <w:rFonts w:eastAsiaTheme="minorHAnsi"/>
          <w:color w:val="000000" w:themeColor="text1"/>
          <w:szCs w:val="26"/>
        </w:rPr>
        <w:t>xpense</w:t>
      </w:r>
      <w:r w:rsidR="00B24747" w:rsidRPr="0029160A">
        <w:rPr>
          <w:rFonts w:eastAsiaTheme="minorHAnsi"/>
          <w:color w:val="000000" w:themeColor="text1"/>
          <w:szCs w:val="26"/>
        </w:rPr>
        <w:t>.</w:t>
      </w:r>
      <w:r w:rsidR="004031AD" w:rsidRPr="0029160A">
        <w:rPr>
          <w:rFonts w:eastAsiaTheme="minorHAnsi"/>
          <w:color w:val="000000" w:themeColor="text1"/>
          <w:szCs w:val="26"/>
        </w:rPr>
        <w:t xml:space="preserve">  R.D.</w:t>
      </w:r>
      <w:r w:rsidR="009320AC" w:rsidRPr="0029160A">
        <w:rPr>
          <w:rFonts w:eastAsiaTheme="minorHAnsi"/>
          <w:color w:val="000000" w:themeColor="text1"/>
          <w:szCs w:val="26"/>
        </w:rPr>
        <w:t> </w:t>
      </w:r>
      <w:r w:rsidR="004031AD" w:rsidRPr="0029160A">
        <w:rPr>
          <w:rFonts w:eastAsiaTheme="minorHAnsi"/>
          <w:color w:val="000000" w:themeColor="text1"/>
          <w:szCs w:val="26"/>
        </w:rPr>
        <w:t>at 39-40, 45-46.</w:t>
      </w:r>
      <w:r w:rsidR="00E5214B" w:rsidRPr="0029160A">
        <w:rPr>
          <w:rFonts w:eastAsiaTheme="minorHAnsi"/>
          <w:color w:val="000000" w:themeColor="text1"/>
          <w:szCs w:val="26"/>
        </w:rPr>
        <w:t xml:space="preserve"> </w:t>
      </w:r>
    </w:p>
    <w:p w14:paraId="2371AF4F" w14:textId="77777777" w:rsidR="004031AD" w:rsidRPr="0029160A" w:rsidRDefault="004031AD">
      <w:pPr>
        <w:widowControl/>
        <w:spacing w:line="360" w:lineRule="auto"/>
        <w:ind w:firstLine="1440"/>
        <w:rPr>
          <w:rFonts w:eastAsiaTheme="minorHAnsi"/>
          <w:color w:val="000000" w:themeColor="text1"/>
          <w:szCs w:val="26"/>
        </w:rPr>
      </w:pPr>
    </w:p>
    <w:p w14:paraId="5B5F2DBC" w14:textId="16134F41" w:rsidR="007A0D23" w:rsidRPr="0029160A" w:rsidRDefault="007A0D23" w:rsidP="000855B1">
      <w:pPr>
        <w:widowControl/>
        <w:spacing w:line="360" w:lineRule="auto"/>
        <w:ind w:firstLine="1440"/>
        <w:rPr>
          <w:rFonts w:eastAsiaTheme="minorHAnsi"/>
          <w:color w:val="000000" w:themeColor="text1"/>
          <w:szCs w:val="26"/>
        </w:rPr>
      </w:pPr>
      <w:r w:rsidRPr="0029160A">
        <w:rPr>
          <w:color w:val="000000" w:themeColor="text1"/>
          <w:szCs w:val="26"/>
        </w:rPr>
        <w:t xml:space="preserve">For </w:t>
      </w:r>
      <w:r w:rsidR="00D67E23" w:rsidRPr="0029160A">
        <w:rPr>
          <w:color w:val="000000" w:themeColor="text1"/>
          <w:szCs w:val="26"/>
        </w:rPr>
        <w:t>the</w:t>
      </w:r>
      <w:r w:rsidRPr="0029160A">
        <w:rPr>
          <w:color w:val="000000" w:themeColor="text1"/>
          <w:szCs w:val="26"/>
        </w:rPr>
        <w:t xml:space="preserve"> Regulatory Commission Expense (Account 928), </w:t>
      </w:r>
      <w:r w:rsidR="008B2050" w:rsidRPr="0029160A">
        <w:rPr>
          <w:color w:val="000000" w:themeColor="text1"/>
          <w:szCs w:val="26"/>
        </w:rPr>
        <w:t>Wellsboro made an original claim of $107,341 in the FPFTY.  The claim include</w:t>
      </w:r>
      <w:r w:rsidR="00FE397C" w:rsidRPr="0029160A">
        <w:rPr>
          <w:color w:val="000000" w:themeColor="text1"/>
          <w:szCs w:val="26"/>
        </w:rPr>
        <w:t>d</w:t>
      </w:r>
      <w:r w:rsidR="008B2050" w:rsidRPr="0029160A">
        <w:rPr>
          <w:color w:val="000000" w:themeColor="text1"/>
          <w:szCs w:val="26"/>
        </w:rPr>
        <w:t xml:space="preserve"> amortization of the 2016 rate case expense of $68,710.  I&amp;E recommended a</w:t>
      </w:r>
      <w:r w:rsidR="00902E47" w:rsidRPr="0029160A">
        <w:rPr>
          <w:color w:val="000000" w:themeColor="text1"/>
          <w:szCs w:val="26"/>
        </w:rPr>
        <w:t>n</w:t>
      </w:r>
      <w:r w:rsidR="008B2050" w:rsidRPr="0029160A">
        <w:rPr>
          <w:color w:val="000000" w:themeColor="text1"/>
          <w:szCs w:val="26"/>
        </w:rPr>
        <w:t xml:space="preserve"> </w:t>
      </w:r>
      <w:r w:rsidR="00D67E23" w:rsidRPr="0029160A">
        <w:rPr>
          <w:color w:val="000000" w:themeColor="text1"/>
          <w:szCs w:val="26"/>
        </w:rPr>
        <w:t xml:space="preserve">amortization </w:t>
      </w:r>
      <w:r w:rsidR="008B2050" w:rsidRPr="0029160A">
        <w:rPr>
          <w:color w:val="000000" w:themeColor="text1"/>
          <w:szCs w:val="26"/>
        </w:rPr>
        <w:t xml:space="preserve">reduction of $68,710 </w:t>
      </w:r>
      <w:r w:rsidR="00D67E23" w:rsidRPr="0029160A">
        <w:rPr>
          <w:color w:val="000000" w:themeColor="text1"/>
          <w:szCs w:val="26"/>
        </w:rPr>
        <w:t xml:space="preserve">to Wellsboro’s </w:t>
      </w:r>
      <w:r w:rsidR="00F92175" w:rsidRPr="0029160A">
        <w:rPr>
          <w:color w:val="000000" w:themeColor="text1"/>
          <w:szCs w:val="26"/>
        </w:rPr>
        <w:t>claim,</w:t>
      </w:r>
      <w:r w:rsidR="00E272A0" w:rsidRPr="0029160A">
        <w:rPr>
          <w:color w:val="000000" w:themeColor="text1"/>
          <w:szCs w:val="26"/>
        </w:rPr>
        <w:t xml:space="preserve"> resulting in a</w:t>
      </w:r>
      <w:r w:rsidR="00902E47" w:rsidRPr="0029160A">
        <w:rPr>
          <w:color w:val="000000" w:themeColor="text1"/>
          <w:szCs w:val="26"/>
        </w:rPr>
        <w:t xml:space="preserve"> total </w:t>
      </w:r>
      <w:r w:rsidR="00E272A0" w:rsidRPr="0029160A">
        <w:rPr>
          <w:color w:val="000000" w:themeColor="text1"/>
          <w:szCs w:val="26"/>
        </w:rPr>
        <w:t>allowance of $38,631</w:t>
      </w:r>
      <w:r w:rsidR="008B2050" w:rsidRPr="0029160A">
        <w:rPr>
          <w:color w:val="000000" w:themeColor="text1"/>
          <w:szCs w:val="26"/>
        </w:rPr>
        <w:t xml:space="preserve">.  I&amp;E’s recommendation is based on </w:t>
      </w:r>
      <w:r w:rsidR="00D67E23" w:rsidRPr="0029160A">
        <w:rPr>
          <w:color w:val="000000" w:themeColor="text1"/>
          <w:szCs w:val="26"/>
        </w:rPr>
        <w:t>the</w:t>
      </w:r>
      <w:r w:rsidR="008B2050" w:rsidRPr="0029160A">
        <w:rPr>
          <w:color w:val="000000" w:themeColor="text1"/>
          <w:szCs w:val="26"/>
        </w:rPr>
        <w:t xml:space="preserve"> removal of the 2016 rate case expense amortization of $68,710 from the FPFTY Regulatory Commission Expense claim, alleging that </w:t>
      </w:r>
      <w:r w:rsidR="008B2050" w:rsidRPr="0029160A">
        <w:rPr>
          <w:bCs/>
          <w:color w:val="000000" w:themeColor="text1"/>
          <w:szCs w:val="26"/>
        </w:rPr>
        <w:t>only t</w:t>
      </w:r>
      <w:r w:rsidR="008B2050" w:rsidRPr="0029160A">
        <w:rPr>
          <w:color w:val="000000" w:themeColor="text1"/>
          <w:szCs w:val="26"/>
        </w:rPr>
        <w:t>he current allowable rate case expenses should be n</w:t>
      </w:r>
      <w:r w:rsidR="008B2050" w:rsidRPr="0029160A">
        <w:rPr>
          <w:bCs/>
          <w:color w:val="000000" w:themeColor="text1"/>
          <w:szCs w:val="26"/>
        </w:rPr>
        <w:t xml:space="preserve">ormalized in the FPFTY.  </w:t>
      </w:r>
      <w:r w:rsidR="008B2050" w:rsidRPr="0029160A">
        <w:rPr>
          <w:color w:val="000000" w:themeColor="text1"/>
          <w:szCs w:val="26"/>
        </w:rPr>
        <w:t xml:space="preserve">I&amp;E </w:t>
      </w:r>
      <w:r w:rsidR="00DC265B" w:rsidRPr="0029160A">
        <w:rPr>
          <w:color w:val="000000" w:themeColor="text1"/>
          <w:szCs w:val="26"/>
        </w:rPr>
        <w:t>St.</w:t>
      </w:r>
      <w:r w:rsidR="008B2050" w:rsidRPr="0029160A">
        <w:rPr>
          <w:color w:val="000000" w:themeColor="text1"/>
          <w:szCs w:val="26"/>
        </w:rPr>
        <w:t xml:space="preserve"> 1-SR at 23.</w:t>
      </w:r>
      <w:r w:rsidRPr="0029160A">
        <w:rPr>
          <w:color w:val="000000" w:themeColor="text1"/>
          <w:szCs w:val="26"/>
        </w:rPr>
        <w:t xml:space="preserve">  </w:t>
      </w:r>
      <w:r w:rsidR="008B2050" w:rsidRPr="0029160A">
        <w:rPr>
          <w:color w:val="000000" w:themeColor="text1"/>
          <w:szCs w:val="26"/>
        </w:rPr>
        <w:t>Wellsboro agree</w:t>
      </w:r>
      <w:r w:rsidRPr="0029160A">
        <w:rPr>
          <w:color w:val="000000" w:themeColor="text1"/>
          <w:szCs w:val="26"/>
        </w:rPr>
        <w:t>d</w:t>
      </w:r>
      <w:r w:rsidR="008B2050" w:rsidRPr="0029160A">
        <w:rPr>
          <w:color w:val="000000" w:themeColor="text1"/>
          <w:szCs w:val="26"/>
        </w:rPr>
        <w:t xml:space="preserve"> to I&amp;E</w:t>
      </w:r>
      <w:r w:rsidR="005C717E" w:rsidRPr="0029160A">
        <w:rPr>
          <w:color w:val="000000" w:themeColor="text1"/>
          <w:szCs w:val="26"/>
        </w:rPr>
        <w:t>’</w:t>
      </w:r>
      <w:r w:rsidR="008B2050" w:rsidRPr="0029160A">
        <w:rPr>
          <w:color w:val="000000" w:themeColor="text1"/>
          <w:szCs w:val="26"/>
        </w:rPr>
        <w:t>s proposal and accept</w:t>
      </w:r>
      <w:r w:rsidR="002B3343" w:rsidRPr="0029160A">
        <w:rPr>
          <w:color w:val="000000" w:themeColor="text1"/>
          <w:szCs w:val="26"/>
        </w:rPr>
        <w:t>ed</w:t>
      </w:r>
      <w:r w:rsidR="008B2050" w:rsidRPr="0029160A">
        <w:rPr>
          <w:color w:val="000000" w:themeColor="text1"/>
          <w:szCs w:val="26"/>
        </w:rPr>
        <w:t xml:space="preserve"> an allowance of $38,631</w:t>
      </w:r>
      <w:r w:rsidR="008B2050" w:rsidRPr="0029160A">
        <w:rPr>
          <w:i/>
          <w:iCs/>
          <w:color w:val="000000" w:themeColor="text1"/>
          <w:szCs w:val="26"/>
        </w:rPr>
        <w:t xml:space="preserve">.  </w:t>
      </w:r>
      <w:r w:rsidR="008B2050" w:rsidRPr="0029160A">
        <w:rPr>
          <w:color w:val="000000" w:themeColor="text1"/>
          <w:szCs w:val="26"/>
        </w:rPr>
        <w:t xml:space="preserve">Wellsboro </w:t>
      </w:r>
      <w:r w:rsidR="00B576E7" w:rsidRPr="0029160A">
        <w:rPr>
          <w:color w:val="000000" w:themeColor="text1"/>
          <w:szCs w:val="26"/>
        </w:rPr>
        <w:t>M.B.</w:t>
      </w:r>
      <w:r w:rsidR="008B2050" w:rsidRPr="0029160A">
        <w:rPr>
          <w:color w:val="000000" w:themeColor="text1"/>
          <w:szCs w:val="26"/>
        </w:rPr>
        <w:t xml:space="preserve"> at 15.</w:t>
      </w:r>
      <w:r w:rsidRPr="0029160A">
        <w:rPr>
          <w:color w:val="000000" w:themeColor="text1"/>
          <w:szCs w:val="26"/>
        </w:rPr>
        <w:t xml:space="preserve">  </w:t>
      </w:r>
      <w:r w:rsidRPr="0029160A">
        <w:rPr>
          <w:rFonts w:eastAsiaTheme="minorHAnsi"/>
          <w:color w:val="000000" w:themeColor="text1"/>
          <w:szCs w:val="26"/>
        </w:rPr>
        <w:t xml:space="preserve">Given that Wellsboro agreed to I&amp;E’s proposal and accepted I&amp;E’s recommendation of $38,631 for Regulatory Commission Expense, and no other </w:t>
      </w:r>
      <w:r w:rsidR="00FE397C" w:rsidRPr="0029160A">
        <w:rPr>
          <w:rFonts w:eastAsiaTheme="minorHAnsi"/>
          <w:color w:val="000000" w:themeColor="text1"/>
          <w:szCs w:val="26"/>
        </w:rPr>
        <w:t>P</w:t>
      </w:r>
      <w:r w:rsidRPr="0029160A">
        <w:rPr>
          <w:rFonts w:eastAsiaTheme="minorHAnsi"/>
          <w:color w:val="000000" w:themeColor="text1"/>
          <w:szCs w:val="26"/>
        </w:rPr>
        <w:t xml:space="preserve">arty challenged the adjustment, the ALJs recommended that the Commission adopt I&amp;E’s allowance of $38,631 for </w:t>
      </w:r>
      <w:r w:rsidR="00E272A0" w:rsidRPr="0029160A">
        <w:rPr>
          <w:rFonts w:eastAsiaTheme="minorHAnsi"/>
          <w:color w:val="000000" w:themeColor="text1"/>
          <w:szCs w:val="26"/>
        </w:rPr>
        <w:t>R</w:t>
      </w:r>
      <w:r w:rsidRPr="0029160A">
        <w:rPr>
          <w:rFonts w:eastAsiaTheme="minorHAnsi"/>
          <w:color w:val="000000" w:themeColor="text1"/>
          <w:szCs w:val="26"/>
        </w:rPr>
        <w:t xml:space="preserve">egulatory </w:t>
      </w:r>
      <w:r w:rsidR="00E272A0" w:rsidRPr="0029160A">
        <w:rPr>
          <w:rFonts w:eastAsiaTheme="minorHAnsi"/>
          <w:color w:val="000000" w:themeColor="text1"/>
          <w:szCs w:val="26"/>
        </w:rPr>
        <w:t>C</w:t>
      </w:r>
      <w:r w:rsidRPr="0029160A">
        <w:rPr>
          <w:rFonts w:eastAsiaTheme="minorHAnsi"/>
          <w:color w:val="000000" w:themeColor="text1"/>
          <w:szCs w:val="26"/>
        </w:rPr>
        <w:t xml:space="preserve">ommission </w:t>
      </w:r>
      <w:r w:rsidR="00E272A0" w:rsidRPr="0029160A">
        <w:rPr>
          <w:rFonts w:eastAsiaTheme="minorHAnsi"/>
          <w:color w:val="000000" w:themeColor="text1"/>
          <w:szCs w:val="26"/>
        </w:rPr>
        <w:t>E</w:t>
      </w:r>
      <w:r w:rsidRPr="0029160A">
        <w:rPr>
          <w:rFonts w:eastAsiaTheme="minorHAnsi"/>
          <w:color w:val="000000" w:themeColor="text1"/>
          <w:szCs w:val="26"/>
        </w:rPr>
        <w:t>xpense.  R.D. at 39-40.</w:t>
      </w:r>
    </w:p>
    <w:p w14:paraId="1939E6CB" w14:textId="77777777" w:rsidR="000855B1" w:rsidRPr="0029160A" w:rsidRDefault="000855B1" w:rsidP="000855B1">
      <w:pPr>
        <w:widowControl/>
        <w:spacing w:line="360" w:lineRule="auto"/>
        <w:ind w:firstLine="1440"/>
        <w:rPr>
          <w:rFonts w:eastAsiaTheme="minorHAnsi"/>
          <w:color w:val="000000" w:themeColor="text1"/>
          <w:szCs w:val="26"/>
        </w:rPr>
      </w:pPr>
    </w:p>
    <w:p w14:paraId="2469180B" w14:textId="77777777" w:rsidR="004031AD" w:rsidRPr="0029160A" w:rsidRDefault="003679FD" w:rsidP="009320AC">
      <w:pPr>
        <w:widowControl/>
        <w:spacing w:line="360" w:lineRule="auto"/>
        <w:ind w:firstLine="1440"/>
        <w:rPr>
          <w:rFonts w:eastAsiaTheme="minorHAnsi" w:cstheme="minorBidi"/>
          <w:color w:val="000000" w:themeColor="text1"/>
          <w:szCs w:val="26"/>
        </w:rPr>
      </w:pPr>
      <w:r w:rsidRPr="0029160A">
        <w:rPr>
          <w:rFonts w:eastAsiaTheme="minorHAnsi"/>
          <w:color w:val="000000" w:themeColor="text1"/>
          <w:szCs w:val="26"/>
        </w:rPr>
        <w:t xml:space="preserve">Regarding </w:t>
      </w:r>
      <w:r w:rsidR="000226F6" w:rsidRPr="0029160A">
        <w:rPr>
          <w:rFonts w:eastAsiaTheme="minorHAnsi"/>
          <w:color w:val="000000" w:themeColor="text1"/>
          <w:szCs w:val="26"/>
        </w:rPr>
        <w:t xml:space="preserve">the </w:t>
      </w:r>
      <w:r w:rsidRPr="0029160A">
        <w:rPr>
          <w:rFonts w:eastAsiaTheme="minorHAnsi"/>
          <w:color w:val="000000" w:themeColor="text1"/>
          <w:szCs w:val="26"/>
        </w:rPr>
        <w:t xml:space="preserve">CWC </w:t>
      </w:r>
      <w:r w:rsidR="00382A7A" w:rsidRPr="0029160A">
        <w:rPr>
          <w:rFonts w:eastAsiaTheme="minorHAnsi"/>
          <w:color w:val="000000" w:themeColor="text1"/>
          <w:szCs w:val="26"/>
        </w:rPr>
        <w:t>E</w:t>
      </w:r>
      <w:r w:rsidRPr="0029160A">
        <w:rPr>
          <w:rFonts w:eastAsiaTheme="minorHAnsi"/>
          <w:color w:val="000000" w:themeColor="text1"/>
          <w:szCs w:val="26"/>
        </w:rPr>
        <w:t xml:space="preserve">xpense claim, as noted above, </w:t>
      </w:r>
      <w:r w:rsidRPr="0029160A">
        <w:rPr>
          <w:rFonts w:eastAsia="Calibri"/>
          <w:color w:val="000000" w:themeColor="text1"/>
          <w:szCs w:val="26"/>
        </w:rPr>
        <w:t xml:space="preserve">the adjustment to </w:t>
      </w:r>
      <w:r w:rsidR="000226F6" w:rsidRPr="0029160A">
        <w:rPr>
          <w:rFonts w:eastAsia="Calibri"/>
          <w:color w:val="000000" w:themeColor="text1"/>
          <w:szCs w:val="26"/>
        </w:rPr>
        <w:t xml:space="preserve">the </w:t>
      </w:r>
      <w:r w:rsidRPr="0029160A">
        <w:rPr>
          <w:rFonts w:eastAsia="Calibri"/>
          <w:color w:val="000000" w:themeColor="text1"/>
          <w:szCs w:val="26"/>
        </w:rPr>
        <w:t xml:space="preserve">CWC will be made in accordance with the total O&amp;M adjustments adopted in this </w:t>
      </w:r>
      <w:r w:rsidRPr="0029160A">
        <w:rPr>
          <w:rFonts w:eastAsia="Calibri"/>
          <w:color w:val="000000" w:themeColor="text1"/>
          <w:szCs w:val="26"/>
        </w:rPr>
        <w:lastRenderedPageBreak/>
        <w:t xml:space="preserve">proceeding.  </w:t>
      </w:r>
      <w:bookmarkStart w:id="21" w:name="_Hlk36641442"/>
      <w:r w:rsidRPr="0029160A">
        <w:rPr>
          <w:rFonts w:eastAsiaTheme="minorHAnsi"/>
          <w:color w:val="000000" w:themeColor="text1"/>
          <w:szCs w:val="26"/>
        </w:rPr>
        <w:t>Wellsboro’s</w:t>
      </w:r>
      <w:r w:rsidRPr="0029160A">
        <w:rPr>
          <w:rFonts w:eastAsia="Calibri"/>
          <w:color w:val="000000" w:themeColor="text1"/>
          <w:szCs w:val="26"/>
        </w:rPr>
        <w:t xml:space="preserve"> CWC claim is based on one-eighth (12.5%) of its O&amp;M expenses.  B</w:t>
      </w:r>
      <w:r w:rsidRPr="0029160A">
        <w:rPr>
          <w:rFonts w:eastAsiaTheme="minorHAnsi" w:cstheme="minorBidi"/>
          <w:color w:val="000000" w:themeColor="text1"/>
          <w:szCs w:val="26"/>
        </w:rPr>
        <w:t>ased on the total O&amp;M expense adjustments recommended by the ALJs ($</w:t>
      </w:r>
      <w:r w:rsidRPr="0029160A">
        <w:rPr>
          <w:rFonts w:eastAsiaTheme="minorHAnsi"/>
          <w:color w:val="000000" w:themeColor="text1"/>
          <w:szCs w:val="26"/>
        </w:rPr>
        <w:t>40,736</w:t>
      </w:r>
      <w:r w:rsidRPr="0029160A">
        <w:rPr>
          <w:rFonts w:eastAsiaTheme="minorHAnsi" w:cstheme="minorBidi"/>
          <w:color w:val="000000" w:themeColor="text1"/>
          <w:szCs w:val="26"/>
        </w:rPr>
        <w:t xml:space="preserve">), the ALJs recommended that </w:t>
      </w:r>
      <w:r w:rsidR="000226F6" w:rsidRPr="0029160A">
        <w:rPr>
          <w:rFonts w:eastAsiaTheme="minorHAnsi" w:cstheme="minorBidi"/>
          <w:color w:val="000000" w:themeColor="text1"/>
          <w:szCs w:val="26"/>
        </w:rPr>
        <w:t xml:space="preserve">the </w:t>
      </w:r>
      <w:r w:rsidRPr="0029160A">
        <w:rPr>
          <w:rFonts w:eastAsiaTheme="minorHAnsi" w:cstheme="minorBidi"/>
          <w:color w:val="000000" w:themeColor="text1"/>
          <w:szCs w:val="26"/>
        </w:rPr>
        <w:t>CWC will be adjusted downward by $5,092 ($40,736 * 12.5%).</w:t>
      </w:r>
      <w:bookmarkEnd w:id="21"/>
      <w:r w:rsidR="00B24747" w:rsidRPr="0029160A">
        <w:rPr>
          <w:rFonts w:eastAsiaTheme="minorHAnsi" w:cstheme="minorBidi"/>
          <w:color w:val="000000" w:themeColor="text1"/>
          <w:szCs w:val="26"/>
        </w:rPr>
        <w:t xml:space="preserve">  R.D. at 45-46.</w:t>
      </w:r>
    </w:p>
    <w:p w14:paraId="6ECC3270" w14:textId="77777777" w:rsidR="00C71416" w:rsidRPr="0029160A" w:rsidRDefault="00C71416" w:rsidP="009320AC">
      <w:pPr>
        <w:widowControl/>
        <w:spacing w:line="360" w:lineRule="auto"/>
        <w:rPr>
          <w:color w:val="000000" w:themeColor="text1"/>
        </w:rPr>
      </w:pPr>
    </w:p>
    <w:p w14:paraId="2AB7E7BA" w14:textId="77777777" w:rsidR="00461A7E" w:rsidRPr="0029160A" w:rsidRDefault="00461A7E" w:rsidP="009320AC">
      <w:pPr>
        <w:pStyle w:val="Heading3"/>
        <w:keepNext/>
        <w:ind w:left="1440" w:hanging="720"/>
        <w:contextualSpacing w:val="0"/>
        <w:rPr>
          <w:color w:val="000000" w:themeColor="text1"/>
        </w:rPr>
      </w:pPr>
      <w:bookmarkStart w:id="22" w:name="_Toc36552345"/>
      <w:bookmarkStart w:id="23" w:name="_Toc38951730"/>
      <w:r w:rsidRPr="0029160A">
        <w:rPr>
          <w:color w:val="000000" w:themeColor="text1"/>
        </w:rPr>
        <w:t>Rate of Return</w:t>
      </w:r>
      <w:bookmarkEnd w:id="22"/>
      <w:r w:rsidR="00472638" w:rsidRPr="0029160A">
        <w:rPr>
          <w:color w:val="000000" w:themeColor="text1"/>
        </w:rPr>
        <w:t>:</w:t>
      </w:r>
      <w:r w:rsidR="00FA7C9D" w:rsidRPr="0029160A">
        <w:rPr>
          <w:rStyle w:val="FootnoteReference"/>
          <w:color w:val="000000" w:themeColor="text1"/>
        </w:rPr>
        <w:footnoteReference w:id="9"/>
      </w:r>
      <w:r w:rsidR="00472638" w:rsidRPr="0029160A">
        <w:rPr>
          <w:color w:val="000000" w:themeColor="text1"/>
        </w:rPr>
        <w:t xml:space="preserve">  Capital Structure</w:t>
      </w:r>
      <w:r w:rsidR="00B72302" w:rsidRPr="0029160A">
        <w:rPr>
          <w:color w:val="000000" w:themeColor="text1"/>
        </w:rPr>
        <w:t xml:space="preserve"> and</w:t>
      </w:r>
      <w:r w:rsidR="00472638" w:rsidRPr="0029160A">
        <w:rPr>
          <w:color w:val="000000" w:themeColor="text1"/>
        </w:rPr>
        <w:t xml:space="preserve"> Cost of Long-Term Debt</w:t>
      </w:r>
      <w:bookmarkEnd w:id="23"/>
    </w:p>
    <w:p w14:paraId="6C4199EB" w14:textId="77777777" w:rsidR="00F2377F" w:rsidRPr="0029160A" w:rsidRDefault="00F2377F" w:rsidP="009320AC">
      <w:pPr>
        <w:keepNext/>
        <w:widowControl/>
        <w:spacing w:line="360" w:lineRule="auto"/>
        <w:rPr>
          <w:color w:val="000000" w:themeColor="text1"/>
          <w:szCs w:val="26"/>
        </w:rPr>
      </w:pPr>
    </w:p>
    <w:p w14:paraId="2BBAB3EC" w14:textId="77777777" w:rsidR="00C71416" w:rsidRPr="0029160A" w:rsidRDefault="00F2377F" w:rsidP="009320AC">
      <w:pPr>
        <w:keepNext/>
        <w:widowControl/>
        <w:spacing w:line="360" w:lineRule="auto"/>
        <w:ind w:firstLine="1440"/>
        <w:rPr>
          <w:color w:val="000000" w:themeColor="text1"/>
          <w:szCs w:val="26"/>
        </w:rPr>
      </w:pPr>
      <w:r w:rsidRPr="0029160A">
        <w:rPr>
          <w:color w:val="000000" w:themeColor="text1"/>
          <w:szCs w:val="26"/>
        </w:rPr>
        <w:t xml:space="preserve">Wellsboro is seeking in this proceeding an overall rate of return of 7.64%, including a cost of long-term debt of 4.98% and a cost of common equity of 10.30%.  </w:t>
      </w:r>
      <w:r w:rsidR="00B576E7" w:rsidRPr="0029160A">
        <w:rPr>
          <w:color w:val="000000" w:themeColor="text1"/>
          <w:szCs w:val="26"/>
        </w:rPr>
        <w:t xml:space="preserve">R.D. at 47 (citing </w:t>
      </w:r>
      <w:r w:rsidRPr="0029160A">
        <w:rPr>
          <w:color w:val="000000" w:themeColor="text1"/>
          <w:szCs w:val="26"/>
        </w:rPr>
        <w:t>Wellsboro M</w:t>
      </w:r>
      <w:r w:rsidR="00B576E7" w:rsidRPr="0029160A">
        <w:rPr>
          <w:color w:val="000000" w:themeColor="text1"/>
          <w:szCs w:val="26"/>
        </w:rPr>
        <w:t>.B.</w:t>
      </w:r>
      <w:r w:rsidRPr="0029160A">
        <w:rPr>
          <w:color w:val="000000" w:themeColor="text1"/>
          <w:szCs w:val="26"/>
        </w:rPr>
        <w:t xml:space="preserve"> at 100</w:t>
      </w:r>
      <w:r w:rsidR="00B576E7" w:rsidRPr="0029160A">
        <w:rPr>
          <w:color w:val="000000" w:themeColor="text1"/>
          <w:szCs w:val="26"/>
        </w:rPr>
        <w:t>)</w:t>
      </w:r>
      <w:r w:rsidRPr="0029160A">
        <w:rPr>
          <w:color w:val="000000" w:themeColor="text1"/>
          <w:szCs w:val="26"/>
        </w:rPr>
        <w:t xml:space="preserve">.  </w:t>
      </w:r>
    </w:p>
    <w:p w14:paraId="34953FC6" w14:textId="77777777" w:rsidR="00F2377F" w:rsidRPr="0029160A" w:rsidRDefault="00F2377F" w:rsidP="00CB0B2E">
      <w:pPr>
        <w:widowControl/>
        <w:spacing w:line="360" w:lineRule="auto"/>
        <w:rPr>
          <w:color w:val="000000" w:themeColor="text1"/>
          <w:szCs w:val="26"/>
        </w:rPr>
      </w:pPr>
    </w:p>
    <w:p w14:paraId="5CBC5D01" w14:textId="5E85492D" w:rsidR="00825A3D" w:rsidRPr="0029160A" w:rsidRDefault="00F2377F">
      <w:pPr>
        <w:widowControl/>
        <w:tabs>
          <w:tab w:val="left" w:pos="-720"/>
        </w:tabs>
        <w:suppressAutoHyphens/>
        <w:spacing w:line="360" w:lineRule="auto"/>
        <w:ind w:firstLine="1440"/>
        <w:rPr>
          <w:rFonts w:eastAsiaTheme="minorHAnsi" w:cstheme="minorBidi"/>
          <w:color w:val="000000" w:themeColor="text1"/>
          <w:szCs w:val="26"/>
        </w:rPr>
      </w:pPr>
      <w:r w:rsidRPr="0029160A">
        <w:rPr>
          <w:rFonts w:eastAsiaTheme="minorHAnsi" w:cstheme="minorBidi"/>
          <w:color w:val="000000" w:themeColor="text1"/>
          <w:szCs w:val="26"/>
        </w:rPr>
        <w:t xml:space="preserve">The ALJs explained the legal standards in reviewing a public utility’s requested rate of return in a general rate proceeding.  R.D. at 47-49.  A public utility seeking a general rate increase is entitled to an opportunity to earn a fair rate of return on the value of the property dedicated to public service.  </w:t>
      </w:r>
      <w:r w:rsidRPr="0029160A">
        <w:rPr>
          <w:rFonts w:eastAsiaTheme="minorHAnsi" w:cstheme="minorBidi"/>
          <w:i/>
          <w:color w:val="000000" w:themeColor="text1"/>
          <w:szCs w:val="26"/>
        </w:rPr>
        <w:t>Pa. Gas and Water Co. v. Pa. PUC</w:t>
      </w:r>
      <w:r w:rsidRPr="0029160A">
        <w:rPr>
          <w:rFonts w:eastAsiaTheme="minorHAnsi" w:cstheme="minorBidi"/>
          <w:color w:val="000000" w:themeColor="text1"/>
          <w:szCs w:val="26"/>
        </w:rPr>
        <w:t>, 341 A.2d 239 (Pa. Cmwlth. 1975)</w:t>
      </w:r>
      <w:r w:rsidR="00FE397C" w:rsidRPr="0029160A">
        <w:rPr>
          <w:rFonts w:eastAsiaTheme="minorHAnsi" w:cstheme="minorBidi"/>
          <w:color w:val="000000" w:themeColor="text1"/>
          <w:szCs w:val="26"/>
        </w:rPr>
        <w:t>.</w:t>
      </w:r>
      <w:r w:rsidRPr="0029160A">
        <w:rPr>
          <w:rFonts w:eastAsiaTheme="minorHAnsi" w:cstheme="minorBidi"/>
          <w:color w:val="000000" w:themeColor="text1"/>
          <w:szCs w:val="26"/>
        </w:rPr>
        <w:t xml:space="preserve">  In determining what constitutes a fair rate of return, the Commission is guided by the criteria set forth in </w:t>
      </w:r>
      <w:r w:rsidRPr="0029160A">
        <w:rPr>
          <w:rFonts w:eastAsiaTheme="minorHAnsi" w:cstheme="minorBidi"/>
          <w:i/>
          <w:color w:val="000000" w:themeColor="text1"/>
          <w:szCs w:val="26"/>
        </w:rPr>
        <w:t>Bluefield Water Works and Improvement Co. v. Pub. Service Comm’n of West Virginia</w:t>
      </w:r>
      <w:r w:rsidRPr="0029160A">
        <w:rPr>
          <w:rFonts w:eastAsiaTheme="minorHAnsi" w:cstheme="minorBidi"/>
          <w:color w:val="000000" w:themeColor="text1"/>
          <w:szCs w:val="26"/>
        </w:rPr>
        <w:t>, 262 U.S. 679 (1923)</w:t>
      </w:r>
      <w:r w:rsidR="00351E01" w:rsidRPr="0029160A">
        <w:rPr>
          <w:rFonts w:eastAsiaTheme="minorHAnsi" w:cstheme="minorBidi"/>
          <w:color w:val="000000" w:themeColor="text1"/>
          <w:szCs w:val="26"/>
        </w:rPr>
        <w:t xml:space="preserve"> (</w:t>
      </w:r>
      <w:r w:rsidR="00351E01" w:rsidRPr="0029160A">
        <w:rPr>
          <w:rFonts w:eastAsiaTheme="minorHAnsi" w:cstheme="minorBidi"/>
          <w:i/>
          <w:color w:val="000000" w:themeColor="text1"/>
          <w:szCs w:val="26"/>
        </w:rPr>
        <w:t>Bluefield</w:t>
      </w:r>
      <w:r w:rsidR="00351E01" w:rsidRPr="0029160A">
        <w:rPr>
          <w:rFonts w:eastAsiaTheme="minorHAnsi" w:cstheme="minorBidi"/>
          <w:color w:val="000000" w:themeColor="text1"/>
          <w:szCs w:val="26"/>
        </w:rPr>
        <w:t>)</w:t>
      </w:r>
      <w:r w:rsidRPr="0029160A">
        <w:rPr>
          <w:rFonts w:eastAsiaTheme="minorHAnsi" w:cstheme="minorBidi"/>
          <w:color w:val="000000" w:themeColor="text1"/>
          <w:szCs w:val="26"/>
        </w:rPr>
        <w:t xml:space="preserve"> and </w:t>
      </w:r>
      <w:r w:rsidRPr="0029160A">
        <w:rPr>
          <w:rFonts w:eastAsiaTheme="minorHAnsi" w:cstheme="minorBidi"/>
          <w:i/>
          <w:color w:val="000000" w:themeColor="text1"/>
          <w:szCs w:val="26"/>
        </w:rPr>
        <w:t>Federal Power Comm’n v. Hope Natural Gas Co</w:t>
      </w:r>
      <w:r w:rsidRPr="0029160A">
        <w:rPr>
          <w:rFonts w:eastAsiaTheme="minorHAnsi" w:cstheme="minorBidi"/>
          <w:color w:val="000000" w:themeColor="text1"/>
          <w:szCs w:val="26"/>
        </w:rPr>
        <w:t>., 320 U.S. 591 (1944)</w:t>
      </w:r>
      <w:r w:rsidR="0049322D" w:rsidRPr="0029160A">
        <w:rPr>
          <w:rFonts w:eastAsiaTheme="minorHAnsi" w:cstheme="minorBidi"/>
          <w:color w:val="000000" w:themeColor="text1"/>
          <w:szCs w:val="26"/>
        </w:rPr>
        <w:t xml:space="preserve"> </w:t>
      </w:r>
      <w:r w:rsidR="0049322D" w:rsidRPr="0029160A">
        <w:rPr>
          <w:rFonts w:eastAsiaTheme="minorHAnsi" w:cstheme="minorBidi"/>
          <w:i/>
          <w:iCs/>
          <w:color w:val="000000" w:themeColor="text1"/>
          <w:szCs w:val="26"/>
        </w:rPr>
        <w:t>(Hop</w:t>
      </w:r>
      <w:r w:rsidR="00267D0D" w:rsidRPr="0029160A">
        <w:rPr>
          <w:rFonts w:eastAsiaTheme="minorHAnsi" w:cstheme="minorBidi"/>
          <w:i/>
          <w:iCs/>
          <w:color w:val="000000" w:themeColor="text1"/>
          <w:szCs w:val="26"/>
        </w:rPr>
        <w:t>e</w:t>
      </w:r>
      <w:r w:rsidR="0049322D" w:rsidRPr="0029160A">
        <w:rPr>
          <w:rFonts w:eastAsiaTheme="minorHAnsi" w:cstheme="minorBidi"/>
          <w:i/>
          <w:iCs/>
          <w:color w:val="000000" w:themeColor="text1"/>
          <w:szCs w:val="26"/>
        </w:rPr>
        <w:t>)</w:t>
      </w:r>
      <w:r w:rsidRPr="0029160A">
        <w:rPr>
          <w:rFonts w:eastAsiaTheme="minorHAnsi" w:cstheme="minorBidi"/>
          <w:i/>
          <w:iCs/>
          <w:color w:val="000000" w:themeColor="text1"/>
          <w:szCs w:val="26"/>
        </w:rPr>
        <w:t>.</w:t>
      </w:r>
      <w:r w:rsidRPr="0029160A">
        <w:rPr>
          <w:rFonts w:eastAsiaTheme="minorHAnsi" w:cstheme="minorBidi"/>
          <w:color w:val="000000" w:themeColor="text1"/>
          <w:szCs w:val="26"/>
        </w:rPr>
        <w:t xml:space="preserve">  </w:t>
      </w:r>
    </w:p>
    <w:p w14:paraId="4148D38B" w14:textId="77777777" w:rsidR="00825A3D" w:rsidRPr="0029160A" w:rsidRDefault="00825A3D">
      <w:pPr>
        <w:widowControl/>
        <w:tabs>
          <w:tab w:val="left" w:pos="-720"/>
        </w:tabs>
        <w:suppressAutoHyphens/>
        <w:spacing w:line="360" w:lineRule="auto"/>
        <w:ind w:firstLine="1440"/>
        <w:rPr>
          <w:rFonts w:eastAsiaTheme="minorHAnsi" w:cstheme="minorBidi"/>
          <w:color w:val="000000" w:themeColor="text1"/>
          <w:szCs w:val="26"/>
        </w:rPr>
      </w:pPr>
    </w:p>
    <w:p w14:paraId="21E84FB8" w14:textId="77777777" w:rsidR="00F2377F" w:rsidRPr="0029160A" w:rsidRDefault="00F2377F">
      <w:pPr>
        <w:keepNext/>
        <w:keepLines/>
        <w:widowControl/>
        <w:tabs>
          <w:tab w:val="left" w:pos="-720"/>
        </w:tabs>
        <w:suppressAutoHyphens/>
        <w:spacing w:line="360" w:lineRule="auto"/>
        <w:ind w:firstLine="1440"/>
        <w:rPr>
          <w:rFonts w:eastAsiaTheme="minorHAnsi" w:cstheme="minorBidi"/>
          <w:color w:val="000000" w:themeColor="text1"/>
          <w:szCs w:val="26"/>
        </w:rPr>
      </w:pPr>
      <w:r w:rsidRPr="0029160A">
        <w:rPr>
          <w:rFonts w:eastAsiaTheme="minorHAnsi" w:cstheme="minorBidi"/>
          <w:color w:val="000000" w:themeColor="text1"/>
          <w:szCs w:val="26"/>
        </w:rPr>
        <w:lastRenderedPageBreak/>
        <w:t xml:space="preserve">In </w:t>
      </w:r>
      <w:r w:rsidRPr="0029160A">
        <w:rPr>
          <w:rFonts w:eastAsiaTheme="minorHAnsi" w:cstheme="minorBidi"/>
          <w:i/>
          <w:color w:val="000000" w:themeColor="text1"/>
          <w:szCs w:val="26"/>
        </w:rPr>
        <w:t>Bluefield</w:t>
      </w:r>
      <w:r w:rsidRPr="0029160A">
        <w:rPr>
          <w:rFonts w:eastAsiaTheme="minorHAnsi" w:cstheme="minorBidi"/>
          <w:color w:val="000000" w:themeColor="text1"/>
          <w:szCs w:val="26"/>
        </w:rPr>
        <w:t xml:space="preserve"> the United States Supreme Court stated:</w:t>
      </w:r>
    </w:p>
    <w:p w14:paraId="6846FF9D" w14:textId="77777777" w:rsidR="00825A3D" w:rsidRPr="0029160A" w:rsidRDefault="00825A3D" w:rsidP="006C5BBA">
      <w:pPr>
        <w:keepNext/>
        <w:keepLines/>
        <w:widowControl/>
        <w:tabs>
          <w:tab w:val="left" w:pos="-720"/>
        </w:tabs>
        <w:suppressAutoHyphens/>
        <w:ind w:firstLine="1440"/>
        <w:rPr>
          <w:rFonts w:eastAsiaTheme="minorHAnsi" w:cstheme="minorBidi"/>
          <w:color w:val="000000" w:themeColor="text1"/>
          <w:szCs w:val="26"/>
        </w:rPr>
      </w:pPr>
    </w:p>
    <w:p w14:paraId="06C9059A" w14:textId="77777777" w:rsidR="00F2377F" w:rsidRPr="0029160A" w:rsidRDefault="00F2377F">
      <w:pPr>
        <w:widowControl/>
        <w:ind w:left="1440" w:right="720"/>
        <w:rPr>
          <w:rFonts w:eastAsiaTheme="minorHAnsi"/>
          <w:color w:val="000000" w:themeColor="text1"/>
          <w:szCs w:val="26"/>
        </w:rPr>
      </w:pPr>
      <w:r w:rsidRPr="0029160A">
        <w:rPr>
          <w:rFonts w:eastAsiaTheme="minorHAnsi"/>
          <w:color w:val="000000" w:themeColor="text1"/>
          <w:szCs w:val="26"/>
        </w:rPr>
        <w:t xml:space="preserve">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w:t>
      </w:r>
      <w:r w:rsidR="00303773" w:rsidRPr="0029160A">
        <w:rPr>
          <w:rFonts w:eastAsiaTheme="minorHAnsi"/>
          <w:color w:val="000000" w:themeColor="text1"/>
          <w:szCs w:val="26"/>
        </w:rPr>
        <w:t xml:space="preserve">be </w:t>
      </w:r>
      <w:r w:rsidRPr="0029160A">
        <w:rPr>
          <w:rFonts w:eastAsiaTheme="minorHAnsi"/>
          <w:color w:val="000000" w:themeColor="text1"/>
          <w:szCs w:val="26"/>
        </w:rPr>
        <w:t>reasonable at one time</w:t>
      </w:r>
      <w:r w:rsidR="00303773" w:rsidRPr="0029160A">
        <w:rPr>
          <w:rFonts w:eastAsiaTheme="minorHAnsi"/>
          <w:color w:val="000000" w:themeColor="text1"/>
          <w:szCs w:val="26"/>
        </w:rPr>
        <w:t>,</w:t>
      </w:r>
      <w:r w:rsidRPr="0029160A">
        <w:rPr>
          <w:rFonts w:eastAsiaTheme="minorHAnsi"/>
          <w:color w:val="000000" w:themeColor="text1"/>
          <w:szCs w:val="26"/>
        </w:rPr>
        <w:t xml:space="preserve"> and become too high or too low by changes affecting opportunities for investment, the money market and business conditions generally.</w:t>
      </w:r>
    </w:p>
    <w:p w14:paraId="68E89712" w14:textId="77777777" w:rsidR="00F2377F" w:rsidRPr="0029160A" w:rsidRDefault="00F2377F" w:rsidP="006C5BBA">
      <w:pPr>
        <w:widowControl/>
        <w:spacing w:line="360" w:lineRule="auto"/>
        <w:ind w:left="720" w:right="720"/>
        <w:jc w:val="both"/>
        <w:rPr>
          <w:rFonts w:eastAsiaTheme="minorHAnsi"/>
          <w:color w:val="000000" w:themeColor="text1"/>
          <w:szCs w:val="26"/>
        </w:rPr>
      </w:pPr>
    </w:p>
    <w:p w14:paraId="3DF87B3C" w14:textId="77777777" w:rsidR="00F2377F" w:rsidRPr="0029160A" w:rsidRDefault="00F2377F">
      <w:pPr>
        <w:widowControl/>
        <w:autoSpaceDE w:val="0"/>
        <w:autoSpaceDN w:val="0"/>
        <w:spacing w:line="360" w:lineRule="auto"/>
        <w:rPr>
          <w:rFonts w:cs="CG Times"/>
          <w:color w:val="000000" w:themeColor="text1"/>
          <w:szCs w:val="26"/>
        </w:rPr>
      </w:pPr>
      <w:r w:rsidRPr="0029160A">
        <w:rPr>
          <w:rFonts w:cs="CG Times"/>
          <w:i/>
          <w:color w:val="000000" w:themeColor="text1"/>
          <w:szCs w:val="26"/>
        </w:rPr>
        <w:t>Bluefield Water Works and Improvement Co. v. Public Service Comm’n of West Virginia</w:t>
      </w:r>
      <w:r w:rsidRPr="0029160A">
        <w:rPr>
          <w:rFonts w:cs="CG Times"/>
          <w:color w:val="000000" w:themeColor="text1"/>
          <w:szCs w:val="26"/>
        </w:rPr>
        <w:t>, 262 U.S. 679, 692-23 (1923).</w:t>
      </w:r>
    </w:p>
    <w:p w14:paraId="009C83A5" w14:textId="77777777" w:rsidR="00F2377F" w:rsidRPr="0029160A" w:rsidRDefault="00F2377F">
      <w:pPr>
        <w:widowControl/>
        <w:autoSpaceDE w:val="0"/>
        <w:autoSpaceDN w:val="0"/>
        <w:spacing w:line="360" w:lineRule="auto"/>
        <w:rPr>
          <w:rFonts w:cs="CG Times"/>
          <w:color w:val="000000" w:themeColor="text1"/>
          <w:szCs w:val="26"/>
        </w:rPr>
      </w:pPr>
    </w:p>
    <w:p w14:paraId="0F72F210" w14:textId="50364379" w:rsidR="00F2377F" w:rsidRPr="0029160A" w:rsidRDefault="00F2377F">
      <w:pPr>
        <w:widowControl/>
        <w:autoSpaceDE w:val="0"/>
        <w:autoSpaceDN w:val="0"/>
        <w:spacing w:line="360" w:lineRule="auto"/>
        <w:ind w:firstLine="1440"/>
        <w:rPr>
          <w:rFonts w:cs="CG Times"/>
          <w:color w:val="000000" w:themeColor="text1"/>
          <w:szCs w:val="26"/>
        </w:rPr>
      </w:pPr>
      <w:r w:rsidRPr="0029160A">
        <w:rPr>
          <w:rFonts w:cs="CG Times"/>
          <w:color w:val="000000" w:themeColor="text1"/>
          <w:szCs w:val="26"/>
        </w:rPr>
        <w:t xml:space="preserve">The </w:t>
      </w:r>
      <w:r w:rsidR="00FE397C" w:rsidRPr="0029160A">
        <w:rPr>
          <w:rFonts w:cs="CG Times"/>
          <w:color w:val="000000" w:themeColor="text1"/>
          <w:szCs w:val="26"/>
        </w:rPr>
        <w:t xml:space="preserve">rate of </w:t>
      </w:r>
      <w:r w:rsidRPr="0029160A">
        <w:rPr>
          <w:rFonts w:cs="CG Times"/>
          <w:color w:val="000000" w:themeColor="text1"/>
          <w:szCs w:val="26"/>
        </w:rPr>
        <w:t>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w:t>
      </w:r>
      <w:r w:rsidR="00FE397C" w:rsidRPr="0029160A">
        <w:rPr>
          <w:rFonts w:cs="CG Times"/>
          <w:i/>
          <w:color w:val="000000" w:themeColor="text1"/>
          <w:szCs w:val="26"/>
        </w:rPr>
        <w:t>Bluefield</w:t>
      </w:r>
      <w:r w:rsidR="00FE397C" w:rsidRPr="0029160A">
        <w:rPr>
          <w:rFonts w:cs="CG Times"/>
          <w:iCs/>
          <w:color w:val="000000" w:themeColor="text1"/>
          <w:szCs w:val="26"/>
        </w:rPr>
        <w:t>,</w:t>
      </w:r>
      <w:r w:rsidR="00FE397C" w:rsidRPr="0029160A">
        <w:rPr>
          <w:rFonts w:cs="CG Times"/>
          <w:color w:val="000000" w:themeColor="text1"/>
          <w:szCs w:val="26"/>
        </w:rPr>
        <w:t xml:space="preserve"> </w:t>
      </w:r>
      <w:r w:rsidRPr="0029160A">
        <w:rPr>
          <w:rFonts w:cs="CG Times"/>
          <w:color w:val="000000" w:themeColor="text1"/>
          <w:szCs w:val="26"/>
        </w:rPr>
        <w:t xml:space="preserve">262 U.S. at 693).  These principles have been adopted and applied by the Appellate Courts of Pennsylvania in numerous cases.  </w:t>
      </w:r>
      <w:r w:rsidR="00FE397C" w:rsidRPr="0029160A">
        <w:rPr>
          <w:rFonts w:cs="CG Times"/>
          <w:i/>
          <w:iCs/>
          <w:color w:val="000000" w:themeColor="text1"/>
          <w:szCs w:val="26"/>
        </w:rPr>
        <w:t>See</w:t>
      </w:r>
      <w:r w:rsidR="00FE397C" w:rsidRPr="0029160A">
        <w:rPr>
          <w:rFonts w:cs="CG Times"/>
          <w:color w:val="000000" w:themeColor="text1"/>
          <w:szCs w:val="26"/>
        </w:rPr>
        <w:t xml:space="preserve"> </w:t>
      </w:r>
      <w:r w:rsidRPr="0029160A">
        <w:rPr>
          <w:rFonts w:cs="CG Times"/>
          <w:i/>
          <w:color w:val="000000" w:themeColor="text1"/>
          <w:szCs w:val="26"/>
        </w:rPr>
        <w:t>Riverton Consolidated Water Co. v. Pa. PUC</w:t>
      </w:r>
      <w:r w:rsidRPr="0029160A">
        <w:rPr>
          <w:rFonts w:cs="CG Times"/>
          <w:color w:val="000000" w:themeColor="text1"/>
          <w:szCs w:val="26"/>
        </w:rPr>
        <w:t>, 140 A.2d 114 (Pa.</w:t>
      </w:r>
      <w:r w:rsidR="0067382A" w:rsidRPr="0029160A">
        <w:rPr>
          <w:rFonts w:cs="CG Times"/>
          <w:color w:val="000000" w:themeColor="text1"/>
          <w:szCs w:val="26"/>
        </w:rPr>
        <w:t> </w:t>
      </w:r>
      <w:r w:rsidRPr="0029160A">
        <w:rPr>
          <w:rFonts w:cs="CG Times"/>
          <w:color w:val="000000" w:themeColor="text1"/>
          <w:szCs w:val="26"/>
        </w:rPr>
        <w:t xml:space="preserve">Super. 1958); </w:t>
      </w:r>
      <w:r w:rsidRPr="0029160A">
        <w:rPr>
          <w:rFonts w:cs="CG Times"/>
          <w:i/>
          <w:color w:val="000000" w:themeColor="text1"/>
          <w:szCs w:val="26"/>
        </w:rPr>
        <w:t>Pittsburgh v. Pa. PUC</w:t>
      </w:r>
      <w:r w:rsidRPr="0029160A">
        <w:rPr>
          <w:rFonts w:cs="CG Times"/>
          <w:color w:val="000000" w:themeColor="text1"/>
          <w:szCs w:val="26"/>
        </w:rPr>
        <w:t xml:space="preserve">, 126 A.2d 777 (Pa. Super. 1956); </w:t>
      </w:r>
      <w:r w:rsidRPr="0029160A">
        <w:rPr>
          <w:rFonts w:cs="CG Times"/>
          <w:i/>
          <w:color w:val="000000" w:themeColor="text1"/>
          <w:szCs w:val="26"/>
        </w:rPr>
        <w:t>Lower Paxton Twp. v. Pa. PUC</w:t>
      </w:r>
      <w:r w:rsidRPr="0029160A">
        <w:rPr>
          <w:rFonts w:cs="CG Times"/>
          <w:color w:val="000000" w:themeColor="text1"/>
          <w:szCs w:val="26"/>
        </w:rPr>
        <w:t>, 317 A.2d 917 (Pa. Cmwlth. 1974).</w:t>
      </w:r>
    </w:p>
    <w:p w14:paraId="47BD0E3B" w14:textId="77777777" w:rsidR="00F2377F" w:rsidRPr="0029160A" w:rsidRDefault="00F2377F">
      <w:pPr>
        <w:widowControl/>
        <w:autoSpaceDE w:val="0"/>
        <w:autoSpaceDN w:val="0"/>
        <w:spacing w:line="360" w:lineRule="auto"/>
        <w:rPr>
          <w:rFonts w:cs="CG Times"/>
          <w:color w:val="000000" w:themeColor="text1"/>
          <w:szCs w:val="26"/>
        </w:rPr>
      </w:pPr>
    </w:p>
    <w:p w14:paraId="3AD7B82D" w14:textId="328C146D" w:rsidR="00F2377F" w:rsidRPr="0029160A" w:rsidRDefault="00F2377F" w:rsidP="0067382A">
      <w:pPr>
        <w:widowControl/>
        <w:autoSpaceDE w:val="0"/>
        <w:autoSpaceDN w:val="0"/>
        <w:spacing w:line="360" w:lineRule="auto"/>
        <w:rPr>
          <w:rFonts w:cs="CG Times"/>
          <w:color w:val="000000" w:themeColor="text1"/>
          <w:szCs w:val="26"/>
        </w:rPr>
      </w:pPr>
      <w:r w:rsidRPr="0029160A">
        <w:rPr>
          <w:rFonts w:cs="CG Times"/>
          <w:color w:val="000000" w:themeColor="text1"/>
          <w:szCs w:val="26"/>
        </w:rPr>
        <w:tab/>
      </w:r>
      <w:r w:rsidRPr="0029160A">
        <w:rPr>
          <w:rFonts w:cs="CG Times"/>
          <w:color w:val="000000" w:themeColor="text1"/>
          <w:szCs w:val="26"/>
        </w:rPr>
        <w:tab/>
        <w:t xml:space="preserve">The </w:t>
      </w:r>
      <w:r w:rsidR="00FE397C" w:rsidRPr="0029160A">
        <w:rPr>
          <w:rFonts w:cs="CG Times"/>
          <w:color w:val="000000" w:themeColor="text1"/>
          <w:szCs w:val="26"/>
        </w:rPr>
        <w:t xml:space="preserve">rate of </w:t>
      </w:r>
      <w:r w:rsidRPr="0029160A">
        <w:rPr>
          <w:rFonts w:cs="CG Times"/>
          <w:color w:val="000000" w:themeColor="text1"/>
          <w:szCs w:val="26"/>
        </w:rPr>
        <w:t xml:space="preserve">return allowed to investors must be commensurate with the risk assumed, as the </w:t>
      </w:r>
      <w:r w:rsidR="00124A98" w:rsidRPr="0029160A">
        <w:rPr>
          <w:rFonts w:cs="CG Times"/>
          <w:color w:val="000000" w:themeColor="text1"/>
          <w:szCs w:val="26"/>
        </w:rPr>
        <w:t xml:space="preserve">U.S. </w:t>
      </w:r>
      <w:r w:rsidRPr="0029160A">
        <w:rPr>
          <w:rFonts w:cs="CG Times"/>
          <w:color w:val="000000" w:themeColor="text1"/>
          <w:szCs w:val="26"/>
        </w:rPr>
        <w:t xml:space="preserve">Supreme Court has stated in three landmark opinions.  </w:t>
      </w:r>
      <w:r w:rsidRPr="0029160A">
        <w:rPr>
          <w:rFonts w:cs="CG Times"/>
          <w:i/>
          <w:color w:val="000000" w:themeColor="text1"/>
          <w:szCs w:val="26"/>
        </w:rPr>
        <w:t>Bluefield</w:t>
      </w:r>
      <w:r w:rsidRPr="0029160A">
        <w:rPr>
          <w:rFonts w:cs="CG Times"/>
          <w:color w:val="000000" w:themeColor="text1"/>
          <w:szCs w:val="26"/>
        </w:rPr>
        <w:t xml:space="preserve">, </w:t>
      </w:r>
      <w:r w:rsidRPr="0029160A">
        <w:rPr>
          <w:rFonts w:cs="CG Times"/>
          <w:i/>
          <w:color w:val="000000" w:themeColor="text1"/>
          <w:szCs w:val="26"/>
        </w:rPr>
        <w:t>supra</w:t>
      </w:r>
      <w:r w:rsidRPr="0029160A">
        <w:rPr>
          <w:rFonts w:cs="CG Times"/>
          <w:color w:val="000000" w:themeColor="text1"/>
          <w:szCs w:val="26"/>
        </w:rPr>
        <w:t>, requires that the rate of return reflect:</w:t>
      </w:r>
    </w:p>
    <w:p w14:paraId="00C16421" w14:textId="77777777" w:rsidR="00F2377F" w:rsidRPr="0029160A" w:rsidRDefault="00F2377F" w:rsidP="0067382A">
      <w:pPr>
        <w:widowControl/>
        <w:autoSpaceDE w:val="0"/>
        <w:autoSpaceDN w:val="0"/>
        <w:rPr>
          <w:rFonts w:cs="CG Times"/>
          <w:color w:val="000000" w:themeColor="text1"/>
          <w:szCs w:val="26"/>
        </w:rPr>
      </w:pPr>
    </w:p>
    <w:p w14:paraId="162AE7EF" w14:textId="77777777" w:rsidR="00F2377F" w:rsidRPr="0029160A" w:rsidRDefault="00F2377F" w:rsidP="0067382A">
      <w:pPr>
        <w:widowControl/>
        <w:ind w:left="1440" w:right="720"/>
        <w:rPr>
          <w:color w:val="000000" w:themeColor="text1"/>
          <w:szCs w:val="26"/>
        </w:rPr>
      </w:pPr>
      <w:r w:rsidRPr="0029160A">
        <w:rPr>
          <w:color w:val="000000" w:themeColor="text1"/>
          <w:szCs w:val="26"/>
        </w:rPr>
        <w:lastRenderedPageBreak/>
        <w:t xml:space="preserve">[a] return on the value of the [utility’s] property which it employs for the convenience of the public equal to that generally being made at the same time on investments in other business undertakings which are attended by corresponding risks and uncertainties. . . . </w:t>
      </w:r>
    </w:p>
    <w:p w14:paraId="07107A2B" w14:textId="77777777" w:rsidR="00F2377F" w:rsidRPr="0029160A" w:rsidRDefault="00F2377F" w:rsidP="006C5BBA">
      <w:pPr>
        <w:widowControl/>
        <w:spacing w:line="360" w:lineRule="auto"/>
        <w:ind w:left="1440" w:right="720"/>
        <w:jc w:val="both"/>
        <w:rPr>
          <w:color w:val="000000" w:themeColor="text1"/>
          <w:szCs w:val="26"/>
        </w:rPr>
      </w:pPr>
    </w:p>
    <w:p w14:paraId="1E2B8765" w14:textId="77777777" w:rsidR="00F2377F" w:rsidRPr="0029160A" w:rsidRDefault="00F2377F">
      <w:pPr>
        <w:widowControl/>
        <w:ind w:right="720"/>
        <w:jc w:val="both"/>
        <w:rPr>
          <w:color w:val="000000" w:themeColor="text1"/>
          <w:szCs w:val="26"/>
        </w:rPr>
      </w:pPr>
      <w:r w:rsidRPr="0029160A">
        <w:rPr>
          <w:color w:val="000000" w:themeColor="text1"/>
          <w:szCs w:val="26"/>
        </w:rPr>
        <w:t>262 U.S. at 692.</w:t>
      </w:r>
    </w:p>
    <w:p w14:paraId="45033B31" w14:textId="6382723C" w:rsidR="00F2377F" w:rsidRPr="0029160A" w:rsidRDefault="00F2377F" w:rsidP="006C5BBA">
      <w:pPr>
        <w:keepNext/>
        <w:widowControl/>
        <w:autoSpaceDE w:val="0"/>
        <w:autoSpaceDN w:val="0"/>
        <w:spacing w:line="360" w:lineRule="auto"/>
        <w:rPr>
          <w:rFonts w:cs="CG Times"/>
          <w:color w:val="000000" w:themeColor="text1"/>
          <w:szCs w:val="26"/>
        </w:rPr>
      </w:pPr>
      <w:r w:rsidRPr="0029160A">
        <w:rPr>
          <w:rFonts w:cs="CG Times"/>
          <w:color w:val="000000" w:themeColor="text1"/>
          <w:szCs w:val="26"/>
        </w:rPr>
        <w:tab/>
      </w:r>
      <w:r w:rsidRPr="0029160A">
        <w:rPr>
          <w:rFonts w:cs="CG Times"/>
          <w:color w:val="000000" w:themeColor="text1"/>
          <w:szCs w:val="26"/>
        </w:rPr>
        <w:tab/>
        <w:t xml:space="preserve">The </w:t>
      </w:r>
      <w:r w:rsidR="00F2758C" w:rsidRPr="0029160A">
        <w:rPr>
          <w:rFonts w:cs="CG Times"/>
          <w:color w:val="000000" w:themeColor="text1"/>
          <w:szCs w:val="26"/>
        </w:rPr>
        <w:t xml:space="preserve">U.S. </w:t>
      </w:r>
      <w:r w:rsidRPr="0029160A">
        <w:rPr>
          <w:rFonts w:cs="CG Times"/>
          <w:color w:val="000000" w:themeColor="text1"/>
          <w:szCs w:val="26"/>
        </w:rPr>
        <w:t>Supreme Court reiterated that standard in</w:t>
      </w:r>
      <w:r w:rsidR="00351DCC" w:rsidRPr="0029160A">
        <w:rPr>
          <w:rFonts w:cs="CG Times"/>
          <w:color w:val="000000" w:themeColor="text1"/>
          <w:szCs w:val="26"/>
        </w:rPr>
        <w:t xml:space="preserve"> </w:t>
      </w:r>
      <w:r w:rsidRPr="0029160A">
        <w:rPr>
          <w:rFonts w:cs="CG Times"/>
          <w:i/>
          <w:color w:val="000000" w:themeColor="text1"/>
          <w:szCs w:val="26"/>
        </w:rPr>
        <w:t>Hope</w:t>
      </w:r>
      <w:r w:rsidRPr="0029160A">
        <w:rPr>
          <w:rFonts w:cs="CG Times"/>
          <w:color w:val="000000" w:themeColor="text1"/>
          <w:szCs w:val="26"/>
        </w:rPr>
        <w:t>, as follows:</w:t>
      </w:r>
    </w:p>
    <w:p w14:paraId="280293DE" w14:textId="77777777" w:rsidR="00F2377F" w:rsidRPr="0029160A" w:rsidRDefault="00F2377F" w:rsidP="00F2758C">
      <w:pPr>
        <w:keepNext/>
        <w:widowControl/>
        <w:autoSpaceDE w:val="0"/>
        <w:autoSpaceDN w:val="0"/>
        <w:rPr>
          <w:rFonts w:cs="CG Times"/>
          <w:color w:val="000000" w:themeColor="text1"/>
          <w:szCs w:val="26"/>
        </w:rPr>
      </w:pPr>
    </w:p>
    <w:p w14:paraId="05EF6B57" w14:textId="77777777" w:rsidR="00F2377F" w:rsidRPr="0029160A" w:rsidRDefault="00F2377F" w:rsidP="006C5BBA">
      <w:pPr>
        <w:keepNext/>
        <w:widowControl/>
        <w:ind w:left="1440" w:right="720"/>
        <w:rPr>
          <w:color w:val="000000" w:themeColor="text1"/>
          <w:szCs w:val="26"/>
        </w:rPr>
      </w:pPr>
      <w:r w:rsidRPr="0029160A">
        <w:rPr>
          <w:color w:val="000000" w:themeColor="text1"/>
          <w:szCs w:val="26"/>
        </w:rPr>
        <w:t>From the investor or company point of view it is important that there be enough revenue not only for operating expenses but also for the capital costs of the business.  These include service on the debt and dividends on the stock.  By that standard the return to the equity owner should be commensurate with returns on investments in other enterprises having corresponding risks.  That return, moreover, should be sufficient to assure confidence in the financial integrity of the enterprise, so as to maintain its credit and to attract capital.</w:t>
      </w:r>
    </w:p>
    <w:p w14:paraId="4CF5AB37" w14:textId="77777777" w:rsidR="00F2377F" w:rsidRPr="0029160A" w:rsidRDefault="00F2377F" w:rsidP="006C5BBA">
      <w:pPr>
        <w:widowControl/>
        <w:spacing w:line="360" w:lineRule="auto"/>
        <w:ind w:left="1440" w:right="720"/>
        <w:jc w:val="both"/>
        <w:rPr>
          <w:color w:val="000000" w:themeColor="text1"/>
          <w:szCs w:val="26"/>
        </w:rPr>
      </w:pPr>
    </w:p>
    <w:p w14:paraId="07B6492E" w14:textId="3F67DB5E" w:rsidR="00F2377F" w:rsidRPr="0029160A" w:rsidRDefault="00F2377F">
      <w:pPr>
        <w:widowControl/>
        <w:ind w:left="90" w:right="720"/>
        <w:jc w:val="both"/>
        <w:rPr>
          <w:color w:val="000000" w:themeColor="text1"/>
          <w:szCs w:val="26"/>
        </w:rPr>
      </w:pPr>
      <w:r w:rsidRPr="0029160A">
        <w:rPr>
          <w:i/>
          <w:iCs/>
          <w:color w:val="000000" w:themeColor="text1"/>
          <w:szCs w:val="26"/>
        </w:rPr>
        <w:t>Id.</w:t>
      </w:r>
      <w:r w:rsidRPr="0029160A">
        <w:rPr>
          <w:color w:val="000000" w:themeColor="text1"/>
          <w:szCs w:val="26"/>
        </w:rPr>
        <w:t xml:space="preserve"> at 603.</w:t>
      </w:r>
    </w:p>
    <w:p w14:paraId="77222846" w14:textId="77777777" w:rsidR="00F2377F" w:rsidRPr="0029160A" w:rsidRDefault="00F2377F">
      <w:pPr>
        <w:widowControl/>
        <w:ind w:left="90" w:right="720"/>
        <w:jc w:val="both"/>
        <w:rPr>
          <w:color w:val="000000" w:themeColor="text1"/>
          <w:szCs w:val="26"/>
        </w:rPr>
      </w:pPr>
    </w:p>
    <w:p w14:paraId="746FF8F7" w14:textId="77777777" w:rsidR="00F2377F" w:rsidRPr="0029160A" w:rsidRDefault="00F2377F">
      <w:pPr>
        <w:widowControl/>
        <w:autoSpaceDE w:val="0"/>
        <w:autoSpaceDN w:val="0"/>
        <w:rPr>
          <w:rFonts w:cs="CG Times"/>
          <w:color w:val="000000" w:themeColor="text1"/>
          <w:szCs w:val="26"/>
        </w:rPr>
      </w:pPr>
    </w:p>
    <w:p w14:paraId="06AF1F88" w14:textId="0C1317B4" w:rsidR="00F2377F" w:rsidRPr="0029160A" w:rsidRDefault="00F2377F">
      <w:pPr>
        <w:widowControl/>
        <w:autoSpaceDE w:val="0"/>
        <w:autoSpaceDN w:val="0"/>
        <w:spacing w:line="360" w:lineRule="auto"/>
        <w:rPr>
          <w:rFonts w:cs="CG Times"/>
          <w:color w:val="000000" w:themeColor="text1"/>
          <w:szCs w:val="26"/>
        </w:rPr>
      </w:pPr>
      <w:r w:rsidRPr="0029160A">
        <w:rPr>
          <w:rFonts w:cs="CG Times"/>
          <w:color w:val="000000" w:themeColor="text1"/>
          <w:szCs w:val="26"/>
        </w:rPr>
        <w:tab/>
      </w:r>
      <w:r w:rsidRPr="0029160A">
        <w:rPr>
          <w:rFonts w:cs="CG Times"/>
          <w:color w:val="000000" w:themeColor="text1"/>
          <w:szCs w:val="26"/>
        </w:rPr>
        <w:tab/>
        <w:t xml:space="preserve">Later, in reaffirming </w:t>
      </w:r>
      <w:r w:rsidRPr="0029160A">
        <w:rPr>
          <w:rFonts w:cs="CG Times"/>
          <w:i/>
          <w:color w:val="000000" w:themeColor="text1"/>
          <w:szCs w:val="26"/>
        </w:rPr>
        <w:t>Hope</w:t>
      </w:r>
      <w:r w:rsidRPr="0029160A">
        <w:rPr>
          <w:rFonts w:cs="CG Times"/>
          <w:color w:val="000000" w:themeColor="text1"/>
          <w:szCs w:val="26"/>
        </w:rPr>
        <w:t xml:space="preserve">, the </w:t>
      </w:r>
      <w:r w:rsidR="00124A98" w:rsidRPr="0029160A">
        <w:rPr>
          <w:rFonts w:cs="CG Times"/>
          <w:color w:val="000000" w:themeColor="text1"/>
          <w:szCs w:val="26"/>
        </w:rPr>
        <w:t xml:space="preserve">U.S. </w:t>
      </w:r>
      <w:r w:rsidRPr="0029160A">
        <w:rPr>
          <w:rFonts w:cs="CG Times"/>
          <w:color w:val="000000" w:themeColor="text1"/>
          <w:szCs w:val="26"/>
        </w:rPr>
        <w:t xml:space="preserve">Supreme Court, in </w:t>
      </w:r>
      <w:r w:rsidRPr="0029160A">
        <w:rPr>
          <w:rFonts w:cs="CG Times"/>
          <w:i/>
          <w:color w:val="000000" w:themeColor="text1"/>
          <w:szCs w:val="26"/>
        </w:rPr>
        <w:t>Duquesne Light Co. v. Barasch</w:t>
      </w:r>
      <w:r w:rsidRPr="0029160A">
        <w:rPr>
          <w:rFonts w:cs="CG Times"/>
          <w:color w:val="000000" w:themeColor="text1"/>
          <w:szCs w:val="26"/>
        </w:rPr>
        <w:t xml:space="preserve">, 388 U.S. 299, 314 (1989) observed that “[o]ne of the elements always relevant to setting the rate under </w:t>
      </w:r>
      <w:r w:rsidRPr="0029160A">
        <w:rPr>
          <w:rFonts w:cs="CG Times"/>
          <w:i/>
          <w:color w:val="000000" w:themeColor="text1"/>
          <w:szCs w:val="26"/>
        </w:rPr>
        <w:t>Hope</w:t>
      </w:r>
      <w:r w:rsidRPr="0029160A">
        <w:rPr>
          <w:rFonts w:cs="CG Times"/>
          <w:color w:val="000000" w:themeColor="text1"/>
          <w:szCs w:val="26"/>
        </w:rPr>
        <w:t xml:space="preserve"> is the return investors expect given the risk of the enterprise.”</w:t>
      </w:r>
      <w:r w:rsidR="0067382A" w:rsidRPr="0029160A">
        <w:rPr>
          <w:rFonts w:cs="CG Times"/>
          <w:color w:val="000000" w:themeColor="text1"/>
          <w:szCs w:val="26"/>
        </w:rPr>
        <w:t xml:space="preserve"> </w:t>
      </w:r>
      <w:r w:rsidRPr="0029160A">
        <w:rPr>
          <w:rFonts w:cs="CG Times"/>
          <w:color w:val="000000" w:themeColor="text1"/>
          <w:szCs w:val="26"/>
        </w:rPr>
        <w:t xml:space="preserve"> </w:t>
      </w:r>
      <w:r w:rsidRPr="0029160A">
        <w:rPr>
          <w:rFonts w:cs="CG Times"/>
          <w:i/>
          <w:iCs/>
          <w:color w:val="000000" w:themeColor="text1"/>
          <w:szCs w:val="26"/>
        </w:rPr>
        <w:t>Id.</w:t>
      </w:r>
    </w:p>
    <w:p w14:paraId="07596B5E" w14:textId="77777777" w:rsidR="00F2377F" w:rsidRPr="0029160A" w:rsidRDefault="00F2377F">
      <w:pPr>
        <w:widowControl/>
        <w:spacing w:line="360" w:lineRule="auto"/>
        <w:rPr>
          <w:rFonts w:eastAsiaTheme="minorHAnsi" w:cstheme="minorBidi"/>
          <w:color w:val="000000" w:themeColor="text1"/>
          <w:szCs w:val="26"/>
        </w:rPr>
      </w:pPr>
    </w:p>
    <w:p w14:paraId="0C78A927" w14:textId="6FEF7E04" w:rsidR="00F2377F" w:rsidRPr="0029160A" w:rsidRDefault="00F2377F">
      <w:pPr>
        <w:widowControl/>
        <w:autoSpaceDE w:val="0"/>
        <w:autoSpaceDN w:val="0"/>
        <w:spacing w:line="360" w:lineRule="auto"/>
        <w:rPr>
          <w:rFonts w:cs="CG Times"/>
          <w:color w:val="000000" w:themeColor="text1"/>
          <w:szCs w:val="26"/>
        </w:rPr>
      </w:pPr>
      <w:r w:rsidRPr="0029160A">
        <w:rPr>
          <w:rFonts w:cs="CG Times"/>
          <w:color w:val="000000" w:themeColor="text1"/>
          <w:szCs w:val="26"/>
        </w:rPr>
        <w:tab/>
      </w:r>
      <w:r w:rsidRPr="0029160A">
        <w:rPr>
          <w:rFonts w:cs="CG Times"/>
          <w:color w:val="000000" w:themeColor="text1"/>
          <w:szCs w:val="26"/>
        </w:rPr>
        <w:tab/>
        <w:t xml:space="preserve">The determination of a fair rate of return thus requires the review of many factors, including: (1) the earnings which are necessary to assure confidence in the financial integrity of the company and to maintain its credit standing; (2) the need to pay dividends and interest; and (3) the amount of the investment, the size and nature of the utility, its business and financial risks, and the circumstances attending its origin, development and operation.  </w:t>
      </w:r>
      <w:r w:rsidRPr="0029160A">
        <w:rPr>
          <w:rFonts w:cs="CG Times"/>
          <w:i/>
          <w:color w:val="000000" w:themeColor="text1"/>
          <w:szCs w:val="26"/>
        </w:rPr>
        <w:t>Pa. PUC. v. Pa. Gas and Water Co. - Water Division</w:t>
      </w:r>
      <w:r w:rsidRPr="0029160A">
        <w:rPr>
          <w:rFonts w:cs="CG Times"/>
          <w:color w:val="000000" w:themeColor="text1"/>
          <w:szCs w:val="26"/>
        </w:rPr>
        <w:t>, 341</w:t>
      </w:r>
      <w:r w:rsidR="006C5BBA" w:rsidRPr="0029160A">
        <w:rPr>
          <w:rFonts w:cs="CG Times"/>
          <w:color w:val="000000" w:themeColor="text1"/>
          <w:szCs w:val="26"/>
        </w:rPr>
        <w:t> </w:t>
      </w:r>
      <w:r w:rsidRPr="0029160A">
        <w:rPr>
          <w:rFonts w:cs="CG Times"/>
          <w:color w:val="000000" w:themeColor="text1"/>
          <w:szCs w:val="26"/>
        </w:rPr>
        <w:t xml:space="preserve">A.2d 239 (Pa. Cmwlth. 1975); </w:t>
      </w:r>
      <w:r w:rsidRPr="0029160A">
        <w:rPr>
          <w:rFonts w:cs="CG Times"/>
          <w:i/>
          <w:color w:val="000000" w:themeColor="text1"/>
          <w:szCs w:val="26"/>
        </w:rPr>
        <w:t>Lower Paxton Twp.</w:t>
      </w:r>
      <w:r w:rsidRPr="0029160A">
        <w:rPr>
          <w:rFonts w:cs="CG Times"/>
          <w:color w:val="000000" w:themeColor="text1"/>
          <w:szCs w:val="26"/>
        </w:rPr>
        <w:t xml:space="preserve">, </w:t>
      </w:r>
      <w:r w:rsidRPr="0029160A">
        <w:rPr>
          <w:rFonts w:cs="CG Times"/>
          <w:i/>
          <w:iCs/>
          <w:color w:val="000000" w:themeColor="text1"/>
          <w:szCs w:val="26"/>
        </w:rPr>
        <w:t>supra</w:t>
      </w:r>
      <w:r w:rsidRPr="0029160A">
        <w:rPr>
          <w:rFonts w:cs="CG Times"/>
          <w:color w:val="000000" w:themeColor="text1"/>
          <w:szCs w:val="26"/>
        </w:rPr>
        <w:t xml:space="preserve">.  Moreover, the Commission’s findings must be based upon substantial and competent evidence on the record before it, not upon speculation or hypothesis.  </w:t>
      </w:r>
      <w:r w:rsidRPr="0029160A">
        <w:rPr>
          <w:rFonts w:cs="CG Times"/>
          <w:i/>
          <w:color w:val="000000" w:themeColor="text1"/>
          <w:szCs w:val="26"/>
        </w:rPr>
        <w:t xml:space="preserve">Ohio Bell Telephone Co. v. PUC of </w:t>
      </w:r>
      <w:r w:rsidRPr="0029160A">
        <w:rPr>
          <w:rFonts w:cs="CG Times"/>
          <w:i/>
          <w:color w:val="000000" w:themeColor="text1"/>
          <w:szCs w:val="26"/>
        </w:rPr>
        <w:lastRenderedPageBreak/>
        <w:t>Ohio</w:t>
      </w:r>
      <w:r w:rsidRPr="0029160A">
        <w:rPr>
          <w:rFonts w:cs="CG Times"/>
          <w:color w:val="000000" w:themeColor="text1"/>
          <w:szCs w:val="26"/>
        </w:rPr>
        <w:t xml:space="preserve">, 301 U.S. 292 (1937); </w:t>
      </w:r>
      <w:r w:rsidRPr="0029160A">
        <w:rPr>
          <w:rFonts w:cs="CG Times"/>
          <w:i/>
          <w:color w:val="000000" w:themeColor="text1"/>
          <w:szCs w:val="26"/>
        </w:rPr>
        <w:t>United States Steel Corp. v. Pa. PUC</w:t>
      </w:r>
      <w:r w:rsidRPr="0029160A">
        <w:rPr>
          <w:rFonts w:cs="CG Times"/>
          <w:color w:val="000000" w:themeColor="text1"/>
          <w:szCs w:val="26"/>
        </w:rPr>
        <w:t>, 390 A.2d 849 (Pa.</w:t>
      </w:r>
      <w:r w:rsidR="006C5BBA" w:rsidRPr="0029160A">
        <w:rPr>
          <w:rFonts w:cs="CG Times"/>
          <w:color w:val="000000" w:themeColor="text1"/>
          <w:szCs w:val="26"/>
        </w:rPr>
        <w:t> </w:t>
      </w:r>
      <w:r w:rsidRPr="0029160A">
        <w:rPr>
          <w:rFonts w:cs="CG Times"/>
          <w:color w:val="000000" w:themeColor="text1"/>
          <w:szCs w:val="26"/>
        </w:rPr>
        <w:t xml:space="preserve">Cmwlth. 1978); </w:t>
      </w:r>
      <w:r w:rsidRPr="0029160A">
        <w:rPr>
          <w:rFonts w:cs="CG Times"/>
          <w:i/>
          <w:color w:val="000000" w:themeColor="text1"/>
          <w:szCs w:val="26"/>
        </w:rPr>
        <w:t>Octoraro Water Co. v. Pa. PUC</w:t>
      </w:r>
      <w:r w:rsidRPr="0029160A">
        <w:rPr>
          <w:rFonts w:cs="CG Times"/>
          <w:color w:val="000000" w:themeColor="text1"/>
          <w:szCs w:val="26"/>
        </w:rPr>
        <w:t>, 391 A.2d 1129 (Pa. Cmwlth. 1978).</w:t>
      </w:r>
    </w:p>
    <w:p w14:paraId="5D7DCECD" w14:textId="77777777" w:rsidR="00351DCC" w:rsidRPr="0029160A" w:rsidRDefault="00351DCC">
      <w:pPr>
        <w:widowControl/>
        <w:autoSpaceDE w:val="0"/>
        <w:autoSpaceDN w:val="0"/>
        <w:spacing w:line="360" w:lineRule="auto"/>
        <w:rPr>
          <w:rFonts w:cs="CG Times"/>
          <w:color w:val="000000" w:themeColor="text1"/>
          <w:szCs w:val="26"/>
        </w:rPr>
      </w:pPr>
    </w:p>
    <w:p w14:paraId="285BF7BC" w14:textId="71D143A1" w:rsidR="00F2377F" w:rsidRPr="0029160A" w:rsidRDefault="00F2377F">
      <w:pPr>
        <w:widowControl/>
        <w:tabs>
          <w:tab w:val="left" w:pos="-720"/>
        </w:tabs>
        <w:suppressAutoHyphens/>
        <w:spacing w:line="360" w:lineRule="auto"/>
        <w:rPr>
          <w:rFonts w:eastAsiaTheme="minorHAnsi"/>
          <w:color w:val="000000" w:themeColor="text1"/>
          <w:spacing w:val="-3"/>
          <w:szCs w:val="26"/>
        </w:rPr>
      </w:pPr>
      <w:r w:rsidRPr="0029160A">
        <w:rPr>
          <w:rFonts w:eastAsiaTheme="minorHAnsi"/>
          <w:color w:val="000000" w:themeColor="text1"/>
          <w:spacing w:val="-3"/>
          <w:szCs w:val="26"/>
        </w:rPr>
        <w:tab/>
      </w:r>
      <w:r w:rsidRPr="0029160A">
        <w:rPr>
          <w:rFonts w:eastAsiaTheme="minorHAnsi"/>
          <w:color w:val="000000" w:themeColor="text1"/>
          <w:spacing w:val="-3"/>
          <w:szCs w:val="26"/>
        </w:rPr>
        <w:tab/>
      </w:r>
      <w:r w:rsidR="00872242" w:rsidRPr="0029160A">
        <w:rPr>
          <w:rFonts w:eastAsiaTheme="minorHAnsi"/>
          <w:color w:val="000000" w:themeColor="text1"/>
          <w:spacing w:val="-3"/>
          <w:szCs w:val="26"/>
        </w:rPr>
        <w:t>Finally, the ALJs explained that, i</w:t>
      </w:r>
      <w:r w:rsidRPr="0029160A">
        <w:rPr>
          <w:rFonts w:eastAsiaTheme="minorHAnsi"/>
          <w:color w:val="000000" w:themeColor="text1"/>
          <w:spacing w:val="-3"/>
          <w:szCs w:val="26"/>
        </w:rPr>
        <w:t xml:space="preserve">n analyzing a proposed general rate increase, the Commission determines a rate of return to be applied to a rate base measured by the aggregate value of all the utility’s property used and useful in the public service.  </w:t>
      </w:r>
      <w:r w:rsidR="00872242" w:rsidRPr="0029160A">
        <w:rPr>
          <w:rFonts w:eastAsiaTheme="minorHAnsi"/>
          <w:color w:val="000000" w:themeColor="text1"/>
          <w:spacing w:val="-3"/>
          <w:szCs w:val="26"/>
        </w:rPr>
        <w:t xml:space="preserve">R.D. at 49.  </w:t>
      </w:r>
      <w:r w:rsidRPr="0029160A">
        <w:rPr>
          <w:rFonts w:eastAsiaTheme="minorHAnsi"/>
          <w:color w:val="000000" w:themeColor="text1"/>
          <w:spacing w:val="-3"/>
          <w:szCs w:val="26"/>
        </w:rPr>
        <w:t xml:space="preserve">In determining a proper rate of return, the Commission calculates the utility’s capital structure and the cost of the different types of capital during the period in issue.  The Commission has wide discretion, because of its administrative expertise, in determining the cost of capital.  </w:t>
      </w:r>
      <w:r w:rsidRPr="0029160A">
        <w:rPr>
          <w:rFonts w:eastAsiaTheme="minorHAnsi"/>
          <w:i/>
          <w:color w:val="000000" w:themeColor="text1"/>
          <w:spacing w:val="-3"/>
          <w:szCs w:val="26"/>
        </w:rPr>
        <w:t>Equitable Gas Co. v. Pa. PUC</w:t>
      </w:r>
      <w:r w:rsidRPr="0029160A">
        <w:rPr>
          <w:rFonts w:eastAsiaTheme="minorHAnsi"/>
          <w:color w:val="000000" w:themeColor="text1"/>
          <w:spacing w:val="-3"/>
          <w:szCs w:val="26"/>
        </w:rPr>
        <w:t>, 405 A.2d 1055 (Pa. Cmwlth. 1979).</w:t>
      </w:r>
    </w:p>
    <w:p w14:paraId="6B3BB824" w14:textId="77777777" w:rsidR="00F2377F" w:rsidRPr="0029160A" w:rsidRDefault="00F2377F">
      <w:pPr>
        <w:widowControl/>
        <w:autoSpaceDE w:val="0"/>
        <w:autoSpaceDN w:val="0"/>
        <w:spacing w:line="360" w:lineRule="auto"/>
        <w:rPr>
          <w:rFonts w:cs="CG Times"/>
          <w:color w:val="000000" w:themeColor="text1"/>
          <w:szCs w:val="26"/>
        </w:rPr>
      </w:pPr>
    </w:p>
    <w:p w14:paraId="6D143CE7" w14:textId="74162F47" w:rsidR="00DC265B" w:rsidRPr="0029160A" w:rsidRDefault="00DC265B">
      <w:pPr>
        <w:widowControl/>
        <w:spacing w:line="360" w:lineRule="auto"/>
        <w:ind w:firstLine="1440"/>
        <w:rPr>
          <w:color w:val="000000" w:themeColor="text1"/>
          <w:szCs w:val="26"/>
        </w:rPr>
      </w:pPr>
      <w:r w:rsidRPr="0029160A">
        <w:rPr>
          <w:rFonts w:eastAsiaTheme="minorHAnsi"/>
          <w:color w:val="000000" w:themeColor="text1"/>
          <w:szCs w:val="26"/>
        </w:rPr>
        <w:t xml:space="preserve">The ALJs noted that </w:t>
      </w:r>
      <w:r w:rsidR="00472638" w:rsidRPr="0029160A">
        <w:rPr>
          <w:rFonts w:eastAsiaTheme="minorHAnsi"/>
          <w:color w:val="000000" w:themeColor="text1"/>
          <w:szCs w:val="26"/>
        </w:rPr>
        <w:t>Wellsboro</w:t>
      </w:r>
      <w:r w:rsidRPr="0029160A">
        <w:rPr>
          <w:rFonts w:eastAsiaTheme="minorHAnsi"/>
          <w:color w:val="000000" w:themeColor="text1"/>
          <w:szCs w:val="26"/>
        </w:rPr>
        <w:t xml:space="preserve"> proposed</w:t>
      </w:r>
      <w:r w:rsidR="00472638" w:rsidRPr="0029160A">
        <w:rPr>
          <w:rFonts w:eastAsiaTheme="minorHAnsi"/>
          <w:color w:val="000000" w:themeColor="text1"/>
          <w:szCs w:val="26"/>
        </w:rPr>
        <w:t xml:space="preserve"> in this proceeding a capital structure of </w:t>
      </w:r>
      <w:r w:rsidR="00472638" w:rsidRPr="0029160A">
        <w:rPr>
          <w:color w:val="000000" w:themeColor="text1"/>
          <w:szCs w:val="26"/>
        </w:rPr>
        <w:t>49.33% debt, 50.05% common equity and 0.62</w:t>
      </w:r>
      <w:r w:rsidR="009A5DFE" w:rsidRPr="0029160A">
        <w:rPr>
          <w:color w:val="000000" w:themeColor="text1"/>
          <w:szCs w:val="26"/>
        </w:rPr>
        <w:t>%</w:t>
      </w:r>
      <w:r w:rsidR="00472638" w:rsidRPr="0029160A">
        <w:rPr>
          <w:color w:val="000000" w:themeColor="text1"/>
          <w:szCs w:val="26"/>
        </w:rPr>
        <w:t xml:space="preserve"> preferred equity.  </w:t>
      </w:r>
      <w:r w:rsidRPr="0029160A">
        <w:rPr>
          <w:color w:val="000000" w:themeColor="text1"/>
          <w:szCs w:val="26"/>
        </w:rPr>
        <w:t>R.D. at</w:t>
      </w:r>
      <w:r w:rsidR="00926AD4">
        <w:rPr>
          <w:color w:val="000000" w:themeColor="text1"/>
          <w:szCs w:val="26"/>
        </w:rPr>
        <w:t> </w:t>
      </w:r>
      <w:r w:rsidRPr="0029160A">
        <w:rPr>
          <w:color w:val="000000" w:themeColor="text1"/>
          <w:szCs w:val="26"/>
        </w:rPr>
        <w:t xml:space="preserve">50 (citing </w:t>
      </w:r>
      <w:r w:rsidR="00472638" w:rsidRPr="0029160A">
        <w:rPr>
          <w:color w:val="000000" w:themeColor="text1"/>
          <w:szCs w:val="26"/>
        </w:rPr>
        <w:t>Wellsboro Joint St. 2 at 13-14</w:t>
      </w:r>
      <w:r w:rsidRPr="0029160A">
        <w:rPr>
          <w:color w:val="000000" w:themeColor="text1"/>
          <w:szCs w:val="26"/>
        </w:rPr>
        <w:t>)</w:t>
      </w:r>
      <w:r w:rsidR="00472638" w:rsidRPr="0029160A">
        <w:rPr>
          <w:color w:val="000000" w:themeColor="text1"/>
          <w:szCs w:val="26"/>
        </w:rPr>
        <w:t xml:space="preserve">.  No </w:t>
      </w:r>
      <w:r w:rsidRPr="0029160A">
        <w:rPr>
          <w:color w:val="000000" w:themeColor="text1"/>
          <w:szCs w:val="26"/>
        </w:rPr>
        <w:t>P</w:t>
      </w:r>
      <w:r w:rsidR="00472638" w:rsidRPr="0029160A">
        <w:rPr>
          <w:color w:val="000000" w:themeColor="text1"/>
          <w:szCs w:val="26"/>
        </w:rPr>
        <w:t>arties dispute</w:t>
      </w:r>
      <w:r w:rsidRPr="0029160A">
        <w:rPr>
          <w:color w:val="000000" w:themeColor="text1"/>
          <w:szCs w:val="26"/>
        </w:rPr>
        <w:t>d</w:t>
      </w:r>
      <w:r w:rsidR="00472638" w:rsidRPr="0029160A">
        <w:rPr>
          <w:color w:val="000000" w:themeColor="text1"/>
          <w:szCs w:val="26"/>
        </w:rPr>
        <w:t xml:space="preserve"> Wellsboro</w:t>
      </w:r>
      <w:r w:rsidRPr="0029160A">
        <w:rPr>
          <w:color w:val="000000" w:themeColor="text1"/>
          <w:szCs w:val="26"/>
        </w:rPr>
        <w:t>’s</w:t>
      </w:r>
      <w:r w:rsidR="00472638" w:rsidRPr="0029160A">
        <w:rPr>
          <w:color w:val="000000" w:themeColor="text1"/>
          <w:szCs w:val="26"/>
        </w:rPr>
        <w:t xml:space="preserve"> </w:t>
      </w:r>
      <w:r w:rsidRPr="0029160A">
        <w:rPr>
          <w:color w:val="000000" w:themeColor="text1"/>
          <w:szCs w:val="26"/>
        </w:rPr>
        <w:t xml:space="preserve">capital structure </w:t>
      </w:r>
      <w:r w:rsidR="00472638" w:rsidRPr="0029160A">
        <w:rPr>
          <w:color w:val="000000" w:themeColor="text1"/>
          <w:szCs w:val="26"/>
        </w:rPr>
        <w:t xml:space="preserve">proposal.  </w:t>
      </w:r>
      <w:r w:rsidRPr="0029160A">
        <w:rPr>
          <w:color w:val="000000" w:themeColor="text1"/>
          <w:szCs w:val="26"/>
        </w:rPr>
        <w:t xml:space="preserve">R.D. at 50 (citing </w:t>
      </w:r>
      <w:r w:rsidR="00472638" w:rsidRPr="0029160A">
        <w:rPr>
          <w:color w:val="000000" w:themeColor="text1"/>
          <w:szCs w:val="26"/>
        </w:rPr>
        <w:t>OCA S</w:t>
      </w:r>
      <w:r w:rsidRPr="0029160A">
        <w:rPr>
          <w:color w:val="000000" w:themeColor="text1"/>
          <w:szCs w:val="26"/>
        </w:rPr>
        <w:t>t</w:t>
      </w:r>
      <w:r w:rsidR="00472638" w:rsidRPr="0029160A">
        <w:rPr>
          <w:color w:val="000000" w:themeColor="text1"/>
          <w:szCs w:val="26"/>
        </w:rPr>
        <w:t>. 3 at 3; I&amp;E St. 2 at 16</w:t>
      </w:r>
      <w:r w:rsidRPr="0029160A">
        <w:rPr>
          <w:color w:val="000000" w:themeColor="text1"/>
          <w:szCs w:val="26"/>
        </w:rPr>
        <w:t>)</w:t>
      </w:r>
      <w:r w:rsidR="00472638" w:rsidRPr="0029160A">
        <w:rPr>
          <w:color w:val="000000" w:themeColor="text1"/>
          <w:szCs w:val="26"/>
        </w:rPr>
        <w:t>.</w:t>
      </w:r>
      <w:r w:rsidR="00D7186F" w:rsidRPr="0029160A">
        <w:rPr>
          <w:color w:val="000000" w:themeColor="text1"/>
          <w:szCs w:val="26"/>
        </w:rPr>
        <w:t xml:space="preserve">  </w:t>
      </w:r>
      <w:r w:rsidRPr="0029160A">
        <w:rPr>
          <w:color w:val="000000" w:themeColor="text1"/>
          <w:szCs w:val="26"/>
        </w:rPr>
        <w:t xml:space="preserve">The ALJs </w:t>
      </w:r>
      <w:r w:rsidR="00472638" w:rsidRPr="0029160A">
        <w:rPr>
          <w:color w:val="000000" w:themeColor="text1"/>
          <w:szCs w:val="26"/>
        </w:rPr>
        <w:t>recommend</w:t>
      </w:r>
      <w:r w:rsidRPr="0029160A">
        <w:rPr>
          <w:color w:val="000000" w:themeColor="text1"/>
          <w:szCs w:val="26"/>
        </w:rPr>
        <w:t>ed</w:t>
      </w:r>
      <w:r w:rsidR="00472638" w:rsidRPr="0029160A">
        <w:rPr>
          <w:color w:val="000000" w:themeColor="text1"/>
          <w:szCs w:val="26"/>
        </w:rPr>
        <w:t xml:space="preserve"> adoption of Wellsboro’s proposed capital structure.  </w:t>
      </w:r>
      <w:r w:rsidRPr="0029160A">
        <w:rPr>
          <w:color w:val="000000" w:themeColor="text1"/>
          <w:szCs w:val="26"/>
        </w:rPr>
        <w:t>R.D. at 50</w:t>
      </w:r>
      <w:r w:rsidR="00FA7C9D" w:rsidRPr="0029160A">
        <w:rPr>
          <w:color w:val="000000" w:themeColor="text1"/>
          <w:szCs w:val="26"/>
        </w:rPr>
        <w:t>, 81</w:t>
      </w:r>
      <w:r w:rsidRPr="0029160A">
        <w:rPr>
          <w:color w:val="000000" w:themeColor="text1"/>
          <w:szCs w:val="26"/>
        </w:rPr>
        <w:t>.</w:t>
      </w:r>
    </w:p>
    <w:p w14:paraId="3C7165A0" w14:textId="77777777" w:rsidR="00DC265B" w:rsidRPr="0029160A" w:rsidRDefault="00DC265B">
      <w:pPr>
        <w:widowControl/>
        <w:spacing w:line="360" w:lineRule="auto"/>
        <w:ind w:firstLine="1440"/>
        <w:rPr>
          <w:color w:val="000000" w:themeColor="text1"/>
          <w:szCs w:val="26"/>
        </w:rPr>
      </w:pPr>
    </w:p>
    <w:p w14:paraId="655480C4" w14:textId="4E8717E2" w:rsidR="00C71416" w:rsidRPr="0029160A" w:rsidRDefault="00472638">
      <w:pPr>
        <w:widowControl/>
        <w:spacing w:line="360" w:lineRule="auto"/>
        <w:ind w:firstLine="1440"/>
        <w:rPr>
          <w:color w:val="000000" w:themeColor="text1"/>
          <w:szCs w:val="26"/>
        </w:rPr>
      </w:pPr>
      <w:r w:rsidRPr="0029160A">
        <w:rPr>
          <w:color w:val="000000" w:themeColor="text1"/>
          <w:szCs w:val="26"/>
        </w:rPr>
        <w:t xml:space="preserve">In addition, </w:t>
      </w:r>
      <w:r w:rsidR="00DC265B" w:rsidRPr="0029160A">
        <w:rPr>
          <w:color w:val="000000" w:themeColor="text1"/>
          <w:szCs w:val="26"/>
        </w:rPr>
        <w:t xml:space="preserve">the ALJs noted that </w:t>
      </w:r>
      <w:r w:rsidR="00873F61" w:rsidRPr="0029160A">
        <w:rPr>
          <w:color w:val="000000" w:themeColor="text1"/>
          <w:szCs w:val="26"/>
        </w:rPr>
        <w:t xml:space="preserve">in this proceeding </w:t>
      </w:r>
      <w:r w:rsidRPr="0029160A">
        <w:rPr>
          <w:rFonts w:eastAsiaTheme="minorHAnsi"/>
          <w:color w:val="000000" w:themeColor="text1"/>
          <w:szCs w:val="26"/>
        </w:rPr>
        <w:t>Wellsboro propo</w:t>
      </w:r>
      <w:r w:rsidR="00DC265B" w:rsidRPr="0029160A">
        <w:rPr>
          <w:rFonts w:eastAsiaTheme="minorHAnsi"/>
          <w:color w:val="000000" w:themeColor="text1"/>
          <w:szCs w:val="26"/>
        </w:rPr>
        <w:t>sed</w:t>
      </w:r>
      <w:r w:rsidRPr="0029160A">
        <w:rPr>
          <w:rFonts w:eastAsiaTheme="minorHAnsi"/>
          <w:color w:val="000000" w:themeColor="text1"/>
          <w:szCs w:val="26"/>
        </w:rPr>
        <w:t xml:space="preserve"> a cost of long-term debt rate of 4.98%</w:t>
      </w:r>
      <w:r w:rsidR="00DC265B" w:rsidRPr="0029160A">
        <w:rPr>
          <w:rFonts w:eastAsiaTheme="minorHAnsi"/>
          <w:color w:val="000000" w:themeColor="text1"/>
          <w:szCs w:val="26"/>
        </w:rPr>
        <w:t>, and again, n</w:t>
      </w:r>
      <w:r w:rsidRPr="0029160A">
        <w:rPr>
          <w:rFonts w:eastAsiaTheme="minorHAnsi"/>
          <w:color w:val="000000" w:themeColor="text1"/>
          <w:szCs w:val="26"/>
        </w:rPr>
        <w:t xml:space="preserve">o </w:t>
      </w:r>
      <w:r w:rsidR="00DC265B" w:rsidRPr="0029160A">
        <w:rPr>
          <w:rFonts w:eastAsiaTheme="minorHAnsi"/>
          <w:color w:val="000000" w:themeColor="text1"/>
          <w:szCs w:val="26"/>
        </w:rPr>
        <w:t>P</w:t>
      </w:r>
      <w:r w:rsidRPr="0029160A">
        <w:rPr>
          <w:rFonts w:eastAsiaTheme="minorHAnsi"/>
          <w:color w:val="000000" w:themeColor="text1"/>
          <w:szCs w:val="26"/>
        </w:rPr>
        <w:t>arties dispute</w:t>
      </w:r>
      <w:r w:rsidR="00DC265B" w:rsidRPr="0029160A">
        <w:rPr>
          <w:rFonts w:eastAsiaTheme="minorHAnsi"/>
          <w:color w:val="000000" w:themeColor="text1"/>
          <w:szCs w:val="26"/>
        </w:rPr>
        <w:t>d</w:t>
      </w:r>
      <w:r w:rsidRPr="0029160A">
        <w:rPr>
          <w:rFonts w:eastAsiaTheme="minorHAnsi"/>
          <w:color w:val="000000" w:themeColor="text1"/>
          <w:szCs w:val="26"/>
        </w:rPr>
        <w:t xml:space="preserve"> Wellsboro</w:t>
      </w:r>
      <w:r w:rsidR="00DC265B" w:rsidRPr="0029160A">
        <w:rPr>
          <w:rFonts w:eastAsiaTheme="minorHAnsi"/>
          <w:color w:val="000000" w:themeColor="text1"/>
          <w:szCs w:val="26"/>
        </w:rPr>
        <w:t>’s</w:t>
      </w:r>
      <w:r w:rsidRPr="0029160A">
        <w:rPr>
          <w:rFonts w:eastAsiaTheme="minorHAnsi"/>
          <w:color w:val="000000" w:themeColor="text1"/>
          <w:szCs w:val="26"/>
        </w:rPr>
        <w:t xml:space="preserve"> proposal.  </w:t>
      </w:r>
      <w:r w:rsidR="00DC265B" w:rsidRPr="0029160A">
        <w:rPr>
          <w:rFonts w:eastAsiaTheme="minorHAnsi"/>
          <w:color w:val="000000" w:themeColor="text1"/>
          <w:szCs w:val="26"/>
        </w:rPr>
        <w:t xml:space="preserve">R.D. at 50 (citing </w:t>
      </w:r>
      <w:r w:rsidRPr="0029160A">
        <w:rPr>
          <w:rFonts w:eastAsiaTheme="minorHAnsi"/>
          <w:color w:val="000000" w:themeColor="text1"/>
          <w:szCs w:val="26"/>
        </w:rPr>
        <w:t xml:space="preserve">OCA </w:t>
      </w:r>
      <w:r w:rsidR="00DC265B" w:rsidRPr="0029160A">
        <w:rPr>
          <w:rFonts w:eastAsiaTheme="minorHAnsi"/>
          <w:color w:val="000000" w:themeColor="text1"/>
          <w:szCs w:val="26"/>
        </w:rPr>
        <w:t>St.</w:t>
      </w:r>
      <w:r w:rsidRPr="0029160A">
        <w:rPr>
          <w:rFonts w:eastAsiaTheme="minorHAnsi"/>
          <w:color w:val="000000" w:themeColor="text1"/>
          <w:szCs w:val="26"/>
        </w:rPr>
        <w:t xml:space="preserve"> 3 at 3; I&amp;E </w:t>
      </w:r>
      <w:r w:rsidR="00DC265B" w:rsidRPr="0029160A">
        <w:rPr>
          <w:rFonts w:eastAsiaTheme="minorHAnsi"/>
          <w:color w:val="000000" w:themeColor="text1"/>
          <w:szCs w:val="26"/>
        </w:rPr>
        <w:t>St.</w:t>
      </w:r>
      <w:r w:rsidRPr="0029160A">
        <w:rPr>
          <w:rFonts w:eastAsiaTheme="minorHAnsi"/>
          <w:color w:val="000000" w:themeColor="text1"/>
          <w:szCs w:val="26"/>
        </w:rPr>
        <w:t xml:space="preserve"> 2 at 17</w:t>
      </w:r>
      <w:r w:rsidR="00DC265B" w:rsidRPr="0029160A">
        <w:rPr>
          <w:rFonts w:eastAsiaTheme="minorHAnsi"/>
          <w:color w:val="000000" w:themeColor="text1"/>
          <w:szCs w:val="26"/>
        </w:rPr>
        <w:t>)</w:t>
      </w:r>
      <w:r w:rsidRPr="0029160A">
        <w:rPr>
          <w:rFonts w:eastAsiaTheme="minorHAnsi"/>
          <w:color w:val="000000" w:themeColor="text1"/>
          <w:szCs w:val="26"/>
        </w:rPr>
        <w:t xml:space="preserve">.  </w:t>
      </w:r>
      <w:r w:rsidR="00873F61" w:rsidRPr="0029160A">
        <w:rPr>
          <w:rFonts w:eastAsiaTheme="minorHAnsi"/>
          <w:color w:val="000000" w:themeColor="text1"/>
          <w:szCs w:val="26"/>
        </w:rPr>
        <w:t xml:space="preserve">Thus, </w:t>
      </w:r>
      <w:r w:rsidR="00873F61" w:rsidRPr="0029160A">
        <w:rPr>
          <w:color w:val="000000" w:themeColor="text1"/>
          <w:szCs w:val="26"/>
        </w:rPr>
        <w:t>t</w:t>
      </w:r>
      <w:r w:rsidR="00DC265B" w:rsidRPr="0029160A">
        <w:rPr>
          <w:color w:val="000000" w:themeColor="text1"/>
          <w:szCs w:val="26"/>
        </w:rPr>
        <w:t>he ALJs</w:t>
      </w:r>
      <w:r w:rsidRPr="0029160A">
        <w:rPr>
          <w:color w:val="000000" w:themeColor="text1"/>
          <w:szCs w:val="26"/>
        </w:rPr>
        <w:t xml:space="preserve"> recommend</w:t>
      </w:r>
      <w:r w:rsidR="00FA7C9D" w:rsidRPr="0029160A">
        <w:rPr>
          <w:color w:val="000000" w:themeColor="text1"/>
          <w:szCs w:val="26"/>
        </w:rPr>
        <w:t>ed</w:t>
      </w:r>
      <w:r w:rsidRPr="0029160A">
        <w:rPr>
          <w:color w:val="000000" w:themeColor="text1"/>
          <w:szCs w:val="26"/>
        </w:rPr>
        <w:t xml:space="preserve"> adoption of Wellsboro’s proposed cost of long-term debt rate.  R.D. at</w:t>
      </w:r>
      <w:r w:rsidR="00630624" w:rsidRPr="0029160A">
        <w:rPr>
          <w:color w:val="000000" w:themeColor="text1"/>
          <w:szCs w:val="26"/>
        </w:rPr>
        <w:t> </w:t>
      </w:r>
      <w:r w:rsidRPr="0029160A">
        <w:rPr>
          <w:color w:val="000000" w:themeColor="text1"/>
          <w:szCs w:val="26"/>
        </w:rPr>
        <w:t>50</w:t>
      </w:r>
      <w:r w:rsidR="00FA7C9D" w:rsidRPr="0029160A">
        <w:rPr>
          <w:color w:val="000000" w:themeColor="text1"/>
          <w:szCs w:val="26"/>
        </w:rPr>
        <w:t>,</w:t>
      </w:r>
      <w:r w:rsidR="002E0E3A" w:rsidRPr="0029160A">
        <w:rPr>
          <w:color w:val="000000" w:themeColor="text1"/>
          <w:szCs w:val="26"/>
        </w:rPr>
        <w:t> </w:t>
      </w:r>
      <w:r w:rsidR="00FA7C9D" w:rsidRPr="0029160A">
        <w:rPr>
          <w:color w:val="000000" w:themeColor="text1"/>
          <w:szCs w:val="26"/>
        </w:rPr>
        <w:t>81</w:t>
      </w:r>
      <w:r w:rsidRPr="0029160A">
        <w:rPr>
          <w:color w:val="000000" w:themeColor="text1"/>
          <w:szCs w:val="26"/>
        </w:rPr>
        <w:t xml:space="preserve">.  </w:t>
      </w:r>
    </w:p>
    <w:p w14:paraId="75DCD0A4" w14:textId="77777777" w:rsidR="00EC0EC6" w:rsidRPr="0029160A" w:rsidRDefault="00EC0EC6" w:rsidP="00CB0B2E">
      <w:pPr>
        <w:widowControl/>
        <w:spacing w:line="360" w:lineRule="auto"/>
        <w:rPr>
          <w:color w:val="000000" w:themeColor="text1"/>
          <w:szCs w:val="26"/>
        </w:rPr>
      </w:pPr>
    </w:p>
    <w:p w14:paraId="333D23EE" w14:textId="77777777" w:rsidR="00461A7E" w:rsidRPr="0029160A" w:rsidRDefault="00461A7E" w:rsidP="00CB0B2E">
      <w:pPr>
        <w:pStyle w:val="Heading3"/>
        <w:keepNext/>
        <w:keepLines/>
        <w:ind w:left="1440" w:hanging="720"/>
        <w:contextualSpacing w:val="0"/>
        <w:rPr>
          <w:rFonts w:eastAsiaTheme="minorHAnsi" w:cstheme="minorBidi"/>
          <w:color w:val="000000" w:themeColor="text1"/>
        </w:rPr>
      </w:pPr>
      <w:bookmarkStart w:id="24" w:name="_Toc36552346"/>
      <w:bookmarkStart w:id="25" w:name="_Toc38951731"/>
      <w:r w:rsidRPr="0029160A">
        <w:rPr>
          <w:color w:val="000000" w:themeColor="text1"/>
        </w:rPr>
        <w:lastRenderedPageBreak/>
        <w:t>Taxes</w:t>
      </w:r>
      <w:bookmarkEnd w:id="24"/>
      <w:r w:rsidR="00472638" w:rsidRPr="0029160A">
        <w:rPr>
          <w:color w:val="000000" w:themeColor="text1"/>
        </w:rPr>
        <w:t>:</w:t>
      </w:r>
      <w:r w:rsidR="0032039B" w:rsidRPr="0029160A">
        <w:rPr>
          <w:rStyle w:val="FootnoteReference"/>
          <w:rFonts w:eastAsiaTheme="minorHAnsi" w:cstheme="minorBidi"/>
          <w:color w:val="000000" w:themeColor="text1"/>
        </w:rPr>
        <w:t xml:space="preserve"> </w:t>
      </w:r>
      <w:r w:rsidR="0032039B" w:rsidRPr="0029160A">
        <w:rPr>
          <w:rStyle w:val="FootnoteReference"/>
          <w:rFonts w:eastAsiaTheme="minorHAnsi" w:cstheme="minorBidi"/>
          <w:color w:val="000000" w:themeColor="text1"/>
        </w:rPr>
        <w:footnoteReference w:id="10"/>
      </w:r>
      <w:r w:rsidR="00472638" w:rsidRPr="0029160A">
        <w:rPr>
          <w:color w:val="000000" w:themeColor="text1"/>
        </w:rPr>
        <w:t xml:space="preserve">  </w:t>
      </w:r>
      <w:r w:rsidR="00E82D99" w:rsidRPr="0029160A">
        <w:rPr>
          <w:rFonts w:eastAsiaTheme="minorHAnsi" w:cstheme="minorBidi"/>
          <w:color w:val="000000" w:themeColor="text1"/>
        </w:rPr>
        <w:t>EDIT</w:t>
      </w:r>
      <w:r w:rsidR="00472638" w:rsidRPr="0029160A">
        <w:rPr>
          <w:rFonts w:eastAsiaTheme="minorHAnsi" w:cstheme="minorBidi"/>
          <w:color w:val="000000" w:themeColor="text1"/>
        </w:rPr>
        <w:t xml:space="preserve"> and Deferred Regulatory Liability</w:t>
      </w:r>
      <w:bookmarkEnd w:id="25"/>
    </w:p>
    <w:p w14:paraId="4B984125" w14:textId="77777777" w:rsidR="00E82D99" w:rsidRPr="0029160A" w:rsidRDefault="00E82D99">
      <w:pPr>
        <w:keepNext/>
        <w:keepLines/>
        <w:widowControl/>
        <w:spacing w:line="360" w:lineRule="auto"/>
        <w:rPr>
          <w:color w:val="000000" w:themeColor="text1"/>
        </w:rPr>
      </w:pPr>
    </w:p>
    <w:p w14:paraId="2B08008F" w14:textId="25CC230F" w:rsidR="0052786D" w:rsidRPr="0029160A" w:rsidRDefault="00E82D99" w:rsidP="00CB0B2E">
      <w:pPr>
        <w:widowControl/>
        <w:spacing w:line="360" w:lineRule="auto"/>
        <w:ind w:firstLine="1440"/>
        <w:rPr>
          <w:color w:val="000000" w:themeColor="text1"/>
          <w:szCs w:val="26"/>
        </w:rPr>
      </w:pPr>
      <w:r w:rsidRPr="0029160A">
        <w:rPr>
          <w:color w:val="000000" w:themeColor="text1"/>
          <w:szCs w:val="26"/>
        </w:rPr>
        <w:t xml:space="preserve">Regarding EDIT, the ALJs explained that, on December 31, 2017, </w:t>
      </w:r>
      <w:r w:rsidR="00873F61" w:rsidRPr="0029160A">
        <w:rPr>
          <w:color w:val="000000" w:themeColor="text1"/>
          <w:szCs w:val="26"/>
        </w:rPr>
        <w:t xml:space="preserve">the </w:t>
      </w:r>
      <w:r w:rsidRPr="0029160A">
        <w:rPr>
          <w:color w:val="000000" w:themeColor="text1"/>
          <w:szCs w:val="26"/>
        </w:rPr>
        <w:t>Federal Income Tax rates for corporations changed from 35% to 21% due to the passage of the Tax Cuts and Job</w:t>
      </w:r>
      <w:r w:rsidR="00D1455B" w:rsidRPr="0029160A">
        <w:rPr>
          <w:color w:val="000000" w:themeColor="text1"/>
          <w:szCs w:val="26"/>
        </w:rPr>
        <w:t>s</w:t>
      </w:r>
      <w:r w:rsidRPr="0029160A">
        <w:rPr>
          <w:color w:val="000000" w:themeColor="text1"/>
          <w:szCs w:val="26"/>
        </w:rPr>
        <w:t xml:space="preserve"> Act of 2017 (TCJA).  The reduction in the Federal Income Tax rate created EDIT.  While the </w:t>
      </w:r>
      <w:r w:rsidR="009A5DFE" w:rsidRPr="0029160A">
        <w:rPr>
          <w:color w:val="000000" w:themeColor="text1"/>
          <w:szCs w:val="26"/>
        </w:rPr>
        <w:t>P</w:t>
      </w:r>
      <w:r w:rsidRPr="0029160A">
        <w:rPr>
          <w:color w:val="000000" w:themeColor="text1"/>
          <w:szCs w:val="26"/>
        </w:rPr>
        <w:t>arties agree</w:t>
      </w:r>
      <w:r w:rsidR="009A5DFE" w:rsidRPr="0029160A">
        <w:rPr>
          <w:color w:val="000000" w:themeColor="text1"/>
          <w:szCs w:val="26"/>
        </w:rPr>
        <w:t>d</w:t>
      </w:r>
      <w:r w:rsidRPr="0029160A">
        <w:rPr>
          <w:color w:val="000000" w:themeColor="text1"/>
          <w:szCs w:val="26"/>
        </w:rPr>
        <w:t xml:space="preserve"> in general to a flowback of the EDIT to Wellsboro’s customers, there </w:t>
      </w:r>
      <w:r w:rsidR="009A5DFE" w:rsidRPr="0029160A">
        <w:rPr>
          <w:color w:val="000000" w:themeColor="text1"/>
          <w:szCs w:val="26"/>
        </w:rPr>
        <w:t>wa</w:t>
      </w:r>
      <w:r w:rsidRPr="0029160A">
        <w:rPr>
          <w:color w:val="000000" w:themeColor="text1"/>
          <w:szCs w:val="26"/>
        </w:rPr>
        <w:t xml:space="preserve">s disagreement </w:t>
      </w:r>
      <w:r w:rsidR="00201B1C" w:rsidRPr="0029160A">
        <w:rPr>
          <w:color w:val="000000" w:themeColor="text1"/>
          <w:szCs w:val="26"/>
        </w:rPr>
        <w:t>regarding the</w:t>
      </w:r>
      <w:r w:rsidRPr="0029160A">
        <w:rPr>
          <w:color w:val="000000" w:themeColor="text1"/>
          <w:szCs w:val="26"/>
        </w:rPr>
        <w:t xml:space="preserve"> appropriate commencement date of the flowback.  R.D. at 81.</w:t>
      </w:r>
    </w:p>
    <w:p w14:paraId="6D0A38CD" w14:textId="77777777" w:rsidR="0052786D" w:rsidRPr="0029160A" w:rsidRDefault="0052786D" w:rsidP="00CB0B2E">
      <w:pPr>
        <w:widowControl/>
        <w:spacing w:line="360" w:lineRule="auto"/>
        <w:ind w:firstLine="1440"/>
        <w:rPr>
          <w:color w:val="000000" w:themeColor="text1"/>
          <w:szCs w:val="26"/>
        </w:rPr>
      </w:pPr>
    </w:p>
    <w:p w14:paraId="3C31FBEC" w14:textId="77777777" w:rsidR="00A4022F" w:rsidRPr="0029160A" w:rsidRDefault="00E82D99">
      <w:pPr>
        <w:widowControl/>
        <w:spacing w:line="360" w:lineRule="auto"/>
        <w:ind w:firstLine="1440"/>
        <w:rPr>
          <w:rFonts w:eastAsiaTheme="minorHAnsi"/>
          <w:color w:val="000000" w:themeColor="text1"/>
          <w:szCs w:val="26"/>
        </w:rPr>
      </w:pPr>
      <w:r w:rsidRPr="0029160A">
        <w:rPr>
          <w:rFonts w:eastAsiaTheme="minorHAnsi"/>
          <w:color w:val="000000" w:themeColor="text1"/>
          <w:szCs w:val="26"/>
        </w:rPr>
        <w:t xml:space="preserve">Wellsboro argued that it is flowing back to </w:t>
      </w:r>
      <w:r w:rsidR="00873F61" w:rsidRPr="0029160A">
        <w:rPr>
          <w:rFonts w:eastAsiaTheme="minorHAnsi"/>
          <w:color w:val="000000" w:themeColor="text1"/>
          <w:szCs w:val="26"/>
        </w:rPr>
        <w:t xml:space="preserve">its </w:t>
      </w:r>
      <w:r w:rsidRPr="0029160A">
        <w:rPr>
          <w:rFonts w:eastAsiaTheme="minorHAnsi"/>
          <w:color w:val="000000" w:themeColor="text1"/>
          <w:szCs w:val="26"/>
        </w:rPr>
        <w:t xml:space="preserve">customers the benefit of the tax reduction by amortizing the EDIT balance over the estimated remaining book life of the assets </w:t>
      </w:r>
      <w:r w:rsidR="00873F61" w:rsidRPr="0029160A">
        <w:rPr>
          <w:rFonts w:eastAsiaTheme="minorHAnsi"/>
          <w:color w:val="000000" w:themeColor="text1"/>
          <w:szCs w:val="26"/>
        </w:rPr>
        <w:t xml:space="preserve">which is </w:t>
      </w:r>
      <w:r w:rsidRPr="0029160A">
        <w:rPr>
          <w:rFonts w:eastAsiaTheme="minorHAnsi"/>
          <w:color w:val="000000" w:themeColor="text1"/>
          <w:szCs w:val="26"/>
        </w:rPr>
        <w:t xml:space="preserve">ten years.  </w:t>
      </w:r>
      <w:r w:rsidR="0052786D" w:rsidRPr="0029160A">
        <w:rPr>
          <w:rFonts w:eastAsiaTheme="minorHAnsi"/>
          <w:color w:val="000000" w:themeColor="text1"/>
          <w:szCs w:val="26"/>
        </w:rPr>
        <w:t xml:space="preserve">R.D. at 82 (citing </w:t>
      </w:r>
      <w:r w:rsidRPr="0029160A">
        <w:rPr>
          <w:color w:val="000000" w:themeColor="text1"/>
          <w:szCs w:val="26"/>
        </w:rPr>
        <w:t>Wellsboro St. 1 at</w:t>
      </w:r>
      <w:r w:rsidR="0052786D" w:rsidRPr="0029160A">
        <w:rPr>
          <w:color w:val="000000" w:themeColor="text1"/>
          <w:szCs w:val="26"/>
        </w:rPr>
        <w:t xml:space="preserve"> </w:t>
      </w:r>
      <w:r w:rsidRPr="0029160A">
        <w:rPr>
          <w:color w:val="000000" w:themeColor="text1"/>
          <w:szCs w:val="26"/>
        </w:rPr>
        <w:t>17</w:t>
      </w:r>
      <w:r w:rsidR="0052786D" w:rsidRPr="0029160A">
        <w:rPr>
          <w:color w:val="000000" w:themeColor="text1"/>
          <w:szCs w:val="26"/>
        </w:rPr>
        <w:t>)</w:t>
      </w:r>
      <w:r w:rsidRPr="0029160A">
        <w:rPr>
          <w:color w:val="000000" w:themeColor="text1"/>
          <w:szCs w:val="26"/>
        </w:rPr>
        <w:t>.</w:t>
      </w:r>
      <w:r w:rsidRPr="0029160A">
        <w:rPr>
          <w:rFonts w:eastAsiaTheme="minorHAnsi"/>
          <w:color w:val="000000" w:themeColor="text1"/>
          <w:szCs w:val="26"/>
        </w:rPr>
        <w:t xml:space="preserve">  Specifically, the EDIT balance included in rate base declines each year during this ten-year period.  The annual EDIT accretion (Schedule C1-6 (W), line 40) is carried forward to reduce </w:t>
      </w:r>
      <w:r w:rsidR="008F3545" w:rsidRPr="0029160A">
        <w:rPr>
          <w:rFonts w:eastAsiaTheme="minorHAnsi"/>
          <w:color w:val="000000" w:themeColor="text1"/>
          <w:szCs w:val="26"/>
        </w:rPr>
        <w:t xml:space="preserve">the </w:t>
      </w:r>
      <w:r w:rsidRPr="0029160A">
        <w:rPr>
          <w:rFonts w:eastAsiaTheme="minorHAnsi"/>
          <w:color w:val="000000" w:themeColor="text1"/>
          <w:szCs w:val="26"/>
        </w:rPr>
        <w:t xml:space="preserve">Income </w:t>
      </w:r>
      <w:r w:rsidR="008F3545" w:rsidRPr="0029160A">
        <w:rPr>
          <w:rFonts w:eastAsiaTheme="minorHAnsi"/>
          <w:color w:val="000000" w:themeColor="text1"/>
          <w:szCs w:val="26"/>
        </w:rPr>
        <w:t>T</w:t>
      </w:r>
      <w:r w:rsidRPr="0029160A">
        <w:rPr>
          <w:rFonts w:eastAsiaTheme="minorHAnsi"/>
          <w:color w:val="000000" w:themeColor="text1"/>
          <w:szCs w:val="26"/>
        </w:rPr>
        <w:t xml:space="preserve">ax </w:t>
      </w:r>
      <w:r w:rsidR="008F3545" w:rsidRPr="0029160A">
        <w:rPr>
          <w:rFonts w:eastAsiaTheme="minorHAnsi"/>
          <w:color w:val="000000" w:themeColor="text1"/>
          <w:szCs w:val="26"/>
        </w:rPr>
        <w:t>E</w:t>
      </w:r>
      <w:r w:rsidRPr="0029160A">
        <w:rPr>
          <w:rFonts w:eastAsiaTheme="minorHAnsi"/>
          <w:color w:val="000000" w:themeColor="text1"/>
          <w:szCs w:val="26"/>
        </w:rPr>
        <w:t xml:space="preserve">xpense (Schedule C1-4 (W), line 28).  R.D. at 82 (citing Wellsboro Stmt. No. 1, Exhibit_(HSG-1), Schedules C1-4 (W), C1-6 (W)). </w:t>
      </w:r>
      <w:r w:rsidR="00A4022F" w:rsidRPr="0029160A">
        <w:rPr>
          <w:rFonts w:eastAsiaTheme="minorHAnsi"/>
          <w:color w:val="000000" w:themeColor="text1"/>
          <w:szCs w:val="26"/>
        </w:rPr>
        <w:t xml:space="preserve"> </w:t>
      </w:r>
    </w:p>
    <w:p w14:paraId="649A527E" w14:textId="77777777" w:rsidR="00E82D99" w:rsidRPr="0029160A" w:rsidRDefault="00E82D99">
      <w:pPr>
        <w:widowControl/>
        <w:spacing w:line="360" w:lineRule="auto"/>
        <w:rPr>
          <w:rFonts w:eastAsiaTheme="minorHAnsi"/>
          <w:color w:val="000000" w:themeColor="text1"/>
          <w:szCs w:val="26"/>
        </w:rPr>
      </w:pPr>
    </w:p>
    <w:p w14:paraId="0F5B89BD" w14:textId="51C25816" w:rsidR="0052786D" w:rsidRPr="0029160A" w:rsidRDefault="00E82D99">
      <w:pPr>
        <w:widowControl/>
        <w:spacing w:line="360" w:lineRule="auto"/>
        <w:rPr>
          <w:rFonts w:eastAsiaTheme="minorHAnsi" w:cstheme="minorBidi"/>
          <w:color w:val="000000" w:themeColor="text1"/>
          <w:szCs w:val="26"/>
        </w:rPr>
      </w:pPr>
      <w:r w:rsidRPr="0029160A">
        <w:rPr>
          <w:rFonts w:eastAsiaTheme="minorHAnsi"/>
          <w:color w:val="000000" w:themeColor="text1"/>
          <w:szCs w:val="26"/>
        </w:rPr>
        <w:tab/>
      </w:r>
      <w:r w:rsidRPr="0029160A">
        <w:rPr>
          <w:rFonts w:eastAsiaTheme="minorHAnsi"/>
          <w:color w:val="000000" w:themeColor="text1"/>
          <w:szCs w:val="26"/>
        </w:rPr>
        <w:tab/>
        <w:t xml:space="preserve">The OCA did not oppose the flowback of the EDIT, generally, but disagreed that 2018 was the appropriate commencement date of the flowback, arguing that rates were not changed in 2018 to reflect the flowback of the EDIT.  R.D. at 82 (citing OCA St. 2 at 10).  </w:t>
      </w:r>
      <w:r w:rsidR="0052786D" w:rsidRPr="0029160A">
        <w:rPr>
          <w:rFonts w:eastAsiaTheme="minorHAnsi"/>
          <w:color w:val="000000" w:themeColor="text1"/>
          <w:szCs w:val="26"/>
        </w:rPr>
        <w:t xml:space="preserve">The </w:t>
      </w:r>
      <w:r w:rsidR="0052786D" w:rsidRPr="0029160A">
        <w:rPr>
          <w:rFonts w:eastAsiaTheme="minorHAnsi" w:cstheme="minorBidi"/>
          <w:color w:val="000000" w:themeColor="text1"/>
          <w:szCs w:val="26"/>
        </w:rPr>
        <w:t xml:space="preserve">OCA’s witness testified that “Instead, rates were changed to reflect the reduction of the current Federal Income Tax </w:t>
      </w:r>
      <w:r w:rsidR="008F3545" w:rsidRPr="0029160A">
        <w:rPr>
          <w:rFonts w:eastAsiaTheme="minorHAnsi" w:cstheme="minorBidi"/>
          <w:color w:val="000000" w:themeColor="text1"/>
          <w:szCs w:val="26"/>
        </w:rPr>
        <w:t>E</w:t>
      </w:r>
      <w:r w:rsidR="0052786D" w:rsidRPr="0029160A">
        <w:rPr>
          <w:rFonts w:eastAsiaTheme="minorHAnsi" w:cstheme="minorBidi"/>
          <w:color w:val="000000" w:themeColor="text1"/>
          <w:szCs w:val="26"/>
        </w:rPr>
        <w:t xml:space="preserve">xpense included in rates.”  R.D. at 82 (citing OCA St. 2 at 10).  The OCA recommended that since rates were not changed to reflect the flowback of the EDIT, there should be an adjustment to reverse the flowback of </w:t>
      </w:r>
      <w:r w:rsidR="008F3545" w:rsidRPr="0029160A">
        <w:rPr>
          <w:rFonts w:eastAsiaTheme="minorHAnsi" w:cstheme="minorBidi"/>
          <w:color w:val="000000" w:themeColor="text1"/>
          <w:szCs w:val="26"/>
        </w:rPr>
        <w:t xml:space="preserve">the </w:t>
      </w:r>
      <w:r w:rsidR="0052786D" w:rsidRPr="0029160A">
        <w:rPr>
          <w:rFonts w:eastAsiaTheme="minorHAnsi" w:cstheme="minorBidi"/>
          <w:color w:val="000000" w:themeColor="text1"/>
          <w:szCs w:val="26"/>
        </w:rPr>
        <w:t>EDIT that is reflected in Wellsboro’s filing.  R.D. at 82 (citing OCA St. 2 at 10-11, Sch. LKM-6).</w:t>
      </w:r>
    </w:p>
    <w:p w14:paraId="27BA2EEB" w14:textId="77777777" w:rsidR="006C5BBA" w:rsidRPr="0029160A" w:rsidRDefault="006C5BBA" w:rsidP="006C5BBA">
      <w:pPr>
        <w:widowControl/>
        <w:spacing w:line="360" w:lineRule="auto"/>
        <w:rPr>
          <w:rFonts w:eastAsiaTheme="minorHAnsi" w:cstheme="minorBidi"/>
          <w:color w:val="000000" w:themeColor="text1"/>
          <w:szCs w:val="26"/>
        </w:rPr>
      </w:pPr>
    </w:p>
    <w:p w14:paraId="68991E21" w14:textId="77777777" w:rsidR="00E82D99" w:rsidRPr="0029160A" w:rsidRDefault="0052786D">
      <w:pPr>
        <w:widowControl/>
        <w:spacing w:line="360" w:lineRule="auto"/>
        <w:ind w:firstLine="1440"/>
        <w:rPr>
          <w:color w:val="000000" w:themeColor="text1"/>
          <w:szCs w:val="26"/>
        </w:rPr>
      </w:pPr>
      <w:r w:rsidRPr="0029160A">
        <w:rPr>
          <w:color w:val="000000" w:themeColor="text1"/>
          <w:szCs w:val="26"/>
        </w:rPr>
        <w:t>In response to Wellsboro’s assertion that rates were changed in 2018 to reflect the TCJA, which gave rise to the EDIT, the OCA argue</w:t>
      </w:r>
      <w:r w:rsidR="008F66BF" w:rsidRPr="0029160A">
        <w:rPr>
          <w:color w:val="000000" w:themeColor="text1"/>
          <w:szCs w:val="26"/>
        </w:rPr>
        <w:t>d</w:t>
      </w:r>
      <w:r w:rsidRPr="0029160A">
        <w:rPr>
          <w:color w:val="000000" w:themeColor="text1"/>
          <w:szCs w:val="26"/>
        </w:rPr>
        <w:t xml:space="preserve"> that Wellsboro did not provide any documentation to support this claim.  R.D. at 82 (citing OCA St. 2-SR at 8).  The OCA specifically denied that Appendix A, Attachment C, Page 2 of Wellsboro’s filing identifies any flowback of the EDIT in the determination of the Company’s rate reduction or otherwise demonstrate how the EDIT was returned to customers during that period.</w:t>
      </w:r>
      <w:r w:rsidR="003C7D57" w:rsidRPr="0029160A">
        <w:rPr>
          <w:color w:val="000000" w:themeColor="text1"/>
          <w:szCs w:val="26"/>
        </w:rPr>
        <w:t xml:space="preserve">  </w:t>
      </w:r>
      <w:r w:rsidRPr="0029160A">
        <w:rPr>
          <w:color w:val="000000" w:themeColor="text1"/>
          <w:szCs w:val="26"/>
        </w:rPr>
        <w:t xml:space="preserve">R.D. at 82-83 (citing OCA St. 2-SR at 10).  Referring to Appendix A, the OCA’s witness testified that according to Wellsboro, in Docket No. R-2018-3000562, the Commission reduced Wellsboro’s rates by -0.6637 % to reflect the decrease in the Federal </w:t>
      </w:r>
      <w:r w:rsidR="003C7D57" w:rsidRPr="0029160A">
        <w:rPr>
          <w:color w:val="000000" w:themeColor="text1"/>
          <w:szCs w:val="26"/>
        </w:rPr>
        <w:t>I</w:t>
      </w:r>
      <w:r w:rsidRPr="0029160A">
        <w:rPr>
          <w:color w:val="000000" w:themeColor="text1"/>
          <w:szCs w:val="26"/>
        </w:rPr>
        <w:t xml:space="preserve">ncome </w:t>
      </w:r>
      <w:r w:rsidR="003C7D57" w:rsidRPr="0029160A">
        <w:rPr>
          <w:color w:val="000000" w:themeColor="text1"/>
          <w:szCs w:val="26"/>
        </w:rPr>
        <w:t>T</w:t>
      </w:r>
      <w:r w:rsidRPr="0029160A">
        <w:rPr>
          <w:color w:val="000000" w:themeColor="text1"/>
          <w:szCs w:val="26"/>
        </w:rPr>
        <w:t>ax rate</w:t>
      </w:r>
      <w:r w:rsidR="008F66BF" w:rsidRPr="0029160A">
        <w:rPr>
          <w:color w:val="000000" w:themeColor="text1"/>
          <w:szCs w:val="26"/>
        </w:rPr>
        <w:t xml:space="preserve">; however, </w:t>
      </w:r>
      <w:r w:rsidRPr="0029160A">
        <w:rPr>
          <w:color w:val="000000" w:themeColor="text1"/>
          <w:szCs w:val="26"/>
        </w:rPr>
        <w:t>in Attachment C there is no recognition of the flowback of the EDIT in the determination of the -0.6637 % rate reduction.  R.D. at 83 (citing OCA St. 2-SR at 8-9).</w:t>
      </w:r>
    </w:p>
    <w:p w14:paraId="5525BAD1" w14:textId="77777777" w:rsidR="00A4022F" w:rsidRPr="0029160A" w:rsidRDefault="00A4022F">
      <w:pPr>
        <w:widowControl/>
        <w:spacing w:line="360" w:lineRule="auto"/>
        <w:ind w:firstLine="1440"/>
        <w:rPr>
          <w:color w:val="000000" w:themeColor="text1"/>
          <w:szCs w:val="26"/>
        </w:rPr>
      </w:pPr>
    </w:p>
    <w:p w14:paraId="237CD42C" w14:textId="2369CCD8" w:rsidR="00A4022F" w:rsidRPr="0029160A" w:rsidRDefault="00A4022F">
      <w:pPr>
        <w:widowControl/>
        <w:spacing w:line="360" w:lineRule="auto"/>
        <w:ind w:firstLine="1440"/>
        <w:rPr>
          <w:color w:val="000000" w:themeColor="text1"/>
          <w:szCs w:val="26"/>
        </w:rPr>
      </w:pPr>
      <w:r w:rsidRPr="0029160A">
        <w:rPr>
          <w:rFonts w:eastAsiaTheme="minorHAnsi"/>
          <w:color w:val="000000" w:themeColor="text1"/>
          <w:szCs w:val="26"/>
        </w:rPr>
        <w:t>Wellsboro’s witness refuted the OCA’s argument stating “rates were changed in 2018 to reflect the Tax Cut</w:t>
      </w:r>
      <w:r w:rsidR="00D1455B" w:rsidRPr="0029160A">
        <w:rPr>
          <w:rFonts w:eastAsiaTheme="minorHAnsi"/>
          <w:color w:val="000000" w:themeColor="text1"/>
          <w:szCs w:val="26"/>
        </w:rPr>
        <w:t>s</w:t>
      </w:r>
      <w:r w:rsidRPr="0029160A">
        <w:rPr>
          <w:rFonts w:eastAsiaTheme="minorHAnsi"/>
          <w:color w:val="000000" w:themeColor="text1"/>
          <w:szCs w:val="26"/>
        </w:rPr>
        <w:t xml:space="preserve"> and Jobs Act, which gave rise to the EDIT.  This proposed adjustment should be rejected by the Commission.”  R.D. at 82 (citing Wellsboro St. 1-R. at 13).  Wellsboro, therefore, argued that the Commission should deny the OCA's proposed adjustment and accept its EDIT claim for 2018.  R.D. at 82.  </w:t>
      </w:r>
    </w:p>
    <w:p w14:paraId="06E45336" w14:textId="77777777" w:rsidR="008F66BF" w:rsidRPr="0029160A" w:rsidRDefault="008F66BF">
      <w:pPr>
        <w:widowControl/>
        <w:spacing w:line="360" w:lineRule="auto"/>
        <w:ind w:firstLine="1440"/>
        <w:rPr>
          <w:color w:val="000000" w:themeColor="text1"/>
        </w:rPr>
      </w:pPr>
    </w:p>
    <w:p w14:paraId="0058ED14" w14:textId="1220BF04" w:rsidR="008F66BF" w:rsidRPr="0029160A" w:rsidRDefault="008F66BF">
      <w:pPr>
        <w:widowControl/>
        <w:spacing w:line="360" w:lineRule="auto"/>
        <w:ind w:firstLine="1440"/>
        <w:rPr>
          <w:rFonts w:eastAsiaTheme="minorHAnsi" w:cstheme="minorBidi"/>
          <w:color w:val="000000" w:themeColor="text1"/>
          <w:szCs w:val="26"/>
        </w:rPr>
      </w:pPr>
      <w:r w:rsidRPr="0029160A">
        <w:rPr>
          <w:color w:val="000000" w:themeColor="text1"/>
          <w:szCs w:val="26"/>
        </w:rPr>
        <w:t xml:space="preserve">The ALJs agreed </w:t>
      </w:r>
      <w:r w:rsidRPr="0029160A">
        <w:rPr>
          <w:rFonts w:eastAsiaTheme="minorHAnsi" w:cstheme="minorBidi"/>
          <w:color w:val="000000" w:themeColor="text1"/>
          <w:szCs w:val="26"/>
        </w:rPr>
        <w:t xml:space="preserve">with the OCA regarding the flowback of the EDIT.  Based on the </w:t>
      </w:r>
      <w:r w:rsidR="00A4022F" w:rsidRPr="0029160A">
        <w:rPr>
          <w:rFonts w:eastAsiaTheme="minorHAnsi" w:cstheme="minorBidi"/>
          <w:color w:val="000000" w:themeColor="text1"/>
          <w:szCs w:val="26"/>
        </w:rPr>
        <w:t xml:space="preserve">ALJs’ review of the </w:t>
      </w:r>
      <w:r w:rsidRPr="0029160A">
        <w:rPr>
          <w:rFonts w:eastAsiaTheme="minorHAnsi" w:cstheme="minorBidi"/>
          <w:color w:val="000000" w:themeColor="text1"/>
          <w:szCs w:val="26"/>
        </w:rPr>
        <w:t>testimony and evidence provided</w:t>
      </w:r>
      <w:r w:rsidR="00A4022F" w:rsidRPr="0029160A">
        <w:rPr>
          <w:rFonts w:eastAsiaTheme="minorHAnsi" w:cstheme="minorBidi"/>
          <w:color w:val="000000" w:themeColor="text1"/>
          <w:szCs w:val="26"/>
        </w:rPr>
        <w:t xml:space="preserve"> in the record</w:t>
      </w:r>
      <w:r w:rsidRPr="0029160A">
        <w:rPr>
          <w:rFonts w:eastAsiaTheme="minorHAnsi" w:cstheme="minorBidi"/>
          <w:color w:val="000000" w:themeColor="text1"/>
          <w:szCs w:val="26"/>
        </w:rPr>
        <w:t xml:space="preserve">, the ALJs </w:t>
      </w:r>
      <w:r w:rsidR="00A4022F" w:rsidRPr="0029160A">
        <w:rPr>
          <w:rFonts w:eastAsiaTheme="minorHAnsi" w:cstheme="minorBidi"/>
          <w:color w:val="000000" w:themeColor="text1"/>
          <w:szCs w:val="26"/>
        </w:rPr>
        <w:t>found</w:t>
      </w:r>
      <w:r w:rsidRPr="0029160A">
        <w:rPr>
          <w:rFonts w:eastAsiaTheme="minorHAnsi" w:cstheme="minorBidi"/>
          <w:color w:val="000000" w:themeColor="text1"/>
          <w:szCs w:val="26"/>
        </w:rPr>
        <w:t xml:space="preserve"> that rates were not changed in 2018 to reflect the flowback of the EDIT but rather to reflect the reduction of the current </w:t>
      </w:r>
      <w:r w:rsidR="008F3545" w:rsidRPr="0029160A">
        <w:rPr>
          <w:rFonts w:eastAsiaTheme="minorHAnsi" w:cstheme="minorBidi"/>
          <w:color w:val="000000" w:themeColor="text1"/>
          <w:szCs w:val="26"/>
        </w:rPr>
        <w:t>F</w:t>
      </w:r>
      <w:r w:rsidRPr="0029160A">
        <w:rPr>
          <w:rFonts w:eastAsiaTheme="minorHAnsi" w:cstheme="minorBidi"/>
          <w:color w:val="000000" w:themeColor="text1"/>
          <w:szCs w:val="26"/>
        </w:rPr>
        <w:t xml:space="preserve">ederal </w:t>
      </w:r>
      <w:r w:rsidR="008F3545" w:rsidRPr="0029160A">
        <w:rPr>
          <w:rFonts w:eastAsiaTheme="minorHAnsi" w:cstheme="minorBidi"/>
          <w:color w:val="000000" w:themeColor="text1"/>
          <w:szCs w:val="26"/>
        </w:rPr>
        <w:t>I</w:t>
      </w:r>
      <w:r w:rsidRPr="0029160A">
        <w:rPr>
          <w:rFonts w:eastAsiaTheme="minorHAnsi" w:cstheme="minorBidi"/>
          <w:color w:val="000000" w:themeColor="text1"/>
          <w:szCs w:val="26"/>
        </w:rPr>
        <w:t xml:space="preserve">ncome </w:t>
      </w:r>
      <w:r w:rsidR="008F3545" w:rsidRPr="0029160A">
        <w:rPr>
          <w:rFonts w:eastAsiaTheme="minorHAnsi" w:cstheme="minorBidi"/>
          <w:color w:val="000000" w:themeColor="text1"/>
          <w:szCs w:val="26"/>
        </w:rPr>
        <w:t>T</w:t>
      </w:r>
      <w:r w:rsidRPr="0029160A">
        <w:rPr>
          <w:rFonts w:eastAsiaTheme="minorHAnsi" w:cstheme="minorBidi"/>
          <w:color w:val="000000" w:themeColor="text1"/>
          <w:szCs w:val="26"/>
        </w:rPr>
        <w:t>ax expense included in the rates.  R.D. at 83 (citing OCA St. 2 at 10).  Looking at Docket No. R-2018-3000562, the</w:t>
      </w:r>
      <w:r w:rsidR="00F448F2" w:rsidRPr="0029160A">
        <w:rPr>
          <w:rFonts w:eastAsiaTheme="minorHAnsi" w:cstheme="minorBidi"/>
          <w:color w:val="000000" w:themeColor="text1"/>
          <w:szCs w:val="26"/>
        </w:rPr>
        <w:t xml:space="preserve"> ALJs found that the</w:t>
      </w:r>
      <w:r w:rsidRPr="0029160A">
        <w:rPr>
          <w:rFonts w:eastAsiaTheme="minorHAnsi" w:cstheme="minorBidi"/>
          <w:color w:val="000000" w:themeColor="text1"/>
          <w:szCs w:val="26"/>
        </w:rPr>
        <w:t xml:space="preserve"> Commission reduced Wellsboro’s rates by -0.6637 % to reflect the decrease in the federal income tax rate.  However, the ALJs found that, in App</w:t>
      </w:r>
      <w:r w:rsidR="00303773" w:rsidRPr="0029160A">
        <w:rPr>
          <w:rFonts w:eastAsiaTheme="minorHAnsi" w:cstheme="minorBidi"/>
          <w:color w:val="000000" w:themeColor="text1"/>
          <w:szCs w:val="26"/>
        </w:rPr>
        <w:t>.</w:t>
      </w:r>
      <w:r w:rsidRPr="0029160A">
        <w:rPr>
          <w:rFonts w:eastAsiaTheme="minorHAnsi" w:cstheme="minorBidi"/>
          <w:color w:val="000000" w:themeColor="text1"/>
          <w:szCs w:val="26"/>
        </w:rPr>
        <w:t xml:space="preserve"> A, Attachment C, Page 2, there is no recognition of the flowback of the EDIT in the </w:t>
      </w:r>
      <w:r w:rsidRPr="0029160A">
        <w:rPr>
          <w:rFonts w:eastAsiaTheme="minorHAnsi" w:cstheme="minorBidi"/>
          <w:color w:val="000000" w:themeColor="text1"/>
          <w:szCs w:val="26"/>
        </w:rPr>
        <w:lastRenderedPageBreak/>
        <w:t>determination of the -0.6637 % rate reduction.  R.D. at 83-84 (citing OCA St. 2-SR at</w:t>
      </w:r>
      <w:r w:rsidR="00630624" w:rsidRPr="0029160A">
        <w:rPr>
          <w:rFonts w:eastAsiaTheme="minorHAnsi" w:cstheme="minorBidi"/>
          <w:color w:val="000000" w:themeColor="text1"/>
          <w:szCs w:val="26"/>
        </w:rPr>
        <w:t> </w:t>
      </w:r>
      <w:r w:rsidRPr="0029160A">
        <w:rPr>
          <w:rFonts w:eastAsiaTheme="minorHAnsi" w:cstheme="minorBidi"/>
          <w:color w:val="000000" w:themeColor="text1"/>
          <w:szCs w:val="26"/>
        </w:rPr>
        <w:t>8</w:t>
      </w:r>
      <w:r w:rsidR="00630624" w:rsidRPr="0029160A">
        <w:rPr>
          <w:rFonts w:eastAsiaTheme="minorHAnsi" w:cstheme="minorBidi"/>
          <w:color w:val="000000" w:themeColor="text1"/>
          <w:szCs w:val="26"/>
        </w:rPr>
        <w:noBreakHyphen/>
      </w:r>
      <w:r w:rsidRPr="0029160A">
        <w:rPr>
          <w:rFonts w:eastAsiaTheme="minorHAnsi" w:cstheme="minorBidi"/>
          <w:color w:val="000000" w:themeColor="text1"/>
          <w:szCs w:val="26"/>
        </w:rPr>
        <w:t xml:space="preserve">9). </w:t>
      </w:r>
    </w:p>
    <w:p w14:paraId="6E8BBD0E" w14:textId="77777777" w:rsidR="00201B1C" w:rsidRPr="0029160A" w:rsidRDefault="00201B1C">
      <w:pPr>
        <w:widowControl/>
        <w:spacing w:line="360" w:lineRule="auto"/>
        <w:ind w:firstLine="1440"/>
        <w:rPr>
          <w:color w:val="000000" w:themeColor="text1"/>
          <w:szCs w:val="26"/>
        </w:rPr>
      </w:pPr>
    </w:p>
    <w:p w14:paraId="01E0A30C" w14:textId="2641B901" w:rsidR="002D3B54" w:rsidRPr="0029160A" w:rsidRDefault="008F66BF">
      <w:pPr>
        <w:widowControl/>
        <w:spacing w:line="360" w:lineRule="auto"/>
        <w:rPr>
          <w:rFonts w:eastAsiaTheme="minorHAnsi" w:cstheme="minorBidi"/>
          <w:color w:val="000000" w:themeColor="text1"/>
          <w:szCs w:val="26"/>
        </w:rPr>
      </w:pPr>
      <w:r w:rsidRPr="0029160A">
        <w:rPr>
          <w:rFonts w:eastAsiaTheme="minorHAnsi" w:cstheme="minorBidi"/>
          <w:color w:val="000000" w:themeColor="text1"/>
          <w:szCs w:val="26"/>
        </w:rPr>
        <w:tab/>
      </w:r>
      <w:r w:rsidRPr="0029160A">
        <w:rPr>
          <w:rFonts w:eastAsiaTheme="minorHAnsi" w:cstheme="minorBidi"/>
          <w:color w:val="000000" w:themeColor="text1"/>
          <w:szCs w:val="26"/>
        </w:rPr>
        <w:tab/>
        <w:t>The ALJs concluded that Wellsboro failed to provide evidence that the 2018 rates ha</w:t>
      </w:r>
      <w:r w:rsidR="00F448F2" w:rsidRPr="0029160A">
        <w:rPr>
          <w:rFonts w:eastAsiaTheme="minorHAnsi" w:cstheme="minorBidi"/>
          <w:color w:val="000000" w:themeColor="text1"/>
          <w:szCs w:val="26"/>
        </w:rPr>
        <w:t>d</w:t>
      </w:r>
      <w:r w:rsidRPr="0029160A">
        <w:rPr>
          <w:rFonts w:eastAsiaTheme="minorHAnsi" w:cstheme="minorBidi"/>
          <w:color w:val="000000" w:themeColor="text1"/>
          <w:szCs w:val="26"/>
        </w:rPr>
        <w:t xml:space="preserve"> been changed to flowback the EDIT.  </w:t>
      </w:r>
      <w:r w:rsidR="00F448F2" w:rsidRPr="0029160A">
        <w:rPr>
          <w:rFonts w:eastAsiaTheme="minorHAnsi" w:cstheme="minorBidi"/>
          <w:color w:val="000000" w:themeColor="text1"/>
          <w:szCs w:val="26"/>
        </w:rPr>
        <w:t>Accordingly, t</w:t>
      </w:r>
      <w:r w:rsidRPr="0029160A">
        <w:rPr>
          <w:rFonts w:eastAsiaTheme="minorHAnsi" w:cstheme="minorBidi"/>
          <w:color w:val="000000" w:themeColor="text1"/>
          <w:szCs w:val="26"/>
        </w:rPr>
        <w:t xml:space="preserve">he ALJs recommended </w:t>
      </w:r>
      <w:r w:rsidR="00A4022F" w:rsidRPr="0029160A">
        <w:rPr>
          <w:rFonts w:eastAsiaTheme="minorHAnsi" w:cstheme="minorBidi"/>
          <w:color w:val="000000" w:themeColor="text1"/>
          <w:szCs w:val="26"/>
        </w:rPr>
        <w:t xml:space="preserve">adoption of the OCA’s proposed </w:t>
      </w:r>
      <w:r w:rsidRPr="0029160A">
        <w:rPr>
          <w:rFonts w:eastAsiaTheme="minorHAnsi" w:cstheme="minorBidi"/>
          <w:color w:val="000000" w:themeColor="text1"/>
          <w:szCs w:val="26"/>
        </w:rPr>
        <w:t xml:space="preserve">adjustment on Schedule LKM-6 to reverse the flowback of the EDIT reflected in the Company’s filing.  This adjustment increases the EDIT balance by $2,267 and reduces </w:t>
      </w:r>
      <w:r w:rsidR="008F3545" w:rsidRPr="0029160A">
        <w:rPr>
          <w:rFonts w:eastAsiaTheme="minorHAnsi" w:cstheme="minorBidi"/>
          <w:color w:val="000000" w:themeColor="text1"/>
          <w:szCs w:val="26"/>
        </w:rPr>
        <w:t xml:space="preserve">the </w:t>
      </w:r>
      <w:r w:rsidRPr="0029160A">
        <w:rPr>
          <w:rFonts w:eastAsiaTheme="minorHAnsi" w:cstheme="minorBidi"/>
          <w:color w:val="000000" w:themeColor="text1"/>
          <w:szCs w:val="26"/>
        </w:rPr>
        <w:t xml:space="preserve">rate base by the same amount.  R.D. at </w:t>
      </w:r>
      <w:r w:rsidR="00A4022F" w:rsidRPr="0029160A">
        <w:rPr>
          <w:rFonts w:eastAsiaTheme="minorHAnsi" w:cstheme="minorBidi"/>
          <w:color w:val="000000" w:themeColor="text1"/>
          <w:szCs w:val="26"/>
        </w:rPr>
        <w:t xml:space="preserve">83, 84 (citing </w:t>
      </w:r>
      <w:r w:rsidRPr="0029160A">
        <w:rPr>
          <w:rFonts w:eastAsiaTheme="minorHAnsi" w:cstheme="minorBidi"/>
          <w:color w:val="000000" w:themeColor="text1"/>
          <w:szCs w:val="26"/>
        </w:rPr>
        <w:t>OCA S</w:t>
      </w:r>
      <w:r w:rsidR="00A4022F" w:rsidRPr="0029160A">
        <w:rPr>
          <w:rFonts w:eastAsiaTheme="minorHAnsi" w:cstheme="minorBidi"/>
          <w:color w:val="000000" w:themeColor="text1"/>
          <w:szCs w:val="26"/>
        </w:rPr>
        <w:t>t</w:t>
      </w:r>
      <w:r w:rsidRPr="0029160A">
        <w:rPr>
          <w:rFonts w:eastAsiaTheme="minorHAnsi" w:cstheme="minorBidi"/>
          <w:color w:val="000000" w:themeColor="text1"/>
          <w:szCs w:val="26"/>
        </w:rPr>
        <w:t>. 2 at 10-11, Sch. LKM-6; OCA witness Sherwood’s flow-through of Mr. Morgan’s adjustment at OCA St. 1 at 3, Sch. SLS-3; OCA St. 1</w:t>
      </w:r>
      <w:r w:rsidR="005C717E" w:rsidRPr="0029160A">
        <w:rPr>
          <w:rFonts w:eastAsiaTheme="minorHAnsi" w:cstheme="minorBidi"/>
          <w:color w:val="000000" w:themeColor="text1"/>
          <w:szCs w:val="26"/>
        </w:rPr>
        <w:noBreakHyphen/>
      </w:r>
      <w:r w:rsidRPr="0029160A">
        <w:rPr>
          <w:rFonts w:eastAsiaTheme="minorHAnsi" w:cstheme="minorBidi"/>
          <w:color w:val="000000" w:themeColor="text1"/>
          <w:szCs w:val="26"/>
        </w:rPr>
        <w:t>SR(Revised) at Sch. SLS-1SR (Revised). App. A, Table II</w:t>
      </w:r>
      <w:r w:rsidR="00A4022F" w:rsidRPr="0029160A">
        <w:rPr>
          <w:rFonts w:eastAsiaTheme="minorHAnsi" w:cstheme="minorBidi"/>
          <w:color w:val="000000" w:themeColor="text1"/>
          <w:szCs w:val="26"/>
        </w:rPr>
        <w:t>)</w:t>
      </w:r>
      <w:r w:rsidRPr="0029160A">
        <w:rPr>
          <w:rFonts w:eastAsiaTheme="minorHAnsi" w:cstheme="minorBidi"/>
          <w:color w:val="000000" w:themeColor="text1"/>
          <w:szCs w:val="26"/>
        </w:rPr>
        <w:t>.</w:t>
      </w:r>
    </w:p>
    <w:p w14:paraId="21DBC6DF" w14:textId="77777777" w:rsidR="002D3B54" w:rsidRPr="0029160A" w:rsidRDefault="002D3B54">
      <w:pPr>
        <w:widowControl/>
        <w:spacing w:line="360" w:lineRule="auto"/>
        <w:rPr>
          <w:rFonts w:eastAsiaTheme="minorHAnsi" w:cstheme="minorBidi"/>
          <w:color w:val="000000" w:themeColor="text1"/>
          <w:szCs w:val="26"/>
        </w:rPr>
      </w:pPr>
    </w:p>
    <w:p w14:paraId="076925BF" w14:textId="0D4CB8A0" w:rsidR="002D3B54" w:rsidRPr="0029160A" w:rsidRDefault="00E236F7">
      <w:pPr>
        <w:widowControl/>
        <w:spacing w:line="360" w:lineRule="auto"/>
        <w:ind w:firstLine="1440"/>
        <w:rPr>
          <w:color w:val="000000" w:themeColor="text1"/>
        </w:rPr>
      </w:pPr>
      <w:r w:rsidRPr="0029160A">
        <w:rPr>
          <w:color w:val="000000" w:themeColor="text1"/>
        </w:rPr>
        <w:t xml:space="preserve">Regarding deferred regulatory liability, </w:t>
      </w:r>
      <w:r w:rsidR="002D3B54" w:rsidRPr="0029160A">
        <w:rPr>
          <w:color w:val="000000" w:themeColor="text1"/>
        </w:rPr>
        <w:t xml:space="preserve">the ALJs explained that, in Docket No. M-2108-2641242, the Commission ordered each utility to create a deferred regulatory liability account to </w:t>
      </w:r>
      <w:bookmarkStart w:id="26" w:name="_BA_Cite_DB3ABF_000565"/>
      <w:bookmarkEnd w:id="26"/>
      <w:r w:rsidR="002D3B54" w:rsidRPr="0029160A">
        <w:rPr>
          <w:color w:val="000000" w:themeColor="text1"/>
        </w:rPr>
        <w:t>record the tax savings associated with the TCJA for the January 1, 2018 through June 30, 2018 time</w:t>
      </w:r>
      <w:r w:rsidR="00F2758C" w:rsidRPr="0029160A">
        <w:rPr>
          <w:color w:val="000000" w:themeColor="text1"/>
        </w:rPr>
        <w:t>-</w:t>
      </w:r>
      <w:r w:rsidR="002D3B54" w:rsidRPr="0029160A">
        <w:rPr>
          <w:color w:val="000000" w:themeColor="text1"/>
        </w:rPr>
        <w:t xml:space="preserve">period.  R.D. at 84 (citing </w:t>
      </w:r>
      <w:r w:rsidR="002D3B54" w:rsidRPr="0029160A">
        <w:rPr>
          <w:i/>
          <w:iCs/>
          <w:color w:val="000000" w:themeColor="text1"/>
        </w:rPr>
        <w:t>Tax Cuts and Jobs Act of 2017</w:t>
      </w:r>
      <w:r w:rsidR="002D3B54" w:rsidRPr="0029160A">
        <w:rPr>
          <w:color w:val="000000" w:themeColor="text1"/>
        </w:rPr>
        <w:t>, Docket No. M-2018-26</w:t>
      </w:r>
      <w:r w:rsidR="00926AD4">
        <w:rPr>
          <w:color w:val="000000" w:themeColor="text1"/>
        </w:rPr>
        <w:t>4</w:t>
      </w:r>
      <w:r w:rsidR="002D3B54" w:rsidRPr="0029160A">
        <w:rPr>
          <w:color w:val="000000" w:themeColor="text1"/>
        </w:rPr>
        <w:t>1242 (Order entered May 17, 2018)).  As background, Wellsboro explained that, after communication with Commission staff and approval by the Commission, Wellsboro implemented a voluntary surcharge (TCJA Voluntary Surcharge) that served as a sur-credit to flow back benefits to customers.  R.D. at 84 (citing Joint St. 4 at 13).  Wellsboro chose to decrease its distribution rates to reflect the sur-credit rather than implementing a surcharge line item on its bills.  On November</w:t>
      </w:r>
      <w:r w:rsidR="006C5BBA" w:rsidRPr="0029160A">
        <w:rPr>
          <w:color w:val="000000" w:themeColor="text1"/>
        </w:rPr>
        <w:t> </w:t>
      </w:r>
      <w:r w:rsidR="002D3B54" w:rsidRPr="0029160A">
        <w:rPr>
          <w:color w:val="000000" w:themeColor="text1"/>
        </w:rPr>
        <w:t>8, 2018, the Commission approved a petition by Citizens’ and Wellsboro to maintain the regular reconciliation process for the TCJA Voluntary Surcharge until the Companies submit rate cases.  R.D. at 84 (citing Joint St. 4 at 13).  Subsequently, Wellsboro submitted a reconciliation statement in May 2019, but proposed to keep the distribution rates at the current levels pending resolution of this rate case.  R.D. at 84.</w:t>
      </w:r>
    </w:p>
    <w:p w14:paraId="67D9B480" w14:textId="77777777" w:rsidR="002D3B54" w:rsidRPr="0029160A" w:rsidRDefault="002D3B54">
      <w:pPr>
        <w:widowControl/>
        <w:spacing w:line="360" w:lineRule="auto"/>
        <w:ind w:firstLine="1440"/>
        <w:rPr>
          <w:color w:val="000000" w:themeColor="text1"/>
        </w:rPr>
      </w:pPr>
    </w:p>
    <w:p w14:paraId="25EE8179" w14:textId="720FF7E3" w:rsidR="002D3B54" w:rsidRPr="0029160A" w:rsidRDefault="002D3B54">
      <w:pPr>
        <w:widowControl/>
        <w:spacing w:line="360" w:lineRule="auto"/>
        <w:ind w:firstLine="1440"/>
        <w:rPr>
          <w:color w:val="000000" w:themeColor="text1"/>
        </w:rPr>
      </w:pPr>
      <w:r w:rsidRPr="0029160A">
        <w:rPr>
          <w:color w:val="000000" w:themeColor="text1"/>
        </w:rPr>
        <w:lastRenderedPageBreak/>
        <w:t>In this base rate filing, Wellsboro proposed to maintain the current distribution rates reflecting the TCJA Voluntary Surcharges during the pendency of this base rate case, after which a final reconciliation for the TCJA Voluntary Surcharge will be calculated.  R.D. at 84.  Wellsboro requested to provide a final reconciliation of the TCJA Voluntary Surcharges within 120 days after new rates take effect.  R.D. at 84 (citing Joint St. 4 at 13).  To support its proposal, Wellsboro argued that it will not have the 2019 tax data to perform the reconciliation until March or April of 2020.  R.D. at 85.  Wellsboro stated it will attempt to accelerate the filing of the final reconciliation of the TCJA Voluntary Surcharges; however, if it does not have accurate 2019 tax data, Wellsboro cautioned that this may not be possible.  R.D. at 85 (citing Joint St. 3-R – Rebuttal Testimony of Melissa Sullivan (Joint Statement 3-R) at 2).  Therefore, based on the availability of final 2019 tax data, Wellsboro requested the Commission’s approval to provide a final reconciliation of the TCJA Voluntary Surcharge within 120 days after new rates take effect.  R.D. at 85.</w:t>
      </w:r>
    </w:p>
    <w:p w14:paraId="49E9B2CF" w14:textId="77777777" w:rsidR="002D3B54" w:rsidRPr="0029160A" w:rsidRDefault="002D3B54">
      <w:pPr>
        <w:widowControl/>
        <w:spacing w:line="360" w:lineRule="auto"/>
        <w:ind w:firstLine="1440"/>
        <w:rPr>
          <w:color w:val="000000" w:themeColor="text1"/>
        </w:rPr>
      </w:pPr>
    </w:p>
    <w:p w14:paraId="257D7D5A" w14:textId="77777777" w:rsidR="00F132FA" w:rsidRPr="0029160A" w:rsidRDefault="002D3B54">
      <w:pPr>
        <w:widowControl/>
        <w:spacing w:line="360" w:lineRule="auto"/>
        <w:ind w:firstLine="1440"/>
        <w:rPr>
          <w:color w:val="000000" w:themeColor="text1"/>
          <w:szCs w:val="26"/>
        </w:rPr>
      </w:pPr>
      <w:r w:rsidRPr="0029160A">
        <w:rPr>
          <w:color w:val="000000" w:themeColor="text1"/>
          <w:szCs w:val="26"/>
        </w:rPr>
        <w:t>The OCA opposed Wellsboro’s proposal</w:t>
      </w:r>
      <w:r w:rsidR="00F132FA" w:rsidRPr="0029160A">
        <w:rPr>
          <w:color w:val="000000" w:themeColor="text1"/>
          <w:szCs w:val="26"/>
        </w:rPr>
        <w:t xml:space="preserve"> and</w:t>
      </w:r>
      <w:r w:rsidR="00F132FA" w:rsidRPr="0029160A">
        <w:rPr>
          <w:bCs/>
          <w:color w:val="000000" w:themeColor="text1"/>
          <w:szCs w:val="26"/>
        </w:rPr>
        <w:t xml:space="preserve"> argued that Wellsboro’s </w:t>
      </w:r>
      <w:r w:rsidR="00F132FA" w:rsidRPr="0029160A">
        <w:rPr>
          <w:color w:val="000000" w:themeColor="text1"/>
          <w:szCs w:val="26"/>
        </w:rPr>
        <w:t>proposal should not be adopted because it is not consistent with the C</w:t>
      </w:r>
      <w:bookmarkStart w:id="27" w:name="_BA_Cite_DB3ABF_000161"/>
      <w:bookmarkEnd w:id="27"/>
      <w:r w:rsidR="00F132FA" w:rsidRPr="0029160A">
        <w:rPr>
          <w:color w:val="000000" w:themeColor="text1"/>
          <w:szCs w:val="26"/>
        </w:rPr>
        <w:t xml:space="preserve">ommission’s Order, which </w:t>
      </w:r>
      <w:r w:rsidR="00F132FA" w:rsidRPr="0029160A">
        <w:rPr>
          <w:rFonts w:eastAsiaTheme="minorHAnsi"/>
          <w:color w:val="000000" w:themeColor="text1"/>
          <w:szCs w:val="26"/>
        </w:rPr>
        <w:t>states:</w:t>
      </w:r>
    </w:p>
    <w:p w14:paraId="5A3EAA7A" w14:textId="77777777" w:rsidR="00F132FA" w:rsidRPr="0029160A" w:rsidRDefault="00F132FA" w:rsidP="006C5BBA">
      <w:pPr>
        <w:widowControl/>
        <w:jc w:val="both"/>
        <w:rPr>
          <w:rFonts w:eastAsiaTheme="minorHAnsi"/>
          <w:color w:val="000000" w:themeColor="text1"/>
          <w:szCs w:val="26"/>
        </w:rPr>
      </w:pPr>
    </w:p>
    <w:p w14:paraId="311F00C8" w14:textId="77777777" w:rsidR="00F132FA" w:rsidRPr="0029160A" w:rsidRDefault="00F132FA">
      <w:pPr>
        <w:widowControl/>
        <w:ind w:left="1440" w:right="720"/>
        <w:rPr>
          <w:rFonts w:eastAsiaTheme="minorHAnsi"/>
          <w:color w:val="000000" w:themeColor="text1"/>
          <w:szCs w:val="26"/>
        </w:rPr>
      </w:pPr>
      <w:r w:rsidRPr="0029160A">
        <w:rPr>
          <w:rFonts w:eastAsiaTheme="minorHAnsi"/>
          <w:color w:val="000000" w:themeColor="text1"/>
          <w:szCs w:val="26"/>
        </w:rPr>
        <w:t>Based on the Companies’ assertions that accurate tax calculations will not be available in time for January 1, 2019 TCJA implementation dates (and that both Citizens’ and Wellsboro expect to file 1308(d) base rate cases in 2019), the Commission grants the Companies permission to reconcile their TCJA surcharges 60 days prior to July 1 and to adjust these surcharges on July 1. Specifically, the Companies need not implement TJCA surcharges on January 1, 2019, but may instead: 1) maintain the current rates in effect through July 1, 2019, 2) submit recalculations, including reconciliations 60 days prior to July 1, 2019, and 3) maintain the July 1</w:t>
      </w:r>
      <w:r w:rsidRPr="0029160A">
        <w:rPr>
          <w:rFonts w:eastAsiaTheme="minorHAnsi"/>
          <w:color w:val="000000" w:themeColor="text1"/>
          <w:szCs w:val="26"/>
          <w:vertAlign w:val="superscript"/>
        </w:rPr>
        <w:t>st</w:t>
      </w:r>
      <w:r w:rsidRPr="0029160A">
        <w:rPr>
          <w:rFonts w:eastAsiaTheme="minorHAnsi"/>
          <w:color w:val="000000" w:themeColor="text1"/>
          <w:szCs w:val="26"/>
        </w:rPr>
        <w:t xml:space="preserve"> rate change and reconciliation process for subsequent years until the Companies submit rate cases. </w:t>
      </w:r>
    </w:p>
    <w:p w14:paraId="0D6DD92B" w14:textId="77777777" w:rsidR="00F132FA" w:rsidRPr="0029160A" w:rsidRDefault="00F132FA">
      <w:pPr>
        <w:widowControl/>
        <w:spacing w:line="360" w:lineRule="auto"/>
        <w:ind w:left="720" w:right="720"/>
        <w:jc w:val="both"/>
        <w:rPr>
          <w:rFonts w:eastAsiaTheme="minorHAnsi"/>
          <w:color w:val="000000" w:themeColor="text1"/>
          <w:szCs w:val="26"/>
        </w:rPr>
      </w:pPr>
    </w:p>
    <w:p w14:paraId="4A30F84C" w14:textId="6CE51D16" w:rsidR="00F132FA" w:rsidRPr="0029160A" w:rsidRDefault="00F132FA" w:rsidP="00414EB7">
      <w:pPr>
        <w:widowControl/>
        <w:spacing w:line="360" w:lineRule="auto"/>
        <w:rPr>
          <w:rFonts w:eastAsiaTheme="minorHAnsi"/>
          <w:color w:val="000000" w:themeColor="text1"/>
          <w:szCs w:val="26"/>
        </w:rPr>
      </w:pPr>
      <w:r w:rsidRPr="0029160A">
        <w:rPr>
          <w:color w:val="000000" w:themeColor="text1"/>
          <w:szCs w:val="26"/>
        </w:rPr>
        <w:lastRenderedPageBreak/>
        <w:t>R.D. at 85 (citing</w:t>
      </w:r>
      <w:r w:rsidRPr="0029160A">
        <w:rPr>
          <w:i/>
          <w:iCs/>
          <w:color w:val="000000" w:themeColor="text1"/>
          <w:szCs w:val="26"/>
        </w:rPr>
        <w:t xml:space="preserve"> T</w:t>
      </w:r>
      <w:bookmarkStart w:id="28" w:name="_BA_Cite_DB3ABF_000147"/>
      <w:bookmarkEnd w:id="28"/>
      <w:r w:rsidRPr="0029160A">
        <w:rPr>
          <w:i/>
          <w:iCs/>
          <w:color w:val="000000" w:themeColor="text1"/>
          <w:szCs w:val="26"/>
        </w:rPr>
        <w:t>ax Cuts and Jobs Act – Wellsboro Electric Company</w:t>
      </w:r>
      <w:r w:rsidRPr="0029160A">
        <w:rPr>
          <w:color w:val="000000" w:themeColor="text1"/>
          <w:szCs w:val="26"/>
        </w:rPr>
        <w:t>, Docket No. R</w:t>
      </w:r>
      <w:r w:rsidR="006C5BBA" w:rsidRPr="0029160A">
        <w:rPr>
          <w:color w:val="000000" w:themeColor="text1"/>
          <w:szCs w:val="26"/>
        </w:rPr>
        <w:noBreakHyphen/>
      </w:r>
      <w:r w:rsidRPr="0029160A">
        <w:rPr>
          <w:color w:val="000000" w:themeColor="text1"/>
          <w:szCs w:val="26"/>
        </w:rPr>
        <w:t xml:space="preserve">2018-3000562 (Order entered November 8, 2018) at 5). </w:t>
      </w:r>
    </w:p>
    <w:p w14:paraId="53B265DB" w14:textId="77777777" w:rsidR="00F132FA" w:rsidRPr="0029160A" w:rsidRDefault="00F132FA" w:rsidP="00414EB7">
      <w:pPr>
        <w:widowControl/>
        <w:spacing w:line="360" w:lineRule="auto"/>
        <w:ind w:firstLine="1440"/>
        <w:rPr>
          <w:color w:val="000000" w:themeColor="text1"/>
        </w:rPr>
      </w:pPr>
    </w:p>
    <w:p w14:paraId="7DFA7220" w14:textId="77777777" w:rsidR="00185907" w:rsidRPr="0029160A" w:rsidRDefault="00F132FA" w:rsidP="00414EB7">
      <w:pPr>
        <w:widowControl/>
        <w:spacing w:line="360" w:lineRule="auto"/>
        <w:ind w:firstLine="1440"/>
        <w:rPr>
          <w:color w:val="000000" w:themeColor="text1"/>
          <w:szCs w:val="26"/>
        </w:rPr>
      </w:pPr>
      <w:r w:rsidRPr="0029160A">
        <w:rPr>
          <w:color w:val="000000" w:themeColor="text1"/>
          <w:szCs w:val="26"/>
        </w:rPr>
        <w:t xml:space="preserve">The OCA contended that a reasonable approach is for Wellsboro to provide the necessary reconciliation </w:t>
      </w:r>
      <w:bookmarkStart w:id="29" w:name="_Hlk32749902"/>
      <w:r w:rsidRPr="0029160A">
        <w:rPr>
          <w:color w:val="000000" w:themeColor="text1"/>
          <w:szCs w:val="26"/>
        </w:rPr>
        <w:t>before the rates in this proceeding are determined so that any required over</w:t>
      </w:r>
      <w:r w:rsidR="00D22546" w:rsidRPr="0029160A">
        <w:rPr>
          <w:color w:val="000000" w:themeColor="text1"/>
          <w:szCs w:val="26"/>
        </w:rPr>
        <w:t>-</w:t>
      </w:r>
      <w:r w:rsidRPr="0029160A">
        <w:rPr>
          <w:color w:val="000000" w:themeColor="text1"/>
          <w:szCs w:val="26"/>
        </w:rPr>
        <w:t xml:space="preserve"> or under</w:t>
      </w:r>
      <w:r w:rsidR="00D22546" w:rsidRPr="0029160A">
        <w:rPr>
          <w:color w:val="000000" w:themeColor="text1"/>
          <w:szCs w:val="26"/>
        </w:rPr>
        <w:t>-</w:t>
      </w:r>
      <w:r w:rsidRPr="0029160A">
        <w:rPr>
          <w:color w:val="000000" w:themeColor="text1"/>
          <w:szCs w:val="26"/>
        </w:rPr>
        <w:t xml:space="preserve"> recovery can be reflected in these rates and tax savings collected from January 2018 through June 2018, including accumulated interest</w:t>
      </w:r>
      <w:r w:rsidRPr="0029160A">
        <w:rPr>
          <w:color w:val="000000" w:themeColor="text1"/>
        </w:rPr>
        <w:t>, can be returned to customers as soon as possible.</w:t>
      </w:r>
      <w:bookmarkEnd w:id="29"/>
      <w:r w:rsidRPr="0029160A">
        <w:rPr>
          <w:color w:val="000000" w:themeColor="text1"/>
        </w:rPr>
        <w:t xml:space="preserve">  R.D. at 85.  The OCA, therefore, contend</w:t>
      </w:r>
      <w:r w:rsidR="00185907" w:rsidRPr="0029160A">
        <w:rPr>
          <w:color w:val="000000" w:themeColor="text1"/>
        </w:rPr>
        <w:t>ed</w:t>
      </w:r>
      <w:r w:rsidRPr="0029160A">
        <w:rPr>
          <w:color w:val="000000" w:themeColor="text1"/>
        </w:rPr>
        <w:t xml:space="preserve"> that the Commission</w:t>
      </w:r>
      <w:r w:rsidRPr="0029160A">
        <w:rPr>
          <w:color w:val="000000" w:themeColor="text1"/>
          <w:szCs w:val="26"/>
        </w:rPr>
        <w:t xml:space="preserve"> should require the information to be filed sooner, rather than 120 days after, the rates are determined in this proceeding.  </w:t>
      </w:r>
      <w:r w:rsidR="00185907" w:rsidRPr="0029160A">
        <w:rPr>
          <w:color w:val="000000" w:themeColor="text1"/>
          <w:szCs w:val="26"/>
        </w:rPr>
        <w:t xml:space="preserve">R.D. at 85-86 (citing </w:t>
      </w:r>
      <w:r w:rsidRPr="0029160A">
        <w:rPr>
          <w:color w:val="000000" w:themeColor="text1"/>
          <w:szCs w:val="26"/>
        </w:rPr>
        <w:t>OCA St</w:t>
      </w:r>
      <w:r w:rsidR="00C46701" w:rsidRPr="0029160A">
        <w:rPr>
          <w:color w:val="000000" w:themeColor="text1"/>
          <w:szCs w:val="26"/>
        </w:rPr>
        <w:t>.</w:t>
      </w:r>
      <w:r w:rsidRPr="0029160A">
        <w:rPr>
          <w:color w:val="000000" w:themeColor="text1"/>
          <w:szCs w:val="26"/>
        </w:rPr>
        <w:t xml:space="preserve"> 2 at 11</w:t>
      </w:r>
      <w:r w:rsidR="00185907" w:rsidRPr="0029160A">
        <w:rPr>
          <w:color w:val="000000" w:themeColor="text1"/>
          <w:szCs w:val="26"/>
        </w:rPr>
        <w:t>)</w:t>
      </w:r>
      <w:r w:rsidR="00971571" w:rsidRPr="0029160A">
        <w:rPr>
          <w:color w:val="000000" w:themeColor="text1"/>
          <w:szCs w:val="26"/>
        </w:rPr>
        <w:t>.</w:t>
      </w:r>
    </w:p>
    <w:p w14:paraId="0BF9213A" w14:textId="77777777" w:rsidR="00185907" w:rsidRPr="0029160A" w:rsidRDefault="00185907">
      <w:pPr>
        <w:widowControl/>
        <w:spacing w:line="360" w:lineRule="auto"/>
        <w:ind w:firstLine="1440"/>
        <w:rPr>
          <w:color w:val="000000" w:themeColor="text1"/>
          <w:szCs w:val="26"/>
        </w:rPr>
      </w:pPr>
    </w:p>
    <w:p w14:paraId="6F7C5B40" w14:textId="05075216" w:rsidR="00A04B20" w:rsidRPr="0029160A" w:rsidRDefault="00185907">
      <w:pPr>
        <w:widowControl/>
        <w:spacing w:line="360" w:lineRule="auto"/>
        <w:ind w:firstLine="1440"/>
        <w:rPr>
          <w:color w:val="000000" w:themeColor="text1"/>
          <w:szCs w:val="26"/>
        </w:rPr>
      </w:pPr>
      <w:r w:rsidRPr="0029160A">
        <w:rPr>
          <w:color w:val="000000" w:themeColor="text1"/>
          <w:szCs w:val="26"/>
        </w:rPr>
        <w:t xml:space="preserve">The ALJs agreed with Wellsboro regarding the filing of the final reconciliation of the TCJA Voluntary Surcharges.  The ALJs concluded that Wellsboro credibly indicated that such a reconciliation is not possible until it has obtained its 2019 tax data – which will not be until March or April of 2020.  R.D. at 86 (citing Joint St. 3-R at 2).  Given the timeframe when the rates in this proceeding will presumably take effect, and Wellsboro’s position regarding constraints (that it will not have the necessary tax data until March or April to even begin completing its final reconciliation), </w:t>
      </w:r>
      <w:bookmarkStart w:id="30" w:name="_Hlk32750548"/>
      <w:r w:rsidRPr="0029160A">
        <w:rPr>
          <w:color w:val="000000" w:themeColor="text1"/>
          <w:szCs w:val="26"/>
        </w:rPr>
        <w:t>the ALJs found to be reasonable Wellsboro’s</w:t>
      </w:r>
      <w:bookmarkEnd w:id="30"/>
      <w:r w:rsidRPr="0029160A">
        <w:rPr>
          <w:color w:val="000000" w:themeColor="text1"/>
          <w:szCs w:val="26"/>
        </w:rPr>
        <w:t xml:space="preserve"> proposal to submit its final reconciliation within 120 days after the new rates in this proceeding.  R.D. at 86.  In addition, the ALJs stated that </w:t>
      </w:r>
      <w:r w:rsidRPr="0029160A">
        <w:rPr>
          <w:rFonts w:eastAsiaTheme="minorHAnsi"/>
          <w:color w:val="000000" w:themeColor="text1"/>
          <w:szCs w:val="26"/>
        </w:rPr>
        <w:t xml:space="preserve">while </w:t>
      </w:r>
      <w:r w:rsidR="00F448F2" w:rsidRPr="0029160A">
        <w:rPr>
          <w:rFonts w:eastAsiaTheme="minorHAnsi"/>
          <w:color w:val="000000" w:themeColor="text1"/>
          <w:szCs w:val="26"/>
        </w:rPr>
        <w:t xml:space="preserve">the </w:t>
      </w:r>
      <w:r w:rsidRPr="0029160A">
        <w:rPr>
          <w:rFonts w:eastAsiaTheme="minorHAnsi"/>
          <w:color w:val="000000" w:themeColor="text1"/>
          <w:szCs w:val="26"/>
        </w:rPr>
        <w:t xml:space="preserve">OCA argued that </w:t>
      </w:r>
      <w:bookmarkStart w:id="31" w:name="_Hlk32750790"/>
      <w:r w:rsidRPr="0029160A">
        <w:rPr>
          <w:rFonts w:eastAsiaTheme="minorHAnsi"/>
          <w:color w:val="000000" w:themeColor="text1"/>
          <w:szCs w:val="26"/>
        </w:rPr>
        <w:t>Wellsboro’s</w:t>
      </w:r>
      <w:bookmarkEnd w:id="31"/>
      <w:r w:rsidRPr="0029160A">
        <w:rPr>
          <w:rFonts w:eastAsiaTheme="minorHAnsi"/>
          <w:color w:val="000000" w:themeColor="text1"/>
          <w:szCs w:val="26"/>
        </w:rPr>
        <w:t xml:space="preserve"> 120-day proposal is not consistent with the Commission’s Order at Docket No. R-2019</w:t>
      </w:r>
      <w:r w:rsidR="00414EB7" w:rsidRPr="0029160A">
        <w:rPr>
          <w:rFonts w:eastAsiaTheme="minorHAnsi"/>
          <w:color w:val="000000" w:themeColor="text1"/>
          <w:szCs w:val="26"/>
        </w:rPr>
        <w:t>-</w:t>
      </w:r>
      <w:r w:rsidRPr="0029160A">
        <w:rPr>
          <w:rFonts w:eastAsiaTheme="minorHAnsi"/>
          <w:color w:val="000000" w:themeColor="text1"/>
          <w:szCs w:val="26"/>
        </w:rPr>
        <w:t>3000562, it failed to specifically indicate the inconsistency and again simply relies on the argument that sooner is better than later.  R.D. at 86.  Based on the foregoing, t</w:t>
      </w:r>
      <w:r w:rsidRPr="0029160A">
        <w:rPr>
          <w:color w:val="000000" w:themeColor="text1"/>
          <w:szCs w:val="26"/>
        </w:rPr>
        <w:t>he ALJs recommended that Wellsboro’s proposal be adopted and a final reconciliation of the TCJA Voluntary Surcharge be completed within 120 days after new rates take effect.  R.D. at 86.</w:t>
      </w:r>
    </w:p>
    <w:p w14:paraId="10C59466" w14:textId="77777777" w:rsidR="00C71416" w:rsidRPr="0029160A" w:rsidRDefault="00C71416" w:rsidP="00CB0B2E">
      <w:pPr>
        <w:widowControl/>
        <w:spacing w:line="360" w:lineRule="auto"/>
        <w:rPr>
          <w:color w:val="000000" w:themeColor="text1"/>
        </w:rPr>
      </w:pPr>
    </w:p>
    <w:p w14:paraId="06DAC122" w14:textId="77777777" w:rsidR="00397541" w:rsidRPr="0029160A" w:rsidRDefault="00397541" w:rsidP="00CB0B2E">
      <w:pPr>
        <w:pStyle w:val="Heading3"/>
        <w:keepNext/>
        <w:keepLines/>
        <w:ind w:left="1440" w:hanging="720"/>
        <w:contextualSpacing w:val="0"/>
        <w:rPr>
          <w:color w:val="000000" w:themeColor="text1"/>
        </w:rPr>
      </w:pPr>
      <w:bookmarkStart w:id="32" w:name="_Toc36552347"/>
      <w:bookmarkStart w:id="33" w:name="_Toc38951732"/>
      <w:r w:rsidRPr="0029160A">
        <w:rPr>
          <w:color w:val="000000" w:themeColor="text1"/>
        </w:rPr>
        <w:lastRenderedPageBreak/>
        <w:t>Rate Structure</w:t>
      </w:r>
      <w:bookmarkEnd w:id="32"/>
      <w:r w:rsidR="00472638" w:rsidRPr="0029160A">
        <w:rPr>
          <w:color w:val="000000" w:themeColor="text1"/>
        </w:rPr>
        <w:t>:</w:t>
      </w:r>
      <w:r w:rsidR="00C02573" w:rsidRPr="0029160A">
        <w:rPr>
          <w:rStyle w:val="FootnoteReference"/>
          <w:color w:val="000000" w:themeColor="text1"/>
        </w:rPr>
        <w:footnoteReference w:id="11"/>
      </w:r>
      <w:r w:rsidR="00472638" w:rsidRPr="0029160A">
        <w:rPr>
          <w:color w:val="000000" w:themeColor="text1"/>
        </w:rPr>
        <w:t xml:space="preserve">  Scale Back</w:t>
      </w:r>
      <w:bookmarkEnd w:id="33"/>
    </w:p>
    <w:p w14:paraId="112FF20C" w14:textId="77777777" w:rsidR="00461A7E" w:rsidRPr="0029160A" w:rsidRDefault="00461A7E">
      <w:pPr>
        <w:keepNext/>
        <w:keepLines/>
        <w:widowControl/>
        <w:spacing w:line="360" w:lineRule="auto"/>
        <w:rPr>
          <w:color w:val="000000" w:themeColor="text1"/>
        </w:rPr>
      </w:pPr>
    </w:p>
    <w:p w14:paraId="77656EC7" w14:textId="04E4BBE9" w:rsidR="00E236F7" w:rsidRPr="0029160A" w:rsidRDefault="00C02573">
      <w:pPr>
        <w:widowControl/>
        <w:spacing w:line="360" w:lineRule="auto"/>
        <w:ind w:firstLine="1440"/>
        <w:rPr>
          <w:color w:val="000000" w:themeColor="text1"/>
        </w:rPr>
      </w:pPr>
      <w:r w:rsidRPr="0029160A">
        <w:rPr>
          <w:color w:val="000000" w:themeColor="text1"/>
        </w:rPr>
        <w:t>In the R.D., the ALJs explained that</w:t>
      </w:r>
      <w:r w:rsidR="00F448F2" w:rsidRPr="0029160A">
        <w:rPr>
          <w:color w:val="000000" w:themeColor="text1"/>
        </w:rPr>
        <w:t xml:space="preserve"> the</w:t>
      </w:r>
      <w:r w:rsidRPr="0029160A">
        <w:rPr>
          <w:color w:val="000000" w:themeColor="text1"/>
        </w:rPr>
        <w:t xml:space="preserve"> e</w:t>
      </w:r>
      <w:r w:rsidR="002D10C5" w:rsidRPr="0029160A">
        <w:rPr>
          <w:color w:val="000000" w:themeColor="text1"/>
        </w:rPr>
        <w:t xml:space="preserve">stablishment of a rate structure is an administrative function peculiarly within the expertise of the Commission.  </w:t>
      </w:r>
      <w:r w:rsidR="00A30174" w:rsidRPr="0029160A">
        <w:rPr>
          <w:color w:val="000000" w:themeColor="text1"/>
        </w:rPr>
        <w:t xml:space="preserve">R.D. at 87 (citing </w:t>
      </w:r>
      <w:r w:rsidR="002D10C5" w:rsidRPr="0029160A">
        <w:rPr>
          <w:i/>
          <w:color w:val="000000" w:themeColor="text1"/>
        </w:rPr>
        <w:t>Emporium Water Company v. Pa. P</w:t>
      </w:r>
      <w:r w:rsidR="00A30174" w:rsidRPr="0029160A">
        <w:rPr>
          <w:i/>
          <w:color w:val="000000" w:themeColor="text1"/>
        </w:rPr>
        <w:t>UC</w:t>
      </w:r>
      <w:r w:rsidR="002D10C5" w:rsidRPr="0029160A">
        <w:rPr>
          <w:iCs/>
          <w:color w:val="000000" w:themeColor="text1"/>
        </w:rPr>
        <w:t>,</w:t>
      </w:r>
      <w:r w:rsidR="002D10C5" w:rsidRPr="0029160A">
        <w:rPr>
          <w:i/>
          <w:color w:val="000000" w:themeColor="text1"/>
        </w:rPr>
        <w:t xml:space="preserve"> </w:t>
      </w:r>
      <w:r w:rsidR="002D10C5" w:rsidRPr="0029160A">
        <w:rPr>
          <w:color w:val="000000" w:themeColor="text1"/>
        </w:rPr>
        <w:t xml:space="preserve">955 A.2d 456, 461 (Pa. Cmwlth. 2008); </w:t>
      </w:r>
      <w:r w:rsidR="002D10C5" w:rsidRPr="0029160A">
        <w:rPr>
          <w:i/>
          <w:color w:val="000000" w:themeColor="text1"/>
        </w:rPr>
        <w:t>City of Lancaster v. Pa. P</w:t>
      </w:r>
      <w:r w:rsidR="00A30174" w:rsidRPr="0029160A">
        <w:rPr>
          <w:i/>
          <w:color w:val="000000" w:themeColor="text1"/>
        </w:rPr>
        <w:t>UC</w:t>
      </w:r>
      <w:r w:rsidR="002D10C5" w:rsidRPr="0029160A">
        <w:rPr>
          <w:color w:val="000000" w:themeColor="text1"/>
        </w:rPr>
        <w:t>, 769 A.2d 567, 571-72 (Pa. Cmwlth. 2001)</w:t>
      </w:r>
      <w:r w:rsidR="00A30174" w:rsidRPr="0029160A">
        <w:rPr>
          <w:color w:val="000000" w:themeColor="text1"/>
        </w:rPr>
        <w:t>)</w:t>
      </w:r>
      <w:r w:rsidR="002D10C5" w:rsidRPr="0029160A">
        <w:rPr>
          <w:color w:val="000000" w:themeColor="text1"/>
        </w:rPr>
        <w:t>.  The question of reasonableness of rates and the difference between rates in their respective classes is an administrative question for the Commission to decide.</w:t>
      </w:r>
      <w:r w:rsidR="00A30174" w:rsidRPr="0029160A">
        <w:rPr>
          <w:color w:val="000000" w:themeColor="text1"/>
        </w:rPr>
        <w:t xml:space="preserve">  R.D. at 87 (citing</w:t>
      </w:r>
      <w:r w:rsidR="002D10C5" w:rsidRPr="0029160A">
        <w:rPr>
          <w:color w:val="000000" w:themeColor="text1"/>
        </w:rPr>
        <w:t xml:space="preserve"> </w:t>
      </w:r>
      <w:r w:rsidR="002D10C5" w:rsidRPr="0029160A">
        <w:rPr>
          <w:i/>
          <w:color w:val="000000" w:themeColor="text1"/>
        </w:rPr>
        <w:t>Pa. Power &amp; Light Co. v. Pa. P</w:t>
      </w:r>
      <w:r w:rsidR="00A30174" w:rsidRPr="0029160A">
        <w:rPr>
          <w:i/>
          <w:color w:val="000000" w:themeColor="text1"/>
        </w:rPr>
        <w:t>UC</w:t>
      </w:r>
      <w:r w:rsidR="002D10C5" w:rsidRPr="0029160A">
        <w:rPr>
          <w:iCs/>
          <w:color w:val="000000" w:themeColor="text1"/>
        </w:rPr>
        <w:t>,</w:t>
      </w:r>
      <w:r w:rsidR="002D10C5" w:rsidRPr="0029160A">
        <w:rPr>
          <w:i/>
          <w:color w:val="000000" w:themeColor="text1"/>
        </w:rPr>
        <w:t xml:space="preserve"> </w:t>
      </w:r>
      <w:r w:rsidR="002D10C5" w:rsidRPr="0029160A">
        <w:rPr>
          <w:color w:val="000000" w:themeColor="text1"/>
        </w:rPr>
        <w:t xml:space="preserve">516 A.2d 426 (Pa. Cmwlth. 1986); </w:t>
      </w:r>
      <w:r w:rsidR="002D10C5" w:rsidRPr="0029160A">
        <w:rPr>
          <w:i/>
          <w:color w:val="000000" w:themeColor="text1"/>
        </w:rPr>
        <w:t>Park Towne v. Pa. P</w:t>
      </w:r>
      <w:r w:rsidR="00A30174" w:rsidRPr="0029160A">
        <w:rPr>
          <w:i/>
          <w:color w:val="000000" w:themeColor="text1"/>
        </w:rPr>
        <w:t>UC</w:t>
      </w:r>
      <w:r w:rsidR="002D10C5" w:rsidRPr="0029160A">
        <w:rPr>
          <w:iCs/>
          <w:color w:val="000000" w:themeColor="text1"/>
        </w:rPr>
        <w:t>,</w:t>
      </w:r>
      <w:r w:rsidR="002D10C5" w:rsidRPr="0029160A">
        <w:rPr>
          <w:i/>
          <w:color w:val="000000" w:themeColor="text1"/>
        </w:rPr>
        <w:t xml:space="preserve"> </w:t>
      </w:r>
      <w:r w:rsidR="002D10C5" w:rsidRPr="0029160A">
        <w:rPr>
          <w:color w:val="000000" w:themeColor="text1"/>
        </w:rPr>
        <w:t>43</w:t>
      </w:r>
      <w:r w:rsidR="006C5BBA" w:rsidRPr="0029160A">
        <w:rPr>
          <w:color w:val="000000" w:themeColor="text1"/>
        </w:rPr>
        <w:t> </w:t>
      </w:r>
      <w:r w:rsidR="002D10C5" w:rsidRPr="0029160A">
        <w:rPr>
          <w:color w:val="000000" w:themeColor="text1"/>
        </w:rPr>
        <w:t>A.2d 610 (Pa. Super. 1981)</w:t>
      </w:r>
      <w:r w:rsidR="00A30174" w:rsidRPr="0029160A">
        <w:rPr>
          <w:color w:val="000000" w:themeColor="text1"/>
        </w:rPr>
        <w:t>)</w:t>
      </w:r>
      <w:r w:rsidR="002D10C5" w:rsidRPr="0029160A">
        <w:rPr>
          <w:color w:val="000000" w:themeColor="text1"/>
        </w:rPr>
        <w:t>.  This is further refined by the Electric Competition Act</w:t>
      </w:r>
      <w:r w:rsidR="00F448F2" w:rsidRPr="0029160A">
        <w:rPr>
          <w:color w:val="000000" w:themeColor="text1"/>
        </w:rPr>
        <w:t xml:space="preserve">.  R.D. at 87 (citing </w:t>
      </w:r>
      <w:r w:rsidR="002D10C5" w:rsidRPr="0029160A">
        <w:rPr>
          <w:color w:val="000000" w:themeColor="text1"/>
        </w:rPr>
        <w:t xml:space="preserve">66 Pa. C.S. § 2801 </w:t>
      </w:r>
      <w:r w:rsidR="002D10C5" w:rsidRPr="0029160A">
        <w:rPr>
          <w:i/>
          <w:color w:val="000000" w:themeColor="text1"/>
        </w:rPr>
        <w:t>et seq.</w:t>
      </w:r>
      <w:r w:rsidR="002D10C5" w:rsidRPr="0029160A">
        <w:rPr>
          <w:iCs/>
          <w:color w:val="000000" w:themeColor="text1"/>
        </w:rPr>
        <w:t>,</w:t>
      </w:r>
      <w:r w:rsidR="002D10C5" w:rsidRPr="0029160A">
        <w:rPr>
          <w:color w:val="000000" w:themeColor="text1"/>
        </w:rPr>
        <w:t xml:space="preserve"> and </w:t>
      </w:r>
      <w:r w:rsidR="002D10C5" w:rsidRPr="0029160A">
        <w:rPr>
          <w:i/>
          <w:iCs/>
          <w:color w:val="000000" w:themeColor="text1"/>
        </w:rPr>
        <w:t>Lloyd v. Pa. PUC</w:t>
      </w:r>
      <w:r w:rsidR="002D10C5" w:rsidRPr="0029160A">
        <w:rPr>
          <w:color w:val="000000" w:themeColor="text1"/>
        </w:rPr>
        <w:t>, 904 A</w:t>
      </w:r>
      <w:r w:rsidR="00414EB7" w:rsidRPr="0029160A">
        <w:rPr>
          <w:color w:val="000000" w:themeColor="text1"/>
        </w:rPr>
        <w:t>.</w:t>
      </w:r>
      <w:r w:rsidR="002D10C5" w:rsidRPr="0029160A">
        <w:rPr>
          <w:color w:val="000000" w:themeColor="text1"/>
        </w:rPr>
        <w:t>2d 1010 (Pa.</w:t>
      </w:r>
      <w:r w:rsidR="006C5BBA" w:rsidRPr="0029160A">
        <w:rPr>
          <w:color w:val="000000" w:themeColor="text1"/>
        </w:rPr>
        <w:t> </w:t>
      </w:r>
      <w:r w:rsidR="002D10C5" w:rsidRPr="0029160A">
        <w:rPr>
          <w:color w:val="000000" w:themeColor="text1"/>
        </w:rPr>
        <w:t>Cmwlth. 2006) (</w:t>
      </w:r>
      <w:r w:rsidR="002D10C5" w:rsidRPr="0029160A">
        <w:rPr>
          <w:i/>
          <w:iCs/>
          <w:color w:val="000000" w:themeColor="text1"/>
        </w:rPr>
        <w:t>Lloyd</w:t>
      </w:r>
      <w:r w:rsidR="002D10C5" w:rsidRPr="0029160A">
        <w:rPr>
          <w:color w:val="000000" w:themeColor="text1"/>
        </w:rPr>
        <w:t>)</w:t>
      </w:r>
      <w:r w:rsidR="00F448F2" w:rsidRPr="0029160A">
        <w:rPr>
          <w:color w:val="000000" w:themeColor="text1"/>
        </w:rPr>
        <w:t>)</w:t>
      </w:r>
      <w:r w:rsidR="002D10C5" w:rsidRPr="0029160A">
        <w:rPr>
          <w:color w:val="000000" w:themeColor="text1"/>
        </w:rPr>
        <w:t>.</w:t>
      </w:r>
    </w:p>
    <w:p w14:paraId="0957BFE2" w14:textId="77777777" w:rsidR="00DB3B73" w:rsidRPr="0029160A" w:rsidRDefault="00DB3B73">
      <w:pPr>
        <w:widowControl/>
        <w:spacing w:line="360" w:lineRule="auto"/>
        <w:ind w:firstLine="1440"/>
        <w:rPr>
          <w:color w:val="000000" w:themeColor="text1"/>
        </w:rPr>
      </w:pPr>
    </w:p>
    <w:p w14:paraId="0668F0AF" w14:textId="5A5E03D7" w:rsidR="0062614E" w:rsidRPr="0029160A" w:rsidRDefault="0062614E">
      <w:pPr>
        <w:widowControl/>
        <w:spacing w:line="360" w:lineRule="auto"/>
        <w:ind w:firstLine="1440"/>
        <w:rPr>
          <w:color w:val="000000" w:themeColor="text1"/>
          <w:szCs w:val="26"/>
        </w:rPr>
      </w:pPr>
      <w:r w:rsidRPr="0029160A">
        <w:rPr>
          <w:color w:val="000000" w:themeColor="text1"/>
          <w:szCs w:val="26"/>
        </w:rPr>
        <w:t xml:space="preserve">Regarding the issue of scale back, Wellsboro recommended that, in the event the Commission ultimately approves a revenue requirement for </w:t>
      </w:r>
      <w:bookmarkStart w:id="34" w:name="_Hlk33011115"/>
      <w:r w:rsidRPr="0029160A">
        <w:rPr>
          <w:color w:val="000000" w:themeColor="text1"/>
          <w:szCs w:val="26"/>
        </w:rPr>
        <w:t>Wellsboro</w:t>
      </w:r>
      <w:bookmarkEnd w:id="34"/>
      <w:r w:rsidRPr="0029160A">
        <w:rPr>
          <w:color w:val="000000" w:themeColor="text1"/>
          <w:szCs w:val="26"/>
        </w:rPr>
        <w:t xml:space="preserve"> that is less than its full requested increase, rates for each class be scaled back based on the cost of service study approved by the Commission in a proportional manner.  R.D. at 125 (citing </w:t>
      </w:r>
      <w:r w:rsidRPr="0029160A">
        <w:rPr>
          <w:rFonts w:eastAsiaTheme="minorHAnsi"/>
          <w:color w:val="000000" w:themeColor="text1"/>
          <w:szCs w:val="26"/>
        </w:rPr>
        <w:t>Wellsboro St, No. 1-SR at 2).</w:t>
      </w:r>
      <w:r w:rsidRPr="0029160A">
        <w:rPr>
          <w:color w:val="000000" w:themeColor="text1"/>
          <w:szCs w:val="26"/>
        </w:rPr>
        <w:t xml:space="preserve">  In surrebuttal testimony, Mr. Gorman stated, </w:t>
      </w:r>
      <w:r w:rsidR="006C5BBA" w:rsidRPr="0029160A">
        <w:rPr>
          <w:color w:val="000000" w:themeColor="text1"/>
          <w:szCs w:val="26"/>
        </w:rPr>
        <w:t>“</w:t>
      </w:r>
      <w:r w:rsidRPr="0029160A">
        <w:rPr>
          <w:color w:val="000000" w:themeColor="text1"/>
          <w:szCs w:val="26"/>
        </w:rPr>
        <w:t>[T]he Company</w:t>
      </w:r>
      <w:r w:rsidR="006C5BBA" w:rsidRPr="0029160A">
        <w:rPr>
          <w:color w:val="000000" w:themeColor="text1"/>
          <w:szCs w:val="26"/>
        </w:rPr>
        <w:t>’</w:t>
      </w:r>
      <w:r w:rsidRPr="0029160A">
        <w:rPr>
          <w:color w:val="000000" w:themeColor="text1"/>
          <w:szCs w:val="26"/>
        </w:rPr>
        <w:t>s position on revenue allocation applies with equal force, in the event of a scale back</w:t>
      </w:r>
      <w:r w:rsidRPr="0029160A">
        <w:rPr>
          <w:i/>
          <w:iCs/>
          <w:color w:val="000000" w:themeColor="text1"/>
          <w:szCs w:val="26"/>
        </w:rPr>
        <w:t>.</w:t>
      </w:r>
      <w:r w:rsidR="006C5BBA" w:rsidRPr="0029160A">
        <w:rPr>
          <w:color w:val="000000" w:themeColor="text1"/>
          <w:szCs w:val="26"/>
        </w:rPr>
        <w:t>”</w:t>
      </w:r>
      <w:r w:rsidRPr="0029160A">
        <w:rPr>
          <w:i/>
          <w:iCs/>
          <w:color w:val="000000" w:themeColor="text1"/>
          <w:szCs w:val="26"/>
        </w:rPr>
        <w:t xml:space="preserve">  </w:t>
      </w:r>
      <w:bookmarkStart w:id="35" w:name="_Hlk33011179"/>
      <w:r w:rsidRPr="0029160A">
        <w:rPr>
          <w:i/>
          <w:iCs/>
          <w:color w:val="000000" w:themeColor="text1"/>
          <w:szCs w:val="26"/>
        </w:rPr>
        <w:t>Id.</w:t>
      </w:r>
      <w:bookmarkEnd w:id="35"/>
      <w:r w:rsidR="00D0329D" w:rsidRPr="0029160A">
        <w:rPr>
          <w:i/>
          <w:color w:val="000000" w:themeColor="text1"/>
        </w:rPr>
        <w:t xml:space="preserve"> </w:t>
      </w:r>
      <w:r w:rsidR="00D0329D" w:rsidRPr="0029160A">
        <w:rPr>
          <w:color w:val="000000" w:themeColor="text1"/>
        </w:rPr>
        <w:t xml:space="preserve"> </w:t>
      </w:r>
      <w:r w:rsidRPr="0029160A">
        <w:rPr>
          <w:color w:val="000000" w:themeColor="text1"/>
          <w:szCs w:val="26"/>
        </w:rPr>
        <w:t xml:space="preserve">This includes a proportional scale back of both increases and decreases.  </w:t>
      </w:r>
      <w:r w:rsidRPr="0029160A">
        <w:rPr>
          <w:i/>
          <w:iCs/>
          <w:color w:val="000000" w:themeColor="text1"/>
          <w:szCs w:val="26"/>
        </w:rPr>
        <w:t xml:space="preserve">Id.  </w:t>
      </w:r>
      <w:r w:rsidRPr="0029160A">
        <w:rPr>
          <w:color w:val="000000" w:themeColor="text1"/>
          <w:szCs w:val="26"/>
        </w:rPr>
        <w:t>Wellsboro argue</w:t>
      </w:r>
      <w:r w:rsidR="00F448F2" w:rsidRPr="0029160A">
        <w:rPr>
          <w:color w:val="000000" w:themeColor="text1"/>
          <w:szCs w:val="26"/>
        </w:rPr>
        <w:t>d</w:t>
      </w:r>
      <w:r w:rsidRPr="0029160A">
        <w:rPr>
          <w:color w:val="000000" w:themeColor="text1"/>
          <w:szCs w:val="26"/>
        </w:rPr>
        <w:t xml:space="preserve"> that its </w:t>
      </w:r>
      <w:r w:rsidRPr="0029160A">
        <w:rPr>
          <w:rFonts w:eastAsiaTheme="minorHAnsi"/>
          <w:color w:val="000000" w:themeColor="text1"/>
          <w:szCs w:val="26"/>
        </w:rPr>
        <w:t>recommendation of a proportionate scale back is consistent with cost-causation principles. Wellsboro has proposed to move each class closer to its actual cost to serve and argue</w:t>
      </w:r>
      <w:r w:rsidR="00F448F2" w:rsidRPr="0029160A">
        <w:rPr>
          <w:rFonts w:eastAsiaTheme="minorHAnsi"/>
          <w:color w:val="000000" w:themeColor="text1"/>
          <w:szCs w:val="26"/>
        </w:rPr>
        <w:t>d</w:t>
      </w:r>
      <w:r w:rsidRPr="0029160A">
        <w:rPr>
          <w:rFonts w:eastAsiaTheme="minorHAnsi"/>
          <w:color w:val="000000" w:themeColor="text1"/>
          <w:szCs w:val="26"/>
        </w:rPr>
        <w:t xml:space="preserve"> that to preserve this movement, a proportionate scale back, including to rate decreases, is appropriate.  Wellsboro request</w:t>
      </w:r>
      <w:r w:rsidR="00F448F2" w:rsidRPr="0029160A">
        <w:rPr>
          <w:rFonts w:eastAsiaTheme="minorHAnsi"/>
          <w:color w:val="000000" w:themeColor="text1"/>
          <w:szCs w:val="26"/>
        </w:rPr>
        <w:t>ed</w:t>
      </w:r>
      <w:r w:rsidRPr="0029160A">
        <w:rPr>
          <w:rFonts w:eastAsiaTheme="minorHAnsi"/>
          <w:color w:val="000000" w:themeColor="text1"/>
          <w:szCs w:val="26"/>
        </w:rPr>
        <w:t xml:space="preserve"> that any scale back of rates should be proportionate based on the allocated cost of service study methodology </w:t>
      </w:r>
      <w:r w:rsidRPr="0029160A">
        <w:rPr>
          <w:rFonts w:eastAsiaTheme="minorHAnsi"/>
          <w:color w:val="000000" w:themeColor="text1"/>
          <w:szCs w:val="26"/>
        </w:rPr>
        <w:lastRenderedPageBreak/>
        <w:t>accepted by the Commission and updated to reflect the revenue requirement authorized by the Commission.</w:t>
      </w:r>
    </w:p>
    <w:p w14:paraId="02E62A2B" w14:textId="77777777" w:rsidR="0062614E" w:rsidRPr="0029160A" w:rsidRDefault="0062614E">
      <w:pPr>
        <w:widowControl/>
        <w:spacing w:line="360" w:lineRule="auto"/>
        <w:rPr>
          <w:rFonts w:eastAsiaTheme="minorHAnsi"/>
          <w:color w:val="000000" w:themeColor="text1"/>
          <w:szCs w:val="26"/>
        </w:rPr>
      </w:pPr>
    </w:p>
    <w:p w14:paraId="52EC56C3" w14:textId="0AF3ACAF" w:rsidR="0062614E" w:rsidRPr="0029160A" w:rsidRDefault="0062614E">
      <w:pPr>
        <w:widowControl/>
        <w:spacing w:line="360" w:lineRule="auto"/>
        <w:rPr>
          <w:rFonts w:eastAsiaTheme="minorHAnsi"/>
          <w:color w:val="000000" w:themeColor="text1"/>
          <w:szCs w:val="26"/>
        </w:rPr>
      </w:pPr>
      <w:r w:rsidRPr="0029160A">
        <w:rPr>
          <w:color w:val="000000" w:themeColor="text1"/>
          <w:szCs w:val="26"/>
        </w:rPr>
        <w:tab/>
      </w:r>
      <w:r w:rsidRPr="0029160A">
        <w:rPr>
          <w:color w:val="000000" w:themeColor="text1"/>
          <w:szCs w:val="26"/>
        </w:rPr>
        <w:tab/>
        <w:t xml:space="preserve">I&amp;E, the OCA and the OSBA each proposed modifications to Wellsboro’s scale back proposal.  R.D. at 126-128 (summarizing each Party’s position in detail).  In summary, </w:t>
      </w:r>
      <w:r w:rsidRPr="0029160A">
        <w:rPr>
          <w:rFonts w:eastAsiaTheme="minorHAnsi"/>
          <w:color w:val="000000" w:themeColor="text1"/>
          <w:szCs w:val="26"/>
        </w:rPr>
        <w:t>I&amp;E requested a proportionate scale back based on the Commission's final approved cost of service study, with the exception that only those customer charges, usage rates, and rate classes that received a proposed increase should be scaled back.</w:t>
      </w:r>
      <w:r w:rsidR="00153B3B" w:rsidRPr="0029160A">
        <w:rPr>
          <w:rFonts w:eastAsiaTheme="minorHAnsi"/>
          <w:color w:val="000000" w:themeColor="text1"/>
          <w:szCs w:val="26"/>
        </w:rPr>
        <w:t xml:space="preserve">  </w:t>
      </w:r>
      <w:r w:rsidRPr="0029160A">
        <w:rPr>
          <w:rFonts w:eastAsiaTheme="minorHAnsi"/>
          <w:color w:val="000000" w:themeColor="text1"/>
          <w:szCs w:val="26"/>
        </w:rPr>
        <w:t>R.D. at 126 (citing I&amp;E St. 3-SR at 17).  The OCA proposed a proportionate scale back limited to the increase for each rate class.  R.D. at 126 (citing OCA St. 4 at</w:t>
      </w:r>
      <w:r w:rsidR="006C5BBA" w:rsidRPr="0029160A">
        <w:rPr>
          <w:rFonts w:eastAsiaTheme="minorHAnsi"/>
          <w:color w:val="000000" w:themeColor="text1"/>
          <w:szCs w:val="26"/>
        </w:rPr>
        <w:t> </w:t>
      </w:r>
      <w:r w:rsidRPr="0029160A">
        <w:rPr>
          <w:rFonts w:eastAsiaTheme="minorHAnsi"/>
          <w:color w:val="000000" w:themeColor="text1"/>
          <w:szCs w:val="26"/>
        </w:rPr>
        <w:t>19).  The OSBA recommended that scale backs be done proportionately to the recommended increases in Schedule BK-3</w:t>
      </w:r>
      <w:r w:rsidR="00ED3A7E">
        <w:rPr>
          <w:rFonts w:eastAsiaTheme="minorHAnsi"/>
          <w:color w:val="000000" w:themeColor="text1"/>
          <w:szCs w:val="26"/>
        </w:rPr>
        <w:t xml:space="preserve"> </w:t>
      </w:r>
      <w:r w:rsidRPr="0029160A">
        <w:rPr>
          <w:rFonts w:eastAsiaTheme="minorHAnsi"/>
          <w:color w:val="000000" w:themeColor="text1"/>
          <w:szCs w:val="26"/>
        </w:rPr>
        <w:t>(W), with the exception of Rate Class</w:t>
      </w:r>
      <w:r w:rsidR="00D22546" w:rsidRPr="0029160A">
        <w:rPr>
          <w:rFonts w:eastAsiaTheme="minorHAnsi"/>
          <w:color w:val="000000" w:themeColor="text1"/>
          <w:szCs w:val="26"/>
        </w:rPr>
        <w:t>es</w:t>
      </w:r>
      <w:r w:rsidRPr="0029160A">
        <w:rPr>
          <w:rFonts w:eastAsiaTheme="minorHAnsi"/>
          <w:color w:val="000000" w:themeColor="text1"/>
          <w:szCs w:val="26"/>
        </w:rPr>
        <w:t xml:space="preserve"> Class </w:t>
      </w:r>
      <w:r w:rsidR="00C550EE" w:rsidRPr="0029160A">
        <w:rPr>
          <w:rFonts w:eastAsiaTheme="minorHAnsi"/>
          <w:color w:val="000000" w:themeColor="text1"/>
          <w:szCs w:val="26"/>
        </w:rPr>
        <w:t>Residential Service – All Electric (</w:t>
      </w:r>
      <w:r w:rsidRPr="0029160A">
        <w:rPr>
          <w:rFonts w:eastAsiaTheme="minorHAnsi"/>
          <w:color w:val="000000" w:themeColor="text1"/>
          <w:szCs w:val="26"/>
        </w:rPr>
        <w:t>RSAE</w:t>
      </w:r>
      <w:r w:rsidR="00C550EE" w:rsidRPr="0029160A">
        <w:rPr>
          <w:rFonts w:eastAsiaTheme="minorHAnsi"/>
          <w:color w:val="000000" w:themeColor="text1"/>
          <w:szCs w:val="26"/>
        </w:rPr>
        <w:t>)</w:t>
      </w:r>
      <w:r w:rsidRPr="0029160A">
        <w:rPr>
          <w:rFonts w:eastAsiaTheme="minorHAnsi"/>
          <w:color w:val="000000" w:themeColor="text1"/>
          <w:szCs w:val="26"/>
        </w:rPr>
        <w:t xml:space="preserve">, </w:t>
      </w:r>
      <w:r w:rsidR="00CF4832" w:rsidRPr="0029160A">
        <w:rPr>
          <w:color w:val="000000" w:themeColor="text1"/>
          <w:szCs w:val="26"/>
        </w:rPr>
        <w:t>Rates Non-Residential Space Heating (</w:t>
      </w:r>
      <w:r w:rsidRPr="0029160A">
        <w:rPr>
          <w:rFonts w:eastAsiaTheme="minorHAnsi"/>
          <w:color w:val="000000" w:themeColor="text1"/>
          <w:szCs w:val="26"/>
        </w:rPr>
        <w:t>NRH</w:t>
      </w:r>
      <w:r w:rsidR="00CF4832" w:rsidRPr="0029160A">
        <w:rPr>
          <w:rFonts w:eastAsiaTheme="minorHAnsi"/>
          <w:color w:val="000000" w:themeColor="text1"/>
          <w:szCs w:val="26"/>
        </w:rPr>
        <w:t>)</w:t>
      </w:r>
      <w:r w:rsidRPr="0029160A">
        <w:rPr>
          <w:rFonts w:eastAsiaTheme="minorHAnsi"/>
          <w:color w:val="000000" w:themeColor="text1"/>
          <w:szCs w:val="26"/>
        </w:rPr>
        <w:t xml:space="preserve">, and </w:t>
      </w:r>
      <w:r w:rsidR="00CF4832" w:rsidRPr="0029160A">
        <w:rPr>
          <w:color w:val="000000" w:themeColor="text1"/>
          <w:szCs w:val="26"/>
        </w:rPr>
        <w:t>Commercial Service Space Heaters (</w:t>
      </w:r>
      <w:r w:rsidRPr="0029160A">
        <w:rPr>
          <w:rFonts w:eastAsiaTheme="minorHAnsi"/>
          <w:color w:val="000000" w:themeColor="text1"/>
          <w:szCs w:val="26"/>
        </w:rPr>
        <w:t>CSH</w:t>
      </w:r>
      <w:r w:rsidR="00CF4832" w:rsidRPr="0029160A">
        <w:rPr>
          <w:rFonts w:eastAsiaTheme="minorHAnsi"/>
          <w:color w:val="000000" w:themeColor="text1"/>
          <w:szCs w:val="26"/>
        </w:rPr>
        <w:t>)</w:t>
      </w:r>
      <w:r w:rsidRPr="0029160A">
        <w:rPr>
          <w:rFonts w:eastAsiaTheme="minorHAnsi"/>
          <w:color w:val="000000" w:themeColor="text1"/>
          <w:szCs w:val="26"/>
        </w:rPr>
        <w:t xml:space="preserve">, which </w:t>
      </w:r>
      <w:r w:rsidR="008F62B8" w:rsidRPr="0029160A">
        <w:rPr>
          <w:rFonts w:eastAsiaTheme="minorHAnsi"/>
          <w:color w:val="000000" w:themeColor="text1"/>
          <w:szCs w:val="26"/>
        </w:rPr>
        <w:t xml:space="preserve">the </w:t>
      </w:r>
      <w:r w:rsidRPr="0029160A">
        <w:rPr>
          <w:rFonts w:eastAsiaTheme="minorHAnsi"/>
          <w:color w:val="000000" w:themeColor="text1"/>
          <w:szCs w:val="26"/>
        </w:rPr>
        <w:t>OSBA recommended be excluded from any scale back.  R.D. at 126 (citing OSBA St. 1 at 9).</w:t>
      </w:r>
      <w:r w:rsidR="00153B3B" w:rsidRPr="0029160A">
        <w:rPr>
          <w:rFonts w:eastAsiaTheme="minorHAnsi"/>
          <w:color w:val="000000" w:themeColor="text1"/>
          <w:szCs w:val="26"/>
        </w:rPr>
        <w:t xml:space="preserve">  </w:t>
      </w:r>
    </w:p>
    <w:p w14:paraId="4FC957F3" w14:textId="77777777" w:rsidR="0062614E" w:rsidRPr="0029160A" w:rsidRDefault="0062614E">
      <w:pPr>
        <w:widowControl/>
        <w:spacing w:line="360" w:lineRule="auto"/>
        <w:rPr>
          <w:rFonts w:eastAsiaTheme="minorHAnsi"/>
          <w:color w:val="000000" w:themeColor="text1"/>
          <w:szCs w:val="26"/>
        </w:rPr>
      </w:pPr>
    </w:p>
    <w:p w14:paraId="7A3FDF57" w14:textId="083C135F" w:rsidR="0062614E" w:rsidRPr="0029160A" w:rsidRDefault="0062614E">
      <w:pPr>
        <w:widowControl/>
        <w:spacing w:line="360" w:lineRule="auto"/>
        <w:ind w:firstLine="1440"/>
        <w:rPr>
          <w:rFonts w:eastAsiaTheme="minorHAnsi"/>
          <w:color w:val="000000" w:themeColor="text1"/>
          <w:szCs w:val="26"/>
        </w:rPr>
      </w:pPr>
      <w:r w:rsidRPr="0029160A">
        <w:rPr>
          <w:rFonts w:eastAsiaTheme="minorHAnsi"/>
          <w:color w:val="000000" w:themeColor="text1"/>
          <w:szCs w:val="26"/>
        </w:rPr>
        <w:t>The ALJs noted that a</w:t>
      </w:r>
      <w:r w:rsidRPr="0029160A">
        <w:rPr>
          <w:color w:val="000000" w:themeColor="text1"/>
          <w:szCs w:val="26"/>
        </w:rPr>
        <w:t>ll of the Parties generally agree that any scale</w:t>
      </w:r>
      <w:r w:rsidR="00201B1C" w:rsidRPr="0029160A">
        <w:rPr>
          <w:color w:val="000000" w:themeColor="text1"/>
          <w:szCs w:val="26"/>
        </w:rPr>
        <w:t xml:space="preserve"> </w:t>
      </w:r>
      <w:r w:rsidRPr="0029160A">
        <w:rPr>
          <w:color w:val="000000" w:themeColor="text1"/>
          <w:szCs w:val="26"/>
        </w:rPr>
        <w:t xml:space="preserve">back which may occur should be proportionate.  R.D. at 128.  The ALJs expressed agreement with: (1) Wellsboro, in </w:t>
      </w:r>
      <w:r w:rsidRPr="0029160A">
        <w:rPr>
          <w:rFonts w:eastAsiaTheme="minorHAnsi" w:cstheme="minorBidi"/>
          <w:color w:val="000000" w:themeColor="text1"/>
          <w:szCs w:val="26"/>
        </w:rPr>
        <w:t>that any scale back of rates should be proportionate based on the allocated cost of service study methodology; and (2) the OCA and I&amp;E, regarding a proportionate scale back for each rate class, including the customer charge.  R.D. at 128.</w:t>
      </w:r>
    </w:p>
    <w:p w14:paraId="7F67F32E" w14:textId="77777777" w:rsidR="0062614E" w:rsidRPr="0029160A" w:rsidRDefault="0062614E">
      <w:pPr>
        <w:widowControl/>
        <w:spacing w:line="360" w:lineRule="auto"/>
        <w:ind w:firstLine="1440"/>
        <w:rPr>
          <w:rFonts w:eastAsiaTheme="minorHAnsi" w:cstheme="minorBidi"/>
          <w:color w:val="000000" w:themeColor="text1"/>
          <w:szCs w:val="26"/>
        </w:rPr>
      </w:pPr>
    </w:p>
    <w:p w14:paraId="51E91F2D" w14:textId="77777777" w:rsidR="007C27FF" w:rsidRPr="0029160A" w:rsidRDefault="0062614E">
      <w:pPr>
        <w:widowControl/>
        <w:spacing w:line="360" w:lineRule="auto"/>
        <w:ind w:firstLine="1440"/>
        <w:rPr>
          <w:rFonts w:eastAsiaTheme="minorHAnsi"/>
          <w:color w:val="000000" w:themeColor="text1"/>
          <w:szCs w:val="26"/>
        </w:rPr>
      </w:pPr>
      <w:r w:rsidRPr="0029160A">
        <w:rPr>
          <w:rFonts w:eastAsiaTheme="minorHAnsi" w:cstheme="minorBidi"/>
          <w:color w:val="000000" w:themeColor="text1"/>
          <w:szCs w:val="26"/>
        </w:rPr>
        <w:t>The ALJs rejected the OSBA’s argument that the RSAE, NRH, and CSH rate classes would move away from the cost of service and should be excluded from any scale back.  Instead, the ALJs agreed with the OCA and I&amp;E that these rate classes should not be totally excluded.</w:t>
      </w:r>
      <w:r w:rsidRPr="0029160A">
        <w:rPr>
          <w:rFonts w:eastAsiaTheme="minorHAnsi"/>
          <w:color w:val="000000" w:themeColor="text1"/>
          <w:szCs w:val="26"/>
        </w:rPr>
        <w:t xml:space="preserve">  In support, the ALJs noted that any</w:t>
      </w:r>
      <w:r w:rsidRPr="0029160A">
        <w:rPr>
          <w:rFonts w:eastAsiaTheme="minorHAnsi" w:cstheme="minorBidi"/>
          <w:color w:val="000000" w:themeColor="text1"/>
          <w:szCs w:val="26"/>
        </w:rPr>
        <w:t xml:space="preserve"> movement to or further away from the cost of service is not the only basis to evaluate a proposed revenue distribution and that the RSAE, NRH, and CSH rate classes represent less than 1.0 percent of Wellsboro’s total cost of service.  Therefore, any scale back of the increases </w:t>
      </w:r>
      <w:r w:rsidRPr="0029160A">
        <w:rPr>
          <w:rFonts w:eastAsiaTheme="minorHAnsi" w:cstheme="minorBidi"/>
          <w:color w:val="000000" w:themeColor="text1"/>
          <w:szCs w:val="26"/>
        </w:rPr>
        <w:lastRenderedPageBreak/>
        <w:t>initially proposed for each of these three rate classes would likely have a minimal impact on the rates of the other rate classes served by Wellsboro.  R.D. at 128-129.</w:t>
      </w:r>
      <w:r w:rsidR="007C27FF" w:rsidRPr="0029160A">
        <w:rPr>
          <w:rFonts w:eastAsiaTheme="minorHAnsi"/>
          <w:color w:val="000000" w:themeColor="text1"/>
          <w:szCs w:val="26"/>
        </w:rPr>
        <w:t xml:space="preserve">  </w:t>
      </w:r>
      <w:r w:rsidRPr="0029160A">
        <w:rPr>
          <w:rFonts w:eastAsiaTheme="minorHAnsi"/>
          <w:color w:val="000000" w:themeColor="text1"/>
          <w:szCs w:val="26"/>
        </w:rPr>
        <w:t xml:space="preserve">The ALJs also noted that a proportionate scale back of rates based upon the cost of service study is appropriate only if they received a proposed increase, stating that “the concept of class cost of service is the ‘polestar’ of utility ratemaking.”  R.D. at 129.  Therefore, the ALJs agreed with I&amp;E that making even a little progress towards cost of service (rather than moving further away) is a reasonable basis to include these rate classes in a scale back.  </w:t>
      </w:r>
      <w:r w:rsidR="007C27FF" w:rsidRPr="0029160A">
        <w:rPr>
          <w:rFonts w:eastAsiaTheme="minorHAnsi"/>
          <w:color w:val="000000" w:themeColor="text1"/>
          <w:szCs w:val="26"/>
        </w:rPr>
        <w:t>R.D. at 129.</w:t>
      </w:r>
    </w:p>
    <w:p w14:paraId="775DD7BD" w14:textId="77777777" w:rsidR="007C27FF" w:rsidRPr="0029160A" w:rsidRDefault="007C27FF">
      <w:pPr>
        <w:widowControl/>
        <w:spacing w:line="360" w:lineRule="auto"/>
        <w:ind w:firstLine="1440"/>
        <w:rPr>
          <w:rFonts w:eastAsiaTheme="minorHAnsi"/>
          <w:color w:val="000000" w:themeColor="text1"/>
          <w:szCs w:val="26"/>
        </w:rPr>
      </w:pPr>
    </w:p>
    <w:p w14:paraId="662A580E" w14:textId="77777777" w:rsidR="00DB3B73" w:rsidRPr="0029160A" w:rsidRDefault="007C27FF">
      <w:pPr>
        <w:widowControl/>
        <w:spacing w:line="360" w:lineRule="auto"/>
        <w:ind w:firstLine="1440"/>
        <w:rPr>
          <w:rFonts w:eastAsiaTheme="minorHAnsi"/>
          <w:color w:val="000000" w:themeColor="text1"/>
          <w:szCs w:val="26"/>
        </w:rPr>
      </w:pPr>
      <w:r w:rsidRPr="0029160A">
        <w:rPr>
          <w:rFonts w:eastAsiaTheme="minorHAnsi" w:cstheme="minorBidi"/>
          <w:color w:val="000000" w:themeColor="text1"/>
          <w:szCs w:val="26"/>
        </w:rPr>
        <w:t>Based on the foregoing</w:t>
      </w:r>
      <w:r w:rsidR="0062614E" w:rsidRPr="0029160A">
        <w:rPr>
          <w:rFonts w:eastAsiaTheme="minorHAnsi" w:cstheme="minorBidi"/>
          <w:color w:val="000000" w:themeColor="text1"/>
          <w:szCs w:val="26"/>
        </w:rPr>
        <w:t xml:space="preserve">, the ALJs recommended </w:t>
      </w:r>
      <w:r w:rsidR="0062614E" w:rsidRPr="0029160A">
        <w:rPr>
          <w:color w:val="000000" w:themeColor="text1"/>
          <w:szCs w:val="26"/>
        </w:rPr>
        <w:t xml:space="preserve">that the Commission adopt a proportional scale back of rates based upon the </w:t>
      </w:r>
      <w:r w:rsidR="00D22546" w:rsidRPr="0029160A">
        <w:rPr>
          <w:color w:val="000000" w:themeColor="text1"/>
          <w:szCs w:val="26"/>
        </w:rPr>
        <w:t>C</w:t>
      </w:r>
      <w:r w:rsidR="0062614E" w:rsidRPr="0029160A">
        <w:rPr>
          <w:color w:val="000000" w:themeColor="text1"/>
          <w:szCs w:val="26"/>
        </w:rPr>
        <w:t xml:space="preserve">ost of </w:t>
      </w:r>
      <w:r w:rsidR="00D22546" w:rsidRPr="0029160A">
        <w:rPr>
          <w:color w:val="000000" w:themeColor="text1"/>
          <w:szCs w:val="26"/>
        </w:rPr>
        <w:t>S</w:t>
      </w:r>
      <w:r w:rsidR="0062614E" w:rsidRPr="0029160A">
        <w:rPr>
          <w:color w:val="000000" w:themeColor="text1"/>
          <w:szCs w:val="26"/>
        </w:rPr>
        <w:t xml:space="preserve">ervice </w:t>
      </w:r>
      <w:r w:rsidR="00D22546" w:rsidRPr="0029160A">
        <w:rPr>
          <w:color w:val="000000" w:themeColor="text1"/>
          <w:szCs w:val="26"/>
        </w:rPr>
        <w:t>S</w:t>
      </w:r>
      <w:r w:rsidR="0062614E" w:rsidRPr="0029160A">
        <w:rPr>
          <w:color w:val="000000" w:themeColor="text1"/>
          <w:szCs w:val="26"/>
        </w:rPr>
        <w:t>tudy and rate classes only if the</w:t>
      </w:r>
      <w:r w:rsidRPr="0029160A">
        <w:rPr>
          <w:color w:val="000000" w:themeColor="text1"/>
          <w:szCs w:val="26"/>
        </w:rPr>
        <w:t xml:space="preserve"> rate classes</w:t>
      </w:r>
      <w:r w:rsidR="0062614E" w:rsidRPr="0029160A">
        <w:rPr>
          <w:color w:val="000000" w:themeColor="text1"/>
          <w:szCs w:val="26"/>
        </w:rPr>
        <w:t xml:space="preserve"> received a proposed increase.  </w:t>
      </w:r>
      <w:r w:rsidRPr="0029160A">
        <w:rPr>
          <w:color w:val="000000" w:themeColor="text1"/>
          <w:szCs w:val="26"/>
        </w:rPr>
        <w:t xml:space="preserve">R.D. at 129.  </w:t>
      </w:r>
      <w:r w:rsidR="0062614E" w:rsidRPr="0029160A">
        <w:rPr>
          <w:color w:val="000000" w:themeColor="text1"/>
          <w:szCs w:val="26"/>
        </w:rPr>
        <w:t xml:space="preserve">The ALJs noted that they previously recommended adopting I&amp;E’s </w:t>
      </w:r>
      <w:r w:rsidR="00D22546" w:rsidRPr="0029160A">
        <w:rPr>
          <w:color w:val="000000" w:themeColor="text1"/>
          <w:szCs w:val="26"/>
        </w:rPr>
        <w:t>C</w:t>
      </w:r>
      <w:r w:rsidR="0062614E" w:rsidRPr="0029160A">
        <w:rPr>
          <w:color w:val="000000" w:themeColor="text1"/>
          <w:szCs w:val="26"/>
        </w:rPr>
        <w:t xml:space="preserve">ustomer </w:t>
      </w:r>
      <w:r w:rsidR="00D22546" w:rsidRPr="0029160A">
        <w:rPr>
          <w:color w:val="000000" w:themeColor="text1"/>
          <w:szCs w:val="26"/>
        </w:rPr>
        <w:t>C</w:t>
      </w:r>
      <w:r w:rsidR="0062614E" w:rsidRPr="0029160A">
        <w:rPr>
          <w:color w:val="000000" w:themeColor="text1"/>
          <w:szCs w:val="26"/>
        </w:rPr>
        <w:t xml:space="preserve">harge adjustment and therefore recommend adjusting the usage rate to meet class revenue requirements. </w:t>
      </w:r>
      <w:r w:rsidR="0062614E" w:rsidRPr="0029160A">
        <w:rPr>
          <w:i/>
          <w:iCs/>
          <w:color w:val="000000" w:themeColor="text1"/>
          <w:szCs w:val="26"/>
        </w:rPr>
        <w:t xml:space="preserve"> </w:t>
      </w:r>
      <w:r w:rsidRPr="0029160A">
        <w:rPr>
          <w:i/>
          <w:iCs/>
          <w:color w:val="000000" w:themeColor="text1"/>
          <w:szCs w:val="26"/>
        </w:rPr>
        <w:t>Id</w:t>
      </w:r>
      <w:r w:rsidRPr="0029160A">
        <w:rPr>
          <w:color w:val="000000" w:themeColor="text1"/>
          <w:szCs w:val="26"/>
        </w:rPr>
        <w:t>.</w:t>
      </w:r>
    </w:p>
    <w:p w14:paraId="01810E98" w14:textId="77777777" w:rsidR="00E236F7" w:rsidRPr="0029160A" w:rsidRDefault="00E236F7">
      <w:pPr>
        <w:widowControl/>
        <w:spacing w:line="360" w:lineRule="auto"/>
        <w:rPr>
          <w:color w:val="000000" w:themeColor="text1"/>
        </w:rPr>
      </w:pPr>
    </w:p>
    <w:p w14:paraId="4F199A36" w14:textId="77777777" w:rsidR="00461A7E" w:rsidRPr="0029160A" w:rsidRDefault="00461A7E" w:rsidP="006C5BBA">
      <w:pPr>
        <w:pStyle w:val="Heading2"/>
        <w:keepNext/>
        <w:keepLines/>
        <w:contextualSpacing w:val="0"/>
        <w:rPr>
          <w:color w:val="000000" w:themeColor="text1"/>
        </w:rPr>
      </w:pPr>
      <w:bookmarkStart w:id="36" w:name="_Toc36552349"/>
      <w:bookmarkStart w:id="37" w:name="_Toc38951733"/>
      <w:r w:rsidRPr="0029160A">
        <w:rPr>
          <w:color w:val="000000" w:themeColor="text1"/>
        </w:rPr>
        <w:t>Review of Exceptions and Replies</w:t>
      </w:r>
      <w:bookmarkEnd w:id="36"/>
      <w:bookmarkEnd w:id="37"/>
    </w:p>
    <w:p w14:paraId="243DDDEA" w14:textId="77777777" w:rsidR="002F6320" w:rsidRPr="0029160A" w:rsidRDefault="002F6320" w:rsidP="006C5BBA">
      <w:pPr>
        <w:keepNext/>
        <w:keepLines/>
        <w:widowControl/>
        <w:spacing w:line="360" w:lineRule="auto"/>
        <w:rPr>
          <w:color w:val="000000" w:themeColor="text1"/>
          <w:szCs w:val="26"/>
        </w:rPr>
      </w:pPr>
    </w:p>
    <w:p w14:paraId="74772635" w14:textId="77777777" w:rsidR="00461A7E" w:rsidRPr="0029160A" w:rsidRDefault="008463A0" w:rsidP="00CB0B2E">
      <w:pPr>
        <w:pStyle w:val="Heading3"/>
        <w:keepNext/>
        <w:keepLines/>
        <w:numPr>
          <w:ilvl w:val="0"/>
          <w:numId w:val="30"/>
        </w:numPr>
        <w:ind w:left="1440" w:hanging="720"/>
        <w:rPr>
          <w:color w:val="000000" w:themeColor="text1"/>
        </w:rPr>
      </w:pPr>
      <w:bookmarkStart w:id="38" w:name="_Toc36552350"/>
      <w:bookmarkStart w:id="39" w:name="_Toc38951734"/>
      <w:r w:rsidRPr="0029160A">
        <w:rPr>
          <w:color w:val="000000" w:themeColor="text1"/>
        </w:rPr>
        <w:t xml:space="preserve">Rate Base:  </w:t>
      </w:r>
      <w:r w:rsidR="00461A7E" w:rsidRPr="0029160A">
        <w:rPr>
          <w:color w:val="000000" w:themeColor="text1"/>
        </w:rPr>
        <w:t>Utility</w:t>
      </w:r>
      <w:r w:rsidR="00AD267F" w:rsidRPr="0029160A">
        <w:rPr>
          <w:color w:val="000000" w:themeColor="text1"/>
        </w:rPr>
        <w:t>-</w:t>
      </w:r>
      <w:r w:rsidR="00461A7E" w:rsidRPr="0029160A">
        <w:rPr>
          <w:color w:val="000000" w:themeColor="text1"/>
        </w:rPr>
        <w:t>Plant-in-Service</w:t>
      </w:r>
      <w:r w:rsidR="007E215E" w:rsidRPr="0029160A">
        <w:rPr>
          <w:color w:val="000000" w:themeColor="text1"/>
        </w:rPr>
        <w:t xml:space="preserve"> </w:t>
      </w:r>
      <w:r w:rsidR="00B72302" w:rsidRPr="0029160A">
        <w:rPr>
          <w:color w:val="000000" w:themeColor="text1"/>
        </w:rPr>
        <w:t>and</w:t>
      </w:r>
      <w:r w:rsidR="00461A7E" w:rsidRPr="0029160A">
        <w:rPr>
          <w:color w:val="000000" w:themeColor="text1"/>
        </w:rPr>
        <w:t xml:space="preserve"> FPFTY</w:t>
      </w:r>
      <w:bookmarkEnd w:id="38"/>
      <w:r w:rsidR="00B72302" w:rsidRPr="0029160A">
        <w:rPr>
          <w:color w:val="000000" w:themeColor="text1"/>
        </w:rPr>
        <w:t xml:space="preserve"> Methodology</w:t>
      </w:r>
      <w:bookmarkEnd w:id="39"/>
      <w:r w:rsidR="00461A7E" w:rsidRPr="0029160A">
        <w:rPr>
          <w:color w:val="000000" w:themeColor="text1"/>
        </w:rPr>
        <w:t xml:space="preserve"> </w:t>
      </w:r>
      <w:r w:rsidR="008B421D" w:rsidRPr="0029160A">
        <w:rPr>
          <w:color w:val="000000" w:themeColor="text1"/>
        </w:rPr>
        <w:t xml:space="preserve"> </w:t>
      </w:r>
    </w:p>
    <w:p w14:paraId="1A01B50B" w14:textId="77777777" w:rsidR="00475586" w:rsidRPr="0029160A" w:rsidRDefault="00475586" w:rsidP="006C5BBA">
      <w:pPr>
        <w:keepNext/>
        <w:keepLines/>
        <w:widowControl/>
        <w:spacing w:line="360" w:lineRule="auto"/>
        <w:rPr>
          <w:color w:val="000000" w:themeColor="text1"/>
        </w:rPr>
      </w:pPr>
    </w:p>
    <w:p w14:paraId="4E8B2F27" w14:textId="2486BBE0" w:rsidR="00475586" w:rsidRPr="0029160A" w:rsidRDefault="00475586" w:rsidP="00CB0B2E">
      <w:pPr>
        <w:pStyle w:val="Heading4"/>
        <w:keepNext/>
        <w:keepLines/>
        <w:ind w:hanging="720"/>
        <w:rPr>
          <w:color w:val="000000" w:themeColor="text1"/>
        </w:rPr>
      </w:pPr>
      <w:bookmarkStart w:id="40" w:name="_Toc38951735"/>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40"/>
    </w:p>
    <w:p w14:paraId="4C9CC1EF" w14:textId="77777777" w:rsidR="00B3655E" w:rsidRPr="0029160A" w:rsidRDefault="00B3655E" w:rsidP="006C5BBA">
      <w:pPr>
        <w:keepNext/>
        <w:keepLines/>
        <w:widowControl/>
        <w:spacing w:line="360" w:lineRule="auto"/>
        <w:ind w:firstLine="1440"/>
        <w:rPr>
          <w:color w:val="000000" w:themeColor="text1"/>
        </w:rPr>
      </w:pPr>
    </w:p>
    <w:p w14:paraId="34C8D4B4" w14:textId="77777777" w:rsidR="009E6941" w:rsidRPr="0029160A" w:rsidRDefault="00C60A9E" w:rsidP="00CB0B2E">
      <w:pPr>
        <w:widowControl/>
        <w:spacing w:line="360" w:lineRule="auto"/>
        <w:ind w:firstLine="1440"/>
        <w:rPr>
          <w:color w:val="000000" w:themeColor="text1"/>
          <w:szCs w:val="26"/>
        </w:rPr>
      </w:pPr>
      <w:r w:rsidRPr="0029160A">
        <w:rPr>
          <w:color w:val="000000" w:themeColor="text1"/>
        </w:rPr>
        <w:t>The Company’s claim for original cost utility plant</w:t>
      </w:r>
      <w:r w:rsidR="00920BD2" w:rsidRPr="0029160A">
        <w:rPr>
          <w:color w:val="000000" w:themeColor="text1"/>
        </w:rPr>
        <w:t>-</w:t>
      </w:r>
      <w:r w:rsidRPr="0029160A">
        <w:rPr>
          <w:color w:val="000000" w:themeColor="text1"/>
        </w:rPr>
        <w:t>in</w:t>
      </w:r>
      <w:r w:rsidR="00920BD2" w:rsidRPr="0029160A">
        <w:rPr>
          <w:color w:val="000000" w:themeColor="text1"/>
        </w:rPr>
        <w:t>-</w:t>
      </w:r>
      <w:r w:rsidRPr="0029160A">
        <w:rPr>
          <w:color w:val="000000" w:themeColor="text1"/>
        </w:rPr>
        <w:t xml:space="preserve">service of $29,325,470 is based on </w:t>
      </w:r>
      <w:r w:rsidR="00A37D9B" w:rsidRPr="0029160A">
        <w:rPr>
          <w:color w:val="000000" w:themeColor="text1"/>
        </w:rPr>
        <w:t xml:space="preserve">the </w:t>
      </w:r>
      <w:r w:rsidRPr="0029160A">
        <w:rPr>
          <w:color w:val="000000" w:themeColor="text1"/>
        </w:rPr>
        <w:t xml:space="preserve">projected plant in service at the end of the FPFTY.  R.D. at 7 (citing Wellsboro </w:t>
      </w:r>
      <w:r w:rsidR="00DC265B" w:rsidRPr="0029160A">
        <w:rPr>
          <w:color w:val="000000" w:themeColor="text1"/>
        </w:rPr>
        <w:t>St.</w:t>
      </w:r>
      <w:r w:rsidRPr="0029160A">
        <w:rPr>
          <w:color w:val="000000" w:themeColor="text1"/>
        </w:rPr>
        <w:t xml:space="preserve"> 1, Exhibit_(HSG-1), Schedules C1-6 (W), C2 (W), E-1A (W)).  </w:t>
      </w:r>
    </w:p>
    <w:p w14:paraId="1794BFEE" w14:textId="77777777" w:rsidR="009E6941" w:rsidRPr="0029160A" w:rsidRDefault="009E6941">
      <w:pPr>
        <w:widowControl/>
        <w:spacing w:line="360" w:lineRule="auto"/>
        <w:ind w:firstLine="1440"/>
        <w:rPr>
          <w:color w:val="000000" w:themeColor="text1"/>
          <w:szCs w:val="26"/>
        </w:rPr>
      </w:pPr>
    </w:p>
    <w:p w14:paraId="4093CC53" w14:textId="1F0D8150" w:rsidR="009E6941" w:rsidRPr="0029160A" w:rsidRDefault="009E6941">
      <w:pPr>
        <w:widowControl/>
        <w:spacing w:line="360" w:lineRule="auto"/>
        <w:ind w:firstLine="1440"/>
        <w:rPr>
          <w:color w:val="000000" w:themeColor="text1"/>
          <w:szCs w:val="26"/>
        </w:rPr>
      </w:pPr>
      <w:r w:rsidRPr="0029160A">
        <w:rPr>
          <w:color w:val="000000" w:themeColor="text1"/>
          <w:szCs w:val="26"/>
        </w:rPr>
        <w:t xml:space="preserve">A contested issue is whether Wellsboro is permitted to premise its FPFTY rate base and associated depreciation expense on the use of a year-end rate base methodology as the Company proposes.  In opposition, the OCA recommended using an average rate base methodology.  The OCA argued that the </w:t>
      </w:r>
      <w:r w:rsidR="00F448F2" w:rsidRPr="0029160A">
        <w:rPr>
          <w:color w:val="000000" w:themeColor="text1"/>
          <w:szCs w:val="26"/>
        </w:rPr>
        <w:t xml:space="preserve">Company’s proposed </w:t>
      </w:r>
      <w:r w:rsidRPr="0029160A">
        <w:rPr>
          <w:color w:val="000000" w:themeColor="text1"/>
          <w:szCs w:val="26"/>
        </w:rPr>
        <w:t>end-of-</w:t>
      </w:r>
      <w:r w:rsidRPr="0029160A">
        <w:rPr>
          <w:color w:val="000000" w:themeColor="text1"/>
          <w:szCs w:val="26"/>
        </w:rPr>
        <w:lastRenderedPageBreak/>
        <w:t xml:space="preserve">year method will allow the Company to over-earn on its investment in the FPFTY while the </w:t>
      </w:r>
      <w:r w:rsidR="00F448F2" w:rsidRPr="0029160A">
        <w:rPr>
          <w:color w:val="000000" w:themeColor="text1"/>
          <w:szCs w:val="26"/>
        </w:rPr>
        <w:t xml:space="preserve">OCA’s proposed </w:t>
      </w:r>
      <w:r w:rsidRPr="0029160A">
        <w:rPr>
          <w:color w:val="000000" w:themeColor="text1"/>
          <w:szCs w:val="26"/>
        </w:rPr>
        <w:t xml:space="preserve">annual average method recognizes </w:t>
      </w:r>
      <w:r w:rsidR="00F448F2" w:rsidRPr="0029160A">
        <w:rPr>
          <w:color w:val="000000" w:themeColor="text1"/>
          <w:szCs w:val="26"/>
        </w:rPr>
        <w:t xml:space="preserve">that </w:t>
      </w:r>
      <w:r w:rsidRPr="0029160A">
        <w:rPr>
          <w:color w:val="000000" w:themeColor="text1"/>
          <w:szCs w:val="26"/>
        </w:rPr>
        <w:t>capital investments will be made throughout the first year that new rates are in effect.  R.D. at 9 (citing OCA St. 1 at</w:t>
      </w:r>
      <w:r w:rsidR="006C5BBA" w:rsidRPr="0029160A">
        <w:rPr>
          <w:color w:val="000000" w:themeColor="text1"/>
          <w:szCs w:val="26"/>
        </w:rPr>
        <w:t> </w:t>
      </w:r>
      <w:r w:rsidRPr="0029160A">
        <w:rPr>
          <w:color w:val="000000" w:themeColor="text1"/>
          <w:szCs w:val="26"/>
        </w:rPr>
        <w:t xml:space="preserve">4,5).  The OCA submitted that the Company has not met its burden to demonstrate that the use of the end of the test year methodology for rate base results in just and reasonable rates.  The OCA recommended that the Commission should utilize the average rate base method for determining </w:t>
      </w:r>
      <w:r w:rsidR="00F448F2" w:rsidRPr="0029160A">
        <w:rPr>
          <w:color w:val="000000" w:themeColor="text1"/>
          <w:szCs w:val="26"/>
        </w:rPr>
        <w:t xml:space="preserve">the Company’s </w:t>
      </w:r>
      <w:r w:rsidRPr="0029160A">
        <w:rPr>
          <w:color w:val="000000" w:themeColor="text1"/>
          <w:szCs w:val="26"/>
        </w:rPr>
        <w:t>rate base, resulting in a proposed change from the Company</w:t>
      </w:r>
      <w:r w:rsidR="00B4161E" w:rsidRPr="0029160A">
        <w:rPr>
          <w:color w:val="000000" w:themeColor="text1"/>
          <w:szCs w:val="26"/>
        </w:rPr>
        <w:t>-</w:t>
      </w:r>
      <w:r w:rsidRPr="0029160A">
        <w:rPr>
          <w:color w:val="000000" w:themeColor="text1"/>
          <w:szCs w:val="26"/>
        </w:rPr>
        <w:t xml:space="preserve">filed end of test year rate base to the OCA’s proposed average which would decrease the Company’s proposed rate base by $1,469,980 from $29,325,470 to $27,855,490.  R.D. at 9 (citing OCA St. 1 at Sch. SLS-3).  </w:t>
      </w:r>
    </w:p>
    <w:p w14:paraId="01127535" w14:textId="77777777" w:rsidR="009E6941" w:rsidRPr="0029160A" w:rsidRDefault="009E6941">
      <w:pPr>
        <w:widowControl/>
        <w:spacing w:line="360" w:lineRule="auto"/>
        <w:ind w:firstLine="1440"/>
        <w:rPr>
          <w:color w:val="000000" w:themeColor="text1"/>
          <w:szCs w:val="26"/>
        </w:rPr>
      </w:pPr>
    </w:p>
    <w:p w14:paraId="51154E30" w14:textId="0C655C14" w:rsidR="009E6941" w:rsidRPr="0029160A" w:rsidRDefault="009E6941" w:rsidP="00414EB7">
      <w:pPr>
        <w:widowControl/>
        <w:spacing w:line="360" w:lineRule="auto"/>
        <w:ind w:firstLine="1440"/>
        <w:rPr>
          <w:color w:val="000000" w:themeColor="text1"/>
          <w:szCs w:val="26"/>
        </w:rPr>
      </w:pPr>
      <w:r w:rsidRPr="0029160A">
        <w:rPr>
          <w:color w:val="000000" w:themeColor="text1"/>
          <w:szCs w:val="26"/>
        </w:rPr>
        <w:t>Wellsboro provided that its rate</w:t>
      </w:r>
      <w:r w:rsidR="00F61FB9" w:rsidRPr="0029160A">
        <w:rPr>
          <w:color w:val="000000" w:themeColor="text1"/>
          <w:szCs w:val="26"/>
        </w:rPr>
        <w:t xml:space="preserve"> base</w:t>
      </w:r>
      <w:r w:rsidRPr="0029160A">
        <w:rPr>
          <w:color w:val="000000" w:themeColor="text1"/>
          <w:szCs w:val="26"/>
        </w:rPr>
        <w:t xml:space="preserve"> claim based on plant projected to be in service at the end of the FPFTY is consistent with the direction recently provided by the Commission for calculation of plant</w:t>
      </w:r>
      <w:r w:rsidR="00B4161E" w:rsidRPr="0029160A">
        <w:rPr>
          <w:color w:val="000000" w:themeColor="text1"/>
          <w:szCs w:val="26"/>
        </w:rPr>
        <w:t>-</w:t>
      </w:r>
      <w:r w:rsidRPr="0029160A">
        <w:rPr>
          <w:color w:val="000000" w:themeColor="text1"/>
          <w:szCs w:val="26"/>
        </w:rPr>
        <w:t>in</w:t>
      </w:r>
      <w:r w:rsidR="00B4161E" w:rsidRPr="0029160A">
        <w:rPr>
          <w:color w:val="000000" w:themeColor="text1"/>
          <w:szCs w:val="26"/>
        </w:rPr>
        <w:t>-</w:t>
      </w:r>
      <w:r w:rsidRPr="0029160A">
        <w:rPr>
          <w:color w:val="000000" w:themeColor="text1"/>
          <w:szCs w:val="26"/>
        </w:rPr>
        <w:t>service at the end of the FPFTY.  R.D. at 7 (citing Wellsboro M.B. at 18</w:t>
      </w:r>
      <w:r w:rsidR="00F61FB9" w:rsidRPr="0029160A">
        <w:rPr>
          <w:color w:val="000000" w:themeColor="text1"/>
          <w:szCs w:val="26"/>
        </w:rPr>
        <w:t>;</w:t>
      </w:r>
      <w:r w:rsidRPr="0029160A">
        <w:rPr>
          <w:color w:val="000000" w:themeColor="text1"/>
          <w:szCs w:val="26"/>
        </w:rPr>
        <w:t xml:space="preserve"> </w:t>
      </w:r>
      <w:r w:rsidR="00007B66" w:rsidRPr="0029160A">
        <w:rPr>
          <w:i/>
          <w:iCs/>
          <w:color w:val="000000" w:themeColor="text1"/>
          <w:szCs w:val="26"/>
        </w:rPr>
        <w:t>Pa. PUC v. UGI Utilities, Inc. – Electric Division</w:t>
      </w:r>
      <w:r w:rsidR="00007B66" w:rsidRPr="0029160A">
        <w:rPr>
          <w:color w:val="000000" w:themeColor="text1"/>
          <w:szCs w:val="26"/>
        </w:rPr>
        <w:t>, Docket No. R</w:t>
      </w:r>
      <w:r w:rsidR="00414EB7" w:rsidRPr="0029160A">
        <w:rPr>
          <w:color w:val="000000" w:themeColor="text1"/>
          <w:szCs w:val="26"/>
        </w:rPr>
        <w:noBreakHyphen/>
      </w:r>
      <w:r w:rsidR="00007B66" w:rsidRPr="0029160A">
        <w:rPr>
          <w:color w:val="000000" w:themeColor="text1"/>
          <w:szCs w:val="26"/>
        </w:rPr>
        <w:t>2017-2640058 (</w:t>
      </w:r>
      <w:r w:rsidR="00007B66" w:rsidRPr="0029160A">
        <w:rPr>
          <w:color w:val="000000" w:themeColor="text1"/>
        </w:rPr>
        <w:t>Order</w:t>
      </w:r>
      <w:r w:rsidR="00007B66" w:rsidRPr="0029160A">
        <w:rPr>
          <w:color w:val="000000" w:themeColor="text1"/>
          <w:szCs w:val="26"/>
        </w:rPr>
        <w:t xml:space="preserve"> entered October 25, 2018) (</w:t>
      </w:r>
      <w:r w:rsidRPr="0029160A">
        <w:rPr>
          <w:i/>
          <w:iCs/>
          <w:color w:val="000000" w:themeColor="text1"/>
          <w:szCs w:val="26"/>
        </w:rPr>
        <w:t>UGI Order</w:t>
      </w:r>
      <w:r w:rsidR="00007B66" w:rsidRPr="0029160A">
        <w:rPr>
          <w:i/>
          <w:iCs/>
          <w:color w:val="000000" w:themeColor="text1"/>
          <w:szCs w:val="26"/>
        </w:rPr>
        <w:t>)</w:t>
      </w:r>
      <w:r w:rsidRPr="0029160A">
        <w:rPr>
          <w:color w:val="000000" w:themeColor="text1"/>
          <w:szCs w:val="26"/>
        </w:rPr>
        <w:t xml:space="preserve"> at 23-26</w:t>
      </w:r>
      <w:r w:rsidR="00F61FB9" w:rsidRPr="0029160A">
        <w:rPr>
          <w:color w:val="000000" w:themeColor="text1"/>
          <w:szCs w:val="26"/>
        </w:rPr>
        <w:t>;</w:t>
      </w:r>
      <w:r w:rsidRPr="0029160A">
        <w:rPr>
          <w:color w:val="000000" w:themeColor="text1"/>
          <w:szCs w:val="26"/>
        </w:rPr>
        <w:t xml:space="preserve"> 66 Pa. C.S. §</w:t>
      </w:r>
      <w:r w:rsidR="00414EB7" w:rsidRPr="0029160A">
        <w:rPr>
          <w:color w:val="000000" w:themeColor="text1"/>
          <w:szCs w:val="26"/>
        </w:rPr>
        <w:t> </w:t>
      </w:r>
      <w:r w:rsidRPr="0029160A">
        <w:rPr>
          <w:color w:val="000000" w:themeColor="text1"/>
          <w:szCs w:val="26"/>
        </w:rPr>
        <w:t xml:space="preserve">315(e); </w:t>
      </w:r>
      <w:r w:rsidR="00F61FB9" w:rsidRPr="0029160A">
        <w:rPr>
          <w:i/>
          <w:iCs/>
          <w:color w:val="000000" w:themeColor="text1"/>
          <w:szCs w:val="26"/>
        </w:rPr>
        <w:t>Pa. PUC</w:t>
      </w:r>
      <w:r w:rsidR="00EA75F1" w:rsidRPr="0029160A">
        <w:rPr>
          <w:i/>
          <w:iCs/>
          <w:color w:val="000000" w:themeColor="text1"/>
          <w:szCs w:val="26"/>
        </w:rPr>
        <w:t>,</w:t>
      </w:r>
      <w:r w:rsidR="00F61FB9" w:rsidRPr="0029160A">
        <w:rPr>
          <w:i/>
          <w:iCs/>
          <w:color w:val="000000" w:themeColor="text1"/>
          <w:szCs w:val="26"/>
        </w:rPr>
        <w:t xml:space="preserve"> et al. v. PPL Electric Utilities Corp</w:t>
      </w:r>
      <w:r w:rsidR="00F61FB9" w:rsidRPr="0029160A">
        <w:rPr>
          <w:color w:val="000000" w:themeColor="text1"/>
          <w:szCs w:val="26"/>
        </w:rPr>
        <w:t>., Docket No. R-2012-2290597 (Order entered Dec. 28, 2012) (</w:t>
      </w:r>
      <w:r w:rsidR="00F61FB9" w:rsidRPr="0029160A">
        <w:rPr>
          <w:i/>
          <w:iCs/>
          <w:color w:val="000000" w:themeColor="text1"/>
          <w:szCs w:val="26"/>
        </w:rPr>
        <w:t>2012 PPL Order</w:t>
      </w:r>
      <w:r w:rsidR="00F61FB9" w:rsidRPr="0029160A">
        <w:rPr>
          <w:color w:val="000000" w:themeColor="text1"/>
          <w:szCs w:val="26"/>
        </w:rPr>
        <w:t xml:space="preserve">) </w:t>
      </w:r>
      <w:r w:rsidRPr="0029160A">
        <w:rPr>
          <w:color w:val="000000" w:themeColor="text1"/>
          <w:szCs w:val="26"/>
        </w:rPr>
        <w:t xml:space="preserve">at 12).  The Company noted that, in the </w:t>
      </w:r>
      <w:r w:rsidRPr="0029160A">
        <w:rPr>
          <w:i/>
          <w:iCs/>
          <w:color w:val="000000" w:themeColor="text1"/>
          <w:szCs w:val="26"/>
        </w:rPr>
        <w:t>UGI Order</w:t>
      </w:r>
      <w:r w:rsidRPr="0029160A">
        <w:rPr>
          <w:color w:val="000000" w:themeColor="text1"/>
          <w:szCs w:val="26"/>
        </w:rPr>
        <w:t xml:space="preserve">, the Commission rejected arguments from the OCA based on Section 1315 of the Code, which requires electric utility project to be “used and useful” before being included in the rate base.  R.D. at 7.  The Company asserted that the Commission stated that by using a FPFTY, “a utility is essentially permitted to require ratepayers to pre-pay a return on its projected investment for future facilities.”  R.D. at 7 </w:t>
      </w:r>
      <w:r w:rsidR="00C60A9E" w:rsidRPr="0029160A">
        <w:rPr>
          <w:color w:val="000000" w:themeColor="text1"/>
          <w:szCs w:val="26"/>
        </w:rPr>
        <w:t>(</w:t>
      </w:r>
      <w:r w:rsidRPr="0029160A">
        <w:rPr>
          <w:color w:val="000000" w:themeColor="text1"/>
          <w:szCs w:val="26"/>
        </w:rPr>
        <w:t>citing Wellsboro M.B. at 19, 20</w:t>
      </w:r>
      <w:r w:rsidR="00F61FB9" w:rsidRPr="0029160A">
        <w:rPr>
          <w:color w:val="000000" w:themeColor="text1"/>
          <w:szCs w:val="26"/>
        </w:rPr>
        <w:t>;</w:t>
      </w:r>
      <w:r w:rsidRPr="0029160A">
        <w:rPr>
          <w:color w:val="000000" w:themeColor="text1"/>
          <w:szCs w:val="26"/>
        </w:rPr>
        <w:t xml:space="preserve"> </w:t>
      </w:r>
      <w:r w:rsidRPr="0029160A">
        <w:rPr>
          <w:i/>
          <w:iCs/>
          <w:color w:val="000000" w:themeColor="text1"/>
          <w:szCs w:val="26"/>
        </w:rPr>
        <w:t>UGI Order</w:t>
      </w:r>
      <w:r w:rsidRPr="0029160A">
        <w:rPr>
          <w:color w:val="000000" w:themeColor="text1"/>
          <w:szCs w:val="26"/>
        </w:rPr>
        <w:t xml:space="preserve"> at 24).  </w:t>
      </w:r>
    </w:p>
    <w:p w14:paraId="3965592F" w14:textId="77777777" w:rsidR="009E6941" w:rsidRPr="0029160A" w:rsidRDefault="009E6941">
      <w:pPr>
        <w:widowControl/>
        <w:spacing w:line="360" w:lineRule="auto"/>
        <w:ind w:firstLine="1440"/>
        <w:rPr>
          <w:color w:val="000000" w:themeColor="text1"/>
          <w:szCs w:val="26"/>
        </w:rPr>
      </w:pPr>
    </w:p>
    <w:p w14:paraId="001B4070" w14:textId="382D207E" w:rsidR="009E6941" w:rsidRPr="0029160A" w:rsidRDefault="009E6941">
      <w:pPr>
        <w:widowControl/>
        <w:spacing w:line="360" w:lineRule="auto"/>
        <w:ind w:firstLine="1440"/>
        <w:rPr>
          <w:color w:val="000000" w:themeColor="text1"/>
          <w:szCs w:val="26"/>
        </w:rPr>
      </w:pPr>
      <w:r w:rsidRPr="0029160A">
        <w:rPr>
          <w:color w:val="000000" w:themeColor="text1"/>
          <w:szCs w:val="26"/>
        </w:rPr>
        <w:t xml:space="preserve">Wellsboro averred that the language of </w:t>
      </w:r>
      <w:r w:rsidR="001C1316" w:rsidRPr="0029160A">
        <w:rPr>
          <w:color w:val="000000" w:themeColor="text1"/>
          <w:szCs w:val="26"/>
        </w:rPr>
        <w:t>Act 11 of 2012 (</w:t>
      </w:r>
      <w:r w:rsidRPr="0029160A">
        <w:rPr>
          <w:color w:val="000000" w:themeColor="text1"/>
          <w:szCs w:val="26"/>
        </w:rPr>
        <w:t>Act 11</w:t>
      </w:r>
      <w:r w:rsidR="00AA5209" w:rsidRPr="0029160A">
        <w:rPr>
          <w:color w:val="000000" w:themeColor="text1"/>
          <w:szCs w:val="26"/>
        </w:rPr>
        <w:t xml:space="preserve"> or the Act</w:t>
      </w:r>
      <w:r w:rsidR="001C1316" w:rsidRPr="0029160A">
        <w:rPr>
          <w:color w:val="000000" w:themeColor="text1"/>
          <w:szCs w:val="26"/>
        </w:rPr>
        <w:t>)</w:t>
      </w:r>
      <w:r w:rsidRPr="0029160A">
        <w:rPr>
          <w:color w:val="000000" w:themeColor="text1"/>
          <w:szCs w:val="26"/>
        </w:rPr>
        <w:t xml:space="preserve"> (66 Pa. C.S.A. § 315) fully supports use of end of test year balances, stating that the Act does not contain a separate provision for the FPFTY, but instead adds the FPFTY to the existing statute authorizing use of a </w:t>
      </w:r>
      <w:r w:rsidR="00902E47" w:rsidRPr="0029160A">
        <w:rPr>
          <w:color w:val="000000" w:themeColor="text1"/>
          <w:szCs w:val="26"/>
        </w:rPr>
        <w:t>future test year (</w:t>
      </w:r>
      <w:r w:rsidRPr="0029160A">
        <w:rPr>
          <w:color w:val="000000" w:themeColor="text1"/>
          <w:szCs w:val="26"/>
        </w:rPr>
        <w:t>FTY</w:t>
      </w:r>
      <w:r w:rsidR="00902E47" w:rsidRPr="0029160A">
        <w:rPr>
          <w:color w:val="000000" w:themeColor="text1"/>
          <w:szCs w:val="26"/>
        </w:rPr>
        <w:t>)</w:t>
      </w:r>
      <w:r w:rsidRPr="0029160A">
        <w:rPr>
          <w:color w:val="000000" w:themeColor="text1"/>
          <w:szCs w:val="26"/>
        </w:rPr>
        <w:t xml:space="preserve">.  R.D. at 8 (citing Wellsboro </w:t>
      </w:r>
      <w:r w:rsidRPr="0029160A">
        <w:rPr>
          <w:color w:val="000000" w:themeColor="text1"/>
          <w:szCs w:val="26"/>
        </w:rPr>
        <w:lastRenderedPageBreak/>
        <w:t>M.B. at 20).  According to Wellsboro, the Legislature</w:t>
      </w:r>
      <w:r w:rsidR="000A6C0B" w:rsidRPr="0029160A">
        <w:rPr>
          <w:color w:val="000000" w:themeColor="text1"/>
          <w:szCs w:val="26"/>
        </w:rPr>
        <w:t>:</w:t>
      </w:r>
      <w:r w:rsidRPr="0029160A">
        <w:rPr>
          <w:color w:val="000000" w:themeColor="text1"/>
          <w:szCs w:val="26"/>
        </w:rPr>
        <w:t xml:space="preserve"> (1) expressly indicated that the FPFTY may include plant projected to be in service during the FPFTY; and (2)</w:t>
      </w:r>
      <w:r w:rsidR="006C5BBA" w:rsidRPr="0029160A">
        <w:rPr>
          <w:color w:val="000000" w:themeColor="text1"/>
          <w:szCs w:val="26"/>
        </w:rPr>
        <w:t> </w:t>
      </w:r>
      <w:r w:rsidRPr="0029160A">
        <w:rPr>
          <w:color w:val="000000" w:themeColor="text1"/>
          <w:szCs w:val="26"/>
        </w:rPr>
        <w:t xml:space="preserve">specifically noted that Section 1315, which codified the “used and useful” standard, provides no bar to including in rate base all plant added during the FPFTY.  R.D. at 8 (citing Wellsboro M.B. at 20, 21).  </w:t>
      </w:r>
    </w:p>
    <w:p w14:paraId="3083AC6E" w14:textId="77777777" w:rsidR="009E6941" w:rsidRPr="0029160A" w:rsidRDefault="009E6941">
      <w:pPr>
        <w:widowControl/>
        <w:spacing w:line="360" w:lineRule="auto"/>
        <w:ind w:firstLine="1440"/>
        <w:rPr>
          <w:color w:val="000000" w:themeColor="text1"/>
          <w:szCs w:val="26"/>
        </w:rPr>
      </w:pPr>
    </w:p>
    <w:p w14:paraId="467AC417" w14:textId="77777777" w:rsidR="00475586" w:rsidRPr="0029160A" w:rsidRDefault="009E6941">
      <w:pPr>
        <w:widowControl/>
        <w:spacing w:line="360" w:lineRule="auto"/>
        <w:ind w:firstLine="1440"/>
        <w:rPr>
          <w:color w:val="000000" w:themeColor="text1"/>
          <w:szCs w:val="26"/>
        </w:rPr>
      </w:pPr>
      <w:r w:rsidRPr="0029160A">
        <w:rPr>
          <w:color w:val="000000" w:themeColor="text1"/>
          <w:szCs w:val="26"/>
        </w:rPr>
        <w:t xml:space="preserve">Wellsboro stated that </w:t>
      </w:r>
      <w:r w:rsidR="00F61FB9" w:rsidRPr="0029160A">
        <w:rPr>
          <w:color w:val="000000" w:themeColor="text1"/>
          <w:szCs w:val="26"/>
        </w:rPr>
        <w:t xml:space="preserve">the </w:t>
      </w:r>
      <w:r w:rsidRPr="0029160A">
        <w:rPr>
          <w:color w:val="000000" w:themeColor="text1"/>
          <w:szCs w:val="26"/>
        </w:rPr>
        <w:t>OCA would eliminate half of the benefits of using the FPFTY by only allowing half of Wellsboro’s $1,599,100</w:t>
      </w:r>
      <w:r w:rsidR="00F61FB9" w:rsidRPr="0029160A">
        <w:rPr>
          <w:color w:val="000000" w:themeColor="text1"/>
          <w:szCs w:val="26"/>
        </w:rPr>
        <w:t xml:space="preserve"> claim</w:t>
      </w:r>
      <w:r w:rsidRPr="0029160A">
        <w:rPr>
          <w:color w:val="000000" w:themeColor="text1"/>
          <w:szCs w:val="26"/>
        </w:rPr>
        <w:t xml:space="preserve"> in plant additions in 2020.  R.D. at 8 (citing Wellsboro M.B at 22; OCA St. 2, Schedule LKM-2; Wellsboro St. 1, Exh</w:t>
      </w:r>
      <w:r w:rsidR="009A5DFE" w:rsidRPr="0029160A">
        <w:rPr>
          <w:color w:val="000000" w:themeColor="text1"/>
          <w:szCs w:val="26"/>
        </w:rPr>
        <w:t>ibit</w:t>
      </w:r>
      <w:r w:rsidRPr="0029160A">
        <w:rPr>
          <w:color w:val="000000" w:themeColor="text1"/>
          <w:szCs w:val="26"/>
        </w:rPr>
        <w:t xml:space="preserve">_(HSG-1), Schedule C1-6 (R)).  Wellsboro explained that under </w:t>
      </w:r>
      <w:r w:rsidR="000A6C0B" w:rsidRPr="0029160A">
        <w:rPr>
          <w:color w:val="000000" w:themeColor="text1"/>
          <w:szCs w:val="26"/>
        </w:rPr>
        <w:t xml:space="preserve">the </w:t>
      </w:r>
      <w:r w:rsidRPr="0029160A">
        <w:rPr>
          <w:color w:val="000000" w:themeColor="text1"/>
          <w:szCs w:val="26"/>
        </w:rPr>
        <w:t xml:space="preserve">OCA’s proposal, at some point during the first-year rates are in effect, rates will become insufficient to cover the used and useful plant placed into service during that year, effectively converting a FPFTY to a “partially projected half test year.”  R.D. at 8 (citing Wellsboro M.B. at 22; Wellsboro St. 1-R at 12, 13).  </w:t>
      </w:r>
    </w:p>
    <w:p w14:paraId="6EC17D32" w14:textId="77777777" w:rsidR="00A257DC" w:rsidRPr="0029160A" w:rsidRDefault="00A257DC">
      <w:pPr>
        <w:widowControl/>
        <w:spacing w:line="360" w:lineRule="auto"/>
        <w:ind w:firstLine="1440"/>
        <w:rPr>
          <w:color w:val="000000" w:themeColor="text1"/>
          <w:szCs w:val="26"/>
        </w:rPr>
      </w:pPr>
    </w:p>
    <w:p w14:paraId="0FECD503" w14:textId="43DE606E" w:rsidR="00A257DC" w:rsidRPr="0029160A" w:rsidRDefault="00A257DC" w:rsidP="00CB0B2E">
      <w:pPr>
        <w:widowControl/>
        <w:spacing w:line="360" w:lineRule="auto"/>
        <w:ind w:firstLine="1440"/>
        <w:rPr>
          <w:rFonts w:eastAsiaTheme="minorHAnsi"/>
          <w:color w:val="000000" w:themeColor="text1"/>
          <w:szCs w:val="26"/>
        </w:rPr>
      </w:pPr>
      <w:r w:rsidRPr="0029160A">
        <w:rPr>
          <w:rFonts w:eastAsiaTheme="minorHAnsi" w:cstheme="minorBidi"/>
          <w:color w:val="000000" w:themeColor="text1"/>
          <w:szCs w:val="26"/>
        </w:rPr>
        <w:t xml:space="preserve">Regarding depreciation expense, </w:t>
      </w:r>
      <w:r w:rsidRPr="0029160A">
        <w:rPr>
          <w:rFonts w:eastAsiaTheme="minorHAnsi"/>
          <w:color w:val="000000" w:themeColor="text1"/>
          <w:szCs w:val="26"/>
        </w:rPr>
        <w:t>as a result of Wellsboro’s use of the end of FPFTY rate base, Wellsboro based its test year depreciation expense on the projected balance of plant</w:t>
      </w:r>
      <w:r w:rsidR="000A6C0B" w:rsidRPr="0029160A">
        <w:rPr>
          <w:rFonts w:eastAsiaTheme="minorHAnsi"/>
          <w:color w:val="000000" w:themeColor="text1"/>
          <w:szCs w:val="26"/>
        </w:rPr>
        <w:t>-</w:t>
      </w:r>
      <w:r w:rsidRPr="0029160A">
        <w:rPr>
          <w:rFonts w:eastAsiaTheme="minorHAnsi"/>
          <w:color w:val="000000" w:themeColor="text1"/>
          <w:szCs w:val="26"/>
        </w:rPr>
        <w:t>in</w:t>
      </w:r>
      <w:r w:rsidR="000A6C0B" w:rsidRPr="0029160A">
        <w:rPr>
          <w:rFonts w:eastAsiaTheme="minorHAnsi"/>
          <w:color w:val="000000" w:themeColor="text1"/>
          <w:szCs w:val="26"/>
        </w:rPr>
        <w:t>-</w:t>
      </w:r>
      <w:r w:rsidRPr="0029160A">
        <w:rPr>
          <w:rFonts w:eastAsiaTheme="minorHAnsi"/>
          <w:color w:val="000000" w:themeColor="text1"/>
          <w:szCs w:val="26"/>
        </w:rPr>
        <w:t xml:space="preserve">service as of the end of the FPFTY.  OCA </w:t>
      </w:r>
      <w:r w:rsidR="00DC265B" w:rsidRPr="0029160A">
        <w:rPr>
          <w:rFonts w:eastAsiaTheme="minorHAnsi"/>
          <w:color w:val="000000" w:themeColor="text1"/>
          <w:szCs w:val="26"/>
        </w:rPr>
        <w:t>St.</w:t>
      </w:r>
      <w:r w:rsidRPr="0029160A">
        <w:rPr>
          <w:rFonts w:eastAsiaTheme="minorHAnsi"/>
          <w:color w:val="000000" w:themeColor="text1"/>
          <w:szCs w:val="26"/>
        </w:rPr>
        <w:t xml:space="preserve"> 2 at 7; OCA </w:t>
      </w:r>
      <w:r w:rsidR="00B576E7" w:rsidRPr="0029160A">
        <w:rPr>
          <w:rFonts w:eastAsiaTheme="minorHAnsi"/>
          <w:color w:val="000000" w:themeColor="text1"/>
          <w:szCs w:val="26"/>
        </w:rPr>
        <w:t>M.B.</w:t>
      </w:r>
      <w:r w:rsidRPr="0029160A">
        <w:rPr>
          <w:rFonts w:eastAsiaTheme="minorHAnsi"/>
          <w:color w:val="000000" w:themeColor="text1"/>
          <w:szCs w:val="26"/>
        </w:rPr>
        <w:t xml:space="preserve"> at 32.  The OCA recommended an adjustment to the depreciation expense in order </w:t>
      </w:r>
      <w:r w:rsidR="009A5DFE" w:rsidRPr="0029160A">
        <w:rPr>
          <w:rFonts w:eastAsiaTheme="minorHAnsi"/>
          <w:color w:val="000000" w:themeColor="text1"/>
          <w:szCs w:val="26"/>
        </w:rPr>
        <w:t xml:space="preserve">to </w:t>
      </w:r>
      <w:r w:rsidRPr="0029160A">
        <w:rPr>
          <w:rFonts w:eastAsiaTheme="minorHAnsi"/>
          <w:color w:val="000000" w:themeColor="text1"/>
          <w:szCs w:val="26"/>
        </w:rPr>
        <w:t xml:space="preserve">reflect </w:t>
      </w:r>
      <w:r w:rsidR="009A5DFE" w:rsidRPr="0029160A">
        <w:rPr>
          <w:rFonts w:eastAsiaTheme="minorHAnsi"/>
          <w:color w:val="000000" w:themeColor="text1"/>
          <w:szCs w:val="26"/>
        </w:rPr>
        <w:t xml:space="preserve">the </w:t>
      </w:r>
      <w:r w:rsidRPr="0029160A">
        <w:rPr>
          <w:rFonts w:eastAsiaTheme="minorHAnsi"/>
          <w:color w:val="000000" w:themeColor="text1"/>
          <w:szCs w:val="26"/>
        </w:rPr>
        <w:t>OCA’s proposed use of an average test year rate base instead of the Company’s proposed end of test year rate base.  The OCA submitted that the Company should base</w:t>
      </w:r>
      <w:r w:rsidR="00701655" w:rsidRPr="0029160A">
        <w:rPr>
          <w:rFonts w:eastAsiaTheme="minorHAnsi"/>
          <w:color w:val="000000" w:themeColor="text1"/>
          <w:szCs w:val="26"/>
        </w:rPr>
        <w:t xml:space="preserve"> its</w:t>
      </w:r>
      <w:r w:rsidRPr="0029160A">
        <w:rPr>
          <w:rFonts w:eastAsiaTheme="minorHAnsi"/>
          <w:color w:val="000000" w:themeColor="text1"/>
          <w:szCs w:val="26"/>
        </w:rPr>
        <w:t xml:space="preserve"> depreciation expense on average plant</w:t>
      </w:r>
      <w:r w:rsidR="0013139E" w:rsidRPr="0029160A">
        <w:rPr>
          <w:rFonts w:eastAsiaTheme="minorHAnsi"/>
          <w:color w:val="000000" w:themeColor="text1"/>
          <w:szCs w:val="26"/>
        </w:rPr>
        <w:t>-</w:t>
      </w:r>
      <w:r w:rsidRPr="0029160A">
        <w:rPr>
          <w:rFonts w:eastAsiaTheme="minorHAnsi"/>
          <w:color w:val="000000" w:themeColor="text1"/>
          <w:szCs w:val="26"/>
        </w:rPr>
        <w:t>in</w:t>
      </w:r>
      <w:r w:rsidR="0013139E" w:rsidRPr="0029160A">
        <w:rPr>
          <w:rFonts w:eastAsiaTheme="minorHAnsi"/>
          <w:color w:val="000000" w:themeColor="text1"/>
          <w:szCs w:val="26"/>
        </w:rPr>
        <w:t>-</w:t>
      </w:r>
      <w:r w:rsidRPr="0029160A">
        <w:rPr>
          <w:rFonts w:eastAsiaTheme="minorHAnsi"/>
          <w:color w:val="000000" w:themeColor="text1"/>
          <w:szCs w:val="26"/>
        </w:rPr>
        <w:t xml:space="preserve">service in the FPFTY and argued the accumulated depreciation expense should be reduced by $21,292.  </w:t>
      </w:r>
      <w:r w:rsidR="00836103" w:rsidRPr="0029160A">
        <w:rPr>
          <w:rFonts w:eastAsiaTheme="minorHAnsi"/>
          <w:color w:val="000000" w:themeColor="text1"/>
          <w:szCs w:val="26"/>
        </w:rPr>
        <w:t xml:space="preserve">R.D. at 45-46 (citing </w:t>
      </w:r>
      <w:r w:rsidRPr="0029160A">
        <w:rPr>
          <w:rFonts w:eastAsiaTheme="minorHAnsi"/>
          <w:color w:val="000000" w:themeColor="text1"/>
          <w:szCs w:val="26"/>
        </w:rPr>
        <w:t xml:space="preserve">OCA </w:t>
      </w:r>
      <w:r w:rsidR="00DC265B" w:rsidRPr="0029160A">
        <w:rPr>
          <w:rFonts w:eastAsiaTheme="minorHAnsi"/>
          <w:color w:val="000000" w:themeColor="text1"/>
          <w:szCs w:val="26"/>
        </w:rPr>
        <w:t>St.</w:t>
      </w:r>
      <w:r w:rsidRPr="0029160A">
        <w:rPr>
          <w:rFonts w:eastAsiaTheme="minorHAnsi"/>
          <w:color w:val="000000" w:themeColor="text1"/>
          <w:szCs w:val="26"/>
        </w:rPr>
        <w:t xml:space="preserve"> 2 at 8; OCA </w:t>
      </w:r>
      <w:r w:rsidR="00DC265B" w:rsidRPr="0029160A">
        <w:rPr>
          <w:rFonts w:eastAsiaTheme="minorHAnsi"/>
          <w:color w:val="000000" w:themeColor="text1"/>
          <w:szCs w:val="26"/>
        </w:rPr>
        <w:t>St.</w:t>
      </w:r>
      <w:r w:rsidRPr="0029160A">
        <w:rPr>
          <w:rFonts w:eastAsiaTheme="minorHAnsi"/>
          <w:color w:val="000000" w:themeColor="text1"/>
          <w:szCs w:val="26"/>
        </w:rPr>
        <w:t xml:space="preserve"> 1, Sch. SLS-3</w:t>
      </w:r>
      <w:r w:rsidR="00836103" w:rsidRPr="0029160A">
        <w:rPr>
          <w:rFonts w:eastAsiaTheme="minorHAnsi"/>
          <w:color w:val="000000" w:themeColor="text1"/>
          <w:szCs w:val="26"/>
        </w:rPr>
        <w:t>)</w:t>
      </w:r>
      <w:r w:rsidRPr="0029160A">
        <w:rPr>
          <w:rFonts w:eastAsiaTheme="minorHAnsi"/>
          <w:color w:val="000000" w:themeColor="text1"/>
          <w:szCs w:val="26"/>
        </w:rPr>
        <w:t>.</w:t>
      </w:r>
    </w:p>
    <w:p w14:paraId="0BB492A9" w14:textId="77777777" w:rsidR="00475586" w:rsidRPr="0029160A" w:rsidRDefault="00475586" w:rsidP="0092278F">
      <w:pPr>
        <w:widowControl/>
        <w:spacing w:line="360" w:lineRule="auto"/>
        <w:rPr>
          <w:color w:val="000000" w:themeColor="text1"/>
          <w:szCs w:val="26"/>
        </w:rPr>
      </w:pPr>
    </w:p>
    <w:p w14:paraId="296B0436" w14:textId="77777777" w:rsidR="00475586" w:rsidRPr="0029160A" w:rsidRDefault="00475586" w:rsidP="00CB0B2E">
      <w:pPr>
        <w:pStyle w:val="Heading4"/>
        <w:keepNext/>
        <w:keepLines/>
        <w:ind w:hanging="720"/>
        <w:rPr>
          <w:color w:val="000000" w:themeColor="text1"/>
        </w:rPr>
      </w:pPr>
      <w:bookmarkStart w:id="41" w:name="_Toc38951736"/>
      <w:r w:rsidRPr="0029160A">
        <w:rPr>
          <w:color w:val="000000" w:themeColor="text1"/>
        </w:rPr>
        <w:t>Recommended Decision</w:t>
      </w:r>
      <w:bookmarkEnd w:id="41"/>
    </w:p>
    <w:p w14:paraId="098D428B" w14:textId="77777777" w:rsidR="00475586" w:rsidRPr="0029160A" w:rsidRDefault="00475586" w:rsidP="0092278F">
      <w:pPr>
        <w:keepNext/>
        <w:keepLines/>
        <w:widowControl/>
        <w:spacing w:line="360" w:lineRule="auto"/>
        <w:rPr>
          <w:color w:val="000000" w:themeColor="text1"/>
          <w:szCs w:val="26"/>
        </w:rPr>
      </w:pPr>
    </w:p>
    <w:p w14:paraId="0B3E8772" w14:textId="573C851F" w:rsidR="009E6941" w:rsidRPr="0029160A" w:rsidRDefault="00B3655E" w:rsidP="0092278F">
      <w:pPr>
        <w:widowControl/>
        <w:spacing w:line="360" w:lineRule="auto"/>
        <w:ind w:firstLine="1440"/>
        <w:rPr>
          <w:color w:val="000000" w:themeColor="text1"/>
          <w:szCs w:val="26"/>
        </w:rPr>
      </w:pPr>
      <w:r w:rsidRPr="0029160A">
        <w:rPr>
          <w:color w:val="000000" w:themeColor="text1"/>
          <w:szCs w:val="26"/>
        </w:rPr>
        <w:t xml:space="preserve">The ALJs </w:t>
      </w:r>
      <w:r w:rsidR="00AA1332" w:rsidRPr="0029160A">
        <w:rPr>
          <w:color w:val="000000" w:themeColor="text1"/>
          <w:szCs w:val="26"/>
        </w:rPr>
        <w:t xml:space="preserve">recommended </w:t>
      </w:r>
      <w:r w:rsidRPr="0029160A">
        <w:rPr>
          <w:color w:val="000000" w:themeColor="text1"/>
          <w:szCs w:val="26"/>
        </w:rPr>
        <w:t>that the</w:t>
      </w:r>
      <w:r w:rsidR="00AA1332" w:rsidRPr="0029160A">
        <w:rPr>
          <w:color w:val="000000" w:themeColor="text1"/>
          <w:szCs w:val="26"/>
        </w:rPr>
        <w:t xml:space="preserve"> Commission permit the</w:t>
      </w:r>
      <w:r w:rsidRPr="0029160A">
        <w:rPr>
          <w:color w:val="000000" w:themeColor="text1"/>
          <w:szCs w:val="26"/>
        </w:rPr>
        <w:t xml:space="preserve"> Company to use a FPFTY and a year-end rate base methodology rather than the average rate base</w:t>
      </w:r>
      <w:r w:rsidR="00AA1332" w:rsidRPr="0029160A">
        <w:rPr>
          <w:color w:val="000000" w:themeColor="text1"/>
          <w:szCs w:val="26"/>
        </w:rPr>
        <w:t xml:space="preserve"> </w:t>
      </w:r>
      <w:r w:rsidR="00AA1332" w:rsidRPr="0029160A">
        <w:rPr>
          <w:color w:val="000000" w:themeColor="text1"/>
          <w:szCs w:val="26"/>
        </w:rPr>
        <w:lastRenderedPageBreak/>
        <w:t>methodology for plant</w:t>
      </w:r>
      <w:r w:rsidRPr="0029160A">
        <w:rPr>
          <w:color w:val="000000" w:themeColor="text1"/>
          <w:szCs w:val="26"/>
        </w:rPr>
        <w:t xml:space="preserve"> projected to be used and useful in the FPFTY.</w:t>
      </w:r>
      <w:r w:rsidR="0013139E" w:rsidRPr="0029160A">
        <w:rPr>
          <w:color w:val="000000" w:themeColor="text1"/>
          <w:szCs w:val="26"/>
        </w:rPr>
        <w:t xml:space="preserve">  </w:t>
      </w:r>
      <w:r w:rsidR="009E6941" w:rsidRPr="0029160A">
        <w:rPr>
          <w:color w:val="000000" w:themeColor="text1"/>
          <w:szCs w:val="26"/>
        </w:rPr>
        <w:t>The ALJs</w:t>
      </w:r>
      <w:r w:rsidRPr="0029160A">
        <w:rPr>
          <w:color w:val="000000" w:themeColor="text1"/>
          <w:szCs w:val="26"/>
        </w:rPr>
        <w:t xml:space="preserve">’ recommendation was based on the recent </w:t>
      </w:r>
      <w:r w:rsidR="009E6941" w:rsidRPr="0029160A">
        <w:rPr>
          <w:color w:val="000000" w:themeColor="text1"/>
          <w:szCs w:val="26"/>
        </w:rPr>
        <w:t xml:space="preserve">Commission decision in </w:t>
      </w:r>
      <w:r w:rsidR="00FA58A9" w:rsidRPr="0029160A">
        <w:rPr>
          <w:color w:val="000000" w:themeColor="text1"/>
          <w:szCs w:val="26"/>
        </w:rPr>
        <w:t xml:space="preserve">the </w:t>
      </w:r>
      <w:r w:rsidR="00E80A72" w:rsidRPr="0029160A">
        <w:rPr>
          <w:i/>
          <w:iCs/>
          <w:color w:val="000000" w:themeColor="text1"/>
          <w:szCs w:val="26"/>
        </w:rPr>
        <w:t>UGI Order</w:t>
      </w:r>
      <w:r w:rsidR="009E6941" w:rsidRPr="0029160A">
        <w:rPr>
          <w:color w:val="000000" w:themeColor="text1"/>
          <w:szCs w:val="26"/>
        </w:rPr>
        <w:t>, wherein the Commission allowed the use of an FPFTY even though some of the utility plant</w:t>
      </w:r>
      <w:r w:rsidR="000D7F79" w:rsidRPr="0029160A">
        <w:rPr>
          <w:color w:val="000000" w:themeColor="text1"/>
          <w:szCs w:val="26"/>
        </w:rPr>
        <w:t>-</w:t>
      </w:r>
      <w:r w:rsidR="009E6941" w:rsidRPr="0029160A">
        <w:rPr>
          <w:color w:val="000000" w:themeColor="text1"/>
          <w:szCs w:val="26"/>
        </w:rPr>
        <w:t>in</w:t>
      </w:r>
      <w:r w:rsidR="000D7F79" w:rsidRPr="0029160A">
        <w:rPr>
          <w:color w:val="000000" w:themeColor="text1"/>
          <w:szCs w:val="26"/>
        </w:rPr>
        <w:t>-</w:t>
      </w:r>
      <w:r w:rsidR="009E6941" w:rsidRPr="0029160A">
        <w:rPr>
          <w:color w:val="000000" w:themeColor="text1"/>
          <w:szCs w:val="26"/>
        </w:rPr>
        <w:t>service might not be operational until the latter part of the FPFTY.  The</w:t>
      </w:r>
      <w:r w:rsidRPr="0029160A">
        <w:rPr>
          <w:color w:val="000000" w:themeColor="text1"/>
          <w:szCs w:val="26"/>
        </w:rPr>
        <w:t xml:space="preserve"> ALJs noted that the </w:t>
      </w:r>
      <w:r w:rsidRPr="0029160A">
        <w:rPr>
          <w:i/>
          <w:iCs/>
          <w:color w:val="000000" w:themeColor="text1"/>
          <w:szCs w:val="26"/>
        </w:rPr>
        <w:t>UGI Order</w:t>
      </w:r>
      <w:r w:rsidRPr="0029160A">
        <w:rPr>
          <w:color w:val="000000" w:themeColor="text1"/>
          <w:szCs w:val="26"/>
        </w:rPr>
        <w:t xml:space="preserve"> was upheld by </w:t>
      </w:r>
      <w:r w:rsidR="009E6941" w:rsidRPr="0029160A">
        <w:rPr>
          <w:color w:val="000000" w:themeColor="text1"/>
          <w:szCs w:val="26"/>
        </w:rPr>
        <w:t xml:space="preserve">the Commonwealth Court </w:t>
      </w:r>
      <w:r w:rsidRPr="0029160A">
        <w:rPr>
          <w:color w:val="000000" w:themeColor="text1"/>
          <w:szCs w:val="26"/>
        </w:rPr>
        <w:t>in</w:t>
      </w:r>
      <w:r w:rsidR="009E6941" w:rsidRPr="0029160A">
        <w:rPr>
          <w:color w:val="000000" w:themeColor="text1"/>
          <w:szCs w:val="26"/>
        </w:rPr>
        <w:t xml:space="preserve"> </w:t>
      </w:r>
      <w:r w:rsidR="00E80A72" w:rsidRPr="0029160A">
        <w:rPr>
          <w:i/>
          <w:iCs/>
          <w:color w:val="000000" w:themeColor="text1"/>
          <w:szCs w:val="26"/>
        </w:rPr>
        <w:t>McCloskey v. Pa.</w:t>
      </w:r>
      <w:r w:rsidR="0092278F" w:rsidRPr="0029160A">
        <w:rPr>
          <w:i/>
          <w:iCs/>
          <w:color w:val="000000" w:themeColor="text1"/>
          <w:szCs w:val="26"/>
        </w:rPr>
        <w:t> </w:t>
      </w:r>
      <w:r w:rsidR="00E80A72" w:rsidRPr="0029160A">
        <w:rPr>
          <w:i/>
          <w:iCs/>
          <w:color w:val="000000" w:themeColor="text1"/>
          <w:szCs w:val="26"/>
        </w:rPr>
        <w:t>PUC</w:t>
      </w:r>
      <w:r w:rsidR="00E80A72" w:rsidRPr="0029160A">
        <w:rPr>
          <w:color w:val="000000" w:themeColor="text1"/>
          <w:szCs w:val="26"/>
        </w:rPr>
        <w:t>,</w:t>
      </w:r>
      <w:r w:rsidR="00E80A72" w:rsidRPr="0029160A">
        <w:rPr>
          <w:i/>
          <w:iCs/>
          <w:color w:val="000000" w:themeColor="text1"/>
          <w:szCs w:val="26"/>
        </w:rPr>
        <w:t xml:space="preserve"> </w:t>
      </w:r>
      <w:r w:rsidR="00E80A72" w:rsidRPr="0029160A">
        <w:rPr>
          <w:color w:val="000000" w:themeColor="text1"/>
          <w:szCs w:val="26"/>
        </w:rPr>
        <w:t>1549 C.D. 2018, 2020 WL 215931 (Pa. Cmwlth. 2020)</w:t>
      </w:r>
      <w:r w:rsidR="00E80A72" w:rsidRPr="0029160A">
        <w:rPr>
          <w:i/>
          <w:iCs/>
          <w:color w:val="000000" w:themeColor="text1"/>
          <w:szCs w:val="26"/>
        </w:rPr>
        <w:t xml:space="preserve"> </w:t>
      </w:r>
      <w:r w:rsidR="00E80A72" w:rsidRPr="0029160A">
        <w:rPr>
          <w:color w:val="000000" w:themeColor="text1"/>
          <w:szCs w:val="26"/>
        </w:rPr>
        <w:t>(</w:t>
      </w:r>
      <w:r w:rsidR="00E80A72" w:rsidRPr="0029160A">
        <w:rPr>
          <w:i/>
          <w:iCs/>
          <w:color w:val="000000" w:themeColor="text1"/>
          <w:szCs w:val="26"/>
        </w:rPr>
        <w:t>McCloskey</w:t>
      </w:r>
      <w:r w:rsidR="00E80A72" w:rsidRPr="0029160A">
        <w:rPr>
          <w:color w:val="000000" w:themeColor="text1"/>
          <w:szCs w:val="26"/>
        </w:rPr>
        <w:t>)</w:t>
      </w:r>
      <w:r w:rsidR="00056BF8" w:rsidRPr="0029160A">
        <w:rPr>
          <w:color w:val="000000" w:themeColor="text1"/>
          <w:szCs w:val="26"/>
        </w:rPr>
        <w:t>, which allowed the utility to include in its rate base the cost of facilities that are not yet in service but that are projected to be in service during the FPFTY (</w:t>
      </w:r>
      <w:r w:rsidR="00056BF8" w:rsidRPr="0029160A">
        <w:rPr>
          <w:i/>
          <w:iCs/>
          <w:color w:val="000000" w:themeColor="text1"/>
          <w:szCs w:val="26"/>
        </w:rPr>
        <w:t>i.e</w:t>
      </w:r>
      <w:r w:rsidR="00056BF8" w:rsidRPr="0029160A">
        <w:rPr>
          <w:color w:val="000000" w:themeColor="text1"/>
          <w:szCs w:val="26"/>
        </w:rPr>
        <w:t xml:space="preserve">., the 12-month period beginning with the first month the new rates will be in effect).  </w:t>
      </w:r>
      <w:r w:rsidRPr="0029160A">
        <w:rPr>
          <w:color w:val="000000" w:themeColor="text1"/>
          <w:szCs w:val="26"/>
        </w:rPr>
        <w:t xml:space="preserve">R.D. at 10.  </w:t>
      </w:r>
    </w:p>
    <w:p w14:paraId="78DED5AF" w14:textId="77777777" w:rsidR="009E6941" w:rsidRPr="0029160A" w:rsidRDefault="009E6941">
      <w:pPr>
        <w:widowControl/>
        <w:spacing w:line="360" w:lineRule="auto"/>
        <w:ind w:firstLine="1440"/>
        <w:rPr>
          <w:color w:val="000000" w:themeColor="text1"/>
          <w:szCs w:val="26"/>
        </w:rPr>
      </w:pPr>
    </w:p>
    <w:p w14:paraId="17B8A066" w14:textId="03BFD75E" w:rsidR="00475586" w:rsidRPr="0029160A" w:rsidRDefault="009E6941">
      <w:pPr>
        <w:widowControl/>
        <w:spacing w:line="360" w:lineRule="auto"/>
        <w:ind w:firstLine="1440"/>
        <w:rPr>
          <w:color w:val="000000" w:themeColor="text1"/>
          <w:szCs w:val="26"/>
        </w:rPr>
      </w:pPr>
      <w:r w:rsidRPr="0029160A">
        <w:rPr>
          <w:color w:val="000000" w:themeColor="text1"/>
          <w:szCs w:val="26"/>
        </w:rPr>
        <w:t xml:space="preserve">The ALJs noted that the OCA made no specific factual arguments in support of </w:t>
      </w:r>
      <w:r w:rsidR="00701655" w:rsidRPr="0029160A">
        <w:rPr>
          <w:color w:val="000000" w:themeColor="text1"/>
          <w:szCs w:val="26"/>
        </w:rPr>
        <w:t>its</w:t>
      </w:r>
      <w:r w:rsidRPr="0029160A">
        <w:rPr>
          <w:color w:val="000000" w:themeColor="text1"/>
          <w:szCs w:val="26"/>
        </w:rPr>
        <w:t xml:space="preserve"> contention that use of an FPFTY results in unjust or unreasonable rates; instead, the OCA merely set forth the proposition that, since the Company will be earning interest for the whole FPFTY on an asset that is not put in service until the end of that year, the Company will be “overearning” on its investment.  The ALJs concluded that given the clear holding of the Commission in the </w:t>
      </w:r>
      <w:r w:rsidRPr="0029160A">
        <w:rPr>
          <w:i/>
          <w:iCs/>
          <w:color w:val="000000" w:themeColor="text1"/>
          <w:szCs w:val="26"/>
        </w:rPr>
        <w:t>UGI Order</w:t>
      </w:r>
      <w:r w:rsidRPr="0029160A">
        <w:rPr>
          <w:color w:val="000000" w:themeColor="text1"/>
          <w:szCs w:val="26"/>
        </w:rPr>
        <w:t>, and the Commonwealth Court’s decision affirming the Commission</w:t>
      </w:r>
      <w:r w:rsidR="001E15E8" w:rsidRPr="0029160A">
        <w:rPr>
          <w:color w:val="000000" w:themeColor="text1"/>
          <w:szCs w:val="26"/>
        </w:rPr>
        <w:t xml:space="preserve"> in </w:t>
      </w:r>
      <w:r w:rsidR="001E15E8" w:rsidRPr="0029160A">
        <w:rPr>
          <w:i/>
          <w:iCs/>
          <w:color w:val="000000" w:themeColor="text1"/>
          <w:szCs w:val="26"/>
        </w:rPr>
        <w:t>McCloskey</w:t>
      </w:r>
      <w:r w:rsidRPr="0029160A">
        <w:rPr>
          <w:color w:val="000000" w:themeColor="text1"/>
          <w:szCs w:val="26"/>
        </w:rPr>
        <w:t xml:space="preserve">, the OCA’s argument has already been considered and rejected by the Commission. </w:t>
      </w:r>
      <w:r w:rsidR="00056BF8" w:rsidRPr="0029160A">
        <w:rPr>
          <w:color w:val="000000" w:themeColor="text1"/>
          <w:szCs w:val="26"/>
        </w:rPr>
        <w:t xml:space="preserve"> R.D. at 9-14.</w:t>
      </w:r>
    </w:p>
    <w:p w14:paraId="20EE2C6B" w14:textId="77777777" w:rsidR="00A257DC" w:rsidRPr="0029160A" w:rsidRDefault="00A257DC">
      <w:pPr>
        <w:widowControl/>
        <w:spacing w:line="360" w:lineRule="auto"/>
        <w:ind w:firstLine="1440"/>
        <w:rPr>
          <w:color w:val="000000" w:themeColor="text1"/>
          <w:szCs w:val="26"/>
        </w:rPr>
      </w:pPr>
    </w:p>
    <w:p w14:paraId="6C2AC3A9" w14:textId="77777777" w:rsidR="00A257DC" w:rsidRPr="0029160A" w:rsidRDefault="00A257DC" w:rsidP="0092278F">
      <w:pPr>
        <w:widowControl/>
        <w:spacing w:line="360" w:lineRule="auto"/>
        <w:ind w:firstLine="1440"/>
        <w:rPr>
          <w:rFonts w:eastAsiaTheme="minorHAnsi"/>
          <w:color w:val="000000" w:themeColor="text1"/>
          <w:szCs w:val="26"/>
        </w:rPr>
      </w:pPr>
      <w:r w:rsidRPr="0029160A">
        <w:rPr>
          <w:rFonts w:eastAsiaTheme="minorHAnsi"/>
          <w:color w:val="000000" w:themeColor="text1"/>
          <w:szCs w:val="26"/>
        </w:rPr>
        <w:t xml:space="preserve">The ALJs explained that the issue between Wellsboro and </w:t>
      </w:r>
      <w:r w:rsidR="004E3AA3" w:rsidRPr="0029160A">
        <w:rPr>
          <w:rFonts w:eastAsiaTheme="minorHAnsi"/>
          <w:color w:val="000000" w:themeColor="text1"/>
          <w:szCs w:val="26"/>
        </w:rPr>
        <w:t xml:space="preserve">the </w:t>
      </w:r>
      <w:r w:rsidRPr="0029160A">
        <w:rPr>
          <w:rFonts w:eastAsiaTheme="minorHAnsi"/>
          <w:color w:val="000000" w:themeColor="text1"/>
          <w:szCs w:val="26"/>
        </w:rPr>
        <w:t xml:space="preserve">OCA with respect to depreciation expense centers on the question of which methodology should be used to base the depreciation expense.  Wellsboro proposed an end-of-year methodology while </w:t>
      </w:r>
      <w:r w:rsidR="00F67795" w:rsidRPr="0029160A">
        <w:rPr>
          <w:rFonts w:eastAsiaTheme="minorHAnsi"/>
          <w:color w:val="000000" w:themeColor="text1"/>
          <w:szCs w:val="26"/>
        </w:rPr>
        <w:t xml:space="preserve">the </w:t>
      </w:r>
      <w:r w:rsidRPr="0029160A">
        <w:rPr>
          <w:rFonts w:eastAsiaTheme="minorHAnsi"/>
          <w:color w:val="000000" w:themeColor="text1"/>
          <w:szCs w:val="26"/>
        </w:rPr>
        <w:t>OCA proposed an average rate base methodology.  As to remain consistent with its recommendation that</w:t>
      </w:r>
      <w:r w:rsidRPr="0029160A">
        <w:rPr>
          <w:rFonts w:eastAsiaTheme="minorHAnsi"/>
          <w:i/>
          <w:iCs/>
          <w:color w:val="000000" w:themeColor="text1"/>
          <w:szCs w:val="26"/>
        </w:rPr>
        <w:t xml:space="preserve"> </w:t>
      </w:r>
      <w:r w:rsidRPr="0029160A">
        <w:rPr>
          <w:rFonts w:eastAsiaTheme="minorHAnsi"/>
          <w:color w:val="000000" w:themeColor="text1"/>
          <w:szCs w:val="26"/>
        </w:rPr>
        <w:t xml:space="preserve">Wellsboro be permitted to utilize end-of-year methodology in the FPFTY, the ALJs stated it is proper for Wellsboro to base its test year depreciation expense on the projected balance of plant in service as of the end of the FPFTY.  Therefore, the ALJs recommended that the Commission reject </w:t>
      </w:r>
      <w:r w:rsidR="00F67795" w:rsidRPr="0029160A">
        <w:rPr>
          <w:rFonts w:eastAsiaTheme="minorHAnsi"/>
          <w:color w:val="000000" w:themeColor="text1"/>
          <w:szCs w:val="26"/>
        </w:rPr>
        <w:t xml:space="preserve">the </w:t>
      </w:r>
      <w:r w:rsidRPr="0029160A">
        <w:rPr>
          <w:rFonts w:eastAsiaTheme="minorHAnsi"/>
          <w:color w:val="000000" w:themeColor="text1"/>
          <w:szCs w:val="26"/>
        </w:rPr>
        <w:t>OCA’s recommendation to reduce the accumulated depreciation expense</w:t>
      </w:r>
      <w:r w:rsidR="00836103" w:rsidRPr="0029160A">
        <w:rPr>
          <w:rFonts w:eastAsiaTheme="minorHAnsi"/>
          <w:color w:val="000000" w:themeColor="text1"/>
          <w:szCs w:val="26"/>
        </w:rPr>
        <w:t xml:space="preserve"> by $21,292</w:t>
      </w:r>
      <w:r w:rsidRPr="0029160A">
        <w:rPr>
          <w:rFonts w:eastAsiaTheme="minorHAnsi"/>
          <w:color w:val="000000" w:themeColor="text1"/>
          <w:szCs w:val="26"/>
        </w:rPr>
        <w:t>.  R.D. at 46.</w:t>
      </w:r>
    </w:p>
    <w:p w14:paraId="3FA10C7A" w14:textId="77777777" w:rsidR="00475586" w:rsidRPr="0029160A" w:rsidRDefault="00475586" w:rsidP="0092278F">
      <w:pPr>
        <w:widowControl/>
        <w:spacing w:line="360" w:lineRule="auto"/>
        <w:rPr>
          <w:color w:val="000000" w:themeColor="text1"/>
          <w:szCs w:val="26"/>
        </w:rPr>
      </w:pPr>
    </w:p>
    <w:p w14:paraId="20687552" w14:textId="77777777" w:rsidR="00475586" w:rsidRPr="0029160A" w:rsidRDefault="00897E66" w:rsidP="00CB0B2E">
      <w:pPr>
        <w:pStyle w:val="Heading4"/>
        <w:keepNext/>
        <w:keepLines/>
        <w:ind w:hanging="720"/>
        <w:contextualSpacing w:val="0"/>
        <w:rPr>
          <w:color w:val="000000" w:themeColor="text1"/>
        </w:rPr>
      </w:pPr>
      <w:bookmarkStart w:id="42" w:name="_Toc38951737"/>
      <w:r w:rsidRPr="0029160A">
        <w:rPr>
          <w:color w:val="000000" w:themeColor="text1"/>
        </w:rPr>
        <w:lastRenderedPageBreak/>
        <w:t>OCA Exc</w:t>
      </w:r>
      <w:r w:rsidR="00FD6333" w:rsidRPr="0029160A">
        <w:rPr>
          <w:color w:val="000000" w:themeColor="text1"/>
        </w:rPr>
        <w:t>eption</w:t>
      </w:r>
      <w:r w:rsidRPr="0029160A">
        <w:rPr>
          <w:color w:val="000000" w:themeColor="text1"/>
        </w:rPr>
        <w:t xml:space="preserve"> No. 1 and Replies</w:t>
      </w:r>
      <w:bookmarkEnd w:id="42"/>
    </w:p>
    <w:p w14:paraId="62698BD3" w14:textId="77777777" w:rsidR="00475586" w:rsidRPr="0029160A" w:rsidRDefault="00475586" w:rsidP="0092278F">
      <w:pPr>
        <w:keepNext/>
        <w:keepLines/>
        <w:widowControl/>
        <w:spacing w:line="360" w:lineRule="auto"/>
        <w:rPr>
          <w:color w:val="000000" w:themeColor="text1"/>
          <w:szCs w:val="26"/>
        </w:rPr>
      </w:pPr>
    </w:p>
    <w:p w14:paraId="062610F9" w14:textId="77777777" w:rsidR="00056BF8" w:rsidRPr="0029160A" w:rsidRDefault="00056BF8" w:rsidP="0092278F">
      <w:pPr>
        <w:widowControl/>
        <w:spacing w:line="360" w:lineRule="auto"/>
        <w:ind w:firstLine="1440"/>
        <w:rPr>
          <w:color w:val="000000" w:themeColor="text1"/>
          <w:szCs w:val="26"/>
        </w:rPr>
      </w:pPr>
      <w:r w:rsidRPr="0029160A">
        <w:rPr>
          <w:color w:val="000000" w:themeColor="text1"/>
          <w:szCs w:val="26"/>
        </w:rPr>
        <w:t xml:space="preserve">In OCA Exception No. 1, the OCA contends that the ALJs erred by accepting Wellsboro’s proposal because the Company’s earnings will be overstated if the end-of-test year method is used.  Thus, in order to comply with the standard that rates be just and reasonable, the OCA takes the position that rates must be set based on the average rate base projected to be used and useful in the FPFTY.  The OCA also avers that the R.D. misstates the Commonwealth Court’s conclusion in </w:t>
      </w:r>
      <w:r w:rsidRPr="0029160A">
        <w:rPr>
          <w:i/>
          <w:iCs/>
          <w:color w:val="000000" w:themeColor="text1"/>
          <w:szCs w:val="26"/>
        </w:rPr>
        <w:t>McCloskey</w:t>
      </w:r>
      <w:r w:rsidRPr="0029160A">
        <w:rPr>
          <w:color w:val="000000" w:themeColor="text1"/>
          <w:szCs w:val="26"/>
        </w:rPr>
        <w:t xml:space="preserve"> regarding the </w:t>
      </w:r>
      <w:r w:rsidRPr="0029160A">
        <w:rPr>
          <w:i/>
          <w:iCs/>
          <w:color w:val="000000" w:themeColor="text1"/>
          <w:szCs w:val="26"/>
        </w:rPr>
        <w:t>UGI Order</w:t>
      </w:r>
      <w:r w:rsidRPr="0029160A">
        <w:rPr>
          <w:color w:val="000000" w:themeColor="text1"/>
          <w:szCs w:val="26"/>
        </w:rPr>
        <w:t xml:space="preserve">, specifically that “subsequent rate proceedings are bound by the Commission’s holding in the </w:t>
      </w:r>
      <w:r w:rsidRPr="0029160A">
        <w:rPr>
          <w:i/>
          <w:iCs/>
          <w:color w:val="000000" w:themeColor="text1"/>
          <w:szCs w:val="26"/>
        </w:rPr>
        <w:t>UGI Order</w:t>
      </w:r>
      <w:r w:rsidRPr="0029160A">
        <w:rPr>
          <w:color w:val="000000" w:themeColor="text1"/>
          <w:szCs w:val="26"/>
        </w:rPr>
        <w:t>.”</w:t>
      </w:r>
      <w:r w:rsidR="00BB07C3" w:rsidRPr="0029160A">
        <w:rPr>
          <w:color w:val="000000" w:themeColor="text1"/>
          <w:szCs w:val="26"/>
        </w:rPr>
        <w:t xml:space="preserve">  </w:t>
      </w:r>
      <w:r w:rsidR="00AE5C74" w:rsidRPr="0029160A">
        <w:rPr>
          <w:color w:val="000000" w:themeColor="text1"/>
          <w:szCs w:val="26"/>
        </w:rPr>
        <w:t xml:space="preserve">OCA Exc. at 2 (citing R.D. at 10).  </w:t>
      </w:r>
      <w:r w:rsidRPr="0029160A">
        <w:rPr>
          <w:color w:val="000000" w:themeColor="text1"/>
          <w:szCs w:val="26"/>
        </w:rPr>
        <w:t>The OCA notes that the Commonwealth Court did not conclude that all utilities are bound by its determination or that an average rate base could never be used</w:t>
      </w:r>
      <w:r w:rsidR="00AA1332" w:rsidRPr="0029160A">
        <w:rPr>
          <w:color w:val="000000" w:themeColor="text1"/>
          <w:szCs w:val="26"/>
        </w:rPr>
        <w:t>.</w:t>
      </w:r>
      <w:r w:rsidRPr="0029160A">
        <w:rPr>
          <w:color w:val="000000" w:themeColor="text1"/>
          <w:szCs w:val="26"/>
        </w:rPr>
        <w:t xml:space="preserve"> </w:t>
      </w:r>
      <w:r w:rsidR="00AA1332" w:rsidRPr="0029160A">
        <w:rPr>
          <w:color w:val="000000" w:themeColor="text1"/>
          <w:szCs w:val="26"/>
        </w:rPr>
        <w:t xml:space="preserve"> R</w:t>
      </w:r>
      <w:r w:rsidRPr="0029160A">
        <w:rPr>
          <w:color w:val="000000" w:themeColor="text1"/>
          <w:szCs w:val="26"/>
        </w:rPr>
        <w:t>ather</w:t>
      </w:r>
      <w:r w:rsidR="00AA1332" w:rsidRPr="0029160A">
        <w:rPr>
          <w:color w:val="000000" w:themeColor="text1"/>
          <w:szCs w:val="26"/>
        </w:rPr>
        <w:t>, the OCA argues,</w:t>
      </w:r>
      <w:r w:rsidRPr="0029160A">
        <w:rPr>
          <w:color w:val="000000" w:themeColor="text1"/>
          <w:szCs w:val="26"/>
        </w:rPr>
        <w:t xml:space="preserve"> </w:t>
      </w:r>
      <w:r w:rsidR="00AA1332" w:rsidRPr="0029160A">
        <w:rPr>
          <w:color w:val="000000" w:themeColor="text1"/>
          <w:szCs w:val="26"/>
        </w:rPr>
        <w:t>the</w:t>
      </w:r>
      <w:r w:rsidRPr="0029160A">
        <w:rPr>
          <w:color w:val="000000" w:themeColor="text1"/>
          <w:szCs w:val="26"/>
        </w:rPr>
        <w:t xml:space="preserve"> matter</w:t>
      </w:r>
      <w:r w:rsidR="00AA1332" w:rsidRPr="0029160A">
        <w:rPr>
          <w:color w:val="000000" w:themeColor="text1"/>
          <w:szCs w:val="26"/>
        </w:rPr>
        <w:t xml:space="preserve"> is</w:t>
      </w:r>
      <w:r w:rsidRPr="0029160A">
        <w:rPr>
          <w:color w:val="000000" w:themeColor="text1"/>
          <w:szCs w:val="26"/>
        </w:rPr>
        <w:t xml:space="preserve"> within the Commission’s discretion, and that the determination of </w:t>
      </w:r>
      <w:r w:rsidR="00AA1332" w:rsidRPr="0029160A">
        <w:rPr>
          <w:color w:val="000000" w:themeColor="text1"/>
          <w:szCs w:val="26"/>
        </w:rPr>
        <w:t xml:space="preserve">Commonwealth Court was that </w:t>
      </w:r>
      <w:r w:rsidRPr="0029160A">
        <w:rPr>
          <w:color w:val="000000" w:themeColor="text1"/>
          <w:szCs w:val="26"/>
        </w:rPr>
        <w:t>the Commission</w:t>
      </w:r>
      <w:r w:rsidR="00AA1332" w:rsidRPr="0029160A">
        <w:rPr>
          <w:color w:val="000000" w:themeColor="text1"/>
          <w:szCs w:val="26"/>
        </w:rPr>
        <w:t>’s decision</w:t>
      </w:r>
      <w:r w:rsidRPr="0029160A">
        <w:rPr>
          <w:color w:val="000000" w:themeColor="text1"/>
          <w:szCs w:val="26"/>
        </w:rPr>
        <w:t xml:space="preserve"> in </w:t>
      </w:r>
      <w:r w:rsidR="00AA1332" w:rsidRPr="0029160A">
        <w:rPr>
          <w:color w:val="000000" w:themeColor="text1"/>
          <w:szCs w:val="26"/>
        </w:rPr>
        <w:t xml:space="preserve">the </w:t>
      </w:r>
      <w:r w:rsidR="00AA1332" w:rsidRPr="0029160A">
        <w:rPr>
          <w:i/>
          <w:iCs/>
          <w:color w:val="000000" w:themeColor="text1"/>
          <w:szCs w:val="26"/>
        </w:rPr>
        <w:t>UGI Order</w:t>
      </w:r>
      <w:r w:rsidRPr="0029160A">
        <w:rPr>
          <w:color w:val="000000" w:themeColor="text1"/>
          <w:szCs w:val="26"/>
        </w:rPr>
        <w:t xml:space="preserve"> was not erroneous.  OCA Exc. at 2-5 (citing R.D. at 10; OCA M.B. at 11-16; OCA R.B. at 4-8).</w:t>
      </w:r>
    </w:p>
    <w:p w14:paraId="7D65C279" w14:textId="77777777" w:rsidR="00056BF8" w:rsidRPr="0029160A" w:rsidRDefault="00056BF8">
      <w:pPr>
        <w:widowControl/>
        <w:spacing w:line="360" w:lineRule="auto"/>
        <w:ind w:firstLine="1440"/>
        <w:rPr>
          <w:color w:val="000000" w:themeColor="text1"/>
          <w:szCs w:val="26"/>
        </w:rPr>
      </w:pPr>
    </w:p>
    <w:p w14:paraId="43E287A1" w14:textId="44B4446A" w:rsidR="00056BF8" w:rsidRPr="0029160A" w:rsidRDefault="00056BF8">
      <w:pPr>
        <w:widowControl/>
        <w:spacing w:line="360" w:lineRule="auto"/>
        <w:ind w:firstLine="1440"/>
        <w:rPr>
          <w:color w:val="000000" w:themeColor="text1"/>
          <w:szCs w:val="26"/>
        </w:rPr>
      </w:pPr>
      <w:r w:rsidRPr="0029160A">
        <w:rPr>
          <w:color w:val="000000" w:themeColor="text1"/>
          <w:szCs w:val="26"/>
        </w:rPr>
        <w:t xml:space="preserve">Wellsboro did not file Exceptions on this issue.  In Replies, Wellsboro submits the Commission should deny the OCA’s Exception and approve the Company’s proposed rate base.  </w:t>
      </w:r>
      <w:r w:rsidR="00AA1332" w:rsidRPr="0029160A">
        <w:rPr>
          <w:color w:val="000000" w:themeColor="text1"/>
          <w:szCs w:val="26"/>
        </w:rPr>
        <w:t>Wellsboro argues that t</w:t>
      </w:r>
      <w:r w:rsidRPr="0029160A">
        <w:rPr>
          <w:color w:val="000000" w:themeColor="text1"/>
          <w:szCs w:val="26"/>
        </w:rPr>
        <w:t xml:space="preserve">he OCA has failed to present new evidence or arguments that would merit revisions to the Commission’s decision in the </w:t>
      </w:r>
      <w:r w:rsidRPr="0029160A">
        <w:rPr>
          <w:i/>
          <w:iCs/>
          <w:color w:val="000000" w:themeColor="text1"/>
          <w:szCs w:val="26"/>
        </w:rPr>
        <w:t>UGI Order</w:t>
      </w:r>
      <w:r w:rsidRPr="0029160A">
        <w:rPr>
          <w:color w:val="000000" w:themeColor="text1"/>
          <w:szCs w:val="26"/>
        </w:rPr>
        <w:t xml:space="preserve">, and, therefore, the Commission should apply its prior ruling here.  While the Commission is not bound by the rule of </w:t>
      </w:r>
      <w:r w:rsidRPr="0029160A">
        <w:rPr>
          <w:i/>
          <w:iCs/>
          <w:color w:val="000000" w:themeColor="text1"/>
          <w:szCs w:val="26"/>
        </w:rPr>
        <w:t>stare decisis</w:t>
      </w:r>
      <w:r w:rsidRPr="0029160A">
        <w:rPr>
          <w:color w:val="000000" w:themeColor="text1"/>
          <w:szCs w:val="26"/>
        </w:rPr>
        <w:t>, it is required to “render consistent opinions and should either follow, distinguish, or overrule [its] precedent.”</w:t>
      </w:r>
      <w:r w:rsidRPr="0029160A">
        <w:rPr>
          <w:color w:val="000000" w:themeColor="text1"/>
          <w:szCs w:val="26"/>
          <w:vertAlign w:val="superscript"/>
        </w:rPr>
        <w:footnoteReference w:id="12"/>
      </w:r>
      <w:r w:rsidRPr="0029160A">
        <w:rPr>
          <w:color w:val="000000" w:themeColor="text1"/>
          <w:szCs w:val="26"/>
        </w:rPr>
        <w:t xml:space="preserve">  Here, the OCA has failed to distinguish the facts at issue from the facts addressed in the </w:t>
      </w:r>
      <w:r w:rsidRPr="0029160A">
        <w:rPr>
          <w:i/>
          <w:iCs/>
          <w:color w:val="000000" w:themeColor="text1"/>
          <w:szCs w:val="26"/>
        </w:rPr>
        <w:t>UGI Order</w:t>
      </w:r>
      <w:r w:rsidRPr="0029160A">
        <w:rPr>
          <w:color w:val="000000" w:themeColor="text1"/>
          <w:szCs w:val="26"/>
        </w:rPr>
        <w:t xml:space="preserve">.  The </w:t>
      </w:r>
      <w:r w:rsidRPr="0029160A">
        <w:rPr>
          <w:color w:val="000000" w:themeColor="text1"/>
          <w:szCs w:val="26"/>
        </w:rPr>
        <w:lastRenderedPageBreak/>
        <w:t xml:space="preserve">arguments offered by </w:t>
      </w:r>
      <w:r w:rsidR="001C1914" w:rsidRPr="0029160A">
        <w:rPr>
          <w:color w:val="000000" w:themeColor="text1"/>
          <w:szCs w:val="26"/>
        </w:rPr>
        <w:t xml:space="preserve">the </w:t>
      </w:r>
      <w:r w:rsidRPr="0029160A">
        <w:rPr>
          <w:color w:val="000000" w:themeColor="text1"/>
          <w:szCs w:val="26"/>
        </w:rPr>
        <w:t>OCA in opposition to the end-of-test-year rate base methodology duplicate the arguments offered and rejected in the Commission</w:t>
      </w:r>
      <w:r w:rsidR="0042586E" w:rsidRPr="0029160A">
        <w:rPr>
          <w:color w:val="000000" w:themeColor="text1"/>
          <w:szCs w:val="26"/>
        </w:rPr>
        <w:t>’</w:t>
      </w:r>
      <w:r w:rsidRPr="0029160A">
        <w:rPr>
          <w:color w:val="000000" w:themeColor="text1"/>
          <w:szCs w:val="26"/>
        </w:rPr>
        <w:t xml:space="preserve">s </w:t>
      </w:r>
      <w:r w:rsidRPr="0029160A">
        <w:rPr>
          <w:i/>
          <w:iCs/>
          <w:color w:val="000000" w:themeColor="text1"/>
          <w:szCs w:val="26"/>
        </w:rPr>
        <w:t>UGI Order</w:t>
      </w:r>
      <w:r w:rsidRPr="0029160A">
        <w:rPr>
          <w:color w:val="000000" w:themeColor="text1"/>
          <w:szCs w:val="26"/>
        </w:rPr>
        <w:t xml:space="preserve">. </w:t>
      </w:r>
      <w:r w:rsidRPr="0029160A">
        <w:rPr>
          <w:iCs/>
          <w:color w:val="000000" w:themeColor="text1"/>
          <w:szCs w:val="26"/>
        </w:rPr>
        <w:t xml:space="preserve"> </w:t>
      </w:r>
      <w:r w:rsidRPr="0029160A">
        <w:rPr>
          <w:color w:val="000000" w:themeColor="text1"/>
          <w:szCs w:val="26"/>
        </w:rPr>
        <w:t>As the facts remain unchanged, a decision to apply Act 11 to bar use of the end-of-test-year rate base method would generate a discriminatory outcome for the Company.  To avoid this scenario, the Commission should deny OCA</w:t>
      </w:r>
      <w:r w:rsidR="00EA75F1" w:rsidRPr="0029160A">
        <w:rPr>
          <w:color w:val="000000" w:themeColor="text1"/>
          <w:szCs w:val="26"/>
        </w:rPr>
        <w:t>’</w:t>
      </w:r>
      <w:r w:rsidRPr="0029160A">
        <w:rPr>
          <w:color w:val="000000" w:themeColor="text1"/>
          <w:szCs w:val="26"/>
        </w:rPr>
        <w:t>s Exception No. 1 and uphold the R.D.</w:t>
      </w:r>
      <w:r w:rsidR="008C7457">
        <w:rPr>
          <w:color w:val="000000" w:themeColor="text1"/>
          <w:szCs w:val="26"/>
        </w:rPr>
        <w:t>’</w:t>
      </w:r>
      <w:r w:rsidRPr="0029160A">
        <w:rPr>
          <w:color w:val="000000" w:themeColor="text1"/>
          <w:szCs w:val="26"/>
        </w:rPr>
        <w:t>s acceptance of the end-of-test-year methodology for developing the Company</w:t>
      </w:r>
      <w:r w:rsidR="0042586E" w:rsidRPr="0029160A">
        <w:rPr>
          <w:color w:val="000000" w:themeColor="text1"/>
          <w:szCs w:val="26"/>
        </w:rPr>
        <w:t>’</w:t>
      </w:r>
      <w:r w:rsidRPr="0029160A">
        <w:rPr>
          <w:color w:val="000000" w:themeColor="text1"/>
          <w:szCs w:val="26"/>
        </w:rPr>
        <w:t>s rate base.  Wellsboro R. Exc. at 2-3 (citing Wellsboro M.B. at 18-23; Wellsboro R.B. at</w:t>
      </w:r>
      <w:r w:rsidR="00630624" w:rsidRPr="0029160A">
        <w:rPr>
          <w:color w:val="000000" w:themeColor="text1"/>
          <w:szCs w:val="26"/>
        </w:rPr>
        <w:t> </w:t>
      </w:r>
      <w:r w:rsidRPr="0029160A">
        <w:rPr>
          <w:color w:val="000000" w:themeColor="text1"/>
          <w:szCs w:val="26"/>
        </w:rPr>
        <w:t>4).</w:t>
      </w:r>
    </w:p>
    <w:p w14:paraId="647A0613" w14:textId="77777777" w:rsidR="00475586" w:rsidRPr="0029160A" w:rsidRDefault="00475586">
      <w:pPr>
        <w:widowControl/>
        <w:spacing w:line="360" w:lineRule="auto"/>
        <w:rPr>
          <w:color w:val="000000" w:themeColor="text1"/>
          <w:szCs w:val="26"/>
        </w:rPr>
      </w:pPr>
    </w:p>
    <w:p w14:paraId="3847F7E5" w14:textId="3667B86B" w:rsidR="00475586" w:rsidRPr="0029160A" w:rsidRDefault="00475586" w:rsidP="0092278F">
      <w:pPr>
        <w:pStyle w:val="Heading4"/>
        <w:keepNext/>
        <w:ind w:hanging="720"/>
        <w:contextualSpacing w:val="0"/>
        <w:rPr>
          <w:color w:val="000000" w:themeColor="text1"/>
        </w:rPr>
      </w:pPr>
      <w:bookmarkStart w:id="43" w:name="_Toc38951738"/>
      <w:r w:rsidRPr="0029160A">
        <w:rPr>
          <w:color w:val="000000" w:themeColor="text1"/>
        </w:rPr>
        <w:t>Disposition</w:t>
      </w:r>
      <w:bookmarkEnd w:id="43"/>
    </w:p>
    <w:p w14:paraId="441AA56E" w14:textId="77777777" w:rsidR="00630624" w:rsidRPr="0029160A" w:rsidRDefault="00630624" w:rsidP="0092278F">
      <w:pPr>
        <w:keepNext/>
        <w:rPr>
          <w:color w:val="000000" w:themeColor="text1"/>
        </w:rPr>
      </w:pPr>
    </w:p>
    <w:p w14:paraId="15F01845" w14:textId="77777777" w:rsidR="005B2A99" w:rsidRPr="0029160A" w:rsidRDefault="002A6541" w:rsidP="00CB0B2E">
      <w:pPr>
        <w:keepNext/>
        <w:widowControl/>
        <w:spacing w:line="360" w:lineRule="auto"/>
        <w:ind w:firstLine="1440"/>
        <w:rPr>
          <w:rFonts w:eastAsia="Calibri"/>
          <w:color w:val="000000" w:themeColor="text1"/>
          <w:szCs w:val="26"/>
        </w:rPr>
      </w:pPr>
      <w:r w:rsidRPr="0029160A">
        <w:rPr>
          <w:rFonts w:eastAsia="Calibri"/>
          <w:color w:val="000000" w:themeColor="text1"/>
          <w:szCs w:val="26"/>
        </w:rPr>
        <w:t>Upon review, we agree with the rationale and the recommendation of the ALJs to permit Wellsboro to utilize a year-end rate base methodology.</w:t>
      </w:r>
      <w:r w:rsidR="00724CAA" w:rsidRPr="0029160A">
        <w:rPr>
          <w:rFonts w:eastAsia="Calibri"/>
          <w:color w:val="000000" w:themeColor="text1"/>
          <w:szCs w:val="26"/>
        </w:rPr>
        <w:t xml:space="preserve"> </w:t>
      </w:r>
      <w:r w:rsidRPr="0029160A">
        <w:rPr>
          <w:rFonts w:eastAsia="Calibri"/>
          <w:color w:val="000000" w:themeColor="text1"/>
          <w:szCs w:val="26"/>
        </w:rPr>
        <w:t xml:space="preserve"> Accordingly, we shall deny the OCA’s Exception on this issue </w:t>
      </w:r>
      <w:r w:rsidR="008A05C9" w:rsidRPr="0029160A">
        <w:rPr>
          <w:color w:val="000000" w:themeColor="text1"/>
          <w:szCs w:val="26"/>
        </w:rPr>
        <w:t xml:space="preserve">and adopt the ALJs’ Recommended Decision on this issue. </w:t>
      </w:r>
    </w:p>
    <w:p w14:paraId="36DFDDF7" w14:textId="77777777" w:rsidR="005B2A99" w:rsidRPr="0029160A" w:rsidRDefault="005B2A99">
      <w:pPr>
        <w:widowControl/>
        <w:tabs>
          <w:tab w:val="left" w:pos="-720"/>
        </w:tabs>
        <w:spacing w:line="360" w:lineRule="auto"/>
        <w:ind w:firstLine="1440"/>
        <w:contextualSpacing/>
        <w:rPr>
          <w:color w:val="000000" w:themeColor="text1"/>
          <w:szCs w:val="26"/>
        </w:rPr>
      </w:pPr>
    </w:p>
    <w:p w14:paraId="455330D6" w14:textId="77777777" w:rsidR="002A6541" w:rsidRPr="0029160A" w:rsidRDefault="00756E55">
      <w:pPr>
        <w:widowControl/>
        <w:tabs>
          <w:tab w:val="left" w:pos="-720"/>
        </w:tabs>
        <w:spacing w:line="360" w:lineRule="auto"/>
        <w:ind w:firstLine="1440"/>
        <w:contextualSpacing/>
        <w:rPr>
          <w:rFonts w:eastAsia="Calibri"/>
          <w:color w:val="000000" w:themeColor="text1"/>
          <w:szCs w:val="26"/>
        </w:rPr>
      </w:pPr>
      <w:r w:rsidRPr="0029160A">
        <w:rPr>
          <w:rFonts w:eastAsia="Calibri"/>
          <w:color w:val="000000" w:themeColor="text1"/>
          <w:szCs w:val="26"/>
        </w:rPr>
        <w:t xml:space="preserve">The </w:t>
      </w:r>
      <w:r w:rsidR="00633B38" w:rsidRPr="0029160A">
        <w:rPr>
          <w:rFonts w:eastAsia="Calibri"/>
          <w:color w:val="000000" w:themeColor="text1"/>
          <w:szCs w:val="26"/>
        </w:rPr>
        <w:t xml:space="preserve">test year </w:t>
      </w:r>
      <w:r w:rsidRPr="0029160A">
        <w:rPr>
          <w:rFonts w:eastAsia="Calibri"/>
          <w:color w:val="000000" w:themeColor="text1"/>
          <w:szCs w:val="26"/>
        </w:rPr>
        <w:t>concept</w:t>
      </w:r>
      <w:r w:rsidR="00AA1332" w:rsidRPr="0029160A">
        <w:rPr>
          <w:rFonts w:eastAsia="Calibri"/>
          <w:color w:val="000000" w:themeColor="text1"/>
          <w:szCs w:val="26"/>
        </w:rPr>
        <w:t>,</w:t>
      </w:r>
      <w:r w:rsidRPr="0029160A">
        <w:rPr>
          <w:rFonts w:eastAsia="Calibri"/>
          <w:color w:val="000000" w:themeColor="text1"/>
          <w:szCs w:val="26"/>
        </w:rPr>
        <w:t xml:space="preserve"> as used by a utility in developing base rates</w:t>
      </w:r>
      <w:r w:rsidR="00AA1332" w:rsidRPr="0029160A">
        <w:rPr>
          <w:rFonts w:eastAsia="Calibri"/>
          <w:color w:val="000000" w:themeColor="text1"/>
          <w:szCs w:val="26"/>
        </w:rPr>
        <w:t>,</w:t>
      </w:r>
      <w:r w:rsidRPr="0029160A">
        <w:rPr>
          <w:rFonts w:eastAsia="Calibri"/>
          <w:color w:val="000000" w:themeColor="text1"/>
          <w:szCs w:val="26"/>
        </w:rPr>
        <w:t xml:space="preserve"> was explained in </w:t>
      </w:r>
      <w:r w:rsidR="002A6541" w:rsidRPr="0029160A">
        <w:rPr>
          <w:rFonts w:eastAsia="Calibri"/>
          <w:color w:val="000000" w:themeColor="text1"/>
          <w:szCs w:val="26"/>
        </w:rPr>
        <w:t>the Commonwealth Court</w:t>
      </w:r>
      <w:r w:rsidRPr="0029160A">
        <w:rPr>
          <w:rFonts w:eastAsia="Calibri"/>
          <w:color w:val="000000" w:themeColor="text1"/>
          <w:szCs w:val="26"/>
        </w:rPr>
        <w:t xml:space="preserve">’s recent </w:t>
      </w:r>
      <w:r w:rsidRPr="0029160A">
        <w:rPr>
          <w:rFonts w:eastAsia="Calibri"/>
          <w:i/>
          <w:iCs/>
          <w:color w:val="000000" w:themeColor="text1"/>
          <w:szCs w:val="26"/>
        </w:rPr>
        <w:t>McCloske</w:t>
      </w:r>
      <w:r w:rsidRPr="0029160A">
        <w:rPr>
          <w:rFonts w:eastAsia="Calibri"/>
          <w:color w:val="000000" w:themeColor="text1"/>
          <w:szCs w:val="26"/>
        </w:rPr>
        <w:t>y decision</w:t>
      </w:r>
      <w:r w:rsidR="002A6541" w:rsidRPr="0029160A">
        <w:rPr>
          <w:rFonts w:eastAsia="Calibri"/>
          <w:color w:val="000000" w:themeColor="text1"/>
          <w:szCs w:val="26"/>
        </w:rPr>
        <w:t>:</w:t>
      </w:r>
    </w:p>
    <w:p w14:paraId="23854EFF" w14:textId="77777777" w:rsidR="002A6541" w:rsidRPr="0029160A" w:rsidRDefault="002A6541" w:rsidP="0092278F">
      <w:pPr>
        <w:widowControl/>
        <w:tabs>
          <w:tab w:val="left" w:pos="-720"/>
        </w:tabs>
        <w:contextualSpacing/>
        <w:rPr>
          <w:color w:val="000000" w:themeColor="text1"/>
          <w:szCs w:val="26"/>
        </w:rPr>
      </w:pPr>
    </w:p>
    <w:p w14:paraId="4C344A87" w14:textId="49ED88C6" w:rsidR="00756E55" w:rsidRPr="0029160A" w:rsidRDefault="00756E55" w:rsidP="0092278F">
      <w:pPr>
        <w:keepNext/>
        <w:widowControl/>
        <w:tabs>
          <w:tab w:val="left" w:pos="-720"/>
        </w:tabs>
        <w:ind w:left="1440" w:right="1440"/>
        <w:contextualSpacing/>
        <w:rPr>
          <w:color w:val="000000" w:themeColor="text1"/>
          <w:szCs w:val="26"/>
        </w:rPr>
      </w:pPr>
      <w:r w:rsidRPr="0029160A">
        <w:rPr>
          <w:color w:val="000000" w:themeColor="text1"/>
          <w:szCs w:val="26"/>
        </w:rPr>
        <w:t>To meet [its] burden of proof</w:t>
      </w:r>
      <w:r w:rsidR="00DB5A52" w:rsidRPr="0029160A">
        <w:rPr>
          <w:color w:val="000000" w:themeColor="text1"/>
          <w:szCs w:val="26"/>
        </w:rPr>
        <w:t xml:space="preserve">, a utility uses a test year, which is a snapshot of time that reflects the typical conditions, revenues, expenses, and capital costs of the utility.  </w:t>
      </w:r>
      <w:r w:rsidR="00DB5A52" w:rsidRPr="0029160A">
        <w:rPr>
          <w:i/>
          <w:iCs/>
          <w:color w:val="000000" w:themeColor="text1"/>
          <w:szCs w:val="26"/>
        </w:rPr>
        <w:t>See Green v. Pa. PUC</w:t>
      </w:r>
      <w:r w:rsidR="00DB5A52" w:rsidRPr="0029160A">
        <w:rPr>
          <w:color w:val="000000" w:themeColor="text1"/>
          <w:szCs w:val="26"/>
        </w:rPr>
        <w:t xml:space="preserve">, 473 A.2d 209, 213-15 (Pa. Cmwlth. 1984) (describing generally items within a test year); </w:t>
      </w:r>
      <w:r w:rsidR="00DB5A52" w:rsidRPr="0029160A">
        <w:rPr>
          <w:i/>
          <w:iCs/>
          <w:color w:val="000000" w:themeColor="text1"/>
          <w:szCs w:val="26"/>
        </w:rPr>
        <w:t>City of Pittsburgh v. Pa. PUC</w:t>
      </w:r>
      <w:r w:rsidR="00DB5A52" w:rsidRPr="0029160A">
        <w:rPr>
          <w:color w:val="000000" w:themeColor="text1"/>
          <w:szCs w:val="26"/>
        </w:rPr>
        <w:t>, 112 A.2d 826, 832 (Pa. Super. 1955) (indicating that a condition to be considered in examining a test year is the weather during that year).  A utility may use a historic test year (HTY), the year prior to the filing of the rate case</w:t>
      </w:r>
      <w:r w:rsidRPr="0029160A">
        <w:rPr>
          <w:color w:val="000000" w:themeColor="text1"/>
          <w:szCs w:val="26"/>
        </w:rPr>
        <w:t>, or</w:t>
      </w:r>
      <w:r w:rsidR="00DB5A52" w:rsidRPr="0029160A">
        <w:rPr>
          <w:color w:val="000000" w:themeColor="text1"/>
          <w:szCs w:val="26"/>
        </w:rPr>
        <w:t xml:space="preserve"> a future test year (FTY), the year ending shortly before the date the new rates would go into effect</w:t>
      </w:r>
      <w:r w:rsidRPr="0029160A">
        <w:rPr>
          <w:color w:val="000000" w:themeColor="text1"/>
          <w:szCs w:val="26"/>
        </w:rPr>
        <w:t>,</w:t>
      </w:r>
      <w:r w:rsidR="00DB5A52" w:rsidRPr="0029160A">
        <w:rPr>
          <w:color w:val="000000" w:themeColor="text1"/>
          <w:szCs w:val="26"/>
        </w:rPr>
        <w:t xml:space="preserve"> </w:t>
      </w:r>
      <w:r w:rsidRPr="0029160A">
        <w:rPr>
          <w:color w:val="000000" w:themeColor="text1"/>
          <w:szCs w:val="26"/>
        </w:rPr>
        <w:t xml:space="preserve">to determine the amount of the rate base upon which its new rates would be calculated.  Historically, in order for certain facility or related costs to be included in a utility’s rate base, the facility had to be “used and useful” and “in service to the </w:t>
      </w:r>
      <w:r w:rsidRPr="0029160A">
        <w:rPr>
          <w:color w:val="000000" w:themeColor="text1"/>
          <w:szCs w:val="26"/>
        </w:rPr>
        <w:lastRenderedPageBreak/>
        <w:t>public” at the time the rate base was being calculated. Section</w:t>
      </w:r>
      <w:r w:rsidR="00EA75F1" w:rsidRPr="0029160A">
        <w:rPr>
          <w:color w:val="000000" w:themeColor="text1"/>
          <w:szCs w:val="26"/>
        </w:rPr>
        <w:t> </w:t>
      </w:r>
      <w:r w:rsidRPr="0029160A">
        <w:rPr>
          <w:color w:val="000000" w:themeColor="text1"/>
          <w:szCs w:val="26"/>
        </w:rPr>
        <w:t>1315 of the Code, 66 Pa. C.S. § 1315.</w:t>
      </w:r>
      <w:bookmarkStart w:id="44" w:name="co_fnRef_B00032050131946_ID0E4OAG_1"/>
      <w:bookmarkEnd w:id="44"/>
      <w:r w:rsidRPr="0029160A">
        <w:rPr>
          <w:color w:val="000000" w:themeColor="text1"/>
          <w:szCs w:val="26"/>
        </w:rPr>
        <w:t xml:space="preserve"> However, the manner in which a utility could meet its burden of proof changed in 2012, when the General Assembly enacted a series of amendments to the Code, including to Section 315(e)… to allow a utility to use a “fully projected future test year” (FPFTY) to satisfy its burden of proving the reasonableness of its proposed rates. 66 Pa. C.S. § 315(e) (emphasis added). The FPFTY is “the 12-month period beginning with the first month that the new rates will be placed in effect after application of the full suspension period permitted under section 1308(d) [ (a period not to exceed seven months) ].” </w:t>
      </w:r>
      <w:r w:rsidRPr="0029160A">
        <w:rPr>
          <w:i/>
          <w:iCs/>
          <w:color w:val="000000" w:themeColor="text1"/>
          <w:szCs w:val="26"/>
        </w:rPr>
        <w:t>Id.</w:t>
      </w:r>
      <w:r w:rsidRPr="0029160A">
        <w:rPr>
          <w:color w:val="000000" w:themeColor="text1"/>
          <w:szCs w:val="26"/>
        </w:rPr>
        <w:t xml:space="preserve"> </w:t>
      </w:r>
    </w:p>
    <w:p w14:paraId="07062FBD" w14:textId="77777777" w:rsidR="0092278F" w:rsidRPr="0029160A" w:rsidRDefault="0092278F" w:rsidP="0092278F">
      <w:pPr>
        <w:keepNext/>
        <w:widowControl/>
        <w:tabs>
          <w:tab w:val="left" w:pos="-720"/>
        </w:tabs>
        <w:spacing w:line="360" w:lineRule="auto"/>
        <w:ind w:left="1440" w:right="1440"/>
        <w:contextualSpacing/>
        <w:rPr>
          <w:color w:val="000000" w:themeColor="text1"/>
          <w:szCs w:val="26"/>
        </w:rPr>
      </w:pPr>
    </w:p>
    <w:p w14:paraId="050ECB73" w14:textId="6725AEEF" w:rsidR="00DB5A52" w:rsidRPr="0029160A" w:rsidRDefault="00DB5A52" w:rsidP="0092278F">
      <w:pPr>
        <w:keepNext/>
        <w:widowControl/>
        <w:tabs>
          <w:tab w:val="left" w:pos="-720"/>
        </w:tabs>
        <w:spacing w:line="360" w:lineRule="auto"/>
        <w:contextualSpacing/>
        <w:rPr>
          <w:color w:val="000000" w:themeColor="text1"/>
          <w:szCs w:val="26"/>
        </w:rPr>
      </w:pPr>
      <w:r w:rsidRPr="0029160A">
        <w:rPr>
          <w:i/>
          <w:iCs/>
          <w:color w:val="000000" w:themeColor="text1"/>
          <w:szCs w:val="26"/>
        </w:rPr>
        <w:t>McCloskey</w:t>
      </w:r>
      <w:r w:rsidRPr="0029160A">
        <w:rPr>
          <w:color w:val="000000" w:themeColor="text1"/>
          <w:szCs w:val="26"/>
        </w:rPr>
        <w:t xml:space="preserve"> at *2-3. </w:t>
      </w:r>
    </w:p>
    <w:p w14:paraId="2BB4F1D3" w14:textId="77777777" w:rsidR="00984331" w:rsidRPr="0029160A" w:rsidRDefault="00984331">
      <w:pPr>
        <w:widowControl/>
        <w:tabs>
          <w:tab w:val="left" w:pos="-720"/>
        </w:tabs>
        <w:spacing w:line="360" w:lineRule="auto"/>
        <w:contextualSpacing/>
        <w:rPr>
          <w:color w:val="000000" w:themeColor="text1"/>
          <w:szCs w:val="26"/>
        </w:rPr>
      </w:pPr>
    </w:p>
    <w:p w14:paraId="403D41AA" w14:textId="77777777" w:rsidR="00332D14" w:rsidRPr="0029160A" w:rsidRDefault="00332D14" w:rsidP="00CB0B2E">
      <w:pPr>
        <w:widowControl/>
        <w:autoSpaceDE w:val="0"/>
        <w:autoSpaceDN w:val="0"/>
        <w:adjustRightInd w:val="0"/>
        <w:spacing w:line="360" w:lineRule="auto"/>
        <w:ind w:firstLine="1440"/>
        <w:rPr>
          <w:color w:val="000000" w:themeColor="text1"/>
          <w:szCs w:val="26"/>
        </w:rPr>
      </w:pPr>
      <w:r w:rsidRPr="0029160A">
        <w:rPr>
          <w:color w:val="000000" w:themeColor="text1"/>
          <w:szCs w:val="26"/>
        </w:rPr>
        <w:t xml:space="preserve">In the </w:t>
      </w:r>
      <w:r w:rsidRPr="0029160A">
        <w:rPr>
          <w:i/>
          <w:iCs/>
          <w:color w:val="000000" w:themeColor="text1"/>
          <w:szCs w:val="26"/>
        </w:rPr>
        <w:t>UGI Order</w:t>
      </w:r>
      <w:r w:rsidRPr="0029160A">
        <w:rPr>
          <w:color w:val="000000" w:themeColor="text1"/>
          <w:szCs w:val="26"/>
        </w:rPr>
        <w:t>, the Commission agreed with and adopted the ALJs’ recommendation and rationale that UGI be permitted to utilize a year-end methodology for calculating its rate base</w:t>
      </w:r>
      <w:r w:rsidR="00633B38" w:rsidRPr="0029160A">
        <w:rPr>
          <w:color w:val="000000" w:themeColor="text1"/>
          <w:szCs w:val="26"/>
        </w:rPr>
        <w:t xml:space="preserve"> using a FPFTY</w:t>
      </w:r>
      <w:r w:rsidRPr="0029160A">
        <w:rPr>
          <w:color w:val="000000" w:themeColor="text1"/>
          <w:szCs w:val="26"/>
        </w:rPr>
        <w:t xml:space="preserve">. </w:t>
      </w:r>
      <w:r w:rsidR="00AA1332" w:rsidRPr="0029160A">
        <w:rPr>
          <w:color w:val="000000" w:themeColor="text1"/>
          <w:szCs w:val="26"/>
        </w:rPr>
        <w:t xml:space="preserve"> </w:t>
      </w:r>
      <w:r w:rsidRPr="0029160A">
        <w:rPr>
          <w:color w:val="000000" w:themeColor="text1"/>
          <w:szCs w:val="26"/>
        </w:rPr>
        <w:t xml:space="preserve">Pointing to the purposes of Act 11 to address regulatory lag and to encourage plant investment to counter aging utility infrastructure, the Commission explained these purposes are addressed by allowing the use of the FPFTY. </w:t>
      </w:r>
      <w:r w:rsidR="00AA1332" w:rsidRPr="0029160A">
        <w:rPr>
          <w:color w:val="000000" w:themeColor="text1"/>
          <w:szCs w:val="26"/>
        </w:rPr>
        <w:t xml:space="preserve"> </w:t>
      </w:r>
      <w:r w:rsidRPr="0029160A">
        <w:rPr>
          <w:color w:val="000000" w:themeColor="text1"/>
          <w:szCs w:val="26"/>
        </w:rPr>
        <w:t xml:space="preserve">Reviewing the statutory language of Section 315(e), and its exemption from Section 1315 for utilities using the FPFTY, the Commission held that the “used and useful” language in Section 1315 is not a bar to including plants added during the FPFTY. </w:t>
      </w:r>
      <w:r w:rsidR="00AA1332" w:rsidRPr="0029160A">
        <w:rPr>
          <w:color w:val="000000" w:themeColor="text1"/>
          <w:szCs w:val="26"/>
        </w:rPr>
        <w:t xml:space="preserve"> </w:t>
      </w:r>
      <w:r w:rsidRPr="0029160A">
        <w:rPr>
          <w:color w:val="000000" w:themeColor="text1"/>
          <w:szCs w:val="26"/>
        </w:rPr>
        <w:t>The Commission</w:t>
      </w:r>
      <w:r w:rsidR="00633B38" w:rsidRPr="0029160A">
        <w:rPr>
          <w:color w:val="000000" w:themeColor="text1"/>
          <w:szCs w:val="26"/>
        </w:rPr>
        <w:t xml:space="preserve"> determined that</w:t>
      </w:r>
      <w:r w:rsidRPr="0029160A">
        <w:rPr>
          <w:color w:val="000000" w:themeColor="text1"/>
          <w:szCs w:val="26"/>
        </w:rPr>
        <w:t xml:space="preserve">, the use of the FPFTY, as authorized by Section 315(e), allows a utility to project revenue requirements and ratemaking components throughout the 12-month period beginning with the first month the new rates would begin and to recover those amounts as part of the rate base.  </w:t>
      </w:r>
      <w:r w:rsidRPr="0029160A">
        <w:rPr>
          <w:i/>
          <w:iCs/>
          <w:color w:val="000000" w:themeColor="text1"/>
          <w:szCs w:val="26"/>
        </w:rPr>
        <w:t>McCloskey</w:t>
      </w:r>
      <w:r w:rsidRPr="0029160A">
        <w:rPr>
          <w:color w:val="000000" w:themeColor="text1"/>
          <w:szCs w:val="26"/>
        </w:rPr>
        <w:t xml:space="preserve"> at *6 (citing </w:t>
      </w:r>
      <w:r w:rsidRPr="0029160A">
        <w:rPr>
          <w:i/>
          <w:iCs/>
          <w:color w:val="000000" w:themeColor="text1"/>
          <w:szCs w:val="26"/>
        </w:rPr>
        <w:t>UGI Order</w:t>
      </w:r>
      <w:r w:rsidRPr="0029160A">
        <w:rPr>
          <w:color w:val="000000" w:themeColor="text1"/>
          <w:szCs w:val="26"/>
        </w:rPr>
        <w:t xml:space="preserve"> at 23-24).</w:t>
      </w:r>
    </w:p>
    <w:p w14:paraId="090CEFDA" w14:textId="77777777" w:rsidR="00332D14" w:rsidRPr="0029160A" w:rsidRDefault="00332D14">
      <w:pPr>
        <w:widowControl/>
        <w:tabs>
          <w:tab w:val="left" w:pos="-720"/>
        </w:tabs>
        <w:spacing w:line="360" w:lineRule="auto"/>
        <w:ind w:firstLine="1440"/>
        <w:contextualSpacing/>
        <w:rPr>
          <w:rFonts w:eastAsiaTheme="minorHAnsi"/>
          <w:color w:val="000000" w:themeColor="text1"/>
          <w:szCs w:val="26"/>
        </w:rPr>
      </w:pPr>
    </w:p>
    <w:p w14:paraId="505A308C" w14:textId="77777777" w:rsidR="00DB5A52" w:rsidRPr="0029160A" w:rsidRDefault="00633B38">
      <w:pPr>
        <w:widowControl/>
        <w:tabs>
          <w:tab w:val="left" w:pos="-720"/>
        </w:tabs>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The Commonwealth Court upheld the Commission’s decision to permit UGI to utilize a year-end methodology</w:t>
      </w:r>
      <w:r w:rsidR="00AA1332" w:rsidRPr="0029160A">
        <w:rPr>
          <w:rFonts w:eastAsiaTheme="minorHAnsi"/>
          <w:color w:val="000000" w:themeColor="text1"/>
          <w:szCs w:val="26"/>
        </w:rPr>
        <w:t xml:space="preserve"> for plant-in-service in the rate base claim</w:t>
      </w:r>
      <w:r w:rsidRPr="0029160A">
        <w:rPr>
          <w:rFonts w:eastAsiaTheme="minorHAnsi"/>
          <w:color w:val="000000" w:themeColor="text1"/>
          <w:szCs w:val="26"/>
        </w:rPr>
        <w:t xml:space="preserve"> in the </w:t>
      </w:r>
      <w:r w:rsidRPr="0029160A">
        <w:rPr>
          <w:rFonts w:eastAsiaTheme="minorHAnsi"/>
          <w:i/>
          <w:iCs/>
          <w:color w:val="000000" w:themeColor="text1"/>
          <w:szCs w:val="26"/>
        </w:rPr>
        <w:lastRenderedPageBreak/>
        <w:t>UGI Order</w:t>
      </w:r>
      <w:r w:rsidRPr="0029160A">
        <w:rPr>
          <w:rFonts w:eastAsiaTheme="minorHAnsi"/>
          <w:color w:val="000000" w:themeColor="text1"/>
          <w:szCs w:val="26"/>
        </w:rPr>
        <w:t xml:space="preserve">. </w:t>
      </w:r>
      <w:r w:rsidR="00AA1332" w:rsidRPr="0029160A">
        <w:rPr>
          <w:rFonts w:eastAsiaTheme="minorHAnsi"/>
          <w:color w:val="000000" w:themeColor="text1"/>
          <w:szCs w:val="26"/>
        </w:rPr>
        <w:t xml:space="preserve"> </w:t>
      </w:r>
      <w:r w:rsidRPr="0029160A">
        <w:rPr>
          <w:i/>
          <w:iCs/>
          <w:color w:val="000000" w:themeColor="text1"/>
          <w:szCs w:val="26"/>
        </w:rPr>
        <w:t>McCloskey</w:t>
      </w:r>
      <w:r w:rsidRPr="0029160A">
        <w:rPr>
          <w:color w:val="000000" w:themeColor="text1"/>
          <w:szCs w:val="26"/>
        </w:rPr>
        <w:t xml:space="preserve"> at *11-12. </w:t>
      </w:r>
      <w:r w:rsidR="00AA1332" w:rsidRPr="0029160A">
        <w:rPr>
          <w:color w:val="000000" w:themeColor="text1"/>
          <w:szCs w:val="26"/>
        </w:rPr>
        <w:t xml:space="preserve"> </w:t>
      </w:r>
      <w:r w:rsidRPr="0029160A">
        <w:rPr>
          <w:rFonts w:eastAsiaTheme="minorHAnsi"/>
          <w:color w:val="000000" w:themeColor="text1"/>
          <w:szCs w:val="26"/>
        </w:rPr>
        <w:t xml:space="preserve">In affirming the Commission, </w:t>
      </w:r>
      <w:r w:rsidR="00DB5A52" w:rsidRPr="0029160A">
        <w:rPr>
          <w:color w:val="000000" w:themeColor="text1"/>
          <w:szCs w:val="26"/>
        </w:rPr>
        <w:t>the Commonwealth Cour</w:t>
      </w:r>
      <w:r w:rsidRPr="0029160A">
        <w:rPr>
          <w:color w:val="000000" w:themeColor="text1"/>
          <w:szCs w:val="26"/>
        </w:rPr>
        <w:t>t</w:t>
      </w:r>
      <w:r w:rsidR="00DB5A52" w:rsidRPr="0029160A">
        <w:rPr>
          <w:color w:val="000000" w:themeColor="text1"/>
          <w:szCs w:val="26"/>
        </w:rPr>
        <w:t xml:space="preserve"> stated:</w:t>
      </w:r>
    </w:p>
    <w:p w14:paraId="2F054719" w14:textId="77777777" w:rsidR="00DB5A52" w:rsidRPr="0029160A" w:rsidRDefault="00DB5A52" w:rsidP="0092278F">
      <w:pPr>
        <w:widowControl/>
        <w:tabs>
          <w:tab w:val="left" w:pos="-720"/>
        </w:tabs>
        <w:ind w:firstLine="1440"/>
        <w:contextualSpacing/>
        <w:rPr>
          <w:color w:val="000000" w:themeColor="text1"/>
          <w:szCs w:val="26"/>
        </w:rPr>
      </w:pPr>
    </w:p>
    <w:p w14:paraId="7885548F" w14:textId="7AB9B504" w:rsidR="00DB5A52" w:rsidRPr="0029160A" w:rsidRDefault="00633B38" w:rsidP="00F2758C">
      <w:pPr>
        <w:keepNext/>
        <w:widowControl/>
        <w:tabs>
          <w:tab w:val="left" w:pos="-720"/>
        </w:tabs>
        <w:ind w:left="720" w:right="720"/>
        <w:rPr>
          <w:color w:val="000000" w:themeColor="text1"/>
          <w:szCs w:val="26"/>
        </w:rPr>
      </w:pPr>
      <w:r w:rsidRPr="0029160A">
        <w:rPr>
          <w:color w:val="000000" w:themeColor="text1"/>
          <w:szCs w:val="26"/>
        </w:rPr>
        <w:t>[</w:t>
      </w:r>
      <w:r w:rsidR="00DB5A52" w:rsidRPr="0029160A">
        <w:rPr>
          <w:color w:val="000000" w:themeColor="text1"/>
          <w:szCs w:val="26"/>
        </w:rPr>
        <w:t>U</w:t>
      </w:r>
      <w:r w:rsidRPr="0029160A">
        <w:rPr>
          <w:color w:val="000000" w:themeColor="text1"/>
          <w:szCs w:val="26"/>
        </w:rPr>
        <w:t>]</w:t>
      </w:r>
      <w:r w:rsidR="00DB5A52" w:rsidRPr="0029160A">
        <w:rPr>
          <w:color w:val="000000" w:themeColor="text1"/>
          <w:szCs w:val="26"/>
        </w:rPr>
        <w:t xml:space="preserve">nder Section 315(e)’s plain language, a utility can include in its rate base, if permitted by the Commission, the costs of facilities that are not yet in service, but that are projected to be in service during the 12-month period beginning with the first month the new rates will be in effect.  </w:t>
      </w:r>
      <w:r w:rsidRPr="0029160A">
        <w:rPr>
          <w:color w:val="000000" w:themeColor="text1"/>
          <w:szCs w:val="26"/>
        </w:rPr>
        <w:t>Section 315(e) does not speak in terms of averages or partially projected test years – it says facilities that are projected to be in service during the 12-month period that is statutorily defined as the FPFTY can be included in the rate base. This 12-month period includes day 1, as well as day 365.</w:t>
      </w:r>
    </w:p>
    <w:p w14:paraId="41625855" w14:textId="77777777" w:rsidR="00F2758C" w:rsidRPr="0029160A" w:rsidRDefault="00F2758C" w:rsidP="00F2758C">
      <w:pPr>
        <w:keepNext/>
        <w:widowControl/>
        <w:tabs>
          <w:tab w:val="left" w:pos="-720"/>
        </w:tabs>
        <w:spacing w:line="360" w:lineRule="auto"/>
        <w:ind w:left="720" w:right="720"/>
        <w:rPr>
          <w:color w:val="000000" w:themeColor="text1"/>
          <w:szCs w:val="26"/>
        </w:rPr>
      </w:pPr>
    </w:p>
    <w:p w14:paraId="4C0671A9" w14:textId="77777777" w:rsidR="00475586" w:rsidRPr="0029160A" w:rsidRDefault="00DB5A52" w:rsidP="00F2758C">
      <w:pPr>
        <w:keepNext/>
        <w:widowControl/>
        <w:tabs>
          <w:tab w:val="left" w:pos="-720"/>
        </w:tabs>
        <w:spacing w:line="360" w:lineRule="auto"/>
        <w:rPr>
          <w:color w:val="000000" w:themeColor="text1"/>
          <w:szCs w:val="26"/>
        </w:rPr>
      </w:pPr>
      <w:r w:rsidRPr="0029160A">
        <w:rPr>
          <w:i/>
          <w:iCs/>
          <w:color w:val="000000" w:themeColor="text1"/>
          <w:szCs w:val="26"/>
        </w:rPr>
        <w:t>McCloskey</w:t>
      </w:r>
      <w:r w:rsidRPr="0029160A">
        <w:rPr>
          <w:color w:val="000000" w:themeColor="text1"/>
          <w:szCs w:val="26"/>
        </w:rPr>
        <w:t xml:space="preserve"> at *11</w:t>
      </w:r>
      <w:r w:rsidR="00633B38" w:rsidRPr="0029160A">
        <w:rPr>
          <w:color w:val="000000" w:themeColor="text1"/>
          <w:szCs w:val="26"/>
        </w:rPr>
        <w:t xml:space="preserve">. </w:t>
      </w:r>
      <w:r w:rsidR="00AA1332" w:rsidRPr="0029160A">
        <w:rPr>
          <w:color w:val="000000" w:themeColor="text1"/>
          <w:szCs w:val="26"/>
        </w:rPr>
        <w:t xml:space="preserve"> </w:t>
      </w:r>
      <w:r w:rsidR="00162EC0" w:rsidRPr="0029160A">
        <w:rPr>
          <w:color w:val="000000" w:themeColor="text1"/>
          <w:szCs w:val="26"/>
        </w:rPr>
        <w:t>Thus,</w:t>
      </w:r>
      <w:r w:rsidR="00633B38" w:rsidRPr="0029160A">
        <w:rPr>
          <w:color w:val="000000" w:themeColor="text1"/>
          <w:szCs w:val="26"/>
        </w:rPr>
        <w:t xml:space="preserve"> we concur with the ALJs’ determination </w:t>
      </w:r>
      <w:r w:rsidR="00162EC0" w:rsidRPr="0029160A">
        <w:rPr>
          <w:color w:val="000000" w:themeColor="text1"/>
          <w:szCs w:val="26"/>
        </w:rPr>
        <w:t xml:space="preserve">that Wellsboro’s use of a year-end rate base methodology is consistent with </w:t>
      </w:r>
      <w:r w:rsidR="00D84D83" w:rsidRPr="0029160A">
        <w:rPr>
          <w:color w:val="000000" w:themeColor="text1"/>
          <w:szCs w:val="26"/>
        </w:rPr>
        <w:t xml:space="preserve">the </w:t>
      </w:r>
      <w:r w:rsidR="00AA1332" w:rsidRPr="0029160A">
        <w:rPr>
          <w:rFonts w:eastAsia="Calibri"/>
          <w:color w:val="000000" w:themeColor="text1"/>
          <w:szCs w:val="26"/>
        </w:rPr>
        <w:t xml:space="preserve">Commonwealth Court’s </w:t>
      </w:r>
      <w:r w:rsidR="00AA1332" w:rsidRPr="0029160A">
        <w:rPr>
          <w:rFonts w:eastAsia="Calibri"/>
          <w:i/>
          <w:iCs/>
          <w:color w:val="000000" w:themeColor="text1"/>
          <w:szCs w:val="26"/>
        </w:rPr>
        <w:t>McCloskey</w:t>
      </w:r>
      <w:r w:rsidR="00AA1332" w:rsidRPr="0029160A">
        <w:rPr>
          <w:rFonts w:eastAsia="Calibri"/>
          <w:color w:val="000000" w:themeColor="text1"/>
          <w:szCs w:val="26"/>
        </w:rPr>
        <w:t xml:space="preserve"> decision</w:t>
      </w:r>
      <w:r w:rsidR="00AA1332" w:rsidRPr="0029160A" w:rsidDel="00AA1332">
        <w:rPr>
          <w:color w:val="000000" w:themeColor="text1"/>
          <w:szCs w:val="26"/>
        </w:rPr>
        <w:t xml:space="preserve"> </w:t>
      </w:r>
      <w:r w:rsidR="00162EC0" w:rsidRPr="0029160A">
        <w:rPr>
          <w:color w:val="000000" w:themeColor="text1"/>
          <w:szCs w:val="26"/>
        </w:rPr>
        <w:t xml:space="preserve">and </w:t>
      </w:r>
      <w:r w:rsidR="00D84D83" w:rsidRPr="0029160A">
        <w:rPr>
          <w:color w:val="000000" w:themeColor="text1"/>
          <w:szCs w:val="26"/>
        </w:rPr>
        <w:t xml:space="preserve">the </w:t>
      </w:r>
      <w:r w:rsidR="00162EC0" w:rsidRPr="0029160A">
        <w:rPr>
          <w:color w:val="000000" w:themeColor="text1"/>
          <w:szCs w:val="26"/>
        </w:rPr>
        <w:t>Commission</w:t>
      </w:r>
      <w:r w:rsidR="00D84D83" w:rsidRPr="0029160A">
        <w:rPr>
          <w:color w:val="000000" w:themeColor="text1"/>
          <w:szCs w:val="26"/>
        </w:rPr>
        <w:t>’s</w:t>
      </w:r>
      <w:r w:rsidR="00162EC0" w:rsidRPr="0029160A">
        <w:rPr>
          <w:color w:val="000000" w:themeColor="text1"/>
          <w:szCs w:val="26"/>
        </w:rPr>
        <w:t xml:space="preserve"> decision</w:t>
      </w:r>
      <w:r w:rsidR="00D84D83" w:rsidRPr="0029160A">
        <w:rPr>
          <w:color w:val="000000" w:themeColor="text1"/>
          <w:szCs w:val="26"/>
        </w:rPr>
        <w:t xml:space="preserve"> in the </w:t>
      </w:r>
      <w:r w:rsidR="00D84D83" w:rsidRPr="0029160A">
        <w:rPr>
          <w:i/>
          <w:iCs/>
          <w:color w:val="000000" w:themeColor="text1"/>
          <w:szCs w:val="26"/>
        </w:rPr>
        <w:t>UGI Order</w:t>
      </w:r>
      <w:r w:rsidR="00162EC0" w:rsidRPr="0029160A">
        <w:rPr>
          <w:color w:val="000000" w:themeColor="text1"/>
          <w:szCs w:val="26"/>
        </w:rPr>
        <w:t>.</w:t>
      </w:r>
    </w:p>
    <w:p w14:paraId="2E433584" w14:textId="77777777" w:rsidR="00633B38" w:rsidRPr="0029160A" w:rsidRDefault="00633B38">
      <w:pPr>
        <w:widowControl/>
        <w:tabs>
          <w:tab w:val="left" w:pos="-720"/>
        </w:tabs>
        <w:spacing w:line="360" w:lineRule="auto"/>
        <w:rPr>
          <w:color w:val="000000" w:themeColor="text1"/>
          <w:szCs w:val="26"/>
        </w:rPr>
      </w:pPr>
    </w:p>
    <w:p w14:paraId="6368C99D" w14:textId="685033F8" w:rsidR="00162EC0" w:rsidRPr="0029160A" w:rsidRDefault="00162EC0" w:rsidP="00CB0B2E">
      <w:pPr>
        <w:widowControl/>
        <w:spacing w:line="360" w:lineRule="auto"/>
        <w:ind w:firstLine="1440"/>
        <w:rPr>
          <w:rFonts w:eastAsia="Calibri"/>
          <w:color w:val="000000" w:themeColor="text1"/>
          <w:szCs w:val="26"/>
        </w:rPr>
      </w:pPr>
      <w:r w:rsidRPr="0029160A">
        <w:rPr>
          <w:color w:val="000000" w:themeColor="text1"/>
          <w:szCs w:val="26"/>
        </w:rPr>
        <w:t>In our opinion, t</w:t>
      </w:r>
      <w:r w:rsidRPr="0029160A">
        <w:rPr>
          <w:rFonts w:eastAsia="Calibri"/>
          <w:color w:val="000000" w:themeColor="text1"/>
          <w:szCs w:val="26"/>
        </w:rPr>
        <w:t xml:space="preserve">he ALJs correctly noted that the OCA’s argument has already been rejected in the </w:t>
      </w:r>
      <w:r w:rsidRPr="0029160A">
        <w:rPr>
          <w:rFonts w:eastAsia="Calibri"/>
          <w:i/>
          <w:iCs/>
          <w:color w:val="000000" w:themeColor="text1"/>
          <w:szCs w:val="26"/>
        </w:rPr>
        <w:t>UGI Order</w:t>
      </w:r>
      <w:r w:rsidRPr="0029160A">
        <w:rPr>
          <w:rFonts w:eastAsia="Calibri"/>
          <w:color w:val="000000" w:themeColor="text1"/>
          <w:szCs w:val="26"/>
        </w:rPr>
        <w:t xml:space="preserve">, which has been recently upheld by the Commonwealth Court’s </w:t>
      </w:r>
      <w:r w:rsidRPr="0029160A">
        <w:rPr>
          <w:rFonts w:eastAsia="Calibri"/>
          <w:i/>
          <w:iCs/>
          <w:color w:val="000000" w:themeColor="text1"/>
          <w:szCs w:val="26"/>
        </w:rPr>
        <w:t>McCloskey</w:t>
      </w:r>
      <w:r w:rsidRPr="0029160A">
        <w:rPr>
          <w:rFonts w:eastAsia="Calibri"/>
          <w:color w:val="000000" w:themeColor="text1"/>
          <w:szCs w:val="26"/>
        </w:rPr>
        <w:t xml:space="preserve"> decision.  </w:t>
      </w:r>
      <w:r w:rsidR="00633B38" w:rsidRPr="0029160A">
        <w:rPr>
          <w:rFonts w:eastAsia="Calibri"/>
          <w:color w:val="000000" w:themeColor="text1"/>
          <w:szCs w:val="26"/>
        </w:rPr>
        <w:t>Regarding the OCA’s concern that the utilization of a year-end rate base methodology would allow Wellsboro to over-earn on its investment, we find the Company’s argument compelling that, under the OCA’s recommended average rate base methodology, there is the potential for the utility to face an under-recovery before the end of the first year that new base rates are in effect.</w:t>
      </w:r>
      <w:r w:rsidR="00420312" w:rsidRPr="0029160A">
        <w:rPr>
          <w:rFonts w:eastAsia="Calibri"/>
          <w:color w:val="000000" w:themeColor="text1"/>
          <w:szCs w:val="26"/>
        </w:rPr>
        <w:t xml:space="preserve">  </w:t>
      </w:r>
      <w:r w:rsidRPr="0029160A">
        <w:rPr>
          <w:rFonts w:eastAsia="Calibri"/>
          <w:color w:val="000000" w:themeColor="text1"/>
          <w:szCs w:val="26"/>
        </w:rPr>
        <w:t>To this end, w</w:t>
      </w:r>
      <w:r w:rsidR="00633B38" w:rsidRPr="0029160A">
        <w:rPr>
          <w:rFonts w:eastAsia="Calibri"/>
          <w:color w:val="000000" w:themeColor="text1"/>
          <w:szCs w:val="26"/>
        </w:rPr>
        <w:t>e agree with the ALJs that the OCA has not provided any record evidence to show that the use of rate base established at the Company’s end-of-year fully projected rate base level would produce rates that are unjust or unreasonable</w:t>
      </w:r>
      <w:r w:rsidRPr="0029160A">
        <w:rPr>
          <w:rFonts w:eastAsia="Calibri"/>
          <w:color w:val="000000" w:themeColor="text1"/>
          <w:szCs w:val="26"/>
        </w:rPr>
        <w:t>.  The OCA also has not provided substantial evidence to show that the average rate base approach proposed by the OCA, which would effectively cause the Company’s base rates set in this proceeding to reflect only one-half of its projected total investment in 2020 plant additions, would produce rates that are just and reasonable.</w:t>
      </w:r>
    </w:p>
    <w:p w14:paraId="460B82DF" w14:textId="77777777" w:rsidR="00162EC0" w:rsidRPr="0029160A" w:rsidRDefault="00162EC0" w:rsidP="00CB0B2E">
      <w:pPr>
        <w:widowControl/>
        <w:spacing w:line="360" w:lineRule="auto"/>
        <w:ind w:firstLine="1440"/>
        <w:rPr>
          <w:rFonts w:eastAsia="Calibri"/>
          <w:color w:val="000000" w:themeColor="text1"/>
          <w:szCs w:val="26"/>
        </w:rPr>
      </w:pPr>
    </w:p>
    <w:p w14:paraId="42A881FF" w14:textId="77777777" w:rsidR="00633B38" w:rsidRPr="0029160A" w:rsidRDefault="00633B38" w:rsidP="00CB0B2E">
      <w:pPr>
        <w:widowControl/>
        <w:spacing w:line="360" w:lineRule="auto"/>
        <w:ind w:firstLine="1440"/>
        <w:rPr>
          <w:color w:val="000000" w:themeColor="text1"/>
        </w:rPr>
      </w:pPr>
      <w:r w:rsidRPr="0029160A">
        <w:rPr>
          <w:rFonts w:eastAsia="Calibri"/>
          <w:color w:val="000000" w:themeColor="text1"/>
          <w:szCs w:val="26"/>
        </w:rPr>
        <w:lastRenderedPageBreak/>
        <w:t>Therefore, we concur</w:t>
      </w:r>
      <w:r w:rsidRPr="0029160A">
        <w:rPr>
          <w:color w:val="000000" w:themeColor="text1"/>
          <w:szCs w:val="26"/>
        </w:rPr>
        <w:t xml:space="preserve"> with the ALJs’ </w:t>
      </w:r>
      <w:r w:rsidR="00162EC0" w:rsidRPr="0029160A">
        <w:rPr>
          <w:color w:val="000000" w:themeColor="text1"/>
          <w:szCs w:val="26"/>
        </w:rPr>
        <w:t>recommendation to permit Wellsboro to utilize the year-end</w:t>
      </w:r>
      <w:r w:rsidRPr="0029160A">
        <w:rPr>
          <w:color w:val="000000" w:themeColor="text1"/>
          <w:szCs w:val="26"/>
        </w:rPr>
        <w:t xml:space="preserve"> FPFTY</w:t>
      </w:r>
      <w:r w:rsidR="00162EC0" w:rsidRPr="0029160A">
        <w:rPr>
          <w:color w:val="000000" w:themeColor="text1"/>
          <w:szCs w:val="26"/>
        </w:rPr>
        <w:t xml:space="preserve"> methodology to determine the allowable </w:t>
      </w:r>
      <w:r w:rsidRPr="0029160A">
        <w:rPr>
          <w:color w:val="000000" w:themeColor="text1"/>
          <w:szCs w:val="26"/>
        </w:rPr>
        <w:t>project</w:t>
      </w:r>
      <w:r w:rsidR="00162EC0" w:rsidRPr="0029160A">
        <w:rPr>
          <w:color w:val="000000" w:themeColor="text1"/>
          <w:szCs w:val="26"/>
        </w:rPr>
        <w:t>ed</w:t>
      </w:r>
      <w:r w:rsidRPr="0029160A">
        <w:rPr>
          <w:color w:val="000000" w:themeColor="text1"/>
          <w:szCs w:val="26"/>
        </w:rPr>
        <w:t xml:space="preserve"> revenue requirements and ratemaking components throughout the twelve-month period beginning with the first month that the new rates would be placed in effect.  </w:t>
      </w:r>
      <w:r w:rsidR="00162EC0" w:rsidRPr="0029160A">
        <w:rPr>
          <w:color w:val="000000" w:themeColor="text1"/>
        </w:rPr>
        <w:t>Accordingly</w:t>
      </w:r>
      <w:r w:rsidRPr="0029160A">
        <w:rPr>
          <w:color w:val="000000" w:themeColor="text1"/>
        </w:rPr>
        <w:t xml:space="preserve">, we shall deny the OCA’s Exception and adopt the ALJs’ </w:t>
      </w:r>
      <w:r w:rsidR="00D84D83" w:rsidRPr="0029160A">
        <w:rPr>
          <w:color w:val="000000" w:themeColor="text1"/>
        </w:rPr>
        <w:t>R.D.</w:t>
      </w:r>
      <w:r w:rsidRPr="0029160A">
        <w:rPr>
          <w:color w:val="000000" w:themeColor="text1"/>
        </w:rPr>
        <w:t xml:space="preserve"> on this issue.</w:t>
      </w:r>
    </w:p>
    <w:p w14:paraId="558FFD6F" w14:textId="77777777" w:rsidR="001C5CC9" w:rsidRPr="0029160A" w:rsidRDefault="001C5CC9" w:rsidP="00CB0B2E">
      <w:pPr>
        <w:widowControl/>
        <w:spacing w:line="360" w:lineRule="auto"/>
        <w:ind w:firstLine="1440"/>
        <w:rPr>
          <w:color w:val="000000" w:themeColor="text1"/>
        </w:rPr>
      </w:pPr>
    </w:p>
    <w:p w14:paraId="0FFA7773" w14:textId="23ADF822" w:rsidR="001C5CC9" w:rsidRPr="0029160A" w:rsidRDefault="00D84D83" w:rsidP="00CB0B2E">
      <w:pPr>
        <w:widowControl/>
        <w:spacing w:line="360" w:lineRule="auto"/>
        <w:ind w:firstLine="1440"/>
        <w:rPr>
          <w:rFonts w:eastAsia="Calibri"/>
          <w:color w:val="000000" w:themeColor="text1"/>
          <w:szCs w:val="26"/>
        </w:rPr>
      </w:pPr>
      <w:bookmarkStart w:id="45" w:name="_Hlk36452485"/>
      <w:r w:rsidRPr="0029160A">
        <w:rPr>
          <w:rFonts w:eastAsia="Calibri"/>
          <w:color w:val="000000" w:themeColor="text1"/>
          <w:szCs w:val="26"/>
        </w:rPr>
        <w:t>Finally, with regard to depreciation expense, b</w:t>
      </w:r>
      <w:r w:rsidR="001C5CC9" w:rsidRPr="0029160A">
        <w:rPr>
          <w:rFonts w:eastAsia="Calibri"/>
          <w:color w:val="000000" w:themeColor="text1"/>
          <w:szCs w:val="26"/>
        </w:rPr>
        <w:t>ased on its recommended application of the FPFTY concept, the OCA recommend</w:t>
      </w:r>
      <w:r w:rsidR="006E1EAF" w:rsidRPr="0029160A">
        <w:rPr>
          <w:rFonts w:eastAsia="Calibri"/>
          <w:color w:val="000000" w:themeColor="text1"/>
          <w:szCs w:val="26"/>
        </w:rPr>
        <w:t>ed</w:t>
      </w:r>
      <w:r w:rsidR="001C5CC9" w:rsidRPr="0029160A">
        <w:rPr>
          <w:rFonts w:eastAsia="Calibri"/>
          <w:color w:val="000000" w:themeColor="text1"/>
          <w:szCs w:val="26"/>
        </w:rPr>
        <w:t xml:space="preserve"> reducing the Company’s claims for annual depreciation expense to reflect a level that corresponds to its “average” plant</w:t>
      </w:r>
      <w:r w:rsidR="007A7F13" w:rsidRPr="0029160A">
        <w:rPr>
          <w:rFonts w:eastAsia="Calibri"/>
          <w:color w:val="000000" w:themeColor="text1"/>
          <w:szCs w:val="26"/>
        </w:rPr>
        <w:t>-</w:t>
      </w:r>
      <w:r w:rsidR="001C5CC9" w:rsidRPr="0029160A">
        <w:rPr>
          <w:rFonts w:eastAsia="Calibri"/>
          <w:color w:val="000000" w:themeColor="text1"/>
          <w:szCs w:val="26"/>
        </w:rPr>
        <w:t>in</w:t>
      </w:r>
      <w:r w:rsidR="007A7F13" w:rsidRPr="0029160A">
        <w:rPr>
          <w:rFonts w:eastAsia="Calibri"/>
          <w:color w:val="000000" w:themeColor="text1"/>
          <w:szCs w:val="26"/>
        </w:rPr>
        <w:t>-</w:t>
      </w:r>
      <w:r w:rsidR="001C5CC9" w:rsidRPr="0029160A">
        <w:rPr>
          <w:rFonts w:eastAsia="Calibri"/>
          <w:color w:val="000000" w:themeColor="text1"/>
          <w:szCs w:val="26"/>
        </w:rPr>
        <w:t>service proposals, and the OCA adjusted accumulated depreciation accordingly.</w:t>
      </w:r>
      <w:r w:rsidR="006E1EAF" w:rsidRPr="0029160A">
        <w:rPr>
          <w:rFonts w:eastAsia="Calibri"/>
          <w:color w:val="000000" w:themeColor="text1"/>
          <w:szCs w:val="26"/>
        </w:rPr>
        <w:t xml:space="preserve"> </w:t>
      </w:r>
      <w:r w:rsidR="00724CAA" w:rsidRPr="0029160A">
        <w:rPr>
          <w:rFonts w:eastAsia="Calibri"/>
          <w:color w:val="000000" w:themeColor="text1"/>
          <w:szCs w:val="26"/>
        </w:rPr>
        <w:t xml:space="preserve"> </w:t>
      </w:r>
      <w:r w:rsidR="001C5CC9" w:rsidRPr="0029160A">
        <w:rPr>
          <w:color w:val="000000" w:themeColor="text1"/>
          <w:szCs w:val="26"/>
        </w:rPr>
        <w:t>Consistent with our decision above to permit Wellsboro to utilize the year-end methodology, we shall adopt the ALJs</w:t>
      </w:r>
      <w:r w:rsidR="007A7F13" w:rsidRPr="0029160A">
        <w:rPr>
          <w:color w:val="000000" w:themeColor="text1"/>
          <w:szCs w:val="26"/>
        </w:rPr>
        <w:t>’</w:t>
      </w:r>
      <w:r w:rsidR="001C5CC9" w:rsidRPr="0029160A">
        <w:rPr>
          <w:color w:val="000000" w:themeColor="text1"/>
          <w:szCs w:val="26"/>
        </w:rPr>
        <w:t xml:space="preserve"> recommendation to </w:t>
      </w:r>
      <w:r w:rsidR="001C5CC9" w:rsidRPr="0029160A">
        <w:rPr>
          <w:rFonts w:eastAsiaTheme="minorHAnsi"/>
          <w:color w:val="000000" w:themeColor="text1"/>
          <w:szCs w:val="26"/>
        </w:rPr>
        <w:t>reject the OCA’s recommendation to reduce the accumulated depreciation expense by $21,292.  R.D. at 46</w:t>
      </w:r>
      <w:r w:rsidR="006E1EAF" w:rsidRPr="0029160A">
        <w:rPr>
          <w:rFonts w:eastAsiaTheme="minorHAnsi"/>
          <w:color w:val="000000" w:themeColor="text1"/>
          <w:szCs w:val="26"/>
        </w:rPr>
        <w:t>.</w:t>
      </w:r>
      <w:r w:rsidR="001C5CC9" w:rsidRPr="0029160A">
        <w:rPr>
          <w:color w:val="000000" w:themeColor="text1"/>
          <w:szCs w:val="26"/>
        </w:rPr>
        <w:t xml:space="preserve">  </w:t>
      </w:r>
      <w:bookmarkEnd w:id="45"/>
    </w:p>
    <w:p w14:paraId="16C52E61" w14:textId="77777777" w:rsidR="00475586" w:rsidRPr="0029160A" w:rsidRDefault="00475586" w:rsidP="0092278F">
      <w:pPr>
        <w:widowControl/>
        <w:spacing w:line="360" w:lineRule="auto"/>
        <w:rPr>
          <w:color w:val="000000" w:themeColor="text1"/>
        </w:rPr>
      </w:pPr>
    </w:p>
    <w:p w14:paraId="2590EA2D" w14:textId="77777777" w:rsidR="00461A7E" w:rsidRPr="0029160A" w:rsidRDefault="008463A0" w:rsidP="00CB0B2E">
      <w:pPr>
        <w:pStyle w:val="Heading3"/>
        <w:ind w:left="1440" w:hanging="720"/>
        <w:contextualSpacing w:val="0"/>
        <w:rPr>
          <w:color w:val="000000" w:themeColor="text1"/>
        </w:rPr>
      </w:pPr>
      <w:bookmarkStart w:id="46" w:name="_Toc36552351"/>
      <w:bookmarkStart w:id="47" w:name="_Toc38951739"/>
      <w:r w:rsidRPr="0029160A">
        <w:rPr>
          <w:color w:val="000000" w:themeColor="text1"/>
        </w:rPr>
        <w:t xml:space="preserve">Rate Base:  </w:t>
      </w:r>
      <w:r w:rsidR="007E215E" w:rsidRPr="0029160A">
        <w:rPr>
          <w:color w:val="000000" w:themeColor="text1"/>
        </w:rPr>
        <w:t xml:space="preserve">Utility-Plant-in-Service and </w:t>
      </w:r>
      <w:r w:rsidR="00461A7E" w:rsidRPr="0029160A">
        <w:rPr>
          <w:color w:val="000000" w:themeColor="text1"/>
        </w:rPr>
        <w:t>Plant Retirements</w:t>
      </w:r>
      <w:bookmarkEnd w:id="46"/>
      <w:bookmarkEnd w:id="47"/>
    </w:p>
    <w:p w14:paraId="437476E5" w14:textId="77777777" w:rsidR="00475586" w:rsidRPr="0029160A" w:rsidRDefault="00475586" w:rsidP="0092278F">
      <w:pPr>
        <w:widowControl/>
        <w:spacing w:line="360" w:lineRule="auto"/>
        <w:rPr>
          <w:color w:val="000000" w:themeColor="text1"/>
        </w:rPr>
      </w:pPr>
    </w:p>
    <w:p w14:paraId="66021205" w14:textId="5FE2545E" w:rsidR="00475586" w:rsidRPr="0029160A" w:rsidRDefault="00475586" w:rsidP="00CB0B2E">
      <w:pPr>
        <w:pStyle w:val="Heading4"/>
        <w:numPr>
          <w:ilvl w:val="0"/>
          <w:numId w:val="12"/>
        </w:numPr>
        <w:ind w:hanging="720"/>
        <w:contextualSpacing w:val="0"/>
        <w:rPr>
          <w:color w:val="000000" w:themeColor="text1"/>
        </w:rPr>
      </w:pPr>
      <w:bookmarkStart w:id="48" w:name="_Toc38951740"/>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48"/>
    </w:p>
    <w:p w14:paraId="787A3A0E" w14:textId="77777777" w:rsidR="00475586" w:rsidRPr="0029160A" w:rsidRDefault="00475586" w:rsidP="0092278F">
      <w:pPr>
        <w:widowControl/>
        <w:spacing w:line="360" w:lineRule="auto"/>
        <w:rPr>
          <w:color w:val="000000" w:themeColor="text1"/>
          <w:szCs w:val="26"/>
        </w:rPr>
      </w:pPr>
    </w:p>
    <w:p w14:paraId="04122F0A" w14:textId="77777777" w:rsidR="005351CA" w:rsidRPr="0029160A" w:rsidRDefault="005351CA" w:rsidP="0092278F">
      <w:pPr>
        <w:widowControl/>
        <w:spacing w:line="360" w:lineRule="auto"/>
        <w:ind w:firstLine="1440"/>
        <w:rPr>
          <w:color w:val="000000" w:themeColor="text1"/>
          <w:szCs w:val="26"/>
        </w:rPr>
      </w:pPr>
      <w:r w:rsidRPr="0029160A">
        <w:rPr>
          <w:color w:val="000000" w:themeColor="text1"/>
          <w:szCs w:val="26"/>
        </w:rPr>
        <w:t>The OCA averred that the Company’s proposed retirements and contributions of plant</w:t>
      </w:r>
      <w:r w:rsidR="00AF1D47" w:rsidRPr="0029160A">
        <w:rPr>
          <w:color w:val="000000" w:themeColor="text1"/>
          <w:szCs w:val="26"/>
        </w:rPr>
        <w:t>-</w:t>
      </w:r>
      <w:r w:rsidRPr="0029160A">
        <w:rPr>
          <w:color w:val="000000" w:themeColor="text1"/>
          <w:szCs w:val="26"/>
        </w:rPr>
        <w:t>in</w:t>
      </w:r>
      <w:r w:rsidR="00AF1D47" w:rsidRPr="0029160A">
        <w:rPr>
          <w:color w:val="000000" w:themeColor="text1"/>
          <w:szCs w:val="26"/>
        </w:rPr>
        <w:t>-</w:t>
      </w:r>
      <w:r w:rsidRPr="0029160A">
        <w:rPr>
          <w:color w:val="000000" w:themeColor="text1"/>
          <w:szCs w:val="26"/>
        </w:rPr>
        <w:t>service in the FTY and FPFTY should be modified</w:t>
      </w:r>
      <w:r w:rsidR="00D84D83" w:rsidRPr="0029160A">
        <w:rPr>
          <w:color w:val="000000" w:themeColor="text1"/>
          <w:szCs w:val="26"/>
        </w:rPr>
        <w:t xml:space="preserve"> to remove the Company’s proposed exclusion of plant retirements</w:t>
      </w:r>
      <w:r w:rsidRPr="0029160A">
        <w:rPr>
          <w:color w:val="000000" w:themeColor="text1"/>
          <w:szCs w:val="26"/>
        </w:rPr>
        <w:t xml:space="preserve">.  The OCA witness Morgan testified:  </w:t>
      </w:r>
    </w:p>
    <w:p w14:paraId="48A3412A" w14:textId="77777777" w:rsidR="005351CA" w:rsidRPr="0029160A" w:rsidRDefault="005351CA" w:rsidP="00716E78">
      <w:pPr>
        <w:widowControl/>
        <w:rPr>
          <w:color w:val="000000" w:themeColor="text1"/>
          <w:szCs w:val="26"/>
        </w:rPr>
      </w:pPr>
    </w:p>
    <w:p w14:paraId="3A07BA61" w14:textId="77777777" w:rsidR="005351CA" w:rsidRPr="0029160A" w:rsidRDefault="005351CA" w:rsidP="00CB0B2E">
      <w:pPr>
        <w:widowControl/>
        <w:ind w:left="1440" w:right="1440"/>
        <w:rPr>
          <w:color w:val="000000" w:themeColor="text1"/>
          <w:szCs w:val="26"/>
        </w:rPr>
      </w:pPr>
      <w:r w:rsidRPr="0029160A">
        <w:rPr>
          <w:color w:val="000000" w:themeColor="text1"/>
          <w:szCs w:val="26"/>
        </w:rPr>
        <w:t xml:space="preserve">As presented on Exhibit (HSG-1) Schedule C3, during the historical periods, the activity for each year includes plant additions and retirements in the determination of the year end balances for the FTY or the FPFTY.  The exclusion of retirements causes the year end balances to be overstated.  Therefore, I have determined that it is necessary to adjust plant retirements and contributions in 2019 and 2020.  </w:t>
      </w:r>
    </w:p>
    <w:p w14:paraId="5585F813" w14:textId="77777777" w:rsidR="005351CA" w:rsidRPr="0029160A" w:rsidRDefault="005351CA" w:rsidP="00CB0B2E">
      <w:pPr>
        <w:widowControl/>
        <w:spacing w:line="360" w:lineRule="auto"/>
        <w:ind w:left="720"/>
        <w:rPr>
          <w:color w:val="000000" w:themeColor="text1"/>
          <w:szCs w:val="26"/>
        </w:rPr>
      </w:pPr>
    </w:p>
    <w:p w14:paraId="0F8ACCC5" w14:textId="57ADEDD0" w:rsidR="005351CA" w:rsidRPr="0029160A" w:rsidRDefault="005351CA" w:rsidP="00CB0B2E">
      <w:pPr>
        <w:widowControl/>
        <w:spacing w:line="360" w:lineRule="auto"/>
        <w:rPr>
          <w:color w:val="000000" w:themeColor="text1"/>
          <w:szCs w:val="26"/>
        </w:rPr>
      </w:pPr>
      <w:r w:rsidRPr="0029160A">
        <w:rPr>
          <w:color w:val="000000" w:themeColor="text1"/>
          <w:szCs w:val="26"/>
        </w:rPr>
        <w:lastRenderedPageBreak/>
        <w:t xml:space="preserve">R.D. at 9 (citing OCA St. 2 at 4, Sch. LKM-1).  </w:t>
      </w:r>
    </w:p>
    <w:p w14:paraId="46892D50" w14:textId="77777777" w:rsidR="00984331" w:rsidRPr="0029160A" w:rsidRDefault="00984331" w:rsidP="00CB0B2E">
      <w:pPr>
        <w:widowControl/>
        <w:spacing w:line="360" w:lineRule="auto"/>
        <w:rPr>
          <w:color w:val="000000" w:themeColor="text1"/>
          <w:szCs w:val="26"/>
        </w:rPr>
      </w:pPr>
    </w:p>
    <w:p w14:paraId="1CAB2D1B" w14:textId="77777777" w:rsidR="005351CA" w:rsidRPr="0029160A" w:rsidRDefault="00C60A9E" w:rsidP="00716E78">
      <w:pPr>
        <w:widowControl/>
        <w:spacing w:line="360" w:lineRule="auto"/>
        <w:ind w:firstLine="1440"/>
        <w:rPr>
          <w:color w:val="000000" w:themeColor="text1"/>
          <w:szCs w:val="26"/>
        </w:rPr>
      </w:pPr>
      <w:r w:rsidRPr="0029160A">
        <w:rPr>
          <w:color w:val="000000" w:themeColor="text1"/>
          <w:szCs w:val="26"/>
        </w:rPr>
        <w:t>T</w:t>
      </w:r>
      <w:r w:rsidR="005351CA" w:rsidRPr="0029160A">
        <w:rPr>
          <w:color w:val="000000" w:themeColor="text1"/>
          <w:szCs w:val="26"/>
        </w:rPr>
        <w:t>he OCA witnesses allege</w:t>
      </w:r>
      <w:r w:rsidRPr="0029160A">
        <w:rPr>
          <w:color w:val="000000" w:themeColor="text1"/>
          <w:szCs w:val="26"/>
        </w:rPr>
        <w:t>d</w:t>
      </w:r>
      <w:r w:rsidR="005351CA" w:rsidRPr="0029160A">
        <w:rPr>
          <w:color w:val="000000" w:themeColor="text1"/>
          <w:szCs w:val="26"/>
        </w:rPr>
        <w:t xml:space="preserve"> that the Company’s plant</w:t>
      </w:r>
      <w:r w:rsidR="00AF1D47" w:rsidRPr="0029160A">
        <w:rPr>
          <w:color w:val="000000" w:themeColor="text1"/>
          <w:szCs w:val="26"/>
        </w:rPr>
        <w:t>-</w:t>
      </w:r>
      <w:r w:rsidR="005351CA" w:rsidRPr="0029160A">
        <w:rPr>
          <w:color w:val="000000" w:themeColor="text1"/>
          <w:szCs w:val="26"/>
        </w:rPr>
        <w:t>in</w:t>
      </w:r>
      <w:r w:rsidR="00AF1D47" w:rsidRPr="0029160A">
        <w:rPr>
          <w:color w:val="000000" w:themeColor="text1"/>
          <w:szCs w:val="26"/>
        </w:rPr>
        <w:t>-</w:t>
      </w:r>
      <w:r w:rsidR="005351CA" w:rsidRPr="0029160A">
        <w:rPr>
          <w:color w:val="000000" w:themeColor="text1"/>
          <w:szCs w:val="26"/>
        </w:rPr>
        <w:t>service and accumulated depreciation calculations for the FPFTY do not appropriately reflect plant retirements, and that any adjustment to</w:t>
      </w:r>
      <w:r w:rsidR="00902E47" w:rsidRPr="0029160A">
        <w:rPr>
          <w:color w:val="000000" w:themeColor="text1"/>
          <w:szCs w:val="26"/>
        </w:rPr>
        <w:t xml:space="preserve"> </w:t>
      </w:r>
      <w:r w:rsidR="00AF1D47" w:rsidRPr="0029160A">
        <w:rPr>
          <w:color w:val="000000" w:themeColor="text1"/>
          <w:szCs w:val="26"/>
        </w:rPr>
        <w:t>p</w:t>
      </w:r>
      <w:r w:rsidR="005351CA" w:rsidRPr="0029160A">
        <w:rPr>
          <w:color w:val="000000" w:themeColor="text1"/>
          <w:szCs w:val="26"/>
        </w:rPr>
        <w:t>lant</w:t>
      </w:r>
      <w:r w:rsidR="00AF1D47" w:rsidRPr="0029160A">
        <w:rPr>
          <w:color w:val="000000" w:themeColor="text1"/>
          <w:szCs w:val="26"/>
        </w:rPr>
        <w:t>-</w:t>
      </w:r>
      <w:r w:rsidR="005351CA" w:rsidRPr="0029160A">
        <w:rPr>
          <w:color w:val="000000" w:themeColor="text1"/>
          <w:szCs w:val="26"/>
        </w:rPr>
        <w:t>in</w:t>
      </w:r>
      <w:r w:rsidR="004961AB" w:rsidRPr="0029160A">
        <w:rPr>
          <w:color w:val="000000" w:themeColor="text1"/>
          <w:szCs w:val="26"/>
        </w:rPr>
        <w:t>-</w:t>
      </w:r>
      <w:r w:rsidR="00AF1D47" w:rsidRPr="0029160A">
        <w:rPr>
          <w:color w:val="000000" w:themeColor="text1"/>
          <w:szCs w:val="26"/>
        </w:rPr>
        <w:t>s</w:t>
      </w:r>
      <w:r w:rsidR="005351CA" w:rsidRPr="0029160A">
        <w:rPr>
          <w:color w:val="000000" w:themeColor="text1"/>
          <w:szCs w:val="26"/>
        </w:rPr>
        <w:t xml:space="preserve">ervice for retirements would require a parallel adjustment to accumulated depreciation.  R.D. at 7 (citing Wellsboro M.B. at 17; OCA St. 2 at 4).  </w:t>
      </w:r>
    </w:p>
    <w:p w14:paraId="6DEE16C9" w14:textId="77777777" w:rsidR="005351CA" w:rsidRPr="0029160A" w:rsidRDefault="005351CA">
      <w:pPr>
        <w:widowControl/>
        <w:spacing w:line="360" w:lineRule="auto"/>
        <w:ind w:firstLine="1440"/>
        <w:rPr>
          <w:color w:val="000000" w:themeColor="text1"/>
          <w:szCs w:val="26"/>
        </w:rPr>
      </w:pPr>
    </w:p>
    <w:p w14:paraId="61ECFCC7" w14:textId="77777777" w:rsidR="00475586" w:rsidRPr="0029160A" w:rsidRDefault="005351CA" w:rsidP="00716E78">
      <w:pPr>
        <w:widowControl/>
        <w:spacing w:line="360" w:lineRule="auto"/>
        <w:ind w:firstLine="1440"/>
        <w:rPr>
          <w:color w:val="000000" w:themeColor="text1"/>
          <w:szCs w:val="26"/>
        </w:rPr>
      </w:pPr>
      <w:r w:rsidRPr="0029160A">
        <w:rPr>
          <w:color w:val="000000" w:themeColor="text1"/>
          <w:szCs w:val="26"/>
        </w:rPr>
        <w:t xml:space="preserve">Wellsboro stated that the OCA’s proposal results in a $1,070,430 adjustment to </w:t>
      </w:r>
      <w:r w:rsidR="00A3578E" w:rsidRPr="0029160A">
        <w:rPr>
          <w:color w:val="000000" w:themeColor="text1"/>
          <w:szCs w:val="26"/>
        </w:rPr>
        <w:t>p</w:t>
      </w:r>
      <w:r w:rsidRPr="0029160A">
        <w:rPr>
          <w:color w:val="000000" w:themeColor="text1"/>
          <w:szCs w:val="26"/>
        </w:rPr>
        <w:t>lant</w:t>
      </w:r>
      <w:r w:rsidR="00A3578E" w:rsidRPr="0029160A">
        <w:rPr>
          <w:color w:val="000000" w:themeColor="text1"/>
          <w:szCs w:val="26"/>
        </w:rPr>
        <w:t>-</w:t>
      </w:r>
      <w:r w:rsidRPr="0029160A">
        <w:rPr>
          <w:color w:val="000000" w:themeColor="text1"/>
          <w:szCs w:val="26"/>
        </w:rPr>
        <w:t>in</w:t>
      </w:r>
      <w:r w:rsidR="00A3578E" w:rsidRPr="0029160A">
        <w:rPr>
          <w:color w:val="000000" w:themeColor="text1"/>
          <w:szCs w:val="26"/>
        </w:rPr>
        <w:t>-s</w:t>
      </w:r>
      <w:r w:rsidRPr="0029160A">
        <w:rPr>
          <w:color w:val="000000" w:themeColor="text1"/>
          <w:szCs w:val="26"/>
        </w:rPr>
        <w:t xml:space="preserve">ervice and a $1,111,730 adjustment to accumulated depreciation.  Wellsboro explained that these parallel adjustments do not result in a material impact on the Company’s rate base claim and recommended approval of its </w:t>
      </w:r>
      <w:r w:rsidR="00A3578E" w:rsidRPr="0029160A">
        <w:rPr>
          <w:color w:val="000000" w:themeColor="text1"/>
          <w:szCs w:val="26"/>
        </w:rPr>
        <w:t>p</w:t>
      </w:r>
      <w:r w:rsidRPr="0029160A">
        <w:rPr>
          <w:color w:val="000000" w:themeColor="text1"/>
          <w:szCs w:val="26"/>
        </w:rPr>
        <w:t>lant</w:t>
      </w:r>
      <w:r w:rsidR="00A3578E" w:rsidRPr="0029160A">
        <w:rPr>
          <w:color w:val="000000" w:themeColor="text1"/>
          <w:szCs w:val="26"/>
        </w:rPr>
        <w:t>-</w:t>
      </w:r>
      <w:r w:rsidRPr="0029160A">
        <w:rPr>
          <w:color w:val="000000" w:themeColor="text1"/>
          <w:szCs w:val="26"/>
        </w:rPr>
        <w:t>in</w:t>
      </w:r>
      <w:r w:rsidR="00A3578E" w:rsidRPr="0029160A">
        <w:rPr>
          <w:color w:val="000000" w:themeColor="text1"/>
          <w:szCs w:val="26"/>
        </w:rPr>
        <w:t>-s</w:t>
      </w:r>
      <w:r w:rsidRPr="0029160A">
        <w:rPr>
          <w:color w:val="000000" w:themeColor="text1"/>
          <w:szCs w:val="26"/>
        </w:rPr>
        <w:t>ervice and Accumulated Depreciation calculation without the OCA’s proposed modification.  Wellsboro M.B. at 17-18 (citing OCA St. 2 at 4, 5).</w:t>
      </w:r>
    </w:p>
    <w:p w14:paraId="5BAA3D87" w14:textId="77777777" w:rsidR="00475586" w:rsidRPr="0029160A" w:rsidRDefault="00475586" w:rsidP="00716E78">
      <w:pPr>
        <w:widowControl/>
        <w:spacing w:line="360" w:lineRule="auto"/>
        <w:rPr>
          <w:color w:val="000000" w:themeColor="text1"/>
          <w:szCs w:val="26"/>
        </w:rPr>
      </w:pPr>
    </w:p>
    <w:p w14:paraId="2D0738B7" w14:textId="77777777" w:rsidR="00475586" w:rsidRPr="0029160A" w:rsidRDefault="00475586" w:rsidP="00CB0B2E">
      <w:pPr>
        <w:pStyle w:val="Heading4"/>
        <w:ind w:hanging="720"/>
        <w:contextualSpacing w:val="0"/>
        <w:rPr>
          <w:color w:val="000000" w:themeColor="text1"/>
        </w:rPr>
      </w:pPr>
      <w:bookmarkStart w:id="49" w:name="_Toc38951741"/>
      <w:r w:rsidRPr="0029160A">
        <w:rPr>
          <w:color w:val="000000" w:themeColor="text1"/>
        </w:rPr>
        <w:t>Recommended Decision</w:t>
      </w:r>
      <w:bookmarkEnd w:id="49"/>
    </w:p>
    <w:p w14:paraId="091781B3" w14:textId="77777777" w:rsidR="00475586" w:rsidRPr="0029160A" w:rsidRDefault="00475586" w:rsidP="00716E78">
      <w:pPr>
        <w:widowControl/>
        <w:spacing w:line="360" w:lineRule="auto"/>
        <w:rPr>
          <w:color w:val="000000" w:themeColor="text1"/>
          <w:szCs w:val="26"/>
        </w:rPr>
      </w:pPr>
    </w:p>
    <w:p w14:paraId="65D772DD" w14:textId="1B94A27E" w:rsidR="005351CA" w:rsidRPr="0029160A" w:rsidRDefault="005351CA" w:rsidP="00716E78">
      <w:pPr>
        <w:widowControl/>
        <w:spacing w:line="360" w:lineRule="auto"/>
        <w:ind w:firstLine="1440"/>
        <w:rPr>
          <w:color w:val="000000" w:themeColor="text1"/>
          <w:szCs w:val="26"/>
        </w:rPr>
      </w:pPr>
      <w:r w:rsidRPr="0029160A">
        <w:rPr>
          <w:color w:val="000000" w:themeColor="text1"/>
          <w:szCs w:val="26"/>
        </w:rPr>
        <w:t>The ALJs disagreed with the OCA’s contention that Wellsboro will be earning interest for the whole FPFTY on an asset that is not put in service until the end of that year and the Company will be “overearning” on its investment.  The ALJs provided that</w:t>
      </w:r>
      <w:r w:rsidR="003537C9" w:rsidRPr="0029160A">
        <w:rPr>
          <w:color w:val="000000" w:themeColor="text1"/>
          <w:szCs w:val="26"/>
        </w:rPr>
        <w:t>,</w:t>
      </w:r>
      <w:r w:rsidRPr="0029160A">
        <w:rPr>
          <w:color w:val="000000" w:themeColor="text1"/>
          <w:szCs w:val="26"/>
        </w:rPr>
        <w:t xml:space="preserve"> given the Commission’s holding in the </w:t>
      </w:r>
      <w:r w:rsidRPr="0029160A">
        <w:rPr>
          <w:i/>
          <w:iCs/>
          <w:color w:val="000000" w:themeColor="text1"/>
          <w:szCs w:val="26"/>
        </w:rPr>
        <w:t>UGI Order</w:t>
      </w:r>
      <w:r w:rsidRPr="0029160A">
        <w:rPr>
          <w:color w:val="000000" w:themeColor="text1"/>
          <w:szCs w:val="26"/>
        </w:rPr>
        <w:t xml:space="preserve"> and the Commonwealth Court’s decision in </w:t>
      </w:r>
      <w:r w:rsidRPr="0029160A">
        <w:rPr>
          <w:i/>
          <w:iCs/>
          <w:color w:val="000000" w:themeColor="text1"/>
          <w:szCs w:val="26"/>
        </w:rPr>
        <w:t>McCloskey</w:t>
      </w:r>
      <w:r w:rsidRPr="0029160A">
        <w:rPr>
          <w:color w:val="000000" w:themeColor="text1"/>
          <w:szCs w:val="26"/>
        </w:rPr>
        <w:t xml:space="preserve"> affirming the Commission, this argument has already been considered and rejected by the Commission.  R.D. at 10.</w:t>
      </w:r>
    </w:p>
    <w:p w14:paraId="155E6307" w14:textId="77777777" w:rsidR="005351CA" w:rsidRPr="0029160A" w:rsidRDefault="005351CA">
      <w:pPr>
        <w:widowControl/>
        <w:spacing w:line="360" w:lineRule="auto"/>
        <w:ind w:firstLine="1440"/>
        <w:rPr>
          <w:color w:val="000000" w:themeColor="text1"/>
          <w:szCs w:val="26"/>
        </w:rPr>
      </w:pPr>
    </w:p>
    <w:p w14:paraId="6109B5BE" w14:textId="423918D8" w:rsidR="00475586" w:rsidRPr="0029160A" w:rsidRDefault="005351CA" w:rsidP="00716E78">
      <w:pPr>
        <w:widowControl/>
        <w:spacing w:line="360" w:lineRule="auto"/>
        <w:ind w:firstLine="1440"/>
        <w:rPr>
          <w:color w:val="000000" w:themeColor="text1"/>
          <w:szCs w:val="26"/>
        </w:rPr>
      </w:pPr>
      <w:r w:rsidRPr="0029160A">
        <w:rPr>
          <w:color w:val="000000" w:themeColor="text1"/>
          <w:szCs w:val="26"/>
        </w:rPr>
        <w:t>Although the ALJs did not specifically address the issue of plant retirements, the ALJs rejected the OCA’s proposal to require Wellsboro to use a yearly average rather than end-of-year method.</w:t>
      </w:r>
      <w:r w:rsidR="003317B3" w:rsidRPr="0029160A">
        <w:rPr>
          <w:color w:val="000000" w:themeColor="text1"/>
          <w:szCs w:val="26"/>
        </w:rPr>
        <w:t xml:space="preserve">  </w:t>
      </w:r>
      <w:r w:rsidRPr="0029160A">
        <w:rPr>
          <w:color w:val="000000" w:themeColor="text1"/>
          <w:szCs w:val="26"/>
        </w:rPr>
        <w:t xml:space="preserve">The ALJs rejected the OCA’s argument that Wellsboro would be overearning on plant not put in service until the end of the year, and </w:t>
      </w:r>
      <w:r w:rsidRPr="0029160A">
        <w:rPr>
          <w:color w:val="000000" w:themeColor="text1"/>
          <w:szCs w:val="26"/>
        </w:rPr>
        <w:lastRenderedPageBreak/>
        <w:t>this rejection appears to have been similarly applied by the ALJs to the retirements.  R.D.</w:t>
      </w:r>
      <w:r w:rsidR="00841A40">
        <w:rPr>
          <w:color w:val="000000" w:themeColor="text1"/>
          <w:szCs w:val="26"/>
        </w:rPr>
        <w:t> </w:t>
      </w:r>
      <w:r w:rsidRPr="0029160A">
        <w:rPr>
          <w:color w:val="000000" w:themeColor="text1"/>
          <w:szCs w:val="26"/>
        </w:rPr>
        <w:t xml:space="preserve">at 10.  </w:t>
      </w:r>
    </w:p>
    <w:p w14:paraId="18D9BF33" w14:textId="77777777" w:rsidR="00716E78" w:rsidRPr="0029160A" w:rsidRDefault="00716E78" w:rsidP="00716E78">
      <w:pPr>
        <w:widowControl/>
        <w:spacing w:line="360" w:lineRule="auto"/>
        <w:ind w:firstLine="1440"/>
        <w:rPr>
          <w:color w:val="000000" w:themeColor="text1"/>
          <w:szCs w:val="26"/>
        </w:rPr>
      </w:pPr>
    </w:p>
    <w:p w14:paraId="05A1E8AA" w14:textId="77777777" w:rsidR="00475586" w:rsidRPr="0029160A" w:rsidRDefault="00897E66" w:rsidP="00CB0B2E">
      <w:pPr>
        <w:pStyle w:val="Heading4"/>
        <w:keepNext/>
        <w:keepLines/>
        <w:ind w:hanging="720"/>
        <w:contextualSpacing w:val="0"/>
        <w:rPr>
          <w:color w:val="000000" w:themeColor="text1"/>
        </w:rPr>
      </w:pPr>
      <w:bookmarkStart w:id="50" w:name="_Toc38951742"/>
      <w:r w:rsidRPr="0029160A">
        <w:rPr>
          <w:color w:val="000000" w:themeColor="text1"/>
        </w:rPr>
        <w:t>OCA Exception No. 2</w:t>
      </w:r>
      <w:bookmarkEnd w:id="50"/>
      <w:r w:rsidRPr="0029160A">
        <w:rPr>
          <w:color w:val="000000" w:themeColor="text1"/>
        </w:rPr>
        <w:t xml:space="preserve"> </w:t>
      </w:r>
    </w:p>
    <w:p w14:paraId="2F676341" w14:textId="77777777" w:rsidR="00475586" w:rsidRPr="0029160A" w:rsidRDefault="00475586" w:rsidP="00716E78">
      <w:pPr>
        <w:keepNext/>
        <w:keepLines/>
        <w:widowControl/>
        <w:spacing w:line="360" w:lineRule="auto"/>
        <w:ind w:firstLine="1440"/>
        <w:rPr>
          <w:color w:val="000000" w:themeColor="text1"/>
          <w:szCs w:val="26"/>
        </w:rPr>
      </w:pPr>
    </w:p>
    <w:p w14:paraId="2C576F82" w14:textId="67EF9E46" w:rsidR="005351CA" w:rsidRPr="0029160A" w:rsidRDefault="005351CA" w:rsidP="00716E78">
      <w:pPr>
        <w:widowControl/>
        <w:spacing w:line="360" w:lineRule="auto"/>
        <w:ind w:firstLine="1440"/>
        <w:rPr>
          <w:color w:val="000000" w:themeColor="text1"/>
          <w:szCs w:val="26"/>
        </w:rPr>
      </w:pPr>
      <w:r w:rsidRPr="0029160A">
        <w:rPr>
          <w:color w:val="000000" w:themeColor="text1"/>
          <w:szCs w:val="26"/>
        </w:rPr>
        <w:t>In OCA Exception No. 2, the OCA submits the ALJs erred by addressing the OCA’s claim regarding plant retirements as a part of the end-of-year rate proposal.  The OCA submits that the ALJs misunderstood the OCA’s claim regarding the Company’s plant retirements.  The OCA provides that the issue is not related to the OCA’s claim regarding the average rate base vs. end-of-test year rate base.  Instead, the issue is about the plant that is permitted to be included in rate base.  The OCA avers that the ALJs’ decision does not address the issue raised by the OCA.  The OCA witness Morgan modified the Company’s proposed retirements and contributions of plant</w:t>
      </w:r>
      <w:r w:rsidR="003317B3" w:rsidRPr="0029160A">
        <w:rPr>
          <w:color w:val="000000" w:themeColor="text1"/>
          <w:szCs w:val="26"/>
        </w:rPr>
        <w:t>-</w:t>
      </w:r>
      <w:r w:rsidRPr="0029160A">
        <w:rPr>
          <w:color w:val="000000" w:themeColor="text1"/>
          <w:szCs w:val="26"/>
        </w:rPr>
        <w:t>in</w:t>
      </w:r>
      <w:r w:rsidR="003317B3" w:rsidRPr="0029160A">
        <w:rPr>
          <w:color w:val="000000" w:themeColor="text1"/>
          <w:szCs w:val="26"/>
        </w:rPr>
        <w:t>-</w:t>
      </w:r>
      <w:r w:rsidRPr="0029160A">
        <w:rPr>
          <w:color w:val="000000" w:themeColor="text1"/>
          <w:szCs w:val="26"/>
        </w:rPr>
        <w:t>service in the FTY and the FPFTY.  The OCA submits that the</w:t>
      </w:r>
      <w:r w:rsidR="00D84D83" w:rsidRPr="0029160A">
        <w:rPr>
          <w:color w:val="000000" w:themeColor="text1"/>
          <w:szCs w:val="26"/>
        </w:rPr>
        <w:t xml:space="preserve"> Company’s proposed</w:t>
      </w:r>
      <w:r w:rsidRPr="0029160A">
        <w:rPr>
          <w:color w:val="000000" w:themeColor="text1"/>
          <w:szCs w:val="26"/>
        </w:rPr>
        <w:t xml:space="preserve"> exclusion of retirements causes the year end balances for the FTY and the FPFTY to be overstated.  A corresponding adjustment to Accumulated Depreciation is needed to remove the effect of the retired plant</w:t>
      </w:r>
      <w:r w:rsidR="003317B3" w:rsidRPr="0029160A">
        <w:rPr>
          <w:color w:val="000000" w:themeColor="text1"/>
          <w:szCs w:val="26"/>
        </w:rPr>
        <w:t>-</w:t>
      </w:r>
      <w:r w:rsidRPr="0029160A">
        <w:rPr>
          <w:color w:val="000000" w:themeColor="text1"/>
          <w:szCs w:val="26"/>
        </w:rPr>
        <w:t>in</w:t>
      </w:r>
      <w:r w:rsidR="003317B3" w:rsidRPr="0029160A">
        <w:rPr>
          <w:color w:val="000000" w:themeColor="text1"/>
          <w:szCs w:val="26"/>
        </w:rPr>
        <w:t>-</w:t>
      </w:r>
      <w:r w:rsidRPr="0029160A">
        <w:rPr>
          <w:color w:val="000000" w:themeColor="text1"/>
          <w:szCs w:val="26"/>
        </w:rPr>
        <w:t xml:space="preserve">service.  Wellsboro witness Gorman’s rebuttal testimony did not specifically address Mr. Morgan’s recommendations with respect to plant retirements.  Wellsboro St. 1-R at 12-13.  The OCA submits that, in briefs, Wellsboro did not deny the exclusion of retirements but only stated that the adjustments did not have a material impact on the Company’s rate base claim.  </w:t>
      </w:r>
    </w:p>
    <w:p w14:paraId="315D9F3A" w14:textId="77777777" w:rsidR="005351CA" w:rsidRPr="0029160A" w:rsidRDefault="005351CA">
      <w:pPr>
        <w:widowControl/>
        <w:spacing w:line="360" w:lineRule="auto"/>
        <w:ind w:firstLine="1440"/>
        <w:rPr>
          <w:color w:val="000000" w:themeColor="text1"/>
          <w:szCs w:val="26"/>
        </w:rPr>
      </w:pPr>
    </w:p>
    <w:p w14:paraId="6FB2351B" w14:textId="22AE0D88" w:rsidR="005351CA" w:rsidRPr="0029160A" w:rsidRDefault="005351CA">
      <w:pPr>
        <w:widowControl/>
        <w:spacing w:line="360" w:lineRule="auto"/>
        <w:ind w:firstLine="1440"/>
        <w:rPr>
          <w:color w:val="000000" w:themeColor="text1"/>
          <w:szCs w:val="26"/>
        </w:rPr>
      </w:pPr>
      <w:r w:rsidRPr="0029160A">
        <w:rPr>
          <w:color w:val="000000" w:themeColor="text1"/>
          <w:szCs w:val="26"/>
        </w:rPr>
        <w:t xml:space="preserve">According to the OCA, the ALJs’ R.D. simply does not address the issue raised by the OCA and the Company has not addressed Mr. Morgan’s concerns that the exclusion of retirements causes the year-end balances to be overstated.  Whether the Company considers the impact to be minimal or </w:t>
      </w:r>
      <w:r w:rsidR="00700BF2" w:rsidRPr="0029160A">
        <w:rPr>
          <w:color w:val="000000" w:themeColor="text1"/>
          <w:szCs w:val="26"/>
        </w:rPr>
        <w:t>significant does</w:t>
      </w:r>
      <w:r w:rsidRPr="0029160A">
        <w:rPr>
          <w:color w:val="000000" w:themeColor="text1"/>
          <w:szCs w:val="26"/>
        </w:rPr>
        <w:t xml:space="preserve"> not address or justify including overstated balances in the rate base.  The OCA recommends the Commission adjust the year-end </w:t>
      </w:r>
      <w:r w:rsidR="00700BF2" w:rsidRPr="0029160A">
        <w:rPr>
          <w:color w:val="000000" w:themeColor="text1"/>
          <w:szCs w:val="26"/>
        </w:rPr>
        <w:t>p</w:t>
      </w:r>
      <w:r w:rsidRPr="0029160A">
        <w:rPr>
          <w:color w:val="000000" w:themeColor="text1"/>
          <w:szCs w:val="26"/>
        </w:rPr>
        <w:t>lant</w:t>
      </w:r>
      <w:r w:rsidR="003F5F5F" w:rsidRPr="0029160A">
        <w:rPr>
          <w:color w:val="000000" w:themeColor="text1"/>
          <w:szCs w:val="26"/>
        </w:rPr>
        <w:t>-</w:t>
      </w:r>
      <w:r w:rsidRPr="0029160A">
        <w:rPr>
          <w:color w:val="000000" w:themeColor="text1"/>
          <w:szCs w:val="26"/>
        </w:rPr>
        <w:t>in</w:t>
      </w:r>
      <w:r w:rsidR="003F5F5F" w:rsidRPr="0029160A">
        <w:rPr>
          <w:color w:val="000000" w:themeColor="text1"/>
          <w:szCs w:val="26"/>
        </w:rPr>
        <w:t>-</w:t>
      </w:r>
      <w:r w:rsidR="00700BF2" w:rsidRPr="0029160A">
        <w:rPr>
          <w:color w:val="000000" w:themeColor="text1"/>
          <w:szCs w:val="26"/>
        </w:rPr>
        <w:t>s</w:t>
      </w:r>
      <w:r w:rsidRPr="0029160A">
        <w:rPr>
          <w:color w:val="000000" w:themeColor="text1"/>
          <w:szCs w:val="26"/>
        </w:rPr>
        <w:t xml:space="preserve">ervice and Accumulated Depreciation to reflect the removal of plant retirement amounts for the FTY (2019) and FPFTY (2020) of $270,000 and </w:t>
      </w:r>
      <w:r w:rsidRPr="0029160A">
        <w:rPr>
          <w:color w:val="000000" w:themeColor="text1"/>
          <w:szCs w:val="26"/>
        </w:rPr>
        <w:lastRenderedPageBreak/>
        <w:t xml:space="preserve">$800,000, respectively (as these amounts were provided by the Company in response to data requests).  After reflecting these reductions, the total adjustment to </w:t>
      </w:r>
      <w:r w:rsidR="0059217B" w:rsidRPr="0029160A">
        <w:rPr>
          <w:color w:val="000000" w:themeColor="text1"/>
          <w:szCs w:val="26"/>
        </w:rPr>
        <w:t>p</w:t>
      </w:r>
      <w:r w:rsidRPr="0029160A">
        <w:rPr>
          <w:color w:val="000000" w:themeColor="text1"/>
          <w:szCs w:val="26"/>
        </w:rPr>
        <w:t>lant</w:t>
      </w:r>
      <w:r w:rsidR="003F5F5F" w:rsidRPr="0029160A">
        <w:rPr>
          <w:color w:val="000000" w:themeColor="text1"/>
          <w:szCs w:val="26"/>
        </w:rPr>
        <w:t>-</w:t>
      </w:r>
      <w:r w:rsidRPr="0029160A">
        <w:rPr>
          <w:color w:val="000000" w:themeColor="text1"/>
          <w:szCs w:val="26"/>
        </w:rPr>
        <w:t>in</w:t>
      </w:r>
      <w:r w:rsidR="0059217B" w:rsidRPr="0029160A">
        <w:rPr>
          <w:color w:val="000000" w:themeColor="text1"/>
          <w:szCs w:val="26"/>
        </w:rPr>
        <w:t>-s</w:t>
      </w:r>
      <w:r w:rsidRPr="0029160A">
        <w:rPr>
          <w:color w:val="000000" w:themeColor="text1"/>
          <w:szCs w:val="26"/>
        </w:rPr>
        <w:t>ervice and Accumulated Depreciation is $1,070,430 and $1,111,730, respectively.  OCA Exc. at</w:t>
      </w:r>
      <w:r w:rsidR="002734CE" w:rsidRPr="0029160A">
        <w:rPr>
          <w:color w:val="000000" w:themeColor="text1"/>
          <w:szCs w:val="26"/>
        </w:rPr>
        <w:t> </w:t>
      </w:r>
      <w:r w:rsidRPr="0029160A">
        <w:rPr>
          <w:color w:val="000000" w:themeColor="text1"/>
          <w:szCs w:val="26"/>
        </w:rPr>
        <w:t xml:space="preserve">5-7 (citing OCA M.B. at 16-17; OCA R.B. at 8-9; OCA St. 2 at 4-5, Schedule LKM-1). </w:t>
      </w:r>
    </w:p>
    <w:p w14:paraId="22AC4020" w14:textId="77777777" w:rsidR="005351CA" w:rsidRPr="0029160A" w:rsidRDefault="005351CA">
      <w:pPr>
        <w:widowControl/>
        <w:spacing w:line="360" w:lineRule="auto"/>
        <w:ind w:firstLine="1440"/>
        <w:rPr>
          <w:color w:val="000000" w:themeColor="text1"/>
          <w:szCs w:val="26"/>
        </w:rPr>
      </w:pPr>
    </w:p>
    <w:p w14:paraId="4524D415" w14:textId="77777777" w:rsidR="005351CA" w:rsidRPr="0029160A" w:rsidRDefault="005351CA" w:rsidP="00414EB7">
      <w:pPr>
        <w:widowControl/>
        <w:spacing w:line="360" w:lineRule="auto"/>
        <w:ind w:firstLine="1440"/>
        <w:rPr>
          <w:color w:val="000000" w:themeColor="text1"/>
          <w:szCs w:val="26"/>
        </w:rPr>
      </w:pPr>
      <w:r w:rsidRPr="0029160A">
        <w:rPr>
          <w:color w:val="000000" w:themeColor="text1"/>
          <w:szCs w:val="26"/>
        </w:rPr>
        <w:t xml:space="preserve">No Replies were filed to the OCA’s Exception No. 2. </w:t>
      </w:r>
    </w:p>
    <w:p w14:paraId="30E8F5E8" w14:textId="77777777" w:rsidR="00475586" w:rsidRPr="0029160A" w:rsidRDefault="00475586" w:rsidP="00414EB7">
      <w:pPr>
        <w:widowControl/>
        <w:spacing w:line="360" w:lineRule="auto"/>
        <w:rPr>
          <w:color w:val="000000" w:themeColor="text1"/>
          <w:szCs w:val="26"/>
        </w:rPr>
      </w:pPr>
    </w:p>
    <w:p w14:paraId="742E9BAC" w14:textId="77777777" w:rsidR="00475586" w:rsidRPr="0029160A" w:rsidRDefault="00475586" w:rsidP="00414EB7">
      <w:pPr>
        <w:pStyle w:val="Heading4"/>
        <w:keepNext/>
        <w:ind w:hanging="720"/>
        <w:rPr>
          <w:color w:val="000000" w:themeColor="text1"/>
        </w:rPr>
      </w:pPr>
      <w:bookmarkStart w:id="51" w:name="_Toc38951743"/>
      <w:r w:rsidRPr="0029160A">
        <w:rPr>
          <w:color w:val="000000" w:themeColor="text1"/>
        </w:rPr>
        <w:t>Disposition</w:t>
      </w:r>
      <w:bookmarkEnd w:id="51"/>
    </w:p>
    <w:p w14:paraId="3B16FFE2" w14:textId="77777777" w:rsidR="00475586" w:rsidRPr="0029160A" w:rsidRDefault="00475586" w:rsidP="00414EB7">
      <w:pPr>
        <w:keepNext/>
        <w:widowControl/>
        <w:spacing w:line="360" w:lineRule="auto"/>
        <w:rPr>
          <w:color w:val="000000" w:themeColor="text1"/>
          <w:szCs w:val="26"/>
        </w:rPr>
      </w:pPr>
    </w:p>
    <w:p w14:paraId="7C63583D" w14:textId="500F7EDF" w:rsidR="00475586" w:rsidRPr="0029160A" w:rsidRDefault="00A8417C" w:rsidP="00414EB7">
      <w:pPr>
        <w:keepNext/>
        <w:widowControl/>
        <w:spacing w:line="360" w:lineRule="auto"/>
        <w:ind w:firstLine="1440"/>
        <w:rPr>
          <w:color w:val="000000" w:themeColor="text1"/>
          <w:szCs w:val="26"/>
        </w:rPr>
      </w:pPr>
      <w:r w:rsidRPr="0029160A">
        <w:rPr>
          <w:color w:val="000000" w:themeColor="text1"/>
          <w:szCs w:val="26"/>
        </w:rPr>
        <w:t>In considering the record evidence and arguments before us, along with the Exceptions and Reply Exceptions of the Parties, we shall grant the OCA’s Exception No.</w:t>
      </w:r>
      <w:r w:rsidR="002734CE" w:rsidRPr="0029160A">
        <w:rPr>
          <w:color w:val="000000" w:themeColor="text1"/>
          <w:szCs w:val="26"/>
        </w:rPr>
        <w:t> </w:t>
      </w:r>
      <w:r w:rsidRPr="0029160A">
        <w:rPr>
          <w:color w:val="000000" w:themeColor="text1"/>
          <w:szCs w:val="26"/>
        </w:rPr>
        <w:t xml:space="preserve">2 and modify the ALJs’ Recommended Decision, consistent with the discussion that immediately follows. </w:t>
      </w:r>
    </w:p>
    <w:p w14:paraId="0A3D25E2" w14:textId="77777777" w:rsidR="00F07F9B" w:rsidRPr="0029160A" w:rsidRDefault="00F07F9B">
      <w:pPr>
        <w:widowControl/>
        <w:spacing w:line="360" w:lineRule="auto"/>
        <w:ind w:firstLine="1440"/>
        <w:rPr>
          <w:color w:val="000000" w:themeColor="text1"/>
          <w:szCs w:val="26"/>
        </w:rPr>
      </w:pPr>
    </w:p>
    <w:p w14:paraId="66E2FD2E" w14:textId="77777777" w:rsidR="00F07F9B" w:rsidRPr="0029160A" w:rsidRDefault="00F07F9B">
      <w:pPr>
        <w:widowControl/>
        <w:spacing w:line="360" w:lineRule="auto"/>
        <w:ind w:firstLine="1440"/>
        <w:rPr>
          <w:color w:val="000000" w:themeColor="text1"/>
          <w:szCs w:val="26"/>
        </w:rPr>
      </w:pPr>
      <w:r w:rsidRPr="0029160A">
        <w:rPr>
          <w:color w:val="000000" w:themeColor="text1"/>
          <w:szCs w:val="26"/>
        </w:rPr>
        <w:t xml:space="preserve">We agree with the OCA that the R.D. does not address the issue of plant retirements raised by the OCA, </w:t>
      </w:r>
      <w:r w:rsidR="00D53867" w:rsidRPr="0029160A">
        <w:rPr>
          <w:color w:val="000000" w:themeColor="text1"/>
          <w:szCs w:val="26"/>
        </w:rPr>
        <w:t xml:space="preserve">and </w:t>
      </w:r>
      <w:r w:rsidRPr="0029160A">
        <w:rPr>
          <w:color w:val="000000" w:themeColor="text1"/>
          <w:szCs w:val="26"/>
        </w:rPr>
        <w:t xml:space="preserve">that the Company did not </w:t>
      </w:r>
      <w:r w:rsidR="00D84D83" w:rsidRPr="0029160A">
        <w:rPr>
          <w:color w:val="000000" w:themeColor="text1"/>
          <w:szCs w:val="26"/>
        </w:rPr>
        <w:t xml:space="preserve">directly </w:t>
      </w:r>
      <w:r w:rsidRPr="0029160A">
        <w:rPr>
          <w:color w:val="000000" w:themeColor="text1"/>
          <w:szCs w:val="26"/>
        </w:rPr>
        <w:t xml:space="preserve">address the OCA witness’s concerns that the exclusion of retirements will cause the year-end balances to be overstated.  </w:t>
      </w:r>
      <w:r w:rsidR="00D84D83" w:rsidRPr="0029160A">
        <w:rPr>
          <w:color w:val="000000" w:themeColor="text1"/>
          <w:szCs w:val="26"/>
        </w:rPr>
        <w:t xml:space="preserve">Rather, the Company simply argued that the OCA’s proposed adjustments do not result in a material impact on the Company’s rate base claim.  </w:t>
      </w:r>
      <w:r w:rsidRPr="0029160A">
        <w:rPr>
          <w:color w:val="000000" w:themeColor="text1"/>
          <w:szCs w:val="26"/>
        </w:rPr>
        <w:t>Furthermore, we note the Company did not file Replies to the OCA’s Exception</w:t>
      </w:r>
      <w:r w:rsidR="001D4B58" w:rsidRPr="0029160A">
        <w:rPr>
          <w:color w:val="000000" w:themeColor="text1"/>
          <w:szCs w:val="26"/>
        </w:rPr>
        <w:t xml:space="preserve"> No. 2</w:t>
      </w:r>
      <w:r w:rsidRPr="0029160A">
        <w:rPr>
          <w:color w:val="000000" w:themeColor="text1"/>
          <w:szCs w:val="26"/>
        </w:rPr>
        <w:t xml:space="preserve"> in this proceeding.</w:t>
      </w:r>
    </w:p>
    <w:p w14:paraId="2D17C2C0" w14:textId="77777777" w:rsidR="00F07F9B" w:rsidRPr="0029160A" w:rsidRDefault="00F07F9B">
      <w:pPr>
        <w:widowControl/>
        <w:spacing w:line="360" w:lineRule="auto"/>
        <w:ind w:firstLine="1440"/>
        <w:rPr>
          <w:color w:val="000000" w:themeColor="text1"/>
          <w:szCs w:val="26"/>
          <w:highlight w:val="yellow"/>
        </w:rPr>
      </w:pPr>
    </w:p>
    <w:p w14:paraId="03970EF4" w14:textId="5406BFEE" w:rsidR="00724CAA" w:rsidRPr="0029160A" w:rsidRDefault="00F07F9B" w:rsidP="00CB0B2E">
      <w:pPr>
        <w:widowControl/>
        <w:spacing w:line="360" w:lineRule="auto"/>
        <w:ind w:firstLine="1440"/>
        <w:rPr>
          <w:color w:val="000000" w:themeColor="text1"/>
          <w:szCs w:val="26"/>
        </w:rPr>
      </w:pPr>
      <w:r w:rsidRPr="0029160A">
        <w:rPr>
          <w:color w:val="000000" w:themeColor="text1"/>
          <w:szCs w:val="26"/>
        </w:rPr>
        <w:t>Upon review, we find there is insufficient evidence to support the Company’s rate base claim with the</w:t>
      </w:r>
      <w:r w:rsidR="00D84D83" w:rsidRPr="0029160A">
        <w:rPr>
          <w:color w:val="000000" w:themeColor="text1"/>
          <w:szCs w:val="26"/>
        </w:rPr>
        <w:t xml:space="preserve"> Company’s proposed</w:t>
      </w:r>
      <w:r w:rsidRPr="0029160A">
        <w:rPr>
          <w:color w:val="000000" w:themeColor="text1"/>
          <w:szCs w:val="26"/>
        </w:rPr>
        <w:t xml:space="preserve"> exclusion of plant retirements during the FPFTY.</w:t>
      </w:r>
      <w:r w:rsidR="001D4B58" w:rsidRPr="0029160A">
        <w:rPr>
          <w:color w:val="000000" w:themeColor="text1"/>
          <w:szCs w:val="26"/>
        </w:rPr>
        <w:t xml:space="preserve"> </w:t>
      </w:r>
      <w:r w:rsidRPr="0029160A">
        <w:rPr>
          <w:color w:val="000000" w:themeColor="text1"/>
          <w:szCs w:val="26"/>
        </w:rPr>
        <w:t xml:space="preserve"> We find the OCA’s recommended adjustment to the year-end plant-in-service and Accumulated Depreciation to reflect the removal of </w:t>
      </w:r>
      <w:r w:rsidR="00D84D83" w:rsidRPr="0029160A">
        <w:rPr>
          <w:color w:val="000000" w:themeColor="text1"/>
          <w:szCs w:val="26"/>
        </w:rPr>
        <w:t xml:space="preserve">exclusion of </w:t>
      </w:r>
      <w:r w:rsidRPr="0029160A">
        <w:rPr>
          <w:color w:val="000000" w:themeColor="text1"/>
          <w:szCs w:val="26"/>
        </w:rPr>
        <w:t xml:space="preserve">plant retirement amounts for the FTY (2019) and FPFTY (2020) of $270,000 and $800,000, respectively, to be reasonable and to serve the public interest.  </w:t>
      </w:r>
      <w:r w:rsidR="00724CAA" w:rsidRPr="0029160A">
        <w:rPr>
          <w:color w:val="000000" w:themeColor="text1"/>
          <w:szCs w:val="26"/>
        </w:rPr>
        <w:t xml:space="preserve">The total adjustment to plant-in-service and Accumulated Depreciation is $1,070,430 and $1,111,730, respectively.  The depreciation expense adjustment to reflect retirements is $34,368. </w:t>
      </w:r>
      <w:r w:rsidR="00B020C1" w:rsidRPr="0029160A">
        <w:rPr>
          <w:color w:val="000000" w:themeColor="text1"/>
          <w:szCs w:val="26"/>
        </w:rPr>
        <w:lastRenderedPageBreak/>
        <w:t xml:space="preserve">Because we are reducing the Company’s </w:t>
      </w:r>
      <w:r w:rsidR="001D4B58" w:rsidRPr="0029160A">
        <w:rPr>
          <w:color w:val="000000" w:themeColor="text1"/>
          <w:szCs w:val="26"/>
        </w:rPr>
        <w:t>p</w:t>
      </w:r>
      <w:r w:rsidR="00B020C1" w:rsidRPr="0029160A">
        <w:rPr>
          <w:color w:val="000000" w:themeColor="text1"/>
          <w:szCs w:val="26"/>
        </w:rPr>
        <w:t>lant</w:t>
      </w:r>
      <w:r w:rsidR="001D4B58" w:rsidRPr="0029160A">
        <w:rPr>
          <w:color w:val="000000" w:themeColor="text1"/>
          <w:szCs w:val="26"/>
        </w:rPr>
        <w:t>-</w:t>
      </w:r>
      <w:r w:rsidR="00B020C1" w:rsidRPr="0029160A">
        <w:rPr>
          <w:color w:val="000000" w:themeColor="text1"/>
          <w:szCs w:val="26"/>
        </w:rPr>
        <w:t>in</w:t>
      </w:r>
      <w:r w:rsidR="001D4B58" w:rsidRPr="0029160A">
        <w:rPr>
          <w:color w:val="000000" w:themeColor="text1"/>
          <w:szCs w:val="26"/>
        </w:rPr>
        <w:t>-s</w:t>
      </w:r>
      <w:r w:rsidR="00B020C1" w:rsidRPr="0029160A">
        <w:rPr>
          <w:color w:val="000000" w:themeColor="text1"/>
          <w:szCs w:val="26"/>
        </w:rPr>
        <w:t xml:space="preserve">ervice amount, but we are reducing the Company’s Accumulated Depreciation amount to account for the retirement of </w:t>
      </w:r>
      <w:r w:rsidR="001D4B58" w:rsidRPr="0029160A">
        <w:rPr>
          <w:color w:val="000000" w:themeColor="text1"/>
          <w:szCs w:val="26"/>
        </w:rPr>
        <w:t>p</w:t>
      </w:r>
      <w:r w:rsidR="00B020C1" w:rsidRPr="0029160A">
        <w:rPr>
          <w:color w:val="000000" w:themeColor="text1"/>
          <w:szCs w:val="26"/>
        </w:rPr>
        <w:t>lant</w:t>
      </w:r>
      <w:r w:rsidR="001D4B58" w:rsidRPr="0029160A">
        <w:rPr>
          <w:color w:val="000000" w:themeColor="text1"/>
          <w:szCs w:val="26"/>
        </w:rPr>
        <w:t>-</w:t>
      </w:r>
      <w:r w:rsidR="00B020C1" w:rsidRPr="0029160A">
        <w:rPr>
          <w:color w:val="000000" w:themeColor="text1"/>
          <w:szCs w:val="26"/>
        </w:rPr>
        <w:t>in</w:t>
      </w:r>
      <w:r w:rsidR="001D4B58" w:rsidRPr="0029160A">
        <w:rPr>
          <w:color w:val="000000" w:themeColor="text1"/>
          <w:szCs w:val="26"/>
        </w:rPr>
        <w:t>-s</w:t>
      </w:r>
      <w:r w:rsidR="00B020C1" w:rsidRPr="0029160A">
        <w:rPr>
          <w:color w:val="000000" w:themeColor="text1"/>
          <w:szCs w:val="26"/>
        </w:rPr>
        <w:t>ervice, this will result in a net addition to the Company’s rate base of $41,300 (</w:t>
      </w:r>
      <w:r w:rsidR="00B020C1" w:rsidRPr="0029160A">
        <w:rPr>
          <w:i/>
          <w:iCs/>
          <w:color w:val="000000" w:themeColor="text1"/>
          <w:szCs w:val="26"/>
        </w:rPr>
        <w:t>i.e.</w:t>
      </w:r>
      <w:r w:rsidR="00EA75F1" w:rsidRPr="0029160A">
        <w:rPr>
          <w:i/>
          <w:iCs/>
          <w:color w:val="000000" w:themeColor="text1"/>
          <w:szCs w:val="26"/>
        </w:rPr>
        <w:t>,</w:t>
      </w:r>
      <w:r w:rsidR="00B020C1" w:rsidRPr="0029160A">
        <w:rPr>
          <w:i/>
          <w:iCs/>
          <w:color w:val="000000" w:themeColor="text1"/>
          <w:szCs w:val="26"/>
        </w:rPr>
        <w:t xml:space="preserve"> </w:t>
      </w:r>
      <w:r w:rsidR="00EA75F1" w:rsidRPr="0029160A">
        <w:rPr>
          <w:color w:val="000000" w:themeColor="text1"/>
          <w:szCs w:val="26"/>
        </w:rPr>
        <w:noBreakHyphen/>
      </w:r>
      <w:r w:rsidR="00B020C1" w:rsidRPr="0029160A">
        <w:rPr>
          <w:color w:val="000000" w:themeColor="text1"/>
          <w:szCs w:val="26"/>
        </w:rPr>
        <w:t xml:space="preserve">$1,070,430-[-$1,111730]=$41,300).  </w:t>
      </w:r>
      <w:r w:rsidR="00D84D83" w:rsidRPr="0029160A">
        <w:rPr>
          <w:color w:val="000000" w:themeColor="text1"/>
          <w:szCs w:val="26"/>
        </w:rPr>
        <w:t xml:space="preserve">The </w:t>
      </w:r>
      <w:r w:rsidR="0065512A" w:rsidRPr="0029160A">
        <w:rPr>
          <w:color w:val="000000" w:themeColor="text1"/>
          <w:szCs w:val="26"/>
        </w:rPr>
        <w:t>OCA also made a reduction to the Company’s as</w:t>
      </w:r>
      <w:r w:rsidR="00D84D83" w:rsidRPr="0029160A">
        <w:rPr>
          <w:color w:val="000000" w:themeColor="text1"/>
          <w:szCs w:val="26"/>
        </w:rPr>
        <w:t>-</w:t>
      </w:r>
      <w:r w:rsidR="0065512A" w:rsidRPr="0029160A">
        <w:rPr>
          <w:color w:val="000000" w:themeColor="text1"/>
          <w:szCs w:val="26"/>
        </w:rPr>
        <w:t xml:space="preserve">filed depreciation expense from $1,366,345 to $1,331,977 to reflect retirements.  We shall adopt this adjustment.  This results in a downward adjustment of $34,368 to the Company’s depreciation expense.  </w:t>
      </w:r>
      <w:r w:rsidR="00724CAA" w:rsidRPr="0029160A">
        <w:rPr>
          <w:color w:val="000000" w:themeColor="text1"/>
          <w:szCs w:val="26"/>
        </w:rPr>
        <w:t xml:space="preserve">OCA St. 1 at 4-5, Schedule LKM-1.  </w:t>
      </w:r>
    </w:p>
    <w:p w14:paraId="552559E4" w14:textId="77777777" w:rsidR="00724CAA" w:rsidRPr="0029160A" w:rsidRDefault="00724CAA">
      <w:pPr>
        <w:widowControl/>
        <w:spacing w:line="360" w:lineRule="auto"/>
        <w:ind w:firstLine="720"/>
        <w:rPr>
          <w:color w:val="000000" w:themeColor="text1"/>
          <w:szCs w:val="26"/>
        </w:rPr>
      </w:pPr>
    </w:p>
    <w:p w14:paraId="14F662F6" w14:textId="77777777" w:rsidR="00461A7E" w:rsidRPr="0029160A" w:rsidRDefault="00D84D83" w:rsidP="00716E78">
      <w:pPr>
        <w:widowControl/>
        <w:spacing w:line="360" w:lineRule="auto"/>
        <w:ind w:firstLine="1440"/>
        <w:rPr>
          <w:color w:val="000000" w:themeColor="text1"/>
          <w:szCs w:val="26"/>
        </w:rPr>
      </w:pPr>
      <w:r w:rsidRPr="0029160A">
        <w:rPr>
          <w:color w:val="000000" w:themeColor="text1"/>
          <w:szCs w:val="26"/>
        </w:rPr>
        <w:t>Based on the foregoing, w</w:t>
      </w:r>
      <w:r w:rsidR="00F07F9B" w:rsidRPr="0029160A">
        <w:rPr>
          <w:color w:val="000000" w:themeColor="text1"/>
          <w:szCs w:val="26"/>
        </w:rPr>
        <w:t xml:space="preserve">e shall adopt the OCA’s proposed adjustments, grant the OCA’s Exception No. 2 and modify the R.D. accordingly. </w:t>
      </w:r>
    </w:p>
    <w:p w14:paraId="4B3F36C2" w14:textId="77777777" w:rsidR="00F07F9B" w:rsidRPr="0029160A" w:rsidRDefault="00F07F9B" w:rsidP="00716E78">
      <w:pPr>
        <w:widowControl/>
        <w:spacing w:line="360" w:lineRule="auto"/>
        <w:ind w:firstLine="1440"/>
        <w:rPr>
          <w:color w:val="000000" w:themeColor="text1"/>
        </w:rPr>
      </w:pPr>
    </w:p>
    <w:p w14:paraId="53247D94" w14:textId="77777777" w:rsidR="00461A7E" w:rsidRPr="0029160A" w:rsidRDefault="008463A0" w:rsidP="00CB0B2E">
      <w:pPr>
        <w:pStyle w:val="Heading3"/>
        <w:ind w:left="1440" w:hanging="720"/>
        <w:rPr>
          <w:color w:val="000000" w:themeColor="text1"/>
        </w:rPr>
      </w:pPr>
      <w:bookmarkStart w:id="52" w:name="_Toc36552352"/>
      <w:bookmarkStart w:id="53" w:name="_Toc38951744"/>
      <w:r w:rsidRPr="0029160A">
        <w:rPr>
          <w:color w:val="000000" w:themeColor="text1"/>
        </w:rPr>
        <w:t xml:space="preserve">Expenses:  </w:t>
      </w:r>
      <w:r w:rsidR="00461A7E" w:rsidRPr="0029160A">
        <w:rPr>
          <w:color w:val="000000" w:themeColor="text1"/>
        </w:rPr>
        <w:t>Inflation Adjustment</w:t>
      </w:r>
      <w:r w:rsidR="0097298F" w:rsidRPr="0029160A">
        <w:rPr>
          <w:color w:val="000000" w:themeColor="text1"/>
        </w:rPr>
        <w:t xml:space="preserve"> to </w:t>
      </w:r>
      <w:r w:rsidRPr="0029160A">
        <w:rPr>
          <w:color w:val="000000" w:themeColor="text1"/>
        </w:rPr>
        <w:t xml:space="preserve">O&amp;M </w:t>
      </w:r>
      <w:r w:rsidR="0097298F" w:rsidRPr="0029160A">
        <w:rPr>
          <w:color w:val="000000" w:themeColor="text1"/>
        </w:rPr>
        <w:t>Expense</w:t>
      </w:r>
      <w:r w:rsidRPr="0029160A">
        <w:rPr>
          <w:color w:val="000000" w:themeColor="text1"/>
        </w:rPr>
        <w:t xml:space="preserve"> Claims</w:t>
      </w:r>
      <w:bookmarkEnd w:id="52"/>
      <w:bookmarkEnd w:id="53"/>
    </w:p>
    <w:p w14:paraId="39F26D15" w14:textId="77777777" w:rsidR="00475586" w:rsidRPr="0029160A" w:rsidRDefault="00475586" w:rsidP="00716E78">
      <w:pPr>
        <w:widowControl/>
        <w:spacing w:line="360" w:lineRule="auto"/>
        <w:rPr>
          <w:color w:val="000000" w:themeColor="text1"/>
        </w:rPr>
      </w:pPr>
    </w:p>
    <w:p w14:paraId="244FA210" w14:textId="08CB8BBE" w:rsidR="00475586" w:rsidRPr="0029160A" w:rsidRDefault="00475586" w:rsidP="00CB0B2E">
      <w:pPr>
        <w:pStyle w:val="Heading4"/>
        <w:numPr>
          <w:ilvl w:val="0"/>
          <w:numId w:val="13"/>
        </w:numPr>
        <w:ind w:hanging="720"/>
        <w:rPr>
          <w:color w:val="000000" w:themeColor="text1"/>
        </w:rPr>
      </w:pPr>
      <w:bookmarkStart w:id="54" w:name="_Toc38951745"/>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54"/>
    </w:p>
    <w:p w14:paraId="1E08F4B7" w14:textId="77777777" w:rsidR="00475586" w:rsidRPr="0029160A" w:rsidRDefault="00475586" w:rsidP="00716E78">
      <w:pPr>
        <w:widowControl/>
        <w:spacing w:line="360" w:lineRule="auto"/>
        <w:rPr>
          <w:color w:val="000000" w:themeColor="text1"/>
          <w:szCs w:val="26"/>
        </w:rPr>
      </w:pPr>
    </w:p>
    <w:p w14:paraId="58A0CD19" w14:textId="77777777" w:rsidR="006E1108" w:rsidRPr="0029160A" w:rsidRDefault="006E1108" w:rsidP="00CB0B2E">
      <w:pPr>
        <w:widowControl/>
        <w:spacing w:line="360" w:lineRule="auto"/>
        <w:ind w:firstLine="1440"/>
        <w:rPr>
          <w:color w:val="000000" w:themeColor="text1"/>
          <w:szCs w:val="26"/>
        </w:rPr>
      </w:pPr>
      <w:r w:rsidRPr="0029160A">
        <w:rPr>
          <w:color w:val="000000" w:themeColor="text1"/>
          <w:szCs w:val="26"/>
        </w:rPr>
        <w:t xml:space="preserve">Wellsboro stated that it considered historical expense increases and determined that increasing its FTY estimates by </w:t>
      </w:r>
      <w:r w:rsidR="0053531F" w:rsidRPr="0029160A">
        <w:rPr>
          <w:color w:val="000000" w:themeColor="text1"/>
          <w:szCs w:val="26"/>
        </w:rPr>
        <w:t>three percent</w:t>
      </w:r>
      <w:r w:rsidRPr="0029160A">
        <w:rPr>
          <w:color w:val="000000" w:themeColor="text1"/>
          <w:szCs w:val="26"/>
        </w:rPr>
        <w:t xml:space="preserve"> would reasonably and conservatively account for anticipated FPFTY expense increases, primarily for wage, benefits, and salaries and for materials.  Wellsboro noted that the OCA did not agree with the concept of a general inflation adjustment and the amount selected by the Company for its 2020 projections, claiming that general inflation adjustments should not be used because they are not “known and measurable.”  I&amp;E did not object to the inflation adjustment.  Wellsboro M.B at 35 (citing OCA St. 2 at 8).  </w:t>
      </w:r>
    </w:p>
    <w:p w14:paraId="2BE90FE6" w14:textId="77777777" w:rsidR="006E1108" w:rsidRPr="0029160A" w:rsidRDefault="006E1108" w:rsidP="00CB0B2E">
      <w:pPr>
        <w:widowControl/>
        <w:spacing w:line="360" w:lineRule="auto"/>
        <w:ind w:firstLine="1440"/>
        <w:rPr>
          <w:color w:val="000000" w:themeColor="text1"/>
          <w:szCs w:val="26"/>
        </w:rPr>
      </w:pPr>
    </w:p>
    <w:p w14:paraId="2713BFE6" w14:textId="0C81C669" w:rsidR="006E1108" w:rsidRPr="0029160A" w:rsidRDefault="006E1108" w:rsidP="00CB0B2E">
      <w:pPr>
        <w:widowControl/>
        <w:spacing w:line="360" w:lineRule="auto"/>
        <w:ind w:firstLine="1440"/>
        <w:rPr>
          <w:color w:val="000000" w:themeColor="text1"/>
          <w:szCs w:val="26"/>
        </w:rPr>
      </w:pPr>
      <w:r w:rsidRPr="0029160A">
        <w:rPr>
          <w:color w:val="000000" w:themeColor="text1"/>
          <w:szCs w:val="26"/>
        </w:rPr>
        <w:t>Wellsboro explained that it used the Producer Price Index</w:t>
      </w:r>
      <w:r w:rsidR="000D0D31" w:rsidRPr="0029160A">
        <w:rPr>
          <w:color w:val="000000" w:themeColor="text1"/>
          <w:szCs w:val="26"/>
        </w:rPr>
        <w:t xml:space="preserve"> (PPI)</w:t>
      </w:r>
      <w:r w:rsidRPr="0029160A">
        <w:rPr>
          <w:color w:val="000000" w:themeColor="text1"/>
          <w:szCs w:val="26"/>
        </w:rPr>
        <w:t xml:space="preserve"> as a guideline in forming its </w:t>
      </w:r>
      <w:r w:rsidR="0053531F" w:rsidRPr="0029160A">
        <w:rPr>
          <w:color w:val="000000" w:themeColor="text1"/>
          <w:szCs w:val="26"/>
        </w:rPr>
        <w:t>three percent</w:t>
      </w:r>
      <w:r w:rsidRPr="0029160A">
        <w:rPr>
          <w:color w:val="000000" w:themeColor="text1"/>
          <w:szCs w:val="26"/>
        </w:rPr>
        <w:t xml:space="preserve"> inflation projection and found this percentage to be reasonable as it agrees with Wellsboro’s historic trends.  Wellsboro’s O&amp;M expenses show an increase of over 18% from 2015 to 2018 and 24% from 2012 to 2018.  </w:t>
      </w:r>
      <w:r w:rsidRPr="0029160A">
        <w:rPr>
          <w:color w:val="000000" w:themeColor="text1"/>
          <w:szCs w:val="26"/>
        </w:rPr>
        <w:lastRenderedPageBreak/>
        <w:t>Wellsboro M.B. at 36 (citing OCA St. 2 at 8; Wellsboro St. 1, Exh</w:t>
      </w:r>
      <w:r w:rsidR="007B61FD" w:rsidRPr="0029160A">
        <w:rPr>
          <w:color w:val="000000" w:themeColor="text1"/>
          <w:szCs w:val="26"/>
        </w:rPr>
        <w:t>ibit</w:t>
      </w:r>
      <w:r w:rsidRPr="0029160A">
        <w:rPr>
          <w:color w:val="000000" w:themeColor="text1"/>
          <w:szCs w:val="26"/>
        </w:rPr>
        <w:t>_(HSG-1), Schedule C1-1</w:t>
      </w:r>
      <w:r w:rsidR="00ED3A7E">
        <w:rPr>
          <w:color w:val="000000" w:themeColor="text1"/>
          <w:szCs w:val="26"/>
        </w:rPr>
        <w:t xml:space="preserve"> </w:t>
      </w:r>
      <w:r w:rsidRPr="0029160A">
        <w:rPr>
          <w:color w:val="000000" w:themeColor="text1"/>
          <w:szCs w:val="26"/>
        </w:rPr>
        <w:t>(W)).</w:t>
      </w:r>
    </w:p>
    <w:p w14:paraId="3BB5B020" w14:textId="77777777" w:rsidR="00475586" w:rsidRPr="0029160A" w:rsidRDefault="00475586" w:rsidP="00716E78">
      <w:pPr>
        <w:widowControl/>
        <w:spacing w:line="360" w:lineRule="auto"/>
        <w:rPr>
          <w:color w:val="000000" w:themeColor="text1"/>
          <w:szCs w:val="26"/>
        </w:rPr>
      </w:pPr>
    </w:p>
    <w:p w14:paraId="44327FBC" w14:textId="77777777" w:rsidR="00475586" w:rsidRPr="0029160A" w:rsidRDefault="00475586" w:rsidP="00CB0B2E">
      <w:pPr>
        <w:pStyle w:val="Heading4"/>
        <w:keepNext/>
        <w:keepLines/>
        <w:ind w:hanging="720"/>
        <w:rPr>
          <w:color w:val="000000" w:themeColor="text1"/>
        </w:rPr>
      </w:pPr>
      <w:bookmarkStart w:id="55" w:name="_Toc38951746"/>
      <w:r w:rsidRPr="0029160A">
        <w:rPr>
          <w:color w:val="000000" w:themeColor="text1"/>
        </w:rPr>
        <w:t>Recommended Decision</w:t>
      </w:r>
      <w:bookmarkEnd w:id="55"/>
    </w:p>
    <w:p w14:paraId="605B2D68" w14:textId="77777777" w:rsidR="00475586" w:rsidRPr="0029160A" w:rsidRDefault="00475586" w:rsidP="00716E78">
      <w:pPr>
        <w:keepNext/>
        <w:keepLines/>
        <w:widowControl/>
        <w:spacing w:line="360" w:lineRule="auto"/>
        <w:ind w:firstLine="1440"/>
        <w:rPr>
          <w:color w:val="000000" w:themeColor="text1"/>
          <w:szCs w:val="26"/>
        </w:rPr>
      </w:pPr>
    </w:p>
    <w:p w14:paraId="24E9CE04" w14:textId="46839EC4" w:rsidR="00475586" w:rsidRPr="0029160A" w:rsidRDefault="006E1108" w:rsidP="00716E78">
      <w:pPr>
        <w:widowControl/>
        <w:spacing w:line="360" w:lineRule="auto"/>
        <w:ind w:firstLine="1440"/>
        <w:rPr>
          <w:color w:val="000000" w:themeColor="text1"/>
          <w:szCs w:val="26"/>
        </w:rPr>
      </w:pPr>
      <w:r w:rsidRPr="0029160A">
        <w:rPr>
          <w:color w:val="000000" w:themeColor="text1"/>
          <w:szCs w:val="26"/>
        </w:rPr>
        <w:t xml:space="preserve">The ALJs recommended that the Commission not allow Wellsboro to apply a blanket </w:t>
      </w:r>
      <w:r w:rsidR="0053531F" w:rsidRPr="0029160A">
        <w:rPr>
          <w:color w:val="000000" w:themeColor="text1"/>
          <w:szCs w:val="26"/>
        </w:rPr>
        <w:t>three percent</w:t>
      </w:r>
      <w:r w:rsidRPr="0029160A">
        <w:rPr>
          <w:color w:val="000000" w:themeColor="text1"/>
          <w:szCs w:val="26"/>
        </w:rPr>
        <w:t xml:space="preserve"> inflation adjustment to all of its O&amp;M accounts in its FTY to reach its FPFTY projections.  The ALJs explained that the Company has the burden of demonstrating that each FTY expense claim will increase in the FPFTY by some “known and measurable” change in the FPFTY.  </w:t>
      </w:r>
      <w:r w:rsidR="009A5DFE" w:rsidRPr="0029160A">
        <w:rPr>
          <w:color w:val="000000" w:themeColor="text1"/>
          <w:szCs w:val="26"/>
        </w:rPr>
        <w:t>According to the ALJs, t</w:t>
      </w:r>
      <w:r w:rsidRPr="0029160A">
        <w:rPr>
          <w:color w:val="000000" w:themeColor="text1"/>
          <w:szCs w:val="26"/>
        </w:rPr>
        <w:t xml:space="preserve">he Company did not demonstrate that the blanket </w:t>
      </w:r>
      <w:r w:rsidR="0053531F" w:rsidRPr="0029160A">
        <w:rPr>
          <w:color w:val="000000" w:themeColor="text1"/>
          <w:szCs w:val="26"/>
        </w:rPr>
        <w:t>three percent</w:t>
      </w:r>
      <w:r w:rsidRPr="0029160A">
        <w:rPr>
          <w:color w:val="000000" w:themeColor="text1"/>
          <w:szCs w:val="26"/>
        </w:rPr>
        <w:t xml:space="preserve"> inflation adjustment to all expenses would meet the known and measurable change standard; specifically, the Company did not demonstrate that making this adjustment to each expense claim directly relates to the actual costs expected to be incurred in each expense account in the FPFTY.  R.D. at</w:t>
      </w:r>
      <w:r w:rsidR="00DE305E" w:rsidRPr="0029160A">
        <w:rPr>
          <w:color w:val="000000" w:themeColor="text1"/>
          <w:szCs w:val="26"/>
        </w:rPr>
        <w:t> </w:t>
      </w:r>
      <w:r w:rsidRPr="0029160A">
        <w:rPr>
          <w:color w:val="000000" w:themeColor="text1"/>
          <w:szCs w:val="26"/>
        </w:rPr>
        <w:t>21</w:t>
      </w:r>
      <w:r w:rsidR="00DE305E" w:rsidRPr="0029160A">
        <w:rPr>
          <w:color w:val="000000" w:themeColor="text1"/>
          <w:szCs w:val="26"/>
        </w:rPr>
        <w:noBreakHyphen/>
      </w:r>
      <w:r w:rsidRPr="0029160A">
        <w:rPr>
          <w:color w:val="000000" w:themeColor="text1"/>
          <w:szCs w:val="26"/>
        </w:rPr>
        <w:t>23.</w:t>
      </w:r>
    </w:p>
    <w:p w14:paraId="3891441F" w14:textId="77777777" w:rsidR="00475586" w:rsidRPr="0029160A" w:rsidRDefault="00475586" w:rsidP="00716E78">
      <w:pPr>
        <w:widowControl/>
        <w:spacing w:line="360" w:lineRule="auto"/>
        <w:rPr>
          <w:color w:val="000000" w:themeColor="text1"/>
          <w:szCs w:val="26"/>
        </w:rPr>
      </w:pPr>
    </w:p>
    <w:p w14:paraId="37EF3CD8" w14:textId="77777777" w:rsidR="00475586" w:rsidRPr="0029160A" w:rsidRDefault="00897E66" w:rsidP="00CB0B2E">
      <w:pPr>
        <w:pStyle w:val="Heading4"/>
        <w:keepNext/>
        <w:keepLines/>
        <w:ind w:hanging="720"/>
        <w:contextualSpacing w:val="0"/>
        <w:rPr>
          <w:color w:val="000000" w:themeColor="text1"/>
        </w:rPr>
      </w:pPr>
      <w:bookmarkStart w:id="56" w:name="_Toc38951747"/>
      <w:r w:rsidRPr="0029160A">
        <w:rPr>
          <w:color w:val="000000" w:themeColor="text1"/>
        </w:rPr>
        <w:t>Wellsboro Exception No. 1 and Replies</w:t>
      </w:r>
      <w:bookmarkEnd w:id="56"/>
    </w:p>
    <w:p w14:paraId="6FFDED4D" w14:textId="77777777" w:rsidR="00475586" w:rsidRPr="0029160A" w:rsidRDefault="00475586" w:rsidP="00716E78">
      <w:pPr>
        <w:keepNext/>
        <w:keepLines/>
        <w:widowControl/>
        <w:spacing w:line="360" w:lineRule="auto"/>
        <w:rPr>
          <w:color w:val="000000" w:themeColor="text1"/>
          <w:szCs w:val="26"/>
        </w:rPr>
      </w:pPr>
    </w:p>
    <w:p w14:paraId="7B85A412" w14:textId="77777777" w:rsidR="006E1108" w:rsidRPr="0029160A" w:rsidRDefault="006E1108" w:rsidP="00716E78">
      <w:pPr>
        <w:widowControl/>
        <w:spacing w:line="360" w:lineRule="auto"/>
        <w:ind w:firstLine="1440"/>
        <w:rPr>
          <w:color w:val="000000" w:themeColor="text1"/>
          <w:szCs w:val="26"/>
        </w:rPr>
      </w:pPr>
      <w:r w:rsidRPr="0029160A">
        <w:rPr>
          <w:color w:val="000000" w:themeColor="text1"/>
          <w:szCs w:val="26"/>
        </w:rPr>
        <w:t xml:space="preserve">In Wellsboro Exception No. 1, Wellsboro contends the ALJs erred by rejecting the proposed </w:t>
      </w:r>
      <w:r w:rsidR="0053531F" w:rsidRPr="0029160A">
        <w:rPr>
          <w:color w:val="000000" w:themeColor="text1"/>
          <w:szCs w:val="26"/>
        </w:rPr>
        <w:t>three percent</w:t>
      </w:r>
      <w:r w:rsidRPr="0029160A">
        <w:rPr>
          <w:color w:val="000000" w:themeColor="text1"/>
          <w:szCs w:val="26"/>
        </w:rPr>
        <w:t xml:space="preserve"> FPFTY inflation adjustment as speculative and that it has only proposed a conservative O&amp;M inflation adjustment of </w:t>
      </w:r>
      <w:r w:rsidR="0053531F" w:rsidRPr="0029160A">
        <w:rPr>
          <w:color w:val="000000" w:themeColor="text1"/>
          <w:szCs w:val="26"/>
        </w:rPr>
        <w:t>three percent</w:t>
      </w:r>
      <w:r w:rsidRPr="0029160A">
        <w:rPr>
          <w:color w:val="000000" w:themeColor="text1"/>
          <w:szCs w:val="26"/>
        </w:rPr>
        <w:t xml:space="preserve"> supported by historical experience.  Wellsboro explains it provided substantial evidence, including historical expense increases, supporting its projection that total O&amp;M expenses will increase by at least the </w:t>
      </w:r>
      <w:r w:rsidR="0053531F" w:rsidRPr="0029160A">
        <w:rPr>
          <w:color w:val="000000" w:themeColor="text1"/>
          <w:szCs w:val="26"/>
        </w:rPr>
        <w:t>three percent</w:t>
      </w:r>
      <w:r w:rsidRPr="0029160A">
        <w:rPr>
          <w:color w:val="000000" w:themeColor="text1"/>
          <w:szCs w:val="26"/>
        </w:rPr>
        <w:t xml:space="preserve"> rate of inflation in the FPFTY.  As the Company has only proposed a conservative inflation adjustment supported by historical experience, the Company submits approval of the </w:t>
      </w:r>
      <w:r w:rsidR="0053531F" w:rsidRPr="0029160A">
        <w:rPr>
          <w:color w:val="000000" w:themeColor="text1"/>
          <w:szCs w:val="26"/>
        </w:rPr>
        <w:t>three percent</w:t>
      </w:r>
      <w:r w:rsidRPr="0029160A">
        <w:rPr>
          <w:color w:val="000000" w:themeColor="text1"/>
          <w:szCs w:val="26"/>
        </w:rPr>
        <w:t xml:space="preserve"> inflation adjustment is reasonable and consistent with the Commission’s authority to approve </w:t>
      </w:r>
      <w:r w:rsidR="007B61FD" w:rsidRPr="0029160A">
        <w:rPr>
          <w:color w:val="000000" w:themeColor="text1"/>
          <w:szCs w:val="26"/>
        </w:rPr>
        <w:t xml:space="preserve">the </w:t>
      </w:r>
      <w:r w:rsidRPr="0029160A">
        <w:rPr>
          <w:color w:val="000000" w:themeColor="text1"/>
          <w:szCs w:val="26"/>
        </w:rPr>
        <w:t xml:space="preserve">FPFTY.  </w:t>
      </w:r>
    </w:p>
    <w:p w14:paraId="50F4458B" w14:textId="77777777" w:rsidR="006E1108" w:rsidRPr="0029160A" w:rsidRDefault="006E1108">
      <w:pPr>
        <w:widowControl/>
        <w:spacing w:line="360" w:lineRule="auto"/>
        <w:ind w:firstLine="1440"/>
        <w:rPr>
          <w:color w:val="000000" w:themeColor="text1"/>
          <w:szCs w:val="26"/>
        </w:rPr>
      </w:pPr>
    </w:p>
    <w:p w14:paraId="461CBAD7" w14:textId="77777777" w:rsidR="006E1108" w:rsidRPr="0029160A" w:rsidRDefault="006E1108">
      <w:pPr>
        <w:widowControl/>
        <w:spacing w:line="360" w:lineRule="auto"/>
        <w:ind w:firstLine="1440"/>
        <w:rPr>
          <w:color w:val="000000" w:themeColor="text1"/>
          <w:szCs w:val="26"/>
        </w:rPr>
      </w:pPr>
      <w:r w:rsidRPr="0029160A">
        <w:rPr>
          <w:color w:val="000000" w:themeColor="text1"/>
          <w:szCs w:val="26"/>
        </w:rPr>
        <w:lastRenderedPageBreak/>
        <w:t xml:space="preserve">Wellsboro argues that the “known and measurable” standard does not preclude inflation adjustments; even before Act 11, this standard was not universally applied to deny inflation adjustments; there is nothing inherently inconsistent between the “known and measurable” standard and an inflation adjustment; and, the R.D.’s attempt to distinguish the Company’s proposed inflation adjustment as a “blanket adjustment” misapplied the “known and measurable” standard and does not invalidate the Company’s method because the Company did not apply a blanket adjustment to all FPFTY costs but only to FPFTY O&amp;M expenses consistent with the Company’s historical experience.  </w:t>
      </w:r>
    </w:p>
    <w:p w14:paraId="57389FAC" w14:textId="77777777" w:rsidR="006E1108" w:rsidRPr="0029160A" w:rsidRDefault="006E1108">
      <w:pPr>
        <w:widowControl/>
        <w:spacing w:line="360" w:lineRule="auto"/>
        <w:ind w:firstLine="1440"/>
        <w:rPr>
          <w:color w:val="000000" w:themeColor="text1"/>
          <w:szCs w:val="26"/>
        </w:rPr>
      </w:pPr>
    </w:p>
    <w:p w14:paraId="325273F5" w14:textId="69A5712D" w:rsidR="006E1108" w:rsidRPr="0029160A" w:rsidRDefault="006E1108">
      <w:pPr>
        <w:widowControl/>
        <w:spacing w:line="360" w:lineRule="auto"/>
        <w:ind w:firstLine="1440"/>
        <w:rPr>
          <w:color w:val="000000" w:themeColor="text1"/>
          <w:szCs w:val="26"/>
        </w:rPr>
      </w:pPr>
      <w:r w:rsidRPr="0029160A">
        <w:rPr>
          <w:color w:val="000000" w:themeColor="text1"/>
          <w:szCs w:val="26"/>
        </w:rPr>
        <w:t xml:space="preserve">The Company submits its approach to projecting FPFTY O&amp;M expenses aligns with the purpose of the FPFTY ratemaking tool established in Act 11 to reduce regulatory lag.  Agreeing with the R.D. that Act 11 did not abolish the “known and measurable” standard, the Company submits that Act 11 does not preclude reliance on well-founded projections.  The R.D.’s rejection of the Company’s well-supported </w:t>
      </w:r>
      <w:r w:rsidR="0053531F" w:rsidRPr="0029160A">
        <w:rPr>
          <w:color w:val="000000" w:themeColor="text1"/>
          <w:szCs w:val="26"/>
        </w:rPr>
        <w:t>three percent</w:t>
      </w:r>
      <w:r w:rsidRPr="0029160A">
        <w:rPr>
          <w:color w:val="000000" w:themeColor="text1"/>
          <w:szCs w:val="26"/>
        </w:rPr>
        <w:t xml:space="preserve"> increase for FPFTY O&amp;M expenses erodes the benefits of Act 11 and the FPFTY as an authorized ratemaking tool.  Alternatively, Wellsboro asserts there is particularly strong evidence supporting a </w:t>
      </w:r>
      <w:r w:rsidR="0053531F" w:rsidRPr="0029160A">
        <w:rPr>
          <w:color w:val="000000" w:themeColor="text1"/>
          <w:szCs w:val="26"/>
        </w:rPr>
        <w:t>three percent</w:t>
      </w:r>
      <w:r w:rsidRPr="0029160A">
        <w:rPr>
          <w:color w:val="000000" w:themeColor="text1"/>
          <w:szCs w:val="26"/>
        </w:rPr>
        <w:t xml:space="preserve"> FPFTY increase in salaries and benefits warrants approval of the </w:t>
      </w:r>
      <w:r w:rsidR="0053531F" w:rsidRPr="0029160A">
        <w:rPr>
          <w:color w:val="000000" w:themeColor="text1"/>
          <w:szCs w:val="26"/>
        </w:rPr>
        <w:t>three percent</w:t>
      </w:r>
      <w:r w:rsidRPr="0029160A">
        <w:rPr>
          <w:color w:val="000000" w:themeColor="text1"/>
          <w:szCs w:val="26"/>
        </w:rPr>
        <w:t xml:space="preserve"> inflation adjustment for the accounts where labor is the primary expense – Account</w:t>
      </w:r>
      <w:r w:rsidR="001467F2" w:rsidRPr="0029160A">
        <w:rPr>
          <w:color w:val="000000" w:themeColor="text1"/>
          <w:szCs w:val="26"/>
        </w:rPr>
        <w:t>s</w:t>
      </w:r>
      <w:r w:rsidRPr="0029160A">
        <w:rPr>
          <w:color w:val="000000" w:themeColor="text1"/>
          <w:szCs w:val="26"/>
        </w:rPr>
        <w:t xml:space="preserve"> 580, 588, </w:t>
      </w:r>
      <w:r w:rsidR="001D4B58" w:rsidRPr="0029160A">
        <w:rPr>
          <w:color w:val="000000" w:themeColor="text1"/>
          <w:szCs w:val="26"/>
        </w:rPr>
        <w:t xml:space="preserve">and </w:t>
      </w:r>
      <w:r w:rsidRPr="0029160A">
        <w:rPr>
          <w:color w:val="000000" w:themeColor="text1"/>
          <w:szCs w:val="26"/>
        </w:rPr>
        <w:t xml:space="preserve">590.  </w:t>
      </w:r>
      <w:bookmarkStart w:id="57" w:name="_Hlk525126151"/>
      <w:r w:rsidRPr="0029160A">
        <w:rPr>
          <w:color w:val="000000" w:themeColor="text1"/>
          <w:szCs w:val="26"/>
        </w:rPr>
        <w:t>Wellsboro Exc. at 2-9; Wellsboro M.B. at 31, 36-39; Wellsboro St. 1, Exh</w:t>
      </w:r>
      <w:r w:rsidR="007B61FD" w:rsidRPr="0029160A">
        <w:rPr>
          <w:color w:val="000000" w:themeColor="text1"/>
          <w:szCs w:val="26"/>
        </w:rPr>
        <w:t>ibit</w:t>
      </w:r>
      <w:r w:rsidRPr="0029160A">
        <w:rPr>
          <w:color w:val="000000" w:themeColor="text1"/>
          <w:szCs w:val="26"/>
        </w:rPr>
        <w:t>_(HSG-1), Schedule C1-1</w:t>
      </w:r>
      <w:r w:rsidR="00ED3A7E">
        <w:rPr>
          <w:color w:val="000000" w:themeColor="text1"/>
          <w:szCs w:val="26"/>
        </w:rPr>
        <w:t xml:space="preserve"> </w:t>
      </w:r>
      <w:r w:rsidRPr="0029160A">
        <w:rPr>
          <w:color w:val="000000" w:themeColor="text1"/>
          <w:szCs w:val="26"/>
        </w:rPr>
        <w:t xml:space="preserve">(W) at 2; </w:t>
      </w:r>
      <w:r w:rsidR="002A4950" w:rsidRPr="0029160A">
        <w:rPr>
          <w:color w:val="000000" w:themeColor="text1"/>
          <w:szCs w:val="26"/>
        </w:rPr>
        <w:t>T</w:t>
      </w:r>
      <w:r w:rsidRPr="0029160A">
        <w:rPr>
          <w:color w:val="000000" w:themeColor="text1"/>
          <w:szCs w:val="26"/>
        </w:rPr>
        <w:t>r. at</w:t>
      </w:r>
      <w:r w:rsidR="00EA75F1" w:rsidRPr="0029160A">
        <w:rPr>
          <w:color w:val="000000" w:themeColor="text1"/>
          <w:szCs w:val="26"/>
        </w:rPr>
        <w:t> </w:t>
      </w:r>
      <w:r w:rsidRPr="0029160A">
        <w:rPr>
          <w:color w:val="000000" w:themeColor="text1"/>
          <w:szCs w:val="26"/>
        </w:rPr>
        <w:t>78</w:t>
      </w:r>
      <w:r w:rsidR="00716E78" w:rsidRPr="0029160A">
        <w:rPr>
          <w:color w:val="000000" w:themeColor="text1"/>
          <w:szCs w:val="26"/>
        </w:rPr>
        <w:noBreakHyphen/>
      </w:r>
      <w:r w:rsidRPr="0029160A">
        <w:rPr>
          <w:color w:val="000000" w:themeColor="text1"/>
          <w:szCs w:val="26"/>
        </w:rPr>
        <w:t xml:space="preserve">79, 179; I&amp;E Exh. 1, Schedule 2, 4, 5.  </w:t>
      </w:r>
      <w:bookmarkEnd w:id="57"/>
    </w:p>
    <w:p w14:paraId="20375C1E" w14:textId="77777777" w:rsidR="006E1108" w:rsidRPr="0029160A" w:rsidRDefault="006E1108">
      <w:pPr>
        <w:widowControl/>
        <w:spacing w:line="360" w:lineRule="auto"/>
        <w:ind w:firstLine="1440"/>
        <w:rPr>
          <w:color w:val="000000" w:themeColor="text1"/>
          <w:szCs w:val="26"/>
        </w:rPr>
      </w:pPr>
    </w:p>
    <w:p w14:paraId="06D5A3C6" w14:textId="426EA7F5" w:rsidR="00475586" w:rsidRPr="0029160A" w:rsidRDefault="006E1108">
      <w:pPr>
        <w:widowControl/>
        <w:spacing w:line="360" w:lineRule="auto"/>
        <w:ind w:firstLine="1440"/>
        <w:rPr>
          <w:color w:val="000000" w:themeColor="text1"/>
          <w:szCs w:val="26"/>
        </w:rPr>
      </w:pPr>
      <w:r w:rsidRPr="0029160A">
        <w:rPr>
          <w:color w:val="000000" w:themeColor="text1"/>
          <w:szCs w:val="26"/>
        </w:rPr>
        <w:t xml:space="preserve">In Replies to Wellsboro Exc. No. 1, the OCA submits that the Company identified in a discovery request that the </w:t>
      </w:r>
      <w:r w:rsidR="00B86C63" w:rsidRPr="0029160A">
        <w:rPr>
          <w:color w:val="000000" w:themeColor="text1"/>
          <w:szCs w:val="26"/>
        </w:rPr>
        <w:t xml:space="preserve">three percent </w:t>
      </w:r>
      <w:r w:rsidRPr="0029160A">
        <w:rPr>
          <w:color w:val="000000" w:themeColor="text1"/>
          <w:szCs w:val="26"/>
        </w:rPr>
        <w:t xml:space="preserve">was determined based on judgement rather than a quantitative method and referenced the use of the PPI data sourced through the Bureau of Labor Statistics that suggest an historical PPI inflation rate higher than </w:t>
      </w:r>
      <w:r w:rsidR="00B86C63" w:rsidRPr="0029160A">
        <w:rPr>
          <w:color w:val="000000" w:themeColor="text1"/>
          <w:szCs w:val="26"/>
        </w:rPr>
        <w:t>three percent</w:t>
      </w:r>
      <w:r w:rsidRPr="0029160A">
        <w:rPr>
          <w:color w:val="000000" w:themeColor="text1"/>
          <w:szCs w:val="26"/>
        </w:rPr>
        <w:t>.  OCA R.</w:t>
      </w:r>
      <w:r w:rsidR="007104FF" w:rsidRPr="0029160A">
        <w:rPr>
          <w:color w:val="000000" w:themeColor="text1"/>
          <w:szCs w:val="26"/>
        </w:rPr>
        <w:t xml:space="preserve"> </w:t>
      </w:r>
      <w:r w:rsidRPr="0029160A">
        <w:rPr>
          <w:color w:val="000000" w:themeColor="text1"/>
          <w:szCs w:val="26"/>
        </w:rPr>
        <w:t xml:space="preserve">Exc. at 2 (citing OCA St. 2 at 8; OCA M.B. at 20-21).  The OCA contends that the Company has not limited its proposed inflation adjustment to expenses that it reasonably anticipates will increase without providing evidentiary </w:t>
      </w:r>
      <w:r w:rsidRPr="0029160A">
        <w:rPr>
          <w:color w:val="000000" w:themeColor="text1"/>
          <w:szCs w:val="26"/>
        </w:rPr>
        <w:lastRenderedPageBreak/>
        <w:t>support for the proposed increases.  OCA R.</w:t>
      </w:r>
      <w:r w:rsidR="00E17849" w:rsidRPr="0029160A">
        <w:rPr>
          <w:color w:val="000000" w:themeColor="text1"/>
          <w:szCs w:val="26"/>
        </w:rPr>
        <w:t xml:space="preserve"> </w:t>
      </w:r>
      <w:r w:rsidRPr="0029160A">
        <w:rPr>
          <w:color w:val="000000" w:themeColor="text1"/>
          <w:szCs w:val="26"/>
        </w:rPr>
        <w:t>Exc. at 2-3.  The OCA avers that the across-the-board inflation adjustment is not a well-founded projection.  The OCA contends that the purpose of Act 11 was not simply to increase rates but to provide an opportunity to mitigate regulatory lag for known and supported changes in the FPFTY.  OCA R.</w:t>
      </w:r>
      <w:r w:rsidR="007A7F13" w:rsidRPr="0029160A">
        <w:rPr>
          <w:color w:val="000000" w:themeColor="text1"/>
          <w:szCs w:val="26"/>
        </w:rPr>
        <w:t xml:space="preserve"> </w:t>
      </w:r>
      <w:r w:rsidRPr="0029160A">
        <w:rPr>
          <w:color w:val="000000" w:themeColor="text1"/>
          <w:szCs w:val="26"/>
        </w:rPr>
        <w:t>Exc. at</w:t>
      </w:r>
      <w:r w:rsidR="00DE305E" w:rsidRPr="0029160A">
        <w:rPr>
          <w:color w:val="000000" w:themeColor="text1"/>
          <w:szCs w:val="26"/>
        </w:rPr>
        <w:t> </w:t>
      </w:r>
      <w:r w:rsidRPr="0029160A">
        <w:rPr>
          <w:color w:val="000000" w:themeColor="text1"/>
          <w:szCs w:val="26"/>
        </w:rPr>
        <w:t xml:space="preserve">5-6.  </w:t>
      </w:r>
    </w:p>
    <w:p w14:paraId="4CF8913C" w14:textId="77777777" w:rsidR="006E1108" w:rsidRPr="0029160A" w:rsidRDefault="006E1108">
      <w:pPr>
        <w:widowControl/>
        <w:spacing w:line="360" w:lineRule="auto"/>
        <w:rPr>
          <w:color w:val="000000" w:themeColor="text1"/>
          <w:szCs w:val="26"/>
        </w:rPr>
      </w:pPr>
    </w:p>
    <w:p w14:paraId="76E88E60" w14:textId="77777777" w:rsidR="00475586" w:rsidRPr="0029160A" w:rsidRDefault="00475586" w:rsidP="00CB0B2E">
      <w:pPr>
        <w:pStyle w:val="Heading4"/>
        <w:keepNext/>
        <w:ind w:hanging="720"/>
        <w:contextualSpacing w:val="0"/>
        <w:rPr>
          <w:color w:val="000000" w:themeColor="text1"/>
        </w:rPr>
      </w:pPr>
      <w:bookmarkStart w:id="58" w:name="_Toc38951748"/>
      <w:r w:rsidRPr="0029160A">
        <w:rPr>
          <w:color w:val="000000" w:themeColor="text1"/>
        </w:rPr>
        <w:t>Disposition</w:t>
      </w:r>
      <w:bookmarkEnd w:id="58"/>
    </w:p>
    <w:p w14:paraId="52AAE213" w14:textId="77777777" w:rsidR="00475586" w:rsidRPr="0029160A" w:rsidRDefault="00475586" w:rsidP="00716E78">
      <w:pPr>
        <w:keepNext/>
        <w:widowControl/>
        <w:spacing w:line="360" w:lineRule="auto"/>
        <w:rPr>
          <w:color w:val="000000" w:themeColor="text1"/>
          <w:szCs w:val="26"/>
        </w:rPr>
      </w:pPr>
    </w:p>
    <w:p w14:paraId="00AFCDA5" w14:textId="5E9E3D94" w:rsidR="00277679" w:rsidRPr="0029160A" w:rsidRDefault="00277679" w:rsidP="00CB0B2E">
      <w:pPr>
        <w:keepNext/>
        <w:widowControl/>
        <w:spacing w:line="360" w:lineRule="auto"/>
        <w:ind w:firstLine="1440"/>
        <w:rPr>
          <w:color w:val="000000" w:themeColor="text1"/>
          <w:szCs w:val="26"/>
        </w:rPr>
      </w:pPr>
      <w:r w:rsidRPr="0029160A">
        <w:rPr>
          <w:color w:val="000000" w:themeColor="text1"/>
          <w:szCs w:val="26"/>
        </w:rPr>
        <w:t xml:space="preserve">In considering the record evidence and arguments before us, along with the Exceptions and Reply Exceptions of the Parties, we shall adopt the ALJs’ recommendation to not allow Wellsboro to apply a blanket </w:t>
      </w:r>
      <w:r w:rsidR="0053531F" w:rsidRPr="0029160A">
        <w:rPr>
          <w:color w:val="000000" w:themeColor="text1"/>
          <w:szCs w:val="26"/>
        </w:rPr>
        <w:t>three percent</w:t>
      </w:r>
      <w:r w:rsidRPr="0029160A">
        <w:rPr>
          <w:color w:val="000000" w:themeColor="text1"/>
          <w:szCs w:val="26"/>
        </w:rPr>
        <w:t xml:space="preserve"> inflation adjustment to all of its O&amp;M accounts in its FTY to reach its FPFTY projections.  We agree with the ALJs that the Company did not meet its burden in demonstrating that its proposed blanket </w:t>
      </w:r>
      <w:r w:rsidR="0053531F" w:rsidRPr="0029160A">
        <w:rPr>
          <w:color w:val="000000" w:themeColor="text1"/>
          <w:szCs w:val="26"/>
        </w:rPr>
        <w:t>three percent</w:t>
      </w:r>
      <w:r w:rsidRPr="0029160A">
        <w:rPr>
          <w:color w:val="000000" w:themeColor="text1"/>
          <w:szCs w:val="26"/>
        </w:rPr>
        <w:t xml:space="preserve"> inflation adjustment to all expenses would meet the “known and measurable” standard for increasing each FTY expense claim in the FPFTY.  To state it another way, the Company did not demonstrate that making this blanket adjustment to each expense claim directly relates to the actual costs expected to be incurred in each expense account in the FPFTY.  R.D. at 21-23.  In our view, the ALJs’ recommendation to reject Wellsboro’s position is reasonable and consistent with applicable law.  Accordingly, we shall deny Wellsboro’s Exception No. 1 and adopt the ALJs’ recommendation on this issue.</w:t>
      </w:r>
    </w:p>
    <w:p w14:paraId="7370E524" w14:textId="77777777" w:rsidR="00475586" w:rsidRPr="0029160A" w:rsidRDefault="00475586" w:rsidP="00716E78">
      <w:pPr>
        <w:widowControl/>
        <w:spacing w:line="360" w:lineRule="auto"/>
        <w:rPr>
          <w:color w:val="000000" w:themeColor="text1"/>
        </w:rPr>
      </w:pPr>
    </w:p>
    <w:p w14:paraId="4D138ABE" w14:textId="77777777" w:rsidR="00461A7E" w:rsidRPr="0029160A" w:rsidRDefault="008463A0" w:rsidP="00CB0B2E">
      <w:pPr>
        <w:pStyle w:val="Heading3"/>
        <w:keepNext/>
        <w:keepLines/>
        <w:ind w:left="1440" w:hanging="720"/>
        <w:rPr>
          <w:color w:val="000000" w:themeColor="text1"/>
        </w:rPr>
      </w:pPr>
      <w:bookmarkStart w:id="59" w:name="_Toc36552353"/>
      <w:bookmarkStart w:id="60" w:name="_Toc38951749"/>
      <w:r w:rsidRPr="0029160A">
        <w:rPr>
          <w:color w:val="000000" w:themeColor="text1"/>
        </w:rPr>
        <w:t xml:space="preserve">Expenses:  </w:t>
      </w:r>
      <w:r w:rsidR="0097298F" w:rsidRPr="0029160A">
        <w:rPr>
          <w:color w:val="000000" w:themeColor="text1"/>
        </w:rPr>
        <w:t xml:space="preserve">Review of </w:t>
      </w:r>
      <w:r w:rsidR="00461A7E" w:rsidRPr="0029160A">
        <w:rPr>
          <w:color w:val="000000" w:themeColor="text1"/>
        </w:rPr>
        <w:t xml:space="preserve">Individual Adjustments </w:t>
      </w:r>
      <w:r w:rsidR="0097298F" w:rsidRPr="0029160A">
        <w:rPr>
          <w:color w:val="000000" w:themeColor="text1"/>
        </w:rPr>
        <w:t xml:space="preserve">to </w:t>
      </w:r>
      <w:r w:rsidRPr="0029160A">
        <w:rPr>
          <w:color w:val="000000" w:themeColor="text1"/>
        </w:rPr>
        <w:t xml:space="preserve">O&amp;M </w:t>
      </w:r>
      <w:r w:rsidR="0097298F" w:rsidRPr="0029160A">
        <w:rPr>
          <w:color w:val="000000" w:themeColor="text1"/>
        </w:rPr>
        <w:t>Expense</w:t>
      </w:r>
      <w:r w:rsidRPr="0029160A">
        <w:rPr>
          <w:color w:val="000000" w:themeColor="text1"/>
        </w:rPr>
        <w:t xml:space="preserve"> Claims</w:t>
      </w:r>
      <w:bookmarkEnd w:id="59"/>
      <w:bookmarkEnd w:id="60"/>
      <w:r w:rsidR="0097298F" w:rsidRPr="0029160A">
        <w:rPr>
          <w:color w:val="000000" w:themeColor="text1"/>
        </w:rPr>
        <w:t xml:space="preserve"> </w:t>
      </w:r>
    </w:p>
    <w:p w14:paraId="01BE795D" w14:textId="77777777" w:rsidR="00475586" w:rsidRPr="0029160A" w:rsidRDefault="00475586" w:rsidP="00716E78">
      <w:pPr>
        <w:keepNext/>
        <w:keepLines/>
        <w:widowControl/>
        <w:spacing w:line="360" w:lineRule="auto"/>
        <w:rPr>
          <w:color w:val="000000" w:themeColor="text1"/>
        </w:rPr>
      </w:pPr>
    </w:p>
    <w:p w14:paraId="03428C34" w14:textId="03BCB997" w:rsidR="00475586" w:rsidRPr="0029160A" w:rsidRDefault="00475586" w:rsidP="00CB0B2E">
      <w:pPr>
        <w:pStyle w:val="Heading4"/>
        <w:keepNext/>
        <w:keepLines/>
        <w:numPr>
          <w:ilvl w:val="0"/>
          <w:numId w:val="14"/>
        </w:numPr>
        <w:ind w:hanging="720"/>
        <w:rPr>
          <w:color w:val="000000" w:themeColor="text1"/>
        </w:rPr>
      </w:pPr>
      <w:bookmarkStart w:id="61" w:name="_Toc38951750"/>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61"/>
    </w:p>
    <w:p w14:paraId="2B0948D6" w14:textId="77777777" w:rsidR="00475586" w:rsidRPr="0029160A" w:rsidRDefault="00475586" w:rsidP="00716E78">
      <w:pPr>
        <w:keepNext/>
        <w:keepLines/>
        <w:widowControl/>
        <w:spacing w:line="360" w:lineRule="auto"/>
        <w:rPr>
          <w:color w:val="000000" w:themeColor="text1"/>
          <w:szCs w:val="26"/>
        </w:rPr>
      </w:pPr>
    </w:p>
    <w:p w14:paraId="1E3C0F15" w14:textId="462ECD2B" w:rsidR="00876E4C" w:rsidRPr="0029160A" w:rsidRDefault="00876E4C" w:rsidP="00CB0B2E">
      <w:pPr>
        <w:widowControl/>
        <w:spacing w:line="360" w:lineRule="auto"/>
        <w:ind w:firstLine="1440"/>
        <w:rPr>
          <w:color w:val="000000" w:themeColor="text1"/>
          <w:szCs w:val="26"/>
        </w:rPr>
      </w:pPr>
      <w:r w:rsidRPr="0029160A">
        <w:rPr>
          <w:color w:val="000000" w:themeColor="text1"/>
          <w:szCs w:val="26"/>
        </w:rPr>
        <w:t xml:space="preserve">Wellsboro provided that it developed its FPFTY claim by adding a </w:t>
      </w:r>
      <w:r w:rsidR="0053531F" w:rsidRPr="0029160A">
        <w:rPr>
          <w:color w:val="000000" w:themeColor="text1"/>
          <w:szCs w:val="26"/>
        </w:rPr>
        <w:t>three percent</w:t>
      </w:r>
      <w:r w:rsidRPr="0029160A">
        <w:rPr>
          <w:color w:val="000000" w:themeColor="text1"/>
          <w:szCs w:val="26"/>
        </w:rPr>
        <w:t xml:space="preserve"> wage, salary and benefit inflation adjustment and other known adjustments to the O&amp;M accounts in its FTY budget.  Wellsboro M.B. at 31 (citing Wellsboro St. 1, </w:t>
      </w:r>
      <w:r w:rsidRPr="0029160A">
        <w:rPr>
          <w:color w:val="000000" w:themeColor="text1"/>
          <w:szCs w:val="26"/>
        </w:rPr>
        <w:lastRenderedPageBreak/>
        <w:t>Exh</w:t>
      </w:r>
      <w:r w:rsidR="007B61FD" w:rsidRPr="0029160A">
        <w:rPr>
          <w:color w:val="000000" w:themeColor="text1"/>
          <w:szCs w:val="26"/>
        </w:rPr>
        <w:t>ibit</w:t>
      </w:r>
      <w:r w:rsidRPr="0029160A">
        <w:rPr>
          <w:color w:val="000000" w:themeColor="text1"/>
          <w:szCs w:val="26"/>
        </w:rPr>
        <w:t>_(HSG-1), Schedule C1-1</w:t>
      </w:r>
      <w:r w:rsidR="00ED3A7E">
        <w:rPr>
          <w:color w:val="000000" w:themeColor="text1"/>
          <w:szCs w:val="26"/>
        </w:rPr>
        <w:t xml:space="preserve"> </w:t>
      </w:r>
      <w:r w:rsidRPr="0029160A">
        <w:rPr>
          <w:color w:val="000000" w:themeColor="text1"/>
          <w:szCs w:val="26"/>
        </w:rPr>
        <w:t xml:space="preserve">(W) at 3-4).  Wellsboro explained its approach to budgeting recognizes that many individual accounts fluctuate on a year-to-year basis, and during the year, as different needs arise on the ground.  Wellsboro noted that its FTY budget makes various assumptions regarding the projects and duties that various employees will have during the FTY, and whether any internal employees will work on projects that are capitalized rather than expenses.  Those projections cannot account for all contingencies, especially not on an account-by-account basis.  Wellsboro averred that while there is necessarily movement between accounts throughout the year, the Company strives to operate within the budgeted total expenses.  Wellsboro M.B. at 31.  Wellsboro stated that it based its conservative </w:t>
      </w:r>
      <w:r w:rsidR="0053531F" w:rsidRPr="0029160A">
        <w:rPr>
          <w:color w:val="000000" w:themeColor="text1"/>
          <w:szCs w:val="26"/>
        </w:rPr>
        <w:t>three percent</w:t>
      </w:r>
      <w:r w:rsidRPr="0029160A">
        <w:rPr>
          <w:color w:val="000000" w:themeColor="text1"/>
          <w:szCs w:val="26"/>
        </w:rPr>
        <w:t xml:space="preserve"> inflation adder on its years of experience evaluating year-to-year changes in labor, benefits, materials and outside contractor costs.  Wellsboro M.B. at 31 (citing Wellsboro St. 6-R at 4; Tr. at 176-77).  </w:t>
      </w:r>
    </w:p>
    <w:p w14:paraId="011B668F" w14:textId="77777777" w:rsidR="00876E4C" w:rsidRPr="0029160A" w:rsidRDefault="00876E4C" w:rsidP="00CB0B2E">
      <w:pPr>
        <w:widowControl/>
        <w:spacing w:line="360" w:lineRule="auto"/>
        <w:ind w:firstLine="1440"/>
        <w:rPr>
          <w:color w:val="000000" w:themeColor="text1"/>
          <w:szCs w:val="26"/>
        </w:rPr>
      </w:pPr>
    </w:p>
    <w:p w14:paraId="133A2BD5" w14:textId="77777777" w:rsidR="00876E4C" w:rsidRPr="0029160A" w:rsidRDefault="00876E4C" w:rsidP="00CB0B2E">
      <w:pPr>
        <w:widowControl/>
        <w:spacing w:line="360" w:lineRule="auto"/>
        <w:ind w:firstLine="1440"/>
        <w:rPr>
          <w:color w:val="000000" w:themeColor="text1"/>
          <w:szCs w:val="26"/>
        </w:rPr>
      </w:pPr>
      <w:r w:rsidRPr="0029160A">
        <w:rPr>
          <w:color w:val="000000" w:themeColor="text1"/>
          <w:szCs w:val="26"/>
        </w:rPr>
        <w:t>Wellsboro noted that the OCA and I&amp;E take a “mix and match” approach to adjusting accounts that results in penalizing the Company for its effective budget management.  Wellsboro explained that this approach raises unique challenges for Wellsboro.  Wellsboro M.B. at 33-34.</w:t>
      </w:r>
    </w:p>
    <w:p w14:paraId="39B0407B" w14:textId="77777777" w:rsidR="00876E4C" w:rsidRPr="0029160A" w:rsidRDefault="00876E4C" w:rsidP="00CB0B2E">
      <w:pPr>
        <w:widowControl/>
        <w:spacing w:line="360" w:lineRule="auto"/>
        <w:ind w:firstLine="1440"/>
        <w:rPr>
          <w:color w:val="000000" w:themeColor="text1"/>
          <w:szCs w:val="26"/>
        </w:rPr>
      </w:pPr>
    </w:p>
    <w:p w14:paraId="39A67335" w14:textId="77777777" w:rsidR="00876E4C" w:rsidRPr="0029160A" w:rsidRDefault="00876E4C" w:rsidP="00CB0B2E">
      <w:pPr>
        <w:widowControl/>
        <w:spacing w:line="360" w:lineRule="auto"/>
        <w:ind w:firstLine="1440"/>
        <w:rPr>
          <w:color w:val="000000" w:themeColor="text1"/>
          <w:szCs w:val="26"/>
        </w:rPr>
      </w:pPr>
      <w:r w:rsidRPr="0029160A">
        <w:rPr>
          <w:color w:val="000000" w:themeColor="text1"/>
          <w:szCs w:val="26"/>
        </w:rPr>
        <w:t xml:space="preserve">The OCA provided that the Company has used the </w:t>
      </w:r>
      <w:r w:rsidR="0053531F" w:rsidRPr="0029160A">
        <w:rPr>
          <w:color w:val="000000" w:themeColor="text1"/>
          <w:szCs w:val="26"/>
        </w:rPr>
        <w:t>three percent</w:t>
      </w:r>
      <w:r w:rsidRPr="0029160A">
        <w:rPr>
          <w:color w:val="000000" w:themeColor="text1"/>
          <w:szCs w:val="26"/>
        </w:rPr>
        <w:t xml:space="preserve"> inflation rate as a proxy for determining the FPFTY O&amp;M expenses rather than using forecasted data.  OCA M.B. at 21 (citing OCA St. 2 at 8).  The OCA explained that the Company’s proposed across-the-board </w:t>
      </w:r>
      <w:r w:rsidR="0053531F" w:rsidRPr="0029160A">
        <w:rPr>
          <w:color w:val="000000" w:themeColor="text1"/>
          <w:szCs w:val="26"/>
        </w:rPr>
        <w:t>three</w:t>
      </w:r>
      <w:r w:rsidRPr="0029160A">
        <w:rPr>
          <w:color w:val="000000" w:themeColor="text1"/>
          <w:szCs w:val="26"/>
        </w:rPr>
        <w:t xml:space="preserve"> percent growth rate for determining the FPFTY expenses is unreasonable and must be rejected.  OCA M.B. at 21.  The OCA noted that the escalation of the historical amounts by an inflation factor is not an appropriate method of cost projection consistent with Section 315 of the Code because it bears no relationship to the activities planned for the rate year.  As the OCA witness Morgan testified:</w:t>
      </w:r>
    </w:p>
    <w:p w14:paraId="419E832F" w14:textId="77777777" w:rsidR="00876E4C" w:rsidRPr="0029160A" w:rsidRDefault="00876E4C" w:rsidP="00CB0B2E">
      <w:pPr>
        <w:widowControl/>
        <w:ind w:firstLine="1440"/>
        <w:rPr>
          <w:color w:val="000000" w:themeColor="text1"/>
          <w:szCs w:val="26"/>
        </w:rPr>
      </w:pPr>
    </w:p>
    <w:p w14:paraId="791B6E20" w14:textId="77777777" w:rsidR="00876E4C" w:rsidRPr="0029160A" w:rsidRDefault="00876E4C" w:rsidP="00CB0B2E">
      <w:pPr>
        <w:keepNext/>
        <w:widowControl/>
        <w:ind w:left="1440" w:right="1440"/>
        <w:rPr>
          <w:color w:val="000000" w:themeColor="text1"/>
          <w:szCs w:val="26"/>
        </w:rPr>
      </w:pPr>
      <w:r w:rsidRPr="0029160A">
        <w:rPr>
          <w:color w:val="000000" w:themeColor="text1"/>
          <w:szCs w:val="26"/>
        </w:rPr>
        <w:t xml:space="preserve">In fact, the utility does not meet its burden of proof by applying the inflation to all its costs because there is no way to assess the reasonableness of the FPFTY expensed relative </w:t>
      </w:r>
      <w:r w:rsidRPr="0029160A">
        <w:rPr>
          <w:color w:val="000000" w:themeColor="text1"/>
          <w:szCs w:val="26"/>
        </w:rPr>
        <w:lastRenderedPageBreak/>
        <w:t xml:space="preserve">to HTY or the FTY expenses.  In my experience with other utilities filing a FPFTY, the utilities have been able to demonstrate and explain reasons for FPFTY cost changes based upon specific causes such as unit price increases…For Wellsboro, no such detail or causes can be provided because the only explanation is the choice of the inflation escalation rate.  </w:t>
      </w:r>
    </w:p>
    <w:p w14:paraId="2C5CA97A" w14:textId="77777777" w:rsidR="00876E4C" w:rsidRPr="0029160A" w:rsidRDefault="00876E4C" w:rsidP="00CB0B2E">
      <w:pPr>
        <w:keepNext/>
        <w:widowControl/>
        <w:spacing w:line="360" w:lineRule="auto"/>
        <w:rPr>
          <w:color w:val="000000" w:themeColor="text1"/>
          <w:szCs w:val="26"/>
        </w:rPr>
      </w:pPr>
    </w:p>
    <w:p w14:paraId="678F919A" w14:textId="48347567" w:rsidR="00475586" w:rsidRPr="0029160A" w:rsidRDefault="00876E4C" w:rsidP="00716E78">
      <w:pPr>
        <w:keepNext/>
        <w:widowControl/>
        <w:spacing w:line="360" w:lineRule="auto"/>
        <w:rPr>
          <w:color w:val="000000" w:themeColor="text1"/>
          <w:szCs w:val="26"/>
        </w:rPr>
      </w:pPr>
      <w:r w:rsidRPr="0029160A">
        <w:rPr>
          <w:color w:val="000000" w:themeColor="text1"/>
          <w:szCs w:val="26"/>
        </w:rPr>
        <w:t xml:space="preserve">OCA M.B. at 23 (citing OCA St. 2-SR at 5).  </w:t>
      </w:r>
    </w:p>
    <w:p w14:paraId="09D1A6C7" w14:textId="77777777" w:rsidR="00475586" w:rsidRPr="0029160A" w:rsidRDefault="00475586" w:rsidP="00716E78">
      <w:pPr>
        <w:widowControl/>
        <w:spacing w:line="360" w:lineRule="auto"/>
        <w:rPr>
          <w:color w:val="000000" w:themeColor="text1"/>
          <w:szCs w:val="26"/>
        </w:rPr>
      </w:pPr>
    </w:p>
    <w:p w14:paraId="4AF7CE00" w14:textId="77777777" w:rsidR="00475586" w:rsidRPr="0029160A" w:rsidRDefault="00475586" w:rsidP="00CB0B2E">
      <w:pPr>
        <w:pStyle w:val="Heading4"/>
        <w:ind w:hanging="720"/>
        <w:rPr>
          <w:color w:val="000000" w:themeColor="text1"/>
        </w:rPr>
      </w:pPr>
      <w:bookmarkStart w:id="62" w:name="_Toc38951751"/>
      <w:r w:rsidRPr="0029160A">
        <w:rPr>
          <w:color w:val="000000" w:themeColor="text1"/>
        </w:rPr>
        <w:t>Recommended Decision</w:t>
      </w:r>
      <w:bookmarkEnd w:id="62"/>
    </w:p>
    <w:p w14:paraId="1FA6A833" w14:textId="77777777" w:rsidR="00475586" w:rsidRPr="0029160A" w:rsidRDefault="00475586" w:rsidP="00716E78">
      <w:pPr>
        <w:widowControl/>
        <w:spacing w:line="360" w:lineRule="auto"/>
        <w:rPr>
          <w:color w:val="000000" w:themeColor="text1"/>
          <w:szCs w:val="26"/>
        </w:rPr>
      </w:pPr>
    </w:p>
    <w:p w14:paraId="578F69F8" w14:textId="1F88D739" w:rsidR="00475586" w:rsidRPr="0029160A" w:rsidRDefault="00876E4C" w:rsidP="00716E78">
      <w:pPr>
        <w:widowControl/>
        <w:spacing w:line="360" w:lineRule="auto"/>
        <w:ind w:firstLine="1440"/>
        <w:rPr>
          <w:color w:val="000000" w:themeColor="text1"/>
          <w:szCs w:val="26"/>
        </w:rPr>
      </w:pPr>
      <w:r w:rsidRPr="0029160A">
        <w:rPr>
          <w:color w:val="000000" w:themeColor="text1"/>
          <w:szCs w:val="26"/>
        </w:rPr>
        <w:t>The ALJs rejected Wellsboro’s argument that the Commission should deny I&amp;E’s and the OCA’s individual expense adjustments and approve the Company’s full expense claim as filed.  The ALJs explained that, under Section 315(a) of the Code, Wellsboro has the burden of proof to establish the justness and reasonableness of every element of its rate increase request.  R.D. at 24 (citing 66 Pa.</w:t>
      </w:r>
      <w:r w:rsidR="00716E78" w:rsidRPr="0029160A">
        <w:rPr>
          <w:color w:val="000000" w:themeColor="text1"/>
          <w:szCs w:val="26"/>
        </w:rPr>
        <w:t xml:space="preserve"> </w:t>
      </w:r>
      <w:r w:rsidRPr="0029160A">
        <w:rPr>
          <w:color w:val="000000" w:themeColor="text1"/>
          <w:szCs w:val="26"/>
        </w:rPr>
        <w:t>C.S. §§ 315(a), 1308(d)).  As a result, the ALJs determined that each litigated O&amp;M expense claim must be analyzed to determine the justness and reasonableness of the claim.  R.D. at 24.</w:t>
      </w:r>
    </w:p>
    <w:p w14:paraId="33E126D6" w14:textId="77777777" w:rsidR="00475586" w:rsidRPr="0029160A" w:rsidRDefault="00475586" w:rsidP="00716E78">
      <w:pPr>
        <w:widowControl/>
        <w:spacing w:line="360" w:lineRule="auto"/>
        <w:rPr>
          <w:color w:val="000000" w:themeColor="text1"/>
          <w:szCs w:val="26"/>
        </w:rPr>
      </w:pPr>
    </w:p>
    <w:p w14:paraId="5F9BAE1E" w14:textId="77777777" w:rsidR="00475586" w:rsidRPr="0029160A" w:rsidRDefault="00897E66" w:rsidP="00CB0B2E">
      <w:pPr>
        <w:pStyle w:val="Heading4"/>
        <w:keepNext/>
        <w:keepLines/>
        <w:ind w:hanging="720"/>
        <w:contextualSpacing w:val="0"/>
        <w:rPr>
          <w:color w:val="000000" w:themeColor="text1"/>
        </w:rPr>
      </w:pPr>
      <w:bookmarkStart w:id="63" w:name="_Toc38951752"/>
      <w:r w:rsidRPr="0029160A">
        <w:rPr>
          <w:color w:val="000000" w:themeColor="text1"/>
        </w:rPr>
        <w:t>Wellsboro Exception No. 2 and Replies</w:t>
      </w:r>
      <w:bookmarkEnd w:id="63"/>
    </w:p>
    <w:p w14:paraId="72738E96" w14:textId="77777777" w:rsidR="00475586" w:rsidRPr="0029160A" w:rsidRDefault="00475586" w:rsidP="00716E78">
      <w:pPr>
        <w:keepNext/>
        <w:keepLines/>
        <w:widowControl/>
        <w:spacing w:line="360" w:lineRule="auto"/>
        <w:rPr>
          <w:color w:val="000000" w:themeColor="text1"/>
          <w:szCs w:val="26"/>
        </w:rPr>
      </w:pPr>
    </w:p>
    <w:p w14:paraId="5631FA97" w14:textId="285252B6" w:rsidR="00876E4C" w:rsidRPr="0029160A" w:rsidRDefault="00876E4C" w:rsidP="00CB0B2E">
      <w:pPr>
        <w:widowControl/>
        <w:spacing w:line="360" w:lineRule="auto"/>
        <w:ind w:firstLine="1440"/>
        <w:rPr>
          <w:color w:val="000000" w:themeColor="text1"/>
          <w:szCs w:val="26"/>
        </w:rPr>
      </w:pPr>
      <w:r w:rsidRPr="0029160A">
        <w:rPr>
          <w:color w:val="000000" w:themeColor="text1"/>
          <w:szCs w:val="26"/>
        </w:rPr>
        <w:t xml:space="preserve">In Wellsboro Exception No. 2, Wellsboro contends that the ALJs erred in denying the Company’s proposal to increase its FPFTY O&amp;M expense based on an annualization of </w:t>
      </w:r>
      <w:r w:rsidR="00B86C63" w:rsidRPr="0029160A">
        <w:rPr>
          <w:color w:val="000000" w:themeColor="text1"/>
          <w:szCs w:val="26"/>
        </w:rPr>
        <w:t>nine-month</w:t>
      </w:r>
      <w:r w:rsidRPr="0029160A">
        <w:rPr>
          <w:color w:val="000000" w:themeColor="text1"/>
          <w:szCs w:val="26"/>
        </w:rPr>
        <w:t xml:space="preserve"> FTY expense data.  Wellsboro explained that it proposed to project its FPFTY expenses by compiling all individual expense accounts based on annualized </w:t>
      </w:r>
      <w:r w:rsidR="00B86C63" w:rsidRPr="0029160A">
        <w:rPr>
          <w:color w:val="000000" w:themeColor="text1"/>
          <w:szCs w:val="26"/>
        </w:rPr>
        <w:t>nine-month</w:t>
      </w:r>
      <w:r w:rsidRPr="0029160A">
        <w:rPr>
          <w:color w:val="000000" w:themeColor="text1"/>
          <w:szCs w:val="26"/>
        </w:rPr>
        <w:t xml:space="preserve"> FTY actuals and applying a </w:t>
      </w:r>
      <w:r w:rsidR="0053531F" w:rsidRPr="0029160A">
        <w:rPr>
          <w:color w:val="000000" w:themeColor="text1"/>
          <w:szCs w:val="26"/>
        </w:rPr>
        <w:t>three percent</w:t>
      </w:r>
      <w:r w:rsidRPr="0029160A">
        <w:rPr>
          <w:color w:val="000000" w:themeColor="text1"/>
          <w:szCs w:val="26"/>
        </w:rPr>
        <w:t xml:space="preserve"> inflation adjustment to derive total 2020 expenses.  Wellsboro avers that</w:t>
      </w:r>
      <w:r w:rsidR="0059217B" w:rsidRPr="0029160A">
        <w:rPr>
          <w:color w:val="000000" w:themeColor="text1"/>
          <w:szCs w:val="26"/>
        </w:rPr>
        <w:t xml:space="preserve"> while </w:t>
      </w:r>
      <w:r w:rsidRPr="0029160A">
        <w:rPr>
          <w:color w:val="000000" w:themeColor="text1"/>
          <w:szCs w:val="26"/>
        </w:rPr>
        <w:t xml:space="preserve">Section 315(a) requires only that the public utility meets its burden of proof to show that the rate involved is just and reasonable, it does not prescribe the methods used to demonstrate the justness and reasonableness of a proposed rate, or how individual expenses may be justified.  </w:t>
      </w:r>
      <w:r w:rsidRPr="0029160A">
        <w:rPr>
          <w:color w:val="000000" w:themeColor="text1"/>
          <w:szCs w:val="26"/>
        </w:rPr>
        <w:lastRenderedPageBreak/>
        <w:t>Wellsboro provides that its proposed approach of projecting its costs based on the most recent available data for each individual account is consistent with the operations of a small company with limited staff.  Wellsboro argues that, contrary to the ALJs’ conclusion, the Company’s use of the most recent available data to develop its FPFTY projection is consistent with Section 315(a) because it reflects the actual FTY data for each expense account.  Wellsboro Exc. at 9-10</w:t>
      </w:r>
      <w:r w:rsidR="0053531F" w:rsidRPr="0029160A">
        <w:rPr>
          <w:color w:val="000000" w:themeColor="text1"/>
          <w:szCs w:val="26"/>
        </w:rPr>
        <w:t>;</w:t>
      </w:r>
      <w:r w:rsidRPr="0029160A">
        <w:rPr>
          <w:color w:val="000000" w:themeColor="text1"/>
          <w:szCs w:val="26"/>
        </w:rPr>
        <w:t xml:space="preserve"> Wellsboro M.B. at 32-34</w:t>
      </w:r>
      <w:r w:rsidR="0053531F" w:rsidRPr="0029160A">
        <w:rPr>
          <w:color w:val="000000" w:themeColor="text1"/>
          <w:szCs w:val="26"/>
        </w:rPr>
        <w:t>;</w:t>
      </w:r>
      <w:r w:rsidRPr="0029160A">
        <w:rPr>
          <w:color w:val="000000" w:themeColor="text1"/>
          <w:szCs w:val="26"/>
        </w:rPr>
        <w:t xml:space="preserve"> Wellsboro St.</w:t>
      </w:r>
      <w:r w:rsidR="002734CE" w:rsidRPr="0029160A">
        <w:rPr>
          <w:color w:val="000000" w:themeColor="text1"/>
          <w:szCs w:val="26"/>
        </w:rPr>
        <w:t> </w:t>
      </w:r>
      <w:r w:rsidRPr="0029160A">
        <w:rPr>
          <w:color w:val="000000" w:themeColor="text1"/>
          <w:szCs w:val="26"/>
        </w:rPr>
        <w:t xml:space="preserve">6-R at 4. </w:t>
      </w:r>
    </w:p>
    <w:p w14:paraId="5667547C" w14:textId="77777777" w:rsidR="00876E4C" w:rsidRPr="0029160A" w:rsidRDefault="00876E4C" w:rsidP="00CB0B2E">
      <w:pPr>
        <w:widowControl/>
        <w:spacing w:line="360" w:lineRule="auto"/>
        <w:rPr>
          <w:color w:val="000000" w:themeColor="text1"/>
          <w:szCs w:val="26"/>
        </w:rPr>
      </w:pPr>
    </w:p>
    <w:p w14:paraId="55210CE3" w14:textId="77777777" w:rsidR="00876E4C" w:rsidRPr="0029160A" w:rsidRDefault="00876E4C" w:rsidP="00CB0B2E">
      <w:pPr>
        <w:widowControl/>
        <w:spacing w:line="360" w:lineRule="auto"/>
        <w:ind w:firstLine="1440"/>
        <w:rPr>
          <w:color w:val="000000" w:themeColor="text1"/>
          <w:szCs w:val="26"/>
        </w:rPr>
      </w:pPr>
      <w:r w:rsidRPr="0029160A">
        <w:rPr>
          <w:color w:val="000000" w:themeColor="text1"/>
          <w:szCs w:val="26"/>
        </w:rPr>
        <w:t xml:space="preserve">In Replies to Wellsboro Exception No. 2, I&amp;E argues the Commission should accept, as correct, the ALJs’ recommendation to evaluate the merits of the </w:t>
      </w:r>
      <w:r w:rsidR="00D21EFF" w:rsidRPr="0029160A">
        <w:rPr>
          <w:color w:val="000000" w:themeColor="text1"/>
          <w:szCs w:val="26"/>
        </w:rPr>
        <w:t>P</w:t>
      </w:r>
      <w:r w:rsidRPr="0029160A">
        <w:rPr>
          <w:color w:val="000000" w:themeColor="text1"/>
          <w:szCs w:val="26"/>
        </w:rPr>
        <w:t>arties</w:t>
      </w:r>
      <w:r w:rsidR="0001727E" w:rsidRPr="0029160A">
        <w:rPr>
          <w:color w:val="000000" w:themeColor="text1"/>
          <w:szCs w:val="26"/>
        </w:rPr>
        <w:t>’</w:t>
      </w:r>
      <w:r w:rsidRPr="0029160A">
        <w:rPr>
          <w:color w:val="000000" w:themeColor="text1"/>
          <w:szCs w:val="26"/>
        </w:rPr>
        <w:t xml:space="preserve"> positions on individual O&amp;M expense claims and reject Wellsboro’s position to be able to wholesale revise its O&amp;M expenses in rebuttal testimony.  I&amp;E R. Exc. at 1, 4.  In support, I&amp;E attacks Wellsboro’s position as being procedurally improper and factually inaccurate. </w:t>
      </w:r>
    </w:p>
    <w:p w14:paraId="6FF83342" w14:textId="77777777" w:rsidR="00876E4C" w:rsidRPr="0029160A" w:rsidRDefault="00876E4C" w:rsidP="00CB0B2E">
      <w:pPr>
        <w:widowControl/>
        <w:spacing w:line="360" w:lineRule="auto"/>
        <w:ind w:firstLine="1440"/>
        <w:rPr>
          <w:color w:val="000000" w:themeColor="text1"/>
          <w:szCs w:val="26"/>
        </w:rPr>
      </w:pPr>
    </w:p>
    <w:p w14:paraId="1FD3602B" w14:textId="3D571570" w:rsidR="00876E4C" w:rsidRPr="0029160A" w:rsidRDefault="00876E4C" w:rsidP="00716E78">
      <w:pPr>
        <w:widowControl/>
        <w:spacing w:line="360" w:lineRule="auto"/>
        <w:ind w:firstLine="1440"/>
        <w:rPr>
          <w:color w:val="000000" w:themeColor="text1"/>
          <w:szCs w:val="26"/>
        </w:rPr>
      </w:pPr>
      <w:r w:rsidRPr="0029160A">
        <w:rPr>
          <w:color w:val="000000" w:themeColor="text1"/>
          <w:szCs w:val="26"/>
        </w:rPr>
        <w:t xml:space="preserve">On procedural grounds, I&amp;E first argues that Wellsboro’s position renders the other </w:t>
      </w:r>
      <w:r w:rsidR="00D21EFF" w:rsidRPr="0029160A">
        <w:rPr>
          <w:color w:val="000000" w:themeColor="text1"/>
          <w:szCs w:val="26"/>
        </w:rPr>
        <w:t>P</w:t>
      </w:r>
      <w:r w:rsidRPr="0029160A">
        <w:rPr>
          <w:color w:val="000000" w:themeColor="text1"/>
          <w:szCs w:val="26"/>
        </w:rPr>
        <w:t xml:space="preserve">arties’ review of O&amp;M expenses in a rate case essentially meaningless.  I&amp;E notes that Wellsboro provided updates to essentially all of its O&amp;M expenses in rebuttal testimony, and then pointed to the updates as a basis to invalidate the other </w:t>
      </w:r>
      <w:r w:rsidR="00D21EFF" w:rsidRPr="0029160A">
        <w:rPr>
          <w:color w:val="000000" w:themeColor="text1"/>
          <w:szCs w:val="26"/>
        </w:rPr>
        <w:t>P</w:t>
      </w:r>
      <w:r w:rsidRPr="0029160A">
        <w:rPr>
          <w:color w:val="000000" w:themeColor="text1"/>
          <w:szCs w:val="26"/>
        </w:rPr>
        <w:t xml:space="preserve">arties’ O&amp;M recommendations.  Following Wellsboro’s practice to its logical conclusion, the Company would simply be allowed to update all of its O&amp;M expenses at hearings and any </w:t>
      </w:r>
      <w:r w:rsidR="00D21EFF" w:rsidRPr="0029160A">
        <w:rPr>
          <w:color w:val="000000" w:themeColor="text1"/>
          <w:szCs w:val="26"/>
        </w:rPr>
        <w:t>P</w:t>
      </w:r>
      <w:r w:rsidRPr="0029160A">
        <w:rPr>
          <w:color w:val="000000" w:themeColor="text1"/>
          <w:szCs w:val="26"/>
        </w:rPr>
        <w:t xml:space="preserve">arty’s position to the contrary would be summarily rejected.  Additionally, I&amp;E avers that introducing new claims in rebuttal after the other </w:t>
      </w:r>
      <w:r w:rsidR="00D21EFF" w:rsidRPr="0029160A">
        <w:rPr>
          <w:color w:val="000000" w:themeColor="text1"/>
          <w:szCs w:val="26"/>
        </w:rPr>
        <w:t>P</w:t>
      </w:r>
      <w:r w:rsidRPr="0029160A">
        <w:rPr>
          <w:color w:val="000000" w:themeColor="text1"/>
          <w:szCs w:val="26"/>
        </w:rPr>
        <w:t xml:space="preserve">arties have addressed the Company’s direct case is a violation of due process principles because the other </w:t>
      </w:r>
      <w:r w:rsidR="00D21EFF" w:rsidRPr="0029160A">
        <w:rPr>
          <w:color w:val="000000" w:themeColor="text1"/>
          <w:szCs w:val="26"/>
        </w:rPr>
        <w:t>P</w:t>
      </w:r>
      <w:r w:rsidRPr="0029160A">
        <w:rPr>
          <w:color w:val="000000" w:themeColor="text1"/>
          <w:szCs w:val="26"/>
        </w:rPr>
        <w:t>arties have not and will not have the opportunity to evaluate late-brought claims.  (I&amp;E R. Exc. at 1-2)</w:t>
      </w:r>
      <w:r w:rsidR="00395940" w:rsidRPr="0029160A">
        <w:rPr>
          <w:color w:val="000000" w:themeColor="text1"/>
          <w:szCs w:val="26"/>
        </w:rPr>
        <w:t xml:space="preserve"> </w:t>
      </w:r>
      <w:r w:rsidRPr="0029160A">
        <w:rPr>
          <w:color w:val="000000" w:themeColor="text1"/>
          <w:szCs w:val="26"/>
        </w:rPr>
        <w:t xml:space="preserve">(citing, </w:t>
      </w:r>
      <w:r w:rsidRPr="0029160A">
        <w:rPr>
          <w:i/>
          <w:iCs/>
          <w:color w:val="000000" w:themeColor="text1"/>
          <w:szCs w:val="26"/>
        </w:rPr>
        <w:t>inter alia</w:t>
      </w:r>
      <w:r w:rsidRPr="0029160A">
        <w:rPr>
          <w:color w:val="000000" w:themeColor="text1"/>
          <w:szCs w:val="26"/>
        </w:rPr>
        <w:t>,</w:t>
      </w:r>
      <w:r w:rsidRPr="0029160A">
        <w:rPr>
          <w:i/>
          <w:iCs/>
          <w:color w:val="000000" w:themeColor="text1"/>
          <w:szCs w:val="26"/>
        </w:rPr>
        <w:t xml:space="preserve"> Pa. PUC v. City of Lancaster Sewer Fund</w:t>
      </w:r>
      <w:r w:rsidRPr="0029160A">
        <w:rPr>
          <w:color w:val="000000" w:themeColor="text1"/>
          <w:szCs w:val="26"/>
        </w:rPr>
        <w:t>, 2007 WL 517134 (Pa. P.U.C. 2007</w:t>
      </w:r>
      <w:r w:rsidR="00395940" w:rsidRPr="0029160A">
        <w:rPr>
          <w:color w:val="000000" w:themeColor="text1"/>
          <w:szCs w:val="26"/>
        </w:rPr>
        <w:t>)</w:t>
      </w:r>
      <w:r w:rsidRPr="0029160A">
        <w:rPr>
          <w:color w:val="000000" w:themeColor="text1"/>
          <w:szCs w:val="26"/>
        </w:rPr>
        <w:t xml:space="preserve"> (Commission agreed with ALJ</w:t>
      </w:r>
      <w:r w:rsidR="00880A87">
        <w:rPr>
          <w:color w:val="000000" w:themeColor="text1"/>
          <w:szCs w:val="26"/>
        </w:rPr>
        <w:t xml:space="preserve"> that</w:t>
      </w:r>
      <w:r w:rsidRPr="0029160A">
        <w:rPr>
          <w:color w:val="000000" w:themeColor="text1"/>
          <w:szCs w:val="26"/>
        </w:rPr>
        <w:t xml:space="preserve"> “new claims brought in on rebuttal are improper, unfair and a violation of due process”).</w:t>
      </w:r>
      <w:r w:rsidRPr="0029160A">
        <w:rPr>
          <w:color w:val="000000" w:themeColor="text1"/>
        </w:rPr>
        <w:t xml:space="preserve"> </w:t>
      </w:r>
      <w:r w:rsidRPr="0029160A">
        <w:rPr>
          <w:color w:val="000000" w:themeColor="text1"/>
          <w:szCs w:val="26"/>
        </w:rPr>
        <w:t xml:space="preserve"> I&amp;E argues that O&amp;M expenses are a common point of dispute in any rate case, and if the Commission allowed this </w:t>
      </w:r>
      <w:r w:rsidRPr="0029160A">
        <w:rPr>
          <w:color w:val="000000" w:themeColor="text1"/>
          <w:szCs w:val="26"/>
        </w:rPr>
        <w:lastRenderedPageBreak/>
        <w:t xml:space="preserve">practice here, it will set a very dangerous precedent that would likely be cited by any other utility company where O&amp;M expenses are scrutinized and fatally handicap other </w:t>
      </w:r>
      <w:r w:rsidR="00D21EFF" w:rsidRPr="0029160A">
        <w:rPr>
          <w:color w:val="000000" w:themeColor="text1"/>
          <w:szCs w:val="26"/>
        </w:rPr>
        <w:t>P</w:t>
      </w:r>
      <w:r w:rsidRPr="0029160A">
        <w:rPr>
          <w:color w:val="000000" w:themeColor="text1"/>
          <w:szCs w:val="26"/>
        </w:rPr>
        <w:t xml:space="preserve">arties’ ability to evaluate individual expense accounts.  I&amp;E R. Exc. at 4.  </w:t>
      </w:r>
    </w:p>
    <w:p w14:paraId="73D7DC10" w14:textId="4D0AC480" w:rsidR="00876E4C" w:rsidRPr="0029160A" w:rsidRDefault="00876E4C" w:rsidP="00CB0B2E">
      <w:pPr>
        <w:widowControl/>
        <w:spacing w:line="360" w:lineRule="auto"/>
        <w:ind w:firstLine="1440"/>
        <w:rPr>
          <w:color w:val="000000" w:themeColor="text1"/>
          <w:szCs w:val="26"/>
        </w:rPr>
      </w:pPr>
      <w:r w:rsidRPr="0029160A">
        <w:rPr>
          <w:color w:val="000000" w:themeColor="text1"/>
          <w:szCs w:val="26"/>
        </w:rPr>
        <w:t xml:space="preserve">On factual grounds, I&amp;E submits that in direct testimony, </w:t>
      </w:r>
      <w:r w:rsidRPr="0029160A">
        <w:rPr>
          <w:bCs/>
          <w:color w:val="000000" w:themeColor="text1"/>
          <w:szCs w:val="26"/>
        </w:rPr>
        <w:t xml:space="preserve">I&amp;E made recommendations regarding expenses not properly supported by the Company or properly calculated based on information provided by the Company and based on I&amp;E witness Patel’s analysis as an expert witness.  </w:t>
      </w:r>
      <w:r w:rsidRPr="0029160A">
        <w:rPr>
          <w:color w:val="000000" w:themeColor="text1"/>
          <w:szCs w:val="26"/>
        </w:rPr>
        <w:t xml:space="preserve">As I&amp;E witness Patel appropriately opined, an overall adjustment to </w:t>
      </w:r>
      <w:r w:rsidR="00D21EFF" w:rsidRPr="0029160A">
        <w:rPr>
          <w:color w:val="000000" w:themeColor="text1"/>
          <w:szCs w:val="26"/>
        </w:rPr>
        <w:t xml:space="preserve">the </w:t>
      </w:r>
      <w:r w:rsidRPr="0029160A">
        <w:rPr>
          <w:color w:val="000000" w:themeColor="text1"/>
          <w:szCs w:val="26"/>
        </w:rPr>
        <w:t xml:space="preserve">O&amp;M expenses is not a more accurate method of determining a Company’s allowable O&amp;M expenses.  Instead, the proper way to analyze a Company’s overall O&amp;M expenses is by analyzing individual expense claims. Accordingly, I&amp;E witness Patel recommended </w:t>
      </w:r>
      <w:r w:rsidR="00D21EFF" w:rsidRPr="0029160A">
        <w:rPr>
          <w:color w:val="000000" w:themeColor="text1"/>
          <w:szCs w:val="26"/>
        </w:rPr>
        <w:t xml:space="preserve">the </w:t>
      </w:r>
      <w:r w:rsidRPr="0029160A">
        <w:rPr>
          <w:color w:val="000000" w:themeColor="text1"/>
          <w:szCs w:val="26"/>
        </w:rPr>
        <w:t>disallowance of the total change made to Administrative and General Expense of $204,093 ($1,187,484 - $983,291) made by Wellsboro witness Gorman between direct and rebuttal testimony, and instead recommended individual expense adjustments.  I&amp;E R. Exc. at 3-4 (internal citations omitted).</w:t>
      </w:r>
    </w:p>
    <w:p w14:paraId="5D84C6FC" w14:textId="77777777" w:rsidR="00984331" w:rsidRPr="0029160A" w:rsidRDefault="00984331" w:rsidP="00CB0B2E">
      <w:pPr>
        <w:widowControl/>
        <w:spacing w:line="360" w:lineRule="auto"/>
        <w:ind w:firstLine="1440"/>
        <w:rPr>
          <w:color w:val="000000" w:themeColor="text1"/>
          <w:szCs w:val="26"/>
        </w:rPr>
      </w:pPr>
    </w:p>
    <w:p w14:paraId="2A72A616" w14:textId="77777777" w:rsidR="00475586" w:rsidRPr="0029160A" w:rsidRDefault="00876E4C" w:rsidP="00CB0B2E">
      <w:pPr>
        <w:widowControl/>
        <w:spacing w:line="360" w:lineRule="auto"/>
        <w:ind w:firstLine="1440"/>
        <w:contextualSpacing/>
        <w:rPr>
          <w:color w:val="000000" w:themeColor="text1"/>
          <w:szCs w:val="26"/>
        </w:rPr>
      </w:pPr>
      <w:r w:rsidRPr="0029160A">
        <w:rPr>
          <w:color w:val="000000" w:themeColor="text1"/>
          <w:szCs w:val="26"/>
        </w:rPr>
        <w:t>In Replies to Wellsboro Exc. No. 2, the OCA avers that the Company has an obligation to demonstrate each and every element of its claim is supported under the law.  The OCA agrees with the ALJs</w:t>
      </w:r>
      <w:r w:rsidR="00C33121" w:rsidRPr="0029160A">
        <w:rPr>
          <w:color w:val="000000" w:themeColor="text1"/>
          <w:szCs w:val="26"/>
        </w:rPr>
        <w:t>’</w:t>
      </w:r>
      <w:r w:rsidRPr="0029160A">
        <w:rPr>
          <w:color w:val="000000" w:themeColor="text1"/>
          <w:szCs w:val="26"/>
        </w:rPr>
        <w:t xml:space="preserve"> recommendation to reject the Company’s proposal to use a </w:t>
      </w:r>
      <w:r w:rsidR="00B86C63" w:rsidRPr="0029160A">
        <w:rPr>
          <w:color w:val="000000" w:themeColor="text1"/>
          <w:szCs w:val="26"/>
        </w:rPr>
        <w:t>nine-month</w:t>
      </w:r>
      <w:r w:rsidRPr="0029160A">
        <w:rPr>
          <w:color w:val="000000" w:themeColor="text1"/>
          <w:szCs w:val="26"/>
        </w:rPr>
        <w:t xml:space="preserve"> annualization of its FPFTY plus a </w:t>
      </w:r>
      <w:r w:rsidR="0053531F" w:rsidRPr="0029160A">
        <w:rPr>
          <w:color w:val="000000" w:themeColor="text1"/>
          <w:szCs w:val="26"/>
        </w:rPr>
        <w:t>three percent</w:t>
      </w:r>
      <w:r w:rsidRPr="0029160A">
        <w:rPr>
          <w:color w:val="000000" w:themeColor="text1"/>
          <w:szCs w:val="26"/>
        </w:rPr>
        <w:t xml:space="preserve"> inflation factor.  OCA R.</w:t>
      </w:r>
      <w:r w:rsidR="00986B27" w:rsidRPr="0029160A">
        <w:rPr>
          <w:color w:val="000000" w:themeColor="text1"/>
          <w:szCs w:val="26"/>
        </w:rPr>
        <w:t xml:space="preserve"> </w:t>
      </w:r>
      <w:r w:rsidRPr="0029160A">
        <w:rPr>
          <w:color w:val="000000" w:themeColor="text1"/>
          <w:szCs w:val="26"/>
        </w:rPr>
        <w:t xml:space="preserve">Exc. at 7.  </w:t>
      </w:r>
    </w:p>
    <w:p w14:paraId="0B5A6B38" w14:textId="77777777" w:rsidR="00475586" w:rsidRPr="0029160A" w:rsidRDefault="00475586" w:rsidP="00716E78">
      <w:pPr>
        <w:widowControl/>
        <w:spacing w:line="360" w:lineRule="auto"/>
        <w:rPr>
          <w:color w:val="000000" w:themeColor="text1"/>
          <w:szCs w:val="26"/>
        </w:rPr>
      </w:pPr>
    </w:p>
    <w:p w14:paraId="26CFF2ED" w14:textId="77777777" w:rsidR="00475586" w:rsidRPr="0029160A" w:rsidRDefault="00475586" w:rsidP="00CB0B2E">
      <w:pPr>
        <w:pStyle w:val="Heading4"/>
        <w:keepNext/>
        <w:keepLines/>
        <w:ind w:hanging="720"/>
        <w:contextualSpacing w:val="0"/>
        <w:rPr>
          <w:color w:val="000000" w:themeColor="text1"/>
        </w:rPr>
      </w:pPr>
      <w:bookmarkStart w:id="64" w:name="_Toc38951753"/>
      <w:r w:rsidRPr="0029160A">
        <w:rPr>
          <w:color w:val="000000" w:themeColor="text1"/>
        </w:rPr>
        <w:t>Disposition</w:t>
      </w:r>
      <w:bookmarkEnd w:id="64"/>
    </w:p>
    <w:p w14:paraId="12A72EB0" w14:textId="77777777" w:rsidR="00475586" w:rsidRPr="0029160A" w:rsidRDefault="00475586" w:rsidP="00716E78">
      <w:pPr>
        <w:keepNext/>
        <w:keepLines/>
        <w:widowControl/>
        <w:spacing w:line="360" w:lineRule="auto"/>
        <w:rPr>
          <w:color w:val="000000" w:themeColor="text1"/>
          <w:szCs w:val="26"/>
        </w:rPr>
      </w:pPr>
    </w:p>
    <w:p w14:paraId="32B6DF71" w14:textId="77777777" w:rsidR="00277679" w:rsidRPr="0029160A" w:rsidRDefault="00277679" w:rsidP="00CB0B2E">
      <w:pPr>
        <w:widowControl/>
        <w:spacing w:line="360" w:lineRule="auto"/>
        <w:ind w:firstLine="1440"/>
        <w:rPr>
          <w:color w:val="000000" w:themeColor="text1"/>
          <w:szCs w:val="26"/>
        </w:rPr>
      </w:pPr>
      <w:r w:rsidRPr="0029160A">
        <w:rPr>
          <w:color w:val="000000" w:themeColor="text1"/>
          <w:szCs w:val="26"/>
        </w:rPr>
        <w:t xml:space="preserve">In considering the record evidence and arguments before us, along with the Exceptions and Reply Exceptions of the Parties, we shall adopt the ALJs’ recommendation to evaluate the merits of the Parties’ positions on individual O&amp;M expense claims. </w:t>
      </w:r>
    </w:p>
    <w:p w14:paraId="2CA6D329" w14:textId="77777777" w:rsidR="00277679" w:rsidRPr="0029160A" w:rsidRDefault="00277679" w:rsidP="00CB0B2E">
      <w:pPr>
        <w:widowControl/>
        <w:spacing w:line="360" w:lineRule="auto"/>
        <w:ind w:firstLine="1440"/>
        <w:rPr>
          <w:color w:val="000000" w:themeColor="text1"/>
          <w:szCs w:val="26"/>
        </w:rPr>
      </w:pPr>
    </w:p>
    <w:p w14:paraId="16FF8EF5" w14:textId="670DA047" w:rsidR="00277679" w:rsidRPr="0029160A" w:rsidRDefault="00277679" w:rsidP="00CB0B2E">
      <w:pPr>
        <w:widowControl/>
        <w:spacing w:line="360" w:lineRule="auto"/>
        <w:ind w:firstLine="1440"/>
        <w:rPr>
          <w:color w:val="000000" w:themeColor="text1"/>
          <w:szCs w:val="26"/>
        </w:rPr>
      </w:pPr>
      <w:r w:rsidRPr="0029160A">
        <w:rPr>
          <w:color w:val="000000" w:themeColor="text1"/>
          <w:szCs w:val="26"/>
        </w:rPr>
        <w:lastRenderedPageBreak/>
        <w:t>We reject Wellsboro’s position on this issue.</w:t>
      </w:r>
      <w:r w:rsidR="001C07E0" w:rsidRPr="0029160A">
        <w:rPr>
          <w:color w:val="000000" w:themeColor="text1"/>
          <w:szCs w:val="26"/>
        </w:rPr>
        <w:t xml:space="preserve">  </w:t>
      </w:r>
      <w:r w:rsidRPr="0029160A">
        <w:rPr>
          <w:color w:val="000000" w:themeColor="text1"/>
          <w:szCs w:val="26"/>
        </w:rPr>
        <w:t>Wellsboro avers that Section</w:t>
      </w:r>
      <w:r w:rsidR="00716E78" w:rsidRPr="0029160A">
        <w:rPr>
          <w:color w:val="000000" w:themeColor="text1"/>
          <w:szCs w:val="26"/>
        </w:rPr>
        <w:t> </w:t>
      </w:r>
      <w:r w:rsidRPr="0029160A">
        <w:rPr>
          <w:color w:val="000000" w:themeColor="text1"/>
          <w:szCs w:val="26"/>
        </w:rPr>
        <w:t>315(a) requires only that the public utility meets its burden of proof to show that the rate involved is just and reasonable, but it does not prescribe the methods used to demonstrate the justness and reasonableness of a proposed rate, or how individual expenses may be justified.  Wellsboro argues that its use of the most recent available data to develop its FPFTY projection is consistent with Section 315(a) because it reflects the actual FTY data for each expense account.</w:t>
      </w:r>
      <w:r w:rsidR="001C07E0" w:rsidRPr="0029160A">
        <w:rPr>
          <w:color w:val="000000" w:themeColor="text1"/>
          <w:szCs w:val="26"/>
        </w:rPr>
        <w:t xml:space="preserve">  </w:t>
      </w:r>
      <w:r w:rsidRPr="0029160A">
        <w:rPr>
          <w:color w:val="000000" w:themeColor="text1"/>
          <w:szCs w:val="26"/>
        </w:rPr>
        <w:t>Wellsboro Exc. at 9-10</w:t>
      </w:r>
      <w:r w:rsidR="0053531F" w:rsidRPr="0029160A">
        <w:rPr>
          <w:color w:val="000000" w:themeColor="text1"/>
          <w:szCs w:val="26"/>
        </w:rPr>
        <w:t>;</w:t>
      </w:r>
      <w:r w:rsidRPr="0029160A">
        <w:rPr>
          <w:color w:val="000000" w:themeColor="text1"/>
          <w:szCs w:val="26"/>
        </w:rPr>
        <w:t xml:space="preserve"> Wellsboro M.B. at</w:t>
      </w:r>
      <w:r w:rsidR="00716E78" w:rsidRPr="0029160A">
        <w:rPr>
          <w:color w:val="000000" w:themeColor="text1"/>
          <w:szCs w:val="26"/>
        </w:rPr>
        <w:t> </w:t>
      </w:r>
      <w:r w:rsidRPr="0029160A">
        <w:rPr>
          <w:color w:val="000000" w:themeColor="text1"/>
          <w:szCs w:val="26"/>
        </w:rPr>
        <w:t>32-34</w:t>
      </w:r>
      <w:r w:rsidR="0053531F" w:rsidRPr="0029160A">
        <w:rPr>
          <w:color w:val="000000" w:themeColor="text1"/>
          <w:szCs w:val="26"/>
        </w:rPr>
        <w:t>;</w:t>
      </w:r>
      <w:r w:rsidRPr="0029160A">
        <w:rPr>
          <w:color w:val="000000" w:themeColor="text1"/>
          <w:szCs w:val="26"/>
        </w:rPr>
        <w:t xml:space="preserve"> Wellsboro St. 6-R at 4. </w:t>
      </w:r>
      <w:r w:rsidR="0053531F" w:rsidRPr="0029160A">
        <w:rPr>
          <w:color w:val="000000" w:themeColor="text1"/>
          <w:szCs w:val="26"/>
        </w:rPr>
        <w:t xml:space="preserve"> </w:t>
      </w:r>
      <w:r w:rsidRPr="0029160A">
        <w:rPr>
          <w:color w:val="000000" w:themeColor="text1"/>
          <w:szCs w:val="26"/>
        </w:rPr>
        <w:t xml:space="preserve">Accordingly, Wellsboro argues the ALJs erred in evaluating the merits of the Parties’ positions on the </w:t>
      </w:r>
      <w:bookmarkStart w:id="65" w:name="_Hlk37934443"/>
      <w:r w:rsidRPr="0029160A">
        <w:rPr>
          <w:color w:val="000000" w:themeColor="text1"/>
          <w:szCs w:val="26"/>
        </w:rPr>
        <w:t>Company’s individual O&amp;M expense claims</w:t>
      </w:r>
      <w:bookmarkEnd w:id="65"/>
      <w:r w:rsidRPr="0029160A">
        <w:rPr>
          <w:color w:val="000000" w:themeColor="text1"/>
          <w:szCs w:val="26"/>
        </w:rPr>
        <w:t xml:space="preserve">. </w:t>
      </w:r>
      <w:bookmarkStart w:id="66" w:name="_Hlk37934723"/>
      <w:r w:rsidR="0053531F" w:rsidRPr="0029160A">
        <w:rPr>
          <w:color w:val="000000" w:themeColor="text1"/>
          <w:szCs w:val="26"/>
        </w:rPr>
        <w:t xml:space="preserve"> </w:t>
      </w:r>
      <w:r w:rsidRPr="0029160A">
        <w:rPr>
          <w:color w:val="000000" w:themeColor="text1"/>
          <w:szCs w:val="26"/>
        </w:rPr>
        <w:t>We disagree, and therefore we shall deny Wellsboro’s Exception No. 2 on this issue.</w:t>
      </w:r>
      <w:bookmarkEnd w:id="66"/>
    </w:p>
    <w:p w14:paraId="651C1648" w14:textId="77777777" w:rsidR="00277679" w:rsidRPr="0029160A" w:rsidRDefault="00277679" w:rsidP="00CB0B2E">
      <w:pPr>
        <w:widowControl/>
        <w:spacing w:line="360" w:lineRule="auto"/>
        <w:ind w:firstLine="1440"/>
        <w:rPr>
          <w:color w:val="000000" w:themeColor="text1"/>
          <w:szCs w:val="26"/>
        </w:rPr>
      </w:pPr>
    </w:p>
    <w:p w14:paraId="01FB1AA3" w14:textId="5BC1C565" w:rsidR="00475586" w:rsidRPr="0029160A" w:rsidRDefault="00277679" w:rsidP="00716E78">
      <w:pPr>
        <w:widowControl/>
        <w:spacing w:line="360" w:lineRule="auto"/>
        <w:ind w:firstLine="1440"/>
        <w:rPr>
          <w:color w:val="000000" w:themeColor="text1"/>
          <w:szCs w:val="26"/>
        </w:rPr>
      </w:pPr>
      <w:r w:rsidRPr="0029160A">
        <w:rPr>
          <w:color w:val="000000" w:themeColor="text1"/>
          <w:szCs w:val="26"/>
        </w:rPr>
        <w:t>We agree with the ALJs that, under Section 315(a) of the Code, the Company has the burden of proof to establish the justness and reasonableness of every element of its rate increase request filed under Section 1308(d) of the Code.  R.D. at 24 (citing 66 Pa.</w:t>
      </w:r>
      <w:r w:rsidR="00716E78" w:rsidRPr="0029160A">
        <w:rPr>
          <w:color w:val="000000" w:themeColor="text1"/>
          <w:szCs w:val="26"/>
        </w:rPr>
        <w:t xml:space="preserve"> </w:t>
      </w:r>
      <w:r w:rsidRPr="0029160A">
        <w:rPr>
          <w:color w:val="000000" w:themeColor="text1"/>
          <w:szCs w:val="26"/>
        </w:rPr>
        <w:t xml:space="preserve">C.S. §§ 315(a), 1308(d).  Thus, we agree with the ALJs’ determination that each litigated O&amp;M expense claim must be analyzed to determine the justness and reasonableness of the claim. </w:t>
      </w:r>
      <w:r w:rsidR="00724CAA" w:rsidRPr="0029160A">
        <w:rPr>
          <w:color w:val="000000" w:themeColor="text1"/>
          <w:szCs w:val="26"/>
        </w:rPr>
        <w:t xml:space="preserve"> </w:t>
      </w:r>
      <w:r w:rsidRPr="0029160A">
        <w:rPr>
          <w:color w:val="000000" w:themeColor="text1"/>
          <w:szCs w:val="26"/>
        </w:rPr>
        <w:t xml:space="preserve">R.D. at 24. </w:t>
      </w:r>
      <w:r w:rsidR="00724CAA" w:rsidRPr="0029160A">
        <w:rPr>
          <w:color w:val="000000" w:themeColor="text1"/>
          <w:szCs w:val="26"/>
        </w:rPr>
        <w:t xml:space="preserve"> </w:t>
      </w:r>
      <w:r w:rsidRPr="0029160A">
        <w:rPr>
          <w:color w:val="000000" w:themeColor="text1"/>
          <w:szCs w:val="26"/>
        </w:rPr>
        <w:t>Based on this disposition, we will address below the merits of the Parties’ positions on individual O&amp;M expense claim</w:t>
      </w:r>
      <w:r w:rsidR="0072733C" w:rsidRPr="0029160A">
        <w:rPr>
          <w:color w:val="000000" w:themeColor="text1"/>
          <w:szCs w:val="26"/>
        </w:rPr>
        <w:t>s</w:t>
      </w:r>
      <w:r w:rsidRPr="0029160A">
        <w:rPr>
          <w:color w:val="000000" w:themeColor="text1"/>
          <w:szCs w:val="26"/>
        </w:rPr>
        <w:t xml:space="preserve"> which were raised in the Parties’ Exceptions.</w:t>
      </w:r>
    </w:p>
    <w:p w14:paraId="19398103" w14:textId="77777777" w:rsidR="00475586" w:rsidRPr="0029160A" w:rsidRDefault="00475586" w:rsidP="00716E78">
      <w:pPr>
        <w:widowControl/>
        <w:spacing w:line="360" w:lineRule="auto"/>
        <w:rPr>
          <w:color w:val="000000" w:themeColor="text1"/>
        </w:rPr>
      </w:pPr>
    </w:p>
    <w:p w14:paraId="4E170BFE" w14:textId="77777777" w:rsidR="00461A7E" w:rsidRPr="0029160A" w:rsidRDefault="008463A0" w:rsidP="00CB0B2E">
      <w:pPr>
        <w:pStyle w:val="Heading3"/>
        <w:keepNext/>
        <w:keepLines/>
        <w:ind w:left="1440" w:hanging="720"/>
        <w:rPr>
          <w:color w:val="000000" w:themeColor="text1"/>
        </w:rPr>
      </w:pPr>
      <w:bookmarkStart w:id="67" w:name="_Toc36552354"/>
      <w:bookmarkStart w:id="68" w:name="_Toc38951754"/>
      <w:r w:rsidRPr="0029160A">
        <w:rPr>
          <w:color w:val="000000" w:themeColor="text1"/>
        </w:rPr>
        <w:t xml:space="preserve">Expenses: </w:t>
      </w:r>
      <w:r w:rsidR="00461A7E" w:rsidRPr="0029160A">
        <w:rPr>
          <w:color w:val="000000" w:themeColor="text1"/>
        </w:rPr>
        <w:t>Overhead Lines/Veg</w:t>
      </w:r>
      <w:r w:rsidR="00DB1CE2" w:rsidRPr="0029160A">
        <w:rPr>
          <w:color w:val="000000" w:themeColor="text1"/>
        </w:rPr>
        <w:t>etation</w:t>
      </w:r>
      <w:r w:rsidR="00461A7E" w:rsidRPr="0029160A">
        <w:rPr>
          <w:color w:val="000000" w:themeColor="text1"/>
        </w:rPr>
        <w:t xml:space="preserve"> Management (Account 593)</w:t>
      </w:r>
      <w:bookmarkEnd w:id="67"/>
      <w:bookmarkEnd w:id="68"/>
    </w:p>
    <w:p w14:paraId="6533EDCB" w14:textId="77777777" w:rsidR="00475586" w:rsidRPr="0029160A" w:rsidRDefault="00475586" w:rsidP="00716E78">
      <w:pPr>
        <w:keepNext/>
        <w:keepLines/>
        <w:widowControl/>
        <w:spacing w:line="360" w:lineRule="auto"/>
        <w:rPr>
          <w:color w:val="000000" w:themeColor="text1"/>
        </w:rPr>
      </w:pPr>
    </w:p>
    <w:p w14:paraId="14367717" w14:textId="7A2886DB" w:rsidR="00475586" w:rsidRPr="0029160A" w:rsidRDefault="00475586" w:rsidP="00CB0B2E">
      <w:pPr>
        <w:pStyle w:val="Heading4"/>
        <w:keepNext/>
        <w:keepLines/>
        <w:numPr>
          <w:ilvl w:val="0"/>
          <w:numId w:val="15"/>
        </w:numPr>
        <w:ind w:hanging="720"/>
        <w:rPr>
          <w:color w:val="000000" w:themeColor="text1"/>
        </w:rPr>
      </w:pPr>
      <w:bookmarkStart w:id="69" w:name="_Toc38951755"/>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69"/>
    </w:p>
    <w:p w14:paraId="088367E1" w14:textId="77777777" w:rsidR="00475586" w:rsidRPr="0029160A" w:rsidRDefault="00475586" w:rsidP="00716E78">
      <w:pPr>
        <w:widowControl/>
        <w:spacing w:line="360" w:lineRule="auto"/>
        <w:rPr>
          <w:color w:val="000000" w:themeColor="text1"/>
          <w:szCs w:val="26"/>
        </w:rPr>
      </w:pPr>
    </w:p>
    <w:p w14:paraId="3434D0E5" w14:textId="37C2119E" w:rsidR="00C83BE5" w:rsidRPr="0029160A" w:rsidRDefault="00C83BE5" w:rsidP="00716E78">
      <w:pPr>
        <w:widowControl/>
        <w:spacing w:line="360" w:lineRule="auto"/>
        <w:ind w:firstLine="1440"/>
        <w:rPr>
          <w:color w:val="000000" w:themeColor="text1"/>
          <w:szCs w:val="26"/>
        </w:rPr>
      </w:pPr>
      <w:r w:rsidRPr="0029160A">
        <w:rPr>
          <w:color w:val="000000" w:themeColor="text1"/>
          <w:szCs w:val="26"/>
        </w:rPr>
        <w:t>Wellsboro made an original claim of $669,615 for Maintenance of Overhead Lines for the FPFTY.  Wellsboro M.B. at 41 (citing Wellsboro St. 1, Exh</w:t>
      </w:r>
      <w:r w:rsidR="005150F4" w:rsidRPr="0029160A">
        <w:rPr>
          <w:color w:val="000000" w:themeColor="text1"/>
          <w:szCs w:val="26"/>
        </w:rPr>
        <w:t>ibit</w:t>
      </w:r>
      <w:r w:rsidRPr="0029160A">
        <w:rPr>
          <w:color w:val="000000" w:themeColor="text1"/>
          <w:szCs w:val="26"/>
        </w:rPr>
        <w:t>_(HSG-1), Schedule C1-1</w:t>
      </w:r>
      <w:r w:rsidR="00AE40E4">
        <w:rPr>
          <w:color w:val="000000" w:themeColor="text1"/>
          <w:szCs w:val="26"/>
        </w:rPr>
        <w:t xml:space="preserve"> </w:t>
      </w:r>
      <w:r w:rsidRPr="0029160A">
        <w:rPr>
          <w:color w:val="000000" w:themeColor="text1"/>
          <w:szCs w:val="26"/>
        </w:rPr>
        <w:t>(W)</w:t>
      </w:r>
      <w:r w:rsidR="004D4AAF" w:rsidRPr="0029160A">
        <w:rPr>
          <w:color w:val="000000" w:themeColor="text1"/>
          <w:szCs w:val="26"/>
        </w:rPr>
        <w:t>)</w:t>
      </w:r>
      <w:r w:rsidRPr="0029160A">
        <w:rPr>
          <w:color w:val="000000" w:themeColor="text1"/>
          <w:szCs w:val="26"/>
        </w:rPr>
        <w:t xml:space="preserve">.  Wellsboro provided that Account 593 includes expenses for right of way inspections, tree trimming, and other vegetation management.  </w:t>
      </w:r>
      <w:r w:rsidRPr="0029160A">
        <w:rPr>
          <w:color w:val="000000" w:themeColor="text1"/>
          <w:szCs w:val="26"/>
        </w:rPr>
        <w:lastRenderedPageBreak/>
        <w:t xml:space="preserve">According to Wellsboro, a primary reason that costs have increased in this account relate to maintenance and repairs due to tree damage from the Emerald Ash Borer.  Wellsboro noted that contractor costs for this account are also expected to increase in 2020 by $60,000 compared to 2019.  Wellsboro M.B. at 41-42 (citing Wellsboro St. 6 at 7-8; Wellsboro St. 6-R at 7).  </w:t>
      </w:r>
    </w:p>
    <w:p w14:paraId="136E0D62" w14:textId="77777777" w:rsidR="009334D5" w:rsidRPr="0029160A" w:rsidRDefault="009334D5" w:rsidP="00CB0B2E">
      <w:pPr>
        <w:widowControl/>
        <w:spacing w:line="360" w:lineRule="auto"/>
        <w:ind w:firstLine="1440"/>
        <w:rPr>
          <w:color w:val="000000" w:themeColor="text1"/>
          <w:szCs w:val="26"/>
        </w:rPr>
      </w:pPr>
    </w:p>
    <w:p w14:paraId="25F8FAD2" w14:textId="314280D4"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t>I&amp;E proposed a reduction of $20,535 to recommend a claim of $649,081 based on averaging the last three years’ labor costs for maintenance lines – storm expense (Sub-account 593.51).  Wellsboro M.B. at 42 (citing I&amp;E St. 1-SR at 27).  Wellsboro accepted I&amp;E’s proposed adjustment.  Wellsboro M.B. at 42 (citing Wellsboro St. 6-R at</w:t>
      </w:r>
      <w:r w:rsidR="00716E78" w:rsidRPr="0029160A">
        <w:rPr>
          <w:color w:val="000000" w:themeColor="text1"/>
          <w:szCs w:val="26"/>
        </w:rPr>
        <w:t> </w:t>
      </w:r>
      <w:r w:rsidRPr="0029160A">
        <w:rPr>
          <w:color w:val="000000" w:themeColor="text1"/>
          <w:szCs w:val="26"/>
        </w:rPr>
        <w:t xml:space="preserve">6).  Wellsboro did not accept I&amp;E’s further reduction of the claim to $580,364, which is the annualized </w:t>
      </w:r>
      <w:r w:rsidR="00375231" w:rsidRPr="0029160A">
        <w:rPr>
          <w:color w:val="000000" w:themeColor="text1"/>
          <w:szCs w:val="26"/>
        </w:rPr>
        <w:t>year-to-date (</w:t>
      </w:r>
      <w:r w:rsidRPr="0029160A">
        <w:rPr>
          <w:color w:val="000000" w:themeColor="text1"/>
          <w:szCs w:val="26"/>
        </w:rPr>
        <w:t>YTD</w:t>
      </w:r>
      <w:r w:rsidR="00375231" w:rsidRPr="0029160A">
        <w:rPr>
          <w:color w:val="000000" w:themeColor="text1"/>
          <w:szCs w:val="26"/>
        </w:rPr>
        <w:t>)</w:t>
      </w:r>
      <w:r w:rsidRPr="0029160A">
        <w:rPr>
          <w:color w:val="000000" w:themeColor="text1"/>
          <w:szCs w:val="26"/>
        </w:rPr>
        <w:t xml:space="preserve"> FTY as of September 30, 2019 minus the </w:t>
      </w:r>
      <w:r w:rsidR="0053531F" w:rsidRPr="0029160A">
        <w:rPr>
          <w:color w:val="000000" w:themeColor="text1"/>
          <w:szCs w:val="26"/>
        </w:rPr>
        <w:t>three percent</w:t>
      </w:r>
      <w:r w:rsidRPr="0029160A">
        <w:rPr>
          <w:color w:val="000000" w:themeColor="text1"/>
          <w:szCs w:val="26"/>
        </w:rPr>
        <w:t xml:space="preserve"> adjustment.  Wellsboro M.B. at 42; R.D. at 27. </w:t>
      </w:r>
    </w:p>
    <w:p w14:paraId="5BBB2447" w14:textId="77777777" w:rsidR="00C83BE5" w:rsidRPr="0029160A" w:rsidRDefault="00C83BE5" w:rsidP="00CB0B2E">
      <w:pPr>
        <w:widowControl/>
        <w:spacing w:line="360" w:lineRule="auto"/>
        <w:ind w:firstLine="1440"/>
        <w:rPr>
          <w:color w:val="000000" w:themeColor="text1"/>
          <w:szCs w:val="26"/>
        </w:rPr>
      </w:pPr>
    </w:p>
    <w:p w14:paraId="356B9767" w14:textId="524EF32C" w:rsidR="00475586" w:rsidRPr="0029160A" w:rsidRDefault="00EB1B32" w:rsidP="00CB0B2E">
      <w:pPr>
        <w:widowControl/>
        <w:spacing w:line="360" w:lineRule="auto"/>
        <w:ind w:firstLine="1440"/>
        <w:rPr>
          <w:color w:val="000000" w:themeColor="text1"/>
          <w:szCs w:val="26"/>
        </w:rPr>
      </w:pPr>
      <w:r w:rsidRPr="0029160A">
        <w:rPr>
          <w:rFonts w:eastAsiaTheme="minorHAnsi"/>
          <w:color w:val="000000" w:themeColor="text1"/>
          <w:szCs w:val="26"/>
        </w:rPr>
        <w:t xml:space="preserve">The Company forecasted an additional $60,000 in tree trimming costs in 2020.  OCA </w:t>
      </w:r>
      <w:r w:rsidR="00DC265B" w:rsidRPr="0029160A">
        <w:rPr>
          <w:rFonts w:eastAsiaTheme="minorHAnsi"/>
          <w:color w:val="000000" w:themeColor="text1"/>
          <w:szCs w:val="26"/>
        </w:rPr>
        <w:t>St</w:t>
      </w:r>
      <w:r w:rsidRPr="0029160A">
        <w:rPr>
          <w:rFonts w:eastAsiaTheme="minorHAnsi"/>
          <w:color w:val="000000" w:themeColor="text1"/>
          <w:szCs w:val="26"/>
        </w:rPr>
        <w:t xml:space="preserve">. 1-SR (Revised) at 3.  Wellsboro witness Farnsworth testified that the increase is due to accelerated efforts to address outages on the Middlebury circuit and the confirmation of the costs associated with the 115 KV transmission line associated with the Mid-Atlantic Interstate Transmission (MAIT) project.  OCA </w:t>
      </w:r>
      <w:r w:rsidR="00DC265B" w:rsidRPr="0029160A">
        <w:rPr>
          <w:rFonts w:eastAsiaTheme="minorHAnsi"/>
          <w:color w:val="000000" w:themeColor="text1"/>
          <w:szCs w:val="26"/>
        </w:rPr>
        <w:t>St.</w:t>
      </w:r>
      <w:r w:rsidRPr="0029160A">
        <w:rPr>
          <w:rFonts w:eastAsiaTheme="minorHAnsi"/>
          <w:color w:val="000000" w:themeColor="text1"/>
          <w:szCs w:val="26"/>
        </w:rPr>
        <w:t xml:space="preserve"> 1-SR (Revised) at</w:t>
      </w:r>
      <w:r w:rsidR="00EA75F1" w:rsidRPr="0029160A">
        <w:rPr>
          <w:rFonts w:eastAsiaTheme="minorHAnsi"/>
          <w:color w:val="000000" w:themeColor="text1"/>
          <w:szCs w:val="26"/>
        </w:rPr>
        <w:t> </w:t>
      </w:r>
      <w:r w:rsidRPr="0029160A">
        <w:rPr>
          <w:rFonts w:eastAsiaTheme="minorHAnsi"/>
          <w:color w:val="000000" w:themeColor="text1"/>
          <w:szCs w:val="26"/>
        </w:rPr>
        <w:t>3</w:t>
      </w:r>
      <w:r w:rsidR="00395940" w:rsidRPr="0029160A">
        <w:rPr>
          <w:rFonts w:eastAsiaTheme="minorHAnsi"/>
          <w:color w:val="000000" w:themeColor="text1"/>
          <w:szCs w:val="26"/>
        </w:rPr>
        <w:noBreakHyphen/>
      </w:r>
      <w:r w:rsidRPr="0029160A">
        <w:rPr>
          <w:rFonts w:eastAsiaTheme="minorHAnsi"/>
          <w:color w:val="000000" w:themeColor="text1"/>
          <w:szCs w:val="26"/>
        </w:rPr>
        <w:t xml:space="preserve">4.  The OCA accepted the proposed additional expense but did not agree that the costs are likely to continue.  The OCA recommended that this expense be normalized rather than considered an increase to FTY expenses.  OCA </w:t>
      </w:r>
      <w:r w:rsidR="00DC265B" w:rsidRPr="0029160A">
        <w:rPr>
          <w:rFonts w:eastAsiaTheme="minorHAnsi"/>
          <w:color w:val="000000" w:themeColor="text1"/>
          <w:szCs w:val="26"/>
        </w:rPr>
        <w:t>St.</w:t>
      </w:r>
      <w:r w:rsidRPr="0029160A">
        <w:rPr>
          <w:rFonts w:eastAsiaTheme="minorHAnsi"/>
          <w:color w:val="000000" w:themeColor="text1"/>
          <w:szCs w:val="26"/>
        </w:rPr>
        <w:t xml:space="preserve"> 1-SR (Revised) at </w:t>
      </w:r>
      <w:r w:rsidR="00204902" w:rsidRPr="0029160A">
        <w:rPr>
          <w:rFonts w:eastAsiaTheme="minorHAnsi"/>
          <w:color w:val="000000" w:themeColor="text1"/>
          <w:szCs w:val="26"/>
        </w:rPr>
        <w:t>4; R.D.</w:t>
      </w:r>
      <w:r w:rsidRPr="0029160A">
        <w:rPr>
          <w:rFonts w:eastAsiaTheme="minorHAnsi"/>
          <w:color w:val="000000" w:themeColor="text1"/>
          <w:szCs w:val="26"/>
        </w:rPr>
        <w:t xml:space="preserve"> at 23.  </w:t>
      </w:r>
      <w:r w:rsidR="00C83BE5" w:rsidRPr="0029160A">
        <w:rPr>
          <w:color w:val="000000" w:themeColor="text1"/>
          <w:szCs w:val="26"/>
        </w:rPr>
        <w:t xml:space="preserve">The OCA recommended reducing the Company’s claim to $563,460 based on the annualized YTD number as of September 30, 2019 (without an inflation adjustment).  OCA St. 1-SR (Revised) at 9.  </w:t>
      </w:r>
    </w:p>
    <w:p w14:paraId="7B9C1B90" w14:textId="77777777" w:rsidR="00475586" w:rsidRPr="0029160A" w:rsidRDefault="00475586" w:rsidP="00716E78">
      <w:pPr>
        <w:widowControl/>
        <w:spacing w:line="360" w:lineRule="auto"/>
        <w:rPr>
          <w:color w:val="000000" w:themeColor="text1"/>
          <w:szCs w:val="26"/>
        </w:rPr>
      </w:pPr>
    </w:p>
    <w:p w14:paraId="2EDA58A7" w14:textId="77777777" w:rsidR="00475586" w:rsidRPr="0029160A" w:rsidRDefault="00475586" w:rsidP="00CB0B2E">
      <w:pPr>
        <w:pStyle w:val="Heading4"/>
        <w:ind w:hanging="720"/>
        <w:contextualSpacing w:val="0"/>
        <w:rPr>
          <w:color w:val="000000" w:themeColor="text1"/>
        </w:rPr>
      </w:pPr>
      <w:bookmarkStart w:id="70" w:name="_Toc38951756"/>
      <w:r w:rsidRPr="0029160A">
        <w:rPr>
          <w:color w:val="000000" w:themeColor="text1"/>
        </w:rPr>
        <w:t>Recommended Decision</w:t>
      </w:r>
      <w:bookmarkEnd w:id="70"/>
    </w:p>
    <w:p w14:paraId="0987C388" w14:textId="77777777" w:rsidR="00475586" w:rsidRPr="0029160A" w:rsidRDefault="00475586" w:rsidP="00716E78">
      <w:pPr>
        <w:widowControl/>
        <w:spacing w:line="360" w:lineRule="auto"/>
        <w:rPr>
          <w:color w:val="000000" w:themeColor="text1"/>
          <w:szCs w:val="26"/>
        </w:rPr>
      </w:pPr>
    </w:p>
    <w:p w14:paraId="3864E91C" w14:textId="77777777"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lastRenderedPageBreak/>
        <w:t>The ALJs agreed with Wellsboro, finding that Wellsboro provided sufficient evidence to show that the proposed increase in vegetation management expenses is due to a known and measurable change, the impact the Emerald Borer will have on the Account.  R.D. at 26.  The ALJs concluded that accepting either I&amp;E’s or the OCA’s adjustments may risk under collection of this expense.  The ALJs were persuaded by Wellsboro’s evidence that the annualized FTY expense as of September 2019 does not properly reflect end-of-year costs given employee absences and tree-trimming costs that the Company project to incur in the 4</w:t>
      </w:r>
      <w:r w:rsidRPr="0029160A">
        <w:rPr>
          <w:color w:val="000000" w:themeColor="text1"/>
          <w:szCs w:val="26"/>
          <w:vertAlign w:val="superscript"/>
        </w:rPr>
        <w:t>th</w:t>
      </w:r>
      <w:r w:rsidRPr="0029160A">
        <w:rPr>
          <w:color w:val="000000" w:themeColor="text1"/>
          <w:szCs w:val="26"/>
        </w:rPr>
        <w:t xml:space="preserve"> quarter.  The ALJs noted that the Company stated that the bids received for 2020 from contractors show higher costs than its 2019 bids, because of the Borer and </w:t>
      </w:r>
      <w:r w:rsidR="00724CAA" w:rsidRPr="0029160A">
        <w:rPr>
          <w:color w:val="000000" w:themeColor="text1"/>
          <w:szCs w:val="26"/>
        </w:rPr>
        <w:t xml:space="preserve">the </w:t>
      </w:r>
      <w:r w:rsidRPr="0029160A">
        <w:rPr>
          <w:color w:val="000000" w:themeColor="text1"/>
          <w:szCs w:val="26"/>
        </w:rPr>
        <w:t xml:space="preserve">challenge Wellsboro faces of limited qualified vegetation contractor interest.  According to the ALJs, the Company needs to have the necessary funds to be able to correct damaged trees to prevent service interruptions in its service territory.  R.D. at 27.  </w:t>
      </w:r>
    </w:p>
    <w:p w14:paraId="124FB390" w14:textId="77777777" w:rsidR="00C83BE5" w:rsidRPr="0029160A" w:rsidRDefault="00C83BE5" w:rsidP="00CB0B2E">
      <w:pPr>
        <w:widowControl/>
        <w:spacing w:line="360" w:lineRule="auto"/>
        <w:ind w:firstLine="1440"/>
        <w:rPr>
          <w:color w:val="000000" w:themeColor="text1"/>
          <w:szCs w:val="26"/>
        </w:rPr>
      </w:pPr>
    </w:p>
    <w:p w14:paraId="16A84D5E" w14:textId="312136F2"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t xml:space="preserve">The ALJs noted that Wellsboro provided updated information concerning the expenses for this Account through November 30, 2019 of $515,199.33, along with projected expenses for December 2019 of $81,320.  The ALJs stated that Wellsboro projected an additional $60,000 in tree trimming costs for 2020.  The OCA proposed that these costs be normalized over three years and the ALJs provided that Wellsboro did not present any evidence to counter </w:t>
      </w:r>
      <w:r w:rsidR="001926F5" w:rsidRPr="0029160A">
        <w:rPr>
          <w:color w:val="000000" w:themeColor="text1"/>
          <w:szCs w:val="26"/>
        </w:rPr>
        <w:t xml:space="preserve">the </w:t>
      </w:r>
      <w:r w:rsidRPr="0029160A">
        <w:rPr>
          <w:color w:val="000000" w:themeColor="text1"/>
          <w:szCs w:val="26"/>
        </w:rPr>
        <w:t>OCA’s assertion that the costs should be normalized</w:t>
      </w:r>
      <w:r w:rsidR="00D21EFF" w:rsidRPr="0029160A">
        <w:rPr>
          <w:color w:val="000000" w:themeColor="text1"/>
          <w:szCs w:val="26"/>
        </w:rPr>
        <w:t xml:space="preserve"> over </w:t>
      </w:r>
      <w:r w:rsidR="0001727E" w:rsidRPr="0029160A">
        <w:rPr>
          <w:color w:val="000000" w:themeColor="text1"/>
          <w:szCs w:val="26"/>
        </w:rPr>
        <w:t xml:space="preserve">that </w:t>
      </w:r>
      <w:r w:rsidR="00D21EFF" w:rsidRPr="0029160A">
        <w:rPr>
          <w:color w:val="000000" w:themeColor="text1"/>
          <w:szCs w:val="26"/>
        </w:rPr>
        <w:t>period</w:t>
      </w:r>
      <w:r w:rsidRPr="0029160A">
        <w:rPr>
          <w:color w:val="000000" w:themeColor="text1"/>
          <w:szCs w:val="26"/>
        </w:rPr>
        <w:t>.  R.D. at 27-28 (citing OCA St. 1-SR (Revised) at 3-4).</w:t>
      </w:r>
      <w:r w:rsidR="00153B3B" w:rsidRPr="0029160A">
        <w:rPr>
          <w:color w:val="000000" w:themeColor="text1"/>
          <w:szCs w:val="26"/>
        </w:rPr>
        <w:t xml:space="preserve">  </w:t>
      </w:r>
    </w:p>
    <w:p w14:paraId="51ACCF83" w14:textId="77777777" w:rsidR="00C83BE5" w:rsidRPr="0029160A" w:rsidRDefault="00C83BE5" w:rsidP="00CB0B2E">
      <w:pPr>
        <w:widowControl/>
        <w:spacing w:line="360" w:lineRule="auto"/>
        <w:ind w:firstLine="1440"/>
        <w:rPr>
          <w:color w:val="000000" w:themeColor="text1"/>
          <w:szCs w:val="26"/>
        </w:rPr>
      </w:pPr>
    </w:p>
    <w:p w14:paraId="6DA1AF8D" w14:textId="77777777"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t>The ALJs recommended that the Commission adopt Wellsboro’s claim for vegetation management expenses in the amount of $616,519.33 ($515,199.33 of costs through November 30, 2019 + $81,320 for December 2019 + $20,000 for tree trimming costs of $60,000 normalized over three years).  R.D. at 2</w:t>
      </w:r>
      <w:r w:rsidR="00192837" w:rsidRPr="0029160A">
        <w:rPr>
          <w:color w:val="000000" w:themeColor="text1"/>
          <w:szCs w:val="26"/>
        </w:rPr>
        <w:t>3-24; 2</w:t>
      </w:r>
      <w:r w:rsidRPr="0029160A">
        <w:rPr>
          <w:color w:val="000000" w:themeColor="text1"/>
          <w:szCs w:val="26"/>
        </w:rPr>
        <w:t>5-28.  The ALJs rejected the OCA’s proposal to reduce Wellsboro’s claim by $106,155 (equaling $563,460).  R.D. at 29-30.</w:t>
      </w:r>
    </w:p>
    <w:p w14:paraId="6ED8A1B1" w14:textId="77777777" w:rsidR="00475586" w:rsidRPr="0029160A" w:rsidRDefault="00475586">
      <w:pPr>
        <w:widowControl/>
        <w:spacing w:line="360" w:lineRule="auto"/>
        <w:rPr>
          <w:color w:val="000000" w:themeColor="text1"/>
          <w:szCs w:val="26"/>
        </w:rPr>
      </w:pPr>
    </w:p>
    <w:p w14:paraId="07BFEBAE" w14:textId="77777777" w:rsidR="00475586" w:rsidRPr="0029160A" w:rsidRDefault="00897E66" w:rsidP="00CB0B2E">
      <w:pPr>
        <w:pStyle w:val="Heading4"/>
        <w:keepNext/>
        <w:spacing w:line="240" w:lineRule="auto"/>
        <w:ind w:hanging="720"/>
        <w:contextualSpacing w:val="0"/>
        <w:rPr>
          <w:color w:val="000000" w:themeColor="text1"/>
        </w:rPr>
      </w:pPr>
      <w:bookmarkStart w:id="71" w:name="_Toc38951757"/>
      <w:r w:rsidRPr="0029160A">
        <w:rPr>
          <w:color w:val="000000" w:themeColor="text1"/>
        </w:rPr>
        <w:lastRenderedPageBreak/>
        <w:t>Wellsboro Exception No. 3, I&amp;E Exception No. 1, OCA Exception No. 4 and Replies</w:t>
      </w:r>
      <w:bookmarkEnd w:id="71"/>
    </w:p>
    <w:p w14:paraId="68C126BC" w14:textId="77777777" w:rsidR="00475586" w:rsidRPr="0029160A" w:rsidRDefault="00475586" w:rsidP="00CB0B2E">
      <w:pPr>
        <w:keepNext/>
        <w:widowControl/>
        <w:spacing w:line="480" w:lineRule="auto"/>
        <w:rPr>
          <w:color w:val="000000" w:themeColor="text1"/>
          <w:szCs w:val="26"/>
        </w:rPr>
      </w:pPr>
    </w:p>
    <w:p w14:paraId="54F7E0CC" w14:textId="61654657" w:rsidR="00C83BE5" w:rsidRPr="0029160A" w:rsidRDefault="00C83BE5" w:rsidP="00CB0B2E">
      <w:pPr>
        <w:keepNext/>
        <w:widowControl/>
        <w:spacing w:line="360" w:lineRule="auto"/>
        <w:ind w:firstLine="1440"/>
        <w:rPr>
          <w:color w:val="000000" w:themeColor="text1"/>
          <w:szCs w:val="26"/>
        </w:rPr>
      </w:pPr>
      <w:r w:rsidRPr="0029160A">
        <w:rPr>
          <w:color w:val="000000" w:themeColor="text1"/>
          <w:szCs w:val="26"/>
        </w:rPr>
        <w:t>In Wellsboro Exception No. 3, Wellsboro does not dispute the R.D.’s calculation of $596,519.33 plus a FPFTY adjustment, but argues the ALJs erred in normalizing the $60,000 of the FPFTY adjustment as a “one time” expense rather than treating it as an ongoing annual expense.  Wellsboro contends that the higher FPFTY costs are related to ongoing costs from (1) Emerald Ash Borer</w:t>
      </w:r>
      <w:r w:rsidR="00A73EF8">
        <w:rPr>
          <w:color w:val="000000" w:themeColor="text1"/>
          <w:szCs w:val="26"/>
        </w:rPr>
        <w:t>,</w:t>
      </w:r>
      <w:r w:rsidRPr="0029160A">
        <w:rPr>
          <w:color w:val="000000" w:themeColor="text1"/>
          <w:szCs w:val="26"/>
        </w:rPr>
        <w:t xml:space="preserve"> and (2) increasing contractor costs. </w:t>
      </w:r>
      <w:r w:rsidR="00E033F6" w:rsidRPr="0029160A">
        <w:rPr>
          <w:color w:val="000000" w:themeColor="text1"/>
          <w:szCs w:val="26"/>
        </w:rPr>
        <w:t xml:space="preserve"> Wellsboro further argues that</w:t>
      </w:r>
      <w:r w:rsidRPr="0029160A">
        <w:rPr>
          <w:color w:val="000000" w:themeColor="text1"/>
          <w:szCs w:val="26"/>
        </w:rPr>
        <w:t xml:space="preserve"> </w:t>
      </w:r>
      <w:r w:rsidR="00E033F6" w:rsidRPr="0029160A">
        <w:rPr>
          <w:color w:val="000000" w:themeColor="text1"/>
          <w:szCs w:val="26"/>
        </w:rPr>
        <w:t>t</w:t>
      </w:r>
      <w:r w:rsidRPr="0029160A">
        <w:rPr>
          <w:color w:val="000000" w:themeColor="text1"/>
          <w:szCs w:val="26"/>
        </w:rPr>
        <w:t>he R.D. mistakenly concludes that additional tree trimming costs in FPFTY are due to accelerated efforts to address outages of the Middlebury circuit and costs associated with the 115 KV transmission line associated with the MAIT project.</w:t>
      </w:r>
      <w:r w:rsidR="005150F4" w:rsidRPr="0029160A">
        <w:rPr>
          <w:color w:val="000000" w:themeColor="text1"/>
          <w:szCs w:val="26"/>
        </w:rPr>
        <w:t xml:space="preserve"> </w:t>
      </w:r>
      <w:r w:rsidRPr="0029160A">
        <w:rPr>
          <w:color w:val="000000" w:themeColor="text1"/>
          <w:szCs w:val="26"/>
        </w:rPr>
        <w:t xml:space="preserve"> The Company’s testimony showed that the additional $60,000 of projected tree trimming expenses is not impacted by these factors.  The $60,000 in additional FPFTY expense should be approved for recovery in the FPFTY, rather than being normalized over three years.  Wellsboro Exc. at 10-12; Wellsboro M.B. at 41; Tr. at 176. </w:t>
      </w:r>
    </w:p>
    <w:p w14:paraId="4477DE88" w14:textId="77777777" w:rsidR="00C83BE5" w:rsidRPr="0029160A" w:rsidRDefault="00C83BE5" w:rsidP="00CB0B2E">
      <w:pPr>
        <w:widowControl/>
        <w:spacing w:line="360" w:lineRule="auto"/>
        <w:ind w:firstLine="1440"/>
        <w:rPr>
          <w:color w:val="000000" w:themeColor="text1"/>
          <w:szCs w:val="26"/>
        </w:rPr>
      </w:pPr>
    </w:p>
    <w:p w14:paraId="45A0DAE0" w14:textId="77777777" w:rsidR="00C83BE5" w:rsidRPr="0029160A" w:rsidRDefault="00C83BE5" w:rsidP="00CB0B2E">
      <w:pPr>
        <w:widowControl/>
        <w:spacing w:line="360" w:lineRule="auto"/>
        <w:ind w:firstLine="1440"/>
        <w:contextualSpacing/>
        <w:rPr>
          <w:color w:val="000000" w:themeColor="text1"/>
          <w:szCs w:val="26"/>
        </w:rPr>
      </w:pPr>
      <w:r w:rsidRPr="0029160A">
        <w:rPr>
          <w:color w:val="000000" w:themeColor="text1"/>
          <w:szCs w:val="26"/>
        </w:rPr>
        <w:t>Wellsboro states that the Company incurred $65,000 of normal tree-trimming expenses in the 4</w:t>
      </w:r>
      <w:r w:rsidRPr="0029160A">
        <w:rPr>
          <w:color w:val="000000" w:themeColor="text1"/>
          <w:szCs w:val="26"/>
          <w:vertAlign w:val="superscript"/>
        </w:rPr>
        <w:t>th</w:t>
      </w:r>
      <w:r w:rsidRPr="0029160A">
        <w:rPr>
          <w:color w:val="000000" w:themeColor="text1"/>
          <w:szCs w:val="26"/>
        </w:rPr>
        <w:t xml:space="preserve"> quarter of 2019 because it had prioritized other capital projects earlier in the FTY.  Wellsboro reasons that neither the $65,000 expense incurred in the FTY nor the $60,000 of additional budgeted expense is non-recurring.  Wellsboro Exc. at 11 (citing Tr. at 176).  </w:t>
      </w:r>
    </w:p>
    <w:p w14:paraId="46F9AA8D" w14:textId="77777777" w:rsidR="00C83BE5" w:rsidRPr="0029160A" w:rsidRDefault="00C83BE5" w:rsidP="00CB0B2E">
      <w:pPr>
        <w:widowControl/>
        <w:spacing w:line="360" w:lineRule="auto"/>
        <w:ind w:firstLine="1440"/>
        <w:rPr>
          <w:color w:val="000000" w:themeColor="text1"/>
          <w:szCs w:val="26"/>
        </w:rPr>
      </w:pPr>
    </w:p>
    <w:p w14:paraId="7310C1A1" w14:textId="5C7F36B0"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t xml:space="preserve">In </w:t>
      </w:r>
      <w:r w:rsidR="001C3D36" w:rsidRPr="0029160A">
        <w:rPr>
          <w:color w:val="000000" w:themeColor="text1"/>
          <w:szCs w:val="26"/>
        </w:rPr>
        <w:t xml:space="preserve">the OCA’s </w:t>
      </w:r>
      <w:r w:rsidRPr="0029160A">
        <w:rPr>
          <w:color w:val="000000" w:themeColor="text1"/>
          <w:szCs w:val="26"/>
        </w:rPr>
        <w:t>Replies to Wellsboro Exception No. 3, the OCA asserts the ALJ</w:t>
      </w:r>
      <w:r w:rsidR="00E033F6" w:rsidRPr="0029160A">
        <w:rPr>
          <w:color w:val="000000" w:themeColor="text1"/>
          <w:szCs w:val="26"/>
        </w:rPr>
        <w:t>s</w:t>
      </w:r>
      <w:r w:rsidRPr="0029160A">
        <w:rPr>
          <w:color w:val="000000" w:themeColor="text1"/>
          <w:szCs w:val="26"/>
        </w:rPr>
        <w:t xml:space="preserve"> correctly normalized the $60,000 of FPFTY maintenance of overhead line expense as a “one time” expense.  The OCA notes that the Company forecasted an additional $60,000 in tree trimming costs in 2020 due to accelerated efforts to address outages on the Middlebury circuit and the costs associated with transmission lines in the MAIT project.  OCA R. Exc. at 7 (citing R.D. at 27-28).  The OCA contends these costs should </w:t>
      </w:r>
      <w:r w:rsidRPr="0029160A">
        <w:rPr>
          <w:color w:val="000000" w:themeColor="text1"/>
          <w:szCs w:val="26"/>
        </w:rPr>
        <w:lastRenderedPageBreak/>
        <w:t>be normalized because they will not continue past 2020.  OCA R. Exc. at 8 (citing R.D. at</w:t>
      </w:r>
      <w:r w:rsidR="00716E78" w:rsidRPr="0029160A">
        <w:rPr>
          <w:color w:val="000000" w:themeColor="text1"/>
          <w:szCs w:val="26"/>
        </w:rPr>
        <w:t> </w:t>
      </w:r>
      <w:r w:rsidRPr="0029160A">
        <w:rPr>
          <w:color w:val="000000" w:themeColor="text1"/>
          <w:szCs w:val="26"/>
        </w:rPr>
        <w:t xml:space="preserve">27-28; OCA St. 1-SR).  </w:t>
      </w:r>
    </w:p>
    <w:p w14:paraId="64E13898" w14:textId="77777777" w:rsidR="00C83BE5" w:rsidRPr="0029160A" w:rsidRDefault="00C83BE5" w:rsidP="00CB0B2E">
      <w:pPr>
        <w:widowControl/>
        <w:spacing w:line="360" w:lineRule="auto"/>
        <w:contextualSpacing/>
        <w:rPr>
          <w:color w:val="000000" w:themeColor="text1"/>
          <w:szCs w:val="26"/>
        </w:rPr>
      </w:pPr>
    </w:p>
    <w:p w14:paraId="2F4509D8" w14:textId="50B7DFE1"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t xml:space="preserve">In I&amp;E Exception No. 1, I&amp;E submits the ALJs erred by rejecting I&amp;E’s adjustment to this expense claim because substantial evidence does not exist to support an expense claim greater than $580,364.  Wellsboro has provided varying figures to support this expense throughout the proceeding but has met its burden of proof only to support an expense claim of $580,364.  Chiefly, the testimony of Wellsboro’s primary O&amp;M </w:t>
      </w:r>
      <w:r w:rsidR="0059217B" w:rsidRPr="0029160A">
        <w:rPr>
          <w:color w:val="000000" w:themeColor="text1"/>
          <w:szCs w:val="26"/>
        </w:rPr>
        <w:t>witness, Gorman</w:t>
      </w:r>
      <w:r w:rsidRPr="0029160A">
        <w:rPr>
          <w:color w:val="000000" w:themeColor="text1"/>
          <w:szCs w:val="26"/>
        </w:rPr>
        <w:t xml:space="preserve">, Wellsboro St. 1-R at 4, only supports a claim of $580,364.  Additionally, the three-year average expense is $518,492, and when adding the $60,000, it would only total $578,492 for the FPFTY.  Wellsboro’s updated expenses of $515,199.33 through November 30, 2019, when annualized and escalated by </w:t>
      </w:r>
      <w:r w:rsidR="00724CAA" w:rsidRPr="0029160A">
        <w:rPr>
          <w:color w:val="000000" w:themeColor="text1"/>
          <w:szCs w:val="26"/>
        </w:rPr>
        <w:t xml:space="preserve">a </w:t>
      </w:r>
      <w:r w:rsidR="0053531F" w:rsidRPr="0029160A">
        <w:rPr>
          <w:color w:val="000000" w:themeColor="text1"/>
          <w:szCs w:val="26"/>
        </w:rPr>
        <w:t>three percent</w:t>
      </w:r>
      <w:r w:rsidRPr="0029160A">
        <w:rPr>
          <w:color w:val="000000" w:themeColor="text1"/>
          <w:szCs w:val="26"/>
        </w:rPr>
        <w:t xml:space="preserve"> inflation adjustment, would only produce a claim of $578,896.70.  Wellsboro’s witness Farnsworth</w:t>
      </w:r>
      <w:r w:rsidR="00F5136E" w:rsidRPr="0029160A">
        <w:rPr>
          <w:color w:val="000000" w:themeColor="text1"/>
          <w:szCs w:val="26"/>
        </w:rPr>
        <w:t>’s</w:t>
      </w:r>
      <w:r w:rsidRPr="0029160A">
        <w:rPr>
          <w:color w:val="000000" w:themeColor="text1"/>
          <w:szCs w:val="26"/>
        </w:rPr>
        <w:t xml:space="preserve"> projections of $81,320 for December 2019 was only an estimate and should not be summarily accepted without proof as it nearly doubled the average monthly spending of this expense for 2019 of $46,836.30.  When viewing the record as a whole, Wellsboro has not provided substantial evidence to support a claim greater than $580,364.  I&amp;E Exc. at 4-6; I&amp;E M.B. at 22-23; I&amp;E R.B. at 13-14.</w:t>
      </w:r>
    </w:p>
    <w:p w14:paraId="06976928" w14:textId="77777777" w:rsidR="00C83BE5" w:rsidRPr="0029160A" w:rsidRDefault="00C83BE5" w:rsidP="00CB0B2E">
      <w:pPr>
        <w:widowControl/>
        <w:spacing w:line="360" w:lineRule="auto"/>
        <w:ind w:firstLine="1440"/>
        <w:rPr>
          <w:color w:val="000000" w:themeColor="text1"/>
          <w:szCs w:val="26"/>
        </w:rPr>
      </w:pPr>
    </w:p>
    <w:p w14:paraId="79A9D428" w14:textId="77777777" w:rsidR="00475586" w:rsidRPr="0029160A" w:rsidRDefault="00C83BE5" w:rsidP="00CB0B2E">
      <w:pPr>
        <w:widowControl/>
        <w:spacing w:line="360" w:lineRule="auto"/>
        <w:ind w:firstLine="1440"/>
        <w:rPr>
          <w:color w:val="000000" w:themeColor="text1"/>
          <w:szCs w:val="26"/>
        </w:rPr>
      </w:pPr>
      <w:r w:rsidRPr="0029160A">
        <w:rPr>
          <w:color w:val="000000" w:themeColor="text1"/>
          <w:szCs w:val="26"/>
        </w:rPr>
        <w:t>In OCA Exception No. 4, the OCA submits the ALJs erred by rejecting the OCA’s proposed adjustment to this expense claim, which would reduce the claim to $563,460 based on the Company’s annualized FTY expenses as the budget for FPFTY.  The OCA contends that this account is prone to substantial fluctuation as shown through previous years.  Given the inherent inconsistency in this account, the OCA submits its witness Sherwood’s recommendation to average the inconsistent vegetation management contractor costs for three years, 2016 through 2018, is reasonable and should be adopted to reduce the amount of this claim accordingly.  OCA Exc. at 9-11; OCA M.B. at 27-28; OCA R.B. at 17.</w:t>
      </w:r>
    </w:p>
    <w:p w14:paraId="033CFE51" w14:textId="77777777" w:rsidR="001C3D36" w:rsidRPr="0029160A" w:rsidRDefault="001C3D36" w:rsidP="00CB0B2E">
      <w:pPr>
        <w:widowControl/>
        <w:spacing w:line="360" w:lineRule="auto"/>
        <w:ind w:firstLine="1440"/>
        <w:rPr>
          <w:color w:val="000000" w:themeColor="text1"/>
          <w:szCs w:val="26"/>
        </w:rPr>
      </w:pPr>
    </w:p>
    <w:p w14:paraId="55F51F99" w14:textId="30BB7CB3"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lastRenderedPageBreak/>
        <w:t>In</w:t>
      </w:r>
      <w:r w:rsidR="001C3D36" w:rsidRPr="0029160A">
        <w:rPr>
          <w:color w:val="000000" w:themeColor="text1"/>
          <w:szCs w:val="26"/>
        </w:rPr>
        <w:t xml:space="preserve"> Wellsboro’s</w:t>
      </w:r>
      <w:r w:rsidRPr="0029160A">
        <w:rPr>
          <w:color w:val="000000" w:themeColor="text1"/>
          <w:szCs w:val="26"/>
        </w:rPr>
        <w:t xml:space="preserve"> Replies to I&amp;E Exc. No. 1 and the OCA Exc. No. 4, Wellsboro contends the R.D. correctly rejected adjustments proposed by I&amp;E and the OCA to this expense claim.  Wellsboro submits I&amp;E mischaracterizes Mr. Gorman’s testimony as only supporting a claim of $580,364 and the Company provided substantial evidence in support of its claim.  I&amp;E’s and the OCA’s proposed adjustments would substantially understate future tree-trimming costs and would disallow the Company to recover the critical expenses necessary to meet the increased demands facing the Company regarding vegetation management.  Wellsboro R. Exc. at 5-7; Wellsboro St. 1</w:t>
      </w:r>
      <w:r w:rsidR="00716E78" w:rsidRPr="0029160A">
        <w:rPr>
          <w:color w:val="000000" w:themeColor="text1"/>
          <w:szCs w:val="26"/>
        </w:rPr>
        <w:noBreakHyphen/>
      </w:r>
      <w:r w:rsidRPr="0029160A">
        <w:rPr>
          <w:color w:val="000000" w:themeColor="text1"/>
          <w:szCs w:val="26"/>
        </w:rPr>
        <w:t xml:space="preserve">R at 3-5; Wellsboro St. 6-R at 7-8; Tr. </w:t>
      </w:r>
      <w:r w:rsidR="00804DA8" w:rsidRPr="0029160A">
        <w:rPr>
          <w:color w:val="000000" w:themeColor="text1"/>
          <w:szCs w:val="26"/>
        </w:rPr>
        <w:t xml:space="preserve">at </w:t>
      </w:r>
      <w:r w:rsidRPr="0029160A">
        <w:rPr>
          <w:color w:val="000000" w:themeColor="text1"/>
          <w:szCs w:val="26"/>
        </w:rPr>
        <w:t>176-177, 186-87; Wellsboro M.B. at 5, 41, 43.</w:t>
      </w:r>
    </w:p>
    <w:p w14:paraId="37CA16F0" w14:textId="77777777" w:rsidR="00C83BE5" w:rsidRPr="0029160A" w:rsidRDefault="00C83BE5" w:rsidP="00CB0B2E">
      <w:pPr>
        <w:widowControl/>
        <w:spacing w:line="360" w:lineRule="auto"/>
        <w:contextualSpacing/>
        <w:rPr>
          <w:color w:val="000000" w:themeColor="text1"/>
          <w:szCs w:val="26"/>
          <w:highlight w:val="yellow"/>
        </w:rPr>
      </w:pPr>
    </w:p>
    <w:p w14:paraId="5EDEC44F" w14:textId="77777777"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t>Wellsboro explains further that both I&amp;E and the OCA minimize the critical tree-trimming expense.  Wellsboro notes that with his Rebuttal testimony, witness Gorman explained that the additional $60,000 is anticipated for the FPFTY and each year beyond for tree trimming.  Wellsboro R.</w:t>
      </w:r>
      <w:r w:rsidR="001C3D36" w:rsidRPr="0029160A">
        <w:rPr>
          <w:color w:val="000000" w:themeColor="text1"/>
          <w:szCs w:val="26"/>
        </w:rPr>
        <w:t xml:space="preserve"> </w:t>
      </w:r>
      <w:r w:rsidRPr="0029160A">
        <w:rPr>
          <w:color w:val="000000" w:themeColor="text1"/>
          <w:szCs w:val="26"/>
        </w:rPr>
        <w:t xml:space="preserve">Exc. at 6 (citing Wellsboro St. 1-R at 5).  Wellsboro notes that it provided substantial evidence showing continually increasing annual expenses.  According to witness Farnsworth:  </w:t>
      </w:r>
    </w:p>
    <w:p w14:paraId="231E03B6" w14:textId="77777777" w:rsidR="001C3D36" w:rsidRPr="0029160A" w:rsidRDefault="001C3D36" w:rsidP="00CB0B2E">
      <w:pPr>
        <w:widowControl/>
        <w:ind w:firstLine="1440"/>
        <w:rPr>
          <w:color w:val="000000" w:themeColor="text1"/>
          <w:szCs w:val="26"/>
        </w:rPr>
      </w:pPr>
    </w:p>
    <w:p w14:paraId="51811E01" w14:textId="77777777" w:rsidR="00C83BE5" w:rsidRPr="0029160A" w:rsidRDefault="00C83BE5" w:rsidP="00CB0B2E">
      <w:pPr>
        <w:widowControl/>
        <w:ind w:left="1440" w:right="1440"/>
        <w:rPr>
          <w:color w:val="000000" w:themeColor="text1"/>
          <w:szCs w:val="26"/>
        </w:rPr>
      </w:pPr>
      <w:r w:rsidRPr="0029160A">
        <w:rPr>
          <w:color w:val="000000" w:themeColor="text1"/>
          <w:szCs w:val="26"/>
        </w:rPr>
        <w:t xml:space="preserve">Wellsboro’s annual tree-trimming contractor costs have increased by over $100,000 due to contractor cost increases over the past three years, the Emerald Ash Borer removal, and enhanced tree growth due to wet growing seasons over the past two years.  Vegetation management activities are particularly critical in a rural territory like Wellsboro’s, which has many miles of off-road rights-of-way carrying poles and wires.  </w:t>
      </w:r>
    </w:p>
    <w:p w14:paraId="6168F1BD" w14:textId="77777777" w:rsidR="00C83BE5" w:rsidRPr="0029160A" w:rsidRDefault="00C83BE5" w:rsidP="00CB0B2E">
      <w:pPr>
        <w:widowControl/>
        <w:spacing w:line="360" w:lineRule="auto"/>
        <w:ind w:firstLine="1440"/>
        <w:rPr>
          <w:color w:val="000000" w:themeColor="text1"/>
          <w:szCs w:val="26"/>
        </w:rPr>
      </w:pPr>
    </w:p>
    <w:p w14:paraId="120ED6A6" w14:textId="6470D614" w:rsidR="00C83BE5" w:rsidRPr="0029160A" w:rsidRDefault="00C83BE5" w:rsidP="00CB0B2E">
      <w:pPr>
        <w:widowControl/>
        <w:rPr>
          <w:color w:val="000000" w:themeColor="text1"/>
          <w:szCs w:val="26"/>
        </w:rPr>
      </w:pPr>
      <w:r w:rsidRPr="0029160A">
        <w:rPr>
          <w:color w:val="000000" w:themeColor="text1"/>
          <w:szCs w:val="26"/>
        </w:rPr>
        <w:t>Wellsboro R.</w:t>
      </w:r>
      <w:r w:rsidR="001C3D36" w:rsidRPr="0029160A">
        <w:rPr>
          <w:color w:val="000000" w:themeColor="text1"/>
          <w:szCs w:val="26"/>
        </w:rPr>
        <w:t xml:space="preserve"> </w:t>
      </w:r>
      <w:r w:rsidRPr="0029160A">
        <w:rPr>
          <w:color w:val="000000" w:themeColor="text1"/>
          <w:szCs w:val="26"/>
        </w:rPr>
        <w:t>Exc. at 6 (citing Wellsboro M.B. at 41 (emphasis added</w:t>
      </w:r>
      <w:r w:rsidR="00840015" w:rsidRPr="0029160A">
        <w:rPr>
          <w:color w:val="000000" w:themeColor="text1"/>
          <w:szCs w:val="26"/>
        </w:rPr>
        <w:t>)</w:t>
      </w:r>
      <w:r w:rsidRPr="0029160A">
        <w:rPr>
          <w:color w:val="000000" w:themeColor="text1"/>
          <w:szCs w:val="26"/>
        </w:rPr>
        <w:t xml:space="preserve">).  </w:t>
      </w:r>
    </w:p>
    <w:p w14:paraId="5E4D62DD" w14:textId="77777777" w:rsidR="00C83BE5" w:rsidRPr="0029160A" w:rsidRDefault="00C83BE5" w:rsidP="00CB0B2E">
      <w:pPr>
        <w:widowControl/>
        <w:spacing w:line="360" w:lineRule="auto"/>
        <w:rPr>
          <w:color w:val="000000" w:themeColor="text1"/>
          <w:szCs w:val="26"/>
        </w:rPr>
      </w:pPr>
    </w:p>
    <w:p w14:paraId="59D699D7" w14:textId="77777777" w:rsidR="00C83BE5" w:rsidRPr="0029160A" w:rsidRDefault="00C83BE5" w:rsidP="00CB0B2E">
      <w:pPr>
        <w:widowControl/>
        <w:rPr>
          <w:color w:val="000000" w:themeColor="text1"/>
          <w:szCs w:val="26"/>
        </w:rPr>
      </w:pPr>
      <w:r w:rsidRPr="0029160A">
        <w:rPr>
          <w:color w:val="000000" w:themeColor="text1"/>
          <w:szCs w:val="26"/>
        </w:rPr>
        <w:tab/>
      </w:r>
      <w:r w:rsidRPr="0029160A">
        <w:rPr>
          <w:color w:val="000000" w:themeColor="text1"/>
          <w:szCs w:val="26"/>
        </w:rPr>
        <w:tab/>
        <w:t>Wellsboro witness Farnsworth explained further:</w:t>
      </w:r>
    </w:p>
    <w:p w14:paraId="18D8B9FB" w14:textId="77777777" w:rsidR="00C83BE5" w:rsidRPr="0029160A" w:rsidRDefault="00C83BE5" w:rsidP="00CB0B2E">
      <w:pPr>
        <w:widowControl/>
        <w:rPr>
          <w:color w:val="000000" w:themeColor="text1"/>
          <w:szCs w:val="26"/>
        </w:rPr>
      </w:pPr>
    </w:p>
    <w:p w14:paraId="4D6382BD" w14:textId="77777777" w:rsidR="00C83BE5" w:rsidRPr="0029160A" w:rsidRDefault="00C83BE5" w:rsidP="00CB0B2E">
      <w:pPr>
        <w:widowControl/>
        <w:ind w:left="1440" w:right="1440"/>
        <w:rPr>
          <w:color w:val="000000" w:themeColor="text1"/>
          <w:szCs w:val="26"/>
        </w:rPr>
      </w:pPr>
      <w:r w:rsidRPr="0029160A">
        <w:rPr>
          <w:color w:val="000000" w:themeColor="text1"/>
          <w:szCs w:val="26"/>
        </w:rPr>
        <w:t xml:space="preserve">The inspection and management program is necessary to efficiently identify and target vulnerable facilities for maintenance, including tree-trimming.  This expense is not </w:t>
      </w:r>
      <w:r w:rsidRPr="0029160A">
        <w:rPr>
          <w:color w:val="000000" w:themeColor="text1"/>
          <w:szCs w:val="26"/>
        </w:rPr>
        <w:lastRenderedPageBreak/>
        <w:t xml:space="preserve">decreasing; in fact, it may grow beyond what we projected for 2020.  </w:t>
      </w:r>
    </w:p>
    <w:p w14:paraId="7D9B5B1B" w14:textId="77777777" w:rsidR="00C83BE5" w:rsidRPr="0029160A" w:rsidRDefault="00C83BE5" w:rsidP="00CB0B2E">
      <w:pPr>
        <w:widowControl/>
        <w:spacing w:line="360" w:lineRule="auto"/>
        <w:rPr>
          <w:color w:val="000000" w:themeColor="text1"/>
          <w:szCs w:val="26"/>
        </w:rPr>
      </w:pPr>
    </w:p>
    <w:p w14:paraId="4C0321D4" w14:textId="77777777" w:rsidR="00C83BE5" w:rsidRPr="0029160A" w:rsidRDefault="00C83BE5" w:rsidP="00CB0B2E">
      <w:pPr>
        <w:widowControl/>
        <w:spacing w:line="360" w:lineRule="auto"/>
        <w:rPr>
          <w:color w:val="000000" w:themeColor="text1"/>
          <w:szCs w:val="26"/>
        </w:rPr>
      </w:pPr>
      <w:r w:rsidRPr="0029160A">
        <w:rPr>
          <w:color w:val="000000" w:themeColor="text1"/>
          <w:szCs w:val="26"/>
        </w:rPr>
        <w:t>Wellsboro R.</w:t>
      </w:r>
      <w:r w:rsidR="001C3D36" w:rsidRPr="0029160A">
        <w:rPr>
          <w:color w:val="000000" w:themeColor="text1"/>
          <w:szCs w:val="26"/>
        </w:rPr>
        <w:t xml:space="preserve"> </w:t>
      </w:r>
      <w:r w:rsidRPr="0029160A">
        <w:rPr>
          <w:color w:val="000000" w:themeColor="text1"/>
          <w:szCs w:val="26"/>
        </w:rPr>
        <w:t xml:space="preserve">Exc. at 6 (citing Wellsboro M.B. at 5).  </w:t>
      </w:r>
    </w:p>
    <w:p w14:paraId="2F35A825" w14:textId="77777777" w:rsidR="00C83BE5" w:rsidRPr="0029160A" w:rsidRDefault="00C83BE5" w:rsidP="00CB0B2E">
      <w:pPr>
        <w:widowControl/>
        <w:spacing w:line="360" w:lineRule="auto"/>
        <w:rPr>
          <w:color w:val="000000" w:themeColor="text1"/>
          <w:szCs w:val="26"/>
        </w:rPr>
      </w:pPr>
    </w:p>
    <w:p w14:paraId="38805D06" w14:textId="2694600E" w:rsidR="006E2B1A" w:rsidRPr="0029160A" w:rsidRDefault="00C83BE5" w:rsidP="002E0E3A">
      <w:pPr>
        <w:widowControl/>
        <w:spacing w:line="360" w:lineRule="auto"/>
        <w:ind w:firstLine="1440"/>
        <w:rPr>
          <w:color w:val="000000" w:themeColor="text1"/>
          <w:szCs w:val="26"/>
        </w:rPr>
      </w:pPr>
      <w:r w:rsidRPr="0029160A">
        <w:rPr>
          <w:color w:val="000000" w:themeColor="text1"/>
          <w:szCs w:val="26"/>
        </w:rPr>
        <w:t>Wellsboro provides that Mr. Farnsworth also testified that the Company received bids from contractors for 2020 tree-trimming work on December 5, 2019 that showed increased costs.  Wellsboro R.</w:t>
      </w:r>
      <w:r w:rsidR="001C3D36" w:rsidRPr="0029160A">
        <w:rPr>
          <w:color w:val="000000" w:themeColor="text1"/>
          <w:szCs w:val="26"/>
        </w:rPr>
        <w:t xml:space="preserve"> </w:t>
      </w:r>
      <w:r w:rsidRPr="0029160A">
        <w:rPr>
          <w:color w:val="000000" w:themeColor="text1"/>
          <w:szCs w:val="26"/>
        </w:rPr>
        <w:t>Exc. at 7 (citing Wellsboro M.B. at 43; Tr. at</w:t>
      </w:r>
      <w:r w:rsidR="00DB7ECB" w:rsidRPr="0029160A">
        <w:rPr>
          <w:color w:val="000000" w:themeColor="text1"/>
          <w:szCs w:val="26"/>
        </w:rPr>
        <w:t> </w:t>
      </w:r>
      <w:r w:rsidRPr="0029160A">
        <w:rPr>
          <w:color w:val="000000" w:themeColor="text1"/>
          <w:szCs w:val="26"/>
        </w:rPr>
        <w:t>186</w:t>
      </w:r>
      <w:r w:rsidR="00DB7ECB" w:rsidRPr="0029160A">
        <w:rPr>
          <w:color w:val="000000" w:themeColor="text1"/>
          <w:szCs w:val="26"/>
        </w:rPr>
        <w:noBreakHyphen/>
      </w:r>
      <w:r w:rsidRPr="0029160A">
        <w:rPr>
          <w:color w:val="000000" w:themeColor="text1"/>
          <w:szCs w:val="26"/>
        </w:rPr>
        <w:t xml:space="preserve">87). </w:t>
      </w:r>
    </w:p>
    <w:p w14:paraId="05A1F6BD" w14:textId="77777777" w:rsidR="00DB7ECB" w:rsidRPr="0029160A" w:rsidRDefault="00DB7ECB" w:rsidP="00CB0B2E">
      <w:pPr>
        <w:widowControl/>
        <w:spacing w:line="360" w:lineRule="auto"/>
        <w:ind w:firstLine="1440"/>
        <w:rPr>
          <w:color w:val="000000" w:themeColor="text1"/>
          <w:szCs w:val="26"/>
        </w:rPr>
      </w:pPr>
    </w:p>
    <w:p w14:paraId="7A60C021" w14:textId="2535D2B4" w:rsidR="00C83BE5" w:rsidRPr="0029160A" w:rsidRDefault="00C83BE5" w:rsidP="00CB0B2E">
      <w:pPr>
        <w:widowControl/>
        <w:spacing w:line="360" w:lineRule="auto"/>
        <w:ind w:firstLine="1440"/>
        <w:rPr>
          <w:color w:val="000000" w:themeColor="text1"/>
          <w:szCs w:val="26"/>
        </w:rPr>
      </w:pPr>
      <w:r w:rsidRPr="0029160A">
        <w:rPr>
          <w:color w:val="000000" w:themeColor="text1"/>
          <w:szCs w:val="26"/>
        </w:rPr>
        <w:t xml:space="preserve">Wellsboro avers that I&amp;E’s argument relies on stale data from 2016-2018.  Wellsboro notes that I&amp;E uses average annual expense from 2016-2018 rather than the annualized </w:t>
      </w:r>
      <w:r w:rsidR="00B86C63" w:rsidRPr="0029160A">
        <w:rPr>
          <w:color w:val="000000" w:themeColor="text1"/>
          <w:szCs w:val="26"/>
        </w:rPr>
        <w:t>nine-month</w:t>
      </w:r>
      <w:r w:rsidRPr="0029160A">
        <w:rPr>
          <w:color w:val="000000" w:themeColor="text1"/>
          <w:szCs w:val="26"/>
        </w:rPr>
        <w:t xml:space="preserve"> FTY expense as a baseline to unreasonably depress the Company’s claim.  Wellsboro R.</w:t>
      </w:r>
      <w:r w:rsidR="001C3D36" w:rsidRPr="0029160A">
        <w:rPr>
          <w:color w:val="000000" w:themeColor="text1"/>
          <w:szCs w:val="26"/>
        </w:rPr>
        <w:t xml:space="preserve"> </w:t>
      </w:r>
      <w:r w:rsidRPr="0029160A">
        <w:rPr>
          <w:color w:val="000000" w:themeColor="text1"/>
          <w:szCs w:val="26"/>
        </w:rPr>
        <w:t xml:space="preserve">Exc. at 7 (citing I&amp;E Exc. at 5).  </w:t>
      </w:r>
    </w:p>
    <w:p w14:paraId="6CB7A201" w14:textId="77777777" w:rsidR="00475586" w:rsidRPr="0029160A" w:rsidRDefault="00475586" w:rsidP="00716E78">
      <w:pPr>
        <w:widowControl/>
        <w:spacing w:line="360" w:lineRule="auto"/>
        <w:rPr>
          <w:color w:val="000000" w:themeColor="text1"/>
          <w:szCs w:val="26"/>
        </w:rPr>
      </w:pPr>
    </w:p>
    <w:p w14:paraId="5BCEEF7B" w14:textId="77777777" w:rsidR="00475586" w:rsidRPr="0029160A" w:rsidRDefault="00475586" w:rsidP="00CB0B2E">
      <w:pPr>
        <w:pStyle w:val="Heading4"/>
        <w:ind w:hanging="720"/>
        <w:contextualSpacing w:val="0"/>
        <w:rPr>
          <w:color w:val="000000" w:themeColor="text1"/>
        </w:rPr>
      </w:pPr>
      <w:bookmarkStart w:id="72" w:name="_Toc38951758"/>
      <w:r w:rsidRPr="0029160A">
        <w:rPr>
          <w:color w:val="000000" w:themeColor="text1"/>
        </w:rPr>
        <w:t>Disposition</w:t>
      </w:r>
      <w:bookmarkEnd w:id="72"/>
    </w:p>
    <w:p w14:paraId="2CC629E9" w14:textId="77777777" w:rsidR="00475586" w:rsidRPr="0029160A" w:rsidRDefault="00475586" w:rsidP="00716E78">
      <w:pPr>
        <w:widowControl/>
        <w:spacing w:line="360" w:lineRule="auto"/>
        <w:rPr>
          <w:color w:val="000000" w:themeColor="text1"/>
          <w:szCs w:val="26"/>
        </w:rPr>
      </w:pPr>
    </w:p>
    <w:p w14:paraId="49429C85" w14:textId="0D60060E" w:rsidR="00475586" w:rsidRPr="0029160A" w:rsidRDefault="00D85038" w:rsidP="00716E78">
      <w:pPr>
        <w:widowControl/>
        <w:spacing w:line="360" w:lineRule="auto"/>
        <w:ind w:firstLine="1440"/>
        <w:rPr>
          <w:color w:val="000000" w:themeColor="text1"/>
        </w:rPr>
      </w:pPr>
      <w:r w:rsidRPr="0029160A">
        <w:rPr>
          <w:color w:val="000000" w:themeColor="text1"/>
          <w:szCs w:val="26"/>
        </w:rPr>
        <w:t>Based on our review of the record, the ALJs’ decision, and the Parties’ positions, we agree with Wellsboro that the $60,000 expense</w:t>
      </w:r>
      <w:r w:rsidR="002B3343" w:rsidRPr="0029160A">
        <w:rPr>
          <w:color w:val="000000" w:themeColor="text1"/>
          <w:szCs w:val="26"/>
        </w:rPr>
        <w:t xml:space="preserve"> amount</w:t>
      </w:r>
      <w:r w:rsidRPr="0029160A">
        <w:rPr>
          <w:color w:val="000000" w:themeColor="text1"/>
          <w:szCs w:val="26"/>
        </w:rPr>
        <w:t xml:space="preserve"> for vegetation management should </w:t>
      </w:r>
      <w:r w:rsidR="0015563D" w:rsidRPr="0029160A">
        <w:rPr>
          <w:color w:val="000000" w:themeColor="text1"/>
          <w:szCs w:val="26"/>
        </w:rPr>
        <w:t xml:space="preserve">be recovered in the FPFTY rather than being normalized </w:t>
      </w:r>
      <w:r w:rsidR="001B4025" w:rsidRPr="0029160A">
        <w:rPr>
          <w:color w:val="000000" w:themeColor="text1"/>
          <w:szCs w:val="26"/>
        </w:rPr>
        <w:t xml:space="preserve">based </w:t>
      </w:r>
      <w:r w:rsidR="002B3343" w:rsidRPr="0029160A">
        <w:rPr>
          <w:color w:val="000000" w:themeColor="text1"/>
          <w:szCs w:val="26"/>
        </w:rPr>
        <w:t>on a 36-month period</w:t>
      </w:r>
      <w:r w:rsidR="0015563D" w:rsidRPr="0029160A">
        <w:rPr>
          <w:color w:val="000000" w:themeColor="text1"/>
          <w:szCs w:val="26"/>
        </w:rPr>
        <w:t xml:space="preserve">.  </w:t>
      </w:r>
      <w:r w:rsidR="004A7210" w:rsidRPr="0029160A">
        <w:rPr>
          <w:color w:val="000000" w:themeColor="text1"/>
          <w:szCs w:val="26"/>
        </w:rPr>
        <w:t>The average annual expense</w:t>
      </w:r>
      <w:r w:rsidR="00094C8D" w:rsidRPr="0029160A">
        <w:rPr>
          <w:color w:val="000000" w:themeColor="text1"/>
          <w:szCs w:val="26"/>
        </w:rPr>
        <w:t xml:space="preserve"> amount</w:t>
      </w:r>
      <w:r w:rsidR="004A7210" w:rsidRPr="0029160A">
        <w:rPr>
          <w:color w:val="000000" w:themeColor="text1"/>
          <w:szCs w:val="26"/>
        </w:rPr>
        <w:t xml:space="preserve"> for Account 593 from 2016-2018</w:t>
      </w:r>
      <w:r w:rsidR="009D4D60" w:rsidRPr="0029160A">
        <w:rPr>
          <w:color w:val="000000" w:themeColor="text1"/>
          <w:szCs w:val="26"/>
        </w:rPr>
        <w:t xml:space="preserve"> ($20,000)</w:t>
      </w:r>
      <w:r w:rsidR="004A7210" w:rsidRPr="0029160A">
        <w:rPr>
          <w:color w:val="000000" w:themeColor="text1"/>
          <w:szCs w:val="26"/>
        </w:rPr>
        <w:t xml:space="preserve"> does not accurately reflect the </w:t>
      </w:r>
      <w:r w:rsidR="001B4025" w:rsidRPr="0029160A">
        <w:rPr>
          <w:color w:val="000000" w:themeColor="text1"/>
          <w:szCs w:val="26"/>
        </w:rPr>
        <w:t xml:space="preserve">fully projected </w:t>
      </w:r>
      <w:r w:rsidR="00094C8D" w:rsidRPr="0029160A">
        <w:rPr>
          <w:color w:val="000000" w:themeColor="text1"/>
          <w:szCs w:val="26"/>
        </w:rPr>
        <w:t xml:space="preserve">annual </w:t>
      </w:r>
      <w:r w:rsidR="004A7210" w:rsidRPr="0029160A">
        <w:rPr>
          <w:color w:val="000000" w:themeColor="text1"/>
          <w:szCs w:val="26"/>
        </w:rPr>
        <w:t>expense</w:t>
      </w:r>
      <w:r w:rsidR="001B4025" w:rsidRPr="0029160A">
        <w:rPr>
          <w:color w:val="000000" w:themeColor="text1"/>
          <w:szCs w:val="26"/>
        </w:rPr>
        <w:t xml:space="preserve"> ($60,000)</w:t>
      </w:r>
      <w:r w:rsidR="004A7210" w:rsidRPr="0029160A">
        <w:rPr>
          <w:color w:val="000000" w:themeColor="text1"/>
          <w:szCs w:val="26"/>
        </w:rPr>
        <w:t xml:space="preserve"> that Wellsboro </w:t>
      </w:r>
      <w:r w:rsidR="001B4025" w:rsidRPr="0029160A">
        <w:rPr>
          <w:color w:val="000000" w:themeColor="text1"/>
          <w:szCs w:val="26"/>
        </w:rPr>
        <w:t>expects to</w:t>
      </w:r>
      <w:r w:rsidR="004A7210" w:rsidRPr="0029160A">
        <w:rPr>
          <w:color w:val="000000" w:themeColor="text1"/>
          <w:szCs w:val="26"/>
        </w:rPr>
        <w:t xml:space="preserve"> face </w:t>
      </w:r>
      <w:r w:rsidR="00094C8D" w:rsidRPr="0029160A">
        <w:rPr>
          <w:color w:val="000000" w:themeColor="text1"/>
          <w:szCs w:val="26"/>
        </w:rPr>
        <w:t>in</w:t>
      </w:r>
      <w:r w:rsidR="004A7210" w:rsidRPr="0029160A">
        <w:rPr>
          <w:color w:val="000000" w:themeColor="text1"/>
          <w:szCs w:val="26"/>
        </w:rPr>
        <w:t xml:space="preserve"> the FPFTY.  Wellsboro provide</w:t>
      </w:r>
      <w:r w:rsidR="00567785" w:rsidRPr="0029160A">
        <w:rPr>
          <w:color w:val="000000" w:themeColor="text1"/>
          <w:szCs w:val="26"/>
        </w:rPr>
        <w:t>d</w:t>
      </w:r>
      <w:r w:rsidR="004A7210" w:rsidRPr="0029160A">
        <w:rPr>
          <w:color w:val="000000" w:themeColor="text1"/>
          <w:szCs w:val="26"/>
        </w:rPr>
        <w:t xml:space="preserve"> that expenses for Account</w:t>
      </w:r>
      <w:r w:rsidR="00EA75F1" w:rsidRPr="0029160A">
        <w:rPr>
          <w:color w:val="000000" w:themeColor="text1"/>
          <w:szCs w:val="26"/>
        </w:rPr>
        <w:t> </w:t>
      </w:r>
      <w:r w:rsidR="004A7210" w:rsidRPr="0029160A">
        <w:rPr>
          <w:color w:val="000000" w:themeColor="text1"/>
          <w:szCs w:val="26"/>
        </w:rPr>
        <w:t xml:space="preserve">593 have been increasing annually since 2014, with 2018 being the sole exception.  </w:t>
      </w:r>
      <w:r w:rsidR="00567785" w:rsidRPr="0029160A">
        <w:rPr>
          <w:color w:val="000000" w:themeColor="text1"/>
          <w:szCs w:val="26"/>
        </w:rPr>
        <w:t xml:space="preserve">Wellsboro noted that this clear trend of increasing tree-trimming and vegetation management expense reflects the Company’s escalating efforts to address the Borer impacts and improve system reliability.  Wellsboro also stated that Wellsboro witness Farnsworth confirmed that bids received for 2020 contractors show higher costs for 2020 than 2019 bids.  Wellsboro R.B. at 13 (citing Wellsboro M.B at 41-43).  </w:t>
      </w:r>
      <w:r w:rsidR="00567785" w:rsidRPr="0029160A">
        <w:rPr>
          <w:color w:val="000000" w:themeColor="text1"/>
          <w:szCs w:val="26"/>
        </w:rPr>
        <w:lastRenderedPageBreak/>
        <w:t xml:space="preserve">Accordingly, we shall grant Wellsboro Exception No. 3, and deny I&amp;E Exception No. 1 and OCA Exception No. 4. </w:t>
      </w:r>
    </w:p>
    <w:p w14:paraId="1B7B8218" w14:textId="77777777" w:rsidR="00475586" w:rsidRPr="0029160A" w:rsidRDefault="00475586" w:rsidP="00716E78">
      <w:pPr>
        <w:widowControl/>
        <w:spacing w:line="360" w:lineRule="auto"/>
        <w:rPr>
          <w:color w:val="000000" w:themeColor="text1"/>
        </w:rPr>
      </w:pPr>
    </w:p>
    <w:p w14:paraId="6C3A9C25" w14:textId="77777777" w:rsidR="00F11420" w:rsidRPr="0029160A" w:rsidRDefault="008463A0" w:rsidP="00CB0B2E">
      <w:pPr>
        <w:pStyle w:val="Heading3"/>
        <w:ind w:left="1440" w:hanging="720"/>
        <w:rPr>
          <w:color w:val="000000" w:themeColor="text1"/>
        </w:rPr>
      </w:pPr>
      <w:bookmarkStart w:id="73" w:name="_Toc36552355"/>
      <w:bookmarkStart w:id="74" w:name="_Toc38951759"/>
      <w:r w:rsidRPr="0029160A">
        <w:rPr>
          <w:color w:val="000000" w:themeColor="text1"/>
        </w:rPr>
        <w:t xml:space="preserve">Expenses:  </w:t>
      </w:r>
      <w:r w:rsidR="00F11420" w:rsidRPr="0029160A">
        <w:rPr>
          <w:color w:val="000000" w:themeColor="text1"/>
        </w:rPr>
        <w:t>Operations Supervision &amp; Maintenance (Account 580)</w:t>
      </w:r>
      <w:bookmarkEnd w:id="73"/>
      <w:bookmarkEnd w:id="74"/>
    </w:p>
    <w:p w14:paraId="1F8537F2" w14:textId="77777777" w:rsidR="00F11420" w:rsidRPr="0029160A" w:rsidRDefault="00F11420" w:rsidP="00716E78">
      <w:pPr>
        <w:widowControl/>
        <w:spacing w:line="360" w:lineRule="auto"/>
        <w:rPr>
          <w:color w:val="000000" w:themeColor="text1"/>
        </w:rPr>
      </w:pPr>
    </w:p>
    <w:p w14:paraId="54C0062C" w14:textId="7FCA77D1" w:rsidR="00F11420" w:rsidRPr="0029160A" w:rsidRDefault="00F11420" w:rsidP="00CB0B2E">
      <w:pPr>
        <w:pStyle w:val="Heading4"/>
        <w:numPr>
          <w:ilvl w:val="0"/>
          <w:numId w:val="18"/>
        </w:numPr>
        <w:ind w:hanging="720"/>
        <w:rPr>
          <w:color w:val="000000" w:themeColor="text1"/>
        </w:rPr>
      </w:pPr>
      <w:bookmarkStart w:id="75" w:name="_Toc38951760"/>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75"/>
    </w:p>
    <w:p w14:paraId="65B995DB" w14:textId="77777777" w:rsidR="00F11420" w:rsidRPr="0029160A" w:rsidRDefault="00F11420" w:rsidP="00716E78">
      <w:pPr>
        <w:widowControl/>
        <w:spacing w:line="360" w:lineRule="auto"/>
        <w:rPr>
          <w:color w:val="000000" w:themeColor="text1"/>
          <w:szCs w:val="26"/>
        </w:rPr>
      </w:pPr>
    </w:p>
    <w:p w14:paraId="1BB6E487" w14:textId="77777777" w:rsidR="00745EDD" w:rsidRPr="0029160A" w:rsidRDefault="00745EDD" w:rsidP="00CB0B2E">
      <w:pPr>
        <w:widowControl/>
        <w:spacing w:line="360" w:lineRule="auto"/>
        <w:ind w:firstLine="1440"/>
        <w:rPr>
          <w:color w:val="000000" w:themeColor="text1"/>
          <w:szCs w:val="26"/>
        </w:rPr>
      </w:pPr>
      <w:r w:rsidRPr="0029160A">
        <w:rPr>
          <w:color w:val="000000" w:themeColor="text1"/>
          <w:szCs w:val="26"/>
        </w:rPr>
        <w:t>Wellsboro’s initial claim for Account 580 was $106,704.  Wellsboro M.B. at 43 (citing Exh</w:t>
      </w:r>
      <w:r w:rsidR="005150F4" w:rsidRPr="0029160A">
        <w:rPr>
          <w:color w:val="000000" w:themeColor="text1"/>
          <w:szCs w:val="26"/>
        </w:rPr>
        <w:t>ibit</w:t>
      </w:r>
      <w:r w:rsidRPr="0029160A">
        <w:rPr>
          <w:color w:val="000000" w:themeColor="text1"/>
          <w:szCs w:val="26"/>
        </w:rPr>
        <w:t xml:space="preserve">_(HSG-1), Schedule C1-2 (W)).  I&amp;E witness Patel proposed a reduction of $27,724 for a total allowance of $86,662.  Wellsboro M.B. at 43 (citing I&amp;E St. 1 at 13).  I&amp;E bases this argument on the annualized 6-month actual FTY plus a </w:t>
      </w:r>
      <w:r w:rsidR="0053531F" w:rsidRPr="0029160A">
        <w:rPr>
          <w:color w:val="000000" w:themeColor="text1"/>
          <w:szCs w:val="26"/>
        </w:rPr>
        <w:t>three percent</w:t>
      </w:r>
      <w:r w:rsidRPr="0029160A">
        <w:rPr>
          <w:color w:val="000000" w:themeColor="text1"/>
          <w:szCs w:val="26"/>
        </w:rPr>
        <w:t xml:space="preserve"> increase for employee payroll and benefits.  According to Wellsboro, I&amp;E witness Patel had disputed the Company’s projections of its expense for filling the position of </w:t>
      </w:r>
      <w:r w:rsidR="004A6808" w:rsidRPr="0029160A">
        <w:rPr>
          <w:color w:val="000000" w:themeColor="text1"/>
          <w:szCs w:val="26"/>
        </w:rPr>
        <w:t>Vice President (</w:t>
      </w:r>
      <w:r w:rsidRPr="0029160A">
        <w:rPr>
          <w:color w:val="000000" w:themeColor="text1"/>
          <w:szCs w:val="26"/>
        </w:rPr>
        <w:t>VP</w:t>
      </w:r>
      <w:r w:rsidR="004A6808" w:rsidRPr="0029160A">
        <w:rPr>
          <w:color w:val="000000" w:themeColor="text1"/>
          <w:szCs w:val="26"/>
        </w:rPr>
        <w:t>)</w:t>
      </w:r>
      <w:r w:rsidRPr="0029160A">
        <w:rPr>
          <w:color w:val="000000" w:themeColor="text1"/>
          <w:szCs w:val="26"/>
        </w:rPr>
        <w:t xml:space="preserve"> Engineering &amp; Operations/COO.  Wellsboro M.B. at 43.  </w:t>
      </w:r>
    </w:p>
    <w:p w14:paraId="5269CD15" w14:textId="77777777" w:rsidR="00745EDD" w:rsidRPr="0029160A" w:rsidRDefault="00745EDD" w:rsidP="00CB0B2E">
      <w:pPr>
        <w:widowControl/>
        <w:spacing w:line="360" w:lineRule="auto"/>
        <w:ind w:firstLine="1440"/>
        <w:rPr>
          <w:color w:val="000000" w:themeColor="text1"/>
          <w:szCs w:val="26"/>
        </w:rPr>
      </w:pPr>
    </w:p>
    <w:p w14:paraId="3FED87C1" w14:textId="77777777" w:rsidR="00F11420" w:rsidRPr="0029160A" w:rsidRDefault="00745EDD" w:rsidP="00CB0B2E">
      <w:pPr>
        <w:widowControl/>
        <w:spacing w:line="360" w:lineRule="auto"/>
        <w:ind w:firstLine="1440"/>
        <w:rPr>
          <w:color w:val="000000" w:themeColor="text1"/>
          <w:szCs w:val="26"/>
        </w:rPr>
      </w:pPr>
      <w:r w:rsidRPr="0029160A">
        <w:rPr>
          <w:color w:val="000000" w:themeColor="text1"/>
          <w:szCs w:val="26"/>
        </w:rPr>
        <w:t xml:space="preserve">Wellsboro provided updated </w:t>
      </w:r>
      <w:r w:rsidR="00B86C63" w:rsidRPr="0029160A">
        <w:rPr>
          <w:color w:val="000000" w:themeColor="text1"/>
          <w:szCs w:val="26"/>
        </w:rPr>
        <w:t>nine-month</w:t>
      </w:r>
      <w:r w:rsidRPr="0029160A">
        <w:rPr>
          <w:color w:val="000000" w:themeColor="text1"/>
          <w:szCs w:val="26"/>
        </w:rPr>
        <w:t xml:space="preserve"> FTY data showing </w:t>
      </w:r>
      <w:r w:rsidR="00B86C63" w:rsidRPr="0029160A">
        <w:rPr>
          <w:color w:val="000000" w:themeColor="text1"/>
          <w:szCs w:val="26"/>
        </w:rPr>
        <w:t>YTD</w:t>
      </w:r>
      <w:r w:rsidRPr="0029160A">
        <w:rPr>
          <w:color w:val="000000" w:themeColor="text1"/>
          <w:szCs w:val="26"/>
        </w:rPr>
        <w:t xml:space="preserve"> expenditures of $63,103.  Wellsboro M.B. at 43 (citing Wellsboro St. 1-R at 4).  Annualized, with a </w:t>
      </w:r>
      <w:r w:rsidR="0053531F" w:rsidRPr="0029160A">
        <w:rPr>
          <w:color w:val="000000" w:themeColor="text1"/>
          <w:szCs w:val="26"/>
        </w:rPr>
        <w:t>three percent</w:t>
      </w:r>
      <w:r w:rsidRPr="0029160A">
        <w:rPr>
          <w:color w:val="000000" w:themeColor="text1"/>
          <w:szCs w:val="26"/>
        </w:rPr>
        <w:t xml:space="preserve"> increase added, this results in a projection of $86,662.  Wellsboro M.B. at 43 (citing Wellsboro St. 1-R at 4).  Wellsboro requested that the Commission approve the Company’s original expense claim of $106,704 because the expense for this account varies due to the projects, maintenance, and repairs occurring from year to year.  Wellsboro M.B. at 44 (citing I&amp;E St. 1, Exh. 1, Schedule 2).</w:t>
      </w:r>
    </w:p>
    <w:p w14:paraId="167DCAE3" w14:textId="77777777" w:rsidR="00F11420" w:rsidRPr="0029160A" w:rsidRDefault="00F11420" w:rsidP="00716E78">
      <w:pPr>
        <w:widowControl/>
        <w:spacing w:line="360" w:lineRule="auto"/>
        <w:rPr>
          <w:color w:val="000000" w:themeColor="text1"/>
          <w:szCs w:val="26"/>
        </w:rPr>
      </w:pPr>
    </w:p>
    <w:p w14:paraId="72DD1CC9" w14:textId="77777777" w:rsidR="00F11420" w:rsidRPr="0029160A" w:rsidRDefault="00F11420" w:rsidP="00CB0B2E">
      <w:pPr>
        <w:pStyle w:val="Heading4"/>
        <w:keepNext/>
        <w:keepLines/>
        <w:ind w:hanging="720"/>
        <w:contextualSpacing w:val="0"/>
        <w:rPr>
          <w:color w:val="000000" w:themeColor="text1"/>
        </w:rPr>
      </w:pPr>
      <w:bookmarkStart w:id="76" w:name="_Toc38951761"/>
      <w:r w:rsidRPr="0029160A">
        <w:rPr>
          <w:color w:val="000000" w:themeColor="text1"/>
        </w:rPr>
        <w:t>Recommended Decision</w:t>
      </w:r>
      <w:bookmarkEnd w:id="76"/>
    </w:p>
    <w:p w14:paraId="27A63F4F" w14:textId="77777777" w:rsidR="00F11420" w:rsidRPr="0029160A" w:rsidRDefault="00F11420" w:rsidP="00716E78">
      <w:pPr>
        <w:keepNext/>
        <w:keepLines/>
        <w:widowControl/>
        <w:spacing w:line="360" w:lineRule="auto"/>
        <w:rPr>
          <w:color w:val="000000" w:themeColor="text1"/>
          <w:szCs w:val="26"/>
        </w:rPr>
      </w:pPr>
    </w:p>
    <w:p w14:paraId="2FD78FF1" w14:textId="77777777" w:rsidR="00745EDD" w:rsidRPr="0029160A" w:rsidRDefault="00745EDD" w:rsidP="00CB0B2E">
      <w:pPr>
        <w:widowControl/>
        <w:spacing w:line="360" w:lineRule="auto"/>
        <w:ind w:firstLine="1440"/>
        <w:rPr>
          <w:color w:val="000000" w:themeColor="text1"/>
          <w:szCs w:val="26"/>
        </w:rPr>
      </w:pPr>
      <w:r w:rsidRPr="0029160A">
        <w:rPr>
          <w:color w:val="000000" w:themeColor="text1"/>
          <w:szCs w:val="26"/>
        </w:rPr>
        <w:t xml:space="preserve">The ALJs recommended that the Commission accept Wellsboro’s original operations supervision &amp; maintenance expense claim of $106,704 based on the Company’s demonstration that it has significant ongoing and escalating operational activities, including accelerating tree-trimming cycles, and that 2019 will be the first full </w:t>
      </w:r>
      <w:r w:rsidRPr="0029160A">
        <w:rPr>
          <w:color w:val="000000" w:themeColor="text1"/>
          <w:szCs w:val="26"/>
        </w:rPr>
        <w:lastRenderedPageBreak/>
        <w:t xml:space="preserve">year of employment for the new VP of Engineering and Operations.  However, the ALJs recommended the original claim be reduced to $103,596 by removing the </w:t>
      </w:r>
      <w:r w:rsidR="0053531F" w:rsidRPr="0029160A">
        <w:rPr>
          <w:color w:val="000000" w:themeColor="text1"/>
          <w:szCs w:val="26"/>
        </w:rPr>
        <w:t>three percent</w:t>
      </w:r>
      <w:r w:rsidRPr="0029160A">
        <w:rPr>
          <w:color w:val="000000" w:themeColor="text1"/>
          <w:szCs w:val="26"/>
        </w:rPr>
        <w:t xml:space="preserve"> inflation factor.  The ALJs recommended rejection of I&amp;E’s adjustments, which would have resulted in a total expense claim of $86,662.  R.D. at 28-29.</w:t>
      </w:r>
    </w:p>
    <w:p w14:paraId="7BB9ED02" w14:textId="77777777" w:rsidR="00F11420" w:rsidRPr="0029160A" w:rsidRDefault="00F11420" w:rsidP="00716E78">
      <w:pPr>
        <w:widowControl/>
        <w:spacing w:line="360" w:lineRule="auto"/>
        <w:rPr>
          <w:color w:val="000000" w:themeColor="text1"/>
          <w:szCs w:val="26"/>
        </w:rPr>
      </w:pPr>
    </w:p>
    <w:p w14:paraId="26C66B7A" w14:textId="77777777" w:rsidR="00F11420" w:rsidRPr="0029160A" w:rsidRDefault="00897E66" w:rsidP="00CB0B2E">
      <w:pPr>
        <w:pStyle w:val="Heading4"/>
        <w:ind w:hanging="720"/>
        <w:contextualSpacing w:val="0"/>
        <w:rPr>
          <w:color w:val="000000" w:themeColor="text1"/>
        </w:rPr>
      </w:pPr>
      <w:bookmarkStart w:id="77" w:name="_Toc38951762"/>
      <w:r w:rsidRPr="0029160A">
        <w:rPr>
          <w:color w:val="000000" w:themeColor="text1"/>
        </w:rPr>
        <w:t>Wellsboro Exception No. 4, I&amp;E Exception No. 2 and Replies</w:t>
      </w:r>
      <w:bookmarkEnd w:id="77"/>
    </w:p>
    <w:p w14:paraId="2515E3A4" w14:textId="77777777" w:rsidR="00F11420" w:rsidRPr="0029160A" w:rsidRDefault="00F11420" w:rsidP="00716E78">
      <w:pPr>
        <w:widowControl/>
        <w:spacing w:line="360" w:lineRule="auto"/>
        <w:rPr>
          <w:color w:val="000000" w:themeColor="text1"/>
          <w:szCs w:val="26"/>
        </w:rPr>
      </w:pPr>
    </w:p>
    <w:p w14:paraId="53CAC685" w14:textId="50DE37B0" w:rsidR="00745EDD" w:rsidRPr="0029160A" w:rsidRDefault="00745EDD" w:rsidP="00CB0B2E">
      <w:pPr>
        <w:widowControl/>
        <w:spacing w:line="360" w:lineRule="auto"/>
        <w:ind w:firstLine="1440"/>
        <w:rPr>
          <w:color w:val="000000" w:themeColor="text1"/>
          <w:szCs w:val="26"/>
        </w:rPr>
      </w:pPr>
      <w:r w:rsidRPr="0029160A">
        <w:rPr>
          <w:color w:val="000000" w:themeColor="text1"/>
          <w:szCs w:val="26"/>
        </w:rPr>
        <w:t>In Wellsboro Exception No. 4, Wellsboro asserts that the ALJ</w:t>
      </w:r>
      <w:r w:rsidR="00880A87">
        <w:rPr>
          <w:color w:val="000000" w:themeColor="text1"/>
          <w:szCs w:val="26"/>
        </w:rPr>
        <w:t>s</w:t>
      </w:r>
      <w:r w:rsidRPr="0029160A">
        <w:rPr>
          <w:color w:val="000000" w:themeColor="text1"/>
          <w:szCs w:val="26"/>
        </w:rPr>
        <w:t xml:space="preserve"> erred in excluding the </w:t>
      </w:r>
      <w:r w:rsidR="0053531F" w:rsidRPr="0029160A">
        <w:rPr>
          <w:color w:val="000000" w:themeColor="text1"/>
          <w:szCs w:val="26"/>
        </w:rPr>
        <w:t>three percent</w:t>
      </w:r>
      <w:r w:rsidRPr="0029160A">
        <w:rPr>
          <w:color w:val="000000" w:themeColor="text1"/>
          <w:szCs w:val="26"/>
        </w:rPr>
        <w:t xml:space="preserve"> FPFTY adjustment from this expense claim.  The Company has budgeted for increased labor and healthcare costs.  Because this account is comprised entirely of labor and overhead, a </w:t>
      </w:r>
      <w:r w:rsidR="0053531F" w:rsidRPr="0029160A">
        <w:rPr>
          <w:color w:val="000000" w:themeColor="text1"/>
          <w:szCs w:val="26"/>
        </w:rPr>
        <w:t>three percent</w:t>
      </w:r>
      <w:r w:rsidRPr="0029160A">
        <w:rPr>
          <w:color w:val="000000" w:themeColor="text1"/>
          <w:szCs w:val="26"/>
        </w:rPr>
        <w:t xml:space="preserve"> adjustment should be added to the final amount approved by the ALJs.  Wellsboro Exc. at 12; I&amp;E Exh. 1, Schedule 2.</w:t>
      </w:r>
    </w:p>
    <w:p w14:paraId="252EC225" w14:textId="77777777" w:rsidR="00745EDD" w:rsidRPr="0029160A" w:rsidRDefault="00745EDD" w:rsidP="00CB0B2E">
      <w:pPr>
        <w:widowControl/>
        <w:spacing w:line="360" w:lineRule="auto"/>
        <w:ind w:firstLine="1440"/>
        <w:rPr>
          <w:color w:val="000000" w:themeColor="text1"/>
          <w:szCs w:val="26"/>
        </w:rPr>
      </w:pPr>
    </w:p>
    <w:p w14:paraId="0DDAD984" w14:textId="7484FB64" w:rsidR="00745EDD" w:rsidRPr="0029160A" w:rsidRDefault="00745EDD" w:rsidP="00CB0B2E">
      <w:pPr>
        <w:widowControl/>
        <w:spacing w:line="360" w:lineRule="auto"/>
        <w:ind w:firstLine="1440"/>
        <w:rPr>
          <w:color w:val="000000" w:themeColor="text1"/>
          <w:szCs w:val="26"/>
        </w:rPr>
      </w:pPr>
      <w:r w:rsidRPr="0029160A">
        <w:rPr>
          <w:color w:val="000000" w:themeColor="text1"/>
          <w:szCs w:val="26"/>
        </w:rPr>
        <w:t xml:space="preserve">In Replies to Wellsboro Exception No. 4, the OCA submits that for the same reasons set forth in the OCA’s Replies to Wellsboro Exception No.1, the ALJs correctly rejected the Company’s </w:t>
      </w:r>
      <w:r w:rsidR="0053531F" w:rsidRPr="0029160A">
        <w:rPr>
          <w:color w:val="000000" w:themeColor="text1"/>
          <w:szCs w:val="26"/>
        </w:rPr>
        <w:t>three percent</w:t>
      </w:r>
      <w:r w:rsidRPr="0029160A">
        <w:rPr>
          <w:color w:val="000000" w:themeColor="text1"/>
          <w:szCs w:val="26"/>
        </w:rPr>
        <w:t xml:space="preserve"> across-the-board inflation adjustment factor and the Commission should deny the Company’s Exception. </w:t>
      </w:r>
      <w:r w:rsidR="00560358" w:rsidRPr="0029160A">
        <w:rPr>
          <w:color w:val="000000" w:themeColor="text1"/>
          <w:szCs w:val="26"/>
        </w:rPr>
        <w:t xml:space="preserve"> </w:t>
      </w:r>
      <w:r w:rsidRPr="0029160A">
        <w:rPr>
          <w:color w:val="000000" w:themeColor="text1"/>
          <w:szCs w:val="26"/>
        </w:rPr>
        <w:t>OCA R. Exc. at 8.</w:t>
      </w:r>
    </w:p>
    <w:p w14:paraId="1FD748CA" w14:textId="77777777" w:rsidR="00745EDD" w:rsidRPr="0029160A" w:rsidRDefault="00745EDD" w:rsidP="00CB0B2E">
      <w:pPr>
        <w:widowControl/>
        <w:spacing w:line="360" w:lineRule="auto"/>
        <w:ind w:firstLine="1440"/>
        <w:rPr>
          <w:color w:val="000000" w:themeColor="text1"/>
          <w:szCs w:val="26"/>
        </w:rPr>
      </w:pPr>
    </w:p>
    <w:p w14:paraId="21102AD4" w14:textId="070336D2" w:rsidR="00745EDD" w:rsidRPr="0029160A" w:rsidRDefault="00745EDD" w:rsidP="00CB0B2E">
      <w:pPr>
        <w:widowControl/>
        <w:spacing w:line="360" w:lineRule="auto"/>
        <w:ind w:firstLine="1440"/>
        <w:rPr>
          <w:color w:val="000000" w:themeColor="text1"/>
          <w:szCs w:val="26"/>
        </w:rPr>
      </w:pPr>
      <w:bookmarkStart w:id="78" w:name="_Hlk38959814"/>
      <w:bookmarkStart w:id="79" w:name="_Hlk38971373"/>
      <w:r w:rsidRPr="0029160A">
        <w:rPr>
          <w:color w:val="000000" w:themeColor="text1"/>
          <w:szCs w:val="26"/>
        </w:rPr>
        <w:t xml:space="preserve">In I&amp;E Exception No. 2, I&amp;E submits the ALJs erred in rejecting I&amp;E’s adjustment for the expense claim in Account 580 because Wellsboro did not meet its burden of supporting its initial claim of $106,704; rather, the final amount supported by the testimony of Wellsboro’s witness Gorman was only $86,662.  </w:t>
      </w:r>
      <w:r w:rsidR="00CD3FBE" w:rsidRPr="0029160A">
        <w:rPr>
          <w:color w:val="000000" w:themeColor="text1"/>
          <w:szCs w:val="26"/>
        </w:rPr>
        <w:t xml:space="preserve">I&amp;E Exc. at 6 (citing Wellsboro St. 1-R at 4).  </w:t>
      </w:r>
      <w:r w:rsidRPr="0029160A">
        <w:rPr>
          <w:color w:val="000000" w:themeColor="text1"/>
          <w:szCs w:val="26"/>
        </w:rPr>
        <w:t xml:space="preserve">I&amp;E contends that Commission </w:t>
      </w:r>
      <w:r w:rsidR="00905F4A" w:rsidRPr="0029160A">
        <w:rPr>
          <w:color w:val="000000" w:themeColor="text1"/>
          <w:szCs w:val="26"/>
        </w:rPr>
        <w:t>R</w:t>
      </w:r>
      <w:r w:rsidRPr="0029160A">
        <w:rPr>
          <w:color w:val="000000" w:themeColor="text1"/>
          <w:szCs w:val="26"/>
        </w:rPr>
        <w:t xml:space="preserve">egulations and due process principles disallow presentation of late-brought claims. </w:t>
      </w:r>
      <w:r w:rsidR="00CD3FBE" w:rsidRPr="0029160A">
        <w:rPr>
          <w:color w:val="000000" w:themeColor="text1"/>
          <w:szCs w:val="26"/>
        </w:rPr>
        <w:t xml:space="preserve"> I&amp;E Exc. at 6 </w:t>
      </w:r>
      <w:r w:rsidRPr="0029160A">
        <w:rPr>
          <w:color w:val="000000" w:themeColor="text1"/>
          <w:szCs w:val="26"/>
        </w:rPr>
        <w:t>(</w:t>
      </w:r>
      <w:r w:rsidR="00CD3FBE" w:rsidRPr="0029160A">
        <w:rPr>
          <w:color w:val="000000" w:themeColor="text1"/>
          <w:szCs w:val="26"/>
        </w:rPr>
        <w:t>c</w:t>
      </w:r>
      <w:r w:rsidRPr="0029160A">
        <w:rPr>
          <w:color w:val="000000" w:themeColor="text1"/>
          <w:szCs w:val="26"/>
        </w:rPr>
        <w:t xml:space="preserve">iting 52 Pa. Code §§ 5.243(e)(2)-(3); </w:t>
      </w:r>
      <w:r w:rsidRPr="0029160A">
        <w:rPr>
          <w:i/>
          <w:iCs/>
          <w:color w:val="000000" w:themeColor="text1"/>
          <w:szCs w:val="26"/>
        </w:rPr>
        <w:t>Pa. PUC v. City of Lancaster – Sewer Fund</w:t>
      </w:r>
      <w:r w:rsidRPr="0029160A">
        <w:rPr>
          <w:color w:val="000000" w:themeColor="text1"/>
          <w:szCs w:val="26"/>
        </w:rPr>
        <w:t>, 2007 WL 517134 (Pa. P.U.C. 2007) (Commission agreed with ALJ that “new claims brought in on rebuttal are improper, unfair and a violation of due process”) (</w:t>
      </w:r>
      <w:r w:rsidRPr="0029160A">
        <w:rPr>
          <w:i/>
          <w:iCs/>
          <w:color w:val="000000" w:themeColor="text1"/>
          <w:szCs w:val="26"/>
        </w:rPr>
        <w:t>City of Lancaster – Sewer Fund Order</w:t>
      </w:r>
      <w:r w:rsidRPr="0029160A">
        <w:rPr>
          <w:color w:val="000000" w:themeColor="text1"/>
          <w:szCs w:val="26"/>
        </w:rPr>
        <w:t xml:space="preserve">)).  Even though Wellsboro reverted to its original claims, I&amp;E was nevertheless deprived of its ability to further respond or examine Wellsboro’s claim in surrebuttal </w:t>
      </w:r>
      <w:r w:rsidRPr="0029160A">
        <w:rPr>
          <w:color w:val="000000" w:themeColor="text1"/>
          <w:szCs w:val="26"/>
        </w:rPr>
        <w:lastRenderedPageBreak/>
        <w:t xml:space="preserve">testimony, during hearings, and in </w:t>
      </w:r>
      <w:r w:rsidR="00B576E7" w:rsidRPr="0029160A">
        <w:rPr>
          <w:color w:val="000000" w:themeColor="text1"/>
          <w:szCs w:val="26"/>
        </w:rPr>
        <w:t>M</w:t>
      </w:r>
      <w:r w:rsidR="00905F4A" w:rsidRPr="0029160A">
        <w:rPr>
          <w:color w:val="000000" w:themeColor="text1"/>
          <w:szCs w:val="26"/>
        </w:rPr>
        <w:t>ain Briefs</w:t>
      </w:r>
      <w:r w:rsidR="00E85850" w:rsidRPr="0029160A">
        <w:rPr>
          <w:color w:val="000000" w:themeColor="text1"/>
          <w:szCs w:val="26"/>
        </w:rPr>
        <w:t>.</w:t>
      </w:r>
      <w:r w:rsidRPr="0029160A">
        <w:rPr>
          <w:color w:val="000000" w:themeColor="text1"/>
          <w:szCs w:val="26"/>
        </w:rPr>
        <w:t xml:space="preserve">  Even if such error was allowed, substantial evidence does not exist to support an expense claim of more than $86,662.  </w:t>
      </w:r>
      <w:r w:rsidR="00CD3FBE" w:rsidRPr="0029160A">
        <w:rPr>
          <w:color w:val="000000" w:themeColor="text1"/>
          <w:szCs w:val="26"/>
        </w:rPr>
        <w:t xml:space="preserve">I&amp;E Exc. at 6.  According to I&amp;E, </w:t>
      </w:r>
      <w:r w:rsidRPr="0029160A">
        <w:rPr>
          <w:color w:val="000000" w:themeColor="text1"/>
          <w:szCs w:val="26"/>
        </w:rPr>
        <w:t>Wellsboro’s vague rationale offered in support of the $106,704 claim (“the expense for this account varies due to the projects, maintenance, and repairs occurring from year to year”</w:t>
      </w:r>
      <w:r w:rsidR="00CD3FBE" w:rsidRPr="0029160A">
        <w:rPr>
          <w:color w:val="000000" w:themeColor="text1"/>
          <w:szCs w:val="26"/>
        </w:rPr>
        <w:t>)</w:t>
      </w:r>
      <w:r w:rsidRPr="0029160A">
        <w:rPr>
          <w:color w:val="000000" w:themeColor="text1"/>
          <w:szCs w:val="26"/>
        </w:rPr>
        <w:t xml:space="preserve"> does not constitute substantial </w:t>
      </w:r>
      <w:bookmarkEnd w:id="78"/>
      <w:r w:rsidRPr="0029160A">
        <w:rPr>
          <w:color w:val="000000" w:themeColor="text1"/>
          <w:szCs w:val="26"/>
        </w:rPr>
        <w:t>evidence</w:t>
      </w:r>
      <w:r w:rsidR="00CD3FBE" w:rsidRPr="0029160A">
        <w:rPr>
          <w:color w:val="000000" w:themeColor="text1"/>
          <w:szCs w:val="26"/>
        </w:rPr>
        <w:t>.  I&amp;E Exc. at 6-7 (citing Wellsboro M.B. at 44)</w:t>
      </w:r>
      <w:r w:rsidRPr="0029160A">
        <w:rPr>
          <w:color w:val="000000" w:themeColor="text1"/>
          <w:szCs w:val="26"/>
        </w:rPr>
        <w:t>.  There is no record evidence to support the ALJs’ statement given for finding the $106,704 claim reasonable (“escalating operational activities that the Company has undertaken and that are still ongoing, including accelerating tree-trimming cycles”</w:t>
      </w:r>
      <w:r w:rsidR="00CD3FBE" w:rsidRPr="0029160A">
        <w:rPr>
          <w:color w:val="000000" w:themeColor="text1"/>
          <w:szCs w:val="26"/>
        </w:rPr>
        <w:t xml:space="preserve">).  I&amp;E Exc. at 7 (citing </w:t>
      </w:r>
      <w:r w:rsidRPr="0029160A">
        <w:rPr>
          <w:color w:val="000000" w:themeColor="text1"/>
          <w:szCs w:val="26"/>
        </w:rPr>
        <w:t>R.D. at 29</w:t>
      </w:r>
      <w:r w:rsidR="00CD3FBE" w:rsidRPr="0029160A">
        <w:rPr>
          <w:color w:val="000000" w:themeColor="text1"/>
          <w:szCs w:val="26"/>
        </w:rPr>
        <w:t>)</w:t>
      </w:r>
      <w:r w:rsidRPr="0029160A">
        <w:rPr>
          <w:color w:val="000000" w:themeColor="text1"/>
          <w:szCs w:val="26"/>
        </w:rPr>
        <w:t xml:space="preserve">.  Additionally, the ALJs reference to increased spending for Account 593.  However, that is a separate account and there is no evidence demonstrating a connection to increased spending in Account 580.  Therefore, I&amp;E recommends the Commission find the record only supports an expense claim of $86,662.  </w:t>
      </w:r>
      <w:bookmarkStart w:id="80" w:name="_Hlk38971300"/>
      <w:r w:rsidRPr="0029160A">
        <w:rPr>
          <w:color w:val="000000" w:themeColor="text1"/>
          <w:szCs w:val="26"/>
        </w:rPr>
        <w:t>I&amp;E Exc. at 7</w:t>
      </w:r>
      <w:r w:rsidR="0076086B" w:rsidRPr="0029160A">
        <w:rPr>
          <w:color w:val="000000" w:themeColor="text1"/>
          <w:szCs w:val="26"/>
        </w:rPr>
        <w:t>.</w:t>
      </w:r>
      <w:r w:rsidRPr="0029160A">
        <w:rPr>
          <w:color w:val="000000" w:themeColor="text1"/>
          <w:szCs w:val="26"/>
        </w:rPr>
        <w:t xml:space="preserve"> </w:t>
      </w:r>
      <w:bookmarkEnd w:id="80"/>
    </w:p>
    <w:bookmarkEnd w:id="79"/>
    <w:p w14:paraId="0447B866" w14:textId="77777777" w:rsidR="00745EDD" w:rsidRPr="0029160A" w:rsidRDefault="00745EDD" w:rsidP="00CB0B2E">
      <w:pPr>
        <w:widowControl/>
        <w:spacing w:line="360" w:lineRule="auto"/>
        <w:ind w:firstLine="1440"/>
        <w:rPr>
          <w:color w:val="000000" w:themeColor="text1"/>
          <w:szCs w:val="26"/>
        </w:rPr>
      </w:pPr>
    </w:p>
    <w:p w14:paraId="4E79C911" w14:textId="4BE6D2B8" w:rsidR="00745EDD" w:rsidRPr="0029160A" w:rsidRDefault="00745EDD" w:rsidP="00CB0B2E">
      <w:pPr>
        <w:widowControl/>
        <w:spacing w:line="360" w:lineRule="auto"/>
        <w:ind w:firstLine="1440"/>
        <w:textAlignment w:val="baseline"/>
        <w:rPr>
          <w:color w:val="000000" w:themeColor="text1"/>
          <w:szCs w:val="26"/>
        </w:rPr>
      </w:pPr>
      <w:r w:rsidRPr="0029160A">
        <w:rPr>
          <w:color w:val="000000" w:themeColor="text1"/>
          <w:szCs w:val="26"/>
        </w:rPr>
        <w:t>In Replies to I&amp;E Exception No. 2, Wellsboro submits the Commission should reject I&amp;E’s proposed use of outdated data to adjust this expense claim and I&amp;E’s arguments regarding “late-brought” claims and due process.</w:t>
      </w:r>
      <w:r w:rsidR="00905F4A" w:rsidRPr="0029160A">
        <w:rPr>
          <w:color w:val="000000" w:themeColor="text1"/>
          <w:szCs w:val="26"/>
        </w:rPr>
        <w:t xml:space="preserve">  </w:t>
      </w:r>
      <w:r w:rsidRPr="0029160A">
        <w:rPr>
          <w:color w:val="000000" w:themeColor="text1"/>
          <w:szCs w:val="26"/>
        </w:rPr>
        <w:t>First, Wellsboro submits that, as that across-the-board FPFTY inflation adjustment proposal was rejected, the Commission should rely on Mr. Gorman</w:t>
      </w:r>
      <w:r w:rsidR="00C41CB9" w:rsidRPr="0029160A">
        <w:rPr>
          <w:color w:val="000000" w:themeColor="text1"/>
          <w:szCs w:val="26"/>
        </w:rPr>
        <w:t>’</w:t>
      </w:r>
      <w:r w:rsidRPr="0029160A">
        <w:rPr>
          <w:color w:val="000000" w:themeColor="text1"/>
          <w:szCs w:val="26"/>
        </w:rPr>
        <w:t>s explanation that, on an individual account basis, Account 580 is affected by projects occurring in other accounts (</w:t>
      </w:r>
      <w:r w:rsidR="00C41CB9" w:rsidRPr="0029160A">
        <w:rPr>
          <w:color w:val="000000" w:themeColor="text1"/>
          <w:szCs w:val="26"/>
        </w:rPr>
        <w:t>c</w:t>
      </w:r>
      <w:r w:rsidRPr="0029160A">
        <w:rPr>
          <w:color w:val="000000" w:themeColor="text1"/>
          <w:szCs w:val="26"/>
        </w:rPr>
        <w:t>iting I&amp;E St. 1, Exh. No. 1, Schedule 2).  Consequently, where the Company</w:t>
      </w:r>
      <w:r w:rsidR="00C41CB9" w:rsidRPr="0029160A">
        <w:rPr>
          <w:color w:val="000000" w:themeColor="text1"/>
          <w:szCs w:val="26"/>
        </w:rPr>
        <w:t>’</w:t>
      </w:r>
      <w:r w:rsidRPr="0029160A">
        <w:rPr>
          <w:color w:val="000000" w:themeColor="text1"/>
          <w:szCs w:val="26"/>
        </w:rPr>
        <w:t>s largest operational expense (tree-trimming) has increased from prior years and is projected to increase in the FPFTY compared to the FTY expenses, it would be unreasonable to ignore the impact on Account 580.  The ALJs recognized the reasonableness of the Company</w:t>
      </w:r>
      <w:r w:rsidR="00470B5E" w:rsidRPr="0029160A">
        <w:rPr>
          <w:color w:val="000000" w:themeColor="text1"/>
          <w:szCs w:val="26"/>
        </w:rPr>
        <w:t>’</w:t>
      </w:r>
      <w:r w:rsidRPr="0029160A">
        <w:rPr>
          <w:color w:val="000000" w:themeColor="text1"/>
          <w:szCs w:val="26"/>
        </w:rPr>
        <w:t xml:space="preserve">s claim in light of </w:t>
      </w:r>
      <w:r w:rsidR="00716E78" w:rsidRPr="0029160A">
        <w:rPr>
          <w:color w:val="000000" w:themeColor="text1"/>
          <w:szCs w:val="26"/>
        </w:rPr>
        <w:t>“</w:t>
      </w:r>
      <w:r w:rsidRPr="0029160A">
        <w:rPr>
          <w:color w:val="000000" w:themeColor="text1"/>
          <w:szCs w:val="26"/>
        </w:rPr>
        <w:t>escalating operational activities that the Company has undertaken and that are still ongoing, including accelerating tree-trimming cycles.</w:t>
      </w:r>
      <w:r w:rsidR="00716E78" w:rsidRPr="0029160A">
        <w:rPr>
          <w:color w:val="000000" w:themeColor="text1"/>
          <w:szCs w:val="26"/>
        </w:rPr>
        <w:t xml:space="preserve">” </w:t>
      </w:r>
      <w:r w:rsidRPr="0029160A">
        <w:rPr>
          <w:color w:val="000000" w:themeColor="text1"/>
          <w:szCs w:val="26"/>
        </w:rPr>
        <w:t xml:space="preserve"> R.D. at 29.  Second, Wellsboro argues that </w:t>
      </w:r>
      <w:r w:rsidRPr="0029160A">
        <w:rPr>
          <w:color w:val="000000" w:themeColor="text1"/>
          <w:spacing w:val="1"/>
          <w:szCs w:val="26"/>
        </w:rPr>
        <w:t>I&amp;E</w:t>
      </w:r>
      <w:r w:rsidR="00470B5E" w:rsidRPr="0029160A">
        <w:rPr>
          <w:color w:val="000000" w:themeColor="text1"/>
          <w:spacing w:val="1"/>
          <w:szCs w:val="26"/>
        </w:rPr>
        <w:t>’</w:t>
      </w:r>
      <w:r w:rsidRPr="0029160A">
        <w:rPr>
          <w:color w:val="000000" w:themeColor="text1"/>
          <w:spacing w:val="1"/>
          <w:szCs w:val="26"/>
        </w:rPr>
        <w:t xml:space="preserve">s assertion that the Company relies on </w:t>
      </w:r>
      <w:r w:rsidR="001D2370" w:rsidRPr="0029160A">
        <w:rPr>
          <w:color w:val="000000" w:themeColor="text1"/>
          <w:spacing w:val="1"/>
          <w:szCs w:val="26"/>
        </w:rPr>
        <w:t>“</w:t>
      </w:r>
      <w:r w:rsidRPr="0029160A">
        <w:rPr>
          <w:color w:val="000000" w:themeColor="text1"/>
          <w:spacing w:val="1"/>
          <w:szCs w:val="26"/>
        </w:rPr>
        <w:t>late-brought claims</w:t>
      </w:r>
      <w:r w:rsidR="001D2370" w:rsidRPr="0029160A">
        <w:rPr>
          <w:color w:val="000000" w:themeColor="text1"/>
          <w:spacing w:val="1"/>
          <w:szCs w:val="26"/>
        </w:rPr>
        <w:t>”</w:t>
      </w:r>
      <w:r w:rsidRPr="0029160A">
        <w:rPr>
          <w:color w:val="000000" w:themeColor="text1"/>
          <w:spacing w:val="1"/>
          <w:szCs w:val="26"/>
        </w:rPr>
        <w:t xml:space="preserve"> is inaccurate and unavailing.</w:t>
      </w:r>
      <w:r w:rsidR="00905F4A" w:rsidRPr="0029160A">
        <w:rPr>
          <w:color w:val="000000" w:themeColor="text1"/>
          <w:spacing w:val="1"/>
          <w:szCs w:val="26"/>
        </w:rPr>
        <w:t xml:space="preserve">  </w:t>
      </w:r>
      <w:r w:rsidRPr="0029160A">
        <w:rPr>
          <w:color w:val="000000" w:themeColor="text1"/>
          <w:spacing w:val="1"/>
          <w:szCs w:val="26"/>
        </w:rPr>
        <w:t>The Company</w:t>
      </w:r>
      <w:r w:rsidR="004D2EA1">
        <w:rPr>
          <w:color w:val="000000" w:themeColor="text1"/>
          <w:spacing w:val="1"/>
          <w:szCs w:val="26"/>
        </w:rPr>
        <w:t>’</w:t>
      </w:r>
      <w:r w:rsidRPr="0029160A">
        <w:rPr>
          <w:color w:val="000000" w:themeColor="text1"/>
          <w:spacing w:val="1"/>
          <w:szCs w:val="26"/>
        </w:rPr>
        <w:t>s reliance, for briefing purposes, on record evidence from another party</w:t>
      </w:r>
      <w:r w:rsidR="003641CE" w:rsidRPr="0029160A">
        <w:rPr>
          <w:color w:val="000000" w:themeColor="text1"/>
          <w:spacing w:val="1"/>
          <w:szCs w:val="26"/>
        </w:rPr>
        <w:t>’</w:t>
      </w:r>
      <w:r w:rsidRPr="0029160A">
        <w:rPr>
          <w:color w:val="000000" w:themeColor="text1"/>
          <w:spacing w:val="1"/>
          <w:szCs w:val="26"/>
        </w:rPr>
        <w:t xml:space="preserve">s testimony does not transform its Direct Testimony </w:t>
      </w:r>
      <w:r w:rsidRPr="0029160A">
        <w:rPr>
          <w:color w:val="000000" w:themeColor="text1"/>
          <w:spacing w:val="1"/>
          <w:szCs w:val="26"/>
        </w:rPr>
        <w:lastRenderedPageBreak/>
        <w:t>position into a new claim.</w:t>
      </w:r>
      <w:r w:rsidRPr="0029160A">
        <w:rPr>
          <w:color w:val="000000" w:themeColor="text1"/>
          <w:szCs w:val="26"/>
        </w:rPr>
        <w:t xml:space="preserve">  Similarly, I&amp;E</w:t>
      </w:r>
      <w:r w:rsidR="00716E78" w:rsidRPr="0029160A">
        <w:rPr>
          <w:color w:val="000000" w:themeColor="text1"/>
          <w:szCs w:val="26"/>
        </w:rPr>
        <w:t>’</w:t>
      </w:r>
      <w:r w:rsidRPr="0029160A">
        <w:rPr>
          <w:color w:val="000000" w:themeColor="text1"/>
          <w:szCs w:val="26"/>
        </w:rPr>
        <w:t>s argument that Wellsboro has</w:t>
      </w:r>
      <w:r w:rsidR="00C41CB9" w:rsidRPr="0029160A">
        <w:rPr>
          <w:color w:val="000000" w:themeColor="text1"/>
          <w:szCs w:val="26"/>
        </w:rPr>
        <w:t xml:space="preserve"> been</w:t>
      </w:r>
      <w:r w:rsidRPr="0029160A">
        <w:rPr>
          <w:color w:val="000000" w:themeColor="text1"/>
          <w:szCs w:val="26"/>
        </w:rPr>
        <w:t xml:space="preserve"> </w:t>
      </w:r>
      <w:r w:rsidR="00CE40EC" w:rsidRPr="0029160A">
        <w:rPr>
          <w:color w:val="000000" w:themeColor="text1"/>
          <w:szCs w:val="26"/>
        </w:rPr>
        <w:t>denied due</w:t>
      </w:r>
      <w:r w:rsidRPr="0029160A">
        <w:rPr>
          <w:color w:val="000000" w:themeColor="text1"/>
          <w:szCs w:val="26"/>
        </w:rPr>
        <w:t xml:space="preserve"> process by </w:t>
      </w:r>
      <w:r w:rsidR="00716E78" w:rsidRPr="0029160A">
        <w:rPr>
          <w:color w:val="000000" w:themeColor="text1"/>
          <w:szCs w:val="26"/>
        </w:rPr>
        <w:t>“</w:t>
      </w:r>
      <w:r w:rsidRPr="0029160A">
        <w:rPr>
          <w:color w:val="000000" w:themeColor="text1"/>
          <w:szCs w:val="26"/>
        </w:rPr>
        <w:t>reverting to its original claim</w:t>
      </w:r>
      <w:r w:rsidR="00716E78" w:rsidRPr="0029160A">
        <w:rPr>
          <w:color w:val="000000" w:themeColor="text1"/>
          <w:szCs w:val="26"/>
        </w:rPr>
        <w:t>”</w:t>
      </w:r>
      <w:r w:rsidRPr="0029160A">
        <w:rPr>
          <w:color w:val="000000" w:themeColor="text1"/>
          <w:szCs w:val="26"/>
        </w:rPr>
        <w:t xml:space="preserve"> does not survive scrutiny.  I&amp;E had the opportunity to address the expenses in this account as part of its Surrebuttal Testimony.  Similarly, I&amp;E has cited to no legal authority indicating that the Company, in its briefs, cannot rely on the existing evidentiary record to support its claims made on Direct.  Thus, I&amp;E’s reliance on </w:t>
      </w:r>
      <w:r w:rsidRPr="0029160A">
        <w:rPr>
          <w:color w:val="000000" w:themeColor="text1"/>
          <w:spacing w:val="1"/>
          <w:szCs w:val="26"/>
        </w:rPr>
        <w:t xml:space="preserve">52 Pa. Code §§ 5.243(e)(2)-(3) and the Commission decision in </w:t>
      </w:r>
      <w:r w:rsidRPr="0029160A">
        <w:rPr>
          <w:i/>
          <w:iCs/>
          <w:color w:val="000000" w:themeColor="text1"/>
          <w:szCs w:val="26"/>
        </w:rPr>
        <w:t>City of Lancaster – Sewer Fund Order</w:t>
      </w:r>
      <w:r w:rsidRPr="0029160A">
        <w:rPr>
          <w:color w:val="000000" w:themeColor="text1"/>
          <w:spacing w:val="1"/>
          <w:szCs w:val="26"/>
        </w:rPr>
        <w:t xml:space="preserve"> are misplaced here.</w:t>
      </w:r>
      <w:r w:rsidRPr="0029160A">
        <w:rPr>
          <w:color w:val="000000" w:themeColor="text1"/>
          <w:spacing w:val="1"/>
          <w:sz w:val="24"/>
        </w:rPr>
        <w:t xml:space="preserve">  </w:t>
      </w:r>
      <w:r w:rsidRPr="0029160A">
        <w:rPr>
          <w:color w:val="000000" w:themeColor="text1"/>
          <w:szCs w:val="26"/>
        </w:rPr>
        <w:t>The Company respectfully requests that the Commission approve the R.D.</w:t>
      </w:r>
      <w:r w:rsidR="006F3745" w:rsidRPr="0029160A">
        <w:rPr>
          <w:color w:val="000000" w:themeColor="text1"/>
          <w:szCs w:val="26"/>
        </w:rPr>
        <w:t>’</w:t>
      </w:r>
      <w:r w:rsidRPr="0029160A">
        <w:rPr>
          <w:color w:val="000000" w:themeColor="text1"/>
          <w:szCs w:val="26"/>
        </w:rPr>
        <w:t>s recommendation for Account 580, subject to the inflation adjustment addressed in the Company</w:t>
      </w:r>
      <w:r w:rsidR="003641CE" w:rsidRPr="0029160A">
        <w:rPr>
          <w:color w:val="000000" w:themeColor="text1"/>
          <w:szCs w:val="26"/>
        </w:rPr>
        <w:t>’</w:t>
      </w:r>
      <w:r w:rsidRPr="0029160A">
        <w:rPr>
          <w:color w:val="000000" w:themeColor="text1"/>
          <w:szCs w:val="26"/>
        </w:rPr>
        <w:t>s Exceptions.  Wellsboro R.</w:t>
      </w:r>
      <w:r w:rsidR="006F3745" w:rsidRPr="0029160A">
        <w:rPr>
          <w:color w:val="000000" w:themeColor="text1"/>
          <w:szCs w:val="26"/>
        </w:rPr>
        <w:t> </w:t>
      </w:r>
      <w:r w:rsidRPr="0029160A">
        <w:rPr>
          <w:color w:val="000000" w:themeColor="text1"/>
          <w:szCs w:val="26"/>
        </w:rPr>
        <w:t>Exc. at 7-10.</w:t>
      </w:r>
    </w:p>
    <w:p w14:paraId="31236ADE" w14:textId="77777777" w:rsidR="00F11420" w:rsidRPr="0029160A" w:rsidRDefault="00F11420" w:rsidP="00716E78">
      <w:pPr>
        <w:widowControl/>
        <w:spacing w:line="360" w:lineRule="auto"/>
        <w:rPr>
          <w:color w:val="000000" w:themeColor="text1"/>
          <w:szCs w:val="26"/>
        </w:rPr>
      </w:pPr>
    </w:p>
    <w:p w14:paraId="36C78A62" w14:textId="77777777" w:rsidR="00F11420" w:rsidRPr="0029160A" w:rsidRDefault="00F11420" w:rsidP="00CB0B2E">
      <w:pPr>
        <w:pStyle w:val="Heading4"/>
        <w:ind w:hanging="720"/>
        <w:contextualSpacing w:val="0"/>
        <w:rPr>
          <w:color w:val="000000" w:themeColor="text1"/>
        </w:rPr>
      </w:pPr>
      <w:bookmarkStart w:id="81" w:name="_Toc38951763"/>
      <w:r w:rsidRPr="0029160A">
        <w:rPr>
          <w:color w:val="000000" w:themeColor="text1"/>
        </w:rPr>
        <w:t>Disposition</w:t>
      </w:r>
      <w:bookmarkEnd w:id="81"/>
    </w:p>
    <w:p w14:paraId="2014B33C" w14:textId="77777777" w:rsidR="00F11420" w:rsidRPr="0029160A" w:rsidRDefault="00F11420" w:rsidP="00716E78">
      <w:pPr>
        <w:widowControl/>
        <w:spacing w:line="360" w:lineRule="auto"/>
        <w:rPr>
          <w:color w:val="000000" w:themeColor="text1"/>
          <w:szCs w:val="26"/>
        </w:rPr>
      </w:pPr>
    </w:p>
    <w:p w14:paraId="552CD246" w14:textId="3E3AFBBA" w:rsidR="003863B1" w:rsidRPr="0029160A" w:rsidRDefault="00A84924">
      <w:pPr>
        <w:widowControl/>
        <w:spacing w:line="360" w:lineRule="auto"/>
        <w:ind w:firstLine="1440"/>
        <w:rPr>
          <w:color w:val="000000" w:themeColor="text1"/>
          <w:szCs w:val="26"/>
        </w:rPr>
      </w:pPr>
      <w:r w:rsidRPr="0029160A">
        <w:rPr>
          <w:color w:val="000000" w:themeColor="text1"/>
          <w:szCs w:val="26"/>
        </w:rPr>
        <w:t xml:space="preserve">On consideration of the positions of the Parties and the record evidence in this proceeding, we shall adopt the ALJs’ recommendation to accept Wellsboro’s original operations supervision &amp; maintenance expense claim of $106,704 </w:t>
      </w:r>
      <w:r w:rsidR="00094C8D" w:rsidRPr="0029160A">
        <w:rPr>
          <w:color w:val="000000" w:themeColor="text1"/>
          <w:szCs w:val="26"/>
        </w:rPr>
        <w:t>and</w:t>
      </w:r>
      <w:r w:rsidRPr="0029160A">
        <w:rPr>
          <w:color w:val="000000" w:themeColor="text1"/>
          <w:szCs w:val="26"/>
        </w:rPr>
        <w:t xml:space="preserve"> the removal of the </w:t>
      </w:r>
      <w:r w:rsidR="0053531F" w:rsidRPr="0029160A">
        <w:rPr>
          <w:color w:val="000000" w:themeColor="text1"/>
          <w:szCs w:val="26"/>
        </w:rPr>
        <w:t>three percent</w:t>
      </w:r>
      <w:r w:rsidRPr="0029160A">
        <w:rPr>
          <w:color w:val="000000" w:themeColor="text1"/>
          <w:szCs w:val="26"/>
        </w:rPr>
        <w:t xml:space="preserve"> inflation factor for a claim of $103,596.  We agree with the ALJs that Wellsboro has demonstrated that it has significant ongoing and escalating operational activities, such as accelerating tre</w:t>
      </w:r>
      <w:r w:rsidR="003863B1" w:rsidRPr="0029160A">
        <w:rPr>
          <w:color w:val="000000" w:themeColor="text1"/>
          <w:szCs w:val="26"/>
        </w:rPr>
        <w:t>e</w:t>
      </w:r>
      <w:r w:rsidRPr="0029160A">
        <w:rPr>
          <w:color w:val="000000" w:themeColor="text1"/>
          <w:szCs w:val="26"/>
        </w:rPr>
        <w:t>-trimming c</w:t>
      </w:r>
      <w:r w:rsidR="003863B1" w:rsidRPr="0029160A">
        <w:rPr>
          <w:color w:val="000000" w:themeColor="text1"/>
          <w:szCs w:val="26"/>
        </w:rPr>
        <w:t>y</w:t>
      </w:r>
      <w:r w:rsidRPr="0029160A">
        <w:rPr>
          <w:color w:val="000000" w:themeColor="text1"/>
          <w:szCs w:val="26"/>
        </w:rPr>
        <w:t>cles</w:t>
      </w:r>
      <w:r w:rsidR="003863B1" w:rsidRPr="0029160A">
        <w:rPr>
          <w:color w:val="000000" w:themeColor="text1"/>
          <w:szCs w:val="26"/>
        </w:rPr>
        <w:t xml:space="preserve"> and it would be unreasonable to ignore the impact of these activities on Account 580.  </w:t>
      </w:r>
      <w:r w:rsidR="009F1661" w:rsidRPr="0029160A">
        <w:rPr>
          <w:color w:val="000000" w:themeColor="text1"/>
          <w:szCs w:val="26"/>
        </w:rPr>
        <w:t>Wellsboro R.</w:t>
      </w:r>
      <w:r w:rsidR="00094C8D" w:rsidRPr="0029160A">
        <w:rPr>
          <w:color w:val="000000" w:themeColor="text1"/>
          <w:szCs w:val="26"/>
        </w:rPr>
        <w:t xml:space="preserve"> </w:t>
      </w:r>
      <w:r w:rsidR="009F1661" w:rsidRPr="0029160A">
        <w:rPr>
          <w:color w:val="000000" w:themeColor="text1"/>
          <w:szCs w:val="26"/>
        </w:rPr>
        <w:t xml:space="preserve">Exc. at 8.  </w:t>
      </w:r>
      <w:r w:rsidR="003863B1" w:rsidRPr="0029160A">
        <w:rPr>
          <w:color w:val="000000" w:themeColor="text1"/>
          <w:szCs w:val="26"/>
        </w:rPr>
        <w:t xml:space="preserve">We note </w:t>
      </w:r>
      <w:r w:rsidRPr="0029160A">
        <w:rPr>
          <w:color w:val="000000" w:themeColor="text1"/>
          <w:szCs w:val="26"/>
        </w:rPr>
        <w:t>that 2019 was the first full year of employment of the new VP of Operations &amp; Engineering/</w:t>
      </w:r>
      <w:r w:rsidR="003863B1" w:rsidRPr="0029160A">
        <w:rPr>
          <w:color w:val="000000" w:themeColor="text1"/>
          <w:szCs w:val="26"/>
        </w:rPr>
        <w:t>COO</w:t>
      </w:r>
      <w:r w:rsidR="00094C8D" w:rsidRPr="0029160A">
        <w:rPr>
          <w:color w:val="000000" w:themeColor="text1"/>
          <w:szCs w:val="26"/>
        </w:rPr>
        <w:t>,</w:t>
      </w:r>
      <w:r w:rsidR="003863B1" w:rsidRPr="0029160A">
        <w:rPr>
          <w:color w:val="000000" w:themeColor="text1"/>
          <w:szCs w:val="26"/>
        </w:rPr>
        <w:t xml:space="preserve"> </w:t>
      </w:r>
      <w:r w:rsidR="009D4D60" w:rsidRPr="0029160A">
        <w:rPr>
          <w:color w:val="000000" w:themeColor="text1"/>
          <w:szCs w:val="26"/>
        </w:rPr>
        <w:t>making</w:t>
      </w:r>
      <w:r w:rsidR="003863B1" w:rsidRPr="0029160A">
        <w:rPr>
          <w:color w:val="000000" w:themeColor="text1"/>
          <w:szCs w:val="26"/>
        </w:rPr>
        <w:t xml:space="preserve"> the FTY </w:t>
      </w:r>
      <w:r w:rsidR="009D4D60" w:rsidRPr="0029160A">
        <w:rPr>
          <w:color w:val="000000" w:themeColor="text1"/>
          <w:szCs w:val="26"/>
        </w:rPr>
        <w:t>the only</w:t>
      </w:r>
      <w:r w:rsidR="003863B1" w:rsidRPr="0029160A">
        <w:rPr>
          <w:color w:val="000000" w:themeColor="text1"/>
          <w:szCs w:val="26"/>
        </w:rPr>
        <w:t xml:space="preserve"> year of relevant historical data.  Wellsboro</w:t>
      </w:r>
      <w:r w:rsidR="00716E78" w:rsidRPr="0029160A">
        <w:rPr>
          <w:color w:val="000000" w:themeColor="text1"/>
          <w:szCs w:val="26"/>
        </w:rPr>
        <w:t> </w:t>
      </w:r>
      <w:r w:rsidR="003863B1" w:rsidRPr="0029160A">
        <w:rPr>
          <w:color w:val="000000" w:themeColor="text1"/>
          <w:szCs w:val="26"/>
        </w:rPr>
        <w:t xml:space="preserve">R.B. at 14.  </w:t>
      </w:r>
    </w:p>
    <w:p w14:paraId="338B9A3A" w14:textId="77777777" w:rsidR="003863B1" w:rsidRPr="0029160A" w:rsidRDefault="003863B1">
      <w:pPr>
        <w:widowControl/>
        <w:spacing w:line="360" w:lineRule="auto"/>
        <w:ind w:firstLine="1440"/>
        <w:rPr>
          <w:color w:val="000000" w:themeColor="text1"/>
          <w:szCs w:val="26"/>
        </w:rPr>
      </w:pPr>
    </w:p>
    <w:p w14:paraId="0DA871E6" w14:textId="57F5AECC" w:rsidR="00F11420" w:rsidRPr="0029160A" w:rsidRDefault="003863B1">
      <w:pPr>
        <w:widowControl/>
        <w:spacing w:line="360" w:lineRule="auto"/>
        <w:ind w:firstLine="1440"/>
        <w:rPr>
          <w:color w:val="000000" w:themeColor="text1"/>
          <w:szCs w:val="26"/>
        </w:rPr>
      </w:pPr>
      <w:r w:rsidRPr="0029160A">
        <w:rPr>
          <w:color w:val="000000" w:themeColor="text1"/>
          <w:szCs w:val="26"/>
        </w:rPr>
        <w:t>We disagree with the position of I&amp;E that Wellsboro has not met its burden of supporting the initial claim of $106,704</w:t>
      </w:r>
      <w:r w:rsidR="009F1661" w:rsidRPr="0029160A">
        <w:rPr>
          <w:color w:val="000000" w:themeColor="text1"/>
          <w:szCs w:val="26"/>
        </w:rPr>
        <w:t xml:space="preserve"> rather than Wellsboro witness Gorman’s </w:t>
      </w:r>
      <w:r w:rsidR="008A6350" w:rsidRPr="0029160A">
        <w:rPr>
          <w:color w:val="000000" w:themeColor="text1"/>
          <w:szCs w:val="26"/>
        </w:rPr>
        <w:t xml:space="preserve">updated </w:t>
      </w:r>
      <w:r w:rsidR="009F1661" w:rsidRPr="0029160A">
        <w:rPr>
          <w:color w:val="000000" w:themeColor="text1"/>
          <w:szCs w:val="26"/>
        </w:rPr>
        <w:t>proposed $86,662.  Wellsboro explained that Mr. Gorman proposed an overall approach to O&amp;M expenses of annualizing the expense and adding an inflation adjustment.  Wellsboro explained further that this across</w:t>
      </w:r>
      <w:r w:rsidR="005C3DB2" w:rsidRPr="0029160A">
        <w:rPr>
          <w:color w:val="000000" w:themeColor="text1"/>
          <w:szCs w:val="26"/>
        </w:rPr>
        <w:t>-</w:t>
      </w:r>
      <w:r w:rsidR="009F1661" w:rsidRPr="0029160A">
        <w:rPr>
          <w:color w:val="000000" w:themeColor="text1"/>
          <w:szCs w:val="26"/>
        </w:rPr>
        <w:t>the</w:t>
      </w:r>
      <w:r w:rsidR="005C3DB2" w:rsidRPr="0029160A">
        <w:rPr>
          <w:color w:val="000000" w:themeColor="text1"/>
          <w:szCs w:val="26"/>
        </w:rPr>
        <w:t>-</w:t>
      </w:r>
      <w:r w:rsidR="009F1661" w:rsidRPr="0029160A">
        <w:rPr>
          <w:color w:val="000000" w:themeColor="text1"/>
          <w:szCs w:val="26"/>
        </w:rPr>
        <w:t xml:space="preserve">board proposal was in </w:t>
      </w:r>
      <w:r w:rsidR="009F1661" w:rsidRPr="0029160A">
        <w:rPr>
          <w:color w:val="000000" w:themeColor="text1"/>
          <w:szCs w:val="26"/>
        </w:rPr>
        <w:lastRenderedPageBreak/>
        <w:t xml:space="preserve">response to the fact that small companies must often shift resources as needs arise.  As the approach was rejected, Wellsboro provided that on an individual account basis, Account 580 is affected by projects occurring in other accounts, particularly </w:t>
      </w:r>
      <w:r w:rsidR="00C03409" w:rsidRPr="0029160A">
        <w:rPr>
          <w:color w:val="000000" w:themeColor="text1"/>
          <w:szCs w:val="26"/>
        </w:rPr>
        <w:t>vegetation management.  Wellsboro R.</w:t>
      </w:r>
      <w:r w:rsidR="008A6350" w:rsidRPr="0029160A">
        <w:rPr>
          <w:color w:val="000000" w:themeColor="text1"/>
          <w:szCs w:val="26"/>
        </w:rPr>
        <w:t xml:space="preserve"> </w:t>
      </w:r>
      <w:r w:rsidR="00C03409" w:rsidRPr="0029160A">
        <w:rPr>
          <w:color w:val="000000" w:themeColor="text1"/>
          <w:szCs w:val="26"/>
        </w:rPr>
        <w:t xml:space="preserve">Exc. at 8.  </w:t>
      </w:r>
    </w:p>
    <w:p w14:paraId="12263B55" w14:textId="77777777" w:rsidR="00094C8D" w:rsidRPr="0029160A" w:rsidRDefault="00094C8D">
      <w:pPr>
        <w:widowControl/>
        <w:spacing w:line="360" w:lineRule="auto"/>
        <w:ind w:firstLine="1440"/>
        <w:rPr>
          <w:color w:val="000000" w:themeColor="text1"/>
          <w:szCs w:val="26"/>
        </w:rPr>
      </w:pPr>
    </w:p>
    <w:p w14:paraId="5FBED6E3" w14:textId="1ADB54E5" w:rsidR="00C03409" w:rsidRPr="0029160A" w:rsidRDefault="00C03409">
      <w:pPr>
        <w:widowControl/>
        <w:spacing w:line="360" w:lineRule="auto"/>
        <w:ind w:firstLine="1440"/>
        <w:rPr>
          <w:color w:val="000000" w:themeColor="text1"/>
          <w:szCs w:val="26"/>
        </w:rPr>
      </w:pPr>
      <w:r w:rsidRPr="0029160A">
        <w:rPr>
          <w:color w:val="000000" w:themeColor="text1"/>
          <w:szCs w:val="26"/>
        </w:rPr>
        <w:t>We are not persuaded by I&amp;E’s argument that Wellsboro relies on “late brought claims” or that I&amp;E was denied due process.  I&amp;E Exc. at 6.  We agree with Wellsboro that the Company’s reliance on record evidence from another party’s testimony does not transform its Direct Testimony position into a new claim.  We also find that I&amp;E had the opportunity to address the expenses in Account 580 as part of its Surrebuttal Testimony.  Wellsboro R.</w:t>
      </w:r>
      <w:r w:rsidR="008A6350" w:rsidRPr="0029160A">
        <w:rPr>
          <w:color w:val="000000" w:themeColor="text1"/>
          <w:szCs w:val="26"/>
        </w:rPr>
        <w:t xml:space="preserve"> </w:t>
      </w:r>
      <w:r w:rsidRPr="0029160A">
        <w:rPr>
          <w:color w:val="000000" w:themeColor="text1"/>
          <w:szCs w:val="26"/>
        </w:rPr>
        <w:t xml:space="preserve">Exc. at 9.  </w:t>
      </w:r>
    </w:p>
    <w:p w14:paraId="6B5488CF" w14:textId="77777777" w:rsidR="009320AC" w:rsidRPr="0029160A" w:rsidRDefault="009320AC">
      <w:pPr>
        <w:widowControl/>
        <w:spacing w:line="360" w:lineRule="auto"/>
        <w:ind w:firstLine="1440"/>
        <w:rPr>
          <w:color w:val="000000" w:themeColor="text1"/>
          <w:szCs w:val="26"/>
        </w:rPr>
      </w:pPr>
    </w:p>
    <w:p w14:paraId="2C685CAE" w14:textId="77777777" w:rsidR="00C03409" w:rsidRPr="0029160A" w:rsidRDefault="00C03409" w:rsidP="0052404E">
      <w:pPr>
        <w:widowControl/>
        <w:spacing w:line="360" w:lineRule="auto"/>
        <w:ind w:firstLine="1440"/>
        <w:rPr>
          <w:color w:val="000000" w:themeColor="text1"/>
          <w:szCs w:val="26"/>
        </w:rPr>
      </w:pPr>
      <w:r w:rsidRPr="0029160A">
        <w:rPr>
          <w:color w:val="000000" w:themeColor="text1"/>
          <w:szCs w:val="26"/>
        </w:rPr>
        <w:t xml:space="preserve">Based on the above, we shall adopt the ALJs’ recommended claim of $103,596 for the Account 580 claim </w:t>
      </w:r>
      <w:r w:rsidR="009D4D60" w:rsidRPr="0029160A">
        <w:rPr>
          <w:color w:val="000000" w:themeColor="text1"/>
          <w:szCs w:val="26"/>
        </w:rPr>
        <w:t xml:space="preserve">and </w:t>
      </w:r>
      <w:r w:rsidRPr="0029160A">
        <w:rPr>
          <w:color w:val="000000" w:themeColor="text1"/>
          <w:szCs w:val="26"/>
        </w:rPr>
        <w:t>deny I&amp;E Exception No. 2.</w:t>
      </w:r>
    </w:p>
    <w:p w14:paraId="3AB84977" w14:textId="77777777" w:rsidR="00F11420" w:rsidRPr="0029160A" w:rsidRDefault="00F11420" w:rsidP="0052404E">
      <w:pPr>
        <w:pStyle w:val="Heading3"/>
        <w:numPr>
          <w:ilvl w:val="0"/>
          <w:numId w:val="0"/>
        </w:numPr>
        <w:contextualSpacing w:val="0"/>
        <w:rPr>
          <w:color w:val="000000" w:themeColor="text1"/>
        </w:rPr>
      </w:pPr>
    </w:p>
    <w:p w14:paraId="4AE7344B" w14:textId="77777777" w:rsidR="00461A7E" w:rsidRPr="0029160A" w:rsidRDefault="008463A0" w:rsidP="00CB0B2E">
      <w:pPr>
        <w:pStyle w:val="Heading3"/>
        <w:ind w:left="1440" w:hanging="720"/>
        <w:contextualSpacing w:val="0"/>
        <w:rPr>
          <w:color w:val="000000" w:themeColor="text1"/>
        </w:rPr>
      </w:pPr>
      <w:bookmarkStart w:id="82" w:name="_Toc36552356"/>
      <w:bookmarkStart w:id="83" w:name="_Toc38951764"/>
      <w:r w:rsidRPr="0029160A">
        <w:rPr>
          <w:color w:val="000000" w:themeColor="text1"/>
        </w:rPr>
        <w:t xml:space="preserve">Expenses:  </w:t>
      </w:r>
      <w:r w:rsidR="00461A7E" w:rsidRPr="0029160A">
        <w:rPr>
          <w:color w:val="000000" w:themeColor="text1"/>
        </w:rPr>
        <w:t>Miscellaneous Distribution Expense (Account 588)</w:t>
      </w:r>
      <w:bookmarkEnd w:id="82"/>
      <w:bookmarkEnd w:id="83"/>
    </w:p>
    <w:p w14:paraId="22CE07D3" w14:textId="77777777" w:rsidR="00475586" w:rsidRPr="0029160A" w:rsidRDefault="00475586" w:rsidP="0052404E">
      <w:pPr>
        <w:widowControl/>
        <w:spacing w:line="360" w:lineRule="auto"/>
        <w:rPr>
          <w:color w:val="000000" w:themeColor="text1"/>
        </w:rPr>
      </w:pPr>
    </w:p>
    <w:p w14:paraId="550EF6AD" w14:textId="15637B4C" w:rsidR="00475586" w:rsidRPr="0029160A" w:rsidRDefault="00475586" w:rsidP="00CB0B2E">
      <w:pPr>
        <w:pStyle w:val="Heading4"/>
        <w:numPr>
          <w:ilvl w:val="0"/>
          <w:numId w:val="16"/>
        </w:numPr>
        <w:ind w:hanging="720"/>
        <w:contextualSpacing w:val="0"/>
        <w:rPr>
          <w:color w:val="000000" w:themeColor="text1"/>
        </w:rPr>
      </w:pPr>
      <w:bookmarkStart w:id="84" w:name="_Toc38951765"/>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84"/>
    </w:p>
    <w:p w14:paraId="3A1A4090" w14:textId="77777777" w:rsidR="00475586" w:rsidRPr="0029160A" w:rsidRDefault="00475586" w:rsidP="0052404E">
      <w:pPr>
        <w:widowControl/>
        <w:spacing w:line="360" w:lineRule="auto"/>
        <w:rPr>
          <w:color w:val="000000" w:themeColor="text1"/>
          <w:szCs w:val="26"/>
        </w:rPr>
      </w:pPr>
    </w:p>
    <w:p w14:paraId="1C2B9581" w14:textId="77777777" w:rsidR="00EB1B32" w:rsidRPr="0029160A" w:rsidRDefault="00893771" w:rsidP="00CB0B2E">
      <w:pPr>
        <w:widowControl/>
        <w:spacing w:line="360" w:lineRule="auto"/>
        <w:ind w:firstLine="1440"/>
        <w:rPr>
          <w:color w:val="000000" w:themeColor="text1"/>
          <w:szCs w:val="26"/>
        </w:rPr>
      </w:pPr>
      <w:r w:rsidRPr="0029160A">
        <w:rPr>
          <w:color w:val="000000" w:themeColor="text1"/>
          <w:szCs w:val="26"/>
        </w:rPr>
        <w:t>Wellsboro’s claim for Account 588 was $219,007.  Wellsboro M.B. at 44 (citing Wellsboro St. 1, Exh</w:t>
      </w:r>
      <w:r w:rsidR="005150F4" w:rsidRPr="0029160A">
        <w:rPr>
          <w:color w:val="000000" w:themeColor="text1"/>
          <w:szCs w:val="26"/>
        </w:rPr>
        <w:t>ibit</w:t>
      </w:r>
      <w:r w:rsidRPr="0029160A">
        <w:rPr>
          <w:color w:val="000000" w:themeColor="text1"/>
          <w:szCs w:val="26"/>
        </w:rPr>
        <w:t xml:space="preserve">_(HSG-1), Schedule C1-1 (W)).  Wellsboro provided that I&amp;E witness Patel proposed a reduction of $29,016 for a total of $189,991.  Wellsboro M.B. at 44 (citing I&amp;E St. 1-SR at 20).  According to Wellsboro, Mr. Patel stated that the projected increase of “other” expense from the HTY to the FTY due to increase in the training requirements for new employees was not adequately supported.  Wellsboro explained that Mr. Patel selected the average “other” expense from 2016-2018 to develop his recommendation.  Wellsboro M.B. at 44.  </w:t>
      </w:r>
    </w:p>
    <w:p w14:paraId="4F132A63" w14:textId="77777777" w:rsidR="00EB1B32" w:rsidRPr="0029160A" w:rsidRDefault="00EB1B32" w:rsidP="00CB0B2E">
      <w:pPr>
        <w:widowControl/>
        <w:spacing w:line="360" w:lineRule="auto"/>
        <w:ind w:firstLine="1440"/>
        <w:rPr>
          <w:color w:val="000000" w:themeColor="text1"/>
          <w:szCs w:val="26"/>
        </w:rPr>
      </w:pPr>
    </w:p>
    <w:p w14:paraId="2D4DFE78" w14:textId="1CE10029" w:rsidR="00EB1B32" w:rsidRPr="0029160A" w:rsidRDefault="00EB1B32" w:rsidP="00CB0B2E">
      <w:pPr>
        <w:widowControl/>
        <w:spacing w:line="360" w:lineRule="auto"/>
        <w:ind w:firstLine="1440"/>
        <w:rPr>
          <w:color w:val="000000" w:themeColor="text1"/>
          <w:szCs w:val="26"/>
        </w:rPr>
      </w:pPr>
      <w:r w:rsidRPr="0029160A">
        <w:rPr>
          <w:color w:val="000000" w:themeColor="text1"/>
        </w:rPr>
        <w:lastRenderedPageBreak/>
        <w:t xml:space="preserve">The Company explained that its direct labor costs for 2019 were lower than anticipated due to an employee being on short-term disability.  OCA </w:t>
      </w:r>
      <w:r w:rsidR="00DC265B" w:rsidRPr="0029160A">
        <w:rPr>
          <w:color w:val="000000" w:themeColor="text1"/>
        </w:rPr>
        <w:t>St</w:t>
      </w:r>
      <w:r w:rsidRPr="0029160A">
        <w:rPr>
          <w:color w:val="000000" w:themeColor="text1"/>
        </w:rPr>
        <w:t xml:space="preserve">. 1-SR (Revised) at 4.  Wellsboro witnesses Gorman and Farnsworth indicated that the adjustment should be $21,000 for labor; however, OCA witness Campbell indicated that the employee’s absence lowered Wellsboro’s expenses by $14,934.16 during the three months of disability.  </w:t>
      </w:r>
      <w:r w:rsidRPr="0029160A">
        <w:rPr>
          <w:i/>
          <w:iCs/>
          <w:color w:val="000000" w:themeColor="text1"/>
        </w:rPr>
        <w:t xml:space="preserve">Id. </w:t>
      </w:r>
      <w:r w:rsidRPr="0029160A">
        <w:rPr>
          <w:color w:val="000000" w:themeColor="text1"/>
        </w:rPr>
        <w:t xml:space="preserve"> </w:t>
      </w:r>
      <w:r w:rsidR="0052091F" w:rsidRPr="0029160A">
        <w:rPr>
          <w:color w:val="000000" w:themeColor="text1"/>
        </w:rPr>
        <w:t xml:space="preserve">The </w:t>
      </w:r>
      <w:r w:rsidRPr="0029160A">
        <w:rPr>
          <w:color w:val="000000" w:themeColor="text1"/>
        </w:rPr>
        <w:t>OCA d</w:t>
      </w:r>
      <w:r w:rsidR="0020183B" w:rsidRPr="0029160A">
        <w:rPr>
          <w:color w:val="000000" w:themeColor="text1"/>
        </w:rPr>
        <w:t>id</w:t>
      </w:r>
      <w:r w:rsidRPr="0029160A">
        <w:rPr>
          <w:color w:val="000000" w:themeColor="text1"/>
        </w:rPr>
        <w:t xml:space="preserve"> not oppose the inclusion of the direct labor costs in the annualized FTY but suggests a more conservative adjustment of $14,934.  OCA </w:t>
      </w:r>
      <w:r w:rsidR="00DC265B" w:rsidRPr="0029160A">
        <w:rPr>
          <w:color w:val="000000" w:themeColor="text1"/>
        </w:rPr>
        <w:t>St.</w:t>
      </w:r>
      <w:r w:rsidRPr="0029160A">
        <w:rPr>
          <w:color w:val="000000" w:themeColor="text1"/>
        </w:rPr>
        <w:t xml:space="preserve"> 1-SR (Revised) at 5.  R.D. at 23.</w:t>
      </w:r>
    </w:p>
    <w:p w14:paraId="242807A7" w14:textId="77777777" w:rsidR="00893771" w:rsidRPr="0029160A" w:rsidRDefault="00893771" w:rsidP="00CB0B2E">
      <w:pPr>
        <w:widowControl/>
        <w:spacing w:line="360" w:lineRule="auto"/>
        <w:ind w:firstLine="1440"/>
        <w:rPr>
          <w:color w:val="000000" w:themeColor="text1"/>
          <w:szCs w:val="26"/>
        </w:rPr>
      </w:pPr>
    </w:p>
    <w:p w14:paraId="2EBA6524" w14:textId="25116B88" w:rsidR="00893771" w:rsidRPr="0029160A" w:rsidRDefault="00893771" w:rsidP="00CB0B2E">
      <w:pPr>
        <w:widowControl/>
        <w:spacing w:line="360" w:lineRule="auto"/>
        <w:ind w:firstLine="1440"/>
        <w:rPr>
          <w:color w:val="000000" w:themeColor="text1"/>
          <w:szCs w:val="26"/>
        </w:rPr>
      </w:pPr>
      <w:r w:rsidRPr="0029160A">
        <w:rPr>
          <w:color w:val="000000" w:themeColor="text1"/>
          <w:szCs w:val="26"/>
        </w:rPr>
        <w:t xml:space="preserve">Wellsboro explained that </w:t>
      </w:r>
      <w:r w:rsidR="00111CDD" w:rsidRPr="0029160A">
        <w:rPr>
          <w:color w:val="000000" w:themeColor="text1"/>
          <w:szCs w:val="26"/>
        </w:rPr>
        <w:t xml:space="preserve">the </w:t>
      </w:r>
      <w:r w:rsidRPr="0029160A">
        <w:rPr>
          <w:color w:val="000000" w:themeColor="text1"/>
          <w:szCs w:val="26"/>
        </w:rPr>
        <w:t xml:space="preserve">OCA witness Sherwood recommended a reduction of $88,447 for a total allowance of $130,860 – a figure less than half of the actual HTY expense in the category.  Wellsboro M.B. at 44 (citing OCA St. 1, Schedule SLS-1).  </w:t>
      </w:r>
    </w:p>
    <w:p w14:paraId="2856FD79" w14:textId="77777777" w:rsidR="009320AC" w:rsidRPr="0029160A" w:rsidRDefault="009320AC" w:rsidP="00CB0B2E">
      <w:pPr>
        <w:widowControl/>
        <w:spacing w:line="360" w:lineRule="auto"/>
        <w:ind w:firstLine="1440"/>
        <w:rPr>
          <w:color w:val="000000" w:themeColor="text1"/>
          <w:szCs w:val="26"/>
        </w:rPr>
      </w:pPr>
    </w:p>
    <w:p w14:paraId="048F0F0C" w14:textId="6B078FC5" w:rsidR="00984331" w:rsidRPr="0029160A" w:rsidRDefault="00893771" w:rsidP="00395940">
      <w:pPr>
        <w:widowControl/>
        <w:spacing w:line="360" w:lineRule="auto"/>
        <w:ind w:firstLine="1440"/>
        <w:rPr>
          <w:color w:val="000000" w:themeColor="text1"/>
          <w:szCs w:val="26"/>
        </w:rPr>
      </w:pPr>
      <w:r w:rsidRPr="0029160A">
        <w:rPr>
          <w:color w:val="000000" w:themeColor="text1"/>
          <w:szCs w:val="26"/>
        </w:rPr>
        <w:t xml:space="preserve">Wellsboro noted that </w:t>
      </w:r>
      <w:r w:rsidR="00111CDD" w:rsidRPr="0029160A">
        <w:rPr>
          <w:color w:val="000000" w:themeColor="text1"/>
          <w:szCs w:val="26"/>
        </w:rPr>
        <w:t xml:space="preserve">YTD </w:t>
      </w:r>
      <w:r w:rsidRPr="0029160A">
        <w:rPr>
          <w:color w:val="000000" w:themeColor="text1"/>
          <w:szCs w:val="26"/>
        </w:rPr>
        <w:t>dat</w:t>
      </w:r>
      <w:r w:rsidR="007E3354" w:rsidRPr="0029160A">
        <w:rPr>
          <w:color w:val="000000" w:themeColor="text1"/>
          <w:szCs w:val="26"/>
        </w:rPr>
        <w:t>a</w:t>
      </w:r>
      <w:r w:rsidRPr="0029160A">
        <w:rPr>
          <w:color w:val="000000" w:themeColor="text1"/>
          <w:szCs w:val="26"/>
        </w:rPr>
        <w:t xml:space="preserve"> from September 30, 2019, indicates that </w:t>
      </w:r>
      <w:r w:rsidR="00C41CB9" w:rsidRPr="0029160A">
        <w:rPr>
          <w:color w:val="000000" w:themeColor="text1"/>
          <w:szCs w:val="26"/>
        </w:rPr>
        <w:t>C</w:t>
      </w:r>
      <w:r w:rsidRPr="0029160A">
        <w:rPr>
          <w:color w:val="000000" w:themeColor="text1"/>
          <w:szCs w:val="26"/>
        </w:rPr>
        <w:t xml:space="preserve">ompany expenses are running ahead for this account.  The actual expense data for Account 588 totals $169,106.  Annualized, plus the </w:t>
      </w:r>
      <w:r w:rsidR="0053531F" w:rsidRPr="0029160A">
        <w:rPr>
          <w:color w:val="000000" w:themeColor="text1"/>
          <w:szCs w:val="26"/>
        </w:rPr>
        <w:t>three percent</w:t>
      </w:r>
      <w:r w:rsidRPr="0029160A">
        <w:rPr>
          <w:color w:val="000000" w:themeColor="text1"/>
          <w:szCs w:val="26"/>
        </w:rPr>
        <w:t xml:space="preserve"> inflation adjust</w:t>
      </w:r>
      <w:r w:rsidR="0020183B" w:rsidRPr="0029160A">
        <w:rPr>
          <w:color w:val="000000" w:themeColor="text1"/>
          <w:szCs w:val="26"/>
        </w:rPr>
        <w:t>ment</w:t>
      </w:r>
      <w:r w:rsidRPr="0029160A">
        <w:rPr>
          <w:color w:val="000000" w:themeColor="text1"/>
          <w:szCs w:val="26"/>
        </w:rPr>
        <w:t>, brings this figure to $232,239 for the FPFTY</w:t>
      </w:r>
      <w:r w:rsidR="0020183B" w:rsidRPr="0029160A">
        <w:rPr>
          <w:color w:val="000000" w:themeColor="text1"/>
          <w:szCs w:val="26"/>
        </w:rPr>
        <w:t>, which is</w:t>
      </w:r>
      <w:r w:rsidRPr="0029160A">
        <w:rPr>
          <w:color w:val="000000" w:themeColor="text1"/>
          <w:szCs w:val="26"/>
        </w:rPr>
        <w:t xml:space="preserve"> $13,232 above the Company’s claim.  Wellsboro M.B. at 44 (citing Wellsboro St. 1 at 4).  Wellsboro explained that this is consistent with the Company’s expectation that there will continue to be </w:t>
      </w:r>
      <w:r w:rsidR="0020183B" w:rsidRPr="0029160A">
        <w:rPr>
          <w:color w:val="000000" w:themeColor="text1"/>
          <w:szCs w:val="26"/>
        </w:rPr>
        <w:t xml:space="preserve">employee </w:t>
      </w:r>
      <w:r w:rsidRPr="0029160A">
        <w:rPr>
          <w:color w:val="000000" w:themeColor="text1"/>
          <w:szCs w:val="26"/>
        </w:rPr>
        <w:t xml:space="preserve">retirements and turnover, meaning these expenses are not isolated events but will be recurring.  Wellsboro M.B. at 45. </w:t>
      </w:r>
    </w:p>
    <w:p w14:paraId="4A2EC73D" w14:textId="7520C0BD" w:rsidR="00475586" w:rsidRPr="0029160A" w:rsidRDefault="00893771" w:rsidP="00395940">
      <w:pPr>
        <w:widowControl/>
        <w:spacing w:line="360" w:lineRule="auto"/>
        <w:ind w:firstLine="1440"/>
        <w:rPr>
          <w:color w:val="000000" w:themeColor="text1"/>
          <w:szCs w:val="26"/>
        </w:rPr>
      </w:pPr>
      <w:r w:rsidRPr="0029160A">
        <w:rPr>
          <w:color w:val="000000" w:themeColor="text1"/>
          <w:szCs w:val="26"/>
        </w:rPr>
        <w:t xml:space="preserve"> </w:t>
      </w:r>
    </w:p>
    <w:p w14:paraId="759FDF77" w14:textId="77777777" w:rsidR="00475586" w:rsidRPr="0029160A" w:rsidRDefault="00475586" w:rsidP="00395940">
      <w:pPr>
        <w:pStyle w:val="Heading4"/>
        <w:keepNext/>
        <w:keepLines/>
        <w:ind w:hanging="720"/>
        <w:contextualSpacing w:val="0"/>
        <w:rPr>
          <w:color w:val="000000" w:themeColor="text1"/>
        </w:rPr>
      </w:pPr>
      <w:bookmarkStart w:id="85" w:name="_Toc38951766"/>
      <w:r w:rsidRPr="0029160A">
        <w:rPr>
          <w:color w:val="000000" w:themeColor="text1"/>
        </w:rPr>
        <w:t>Recommended Decision</w:t>
      </w:r>
      <w:bookmarkEnd w:id="85"/>
    </w:p>
    <w:p w14:paraId="114CBD76" w14:textId="77777777" w:rsidR="00475586" w:rsidRPr="0029160A" w:rsidRDefault="00475586" w:rsidP="00395940">
      <w:pPr>
        <w:keepNext/>
        <w:keepLines/>
        <w:widowControl/>
        <w:spacing w:line="360" w:lineRule="auto"/>
        <w:rPr>
          <w:color w:val="000000" w:themeColor="text1"/>
          <w:szCs w:val="26"/>
        </w:rPr>
      </w:pPr>
    </w:p>
    <w:p w14:paraId="480D1AA1" w14:textId="77777777" w:rsidR="00475586" w:rsidRPr="0029160A" w:rsidRDefault="00893771" w:rsidP="00395940">
      <w:pPr>
        <w:widowControl/>
        <w:spacing w:line="360" w:lineRule="auto"/>
        <w:ind w:firstLine="1440"/>
        <w:rPr>
          <w:color w:val="000000" w:themeColor="text1"/>
          <w:sz w:val="24"/>
          <w:szCs w:val="24"/>
        </w:rPr>
      </w:pPr>
      <w:r w:rsidRPr="0029160A">
        <w:rPr>
          <w:color w:val="000000" w:themeColor="text1"/>
          <w:szCs w:val="26"/>
        </w:rPr>
        <w:t xml:space="preserve">The ALJs recommended rejection of Wellsboro’s full Miscellaneous Distribution Expense claim of $219,007 and instead recommended adoption of a downward-adjusted claim in the amount of $204,925.  The ALJs agreed with I&amp;E and found Wellsboro’s presumption that future employee retirement and related training </w:t>
      </w:r>
      <w:r w:rsidRPr="0029160A">
        <w:rPr>
          <w:color w:val="000000" w:themeColor="text1"/>
          <w:szCs w:val="26"/>
        </w:rPr>
        <w:lastRenderedPageBreak/>
        <w:t>expenses for new employees is speculative and will not be a normally occurring, prudent expense; accordingly, the ALJs accepted I&amp;E’s proposed downward adjustment of $29,016 to the Company’s original claim of $219,007.  The ALJs added an adjustment of $14,934 for additional labor costs due to an employee being on short term disability.</w:t>
      </w:r>
      <w:r w:rsidR="0020183B" w:rsidRPr="0029160A">
        <w:rPr>
          <w:color w:val="000000" w:themeColor="text1"/>
          <w:szCs w:val="26"/>
        </w:rPr>
        <w:t xml:space="preserve">  The ALJs’ r</w:t>
      </w:r>
      <w:r w:rsidRPr="0029160A">
        <w:rPr>
          <w:color w:val="000000" w:themeColor="text1"/>
          <w:szCs w:val="26"/>
        </w:rPr>
        <w:t>ecommended amount for Account 588 is $204,925 (219,007 – 29,016 + 14,934).  R.D.</w:t>
      </w:r>
      <w:r w:rsidR="00192837" w:rsidRPr="0029160A">
        <w:rPr>
          <w:color w:val="000000" w:themeColor="text1"/>
          <w:szCs w:val="26"/>
        </w:rPr>
        <w:t xml:space="preserve"> at 23-24;</w:t>
      </w:r>
      <w:r w:rsidRPr="0029160A">
        <w:rPr>
          <w:color w:val="000000" w:themeColor="text1"/>
          <w:szCs w:val="26"/>
        </w:rPr>
        <w:t xml:space="preserve"> 32.</w:t>
      </w:r>
    </w:p>
    <w:p w14:paraId="39C36642" w14:textId="77777777" w:rsidR="00475586" w:rsidRPr="0029160A" w:rsidRDefault="00475586" w:rsidP="0052404E">
      <w:pPr>
        <w:widowControl/>
        <w:spacing w:line="360" w:lineRule="auto"/>
        <w:rPr>
          <w:color w:val="000000" w:themeColor="text1"/>
          <w:szCs w:val="26"/>
        </w:rPr>
      </w:pPr>
    </w:p>
    <w:p w14:paraId="1836CEAA" w14:textId="77777777" w:rsidR="00475586" w:rsidRPr="0029160A" w:rsidRDefault="00312B42" w:rsidP="00CB0B2E">
      <w:pPr>
        <w:pStyle w:val="Heading4"/>
        <w:ind w:hanging="720"/>
        <w:contextualSpacing w:val="0"/>
        <w:rPr>
          <w:color w:val="000000" w:themeColor="text1"/>
        </w:rPr>
      </w:pPr>
      <w:bookmarkStart w:id="86" w:name="_Toc38951767"/>
      <w:r w:rsidRPr="0029160A">
        <w:rPr>
          <w:color w:val="000000" w:themeColor="text1"/>
        </w:rPr>
        <w:t>Wellsboro Exception No. 5, OCA Exception No. 3 and Replies</w:t>
      </w:r>
      <w:bookmarkEnd w:id="86"/>
    </w:p>
    <w:p w14:paraId="09A31DB0" w14:textId="77777777" w:rsidR="00475586" w:rsidRPr="0029160A" w:rsidRDefault="00475586" w:rsidP="0052404E">
      <w:pPr>
        <w:widowControl/>
        <w:spacing w:line="360" w:lineRule="auto"/>
        <w:rPr>
          <w:color w:val="000000" w:themeColor="text1"/>
          <w:szCs w:val="26"/>
        </w:rPr>
      </w:pPr>
    </w:p>
    <w:p w14:paraId="51B698D1" w14:textId="35294962" w:rsidR="00893771" w:rsidRPr="0029160A" w:rsidRDefault="00893771" w:rsidP="0052404E">
      <w:pPr>
        <w:widowControl/>
        <w:spacing w:line="360" w:lineRule="auto"/>
        <w:ind w:firstLine="1440"/>
        <w:rPr>
          <w:color w:val="000000" w:themeColor="text1"/>
          <w:szCs w:val="26"/>
        </w:rPr>
      </w:pPr>
      <w:r w:rsidRPr="0029160A">
        <w:rPr>
          <w:color w:val="000000" w:themeColor="text1"/>
          <w:szCs w:val="26"/>
        </w:rPr>
        <w:t xml:space="preserve">In Wellsboro Exception No. 5, Wellsboro argues that the ALJs erred in concluding that the Company’s claim of future employee retirements is speculative.  Wellsboro contends that it met its burden of proof by showing that at least eight employees will be eligible to retire within ten years and at least three within the next five years; the eight employees represent approximately half of its staff – a large number for its small workforce.  Wellsboro provides that it should not be held to a standard of guaranteeing that employee retirements will occur.  Next, Wellsboro argues the ALJs erred in recommending adoption of I&amp;E’s adjustment for training costs; it being sufficient to demonstrate that the overlap expenses removed from the Company’s claim by I&amp;E are not one-time expenses and will continue on a recurring basis as the Company trains new employees to replace the outgoing retirees.  Finally, Wellsboro excepts to the ALJs’ recommendation to not apply the </w:t>
      </w:r>
      <w:r w:rsidR="0053531F" w:rsidRPr="0029160A">
        <w:rPr>
          <w:color w:val="000000" w:themeColor="text1"/>
          <w:szCs w:val="26"/>
        </w:rPr>
        <w:t>three percent</w:t>
      </w:r>
      <w:r w:rsidRPr="0029160A">
        <w:rPr>
          <w:color w:val="000000" w:themeColor="text1"/>
          <w:szCs w:val="26"/>
        </w:rPr>
        <w:t xml:space="preserve"> factor to the $204,925 allowance.  Wellsboro Exc. at 12-14; Wellsboro M.B. at 45.</w:t>
      </w:r>
    </w:p>
    <w:p w14:paraId="62DD5A16" w14:textId="77777777" w:rsidR="00911DC3" w:rsidRPr="0029160A" w:rsidRDefault="00911DC3" w:rsidP="00CB0B2E">
      <w:pPr>
        <w:widowControl/>
        <w:spacing w:line="360" w:lineRule="auto"/>
        <w:ind w:firstLine="1440"/>
        <w:rPr>
          <w:color w:val="000000" w:themeColor="text1"/>
          <w:szCs w:val="26"/>
        </w:rPr>
      </w:pPr>
    </w:p>
    <w:p w14:paraId="6791C359" w14:textId="11F7D99E" w:rsidR="00893771" w:rsidRPr="0029160A" w:rsidRDefault="00893771" w:rsidP="00CB0B2E">
      <w:pPr>
        <w:widowControl/>
        <w:spacing w:line="360" w:lineRule="auto"/>
        <w:ind w:firstLine="1440"/>
        <w:rPr>
          <w:color w:val="000000" w:themeColor="text1"/>
          <w:szCs w:val="26"/>
        </w:rPr>
      </w:pPr>
      <w:r w:rsidRPr="0029160A">
        <w:rPr>
          <w:color w:val="000000" w:themeColor="text1"/>
          <w:szCs w:val="26"/>
        </w:rPr>
        <w:t>In the OCA’s Replies to Wellsboro Exception No. 5, the OCA provides that the ALJs correctly denied the Company’s full expense claim for Account 588.  OCA R. Exc. at 8-10.</w:t>
      </w:r>
      <w:r w:rsidR="00111CDD" w:rsidRPr="0029160A">
        <w:rPr>
          <w:color w:val="000000" w:themeColor="text1"/>
          <w:szCs w:val="26"/>
        </w:rPr>
        <w:t xml:space="preserve">  </w:t>
      </w:r>
      <w:r w:rsidRPr="0029160A">
        <w:rPr>
          <w:color w:val="000000" w:themeColor="text1"/>
          <w:szCs w:val="26"/>
        </w:rPr>
        <w:t xml:space="preserve">The OCA argues that the Company’s position is a gross mischaracterization of the ALJs’ actual language – “speculative assumption” – as equating to the ALJs asking for a “guarantee” from the Company, which is not mentioned in the R.D.  (OCA R. Exc. at 9, citing R.D. at 32, Wellsboro Exc. at 12-13).  As the ALJs plainly state, expenses that </w:t>
      </w:r>
      <w:r w:rsidRPr="0029160A">
        <w:rPr>
          <w:color w:val="000000" w:themeColor="text1"/>
          <w:szCs w:val="26"/>
        </w:rPr>
        <w:lastRenderedPageBreak/>
        <w:t xml:space="preserve">are not normal should not be allowed as part of the overall rate computation.  OCA Exc. at 9 </w:t>
      </w:r>
      <w:r w:rsidR="00F868A2" w:rsidRPr="0029160A">
        <w:rPr>
          <w:color w:val="000000" w:themeColor="text1"/>
          <w:szCs w:val="26"/>
        </w:rPr>
        <w:t>(</w:t>
      </w:r>
      <w:r w:rsidRPr="0029160A">
        <w:rPr>
          <w:color w:val="000000" w:themeColor="text1"/>
          <w:szCs w:val="26"/>
        </w:rPr>
        <w:t>citing</w:t>
      </w:r>
      <w:r w:rsidRPr="0029160A">
        <w:rPr>
          <w:i/>
          <w:iCs/>
          <w:color w:val="000000" w:themeColor="text1"/>
          <w:szCs w:val="26"/>
        </w:rPr>
        <w:t xml:space="preserve"> P</w:t>
      </w:r>
      <w:bookmarkStart w:id="87" w:name="_BA_Cite_21E755_000017"/>
      <w:bookmarkEnd w:id="87"/>
      <w:r w:rsidRPr="0029160A">
        <w:rPr>
          <w:i/>
          <w:iCs/>
          <w:color w:val="000000" w:themeColor="text1"/>
          <w:szCs w:val="26"/>
        </w:rPr>
        <w:t>a. PUC v. Philadelphia Gas Works</w:t>
      </w:r>
      <w:r w:rsidRPr="0029160A">
        <w:rPr>
          <w:color w:val="000000" w:themeColor="text1"/>
          <w:szCs w:val="26"/>
        </w:rPr>
        <w:t>, 2007 Pa. PUC LEXIS 45, *26-27 (“The</w:t>
      </w:r>
      <w:r w:rsidR="0052404E" w:rsidRPr="0029160A">
        <w:rPr>
          <w:color w:val="000000" w:themeColor="text1"/>
          <w:szCs w:val="26"/>
        </w:rPr>
        <w:t> </w:t>
      </w:r>
      <w:r w:rsidRPr="0029160A">
        <w:rPr>
          <w:color w:val="000000" w:themeColor="text1"/>
          <w:szCs w:val="26"/>
        </w:rPr>
        <w:t>object of using a test year is to reflect typical conditions.”)).</w:t>
      </w:r>
    </w:p>
    <w:p w14:paraId="5E000FF0" w14:textId="77777777" w:rsidR="00893771" w:rsidRPr="0029160A" w:rsidRDefault="00893771" w:rsidP="00CB0B2E">
      <w:pPr>
        <w:widowControl/>
        <w:spacing w:line="360" w:lineRule="auto"/>
        <w:ind w:firstLine="1440"/>
        <w:rPr>
          <w:color w:val="000000" w:themeColor="text1"/>
          <w:szCs w:val="26"/>
        </w:rPr>
      </w:pPr>
    </w:p>
    <w:p w14:paraId="43704586" w14:textId="215364E9" w:rsidR="00893771" w:rsidRPr="0029160A" w:rsidRDefault="00893771" w:rsidP="00CB0B2E">
      <w:pPr>
        <w:widowControl/>
        <w:spacing w:line="360" w:lineRule="auto"/>
        <w:ind w:firstLine="1440"/>
        <w:rPr>
          <w:color w:val="000000" w:themeColor="text1"/>
          <w:szCs w:val="26"/>
        </w:rPr>
      </w:pPr>
      <w:r w:rsidRPr="0029160A">
        <w:rPr>
          <w:color w:val="000000" w:themeColor="text1"/>
          <w:szCs w:val="26"/>
        </w:rPr>
        <w:t xml:space="preserve">In I&amp;E’s Replies to Wellsboro Exception No. 5, I&amp;E submits the ALJs correctly rejected Wellsboro’s full Miscellaneous Distribution Expense claim for Account 588.  Addressing Wellsboro’s argument that it should not need to guarantee employee retirements will occur, I&amp;E avers the ALJs correctly found that the Company’s reliance on a timeline of five to </w:t>
      </w:r>
      <w:r w:rsidR="00A46245" w:rsidRPr="0029160A">
        <w:rPr>
          <w:color w:val="000000" w:themeColor="text1"/>
          <w:szCs w:val="26"/>
        </w:rPr>
        <w:t>ten</w:t>
      </w:r>
      <w:r w:rsidRPr="0029160A">
        <w:rPr>
          <w:color w:val="000000" w:themeColor="text1"/>
          <w:szCs w:val="26"/>
        </w:rPr>
        <w:t xml:space="preserve"> years is speculative, and does not suffice to show employee turnover will occur at a recurring, accelerated rate.  Wellsboro did not provide any specific evidence to support its claim, </w:t>
      </w:r>
      <w:r w:rsidRPr="0029160A">
        <w:rPr>
          <w:i/>
          <w:iCs/>
          <w:color w:val="000000" w:themeColor="text1"/>
          <w:szCs w:val="26"/>
        </w:rPr>
        <w:t>e.g.</w:t>
      </w:r>
      <w:r w:rsidRPr="0029160A">
        <w:rPr>
          <w:color w:val="000000" w:themeColor="text1"/>
          <w:szCs w:val="26"/>
        </w:rPr>
        <w:t>, number of new employees expected to be trained, duration of training, and the basis for projected increased training expenses to be incurred in the FTY on an ongoing basis.  Because Wellsboro has not demonstrated that the ALJs erred, Wellsboro’s Exception should be rejected.  I&amp;E R. Exc. at 4-5; I&amp;E R.B. at 11.</w:t>
      </w:r>
    </w:p>
    <w:p w14:paraId="45280FA1" w14:textId="77777777" w:rsidR="00893771" w:rsidRPr="0029160A" w:rsidRDefault="00893771" w:rsidP="00CB0B2E">
      <w:pPr>
        <w:widowControl/>
        <w:spacing w:line="360" w:lineRule="auto"/>
        <w:rPr>
          <w:color w:val="000000" w:themeColor="text1"/>
          <w:szCs w:val="26"/>
        </w:rPr>
      </w:pPr>
    </w:p>
    <w:p w14:paraId="2CEC672F" w14:textId="77777777" w:rsidR="00893771" w:rsidRPr="0029160A" w:rsidRDefault="00893771" w:rsidP="00CB0B2E">
      <w:pPr>
        <w:widowControl/>
        <w:spacing w:line="360" w:lineRule="auto"/>
        <w:ind w:firstLine="1440"/>
        <w:rPr>
          <w:color w:val="000000" w:themeColor="text1"/>
          <w:szCs w:val="26"/>
        </w:rPr>
      </w:pPr>
      <w:r w:rsidRPr="0029160A">
        <w:rPr>
          <w:color w:val="000000" w:themeColor="text1"/>
          <w:szCs w:val="26"/>
        </w:rPr>
        <w:t xml:space="preserve">In OCA Exception No. 3, the OCA contends the ALJs erred by rejecting the OCA’s proposed downward adjustment of $88,447 and accepting I&amp;E’s proposed downward adjustment of $29,016.  The OCA provides that its recommendation is based on a three-year average (2015-2017) expense for the Account, due to the variance of expenses in the Account over the years.  The OCA notes that the new employee training costs are unlikely to continue in future years unless the Company plans to hire new employees.  OCA Exc. at 7-9; OCA M.B. at 25-27; OCA R.B. at 15-17. </w:t>
      </w:r>
    </w:p>
    <w:p w14:paraId="043F4BCC" w14:textId="77777777" w:rsidR="00893771" w:rsidRPr="0029160A" w:rsidRDefault="00893771" w:rsidP="00CB0B2E">
      <w:pPr>
        <w:widowControl/>
        <w:spacing w:line="360" w:lineRule="auto"/>
        <w:ind w:firstLine="1440"/>
        <w:rPr>
          <w:color w:val="000000" w:themeColor="text1"/>
          <w:szCs w:val="26"/>
        </w:rPr>
      </w:pPr>
    </w:p>
    <w:p w14:paraId="0B4B7CCC" w14:textId="3A4AF0A5" w:rsidR="00475586" w:rsidRPr="0029160A" w:rsidRDefault="00893771" w:rsidP="00CB0B2E">
      <w:pPr>
        <w:widowControl/>
        <w:spacing w:line="360" w:lineRule="auto"/>
        <w:ind w:firstLine="1440"/>
        <w:rPr>
          <w:color w:val="000000" w:themeColor="text1"/>
          <w:szCs w:val="26"/>
        </w:rPr>
      </w:pPr>
      <w:r w:rsidRPr="0029160A">
        <w:rPr>
          <w:color w:val="000000" w:themeColor="text1"/>
          <w:szCs w:val="26"/>
        </w:rPr>
        <w:t>In Replies to OCA Exception No. 3, Wellsboro contends that the Commission should reject the OCA’s reliance on stale data to support adjusting this expense claim.  Wellsboro submits that the OCA</w:t>
      </w:r>
      <w:r w:rsidR="003641CE" w:rsidRPr="0029160A">
        <w:rPr>
          <w:color w:val="000000" w:themeColor="text1"/>
          <w:szCs w:val="26"/>
        </w:rPr>
        <w:t>’</w:t>
      </w:r>
      <w:r w:rsidRPr="0029160A">
        <w:rPr>
          <w:color w:val="000000" w:themeColor="text1"/>
          <w:szCs w:val="26"/>
        </w:rPr>
        <w:t xml:space="preserve">s Exception for this account is arbitrary, unreasonable, and should be rejected because the OCA opts to use stale, nearly five-year-old data (2015-2017) and ignores both 2018 data and 2019 </w:t>
      </w:r>
      <w:r w:rsidR="009472D5" w:rsidRPr="0029160A">
        <w:rPr>
          <w:color w:val="000000" w:themeColor="text1"/>
          <w:szCs w:val="26"/>
        </w:rPr>
        <w:t>YTD</w:t>
      </w:r>
      <w:r w:rsidRPr="0029160A">
        <w:rPr>
          <w:color w:val="000000" w:themeColor="text1"/>
          <w:szCs w:val="26"/>
        </w:rPr>
        <w:t xml:space="preserve"> data supporting a vastly </w:t>
      </w:r>
      <w:r w:rsidRPr="0029160A">
        <w:rPr>
          <w:color w:val="000000" w:themeColor="text1"/>
          <w:szCs w:val="26"/>
        </w:rPr>
        <w:lastRenderedPageBreak/>
        <w:t xml:space="preserve">higher allowance than </w:t>
      </w:r>
      <w:r w:rsidR="009A53D1" w:rsidRPr="0029160A">
        <w:rPr>
          <w:color w:val="000000" w:themeColor="text1"/>
          <w:szCs w:val="26"/>
        </w:rPr>
        <w:t xml:space="preserve">the </w:t>
      </w:r>
      <w:r w:rsidRPr="0029160A">
        <w:rPr>
          <w:color w:val="000000" w:themeColor="text1"/>
          <w:szCs w:val="26"/>
        </w:rPr>
        <w:t xml:space="preserve">OCA recommends.  Wellsboro R. Exc. at 3-5; Wellsboro M.B. at 45; Tr. </w:t>
      </w:r>
      <w:r w:rsidR="00392B0E" w:rsidRPr="0029160A">
        <w:rPr>
          <w:color w:val="000000" w:themeColor="text1"/>
          <w:szCs w:val="26"/>
        </w:rPr>
        <w:t xml:space="preserve">at </w:t>
      </w:r>
      <w:r w:rsidRPr="0029160A">
        <w:rPr>
          <w:color w:val="000000" w:themeColor="text1"/>
          <w:szCs w:val="26"/>
        </w:rPr>
        <w:t>178; Wellsboro St. 1-R at 4.</w:t>
      </w:r>
    </w:p>
    <w:p w14:paraId="69FF4D9D" w14:textId="77777777" w:rsidR="00475586" w:rsidRPr="0029160A" w:rsidRDefault="00475586" w:rsidP="0052404E">
      <w:pPr>
        <w:widowControl/>
        <w:spacing w:line="360" w:lineRule="auto"/>
        <w:rPr>
          <w:color w:val="000000" w:themeColor="text1"/>
          <w:szCs w:val="26"/>
        </w:rPr>
      </w:pPr>
    </w:p>
    <w:p w14:paraId="02516006" w14:textId="77777777" w:rsidR="00475586" w:rsidRPr="0029160A" w:rsidRDefault="00475586" w:rsidP="00CB0B2E">
      <w:pPr>
        <w:pStyle w:val="Heading4"/>
        <w:keepNext/>
        <w:keepLines/>
        <w:ind w:hanging="720"/>
        <w:contextualSpacing w:val="0"/>
        <w:rPr>
          <w:color w:val="000000" w:themeColor="text1"/>
        </w:rPr>
      </w:pPr>
      <w:bookmarkStart w:id="88" w:name="_Toc38951768"/>
      <w:r w:rsidRPr="0029160A">
        <w:rPr>
          <w:color w:val="000000" w:themeColor="text1"/>
        </w:rPr>
        <w:t>Disposition</w:t>
      </w:r>
      <w:bookmarkEnd w:id="88"/>
    </w:p>
    <w:p w14:paraId="06DD6D72" w14:textId="77777777" w:rsidR="00475586" w:rsidRPr="0029160A" w:rsidRDefault="00475586" w:rsidP="0052404E">
      <w:pPr>
        <w:keepNext/>
        <w:keepLines/>
        <w:widowControl/>
        <w:spacing w:line="360" w:lineRule="auto"/>
        <w:rPr>
          <w:color w:val="000000" w:themeColor="text1"/>
          <w:szCs w:val="26"/>
        </w:rPr>
      </w:pPr>
    </w:p>
    <w:p w14:paraId="77BC68C8" w14:textId="66A903B4" w:rsidR="00475586" w:rsidRPr="0029160A" w:rsidRDefault="002704ED" w:rsidP="0052404E">
      <w:pPr>
        <w:widowControl/>
        <w:spacing w:line="360" w:lineRule="auto"/>
        <w:ind w:firstLine="1440"/>
        <w:rPr>
          <w:color w:val="000000" w:themeColor="text1"/>
          <w:szCs w:val="26"/>
        </w:rPr>
      </w:pPr>
      <w:r w:rsidRPr="0029160A">
        <w:rPr>
          <w:color w:val="000000" w:themeColor="text1"/>
          <w:szCs w:val="26"/>
        </w:rPr>
        <w:t xml:space="preserve">Upon review, we find that the future employee retirements and related training expenses for new employees are uncertain and there is insufficient evidence to support Wellsboro’s full claim of $219,007.  Thus, we agree with the ALJs’ recommendation to accept I&amp;E’s downward adjustment of $29,016 related to training costs.  We also agree with the ALJs’ recommendation to add an adjustment of $14,934 for additional labor costs due to an employee being on short term disability.  We disagree with the OCA’s recommendation to </w:t>
      </w:r>
      <w:r w:rsidR="0020183B" w:rsidRPr="0029160A">
        <w:rPr>
          <w:color w:val="000000" w:themeColor="text1"/>
          <w:szCs w:val="26"/>
        </w:rPr>
        <w:t xml:space="preserve">normalize the expense claim for </w:t>
      </w:r>
      <w:r w:rsidRPr="0029160A">
        <w:rPr>
          <w:color w:val="000000" w:themeColor="text1"/>
          <w:szCs w:val="26"/>
        </w:rPr>
        <w:t>Account 588</w:t>
      </w:r>
      <w:r w:rsidR="0020183B" w:rsidRPr="0029160A">
        <w:rPr>
          <w:color w:val="000000" w:themeColor="text1"/>
          <w:szCs w:val="26"/>
        </w:rPr>
        <w:t xml:space="preserve"> based</w:t>
      </w:r>
      <w:r w:rsidRPr="0029160A">
        <w:rPr>
          <w:color w:val="000000" w:themeColor="text1"/>
          <w:szCs w:val="26"/>
        </w:rPr>
        <w:t xml:space="preserve"> on </w:t>
      </w:r>
      <w:r w:rsidR="003E2AB5" w:rsidRPr="0029160A">
        <w:rPr>
          <w:color w:val="000000" w:themeColor="text1"/>
          <w:szCs w:val="26"/>
        </w:rPr>
        <w:t>a three</w:t>
      </w:r>
      <w:r w:rsidR="007C7206" w:rsidRPr="0029160A">
        <w:rPr>
          <w:color w:val="000000" w:themeColor="text1"/>
          <w:szCs w:val="26"/>
        </w:rPr>
        <w:t>-</w:t>
      </w:r>
      <w:r w:rsidR="003E2AB5" w:rsidRPr="0029160A">
        <w:rPr>
          <w:color w:val="000000" w:themeColor="text1"/>
          <w:szCs w:val="26"/>
        </w:rPr>
        <w:t>year average from 2015-2017 as this average uses data that is three to five years old and recommends an amount of $130,860</w:t>
      </w:r>
      <w:r w:rsidR="003D734D" w:rsidRPr="0029160A">
        <w:rPr>
          <w:color w:val="000000" w:themeColor="text1"/>
          <w:szCs w:val="26"/>
        </w:rPr>
        <w:t>,</w:t>
      </w:r>
      <w:r w:rsidR="003E2AB5" w:rsidRPr="0029160A">
        <w:rPr>
          <w:color w:val="000000" w:themeColor="text1"/>
          <w:szCs w:val="26"/>
        </w:rPr>
        <w:t xml:space="preserve"> which is substantially less than even the 2019 actual </w:t>
      </w:r>
      <w:r w:rsidR="005E53C0" w:rsidRPr="0029160A">
        <w:rPr>
          <w:color w:val="000000" w:themeColor="text1"/>
          <w:szCs w:val="26"/>
        </w:rPr>
        <w:t>nine</w:t>
      </w:r>
      <w:r w:rsidR="009D4D60" w:rsidRPr="0029160A">
        <w:rPr>
          <w:color w:val="000000" w:themeColor="text1"/>
          <w:szCs w:val="26"/>
        </w:rPr>
        <w:t>-</w:t>
      </w:r>
      <w:r w:rsidR="003E2AB5" w:rsidRPr="0029160A">
        <w:rPr>
          <w:color w:val="000000" w:themeColor="text1"/>
          <w:szCs w:val="26"/>
        </w:rPr>
        <w:t xml:space="preserve">month amount of $169,106.  OCA Exc. at 9.  Wellsboro St. 1-R at 4. </w:t>
      </w:r>
      <w:r w:rsidRPr="0029160A">
        <w:rPr>
          <w:color w:val="000000" w:themeColor="text1"/>
          <w:szCs w:val="26"/>
        </w:rPr>
        <w:t xml:space="preserve"> Accordingly, we shall deny Wellsboro’s Exception No. 5 and OCA’s Exception No. 3.</w:t>
      </w:r>
      <w:r w:rsidR="00153B3B" w:rsidRPr="0029160A">
        <w:rPr>
          <w:color w:val="000000" w:themeColor="text1"/>
          <w:szCs w:val="26"/>
        </w:rPr>
        <w:t xml:space="preserve">  </w:t>
      </w:r>
    </w:p>
    <w:p w14:paraId="120CC499" w14:textId="77777777" w:rsidR="00475586" w:rsidRPr="0029160A" w:rsidRDefault="00475586" w:rsidP="0052404E">
      <w:pPr>
        <w:widowControl/>
        <w:spacing w:line="360" w:lineRule="auto"/>
        <w:rPr>
          <w:color w:val="000000" w:themeColor="text1"/>
        </w:rPr>
      </w:pPr>
    </w:p>
    <w:p w14:paraId="0EDEE732" w14:textId="77777777" w:rsidR="00F11420" w:rsidRPr="0029160A" w:rsidRDefault="008463A0" w:rsidP="00CB0B2E">
      <w:pPr>
        <w:pStyle w:val="Heading3"/>
        <w:ind w:left="1440" w:hanging="720"/>
        <w:contextualSpacing w:val="0"/>
        <w:rPr>
          <w:color w:val="000000" w:themeColor="text1"/>
        </w:rPr>
      </w:pPr>
      <w:bookmarkStart w:id="89" w:name="_Toc36552357"/>
      <w:bookmarkStart w:id="90" w:name="_Toc38951769"/>
      <w:r w:rsidRPr="0029160A">
        <w:rPr>
          <w:color w:val="000000" w:themeColor="text1"/>
        </w:rPr>
        <w:t xml:space="preserve">Expenses:  </w:t>
      </w:r>
      <w:r w:rsidR="00F11420" w:rsidRPr="0029160A">
        <w:rPr>
          <w:color w:val="000000" w:themeColor="text1"/>
        </w:rPr>
        <w:t>Maintenance Supervision and Engineering (Account 590)</w:t>
      </w:r>
      <w:bookmarkEnd w:id="89"/>
      <w:bookmarkEnd w:id="90"/>
    </w:p>
    <w:p w14:paraId="185812D4" w14:textId="77777777" w:rsidR="00893771" w:rsidRPr="0029160A" w:rsidRDefault="00893771" w:rsidP="0052404E">
      <w:pPr>
        <w:widowControl/>
        <w:spacing w:line="360" w:lineRule="auto"/>
        <w:rPr>
          <w:color w:val="000000" w:themeColor="text1"/>
        </w:rPr>
      </w:pPr>
    </w:p>
    <w:p w14:paraId="05D70232" w14:textId="247DDB84" w:rsidR="00F11420" w:rsidRPr="0029160A" w:rsidRDefault="00F11420" w:rsidP="00CB0B2E">
      <w:pPr>
        <w:pStyle w:val="Heading4"/>
        <w:numPr>
          <w:ilvl w:val="0"/>
          <w:numId w:val="22"/>
        </w:numPr>
        <w:ind w:hanging="720"/>
        <w:contextualSpacing w:val="0"/>
        <w:rPr>
          <w:color w:val="000000" w:themeColor="text1"/>
        </w:rPr>
      </w:pPr>
      <w:bookmarkStart w:id="91" w:name="_Toc38951770"/>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91"/>
    </w:p>
    <w:p w14:paraId="247BEDF7" w14:textId="77777777" w:rsidR="00F11420" w:rsidRPr="0029160A" w:rsidRDefault="00F11420" w:rsidP="0052404E">
      <w:pPr>
        <w:widowControl/>
        <w:spacing w:line="360" w:lineRule="auto"/>
        <w:rPr>
          <w:color w:val="000000" w:themeColor="text1"/>
          <w:szCs w:val="26"/>
        </w:rPr>
      </w:pPr>
    </w:p>
    <w:p w14:paraId="4164E03E" w14:textId="39B3F7B0" w:rsidR="00893771" w:rsidRPr="0029160A" w:rsidRDefault="00893771" w:rsidP="00CB0B2E">
      <w:pPr>
        <w:widowControl/>
        <w:spacing w:line="360" w:lineRule="auto"/>
        <w:ind w:firstLine="1440"/>
        <w:rPr>
          <w:color w:val="000000" w:themeColor="text1"/>
          <w:szCs w:val="26"/>
        </w:rPr>
      </w:pPr>
      <w:r w:rsidRPr="0029160A">
        <w:rPr>
          <w:color w:val="000000" w:themeColor="text1"/>
          <w:szCs w:val="26"/>
        </w:rPr>
        <w:t>Wellsboro claimed $80,232 for Account 590.  Wellsboro M.B. at 45 (citing I&amp;E St. 1 at 11).  Wellsboro explained that the Maintenance, Supervision &amp; Engineering account reflects employee labor and overhead for activities allocated to this account.  According to Wellsboro, as operational needs change during the year, the expense can vary.  Wellsboro M.B. at 45 (citing Wellsboro St</w:t>
      </w:r>
      <w:r w:rsidR="00204902" w:rsidRPr="0029160A">
        <w:rPr>
          <w:color w:val="000000" w:themeColor="text1"/>
          <w:szCs w:val="26"/>
        </w:rPr>
        <w:t>.</w:t>
      </w:r>
      <w:r w:rsidRPr="0029160A">
        <w:rPr>
          <w:color w:val="000000" w:themeColor="text1"/>
          <w:szCs w:val="26"/>
        </w:rPr>
        <w:t xml:space="preserve"> 6-R at 8).  Wellsboro provided the FTY annualized as $63</w:t>
      </w:r>
      <w:r w:rsidR="00D7733E" w:rsidRPr="0029160A">
        <w:rPr>
          <w:color w:val="000000" w:themeColor="text1"/>
          <w:szCs w:val="26"/>
        </w:rPr>
        <w:t>,</w:t>
      </w:r>
      <w:r w:rsidRPr="0029160A">
        <w:rPr>
          <w:color w:val="000000" w:themeColor="text1"/>
          <w:szCs w:val="26"/>
        </w:rPr>
        <w:t xml:space="preserve">373 with a </w:t>
      </w:r>
      <w:r w:rsidR="0053531F" w:rsidRPr="0029160A">
        <w:rPr>
          <w:color w:val="000000" w:themeColor="text1"/>
          <w:szCs w:val="26"/>
        </w:rPr>
        <w:t>three percent</w:t>
      </w:r>
      <w:r w:rsidRPr="0029160A">
        <w:rPr>
          <w:color w:val="000000" w:themeColor="text1"/>
          <w:szCs w:val="26"/>
        </w:rPr>
        <w:t xml:space="preserve"> adjustment equals $65,275.  Wellsboro St. 1</w:t>
      </w:r>
      <w:r w:rsidR="006F3745" w:rsidRPr="0029160A">
        <w:rPr>
          <w:color w:val="000000" w:themeColor="text1"/>
          <w:szCs w:val="26"/>
        </w:rPr>
        <w:noBreakHyphen/>
      </w:r>
      <w:r w:rsidRPr="0029160A">
        <w:rPr>
          <w:color w:val="000000" w:themeColor="text1"/>
          <w:szCs w:val="26"/>
        </w:rPr>
        <w:t xml:space="preserve">R at 4.  </w:t>
      </w:r>
    </w:p>
    <w:p w14:paraId="55FB7740" w14:textId="77777777" w:rsidR="00893771" w:rsidRPr="0029160A" w:rsidRDefault="00893771" w:rsidP="00CB0B2E">
      <w:pPr>
        <w:widowControl/>
        <w:spacing w:line="360" w:lineRule="auto"/>
        <w:ind w:firstLine="1440"/>
        <w:rPr>
          <w:color w:val="000000" w:themeColor="text1"/>
          <w:szCs w:val="26"/>
        </w:rPr>
      </w:pPr>
    </w:p>
    <w:p w14:paraId="2B1AAC17" w14:textId="77777777" w:rsidR="00893771" w:rsidRPr="0029160A" w:rsidRDefault="00893771" w:rsidP="00CB0B2E">
      <w:pPr>
        <w:widowControl/>
        <w:spacing w:line="360" w:lineRule="auto"/>
        <w:ind w:firstLine="1440"/>
        <w:rPr>
          <w:color w:val="000000" w:themeColor="text1"/>
          <w:szCs w:val="26"/>
        </w:rPr>
      </w:pPr>
      <w:r w:rsidRPr="0029160A">
        <w:rPr>
          <w:color w:val="000000" w:themeColor="text1"/>
          <w:szCs w:val="26"/>
        </w:rPr>
        <w:lastRenderedPageBreak/>
        <w:t>I&amp;E explained that the Company stated that the FTY expense increased by $69,889 over the HTY expense of $8,006 due to filling an employee vacancy in the VP Engineering and Operations/C</w:t>
      </w:r>
      <w:r w:rsidR="005A24EA" w:rsidRPr="0029160A">
        <w:rPr>
          <w:color w:val="000000" w:themeColor="text1"/>
          <w:szCs w:val="26"/>
        </w:rPr>
        <w:t>hief Operating Officer (C</w:t>
      </w:r>
      <w:r w:rsidRPr="0029160A">
        <w:rPr>
          <w:color w:val="000000" w:themeColor="text1"/>
          <w:szCs w:val="26"/>
        </w:rPr>
        <w:t>OO</w:t>
      </w:r>
      <w:r w:rsidR="005A24EA" w:rsidRPr="0029160A">
        <w:rPr>
          <w:color w:val="000000" w:themeColor="text1"/>
          <w:szCs w:val="26"/>
        </w:rPr>
        <w:t>)</w:t>
      </w:r>
      <w:r w:rsidRPr="0029160A">
        <w:rPr>
          <w:color w:val="000000" w:themeColor="text1"/>
          <w:szCs w:val="26"/>
        </w:rPr>
        <w:t xml:space="preserve"> position.  I&amp;E St. 1 at 12 (citing I&amp;E Exh. 1, Schedule 4, at 1-2).  I&amp;E noted that the Company’s actual expense for the first six months of the FTY was $29,447</w:t>
      </w:r>
      <w:r w:rsidR="00B86C63" w:rsidRPr="0029160A">
        <w:rPr>
          <w:color w:val="000000" w:themeColor="text1"/>
          <w:szCs w:val="26"/>
        </w:rPr>
        <w:t>,</w:t>
      </w:r>
      <w:r w:rsidRPr="0029160A">
        <w:rPr>
          <w:color w:val="000000" w:themeColor="text1"/>
          <w:szCs w:val="26"/>
        </w:rPr>
        <w:t xml:space="preserve"> which translates to an annualized expense of $58,894 for the FTY.  I&amp;E St. 1 at 12 (citing I&amp;E Exh. 1, Schedule 3 at 1-2).  I&amp;E reasoned that, therefore, the Company’s projected claim of $77,895 in the FTY and the FPFTY claim of $80,232 (applying the </w:t>
      </w:r>
      <w:r w:rsidR="0053531F" w:rsidRPr="0029160A">
        <w:rPr>
          <w:color w:val="000000" w:themeColor="text1"/>
          <w:szCs w:val="26"/>
        </w:rPr>
        <w:t>three percent</w:t>
      </w:r>
      <w:r w:rsidRPr="0029160A">
        <w:rPr>
          <w:color w:val="000000" w:themeColor="text1"/>
          <w:szCs w:val="26"/>
        </w:rPr>
        <w:t xml:space="preserve"> adjustment) are not supported.  I&amp;E St. 1 at 12.  </w:t>
      </w:r>
    </w:p>
    <w:p w14:paraId="3948C007" w14:textId="77777777" w:rsidR="00893771" w:rsidRPr="0029160A" w:rsidRDefault="00893771" w:rsidP="00CB0B2E">
      <w:pPr>
        <w:widowControl/>
        <w:spacing w:line="360" w:lineRule="auto"/>
        <w:ind w:firstLine="1440"/>
        <w:rPr>
          <w:color w:val="000000" w:themeColor="text1"/>
          <w:szCs w:val="26"/>
        </w:rPr>
      </w:pPr>
    </w:p>
    <w:p w14:paraId="36FBA5EF" w14:textId="77777777" w:rsidR="00893771" w:rsidRPr="0029160A" w:rsidRDefault="00893771" w:rsidP="00CB0B2E">
      <w:pPr>
        <w:widowControl/>
        <w:spacing w:line="360" w:lineRule="auto"/>
        <w:ind w:firstLine="1440"/>
        <w:rPr>
          <w:color w:val="000000" w:themeColor="text1"/>
          <w:szCs w:val="26"/>
        </w:rPr>
      </w:pPr>
      <w:r w:rsidRPr="0029160A">
        <w:rPr>
          <w:color w:val="000000" w:themeColor="text1"/>
          <w:szCs w:val="26"/>
        </w:rPr>
        <w:t xml:space="preserve">I&amp;E accepted the Company’s revised claim of $65,275 which was calculated based on nine months of actual FTY expense.  I&amp;E St. 1-SR at 19.  </w:t>
      </w:r>
    </w:p>
    <w:p w14:paraId="6F19900C" w14:textId="77777777" w:rsidR="00F11420" w:rsidRPr="0029160A" w:rsidRDefault="00F11420" w:rsidP="0052404E">
      <w:pPr>
        <w:widowControl/>
        <w:spacing w:line="360" w:lineRule="auto"/>
        <w:rPr>
          <w:color w:val="000000" w:themeColor="text1"/>
          <w:szCs w:val="26"/>
        </w:rPr>
      </w:pPr>
    </w:p>
    <w:p w14:paraId="42B80E7A" w14:textId="77777777" w:rsidR="00F11420" w:rsidRPr="0029160A" w:rsidRDefault="00F11420" w:rsidP="00CB0B2E">
      <w:pPr>
        <w:pStyle w:val="Heading4"/>
        <w:keepNext/>
        <w:keepLines/>
        <w:ind w:hanging="720"/>
        <w:contextualSpacing w:val="0"/>
        <w:rPr>
          <w:color w:val="000000" w:themeColor="text1"/>
        </w:rPr>
      </w:pPr>
      <w:bookmarkStart w:id="92" w:name="_Toc38951771"/>
      <w:r w:rsidRPr="0029160A">
        <w:rPr>
          <w:color w:val="000000" w:themeColor="text1"/>
        </w:rPr>
        <w:t>Recommended Decision</w:t>
      </w:r>
      <w:bookmarkEnd w:id="92"/>
    </w:p>
    <w:p w14:paraId="2A102A60" w14:textId="77777777" w:rsidR="00F11420" w:rsidRPr="0029160A" w:rsidRDefault="00F11420" w:rsidP="0052404E">
      <w:pPr>
        <w:keepNext/>
        <w:keepLines/>
        <w:widowControl/>
        <w:spacing w:line="360" w:lineRule="auto"/>
        <w:rPr>
          <w:color w:val="000000" w:themeColor="text1"/>
          <w:szCs w:val="26"/>
        </w:rPr>
      </w:pPr>
    </w:p>
    <w:p w14:paraId="4936665D" w14:textId="712EC0CC" w:rsidR="00F11420" w:rsidRPr="0029160A" w:rsidRDefault="00C53837" w:rsidP="00CB0B2E">
      <w:pPr>
        <w:widowControl/>
        <w:spacing w:line="360" w:lineRule="auto"/>
        <w:ind w:firstLine="1440"/>
        <w:rPr>
          <w:color w:val="000000" w:themeColor="text1"/>
          <w:szCs w:val="26"/>
        </w:rPr>
      </w:pPr>
      <w:r w:rsidRPr="0029160A">
        <w:rPr>
          <w:color w:val="000000" w:themeColor="text1"/>
          <w:szCs w:val="26"/>
        </w:rPr>
        <w:t>The ALJs recommended that the Commission allow Wellsboro to recover $63,373 for Maintenance Supervision and Engineering (Account 590)</w:t>
      </w:r>
      <w:r w:rsidR="00B86C63" w:rsidRPr="0029160A">
        <w:rPr>
          <w:color w:val="000000" w:themeColor="text1"/>
          <w:szCs w:val="26"/>
        </w:rPr>
        <w:t xml:space="preserve"> expense</w:t>
      </w:r>
      <w:r w:rsidRPr="0029160A">
        <w:rPr>
          <w:color w:val="000000" w:themeColor="text1"/>
          <w:szCs w:val="26"/>
        </w:rPr>
        <w:t xml:space="preserve">.  The ALJs found that </w:t>
      </w:r>
      <w:r w:rsidRPr="0029160A">
        <w:rPr>
          <w:color w:val="000000" w:themeColor="text1"/>
          <w:spacing w:val="2"/>
          <w:szCs w:val="26"/>
        </w:rPr>
        <w:t xml:space="preserve">Wellsboro did not provide justification for its original claim of $80,232 for </w:t>
      </w:r>
      <w:r w:rsidR="00672D4F" w:rsidRPr="0029160A">
        <w:rPr>
          <w:color w:val="000000" w:themeColor="text1"/>
          <w:spacing w:val="2"/>
          <w:szCs w:val="26"/>
        </w:rPr>
        <w:t>M</w:t>
      </w:r>
      <w:r w:rsidRPr="0029160A">
        <w:rPr>
          <w:color w:val="000000" w:themeColor="text1"/>
          <w:spacing w:val="2"/>
          <w:szCs w:val="26"/>
        </w:rPr>
        <w:t xml:space="preserve">aintenance </w:t>
      </w:r>
      <w:r w:rsidR="00672D4F" w:rsidRPr="0029160A">
        <w:rPr>
          <w:color w:val="000000" w:themeColor="text1"/>
          <w:spacing w:val="2"/>
          <w:szCs w:val="26"/>
        </w:rPr>
        <w:t>S</w:t>
      </w:r>
      <w:r w:rsidRPr="0029160A">
        <w:rPr>
          <w:color w:val="000000" w:themeColor="text1"/>
          <w:spacing w:val="2"/>
          <w:szCs w:val="26"/>
        </w:rPr>
        <w:t xml:space="preserve">upervision and </w:t>
      </w:r>
      <w:r w:rsidR="00672D4F" w:rsidRPr="0029160A">
        <w:rPr>
          <w:color w:val="000000" w:themeColor="text1"/>
          <w:spacing w:val="2"/>
          <w:szCs w:val="26"/>
        </w:rPr>
        <w:t>E</w:t>
      </w:r>
      <w:r w:rsidRPr="0029160A">
        <w:rPr>
          <w:color w:val="000000" w:themeColor="text1"/>
          <w:spacing w:val="2"/>
          <w:szCs w:val="26"/>
        </w:rPr>
        <w:t>ngineering in the FPFTY.</w:t>
      </w:r>
      <w:r w:rsidR="00672D4F" w:rsidRPr="0029160A">
        <w:rPr>
          <w:color w:val="000000" w:themeColor="text1"/>
          <w:spacing w:val="2"/>
          <w:szCs w:val="26"/>
        </w:rPr>
        <w:t xml:space="preserve">  </w:t>
      </w:r>
      <w:r w:rsidRPr="0029160A">
        <w:rPr>
          <w:color w:val="000000" w:themeColor="text1"/>
          <w:spacing w:val="2"/>
          <w:szCs w:val="26"/>
        </w:rPr>
        <w:t xml:space="preserve">The ALJs accepted I&amp;E’s explanation concerning the employee who spent additional time on an Account 588 task, in that </w:t>
      </w:r>
      <w:r w:rsidR="006E2B1A" w:rsidRPr="0029160A">
        <w:rPr>
          <w:color w:val="000000" w:themeColor="text1"/>
          <w:spacing w:val="2"/>
          <w:szCs w:val="26"/>
        </w:rPr>
        <w:t xml:space="preserve">Wellsboro did not provide any </w:t>
      </w:r>
      <w:r w:rsidR="001968AA" w:rsidRPr="0029160A">
        <w:rPr>
          <w:color w:val="000000" w:themeColor="text1"/>
          <w:spacing w:val="2"/>
          <w:szCs w:val="26"/>
        </w:rPr>
        <w:t>evidence that</w:t>
      </w:r>
      <w:r w:rsidRPr="0029160A">
        <w:rPr>
          <w:color w:val="000000" w:themeColor="text1"/>
          <w:spacing w:val="2"/>
          <w:szCs w:val="26"/>
        </w:rPr>
        <w:t xml:space="preserve"> the issue concerning this particular employee will exist in both accounts in the FPFTY.  Given the lack of justification for the claim, the ALJs concluded it is more appropriate to use the annualized figure based </w:t>
      </w:r>
      <w:r w:rsidR="00B86C63" w:rsidRPr="0029160A">
        <w:rPr>
          <w:color w:val="000000" w:themeColor="text1"/>
          <w:spacing w:val="2"/>
          <w:szCs w:val="26"/>
        </w:rPr>
        <w:t>on</w:t>
      </w:r>
      <w:r w:rsidRPr="0029160A">
        <w:rPr>
          <w:color w:val="000000" w:themeColor="text1"/>
          <w:spacing w:val="2"/>
          <w:szCs w:val="26"/>
        </w:rPr>
        <w:t xml:space="preserve"> the most recent information provided by the Company, that is, the </w:t>
      </w:r>
      <w:r w:rsidR="00B86C63" w:rsidRPr="0029160A">
        <w:rPr>
          <w:color w:val="000000" w:themeColor="text1"/>
          <w:spacing w:val="2"/>
          <w:szCs w:val="26"/>
        </w:rPr>
        <w:t>nine</w:t>
      </w:r>
      <w:r w:rsidRPr="0029160A">
        <w:rPr>
          <w:color w:val="000000" w:themeColor="text1"/>
          <w:spacing w:val="2"/>
          <w:szCs w:val="26"/>
        </w:rPr>
        <w:t xml:space="preserve">-month YTD data provided by Wellsboro for its claim in the FPFTY.  According to the ALJs, the </w:t>
      </w:r>
      <w:r w:rsidR="00B86C63" w:rsidRPr="0029160A">
        <w:rPr>
          <w:color w:val="000000" w:themeColor="text1"/>
          <w:spacing w:val="2"/>
          <w:szCs w:val="26"/>
        </w:rPr>
        <w:t>nine</w:t>
      </w:r>
      <w:r w:rsidRPr="0029160A">
        <w:rPr>
          <w:color w:val="000000" w:themeColor="text1"/>
          <w:spacing w:val="2"/>
          <w:szCs w:val="26"/>
        </w:rPr>
        <w:t>-month data annualized supports a FPFTY claim of $63,373, with no inflation adjustment added.</w:t>
      </w:r>
      <w:r w:rsidRPr="0029160A">
        <w:rPr>
          <w:color w:val="000000" w:themeColor="text1"/>
          <w:szCs w:val="26"/>
        </w:rPr>
        <w:t xml:space="preserve"> </w:t>
      </w:r>
      <w:r w:rsidR="004D2EA1">
        <w:rPr>
          <w:color w:val="000000" w:themeColor="text1"/>
          <w:szCs w:val="26"/>
        </w:rPr>
        <w:t xml:space="preserve"> </w:t>
      </w:r>
      <w:r w:rsidRPr="0029160A">
        <w:rPr>
          <w:color w:val="000000" w:themeColor="text1"/>
          <w:szCs w:val="26"/>
        </w:rPr>
        <w:t>R.D. at 34.</w:t>
      </w:r>
    </w:p>
    <w:p w14:paraId="4701CE2F" w14:textId="77777777" w:rsidR="00C53837" w:rsidRPr="0029160A" w:rsidRDefault="00C53837" w:rsidP="00CB0B2E">
      <w:pPr>
        <w:widowControl/>
        <w:spacing w:line="360" w:lineRule="auto"/>
        <w:ind w:firstLine="1440"/>
        <w:rPr>
          <w:color w:val="000000" w:themeColor="text1"/>
          <w:szCs w:val="26"/>
        </w:rPr>
      </w:pPr>
    </w:p>
    <w:p w14:paraId="2B4FB718" w14:textId="77777777" w:rsidR="00F11420" w:rsidRPr="0029160A" w:rsidRDefault="00312B42" w:rsidP="00CB0B2E">
      <w:pPr>
        <w:pStyle w:val="Heading4"/>
        <w:keepNext/>
        <w:ind w:hanging="720"/>
        <w:contextualSpacing w:val="0"/>
        <w:rPr>
          <w:color w:val="000000" w:themeColor="text1"/>
        </w:rPr>
      </w:pPr>
      <w:bookmarkStart w:id="93" w:name="_Toc38951772"/>
      <w:r w:rsidRPr="0029160A">
        <w:rPr>
          <w:color w:val="000000" w:themeColor="text1"/>
        </w:rPr>
        <w:lastRenderedPageBreak/>
        <w:t>Wellsboro Exception No. 6 and Replies</w:t>
      </w:r>
      <w:bookmarkEnd w:id="93"/>
    </w:p>
    <w:p w14:paraId="2C2FDB47" w14:textId="77777777" w:rsidR="00F11420" w:rsidRPr="0029160A" w:rsidRDefault="00F11420" w:rsidP="0052404E">
      <w:pPr>
        <w:keepNext/>
        <w:widowControl/>
        <w:spacing w:line="360" w:lineRule="auto"/>
        <w:rPr>
          <w:color w:val="000000" w:themeColor="text1"/>
          <w:szCs w:val="26"/>
        </w:rPr>
      </w:pPr>
    </w:p>
    <w:p w14:paraId="42FBF82D" w14:textId="7F40E08D" w:rsidR="00C53837" w:rsidRPr="0029160A" w:rsidRDefault="00C53837" w:rsidP="00CB0B2E">
      <w:pPr>
        <w:keepNext/>
        <w:widowControl/>
        <w:spacing w:line="360" w:lineRule="auto"/>
        <w:ind w:firstLine="1440"/>
        <w:rPr>
          <w:color w:val="000000" w:themeColor="text1"/>
          <w:szCs w:val="26"/>
        </w:rPr>
      </w:pPr>
      <w:r w:rsidRPr="0029160A">
        <w:rPr>
          <w:color w:val="000000" w:themeColor="text1"/>
          <w:szCs w:val="26"/>
        </w:rPr>
        <w:t xml:space="preserve">In Wellsboro Exception No. 6, Wellsboro asserts that the ALJs erred in finding that the Company did not justify the full expense </w:t>
      </w:r>
      <w:r w:rsidR="00B86C63" w:rsidRPr="0029160A">
        <w:rPr>
          <w:color w:val="000000" w:themeColor="text1"/>
          <w:szCs w:val="26"/>
        </w:rPr>
        <w:t xml:space="preserve">amount for its </w:t>
      </w:r>
      <w:r w:rsidRPr="0029160A">
        <w:rPr>
          <w:color w:val="000000" w:themeColor="text1"/>
          <w:szCs w:val="26"/>
        </w:rPr>
        <w:t xml:space="preserve">claim </w:t>
      </w:r>
      <w:r w:rsidR="00B86C63" w:rsidRPr="0029160A">
        <w:rPr>
          <w:color w:val="000000" w:themeColor="text1"/>
          <w:szCs w:val="26"/>
        </w:rPr>
        <w:t xml:space="preserve">of $80,232 </w:t>
      </w:r>
      <w:r w:rsidRPr="0029160A">
        <w:rPr>
          <w:color w:val="000000" w:themeColor="text1"/>
          <w:szCs w:val="26"/>
        </w:rPr>
        <w:t xml:space="preserve">for Account 590.  Account 590 includes employee salaries, wages and overhead (employee benefits) expenses. Wellsboro contends that the Company met its burden of proof through testimony showing that, absent the shift of cost for the employee working on the Account 588 project, Wellsboro’s projection would be very accurate (in other words, the Company’s projections align closely with the annualized amount plus the employee’s cost that was shifted to Account 588).  Wellsboro also contends that the </w:t>
      </w:r>
      <w:r w:rsidR="0053531F" w:rsidRPr="0029160A">
        <w:rPr>
          <w:color w:val="000000" w:themeColor="text1"/>
          <w:szCs w:val="26"/>
        </w:rPr>
        <w:t>three percent</w:t>
      </w:r>
      <w:r w:rsidRPr="0029160A">
        <w:rPr>
          <w:color w:val="000000" w:themeColor="text1"/>
          <w:szCs w:val="26"/>
        </w:rPr>
        <w:t xml:space="preserve"> factor should be applied to this account as it is composed of labor and overhead expense.  Wellsboro Exc. at 14-15; I&amp;E Exh. 1, Schedule 4.</w:t>
      </w:r>
    </w:p>
    <w:p w14:paraId="76F36CF7" w14:textId="77777777" w:rsidR="00984331" w:rsidRPr="0029160A" w:rsidRDefault="00984331" w:rsidP="00CB0B2E">
      <w:pPr>
        <w:widowControl/>
        <w:spacing w:line="360" w:lineRule="auto"/>
        <w:ind w:firstLine="1440"/>
        <w:rPr>
          <w:color w:val="000000" w:themeColor="text1"/>
          <w:szCs w:val="26"/>
        </w:rPr>
      </w:pPr>
    </w:p>
    <w:p w14:paraId="00D525EC" w14:textId="29A737CA" w:rsidR="00F11420" w:rsidRPr="0029160A" w:rsidRDefault="00C53837" w:rsidP="00CB0B2E">
      <w:pPr>
        <w:widowControl/>
        <w:spacing w:line="360" w:lineRule="auto"/>
        <w:ind w:firstLine="1440"/>
        <w:rPr>
          <w:color w:val="000000" w:themeColor="text1"/>
          <w:szCs w:val="26"/>
        </w:rPr>
      </w:pPr>
      <w:r w:rsidRPr="0029160A">
        <w:rPr>
          <w:color w:val="000000" w:themeColor="text1"/>
          <w:szCs w:val="26"/>
        </w:rPr>
        <w:t>In Replies to Wellsboro Exc</w:t>
      </w:r>
      <w:r w:rsidR="00FB55D7" w:rsidRPr="0029160A">
        <w:rPr>
          <w:color w:val="000000" w:themeColor="text1"/>
          <w:szCs w:val="26"/>
        </w:rPr>
        <w:t>eption</w:t>
      </w:r>
      <w:r w:rsidRPr="0029160A">
        <w:rPr>
          <w:color w:val="000000" w:themeColor="text1"/>
          <w:szCs w:val="26"/>
        </w:rPr>
        <w:t xml:space="preserve"> No. 6, the OCA provides that the Commission should deny the Company’s </w:t>
      </w:r>
      <w:r w:rsidR="0053531F" w:rsidRPr="0029160A">
        <w:rPr>
          <w:color w:val="000000" w:themeColor="text1"/>
          <w:szCs w:val="26"/>
        </w:rPr>
        <w:t>three percent</w:t>
      </w:r>
      <w:r w:rsidRPr="0029160A">
        <w:rPr>
          <w:color w:val="000000" w:themeColor="text1"/>
          <w:szCs w:val="26"/>
        </w:rPr>
        <w:t xml:space="preserve"> inflation factor for the same reasons the OCA provided in Replies to Wellsboro’s Exc. No. 1.  OCA R.</w:t>
      </w:r>
      <w:r w:rsidR="004D2EA1">
        <w:rPr>
          <w:color w:val="000000" w:themeColor="text1"/>
          <w:szCs w:val="26"/>
        </w:rPr>
        <w:t xml:space="preserve"> </w:t>
      </w:r>
      <w:r w:rsidRPr="0029160A">
        <w:rPr>
          <w:color w:val="000000" w:themeColor="text1"/>
          <w:szCs w:val="26"/>
        </w:rPr>
        <w:t xml:space="preserve">Exc. at 10.  </w:t>
      </w:r>
    </w:p>
    <w:p w14:paraId="0C1C836A" w14:textId="77777777" w:rsidR="00F11420" w:rsidRPr="0029160A" w:rsidRDefault="00F11420" w:rsidP="0052404E">
      <w:pPr>
        <w:widowControl/>
        <w:spacing w:line="360" w:lineRule="auto"/>
        <w:rPr>
          <w:color w:val="000000" w:themeColor="text1"/>
          <w:szCs w:val="26"/>
        </w:rPr>
      </w:pPr>
    </w:p>
    <w:p w14:paraId="3CEA2139" w14:textId="77777777" w:rsidR="00F11420" w:rsidRPr="0029160A" w:rsidRDefault="00F11420" w:rsidP="00CB0B2E">
      <w:pPr>
        <w:pStyle w:val="Heading4"/>
        <w:ind w:hanging="720"/>
        <w:contextualSpacing w:val="0"/>
        <w:rPr>
          <w:color w:val="000000" w:themeColor="text1"/>
        </w:rPr>
      </w:pPr>
      <w:bookmarkStart w:id="94" w:name="_Toc38951773"/>
      <w:r w:rsidRPr="0029160A">
        <w:rPr>
          <w:color w:val="000000" w:themeColor="text1"/>
        </w:rPr>
        <w:t>Disposition</w:t>
      </w:r>
      <w:bookmarkEnd w:id="94"/>
    </w:p>
    <w:p w14:paraId="7D095105" w14:textId="77777777" w:rsidR="00F11420" w:rsidRPr="0029160A" w:rsidRDefault="00F11420" w:rsidP="0052404E">
      <w:pPr>
        <w:widowControl/>
        <w:spacing w:line="360" w:lineRule="auto"/>
        <w:rPr>
          <w:color w:val="000000" w:themeColor="text1"/>
          <w:szCs w:val="26"/>
        </w:rPr>
      </w:pPr>
    </w:p>
    <w:p w14:paraId="69763615" w14:textId="0439D817" w:rsidR="00F11420" w:rsidRPr="0029160A" w:rsidRDefault="0077323A" w:rsidP="0052404E">
      <w:pPr>
        <w:widowControl/>
        <w:spacing w:line="360" w:lineRule="auto"/>
        <w:ind w:firstLine="1440"/>
        <w:rPr>
          <w:color w:val="000000" w:themeColor="text1"/>
          <w:szCs w:val="26"/>
        </w:rPr>
      </w:pPr>
      <w:r w:rsidRPr="0029160A">
        <w:rPr>
          <w:color w:val="000000" w:themeColor="text1"/>
          <w:szCs w:val="26"/>
        </w:rPr>
        <w:t xml:space="preserve">On review of the record and the positions of the </w:t>
      </w:r>
      <w:r w:rsidR="005E53C0" w:rsidRPr="0029160A">
        <w:rPr>
          <w:color w:val="000000" w:themeColor="text1"/>
          <w:szCs w:val="26"/>
        </w:rPr>
        <w:t>P</w:t>
      </w:r>
      <w:r w:rsidRPr="0029160A">
        <w:rPr>
          <w:color w:val="000000" w:themeColor="text1"/>
          <w:szCs w:val="26"/>
        </w:rPr>
        <w:t>arties, we agree with the ALJs’ recommendation to accept I&amp;E’s explanation concerning the employee who s</w:t>
      </w:r>
      <w:r w:rsidR="00C55897" w:rsidRPr="0029160A">
        <w:rPr>
          <w:color w:val="000000" w:themeColor="text1"/>
          <w:szCs w:val="26"/>
        </w:rPr>
        <w:t>p</w:t>
      </w:r>
      <w:r w:rsidRPr="0029160A">
        <w:rPr>
          <w:color w:val="000000" w:themeColor="text1"/>
          <w:szCs w:val="26"/>
        </w:rPr>
        <w:t xml:space="preserve">ent additional time on an Account 588 task, as Wellsboro failed to provide evidence that the issue will exist in both accounts in the FPFTY.  We agree with the ALJs that the use of the annualized </w:t>
      </w:r>
      <w:r w:rsidR="00B86C63" w:rsidRPr="0029160A">
        <w:rPr>
          <w:color w:val="000000" w:themeColor="text1"/>
          <w:szCs w:val="26"/>
        </w:rPr>
        <w:t>nine</w:t>
      </w:r>
      <w:r w:rsidRPr="0029160A">
        <w:rPr>
          <w:color w:val="000000" w:themeColor="text1"/>
          <w:szCs w:val="26"/>
        </w:rPr>
        <w:t xml:space="preserve">-month YTD data provided by Wellsboro without a </w:t>
      </w:r>
      <w:r w:rsidR="0053531F" w:rsidRPr="0029160A">
        <w:rPr>
          <w:color w:val="000000" w:themeColor="text1"/>
          <w:szCs w:val="26"/>
        </w:rPr>
        <w:t>three percent</w:t>
      </w:r>
      <w:r w:rsidRPr="0029160A">
        <w:rPr>
          <w:color w:val="000000" w:themeColor="text1"/>
          <w:szCs w:val="26"/>
        </w:rPr>
        <w:t xml:space="preserve"> inflation factor is appropriate for Account 590.  Therefore, we shall deny Wellsboro’s Exception No. 6 and adopt the ALJs’ recommendation of a claim of $63,373 with no inflation adjustment.  </w:t>
      </w:r>
    </w:p>
    <w:p w14:paraId="7705BAD6" w14:textId="77777777" w:rsidR="00B86C63" w:rsidRPr="0029160A" w:rsidRDefault="00B86C63">
      <w:pPr>
        <w:widowControl/>
        <w:spacing w:line="360" w:lineRule="auto"/>
        <w:ind w:firstLine="1440"/>
        <w:rPr>
          <w:color w:val="000000" w:themeColor="text1"/>
          <w:szCs w:val="26"/>
        </w:rPr>
      </w:pPr>
    </w:p>
    <w:p w14:paraId="31DDA392" w14:textId="77777777" w:rsidR="00F11420" w:rsidRPr="0029160A" w:rsidRDefault="008463A0" w:rsidP="00CB0B2E">
      <w:pPr>
        <w:pStyle w:val="Heading3"/>
        <w:keepNext/>
        <w:ind w:left="1440" w:hanging="720"/>
        <w:contextualSpacing w:val="0"/>
        <w:rPr>
          <w:color w:val="000000" w:themeColor="text1"/>
        </w:rPr>
      </w:pPr>
      <w:bookmarkStart w:id="95" w:name="_Toc36552358"/>
      <w:bookmarkStart w:id="96" w:name="_Toc38951774"/>
      <w:r w:rsidRPr="0029160A">
        <w:rPr>
          <w:color w:val="000000" w:themeColor="text1"/>
        </w:rPr>
        <w:lastRenderedPageBreak/>
        <w:t xml:space="preserve">Expenses:  </w:t>
      </w:r>
      <w:r w:rsidR="00F11420" w:rsidRPr="0029160A">
        <w:rPr>
          <w:color w:val="000000" w:themeColor="text1"/>
        </w:rPr>
        <w:t>Safety and Communication (Account 908-913)</w:t>
      </w:r>
      <w:bookmarkEnd w:id="95"/>
      <w:bookmarkEnd w:id="96"/>
    </w:p>
    <w:p w14:paraId="1ED8ED62" w14:textId="77777777" w:rsidR="00F11420" w:rsidRPr="0029160A" w:rsidRDefault="00F11420" w:rsidP="00CB0B2E">
      <w:pPr>
        <w:keepNext/>
        <w:widowControl/>
        <w:spacing w:line="360" w:lineRule="auto"/>
        <w:rPr>
          <w:color w:val="000000" w:themeColor="text1"/>
        </w:rPr>
      </w:pPr>
    </w:p>
    <w:p w14:paraId="03179E2C" w14:textId="0B5B26AE" w:rsidR="00F11420" w:rsidRPr="0029160A" w:rsidRDefault="00F11420" w:rsidP="00CB0B2E">
      <w:pPr>
        <w:pStyle w:val="Heading4"/>
        <w:keepNext/>
        <w:numPr>
          <w:ilvl w:val="0"/>
          <w:numId w:val="20"/>
        </w:numPr>
        <w:ind w:hanging="720"/>
        <w:contextualSpacing w:val="0"/>
        <w:rPr>
          <w:color w:val="000000" w:themeColor="text1"/>
        </w:rPr>
      </w:pPr>
      <w:bookmarkStart w:id="97" w:name="_Toc38951775"/>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97"/>
    </w:p>
    <w:p w14:paraId="3C1BC218" w14:textId="77777777" w:rsidR="00F11420" w:rsidRPr="0029160A" w:rsidRDefault="00F11420" w:rsidP="00CB0B2E">
      <w:pPr>
        <w:keepNext/>
        <w:widowControl/>
        <w:spacing w:line="360" w:lineRule="auto"/>
        <w:rPr>
          <w:color w:val="000000" w:themeColor="text1"/>
          <w:szCs w:val="26"/>
        </w:rPr>
      </w:pPr>
    </w:p>
    <w:p w14:paraId="0FF1F0D6" w14:textId="3860EE0F" w:rsidR="00C53837" w:rsidRPr="0029160A" w:rsidRDefault="00C53837" w:rsidP="0052404E">
      <w:pPr>
        <w:keepNext/>
        <w:widowControl/>
        <w:spacing w:line="360" w:lineRule="auto"/>
        <w:ind w:firstLine="1440"/>
        <w:rPr>
          <w:color w:val="000000" w:themeColor="text1"/>
          <w:szCs w:val="26"/>
        </w:rPr>
      </w:pPr>
      <w:r w:rsidRPr="0029160A">
        <w:rPr>
          <w:color w:val="000000" w:themeColor="text1"/>
          <w:szCs w:val="26"/>
        </w:rPr>
        <w:t>Wellsboro made an original claim of $19,197 for Account 908-913.  Wellsboro M.B. at 46 (citing Wellsboro St. 1, Exh</w:t>
      </w:r>
      <w:r w:rsidR="005150F4" w:rsidRPr="0029160A">
        <w:rPr>
          <w:color w:val="000000" w:themeColor="text1"/>
          <w:szCs w:val="26"/>
        </w:rPr>
        <w:t>ibit</w:t>
      </w:r>
      <w:r w:rsidRPr="0029160A">
        <w:rPr>
          <w:color w:val="000000" w:themeColor="text1"/>
          <w:szCs w:val="26"/>
        </w:rPr>
        <w:t xml:space="preserve">_(HSG-1), Schedule C1-1 (W)).  Wellsboro provided that I&amp;E witness Patel proposed a reduction of $10,282 for an allowance of $8,915 based on normalizing the Company’s tri-annual Eligible Customer List expense and eliminating the advertising expense.  Wellsboro M.B. at 46 (citing I&amp;E St. 1 at 20-21).  Wellsboro noted that the OCA witness Sherwood also normalized the tri-annual Eligible Customer List Expense but allowed the HTY advertising and customer assistance expense for a reduction of $9,941, or an allowance of $9,235.  Wellsboro M.B. at 46 (citing OCA St. 1 at 9).  </w:t>
      </w:r>
    </w:p>
    <w:p w14:paraId="799995E1" w14:textId="77777777" w:rsidR="00362369" w:rsidRPr="0029160A" w:rsidRDefault="00362369" w:rsidP="00CB0B2E">
      <w:pPr>
        <w:keepNext/>
        <w:widowControl/>
        <w:spacing w:line="360" w:lineRule="auto"/>
        <w:ind w:firstLine="1440"/>
        <w:rPr>
          <w:color w:val="000000" w:themeColor="text1"/>
          <w:szCs w:val="26"/>
        </w:rPr>
      </w:pPr>
    </w:p>
    <w:p w14:paraId="513DE837" w14:textId="77777777" w:rsidR="00C53837" w:rsidRPr="0029160A" w:rsidRDefault="00C53837">
      <w:pPr>
        <w:widowControl/>
        <w:spacing w:line="360" w:lineRule="auto"/>
        <w:ind w:firstLine="1440"/>
        <w:rPr>
          <w:color w:val="000000" w:themeColor="text1"/>
          <w:szCs w:val="26"/>
        </w:rPr>
      </w:pPr>
      <w:r w:rsidRPr="0029160A">
        <w:rPr>
          <w:color w:val="000000" w:themeColor="text1"/>
          <w:szCs w:val="26"/>
        </w:rPr>
        <w:t xml:space="preserve">On Rebuttal, Wellsboro provided </w:t>
      </w:r>
      <w:r w:rsidR="00F03B4C" w:rsidRPr="0029160A">
        <w:rPr>
          <w:color w:val="000000" w:themeColor="text1"/>
          <w:szCs w:val="26"/>
        </w:rPr>
        <w:t>YTD</w:t>
      </w:r>
      <w:r w:rsidRPr="0029160A">
        <w:rPr>
          <w:color w:val="000000" w:themeColor="text1"/>
          <w:szCs w:val="26"/>
        </w:rPr>
        <w:t xml:space="preserve"> data through September 30, 2019, resulting in an FPFTY projection of $5,013.  Wellsboro M.B. at 46 (citing Wellsboro St. 1-R at 4).  </w:t>
      </w:r>
    </w:p>
    <w:p w14:paraId="4F026A62" w14:textId="77777777" w:rsidR="00F11420" w:rsidRPr="0029160A" w:rsidRDefault="00F11420">
      <w:pPr>
        <w:widowControl/>
        <w:spacing w:line="360" w:lineRule="auto"/>
        <w:rPr>
          <w:color w:val="000000" w:themeColor="text1"/>
          <w:szCs w:val="26"/>
        </w:rPr>
      </w:pPr>
    </w:p>
    <w:p w14:paraId="2AB81ABA" w14:textId="77777777" w:rsidR="00F11420" w:rsidRPr="0029160A" w:rsidRDefault="00F11420" w:rsidP="00CB0B2E">
      <w:pPr>
        <w:pStyle w:val="Heading4"/>
        <w:keepNext/>
        <w:keepLines/>
        <w:ind w:hanging="720"/>
        <w:contextualSpacing w:val="0"/>
        <w:rPr>
          <w:color w:val="000000" w:themeColor="text1"/>
        </w:rPr>
      </w:pPr>
      <w:bookmarkStart w:id="98" w:name="_Toc38951776"/>
      <w:r w:rsidRPr="0029160A">
        <w:rPr>
          <w:color w:val="000000" w:themeColor="text1"/>
        </w:rPr>
        <w:t>Recommended Decision</w:t>
      </w:r>
      <w:bookmarkEnd w:id="98"/>
    </w:p>
    <w:p w14:paraId="73E62556" w14:textId="77777777" w:rsidR="00F11420" w:rsidRPr="0029160A" w:rsidRDefault="00F11420">
      <w:pPr>
        <w:keepNext/>
        <w:keepLines/>
        <w:widowControl/>
        <w:spacing w:line="360" w:lineRule="auto"/>
        <w:rPr>
          <w:color w:val="000000" w:themeColor="text1"/>
          <w:szCs w:val="26"/>
        </w:rPr>
      </w:pPr>
    </w:p>
    <w:p w14:paraId="5F33574A" w14:textId="77777777"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The ALJs recommended approval for the original safety and communication expense</w:t>
      </w:r>
      <w:r w:rsidR="00B86C63" w:rsidRPr="0029160A">
        <w:rPr>
          <w:color w:val="000000" w:themeColor="text1"/>
          <w:szCs w:val="26"/>
        </w:rPr>
        <w:t xml:space="preserve"> claim</w:t>
      </w:r>
      <w:r w:rsidRPr="0029160A">
        <w:rPr>
          <w:color w:val="000000" w:themeColor="text1"/>
          <w:szCs w:val="26"/>
        </w:rPr>
        <w:t xml:space="preserve"> in the amount of $8,915 based on adjustments of normalization of the Company’s tri-annual Eligible Customer List expense of $10,185 over three years and elimination of the expenses for advertising.  The ALJs recommended rejection of I&amp;E’s adjustment to this expense claim.  R.D. at 34-36.</w:t>
      </w:r>
    </w:p>
    <w:p w14:paraId="4FA8A63F" w14:textId="77777777" w:rsidR="00F11420" w:rsidRPr="0029160A" w:rsidRDefault="00F11420">
      <w:pPr>
        <w:widowControl/>
        <w:spacing w:line="360" w:lineRule="auto"/>
        <w:rPr>
          <w:color w:val="000000" w:themeColor="text1"/>
          <w:szCs w:val="26"/>
        </w:rPr>
      </w:pPr>
    </w:p>
    <w:p w14:paraId="13FE9C1A" w14:textId="77777777" w:rsidR="00F11420" w:rsidRPr="0029160A" w:rsidRDefault="00312B42" w:rsidP="00CB0B2E">
      <w:pPr>
        <w:pStyle w:val="Heading4"/>
        <w:keepNext/>
        <w:keepLines/>
        <w:ind w:hanging="720"/>
        <w:contextualSpacing w:val="0"/>
        <w:rPr>
          <w:color w:val="000000" w:themeColor="text1"/>
        </w:rPr>
      </w:pPr>
      <w:bookmarkStart w:id="99" w:name="_Toc38951777"/>
      <w:r w:rsidRPr="0029160A">
        <w:rPr>
          <w:color w:val="000000" w:themeColor="text1"/>
        </w:rPr>
        <w:lastRenderedPageBreak/>
        <w:t>I&amp;E Exception No. 3 and Replies</w:t>
      </w:r>
      <w:bookmarkEnd w:id="99"/>
    </w:p>
    <w:p w14:paraId="29B7436D" w14:textId="77777777" w:rsidR="00F11420" w:rsidRPr="0029160A" w:rsidRDefault="00F11420" w:rsidP="0052404E">
      <w:pPr>
        <w:keepNext/>
        <w:keepLines/>
        <w:widowControl/>
        <w:spacing w:line="360" w:lineRule="auto"/>
        <w:rPr>
          <w:color w:val="000000" w:themeColor="text1"/>
        </w:rPr>
      </w:pPr>
    </w:p>
    <w:p w14:paraId="76A265FD" w14:textId="483200B1"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In I&amp;E Exception No. 3, I&amp;E submits the ALJs erred as a matter of law by weighing stale Company evidence in the briefing stage.  Wellsboro’s initial claim was for $19,197, and in Wellsboro M</w:t>
      </w:r>
      <w:r w:rsidR="00F03B4C" w:rsidRPr="0029160A">
        <w:rPr>
          <w:color w:val="000000" w:themeColor="text1"/>
          <w:szCs w:val="26"/>
        </w:rPr>
        <w:t xml:space="preserve">ain </w:t>
      </w:r>
      <w:r w:rsidRPr="0029160A">
        <w:rPr>
          <w:color w:val="000000" w:themeColor="text1"/>
          <w:szCs w:val="26"/>
        </w:rPr>
        <w:t>B</w:t>
      </w:r>
      <w:r w:rsidR="00F03B4C" w:rsidRPr="0029160A">
        <w:rPr>
          <w:color w:val="000000" w:themeColor="text1"/>
          <w:szCs w:val="26"/>
        </w:rPr>
        <w:t>rief</w:t>
      </w:r>
      <w:r w:rsidRPr="0029160A">
        <w:rPr>
          <w:color w:val="000000" w:themeColor="text1"/>
          <w:szCs w:val="26"/>
        </w:rPr>
        <w:t xml:space="preserve"> the claim was updated to $12,694; however, the final amount supported by Wellsboro witness Gorman was only $5,013.  I&amp;E argues Wellsboro has not met its burden of proof to support a claim of either $19,197 or $12,694 when its witness testimony only supports a claim of $5,013.  I&amp;E again argues the Commission Regulations and due process principles are implicated with respect to Wellsboro’s late-brought claim</w:t>
      </w:r>
      <w:r w:rsidR="00F03B4C" w:rsidRPr="0029160A">
        <w:rPr>
          <w:color w:val="000000" w:themeColor="text1"/>
          <w:szCs w:val="26"/>
        </w:rPr>
        <w:t xml:space="preserve">.  </w:t>
      </w:r>
      <w:r w:rsidRPr="0029160A">
        <w:rPr>
          <w:color w:val="000000" w:themeColor="text1"/>
          <w:szCs w:val="26"/>
        </w:rPr>
        <w:t xml:space="preserve">I&amp;E submits it was deprived of its ability to respond or examine Wellsboro’s claim in surrebuttal testimony, during hearings, and in </w:t>
      </w:r>
      <w:r w:rsidR="00BC19D2" w:rsidRPr="0029160A">
        <w:rPr>
          <w:color w:val="000000" w:themeColor="text1"/>
          <w:szCs w:val="26"/>
        </w:rPr>
        <w:t xml:space="preserve">its </w:t>
      </w:r>
      <w:r w:rsidR="00B576E7" w:rsidRPr="0029160A">
        <w:rPr>
          <w:color w:val="000000" w:themeColor="text1"/>
          <w:szCs w:val="26"/>
        </w:rPr>
        <w:t>M</w:t>
      </w:r>
      <w:r w:rsidR="00F03B4C" w:rsidRPr="0029160A">
        <w:rPr>
          <w:color w:val="000000" w:themeColor="text1"/>
          <w:szCs w:val="26"/>
        </w:rPr>
        <w:t xml:space="preserve">ain </w:t>
      </w:r>
      <w:r w:rsidR="00B576E7" w:rsidRPr="0029160A">
        <w:rPr>
          <w:color w:val="000000" w:themeColor="text1"/>
          <w:szCs w:val="26"/>
        </w:rPr>
        <w:t>B</w:t>
      </w:r>
      <w:r w:rsidR="00F03B4C" w:rsidRPr="0029160A">
        <w:rPr>
          <w:color w:val="000000" w:themeColor="text1"/>
          <w:szCs w:val="26"/>
        </w:rPr>
        <w:t>rief</w:t>
      </w:r>
      <w:r w:rsidRPr="0029160A">
        <w:rPr>
          <w:color w:val="000000" w:themeColor="text1"/>
          <w:szCs w:val="26"/>
        </w:rPr>
        <w:t xml:space="preserve">. </w:t>
      </w:r>
      <w:r w:rsidR="006F3745" w:rsidRPr="0029160A">
        <w:rPr>
          <w:color w:val="000000" w:themeColor="text1"/>
          <w:szCs w:val="26"/>
        </w:rPr>
        <w:t xml:space="preserve"> </w:t>
      </w:r>
      <w:r w:rsidRPr="0029160A">
        <w:rPr>
          <w:color w:val="000000" w:themeColor="text1"/>
          <w:szCs w:val="26"/>
        </w:rPr>
        <w:t>I&amp;E Exc. at 7-8; I&amp;E M.B. at 21-22; I&amp;E R.B. at 12-13; Wellsboro St. 1-R at 4.</w:t>
      </w:r>
    </w:p>
    <w:p w14:paraId="4F2FA05B" w14:textId="77777777" w:rsidR="00C53837" w:rsidRPr="0029160A" w:rsidRDefault="00C53837" w:rsidP="00395940">
      <w:pPr>
        <w:widowControl/>
        <w:spacing w:line="360" w:lineRule="auto"/>
        <w:contextualSpacing/>
        <w:rPr>
          <w:color w:val="000000" w:themeColor="text1"/>
        </w:rPr>
      </w:pPr>
    </w:p>
    <w:p w14:paraId="7127B03A" w14:textId="1E26AD73" w:rsidR="00F11420" w:rsidRPr="0029160A" w:rsidRDefault="00C53837">
      <w:pPr>
        <w:widowControl/>
        <w:spacing w:line="360" w:lineRule="auto"/>
        <w:ind w:firstLine="1440"/>
        <w:rPr>
          <w:color w:val="000000" w:themeColor="text1"/>
          <w:spacing w:val="-1"/>
          <w:szCs w:val="26"/>
        </w:rPr>
      </w:pPr>
      <w:r w:rsidRPr="0029160A">
        <w:rPr>
          <w:color w:val="000000" w:themeColor="text1"/>
          <w:szCs w:val="26"/>
        </w:rPr>
        <w:t>Wellsboro did not file Exceptions to the R.D.</w:t>
      </w:r>
      <w:r w:rsidR="006F3745" w:rsidRPr="0029160A">
        <w:rPr>
          <w:color w:val="000000" w:themeColor="text1"/>
          <w:szCs w:val="26"/>
        </w:rPr>
        <w:t>’</w:t>
      </w:r>
      <w:r w:rsidRPr="0029160A">
        <w:rPr>
          <w:color w:val="000000" w:themeColor="text1"/>
          <w:szCs w:val="26"/>
        </w:rPr>
        <w:t>s recommended adjustment of $8,915 to this expense claim.  In Replies to I&amp;E Exception No. 3, Wellsboro contends the R.D. correctly rejected I&amp;E’s adjustment for this expense claim.  For the same reasons explained in Wellsboro’s Replies to I&amp;E Exception No. 2, Wellsboro urges the Commission to reject I&amp;E’s “late-brought claims” and due process arguments.  I</w:t>
      </w:r>
      <w:r w:rsidRPr="0029160A">
        <w:rPr>
          <w:color w:val="000000" w:themeColor="text1"/>
          <w:spacing w:val="-1"/>
          <w:szCs w:val="26"/>
        </w:rPr>
        <w:t>&amp;E misinterprets the annualized FTY data in Mr. Gorman</w:t>
      </w:r>
      <w:r w:rsidR="003641CE" w:rsidRPr="0029160A">
        <w:rPr>
          <w:color w:val="000000" w:themeColor="text1"/>
          <w:spacing w:val="-1"/>
          <w:szCs w:val="26"/>
        </w:rPr>
        <w:t>’</w:t>
      </w:r>
      <w:r w:rsidRPr="0029160A">
        <w:rPr>
          <w:color w:val="000000" w:themeColor="text1"/>
          <w:spacing w:val="-1"/>
          <w:szCs w:val="26"/>
        </w:rPr>
        <w:t>s Rebuttal Testimony as a limitation on the Company</w:t>
      </w:r>
      <w:r w:rsidR="006F3745" w:rsidRPr="0029160A">
        <w:rPr>
          <w:color w:val="000000" w:themeColor="text1"/>
          <w:spacing w:val="-1"/>
          <w:szCs w:val="26"/>
        </w:rPr>
        <w:t>’</w:t>
      </w:r>
      <w:r w:rsidRPr="0029160A">
        <w:rPr>
          <w:color w:val="000000" w:themeColor="text1"/>
          <w:spacing w:val="-1"/>
          <w:szCs w:val="26"/>
        </w:rPr>
        <w:t>s individual claims, when Mr. Gorman was using the information to support an across-the-board adjustment for O&amp;M expenses – a proposal I&amp;E rejected.  I&amp;E</w:t>
      </w:r>
      <w:r w:rsidR="003641CE" w:rsidRPr="0029160A">
        <w:rPr>
          <w:color w:val="000000" w:themeColor="text1"/>
          <w:spacing w:val="-1"/>
          <w:szCs w:val="26"/>
        </w:rPr>
        <w:t>’</w:t>
      </w:r>
      <w:r w:rsidRPr="0029160A">
        <w:rPr>
          <w:color w:val="000000" w:themeColor="text1"/>
          <w:spacing w:val="-1"/>
          <w:szCs w:val="26"/>
        </w:rPr>
        <w:t xml:space="preserve">s accusation of a </w:t>
      </w:r>
      <w:r w:rsidR="0052404E" w:rsidRPr="0029160A">
        <w:rPr>
          <w:color w:val="000000" w:themeColor="text1"/>
          <w:spacing w:val="-1"/>
          <w:szCs w:val="26"/>
        </w:rPr>
        <w:t>“</w:t>
      </w:r>
      <w:r w:rsidRPr="0029160A">
        <w:rPr>
          <w:color w:val="000000" w:themeColor="text1"/>
          <w:spacing w:val="-1"/>
          <w:szCs w:val="26"/>
        </w:rPr>
        <w:t>late-brought claim</w:t>
      </w:r>
      <w:r w:rsidR="0052404E" w:rsidRPr="0029160A">
        <w:rPr>
          <w:color w:val="000000" w:themeColor="text1"/>
          <w:spacing w:val="-1"/>
          <w:szCs w:val="26"/>
        </w:rPr>
        <w:t>”</w:t>
      </w:r>
      <w:r w:rsidRPr="0029160A">
        <w:rPr>
          <w:color w:val="000000" w:themeColor="text1"/>
          <w:spacing w:val="-1"/>
          <w:szCs w:val="26"/>
        </w:rPr>
        <w:t xml:space="preserve"> is not applicable where the Company relies on record evidence to further support its arguments on brief.  </w:t>
      </w:r>
      <w:r w:rsidR="00C55BE9" w:rsidRPr="0029160A">
        <w:rPr>
          <w:color w:val="000000" w:themeColor="text1"/>
          <w:spacing w:val="-1"/>
          <w:szCs w:val="26"/>
        </w:rPr>
        <w:t>Wellsboro concludes that f</w:t>
      </w:r>
      <w:r w:rsidRPr="0029160A">
        <w:rPr>
          <w:color w:val="000000" w:themeColor="text1"/>
          <w:spacing w:val="-1"/>
          <w:szCs w:val="26"/>
        </w:rPr>
        <w:t>or the reasons set forth above, the Commission should approve the R.D.</w:t>
      </w:r>
      <w:r w:rsidR="006F3745" w:rsidRPr="0029160A">
        <w:rPr>
          <w:color w:val="000000" w:themeColor="text1"/>
          <w:spacing w:val="-1"/>
          <w:szCs w:val="26"/>
        </w:rPr>
        <w:t>’</w:t>
      </w:r>
      <w:r w:rsidRPr="0029160A">
        <w:rPr>
          <w:color w:val="000000" w:themeColor="text1"/>
          <w:spacing w:val="-1"/>
          <w:szCs w:val="26"/>
        </w:rPr>
        <w:t>s well-founded recommendation, subject to the inflation adjustment addressed in the Company</w:t>
      </w:r>
      <w:r w:rsidR="003641CE" w:rsidRPr="0029160A">
        <w:rPr>
          <w:color w:val="000000" w:themeColor="text1"/>
          <w:spacing w:val="-1"/>
          <w:szCs w:val="26"/>
        </w:rPr>
        <w:t>’</w:t>
      </w:r>
      <w:r w:rsidRPr="0029160A">
        <w:rPr>
          <w:color w:val="000000" w:themeColor="text1"/>
          <w:spacing w:val="-1"/>
          <w:szCs w:val="26"/>
        </w:rPr>
        <w:t>s Exceptions.  Wellsboro R. Exc. at 10-11; Wellsboro M.B. at 47.</w:t>
      </w:r>
    </w:p>
    <w:p w14:paraId="19D47820" w14:textId="77777777" w:rsidR="00984331" w:rsidRPr="0029160A" w:rsidRDefault="00984331">
      <w:pPr>
        <w:widowControl/>
        <w:spacing w:line="360" w:lineRule="auto"/>
        <w:ind w:firstLine="1440"/>
        <w:rPr>
          <w:color w:val="000000" w:themeColor="text1"/>
          <w:spacing w:val="-1"/>
          <w:szCs w:val="26"/>
        </w:rPr>
      </w:pPr>
    </w:p>
    <w:p w14:paraId="1D554341" w14:textId="77777777" w:rsidR="00F11420" w:rsidRPr="0029160A" w:rsidRDefault="00F11420" w:rsidP="00CB0B2E">
      <w:pPr>
        <w:pStyle w:val="Heading4"/>
        <w:keepNext/>
        <w:keepLines/>
        <w:ind w:hanging="720"/>
        <w:contextualSpacing w:val="0"/>
        <w:rPr>
          <w:color w:val="000000" w:themeColor="text1"/>
        </w:rPr>
      </w:pPr>
      <w:bookmarkStart w:id="100" w:name="_Toc38951778"/>
      <w:r w:rsidRPr="0029160A">
        <w:rPr>
          <w:color w:val="000000" w:themeColor="text1"/>
        </w:rPr>
        <w:lastRenderedPageBreak/>
        <w:t>Disposition</w:t>
      </w:r>
      <w:bookmarkEnd w:id="100"/>
    </w:p>
    <w:p w14:paraId="6B01D067" w14:textId="77777777" w:rsidR="00F11420" w:rsidRPr="0029160A" w:rsidRDefault="00F11420">
      <w:pPr>
        <w:keepNext/>
        <w:keepLines/>
        <w:widowControl/>
        <w:spacing w:line="360" w:lineRule="auto"/>
        <w:rPr>
          <w:color w:val="000000" w:themeColor="text1"/>
          <w:szCs w:val="26"/>
        </w:rPr>
      </w:pPr>
    </w:p>
    <w:p w14:paraId="3FA4FDAC" w14:textId="4D73B054" w:rsidR="00F11420" w:rsidRPr="0029160A" w:rsidRDefault="004F770A" w:rsidP="0052404E">
      <w:pPr>
        <w:widowControl/>
        <w:spacing w:line="360" w:lineRule="auto"/>
        <w:ind w:firstLine="1440"/>
        <w:rPr>
          <w:color w:val="000000" w:themeColor="text1"/>
          <w:szCs w:val="26"/>
        </w:rPr>
      </w:pPr>
      <w:bookmarkStart w:id="101" w:name="_Hlk38013579"/>
      <w:r w:rsidRPr="0029160A">
        <w:rPr>
          <w:color w:val="000000" w:themeColor="text1"/>
          <w:szCs w:val="26"/>
        </w:rPr>
        <w:t>We agree with the ALJs on this issue and shall deny I&amp;E’s Exception No.</w:t>
      </w:r>
      <w:r w:rsidR="00395940" w:rsidRPr="0029160A">
        <w:rPr>
          <w:color w:val="000000" w:themeColor="text1"/>
          <w:szCs w:val="26"/>
        </w:rPr>
        <w:t> </w:t>
      </w:r>
      <w:r w:rsidRPr="0029160A">
        <w:rPr>
          <w:color w:val="000000" w:themeColor="text1"/>
          <w:szCs w:val="26"/>
        </w:rPr>
        <w:t xml:space="preserve">3, consistent with the following discussion.  I&amp;E objects to the ALJs’ recommendation to use Wellsboro’s original expense for Account 908-913 as the basis for its approval of a claim of $8,915 for the same reasons found in I&amp;E Exception No. 2.  I&amp;E </w:t>
      </w:r>
      <w:r w:rsidR="005E63A9" w:rsidRPr="0029160A">
        <w:rPr>
          <w:color w:val="000000" w:themeColor="text1"/>
          <w:szCs w:val="26"/>
        </w:rPr>
        <w:t xml:space="preserve">again argues that due process principles are implicated with respect to Wellsboro’s “late-brought” claim.  I&amp;E Exc. at 7-8.  </w:t>
      </w:r>
      <w:r w:rsidRPr="0029160A">
        <w:rPr>
          <w:color w:val="000000" w:themeColor="text1"/>
          <w:szCs w:val="26"/>
        </w:rPr>
        <w:t>We similarly reject I&amp;E’s arguments here also</w:t>
      </w:r>
      <w:r w:rsidR="005E63A9" w:rsidRPr="0029160A">
        <w:rPr>
          <w:color w:val="000000" w:themeColor="text1"/>
          <w:szCs w:val="26"/>
        </w:rPr>
        <w:t xml:space="preserve">, as we did </w:t>
      </w:r>
      <w:r w:rsidR="005E63A9" w:rsidRPr="0029160A">
        <w:rPr>
          <w:i/>
          <w:iCs/>
          <w:color w:val="000000" w:themeColor="text1"/>
          <w:szCs w:val="26"/>
        </w:rPr>
        <w:t>supra</w:t>
      </w:r>
      <w:r w:rsidR="005E63A9" w:rsidRPr="0029160A">
        <w:rPr>
          <w:color w:val="000000" w:themeColor="text1"/>
          <w:szCs w:val="26"/>
        </w:rPr>
        <w:t>, in response to I&amp;E Exception No. 2</w:t>
      </w:r>
      <w:r w:rsidRPr="0029160A">
        <w:rPr>
          <w:color w:val="000000" w:themeColor="text1"/>
          <w:szCs w:val="26"/>
        </w:rPr>
        <w:t>.</w:t>
      </w:r>
    </w:p>
    <w:bookmarkEnd w:id="101"/>
    <w:p w14:paraId="37A48BDF" w14:textId="77777777" w:rsidR="00C53837" w:rsidRPr="0029160A" w:rsidRDefault="00C53837" w:rsidP="0052404E">
      <w:pPr>
        <w:widowControl/>
        <w:spacing w:line="360" w:lineRule="auto"/>
        <w:rPr>
          <w:color w:val="000000" w:themeColor="text1"/>
          <w:szCs w:val="26"/>
        </w:rPr>
      </w:pPr>
    </w:p>
    <w:p w14:paraId="3E96C26D" w14:textId="162D85FF" w:rsidR="00F11420" w:rsidRPr="0029160A" w:rsidRDefault="008463A0" w:rsidP="006F3745">
      <w:pPr>
        <w:pStyle w:val="Heading3"/>
        <w:keepNext/>
        <w:ind w:left="1440" w:hanging="720"/>
        <w:contextualSpacing w:val="0"/>
        <w:rPr>
          <w:color w:val="000000" w:themeColor="text1"/>
        </w:rPr>
      </w:pPr>
      <w:bookmarkStart w:id="102" w:name="_Toc36552359"/>
      <w:bookmarkStart w:id="103" w:name="_Toc38951779"/>
      <w:r w:rsidRPr="0029160A">
        <w:rPr>
          <w:color w:val="000000" w:themeColor="text1"/>
        </w:rPr>
        <w:t xml:space="preserve">Expenses:  </w:t>
      </w:r>
      <w:r w:rsidR="00F11420" w:rsidRPr="0029160A">
        <w:rPr>
          <w:color w:val="000000" w:themeColor="text1"/>
        </w:rPr>
        <w:t>Office Supplies (Account 921)</w:t>
      </w:r>
      <w:bookmarkEnd w:id="102"/>
      <w:bookmarkEnd w:id="103"/>
    </w:p>
    <w:p w14:paraId="38ADB653" w14:textId="77777777" w:rsidR="00F11420" w:rsidRPr="0029160A" w:rsidRDefault="00F11420" w:rsidP="006F3745">
      <w:pPr>
        <w:keepNext/>
        <w:widowControl/>
        <w:spacing w:line="360" w:lineRule="auto"/>
        <w:rPr>
          <w:color w:val="000000" w:themeColor="text1"/>
        </w:rPr>
      </w:pPr>
    </w:p>
    <w:p w14:paraId="7B38691D" w14:textId="42E79EE1" w:rsidR="00F11420" w:rsidRPr="0029160A" w:rsidRDefault="00F11420" w:rsidP="006F3745">
      <w:pPr>
        <w:pStyle w:val="Heading4"/>
        <w:keepNext/>
        <w:numPr>
          <w:ilvl w:val="0"/>
          <w:numId w:val="21"/>
        </w:numPr>
        <w:ind w:hanging="720"/>
        <w:contextualSpacing w:val="0"/>
        <w:rPr>
          <w:color w:val="000000" w:themeColor="text1"/>
        </w:rPr>
      </w:pPr>
      <w:bookmarkStart w:id="104" w:name="_Toc38951780"/>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104"/>
    </w:p>
    <w:p w14:paraId="3E256B01" w14:textId="77777777" w:rsidR="00F11420" w:rsidRPr="0029160A" w:rsidRDefault="00F11420" w:rsidP="006F3745">
      <w:pPr>
        <w:keepNext/>
        <w:widowControl/>
        <w:spacing w:line="360" w:lineRule="auto"/>
        <w:rPr>
          <w:color w:val="000000" w:themeColor="text1"/>
          <w:szCs w:val="26"/>
        </w:rPr>
      </w:pPr>
    </w:p>
    <w:p w14:paraId="3C86EDBD" w14:textId="0E6B6FBA" w:rsidR="00C53837" w:rsidRPr="0029160A" w:rsidRDefault="00C53837" w:rsidP="006F3745">
      <w:pPr>
        <w:keepNext/>
        <w:widowControl/>
        <w:spacing w:line="360" w:lineRule="auto"/>
        <w:ind w:firstLine="1440"/>
        <w:rPr>
          <w:color w:val="000000" w:themeColor="text1"/>
          <w:szCs w:val="26"/>
        </w:rPr>
      </w:pPr>
      <w:r w:rsidRPr="0029160A">
        <w:rPr>
          <w:color w:val="000000" w:themeColor="text1"/>
          <w:szCs w:val="26"/>
        </w:rPr>
        <w:t xml:space="preserve">Wellsboro proposed to recover $140,595 costs for Account 921 including office supplies, as well as certain employee recognition expenses and benefits for </w:t>
      </w:r>
      <w:r w:rsidR="00C55BE9" w:rsidRPr="0029160A">
        <w:rPr>
          <w:color w:val="000000" w:themeColor="text1"/>
          <w:szCs w:val="26"/>
        </w:rPr>
        <w:t>e</w:t>
      </w:r>
      <w:r w:rsidRPr="0029160A">
        <w:rPr>
          <w:color w:val="000000" w:themeColor="text1"/>
          <w:szCs w:val="26"/>
        </w:rPr>
        <w:t>mployees.  Wellsboro M.B. at 47 (citing Wellsboro St. 1, Exh</w:t>
      </w:r>
      <w:r w:rsidR="005150F4" w:rsidRPr="0029160A">
        <w:rPr>
          <w:color w:val="000000" w:themeColor="text1"/>
          <w:szCs w:val="26"/>
        </w:rPr>
        <w:t>ibit</w:t>
      </w:r>
      <w:r w:rsidRPr="0029160A">
        <w:rPr>
          <w:color w:val="000000" w:themeColor="text1"/>
          <w:szCs w:val="26"/>
        </w:rPr>
        <w:t xml:space="preserve">_(HSG-1), Schedule C1-1 (W)).  I&amp;E proposed a reduction of $11,364 </w:t>
      </w:r>
      <w:r w:rsidR="00C26BF1" w:rsidRPr="0029160A">
        <w:rPr>
          <w:color w:val="000000" w:themeColor="text1"/>
          <w:szCs w:val="26"/>
        </w:rPr>
        <w:t xml:space="preserve">to Wellsboro’s original claim of $140,595 </w:t>
      </w:r>
      <w:r w:rsidRPr="0029160A">
        <w:rPr>
          <w:color w:val="000000" w:themeColor="text1"/>
          <w:szCs w:val="26"/>
        </w:rPr>
        <w:t xml:space="preserve">to $129,231 which excludes costs for employee recognition events and eliminates any increase from the HTY to the FTY.  Wellsboro M.B. at 47-48 (citing I&amp;E St. 1 at 26).  </w:t>
      </w:r>
    </w:p>
    <w:p w14:paraId="1F5B467A" w14:textId="77777777" w:rsidR="00C53837" w:rsidRPr="0029160A" w:rsidRDefault="00C53837" w:rsidP="00CB0B2E">
      <w:pPr>
        <w:widowControl/>
        <w:spacing w:line="360" w:lineRule="auto"/>
        <w:ind w:firstLine="1440"/>
        <w:rPr>
          <w:color w:val="000000" w:themeColor="text1"/>
          <w:szCs w:val="26"/>
        </w:rPr>
      </w:pPr>
    </w:p>
    <w:p w14:paraId="0BAB6F7E" w14:textId="54B40705"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In Rebuttal testimony, Wellsboro provided YTD data through September</w:t>
      </w:r>
      <w:r w:rsidR="006F3745" w:rsidRPr="0029160A">
        <w:rPr>
          <w:color w:val="000000" w:themeColor="text1"/>
          <w:szCs w:val="26"/>
        </w:rPr>
        <w:t> </w:t>
      </w:r>
      <w:r w:rsidRPr="0029160A">
        <w:rPr>
          <w:color w:val="000000" w:themeColor="text1"/>
          <w:szCs w:val="26"/>
        </w:rPr>
        <w:t>30, 2019 resulting in an FPFTY projection of $64,637.  Wellsboro St. 1 at 4.  I&amp;E witness Patel accepted the updated FPFTY projection.  I&amp;E St</w:t>
      </w:r>
      <w:r w:rsidR="0028423F" w:rsidRPr="0029160A">
        <w:rPr>
          <w:color w:val="000000" w:themeColor="text1"/>
          <w:szCs w:val="26"/>
        </w:rPr>
        <w:t>.</w:t>
      </w:r>
      <w:r w:rsidRPr="0029160A">
        <w:rPr>
          <w:color w:val="000000" w:themeColor="text1"/>
          <w:szCs w:val="26"/>
        </w:rPr>
        <w:t xml:space="preserve"> 1-R at 4-5.  Wellsboro contended that it provided the detailed information to support its proposal to adjust total O&amp;M expense based on annualizing the total YTD costs as of September 30, 2019; a proposal that I&amp;E declined to accept.  Wellsboro M.B. at 48 (citing Wellsboro St. 1-R at</w:t>
      </w:r>
      <w:r w:rsidR="00B41933" w:rsidRPr="0029160A">
        <w:rPr>
          <w:color w:val="000000" w:themeColor="text1"/>
          <w:szCs w:val="26"/>
        </w:rPr>
        <w:t> </w:t>
      </w:r>
      <w:r w:rsidRPr="0029160A">
        <w:rPr>
          <w:color w:val="000000" w:themeColor="text1"/>
          <w:szCs w:val="26"/>
        </w:rPr>
        <w:t xml:space="preserve">4-5).  </w:t>
      </w:r>
    </w:p>
    <w:p w14:paraId="34A1A9BD" w14:textId="013750D2" w:rsidR="00F11420" w:rsidRPr="0029160A" w:rsidRDefault="00C53837" w:rsidP="00CB0B2E">
      <w:pPr>
        <w:widowControl/>
        <w:spacing w:line="360" w:lineRule="auto"/>
        <w:ind w:firstLine="1440"/>
        <w:rPr>
          <w:color w:val="000000" w:themeColor="text1"/>
          <w:szCs w:val="26"/>
        </w:rPr>
      </w:pPr>
      <w:r w:rsidRPr="0029160A">
        <w:rPr>
          <w:color w:val="000000" w:themeColor="text1"/>
          <w:szCs w:val="26"/>
        </w:rPr>
        <w:lastRenderedPageBreak/>
        <w:t xml:space="preserve">Wellsboro maintained that I&amp;E’s adjustment should be rejected.  Wellsboro averred that in the </w:t>
      </w:r>
      <w:r w:rsidRPr="0029160A">
        <w:rPr>
          <w:i/>
          <w:iCs/>
          <w:color w:val="000000" w:themeColor="text1"/>
          <w:szCs w:val="26"/>
        </w:rPr>
        <w:t>UGI Order</w:t>
      </w:r>
      <w:r w:rsidRPr="0029160A">
        <w:rPr>
          <w:color w:val="000000" w:themeColor="text1"/>
          <w:szCs w:val="26"/>
        </w:rPr>
        <w:t>, the Commission affirmed the ALJs</w:t>
      </w:r>
      <w:r w:rsidR="00CF796C" w:rsidRPr="0029160A">
        <w:rPr>
          <w:color w:val="000000" w:themeColor="text1"/>
          <w:szCs w:val="26"/>
        </w:rPr>
        <w:t>’</w:t>
      </w:r>
      <w:r w:rsidRPr="0029160A">
        <w:rPr>
          <w:color w:val="000000" w:themeColor="text1"/>
          <w:szCs w:val="26"/>
        </w:rPr>
        <w:t xml:space="preserve"> holding that a utility may “claim employee activities as an expense where the employee activity is for the purpose of employee recognition.</w:t>
      </w:r>
      <w:r w:rsidR="00C7325C" w:rsidRPr="0029160A">
        <w:rPr>
          <w:color w:val="000000" w:themeColor="text1"/>
          <w:szCs w:val="26"/>
        </w:rPr>
        <w:t>”</w:t>
      </w:r>
      <w:r w:rsidRPr="0029160A">
        <w:rPr>
          <w:color w:val="000000" w:themeColor="text1"/>
          <w:szCs w:val="26"/>
        </w:rPr>
        <w:t xml:space="preserve">  Wellsboro M.B. at 48 (citing UGI Order at 70).  Wellsboro explained that costs in the FTY are tracking below budget as of September 30, 2019, and it is not a reasonable basis to adjust expense for Account 908.  Wellsboro averred that the Company’s budgeted costs do not always track in accordance with the budget on a month to month basis.  Wellsboro M.B. at 48 (citing Wellsboro St. 6-R at 4).  Wellsboro explained that a review of the General Ledger of the Company’s HTY expense for Account 908 showed increased costs in November and December for phone/internet and miscellaneous expense.  Wellsboro M.B at 48 (citing I&amp;E St. 1, Exh. 1, Schedule 9 at</w:t>
      </w:r>
      <w:r w:rsidR="00B41933" w:rsidRPr="0029160A">
        <w:rPr>
          <w:color w:val="000000" w:themeColor="text1"/>
          <w:szCs w:val="26"/>
        </w:rPr>
        <w:t> </w:t>
      </w:r>
      <w:r w:rsidRPr="0029160A">
        <w:rPr>
          <w:color w:val="000000" w:themeColor="text1"/>
          <w:szCs w:val="26"/>
        </w:rPr>
        <w:t>8,10).</w:t>
      </w:r>
    </w:p>
    <w:p w14:paraId="38F97BFF" w14:textId="77777777" w:rsidR="00C53837" w:rsidRPr="0029160A" w:rsidRDefault="00C53837" w:rsidP="00CB0B2E">
      <w:pPr>
        <w:widowControl/>
        <w:spacing w:line="360" w:lineRule="auto"/>
        <w:ind w:firstLine="1440"/>
        <w:rPr>
          <w:color w:val="000000" w:themeColor="text1"/>
          <w:szCs w:val="26"/>
        </w:rPr>
      </w:pPr>
    </w:p>
    <w:p w14:paraId="5616B24A" w14:textId="77777777" w:rsidR="00F11420" w:rsidRPr="0029160A" w:rsidRDefault="00F11420" w:rsidP="00CB0B2E">
      <w:pPr>
        <w:pStyle w:val="Heading4"/>
        <w:ind w:hanging="720"/>
        <w:contextualSpacing w:val="0"/>
        <w:rPr>
          <w:color w:val="000000" w:themeColor="text1"/>
        </w:rPr>
      </w:pPr>
      <w:bookmarkStart w:id="105" w:name="_Toc38951781"/>
      <w:r w:rsidRPr="0029160A">
        <w:rPr>
          <w:color w:val="000000" w:themeColor="text1"/>
        </w:rPr>
        <w:t>Recommended Decision</w:t>
      </w:r>
      <w:bookmarkEnd w:id="105"/>
    </w:p>
    <w:p w14:paraId="3FC293C1" w14:textId="77777777" w:rsidR="00F11420" w:rsidRPr="0029160A" w:rsidRDefault="00F11420">
      <w:pPr>
        <w:widowControl/>
        <w:spacing w:line="360" w:lineRule="auto"/>
        <w:rPr>
          <w:color w:val="000000" w:themeColor="text1"/>
          <w:szCs w:val="26"/>
        </w:rPr>
      </w:pPr>
    </w:p>
    <w:p w14:paraId="26AB28E8" w14:textId="33508557" w:rsidR="00F11420" w:rsidRPr="0029160A" w:rsidRDefault="00C53837" w:rsidP="002E0E3A">
      <w:pPr>
        <w:widowControl/>
        <w:spacing w:line="360" w:lineRule="auto"/>
        <w:ind w:firstLine="1440"/>
        <w:rPr>
          <w:color w:val="000000" w:themeColor="text1"/>
          <w:szCs w:val="26"/>
        </w:rPr>
      </w:pPr>
      <w:r w:rsidRPr="0029160A">
        <w:rPr>
          <w:color w:val="000000" w:themeColor="text1"/>
          <w:szCs w:val="26"/>
        </w:rPr>
        <w:t>The ALJs agreed with Wellsboro that its YTD annualized data does not accurately reflect total FTY for this account, given that the Company’s HTY expense showed increased costs in November and December and the fact that historically the expenses for this account always significantly exceeded the YTD annualized amount.  R.D at 37.  The ALJs agreed with I&amp;E in disallowing the expenses that I&amp;E deemed to be non-recoverable including:</w:t>
      </w:r>
      <w:r w:rsidR="00626285" w:rsidRPr="0029160A">
        <w:rPr>
          <w:color w:val="000000" w:themeColor="text1"/>
          <w:szCs w:val="26"/>
        </w:rPr>
        <w:t xml:space="preserve"> (1)</w:t>
      </w:r>
      <w:r w:rsidR="001968AA" w:rsidRPr="0029160A">
        <w:rPr>
          <w:color w:val="000000" w:themeColor="text1"/>
          <w:szCs w:val="26"/>
        </w:rPr>
        <w:t xml:space="preserve"> </w:t>
      </w:r>
      <w:r w:rsidRPr="0029160A">
        <w:rPr>
          <w:color w:val="000000" w:themeColor="text1"/>
          <w:szCs w:val="26"/>
        </w:rPr>
        <w:t>2018 expenses for 3000 AD POP Lollipops of $797</w:t>
      </w:r>
      <w:r w:rsidR="00626285" w:rsidRPr="0029160A">
        <w:rPr>
          <w:color w:val="000000" w:themeColor="text1"/>
          <w:szCs w:val="26"/>
        </w:rPr>
        <w:t>; (2)</w:t>
      </w:r>
      <w:r w:rsidRPr="0029160A">
        <w:rPr>
          <w:color w:val="000000" w:themeColor="text1"/>
          <w:szCs w:val="26"/>
        </w:rPr>
        <w:t xml:space="preserve"> Player’s/Hole sponsorship of $650</w:t>
      </w:r>
      <w:r w:rsidR="00626285" w:rsidRPr="0029160A">
        <w:rPr>
          <w:color w:val="000000" w:themeColor="text1"/>
          <w:szCs w:val="26"/>
        </w:rPr>
        <w:t>; (3)</w:t>
      </w:r>
      <w:r w:rsidRPr="0029160A">
        <w:rPr>
          <w:color w:val="000000" w:themeColor="text1"/>
          <w:szCs w:val="26"/>
        </w:rPr>
        <w:t xml:space="preserve"> 2019 calendars of $305</w:t>
      </w:r>
      <w:r w:rsidR="00626285" w:rsidRPr="0029160A">
        <w:rPr>
          <w:color w:val="000000" w:themeColor="text1"/>
          <w:szCs w:val="26"/>
        </w:rPr>
        <w:t>;</w:t>
      </w:r>
      <w:r w:rsidR="001968AA" w:rsidRPr="0029160A">
        <w:rPr>
          <w:color w:val="000000" w:themeColor="text1"/>
          <w:szCs w:val="26"/>
        </w:rPr>
        <w:t xml:space="preserve"> </w:t>
      </w:r>
      <w:r w:rsidR="00626285" w:rsidRPr="0029160A">
        <w:rPr>
          <w:color w:val="000000" w:themeColor="text1"/>
          <w:szCs w:val="26"/>
        </w:rPr>
        <w:t>(4)</w:t>
      </w:r>
      <w:r w:rsidRPr="0029160A">
        <w:rPr>
          <w:color w:val="000000" w:themeColor="text1"/>
          <w:szCs w:val="26"/>
        </w:rPr>
        <w:t xml:space="preserve"> pocket calendars of $426</w:t>
      </w:r>
      <w:r w:rsidR="00626285" w:rsidRPr="0029160A">
        <w:rPr>
          <w:color w:val="000000" w:themeColor="text1"/>
          <w:szCs w:val="26"/>
        </w:rPr>
        <w:t>; (5)</w:t>
      </w:r>
      <w:r w:rsidRPr="0029160A">
        <w:rPr>
          <w:color w:val="000000" w:themeColor="text1"/>
          <w:szCs w:val="26"/>
        </w:rPr>
        <w:t xml:space="preserve"> team registration of $400</w:t>
      </w:r>
      <w:r w:rsidR="00626285" w:rsidRPr="0029160A">
        <w:rPr>
          <w:color w:val="000000" w:themeColor="text1"/>
          <w:szCs w:val="26"/>
        </w:rPr>
        <w:t>;(6)</w:t>
      </w:r>
      <w:r w:rsidRPr="0029160A">
        <w:rPr>
          <w:color w:val="000000" w:themeColor="text1"/>
          <w:szCs w:val="26"/>
        </w:rPr>
        <w:t xml:space="preserve"> Pro-Am Golf sponsorship of $800</w:t>
      </w:r>
      <w:r w:rsidR="00626285" w:rsidRPr="0029160A">
        <w:rPr>
          <w:color w:val="000000" w:themeColor="text1"/>
          <w:szCs w:val="26"/>
        </w:rPr>
        <w:t>; (7)</w:t>
      </w:r>
      <w:r w:rsidRPr="0029160A">
        <w:rPr>
          <w:color w:val="000000" w:themeColor="text1"/>
          <w:szCs w:val="26"/>
        </w:rPr>
        <w:t xml:space="preserve"> picnic expenses of $332</w:t>
      </w:r>
      <w:r w:rsidR="00626285" w:rsidRPr="0029160A">
        <w:rPr>
          <w:color w:val="000000" w:themeColor="text1"/>
          <w:szCs w:val="26"/>
        </w:rPr>
        <w:t>;</w:t>
      </w:r>
      <w:r w:rsidR="001968AA" w:rsidRPr="0029160A">
        <w:rPr>
          <w:color w:val="000000" w:themeColor="text1"/>
          <w:szCs w:val="26"/>
        </w:rPr>
        <w:t xml:space="preserve"> </w:t>
      </w:r>
      <w:r w:rsidR="00626285" w:rsidRPr="0029160A">
        <w:rPr>
          <w:color w:val="000000" w:themeColor="text1"/>
          <w:szCs w:val="26"/>
        </w:rPr>
        <w:t>(8)</w:t>
      </w:r>
      <w:r w:rsidRPr="0029160A">
        <w:rPr>
          <w:color w:val="000000" w:themeColor="text1"/>
          <w:szCs w:val="26"/>
        </w:rPr>
        <w:t xml:space="preserve"> Christmas gift car</w:t>
      </w:r>
      <w:r w:rsidR="00C7325C" w:rsidRPr="0029160A">
        <w:rPr>
          <w:color w:val="000000" w:themeColor="text1"/>
          <w:szCs w:val="26"/>
        </w:rPr>
        <w:t>d</w:t>
      </w:r>
      <w:r w:rsidRPr="0029160A">
        <w:rPr>
          <w:color w:val="000000" w:themeColor="text1"/>
          <w:szCs w:val="26"/>
        </w:rPr>
        <w:t>s of $374</w:t>
      </w:r>
      <w:r w:rsidR="00626285" w:rsidRPr="0029160A">
        <w:rPr>
          <w:color w:val="000000" w:themeColor="text1"/>
          <w:szCs w:val="26"/>
        </w:rPr>
        <w:t>;</w:t>
      </w:r>
      <w:r w:rsidR="001968AA" w:rsidRPr="0029160A">
        <w:rPr>
          <w:color w:val="000000" w:themeColor="text1"/>
          <w:szCs w:val="26"/>
        </w:rPr>
        <w:t xml:space="preserve"> </w:t>
      </w:r>
      <w:r w:rsidR="00626285" w:rsidRPr="0029160A">
        <w:rPr>
          <w:color w:val="000000" w:themeColor="text1"/>
          <w:szCs w:val="26"/>
        </w:rPr>
        <w:t>(9)</w:t>
      </w:r>
      <w:r w:rsidRPr="0029160A">
        <w:rPr>
          <w:color w:val="000000" w:themeColor="text1"/>
          <w:szCs w:val="26"/>
        </w:rPr>
        <w:t xml:space="preserve"> and Christmas parties/banquet of $5,107.  R.D. at 37-38 (citing I&amp;E St. 1 at 27).  The ALJs recommended the Commission approve a claim of $125,467 for office supplies expense based on the Company’s HTY expense.  R.D. at 39.</w:t>
      </w:r>
    </w:p>
    <w:p w14:paraId="5F30B167" w14:textId="77777777" w:rsidR="00B41933" w:rsidRPr="0029160A" w:rsidRDefault="00B41933" w:rsidP="00CB0B2E">
      <w:pPr>
        <w:widowControl/>
        <w:spacing w:line="360" w:lineRule="auto"/>
        <w:ind w:firstLine="1440"/>
        <w:rPr>
          <w:color w:val="000000" w:themeColor="text1"/>
          <w:szCs w:val="26"/>
        </w:rPr>
      </w:pPr>
    </w:p>
    <w:p w14:paraId="1D9CA65C" w14:textId="77777777" w:rsidR="00F11420" w:rsidRPr="0029160A" w:rsidRDefault="00312B42" w:rsidP="00CB0B2E">
      <w:pPr>
        <w:pStyle w:val="Heading4"/>
        <w:keepNext/>
        <w:ind w:hanging="720"/>
        <w:contextualSpacing w:val="0"/>
        <w:rPr>
          <w:color w:val="000000" w:themeColor="text1"/>
        </w:rPr>
      </w:pPr>
      <w:bookmarkStart w:id="106" w:name="_Toc38951782"/>
      <w:r w:rsidRPr="0029160A">
        <w:rPr>
          <w:color w:val="000000" w:themeColor="text1"/>
        </w:rPr>
        <w:lastRenderedPageBreak/>
        <w:t>I&amp;E Exception No. 4 and Replies</w:t>
      </w:r>
      <w:bookmarkEnd w:id="106"/>
    </w:p>
    <w:p w14:paraId="1DA6D16B" w14:textId="77777777" w:rsidR="00F11420" w:rsidRPr="0029160A" w:rsidRDefault="00F11420" w:rsidP="00CB0B2E">
      <w:pPr>
        <w:keepNext/>
        <w:widowControl/>
        <w:spacing w:line="360" w:lineRule="auto"/>
        <w:rPr>
          <w:color w:val="000000" w:themeColor="text1"/>
          <w:szCs w:val="26"/>
        </w:rPr>
      </w:pPr>
    </w:p>
    <w:p w14:paraId="23BCBFFA" w14:textId="77777777" w:rsidR="00C53837" w:rsidRPr="0029160A" w:rsidRDefault="00C53837" w:rsidP="00CB0B2E">
      <w:pPr>
        <w:keepNext/>
        <w:widowControl/>
        <w:spacing w:line="360" w:lineRule="auto"/>
        <w:ind w:firstLine="1440"/>
        <w:contextualSpacing/>
        <w:rPr>
          <w:color w:val="000000" w:themeColor="text1"/>
          <w:szCs w:val="26"/>
        </w:rPr>
      </w:pPr>
      <w:r w:rsidRPr="0029160A">
        <w:rPr>
          <w:color w:val="000000" w:themeColor="text1"/>
          <w:szCs w:val="26"/>
        </w:rPr>
        <w:t xml:space="preserve">In I&amp;E Exception No. 4, I&amp;E submits the ALJs erred as a matter of law by weighing stale Company evidence in the briefing stage.  Wellsboro’s initial claim was for $140,595; however, the final amount supported by Wellsboro witness Gorman was only $64,367.  I&amp;E argues Wellsboro has not met its burden of proof to support a claim of $140,595 when its witness testimony only supports a claim of $64,367.  I&amp;E argues that due process principles are implicated with respect to Wellsboro’s late-brought claim; I&amp;E was deprived of its ability to respond or examine Wellsboro’s claim in surrebuttal testimony, during hearings, and in </w:t>
      </w:r>
      <w:r w:rsidR="00C64073" w:rsidRPr="0029160A">
        <w:rPr>
          <w:color w:val="000000" w:themeColor="text1"/>
          <w:szCs w:val="26"/>
        </w:rPr>
        <w:t>Main Brief</w:t>
      </w:r>
      <w:r w:rsidRPr="0029160A">
        <w:rPr>
          <w:color w:val="000000" w:themeColor="text1"/>
          <w:szCs w:val="26"/>
        </w:rPr>
        <w:t>.  I&amp;E Exc. at 8-9; I&amp;E M.B. at 14-16; I&amp;E R.B. at 23-24.</w:t>
      </w:r>
    </w:p>
    <w:p w14:paraId="1B1DA5F3" w14:textId="77777777" w:rsidR="00C53837" w:rsidRPr="0029160A" w:rsidRDefault="00C53837" w:rsidP="00CB0B2E">
      <w:pPr>
        <w:widowControl/>
        <w:spacing w:line="360" w:lineRule="auto"/>
        <w:ind w:firstLine="1440"/>
        <w:contextualSpacing/>
        <w:rPr>
          <w:color w:val="000000" w:themeColor="text1"/>
          <w:szCs w:val="26"/>
        </w:rPr>
      </w:pPr>
    </w:p>
    <w:p w14:paraId="5B7423BB" w14:textId="21EFE18A" w:rsidR="00C53837" w:rsidRPr="0029160A" w:rsidRDefault="00C53837">
      <w:pPr>
        <w:widowControl/>
        <w:spacing w:line="360" w:lineRule="auto"/>
        <w:ind w:firstLine="1440"/>
        <w:contextualSpacing/>
        <w:rPr>
          <w:color w:val="000000" w:themeColor="text1"/>
          <w:szCs w:val="26"/>
        </w:rPr>
      </w:pPr>
      <w:r w:rsidRPr="0029160A">
        <w:rPr>
          <w:color w:val="000000" w:themeColor="text1"/>
          <w:szCs w:val="26"/>
        </w:rPr>
        <w:t>In Replies to I&amp;E Exception No. 4, Wellsboro submits the R.D. correctly rejected I&amp;E’s adjustment for this expense claim and I&amp;E’s Exception should be denied.  Wellsboro submits that, again, I&amp;E argues that the Commission should ignore record evidence supporting a higher expense claim based on I&amp;E</w:t>
      </w:r>
      <w:r w:rsidR="006F3745" w:rsidRPr="0029160A">
        <w:rPr>
          <w:color w:val="000000" w:themeColor="text1"/>
          <w:szCs w:val="26"/>
        </w:rPr>
        <w:t>’</w:t>
      </w:r>
      <w:r w:rsidRPr="0029160A">
        <w:rPr>
          <w:color w:val="000000" w:themeColor="text1"/>
          <w:szCs w:val="26"/>
        </w:rPr>
        <w:t>s misinterpretation of the Company</w:t>
      </w:r>
      <w:r w:rsidR="003641CE" w:rsidRPr="0029160A">
        <w:rPr>
          <w:color w:val="000000" w:themeColor="text1"/>
          <w:szCs w:val="26"/>
        </w:rPr>
        <w:t>’</w:t>
      </w:r>
      <w:r w:rsidRPr="0029160A">
        <w:rPr>
          <w:color w:val="000000" w:themeColor="text1"/>
          <w:szCs w:val="26"/>
        </w:rPr>
        <w:t>s Rebuttal Testimony.  I&amp;E commits several errors in its argument.</w:t>
      </w:r>
      <w:r w:rsidR="00B27953" w:rsidRPr="0029160A">
        <w:rPr>
          <w:color w:val="000000" w:themeColor="text1"/>
          <w:szCs w:val="26"/>
        </w:rPr>
        <w:t xml:space="preserve">  </w:t>
      </w:r>
      <w:r w:rsidRPr="0029160A">
        <w:rPr>
          <w:color w:val="000000" w:themeColor="text1"/>
          <w:szCs w:val="26"/>
        </w:rPr>
        <w:t>First, I&amp;E interprets the annualized FTY data in Mr. Gorman</w:t>
      </w:r>
      <w:r w:rsidR="00A621E8">
        <w:rPr>
          <w:color w:val="000000" w:themeColor="text1"/>
          <w:szCs w:val="26"/>
        </w:rPr>
        <w:t>’</w:t>
      </w:r>
      <w:r w:rsidRPr="0029160A">
        <w:rPr>
          <w:color w:val="000000" w:themeColor="text1"/>
          <w:szCs w:val="26"/>
        </w:rPr>
        <w:t>s Rebuttal Testimony as a limitation on the Company</w:t>
      </w:r>
      <w:r w:rsidR="003641CE" w:rsidRPr="0029160A">
        <w:rPr>
          <w:color w:val="000000" w:themeColor="text1"/>
          <w:szCs w:val="26"/>
        </w:rPr>
        <w:t>’</w:t>
      </w:r>
      <w:r w:rsidRPr="0029160A">
        <w:rPr>
          <w:color w:val="000000" w:themeColor="text1"/>
          <w:szCs w:val="26"/>
        </w:rPr>
        <w:t>s individual claims, when Mr. Gorman was using the information to support an across-the-board adjustment for O&amp;M expenses – a proposal I&amp;E rejected</w:t>
      </w:r>
      <w:r w:rsidR="00A621E8">
        <w:rPr>
          <w:color w:val="000000" w:themeColor="text1"/>
          <w:szCs w:val="26"/>
        </w:rPr>
        <w:t xml:space="preserve"> </w:t>
      </w:r>
      <w:r w:rsidRPr="0029160A">
        <w:rPr>
          <w:color w:val="000000" w:themeColor="text1"/>
          <w:szCs w:val="26"/>
        </w:rPr>
        <w:t>(</w:t>
      </w:r>
      <w:r w:rsidR="00A621E8">
        <w:rPr>
          <w:color w:val="000000" w:themeColor="text1"/>
          <w:szCs w:val="26"/>
        </w:rPr>
        <w:t>c</w:t>
      </w:r>
      <w:r w:rsidRPr="0029160A">
        <w:rPr>
          <w:color w:val="000000" w:themeColor="text1"/>
          <w:szCs w:val="26"/>
        </w:rPr>
        <w:t>iting I&amp;E M.B. at 14-15).  Second, I&amp;E</w:t>
      </w:r>
      <w:r w:rsidR="006F3745" w:rsidRPr="0029160A">
        <w:rPr>
          <w:color w:val="000000" w:themeColor="text1"/>
          <w:szCs w:val="26"/>
        </w:rPr>
        <w:t>’</w:t>
      </w:r>
      <w:r w:rsidRPr="0029160A">
        <w:rPr>
          <w:color w:val="000000" w:themeColor="text1"/>
          <w:szCs w:val="26"/>
        </w:rPr>
        <w:t xml:space="preserve">s accusation of a </w:t>
      </w:r>
      <w:r w:rsidR="003641CE" w:rsidRPr="0029160A">
        <w:rPr>
          <w:color w:val="000000" w:themeColor="text1"/>
          <w:szCs w:val="26"/>
        </w:rPr>
        <w:t>“</w:t>
      </w:r>
      <w:r w:rsidRPr="0029160A">
        <w:rPr>
          <w:color w:val="000000" w:themeColor="text1"/>
          <w:szCs w:val="26"/>
        </w:rPr>
        <w:t>late-brought claim</w:t>
      </w:r>
      <w:r w:rsidR="003641CE" w:rsidRPr="0029160A">
        <w:rPr>
          <w:color w:val="000000" w:themeColor="text1"/>
          <w:szCs w:val="26"/>
        </w:rPr>
        <w:t>”</w:t>
      </w:r>
      <w:r w:rsidRPr="0029160A">
        <w:rPr>
          <w:color w:val="000000" w:themeColor="text1"/>
          <w:szCs w:val="26"/>
        </w:rPr>
        <w:t xml:space="preserve"> is not applicable where the Company relies on record evidence to further support its arguments on brief.  Wellsboro R. Exc. at 11-12; Wellsboro M.B. at 48</w:t>
      </w:r>
      <w:r w:rsidR="0097200F" w:rsidRPr="0029160A">
        <w:rPr>
          <w:color w:val="000000" w:themeColor="text1"/>
          <w:szCs w:val="26"/>
        </w:rPr>
        <w:t xml:space="preserve"> </w:t>
      </w:r>
      <w:r w:rsidR="00EF6959" w:rsidRPr="0029160A">
        <w:rPr>
          <w:color w:val="000000" w:themeColor="text1"/>
          <w:szCs w:val="26"/>
        </w:rPr>
        <w:t>(</w:t>
      </w:r>
      <w:r w:rsidRPr="0029160A">
        <w:rPr>
          <w:iCs/>
          <w:color w:val="000000" w:themeColor="text1"/>
          <w:szCs w:val="26"/>
        </w:rPr>
        <w:t>citing</w:t>
      </w:r>
      <w:r w:rsidRPr="0029160A">
        <w:rPr>
          <w:i/>
          <w:color w:val="000000" w:themeColor="text1"/>
          <w:szCs w:val="26"/>
        </w:rPr>
        <w:t xml:space="preserve"> </w:t>
      </w:r>
      <w:r w:rsidRPr="0029160A">
        <w:rPr>
          <w:color w:val="000000" w:themeColor="text1"/>
          <w:szCs w:val="26"/>
        </w:rPr>
        <w:t>I&amp;E St. 1, Exh. No.</w:t>
      </w:r>
      <w:r w:rsidR="0052404E" w:rsidRPr="0029160A">
        <w:rPr>
          <w:color w:val="000000" w:themeColor="text1"/>
          <w:szCs w:val="26"/>
        </w:rPr>
        <w:t> </w:t>
      </w:r>
      <w:r w:rsidRPr="0029160A">
        <w:rPr>
          <w:color w:val="000000" w:themeColor="text1"/>
          <w:szCs w:val="26"/>
        </w:rPr>
        <w:t>1, Schedule 9 at 8, 10 (showing Account 921 expenses increase in the 4</w:t>
      </w:r>
      <w:r w:rsidRPr="0029160A">
        <w:rPr>
          <w:color w:val="000000" w:themeColor="text1"/>
          <w:szCs w:val="26"/>
          <w:vertAlign w:val="superscript"/>
        </w:rPr>
        <w:t>th</w:t>
      </w:r>
      <w:r w:rsidRPr="0029160A">
        <w:rPr>
          <w:color w:val="000000" w:themeColor="text1"/>
          <w:szCs w:val="26"/>
        </w:rPr>
        <w:t xml:space="preserve"> quarter such that reliance on annualized </w:t>
      </w:r>
      <w:r w:rsidR="00B86C63" w:rsidRPr="0029160A">
        <w:rPr>
          <w:color w:val="000000" w:themeColor="text1"/>
          <w:szCs w:val="26"/>
        </w:rPr>
        <w:t>nine-month</w:t>
      </w:r>
      <w:r w:rsidRPr="0029160A">
        <w:rPr>
          <w:color w:val="000000" w:themeColor="text1"/>
          <w:szCs w:val="26"/>
        </w:rPr>
        <w:t xml:space="preserve"> FTY data would understate the Company</w:t>
      </w:r>
      <w:r w:rsidR="006F3745" w:rsidRPr="0029160A">
        <w:rPr>
          <w:color w:val="000000" w:themeColor="text1"/>
          <w:szCs w:val="26"/>
        </w:rPr>
        <w:t>’</w:t>
      </w:r>
      <w:r w:rsidRPr="0029160A">
        <w:rPr>
          <w:color w:val="000000" w:themeColor="text1"/>
          <w:szCs w:val="26"/>
        </w:rPr>
        <w:t>s FPFTY expense)).</w:t>
      </w:r>
    </w:p>
    <w:p w14:paraId="118BAF94" w14:textId="77777777" w:rsidR="00F11420" w:rsidRPr="0029160A" w:rsidRDefault="00F11420">
      <w:pPr>
        <w:widowControl/>
        <w:spacing w:line="360" w:lineRule="auto"/>
        <w:rPr>
          <w:color w:val="000000" w:themeColor="text1"/>
          <w:szCs w:val="26"/>
        </w:rPr>
      </w:pPr>
    </w:p>
    <w:p w14:paraId="36DB70CC" w14:textId="77777777" w:rsidR="00F11420" w:rsidRPr="0029160A" w:rsidRDefault="00F11420" w:rsidP="00CB0B2E">
      <w:pPr>
        <w:pStyle w:val="Heading4"/>
        <w:keepNext/>
        <w:keepLines/>
        <w:ind w:hanging="720"/>
        <w:contextualSpacing w:val="0"/>
        <w:rPr>
          <w:color w:val="000000" w:themeColor="text1"/>
        </w:rPr>
      </w:pPr>
      <w:bookmarkStart w:id="107" w:name="_Toc38951783"/>
      <w:r w:rsidRPr="0029160A">
        <w:rPr>
          <w:color w:val="000000" w:themeColor="text1"/>
        </w:rPr>
        <w:lastRenderedPageBreak/>
        <w:t>Disposition</w:t>
      </w:r>
      <w:bookmarkEnd w:id="107"/>
    </w:p>
    <w:p w14:paraId="1B830626" w14:textId="77777777" w:rsidR="00F11420" w:rsidRPr="0029160A" w:rsidRDefault="00F11420">
      <w:pPr>
        <w:keepNext/>
        <w:keepLines/>
        <w:widowControl/>
        <w:spacing w:line="360" w:lineRule="auto"/>
        <w:rPr>
          <w:color w:val="000000" w:themeColor="text1"/>
          <w:szCs w:val="26"/>
        </w:rPr>
      </w:pPr>
    </w:p>
    <w:p w14:paraId="0C8F9096" w14:textId="53723C4B" w:rsidR="00EA5FA7" w:rsidRPr="0029160A" w:rsidRDefault="00EA5FA7" w:rsidP="0052404E">
      <w:pPr>
        <w:widowControl/>
        <w:spacing w:line="360" w:lineRule="auto"/>
        <w:ind w:firstLine="1440"/>
        <w:rPr>
          <w:color w:val="000000" w:themeColor="text1"/>
          <w:szCs w:val="26"/>
        </w:rPr>
      </w:pPr>
      <w:r w:rsidRPr="0029160A">
        <w:rPr>
          <w:color w:val="000000" w:themeColor="text1"/>
          <w:szCs w:val="26"/>
        </w:rPr>
        <w:t>We agree with the ALJs on this issue and shall deny I&amp;E’s Exception No.</w:t>
      </w:r>
      <w:r w:rsidR="00470B5E" w:rsidRPr="0029160A">
        <w:rPr>
          <w:color w:val="000000" w:themeColor="text1"/>
          <w:szCs w:val="26"/>
        </w:rPr>
        <w:t> </w:t>
      </w:r>
      <w:r w:rsidRPr="0029160A">
        <w:rPr>
          <w:color w:val="000000" w:themeColor="text1"/>
          <w:szCs w:val="26"/>
        </w:rPr>
        <w:t xml:space="preserve">4, consistent with the following discussion.  I&amp;E objects to the ALJs’ recommendation to use Wellsboro’s original expense for Account 921 as the basis for its approval of a claim of $8,915 for the same reasons found in I&amp;E Exception No. 2.  I&amp;E again argues that due process principles are implicated with respect to Wellsboro’s “late-brought” claim.  I&amp;E Exc. at 8-9.  We similarly reject I&amp;E’s arguments here also, as we did </w:t>
      </w:r>
      <w:r w:rsidRPr="0029160A">
        <w:rPr>
          <w:i/>
          <w:iCs/>
          <w:color w:val="000000" w:themeColor="text1"/>
          <w:szCs w:val="26"/>
        </w:rPr>
        <w:t>supra</w:t>
      </w:r>
      <w:r w:rsidRPr="0029160A">
        <w:rPr>
          <w:color w:val="000000" w:themeColor="text1"/>
          <w:szCs w:val="26"/>
        </w:rPr>
        <w:t>, in response to I&amp;E Exception No. 2.</w:t>
      </w:r>
    </w:p>
    <w:p w14:paraId="7AAA877B" w14:textId="77777777" w:rsidR="00C53837" w:rsidRPr="0029160A" w:rsidRDefault="00C53837" w:rsidP="0052404E">
      <w:pPr>
        <w:widowControl/>
        <w:spacing w:line="360" w:lineRule="auto"/>
        <w:rPr>
          <w:color w:val="000000" w:themeColor="text1"/>
          <w:szCs w:val="26"/>
        </w:rPr>
      </w:pPr>
    </w:p>
    <w:p w14:paraId="7B1C7457" w14:textId="0AB8444A" w:rsidR="00461A7E" w:rsidRPr="0029160A" w:rsidRDefault="008463A0" w:rsidP="00CB0B2E">
      <w:pPr>
        <w:pStyle w:val="Heading3"/>
        <w:keepNext/>
        <w:keepLines/>
        <w:ind w:left="1440" w:hanging="720"/>
        <w:contextualSpacing w:val="0"/>
        <w:rPr>
          <w:color w:val="000000" w:themeColor="text1"/>
        </w:rPr>
      </w:pPr>
      <w:bookmarkStart w:id="108" w:name="_Toc36552360"/>
      <w:bookmarkStart w:id="109" w:name="_Toc38951784"/>
      <w:r w:rsidRPr="0029160A">
        <w:rPr>
          <w:color w:val="000000" w:themeColor="text1"/>
        </w:rPr>
        <w:t xml:space="preserve">Expenses:  </w:t>
      </w:r>
      <w:r w:rsidR="00461A7E" w:rsidRPr="0029160A">
        <w:rPr>
          <w:color w:val="000000" w:themeColor="text1"/>
        </w:rPr>
        <w:t>Maintenance of General Property (Account 932)</w:t>
      </w:r>
      <w:bookmarkEnd w:id="108"/>
      <w:bookmarkEnd w:id="109"/>
    </w:p>
    <w:p w14:paraId="0DA814C9" w14:textId="77777777" w:rsidR="00475586" w:rsidRPr="0029160A" w:rsidRDefault="00475586" w:rsidP="0052404E">
      <w:pPr>
        <w:keepNext/>
        <w:keepLines/>
        <w:widowControl/>
        <w:spacing w:line="360" w:lineRule="auto"/>
        <w:rPr>
          <w:color w:val="000000" w:themeColor="text1"/>
        </w:rPr>
      </w:pPr>
    </w:p>
    <w:p w14:paraId="04321B25" w14:textId="4AC6E405" w:rsidR="00475586" w:rsidRPr="0029160A" w:rsidRDefault="00475586" w:rsidP="00CB0B2E">
      <w:pPr>
        <w:pStyle w:val="Heading4"/>
        <w:keepNext/>
        <w:keepLines/>
        <w:numPr>
          <w:ilvl w:val="0"/>
          <w:numId w:val="17"/>
        </w:numPr>
        <w:ind w:hanging="720"/>
        <w:contextualSpacing w:val="0"/>
        <w:rPr>
          <w:color w:val="000000" w:themeColor="text1"/>
        </w:rPr>
      </w:pPr>
      <w:bookmarkStart w:id="110" w:name="_Toc38951785"/>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110"/>
    </w:p>
    <w:p w14:paraId="11480FCB" w14:textId="77777777" w:rsidR="00475586" w:rsidRPr="0029160A" w:rsidRDefault="00475586" w:rsidP="0052404E">
      <w:pPr>
        <w:keepNext/>
        <w:keepLines/>
        <w:widowControl/>
        <w:spacing w:line="360" w:lineRule="auto"/>
        <w:rPr>
          <w:color w:val="000000" w:themeColor="text1"/>
          <w:szCs w:val="26"/>
        </w:rPr>
      </w:pPr>
    </w:p>
    <w:p w14:paraId="14929ED0" w14:textId="3A23A6C0"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Wellsboro proposed to recover $90,199 for Account 932 expenses.  Wellsboro M.B. at 49 (citing Wellsboro St. 1, Exh</w:t>
      </w:r>
      <w:r w:rsidR="005150F4" w:rsidRPr="0029160A">
        <w:rPr>
          <w:color w:val="000000" w:themeColor="text1"/>
          <w:szCs w:val="26"/>
        </w:rPr>
        <w:t>ibit</w:t>
      </w:r>
      <w:r w:rsidRPr="0029160A">
        <w:rPr>
          <w:color w:val="000000" w:themeColor="text1"/>
          <w:szCs w:val="26"/>
        </w:rPr>
        <w:t xml:space="preserve">_(HSG-1), Schedule C1-1 (W)).  Wellsboro provided that the OCA witness Sherwood proposed an adjustment of $43,242 to result in an allowance of $46,957.  Ms. Sherwood used a </w:t>
      </w:r>
      <w:r w:rsidR="007C7206" w:rsidRPr="0029160A">
        <w:rPr>
          <w:color w:val="000000" w:themeColor="text1"/>
          <w:szCs w:val="26"/>
        </w:rPr>
        <w:t>three</w:t>
      </w:r>
      <w:r w:rsidRPr="0029160A">
        <w:rPr>
          <w:color w:val="000000" w:themeColor="text1"/>
          <w:szCs w:val="26"/>
        </w:rPr>
        <w:t xml:space="preserve">-year average of a single component of the Account 932 expense (a sub-account classified as “other”) plus FTY expenses for the remaining categories, not including an inflation adjustment.  Wellsboro M.B. at 49 (citing OCA St. 1 at 10).  </w:t>
      </w:r>
    </w:p>
    <w:p w14:paraId="57E350A7" w14:textId="77777777" w:rsidR="00C53837" w:rsidRPr="0029160A" w:rsidRDefault="00C53837" w:rsidP="00CB0B2E">
      <w:pPr>
        <w:widowControl/>
        <w:spacing w:line="360" w:lineRule="auto"/>
        <w:ind w:firstLine="1440"/>
        <w:rPr>
          <w:color w:val="000000" w:themeColor="text1"/>
          <w:szCs w:val="26"/>
        </w:rPr>
      </w:pPr>
    </w:p>
    <w:p w14:paraId="4699EE42" w14:textId="77777777"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 xml:space="preserve">Wellsboro provided </w:t>
      </w:r>
      <w:r w:rsidR="00B86C63" w:rsidRPr="0029160A">
        <w:rPr>
          <w:color w:val="000000" w:themeColor="text1"/>
          <w:szCs w:val="26"/>
        </w:rPr>
        <w:t>YTD</w:t>
      </w:r>
      <w:r w:rsidRPr="0029160A">
        <w:rPr>
          <w:color w:val="000000" w:themeColor="text1"/>
          <w:szCs w:val="26"/>
        </w:rPr>
        <w:t xml:space="preserve"> data through September 30, 2019</w:t>
      </w:r>
      <w:r w:rsidR="00B27953" w:rsidRPr="0029160A">
        <w:rPr>
          <w:color w:val="000000" w:themeColor="text1"/>
          <w:szCs w:val="26"/>
        </w:rPr>
        <w:t>,</w:t>
      </w:r>
      <w:r w:rsidRPr="0029160A">
        <w:rPr>
          <w:color w:val="000000" w:themeColor="text1"/>
          <w:szCs w:val="26"/>
        </w:rPr>
        <w:t xml:space="preserve"> resulting in an FPFTY project of $70,602 for Account 932.  Wellsboro M.B. at 49 (citing Wellsboro St. 1-R at 4).  Wellsboro stated that the OCA’s recommended FPFTY allowance of $46,957 would not even cover the Company’s actual $51,409 expense incurred for Account 932 as of September 30, 2019.  Wellsboro provided that its $90,199 claim should be accepted.  Wellsboro M.B. at 49.  </w:t>
      </w:r>
    </w:p>
    <w:p w14:paraId="1A5640C8" w14:textId="77777777" w:rsidR="00475586" w:rsidRPr="0029160A" w:rsidRDefault="00475586">
      <w:pPr>
        <w:widowControl/>
        <w:spacing w:line="360" w:lineRule="auto"/>
        <w:rPr>
          <w:color w:val="000000" w:themeColor="text1"/>
          <w:szCs w:val="26"/>
        </w:rPr>
      </w:pPr>
    </w:p>
    <w:p w14:paraId="79FFF439" w14:textId="77777777" w:rsidR="00475586" w:rsidRPr="0029160A" w:rsidRDefault="00475586" w:rsidP="00CB0B2E">
      <w:pPr>
        <w:pStyle w:val="Heading4"/>
        <w:ind w:hanging="720"/>
        <w:contextualSpacing w:val="0"/>
        <w:rPr>
          <w:color w:val="000000" w:themeColor="text1"/>
        </w:rPr>
      </w:pPr>
      <w:bookmarkStart w:id="111" w:name="_Toc38951786"/>
      <w:r w:rsidRPr="0029160A">
        <w:rPr>
          <w:color w:val="000000" w:themeColor="text1"/>
        </w:rPr>
        <w:lastRenderedPageBreak/>
        <w:t>Recommended Decision</w:t>
      </w:r>
      <w:bookmarkEnd w:id="111"/>
    </w:p>
    <w:p w14:paraId="6B49180E" w14:textId="77777777" w:rsidR="00475586" w:rsidRPr="0029160A" w:rsidRDefault="00475586">
      <w:pPr>
        <w:widowControl/>
        <w:spacing w:line="360" w:lineRule="auto"/>
        <w:rPr>
          <w:color w:val="000000" w:themeColor="text1"/>
          <w:szCs w:val="26"/>
        </w:rPr>
      </w:pPr>
    </w:p>
    <w:p w14:paraId="6E2CB9E8" w14:textId="77777777" w:rsidR="00C53837" w:rsidRPr="0029160A" w:rsidRDefault="00C53837" w:rsidP="00CB0B2E">
      <w:pPr>
        <w:widowControl/>
        <w:spacing w:line="360" w:lineRule="auto"/>
        <w:ind w:firstLine="1440"/>
        <w:contextualSpacing/>
        <w:rPr>
          <w:color w:val="000000" w:themeColor="text1"/>
          <w:szCs w:val="26"/>
        </w:rPr>
      </w:pPr>
      <w:r w:rsidRPr="0029160A">
        <w:rPr>
          <w:color w:val="000000" w:themeColor="text1"/>
          <w:szCs w:val="26"/>
        </w:rPr>
        <w:t xml:space="preserve">The ALJs found that given that use of the FPFTY is based on projected expenses and given Wellsboro’s testimony that maintenance activities recorded under this Account vary from year to year, it is prudent to rely on the Company’s budget experience in projecting this account to the FPFTY.  The ALJs noted that </w:t>
      </w:r>
      <w:r w:rsidR="000035BE" w:rsidRPr="0029160A">
        <w:rPr>
          <w:color w:val="000000" w:themeColor="text1"/>
          <w:szCs w:val="26"/>
        </w:rPr>
        <w:t xml:space="preserve">the </w:t>
      </w:r>
      <w:r w:rsidRPr="0029160A">
        <w:rPr>
          <w:color w:val="000000" w:themeColor="text1"/>
          <w:szCs w:val="26"/>
        </w:rPr>
        <w:t xml:space="preserve">OCA’s adjustment would not </w:t>
      </w:r>
      <w:r w:rsidR="000035BE" w:rsidRPr="0029160A">
        <w:rPr>
          <w:color w:val="000000" w:themeColor="text1"/>
          <w:szCs w:val="26"/>
        </w:rPr>
        <w:t>c</w:t>
      </w:r>
      <w:r w:rsidRPr="0029160A">
        <w:rPr>
          <w:color w:val="000000" w:themeColor="text1"/>
          <w:szCs w:val="26"/>
        </w:rPr>
        <w:t>over the actual $51,409 expense incurred for the Account as of September 30, 2019.  The ALJs recommended that Wellsboro’s maintenance of general property claim of $68,546, the FTY annualized amount, be approved.</w:t>
      </w:r>
      <w:r w:rsidR="008B1B5C" w:rsidRPr="0029160A">
        <w:rPr>
          <w:color w:val="000000" w:themeColor="text1"/>
          <w:szCs w:val="26"/>
        </w:rPr>
        <w:t xml:space="preserve">  </w:t>
      </w:r>
      <w:r w:rsidRPr="0029160A">
        <w:rPr>
          <w:color w:val="000000" w:themeColor="text1"/>
          <w:szCs w:val="26"/>
        </w:rPr>
        <w:t>R.D. at 41.</w:t>
      </w:r>
    </w:p>
    <w:p w14:paraId="44E4FDFB" w14:textId="77777777" w:rsidR="00475586" w:rsidRPr="0029160A" w:rsidRDefault="00475586" w:rsidP="0052404E">
      <w:pPr>
        <w:widowControl/>
        <w:spacing w:line="360" w:lineRule="auto"/>
        <w:rPr>
          <w:color w:val="000000" w:themeColor="text1"/>
          <w:szCs w:val="26"/>
        </w:rPr>
      </w:pPr>
    </w:p>
    <w:p w14:paraId="1FF05409" w14:textId="77777777" w:rsidR="00475586" w:rsidRPr="0029160A" w:rsidRDefault="00312B42" w:rsidP="00CB0B2E">
      <w:pPr>
        <w:pStyle w:val="Heading4"/>
        <w:ind w:hanging="720"/>
        <w:contextualSpacing w:val="0"/>
        <w:rPr>
          <w:color w:val="000000" w:themeColor="text1"/>
        </w:rPr>
      </w:pPr>
      <w:bookmarkStart w:id="112" w:name="_Toc38951787"/>
      <w:r w:rsidRPr="0029160A">
        <w:rPr>
          <w:color w:val="000000" w:themeColor="text1"/>
        </w:rPr>
        <w:t>OCA Exception No. 5 and Replies</w:t>
      </w:r>
      <w:bookmarkEnd w:id="112"/>
    </w:p>
    <w:p w14:paraId="61D4AC8B" w14:textId="77777777" w:rsidR="00475586" w:rsidRPr="0029160A" w:rsidRDefault="00475586" w:rsidP="0052404E">
      <w:pPr>
        <w:widowControl/>
        <w:spacing w:line="360" w:lineRule="auto"/>
        <w:rPr>
          <w:color w:val="000000" w:themeColor="text1"/>
          <w:szCs w:val="26"/>
        </w:rPr>
      </w:pPr>
    </w:p>
    <w:p w14:paraId="36EC3114" w14:textId="666167E9"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 xml:space="preserve">In OCA Exception No. 5, the OCA submits the ALJs erred by adopting the Company’s annualized </w:t>
      </w:r>
      <w:r w:rsidR="00B86C63" w:rsidRPr="0029160A">
        <w:rPr>
          <w:color w:val="000000" w:themeColor="text1"/>
          <w:szCs w:val="26"/>
        </w:rPr>
        <w:t>nine</w:t>
      </w:r>
      <w:r w:rsidRPr="0029160A">
        <w:rPr>
          <w:color w:val="000000" w:themeColor="text1"/>
          <w:szCs w:val="26"/>
        </w:rPr>
        <w:t>-month expenses for Account 932.  The OCA recommends that the maintenance of general property expense be calculated from the historical experience of Wellsboro – specifically, the average 2016-2018 other expense plus the remaining FTY expenses for a total of $46,957.  (OCA Exc. at 11-12; OCA M.B. at</w:t>
      </w:r>
      <w:r w:rsidR="0052404E" w:rsidRPr="0029160A">
        <w:rPr>
          <w:color w:val="000000" w:themeColor="text1"/>
          <w:szCs w:val="26"/>
        </w:rPr>
        <w:t> </w:t>
      </w:r>
      <w:r w:rsidRPr="0029160A">
        <w:rPr>
          <w:color w:val="000000" w:themeColor="text1"/>
          <w:szCs w:val="26"/>
        </w:rPr>
        <w:t>29</w:t>
      </w:r>
      <w:r w:rsidR="0052404E" w:rsidRPr="0029160A">
        <w:rPr>
          <w:color w:val="000000" w:themeColor="text1"/>
          <w:szCs w:val="26"/>
        </w:rPr>
        <w:noBreakHyphen/>
      </w:r>
      <w:r w:rsidRPr="0029160A">
        <w:rPr>
          <w:color w:val="000000" w:themeColor="text1"/>
          <w:szCs w:val="26"/>
        </w:rPr>
        <w:t xml:space="preserve">30; OCA R.B. at 18-19).  </w:t>
      </w:r>
    </w:p>
    <w:p w14:paraId="1E23AB47" w14:textId="77777777" w:rsidR="00C53837" w:rsidRPr="0029160A" w:rsidRDefault="00C53837" w:rsidP="00CB0B2E">
      <w:pPr>
        <w:widowControl/>
        <w:spacing w:line="360" w:lineRule="auto"/>
        <w:ind w:firstLine="1440"/>
        <w:rPr>
          <w:color w:val="000000" w:themeColor="text1"/>
          <w:szCs w:val="26"/>
        </w:rPr>
      </w:pPr>
    </w:p>
    <w:p w14:paraId="596E828E" w14:textId="12758338" w:rsidR="00475586" w:rsidRPr="0029160A" w:rsidRDefault="00C53837" w:rsidP="00CB0B2E">
      <w:pPr>
        <w:widowControl/>
        <w:spacing w:line="360" w:lineRule="auto"/>
        <w:ind w:firstLine="1440"/>
        <w:rPr>
          <w:color w:val="000000" w:themeColor="text1"/>
          <w:szCs w:val="26"/>
        </w:rPr>
      </w:pPr>
      <w:r w:rsidRPr="0029160A">
        <w:rPr>
          <w:color w:val="000000" w:themeColor="text1"/>
          <w:szCs w:val="26"/>
        </w:rPr>
        <w:t xml:space="preserve">In Replies, Wellsboro contends the R.D. correctly rejected the OCA’s arbitrary adjustment to this expense claim.  The ALJs correctly utilized annualized </w:t>
      </w:r>
      <w:r w:rsidR="00B86C63" w:rsidRPr="0029160A">
        <w:rPr>
          <w:color w:val="000000" w:themeColor="text1"/>
          <w:szCs w:val="26"/>
        </w:rPr>
        <w:t>YTD</w:t>
      </w:r>
      <w:r w:rsidRPr="0029160A">
        <w:rPr>
          <w:color w:val="000000" w:themeColor="text1"/>
          <w:szCs w:val="26"/>
        </w:rPr>
        <w:t xml:space="preserve"> 2019 data.</w:t>
      </w:r>
      <w:r w:rsidR="00392274" w:rsidRPr="0029160A">
        <w:rPr>
          <w:color w:val="000000" w:themeColor="text1"/>
          <w:szCs w:val="26"/>
        </w:rPr>
        <w:t xml:space="preserve">  </w:t>
      </w:r>
      <w:r w:rsidRPr="0029160A">
        <w:rPr>
          <w:color w:val="000000" w:themeColor="text1"/>
          <w:szCs w:val="26"/>
        </w:rPr>
        <w:t>The OCA recommended a further adjustment based on an inappropriate split approach to analyzing Account 932.  Considering that both the Company</w:t>
      </w:r>
      <w:r w:rsidR="003641CE" w:rsidRPr="0029160A">
        <w:rPr>
          <w:color w:val="000000" w:themeColor="text1"/>
          <w:szCs w:val="26"/>
        </w:rPr>
        <w:t>’</w:t>
      </w:r>
      <w:r w:rsidRPr="0029160A">
        <w:rPr>
          <w:color w:val="000000" w:themeColor="text1"/>
          <w:szCs w:val="26"/>
        </w:rPr>
        <w:t>s budgeted expectations and the actual FTY expense show costs trending upwards, the OCA</w:t>
      </w:r>
      <w:r w:rsidR="003641CE" w:rsidRPr="0029160A">
        <w:rPr>
          <w:color w:val="000000" w:themeColor="text1"/>
          <w:szCs w:val="26"/>
        </w:rPr>
        <w:t>’</w:t>
      </w:r>
      <w:r w:rsidRPr="0029160A">
        <w:rPr>
          <w:color w:val="000000" w:themeColor="text1"/>
          <w:szCs w:val="26"/>
        </w:rPr>
        <w:t>s proposal to adjust the Company</w:t>
      </w:r>
      <w:r w:rsidR="003641CE" w:rsidRPr="0029160A">
        <w:rPr>
          <w:color w:val="000000" w:themeColor="text1"/>
          <w:szCs w:val="26"/>
        </w:rPr>
        <w:t>’</w:t>
      </w:r>
      <w:r w:rsidRPr="0029160A">
        <w:rPr>
          <w:color w:val="000000" w:themeColor="text1"/>
          <w:szCs w:val="26"/>
        </w:rPr>
        <w:t>s expense claim to reflect historical expense from 2016</w:t>
      </w:r>
      <w:r w:rsidR="006F3745" w:rsidRPr="0029160A">
        <w:rPr>
          <w:color w:val="000000" w:themeColor="text1"/>
          <w:szCs w:val="26"/>
        </w:rPr>
        <w:noBreakHyphen/>
      </w:r>
      <w:r w:rsidRPr="0029160A">
        <w:rPr>
          <w:color w:val="000000" w:themeColor="text1"/>
          <w:szCs w:val="26"/>
        </w:rPr>
        <w:t>2018 is unreasonable.  The Commission should approve the R.D.</w:t>
      </w:r>
      <w:r w:rsidR="006F3745" w:rsidRPr="0029160A">
        <w:rPr>
          <w:color w:val="000000" w:themeColor="text1"/>
          <w:szCs w:val="26"/>
        </w:rPr>
        <w:t>’</w:t>
      </w:r>
      <w:r w:rsidRPr="0029160A">
        <w:rPr>
          <w:color w:val="000000" w:themeColor="text1"/>
          <w:szCs w:val="26"/>
        </w:rPr>
        <w:t>s reasonable recommendation, subject to the inflation adjustment addressed in the Company</w:t>
      </w:r>
      <w:r w:rsidR="003641CE" w:rsidRPr="0029160A">
        <w:rPr>
          <w:color w:val="000000" w:themeColor="text1"/>
          <w:szCs w:val="26"/>
        </w:rPr>
        <w:t>’</w:t>
      </w:r>
      <w:r w:rsidRPr="0029160A">
        <w:rPr>
          <w:color w:val="000000" w:themeColor="text1"/>
          <w:szCs w:val="26"/>
        </w:rPr>
        <w:t>s Exceptions.  Wellsboro R. Exc. at 12-13.</w:t>
      </w:r>
    </w:p>
    <w:p w14:paraId="7F937186" w14:textId="77777777" w:rsidR="00C53837" w:rsidRPr="0029160A" w:rsidRDefault="00C53837" w:rsidP="00CB0B2E">
      <w:pPr>
        <w:widowControl/>
        <w:spacing w:line="360" w:lineRule="auto"/>
        <w:ind w:firstLine="1440"/>
        <w:rPr>
          <w:color w:val="000000" w:themeColor="text1"/>
          <w:szCs w:val="26"/>
        </w:rPr>
      </w:pPr>
    </w:p>
    <w:p w14:paraId="5677301E" w14:textId="77777777" w:rsidR="00475586" w:rsidRPr="0029160A" w:rsidRDefault="00475586" w:rsidP="00CB0B2E">
      <w:pPr>
        <w:pStyle w:val="Heading4"/>
        <w:ind w:hanging="720"/>
        <w:contextualSpacing w:val="0"/>
        <w:rPr>
          <w:color w:val="000000" w:themeColor="text1"/>
        </w:rPr>
      </w:pPr>
      <w:bookmarkStart w:id="113" w:name="_Toc38951788"/>
      <w:r w:rsidRPr="0029160A">
        <w:rPr>
          <w:color w:val="000000" w:themeColor="text1"/>
        </w:rPr>
        <w:lastRenderedPageBreak/>
        <w:t>Disposition</w:t>
      </w:r>
      <w:bookmarkEnd w:id="113"/>
    </w:p>
    <w:p w14:paraId="357DD447" w14:textId="77777777" w:rsidR="00475586" w:rsidRPr="0029160A" w:rsidRDefault="00475586">
      <w:pPr>
        <w:widowControl/>
        <w:spacing w:line="360" w:lineRule="auto"/>
        <w:rPr>
          <w:color w:val="000000" w:themeColor="text1"/>
          <w:szCs w:val="26"/>
        </w:rPr>
      </w:pPr>
    </w:p>
    <w:p w14:paraId="3745786B" w14:textId="2C46E639" w:rsidR="00475586" w:rsidRPr="0029160A" w:rsidRDefault="00EA5FA7" w:rsidP="00CB0B2E">
      <w:pPr>
        <w:widowControl/>
        <w:spacing w:line="360" w:lineRule="auto"/>
        <w:ind w:firstLine="1440"/>
        <w:contextualSpacing/>
        <w:rPr>
          <w:color w:val="000000" w:themeColor="text1"/>
          <w:szCs w:val="26"/>
        </w:rPr>
      </w:pPr>
      <w:r w:rsidRPr="0029160A">
        <w:rPr>
          <w:color w:val="000000" w:themeColor="text1"/>
          <w:szCs w:val="26"/>
        </w:rPr>
        <w:t xml:space="preserve">We agree with the ALJs on this issue and shall deny the OCA’s Exception No. 5, consistent with the following discussion.  </w:t>
      </w:r>
      <w:r w:rsidR="00FD2252" w:rsidRPr="0029160A">
        <w:rPr>
          <w:color w:val="000000" w:themeColor="text1"/>
          <w:szCs w:val="26"/>
        </w:rPr>
        <w:t xml:space="preserve">We find that the most recent data shows that Wellsboro will incur $68,546 of costs by the end of the 2019 year.  The OCA’s recommended claim of $46,957 calculated as an average from 2016-2018 data would not cover the actual expense of $51,409 incurred for the Account as of September 30, 2019.  R.D. at 41.  </w:t>
      </w:r>
      <w:r w:rsidR="00A42588" w:rsidRPr="0029160A">
        <w:rPr>
          <w:color w:val="000000" w:themeColor="text1"/>
          <w:szCs w:val="26"/>
        </w:rPr>
        <w:t xml:space="preserve">Therefore, </w:t>
      </w:r>
      <w:r w:rsidR="00C854ED" w:rsidRPr="0029160A">
        <w:rPr>
          <w:color w:val="000000" w:themeColor="text1"/>
          <w:szCs w:val="26"/>
        </w:rPr>
        <w:t>we adopt the</w:t>
      </w:r>
      <w:r w:rsidR="00A42588" w:rsidRPr="0029160A">
        <w:rPr>
          <w:color w:val="000000" w:themeColor="text1"/>
          <w:szCs w:val="26"/>
        </w:rPr>
        <w:t xml:space="preserve"> ALJs</w:t>
      </w:r>
      <w:r w:rsidR="00C854ED" w:rsidRPr="0029160A">
        <w:rPr>
          <w:color w:val="000000" w:themeColor="text1"/>
          <w:szCs w:val="26"/>
        </w:rPr>
        <w:t xml:space="preserve">’ </w:t>
      </w:r>
      <w:r w:rsidR="00A42588" w:rsidRPr="0029160A">
        <w:rPr>
          <w:color w:val="000000" w:themeColor="text1"/>
          <w:szCs w:val="26"/>
        </w:rPr>
        <w:t>recommende</w:t>
      </w:r>
      <w:r w:rsidR="00C854ED" w:rsidRPr="0029160A">
        <w:rPr>
          <w:color w:val="000000" w:themeColor="text1"/>
          <w:szCs w:val="26"/>
        </w:rPr>
        <w:t>d approval of</w:t>
      </w:r>
      <w:r w:rsidR="00A42588" w:rsidRPr="0029160A">
        <w:rPr>
          <w:color w:val="000000" w:themeColor="text1"/>
          <w:szCs w:val="26"/>
        </w:rPr>
        <w:t xml:space="preserve"> </w:t>
      </w:r>
      <w:r w:rsidR="00C854ED" w:rsidRPr="0029160A">
        <w:rPr>
          <w:color w:val="000000" w:themeColor="text1"/>
          <w:szCs w:val="26"/>
        </w:rPr>
        <w:t xml:space="preserve">Wellsboro’s claim of $68,546 for </w:t>
      </w:r>
      <w:r w:rsidR="00A42588" w:rsidRPr="0029160A">
        <w:rPr>
          <w:color w:val="000000" w:themeColor="text1"/>
          <w:szCs w:val="26"/>
        </w:rPr>
        <w:t>maintenance of general property</w:t>
      </w:r>
      <w:r w:rsidR="00C854ED" w:rsidRPr="0029160A">
        <w:rPr>
          <w:color w:val="000000" w:themeColor="text1"/>
          <w:szCs w:val="26"/>
        </w:rPr>
        <w:t xml:space="preserve"> expense</w:t>
      </w:r>
      <w:r w:rsidR="00A42588" w:rsidRPr="0029160A">
        <w:rPr>
          <w:color w:val="000000" w:themeColor="text1"/>
          <w:szCs w:val="26"/>
        </w:rPr>
        <w:t>.  R.D. at 41.</w:t>
      </w:r>
      <w:r w:rsidR="00243EA7" w:rsidRPr="0029160A">
        <w:rPr>
          <w:color w:val="000000" w:themeColor="text1"/>
          <w:szCs w:val="26"/>
        </w:rPr>
        <w:t xml:space="preserve">  Accordingly, we shall deny OCA’s Exception No. 5.</w:t>
      </w:r>
    </w:p>
    <w:p w14:paraId="36FAD553" w14:textId="77777777" w:rsidR="009320AC" w:rsidRPr="0029160A" w:rsidRDefault="009320AC" w:rsidP="00CB0B2E">
      <w:pPr>
        <w:widowControl/>
        <w:spacing w:line="360" w:lineRule="auto"/>
        <w:ind w:firstLine="1440"/>
        <w:contextualSpacing/>
        <w:rPr>
          <w:color w:val="000000" w:themeColor="text1"/>
          <w:szCs w:val="26"/>
        </w:rPr>
      </w:pPr>
    </w:p>
    <w:p w14:paraId="72250E84" w14:textId="1ACC2B54" w:rsidR="00461A7E" w:rsidRPr="0029160A" w:rsidRDefault="008463A0" w:rsidP="00CB0B2E">
      <w:pPr>
        <w:pStyle w:val="Heading3"/>
        <w:ind w:left="1440" w:hanging="720"/>
        <w:contextualSpacing w:val="0"/>
        <w:rPr>
          <w:color w:val="000000" w:themeColor="text1"/>
        </w:rPr>
      </w:pPr>
      <w:bookmarkStart w:id="114" w:name="_Toc36552361"/>
      <w:bookmarkStart w:id="115" w:name="_Toc38951789"/>
      <w:r w:rsidRPr="0029160A">
        <w:rPr>
          <w:color w:val="000000" w:themeColor="text1"/>
        </w:rPr>
        <w:t xml:space="preserve">Expenses:  </w:t>
      </w:r>
      <w:r w:rsidR="00461A7E" w:rsidRPr="0029160A">
        <w:rPr>
          <w:color w:val="000000" w:themeColor="text1"/>
        </w:rPr>
        <w:t>Rate Case Expense</w:t>
      </w:r>
      <w:bookmarkEnd w:id="114"/>
      <w:bookmarkEnd w:id="115"/>
      <w:r w:rsidR="00461A7E" w:rsidRPr="0029160A">
        <w:rPr>
          <w:color w:val="000000" w:themeColor="text1"/>
        </w:rPr>
        <w:t xml:space="preserve"> </w:t>
      </w:r>
    </w:p>
    <w:p w14:paraId="12AACAFA" w14:textId="77777777" w:rsidR="00475586" w:rsidRPr="0029160A" w:rsidRDefault="00475586" w:rsidP="0052404E">
      <w:pPr>
        <w:widowControl/>
        <w:spacing w:line="360" w:lineRule="auto"/>
        <w:rPr>
          <w:color w:val="000000" w:themeColor="text1"/>
        </w:rPr>
      </w:pPr>
    </w:p>
    <w:p w14:paraId="3D399763" w14:textId="4B267C31" w:rsidR="00475586" w:rsidRPr="0029160A" w:rsidRDefault="00475586" w:rsidP="00CB0B2E">
      <w:pPr>
        <w:pStyle w:val="Heading4"/>
        <w:numPr>
          <w:ilvl w:val="0"/>
          <w:numId w:val="19"/>
        </w:numPr>
        <w:ind w:hanging="720"/>
        <w:contextualSpacing w:val="0"/>
        <w:rPr>
          <w:color w:val="000000" w:themeColor="text1"/>
        </w:rPr>
      </w:pPr>
      <w:bookmarkStart w:id="116" w:name="_Toc38951790"/>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116"/>
    </w:p>
    <w:p w14:paraId="65717E24" w14:textId="77777777" w:rsidR="00475586" w:rsidRPr="0029160A" w:rsidRDefault="00475586" w:rsidP="0052404E">
      <w:pPr>
        <w:widowControl/>
        <w:spacing w:line="360" w:lineRule="auto"/>
        <w:rPr>
          <w:color w:val="000000" w:themeColor="text1"/>
          <w:szCs w:val="26"/>
        </w:rPr>
      </w:pPr>
    </w:p>
    <w:p w14:paraId="4E01085D" w14:textId="77777777"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Wellsboro proposed a total rate case expense claim of $326,000 and proposed to normalize this amount over three years consistent with the anticipated frequency of base rate proceedings going forward, and with numerous prior Commission proceedings.  This resulted in a normalized claim of $108,667.  Wellsboro M.B. at 49 (citing Wellsboro St. 1, Exh</w:t>
      </w:r>
      <w:r w:rsidR="005150F4" w:rsidRPr="0029160A">
        <w:rPr>
          <w:color w:val="000000" w:themeColor="text1"/>
          <w:szCs w:val="26"/>
        </w:rPr>
        <w:t>ibit</w:t>
      </w:r>
      <w:r w:rsidRPr="0029160A">
        <w:rPr>
          <w:color w:val="000000" w:themeColor="text1"/>
          <w:szCs w:val="26"/>
        </w:rPr>
        <w:t xml:space="preserve">_(HSG-1), Schedule C1-3 (W)).  </w:t>
      </w:r>
    </w:p>
    <w:p w14:paraId="18AAB719" w14:textId="77777777" w:rsidR="00C53837" w:rsidRPr="0029160A" w:rsidRDefault="00C53837" w:rsidP="00CB0B2E">
      <w:pPr>
        <w:widowControl/>
        <w:spacing w:line="360" w:lineRule="auto"/>
        <w:ind w:firstLine="1440"/>
        <w:rPr>
          <w:color w:val="000000" w:themeColor="text1"/>
          <w:szCs w:val="26"/>
        </w:rPr>
      </w:pPr>
    </w:p>
    <w:p w14:paraId="683EEF5B" w14:textId="77777777" w:rsidR="00475586" w:rsidRPr="0029160A" w:rsidRDefault="00C53837" w:rsidP="00CB0B2E">
      <w:pPr>
        <w:widowControl/>
        <w:spacing w:line="360" w:lineRule="auto"/>
        <w:ind w:firstLine="1440"/>
        <w:rPr>
          <w:color w:val="000000" w:themeColor="text1"/>
          <w:szCs w:val="26"/>
        </w:rPr>
      </w:pPr>
      <w:r w:rsidRPr="0029160A">
        <w:rPr>
          <w:color w:val="000000" w:themeColor="text1"/>
          <w:szCs w:val="26"/>
        </w:rPr>
        <w:t>Wellsboro noted that both I&amp;E and the OCA opposed the Company’s proposal to normalize the rate case expense over three years.  I&amp;E witness Patel</w:t>
      </w:r>
      <w:r w:rsidR="007C7206" w:rsidRPr="0029160A">
        <w:rPr>
          <w:color w:val="000000" w:themeColor="text1"/>
          <w:szCs w:val="26"/>
        </w:rPr>
        <w:t>’s</w:t>
      </w:r>
      <w:r w:rsidRPr="0029160A">
        <w:rPr>
          <w:color w:val="000000" w:themeColor="text1"/>
          <w:szCs w:val="26"/>
        </w:rPr>
        <w:t xml:space="preserve"> proposed 48-month normalization period based on the Company’s last three base rate case filings.  Wellsboro M.B. at 50 (citing I&amp;E St. 1 at 7).  Wellsboro noted that the OCA witness Sherwood proposed 45 months, based on the average time between the “Company’s last four rate case filings, including this case.”  Wellsboro M.B. at 50 (citing OCA St. 1 at 10).</w:t>
      </w:r>
    </w:p>
    <w:p w14:paraId="51715584" w14:textId="77777777" w:rsidR="00C53837" w:rsidRPr="0029160A" w:rsidRDefault="00C53837" w:rsidP="00CB0B2E">
      <w:pPr>
        <w:widowControl/>
        <w:spacing w:line="360" w:lineRule="auto"/>
        <w:ind w:firstLine="1440"/>
        <w:rPr>
          <w:color w:val="000000" w:themeColor="text1"/>
          <w:szCs w:val="26"/>
        </w:rPr>
      </w:pPr>
    </w:p>
    <w:p w14:paraId="03EA9288" w14:textId="77777777" w:rsidR="00475586" w:rsidRPr="0029160A" w:rsidRDefault="00475586" w:rsidP="00CB0B2E">
      <w:pPr>
        <w:pStyle w:val="Heading4"/>
        <w:keepNext/>
        <w:keepLines/>
        <w:ind w:hanging="720"/>
        <w:contextualSpacing w:val="0"/>
        <w:rPr>
          <w:color w:val="000000" w:themeColor="text1"/>
        </w:rPr>
      </w:pPr>
      <w:bookmarkStart w:id="117" w:name="_Toc38951791"/>
      <w:r w:rsidRPr="0029160A">
        <w:rPr>
          <w:color w:val="000000" w:themeColor="text1"/>
        </w:rPr>
        <w:lastRenderedPageBreak/>
        <w:t>Recommended Decision</w:t>
      </w:r>
      <w:bookmarkEnd w:id="117"/>
    </w:p>
    <w:p w14:paraId="59041C42" w14:textId="77777777" w:rsidR="00475586" w:rsidRPr="0029160A" w:rsidRDefault="00475586">
      <w:pPr>
        <w:keepNext/>
        <w:keepLines/>
        <w:widowControl/>
        <w:spacing w:line="360" w:lineRule="auto"/>
        <w:rPr>
          <w:color w:val="000000" w:themeColor="text1"/>
          <w:szCs w:val="26"/>
        </w:rPr>
      </w:pPr>
    </w:p>
    <w:p w14:paraId="0DBCFA4E" w14:textId="77777777" w:rsidR="00475586" w:rsidRPr="0029160A" w:rsidRDefault="00C53837" w:rsidP="00CB0B2E">
      <w:pPr>
        <w:widowControl/>
        <w:spacing w:line="360" w:lineRule="auto"/>
        <w:ind w:firstLine="1440"/>
        <w:rPr>
          <w:color w:val="000000" w:themeColor="text1"/>
          <w:szCs w:val="26"/>
        </w:rPr>
      </w:pPr>
      <w:r w:rsidRPr="0029160A">
        <w:rPr>
          <w:color w:val="000000" w:themeColor="text1"/>
          <w:szCs w:val="26"/>
        </w:rPr>
        <w:t xml:space="preserve">The ALJs recommended the adoption of Wellsboro’s </w:t>
      </w:r>
      <w:r w:rsidR="00074A4F" w:rsidRPr="0029160A">
        <w:rPr>
          <w:color w:val="000000" w:themeColor="text1"/>
          <w:szCs w:val="26"/>
        </w:rPr>
        <w:t xml:space="preserve">normalized </w:t>
      </w:r>
      <w:r w:rsidRPr="0029160A">
        <w:rPr>
          <w:color w:val="000000" w:themeColor="text1"/>
          <w:szCs w:val="26"/>
        </w:rPr>
        <w:t>rate case expense claim of $326,000</w:t>
      </w:r>
      <w:r w:rsidR="00074A4F" w:rsidRPr="0029160A">
        <w:rPr>
          <w:color w:val="000000" w:themeColor="text1"/>
          <w:szCs w:val="26"/>
        </w:rPr>
        <w:t>,</w:t>
      </w:r>
      <w:r w:rsidRPr="0029160A">
        <w:rPr>
          <w:color w:val="000000" w:themeColor="text1"/>
          <w:szCs w:val="26"/>
        </w:rPr>
        <w:t xml:space="preserve"> amortized over three years</w:t>
      </w:r>
      <w:r w:rsidR="00DC38B8" w:rsidRPr="0029160A">
        <w:rPr>
          <w:color w:val="000000" w:themeColor="text1"/>
          <w:szCs w:val="26"/>
        </w:rPr>
        <w:t xml:space="preserve"> </w:t>
      </w:r>
      <w:r w:rsidR="00074A4F" w:rsidRPr="0029160A">
        <w:rPr>
          <w:color w:val="000000" w:themeColor="text1"/>
          <w:szCs w:val="26"/>
        </w:rPr>
        <w:t xml:space="preserve">or a 36-month period </w:t>
      </w:r>
      <w:r w:rsidR="00DC38B8" w:rsidRPr="0029160A">
        <w:rPr>
          <w:color w:val="000000" w:themeColor="text1"/>
          <w:szCs w:val="26"/>
        </w:rPr>
        <w:t>($108,667)</w:t>
      </w:r>
      <w:r w:rsidRPr="0029160A">
        <w:rPr>
          <w:color w:val="000000" w:themeColor="text1"/>
          <w:szCs w:val="26"/>
        </w:rPr>
        <w:t>.  The ALJs accepted that Wellsboro will likely file its next rate case within three years. R.D. at 45.</w:t>
      </w:r>
    </w:p>
    <w:p w14:paraId="25DB2C26" w14:textId="77777777" w:rsidR="00475586" w:rsidRPr="0029160A" w:rsidRDefault="00475586">
      <w:pPr>
        <w:widowControl/>
        <w:spacing w:line="360" w:lineRule="auto"/>
        <w:rPr>
          <w:color w:val="000000" w:themeColor="text1"/>
          <w:szCs w:val="26"/>
        </w:rPr>
      </w:pPr>
    </w:p>
    <w:p w14:paraId="64396EEA" w14:textId="77777777" w:rsidR="00475586" w:rsidRPr="0029160A" w:rsidRDefault="00312B42" w:rsidP="00CB0B2E">
      <w:pPr>
        <w:pStyle w:val="Heading4"/>
        <w:keepNext/>
        <w:keepLines/>
        <w:ind w:hanging="720"/>
        <w:contextualSpacing w:val="0"/>
        <w:rPr>
          <w:color w:val="000000" w:themeColor="text1"/>
        </w:rPr>
      </w:pPr>
      <w:bookmarkStart w:id="118" w:name="_Toc38951792"/>
      <w:r w:rsidRPr="0029160A">
        <w:rPr>
          <w:color w:val="000000" w:themeColor="text1"/>
        </w:rPr>
        <w:t>I&amp;E Exception No. 5, OCA Exception No. 6 and Replies</w:t>
      </w:r>
      <w:bookmarkEnd w:id="118"/>
    </w:p>
    <w:p w14:paraId="0A61014B" w14:textId="77777777" w:rsidR="00475586" w:rsidRPr="0029160A" w:rsidRDefault="00475586">
      <w:pPr>
        <w:keepNext/>
        <w:keepLines/>
        <w:widowControl/>
        <w:spacing w:line="360" w:lineRule="auto"/>
        <w:rPr>
          <w:color w:val="000000" w:themeColor="text1"/>
          <w:szCs w:val="26"/>
        </w:rPr>
      </w:pPr>
    </w:p>
    <w:p w14:paraId="467B5E81" w14:textId="559AD0EC"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 xml:space="preserve">In I&amp;E Exception No. 5, I&amp;E argues that the ALJs erred because substantial evidence does not exist to support a deviation from the Commission’s practice of setting a normalization period for </w:t>
      </w:r>
      <w:r w:rsidR="00FD6209" w:rsidRPr="0029160A">
        <w:rPr>
          <w:color w:val="000000" w:themeColor="text1"/>
          <w:szCs w:val="26"/>
        </w:rPr>
        <w:t>r</w:t>
      </w:r>
      <w:r w:rsidRPr="0029160A">
        <w:rPr>
          <w:color w:val="000000" w:themeColor="text1"/>
          <w:szCs w:val="26"/>
        </w:rPr>
        <w:t xml:space="preserve">ate </w:t>
      </w:r>
      <w:r w:rsidR="00FD6209" w:rsidRPr="0029160A">
        <w:rPr>
          <w:color w:val="000000" w:themeColor="text1"/>
          <w:szCs w:val="26"/>
        </w:rPr>
        <w:t>c</w:t>
      </w:r>
      <w:r w:rsidRPr="0029160A">
        <w:rPr>
          <w:color w:val="000000" w:themeColor="text1"/>
          <w:szCs w:val="26"/>
        </w:rPr>
        <w:t>ase expense based on historic filing frequency, in this case, 48 months resulting in a reduction of $27,167 to Wellsboro’s claim.  I&amp;E Exc. at 9-11; I&amp;E M.B. at 24-27; I&amp;E R.B. at 17-18.</w:t>
      </w:r>
    </w:p>
    <w:p w14:paraId="05E566EA" w14:textId="77777777" w:rsidR="00C53837" w:rsidRPr="0029160A" w:rsidRDefault="00C53837" w:rsidP="00CB0B2E">
      <w:pPr>
        <w:widowControl/>
        <w:spacing w:line="360" w:lineRule="auto"/>
        <w:ind w:firstLine="1440"/>
        <w:rPr>
          <w:color w:val="000000" w:themeColor="text1"/>
          <w:szCs w:val="26"/>
        </w:rPr>
      </w:pPr>
    </w:p>
    <w:p w14:paraId="4CA9CFA3" w14:textId="594C7D46" w:rsidR="00C53837" w:rsidRPr="0029160A" w:rsidRDefault="00C53837" w:rsidP="00CB0B2E">
      <w:pPr>
        <w:widowControl/>
        <w:spacing w:line="360" w:lineRule="auto"/>
        <w:ind w:firstLine="1440"/>
        <w:contextualSpacing/>
        <w:rPr>
          <w:color w:val="000000" w:themeColor="text1"/>
          <w:szCs w:val="26"/>
        </w:rPr>
      </w:pPr>
      <w:r w:rsidRPr="0029160A">
        <w:rPr>
          <w:color w:val="000000" w:themeColor="text1"/>
          <w:szCs w:val="26"/>
        </w:rPr>
        <w:t xml:space="preserve">In OCA Exception No. 6, the OCA submits the ALJs erred in recommending that Wellsboro’s </w:t>
      </w:r>
      <w:r w:rsidR="00FD6209" w:rsidRPr="0029160A">
        <w:rPr>
          <w:color w:val="000000" w:themeColor="text1"/>
          <w:szCs w:val="26"/>
        </w:rPr>
        <w:t>r</w:t>
      </w:r>
      <w:r w:rsidRPr="0029160A">
        <w:rPr>
          <w:color w:val="000000" w:themeColor="text1"/>
          <w:szCs w:val="26"/>
        </w:rPr>
        <w:t xml:space="preserve">ate </w:t>
      </w:r>
      <w:r w:rsidR="00FD6209" w:rsidRPr="0029160A">
        <w:rPr>
          <w:color w:val="000000" w:themeColor="text1"/>
          <w:szCs w:val="26"/>
        </w:rPr>
        <w:t>c</w:t>
      </w:r>
      <w:r w:rsidRPr="0029160A">
        <w:rPr>
          <w:color w:val="000000" w:themeColor="text1"/>
          <w:szCs w:val="26"/>
        </w:rPr>
        <w:t>ase expense be normalized over three years.  The OCA submits that a three-year normalization period is inconsistent with both Commission precedent and the Company’s filing frequency.  Based on the average period between rate cases for the Company, the OCA’s witness Mr. Sherwood recommends a 45-month normalization period, resulting in a reduction of $21,734 to Wellsboro’s claim.  OCA Exc. at 12-14; OCA M.B. at 30-31; OCA R.B. at 19.</w:t>
      </w:r>
    </w:p>
    <w:p w14:paraId="298F75A3" w14:textId="77777777" w:rsidR="00C53837" w:rsidRPr="0029160A" w:rsidRDefault="00C53837" w:rsidP="00CB0B2E">
      <w:pPr>
        <w:widowControl/>
        <w:spacing w:line="360" w:lineRule="auto"/>
        <w:ind w:firstLine="1440"/>
        <w:rPr>
          <w:color w:val="000000" w:themeColor="text1"/>
          <w:szCs w:val="26"/>
        </w:rPr>
      </w:pPr>
    </w:p>
    <w:p w14:paraId="7FA0A462" w14:textId="7A06E3DD" w:rsidR="00C53837" w:rsidRPr="0029160A" w:rsidRDefault="00C53837" w:rsidP="00CB0B2E">
      <w:pPr>
        <w:widowControl/>
        <w:spacing w:line="360" w:lineRule="auto"/>
        <w:ind w:firstLine="1440"/>
        <w:contextualSpacing/>
        <w:rPr>
          <w:color w:val="000000" w:themeColor="text1"/>
          <w:szCs w:val="26"/>
        </w:rPr>
      </w:pPr>
      <w:r w:rsidRPr="0029160A">
        <w:rPr>
          <w:color w:val="000000" w:themeColor="text1"/>
          <w:szCs w:val="26"/>
        </w:rPr>
        <w:t xml:space="preserve">In Replies to I&amp;E Exception No. 5 and OCA Exception No. 6, Wellsboro submits that these Exceptions fail to account for record evidence supporting the Company’s proposed rate case normalization period.  Wellsboro submits it presented more than adequate evidence to support the requested 36-month normalization period for </w:t>
      </w:r>
      <w:r w:rsidR="00EF6959" w:rsidRPr="0029160A">
        <w:rPr>
          <w:color w:val="000000" w:themeColor="text1"/>
          <w:szCs w:val="26"/>
        </w:rPr>
        <w:t>r</w:t>
      </w:r>
      <w:r w:rsidRPr="0029160A">
        <w:rPr>
          <w:color w:val="000000" w:themeColor="text1"/>
          <w:szCs w:val="26"/>
        </w:rPr>
        <w:t xml:space="preserve">ate </w:t>
      </w:r>
      <w:r w:rsidR="00EF6959" w:rsidRPr="0029160A">
        <w:rPr>
          <w:color w:val="000000" w:themeColor="text1"/>
          <w:szCs w:val="26"/>
        </w:rPr>
        <w:t>c</w:t>
      </w:r>
      <w:r w:rsidRPr="0029160A">
        <w:rPr>
          <w:color w:val="000000" w:themeColor="text1"/>
          <w:szCs w:val="26"/>
        </w:rPr>
        <w:t>ase expense: (1) Company witness Gorman explained that the Company</w:t>
      </w:r>
      <w:r w:rsidR="003641CE" w:rsidRPr="0029160A">
        <w:rPr>
          <w:color w:val="000000" w:themeColor="text1"/>
          <w:szCs w:val="26"/>
        </w:rPr>
        <w:t>’</w:t>
      </w:r>
      <w:r w:rsidRPr="0029160A">
        <w:rPr>
          <w:color w:val="000000" w:themeColor="text1"/>
          <w:szCs w:val="26"/>
        </w:rPr>
        <w:t xml:space="preserve">s continued expenses related to reliability enhancing projects such as capital replacements, combined </w:t>
      </w:r>
      <w:r w:rsidRPr="0029160A">
        <w:rPr>
          <w:color w:val="000000" w:themeColor="text1"/>
          <w:szCs w:val="26"/>
        </w:rPr>
        <w:lastRenderedPageBreak/>
        <w:t>with limited prospects for load growth, lead to a reasonable expectation of a 36-month period between rate cases; and (2)</w:t>
      </w:r>
      <w:r w:rsidRPr="0029160A">
        <w:rPr>
          <w:i/>
          <w:color w:val="000000" w:themeColor="text1"/>
          <w:szCs w:val="26"/>
        </w:rPr>
        <w:t xml:space="preserve"> </w:t>
      </w:r>
      <w:r w:rsidRPr="0029160A">
        <w:rPr>
          <w:color w:val="000000" w:themeColor="text1"/>
          <w:szCs w:val="26"/>
        </w:rPr>
        <w:t>Company witness Farnsworth clarified that the Company will suffer revenue loss due to implementation of Combined Heat and Power (CHP) and solar projects at a heightened pace.  The Company will need to file a rate case to begin earning a return on capital investments and to reflect the ever-increasing right</w:t>
      </w:r>
      <w:r w:rsidR="001968AA" w:rsidRPr="0029160A">
        <w:rPr>
          <w:color w:val="000000" w:themeColor="text1"/>
          <w:szCs w:val="26"/>
        </w:rPr>
        <w:t>-</w:t>
      </w:r>
      <w:r w:rsidRPr="0029160A">
        <w:rPr>
          <w:color w:val="000000" w:themeColor="text1"/>
          <w:szCs w:val="26"/>
        </w:rPr>
        <w:t>of</w:t>
      </w:r>
      <w:r w:rsidR="006A526E" w:rsidRPr="0029160A">
        <w:rPr>
          <w:color w:val="000000" w:themeColor="text1"/>
          <w:szCs w:val="26"/>
        </w:rPr>
        <w:t>-</w:t>
      </w:r>
      <w:r w:rsidRPr="0029160A">
        <w:rPr>
          <w:color w:val="000000" w:themeColor="text1"/>
          <w:szCs w:val="26"/>
        </w:rPr>
        <w:t xml:space="preserve">way maintenance costs in rates.  I&amp;E and </w:t>
      </w:r>
      <w:r w:rsidR="000F3DA6" w:rsidRPr="0029160A">
        <w:rPr>
          <w:color w:val="000000" w:themeColor="text1"/>
          <w:szCs w:val="26"/>
        </w:rPr>
        <w:t xml:space="preserve">the </w:t>
      </w:r>
      <w:r w:rsidRPr="0029160A">
        <w:rPr>
          <w:color w:val="000000" w:themeColor="text1"/>
          <w:szCs w:val="26"/>
        </w:rPr>
        <w:t>OCA both focus on the average of the Company</w:t>
      </w:r>
      <w:r w:rsidR="003641CE" w:rsidRPr="0029160A">
        <w:rPr>
          <w:color w:val="000000" w:themeColor="text1"/>
          <w:szCs w:val="26"/>
        </w:rPr>
        <w:t>’</w:t>
      </w:r>
      <w:r w:rsidRPr="0029160A">
        <w:rPr>
          <w:color w:val="000000" w:themeColor="text1"/>
          <w:szCs w:val="26"/>
        </w:rPr>
        <w:t>s filing intervals to support their proposed normalization periods, with I&amp;E counting the Company</w:t>
      </w:r>
      <w:r w:rsidR="006F3745" w:rsidRPr="0029160A">
        <w:rPr>
          <w:color w:val="000000" w:themeColor="text1"/>
          <w:szCs w:val="26"/>
        </w:rPr>
        <w:t>’</w:t>
      </w:r>
      <w:r w:rsidRPr="0029160A">
        <w:rPr>
          <w:color w:val="000000" w:themeColor="text1"/>
          <w:szCs w:val="26"/>
        </w:rPr>
        <w:t xml:space="preserve">s 2007, 2010, and 2016 rate filings, while </w:t>
      </w:r>
      <w:r w:rsidR="000F3DA6" w:rsidRPr="0029160A">
        <w:rPr>
          <w:color w:val="000000" w:themeColor="text1"/>
          <w:szCs w:val="26"/>
        </w:rPr>
        <w:t xml:space="preserve">the </w:t>
      </w:r>
      <w:r w:rsidRPr="0029160A">
        <w:rPr>
          <w:color w:val="000000" w:themeColor="text1"/>
          <w:szCs w:val="26"/>
        </w:rPr>
        <w:t xml:space="preserve">OCA counts the 2007, 2010, 2016, and 2019 rate filings.  However, the 75-month gap between the 2010 and 2016 rate cases was not a normal occurrence and as such, should not be considered in an average of the Company’s historic filings.  Thus, historic filing frequency and future expectations support the 36-month period used by the Company and adopted in the R.D.  </w:t>
      </w:r>
    </w:p>
    <w:p w14:paraId="50CF5051" w14:textId="77777777" w:rsidR="00C53837" w:rsidRPr="0029160A" w:rsidRDefault="00C53837" w:rsidP="00CB0B2E">
      <w:pPr>
        <w:widowControl/>
        <w:spacing w:line="360" w:lineRule="auto"/>
        <w:ind w:firstLine="1440"/>
        <w:contextualSpacing/>
        <w:rPr>
          <w:color w:val="000000" w:themeColor="text1"/>
          <w:szCs w:val="26"/>
        </w:rPr>
      </w:pPr>
    </w:p>
    <w:p w14:paraId="3C491210" w14:textId="718E34F1" w:rsidR="00475586" w:rsidRPr="0029160A" w:rsidRDefault="00C53837" w:rsidP="00CB0B2E">
      <w:pPr>
        <w:widowControl/>
        <w:spacing w:line="360" w:lineRule="auto"/>
        <w:ind w:firstLine="1440"/>
        <w:contextualSpacing/>
        <w:rPr>
          <w:color w:val="000000" w:themeColor="text1"/>
          <w:szCs w:val="26"/>
        </w:rPr>
      </w:pPr>
      <w:r w:rsidRPr="0029160A">
        <w:rPr>
          <w:color w:val="000000" w:themeColor="text1"/>
          <w:szCs w:val="26"/>
        </w:rPr>
        <w:t>As a matter of law, the Company submits that historic filing frequency is one factor that the Commission considers in determining rate case normalization, but it is not the only factor.  Ratemaking is prospective in nature, and the goal of ratemaking is to reasonably reflect future conditions when new rates are in effect (</w:t>
      </w:r>
      <w:r w:rsidR="00A621E8">
        <w:rPr>
          <w:color w:val="000000" w:themeColor="text1"/>
          <w:szCs w:val="26"/>
        </w:rPr>
        <w:t>c</w:t>
      </w:r>
      <w:r w:rsidRPr="0029160A">
        <w:rPr>
          <w:color w:val="000000" w:themeColor="text1"/>
          <w:szCs w:val="26"/>
        </w:rPr>
        <w:t>iting</w:t>
      </w:r>
      <w:r w:rsidRPr="0029160A">
        <w:rPr>
          <w:i/>
          <w:color w:val="000000" w:themeColor="text1"/>
          <w:szCs w:val="26"/>
        </w:rPr>
        <w:t xml:space="preserve"> Columba Gas v. Pa. PUC</w:t>
      </w:r>
      <w:r w:rsidRPr="0029160A">
        <w:rPr>
          <w:color w:val="000000" w:themeColor="text1"/>
          <w:szCs w:val="26"/>
        </w:rPr>
        <w:t xml:space="preserve">, 613 A.2d 74, 76 (Pa. Cmwlth. 1992), </w:t>
      </w:r>
      <w:r w:rsidRPr="0029160A">
        <w:rPr>
          <w:i/>
          <w:color w:val="000000" w:themeColor="text1"/>
          <w:szCs w:val="26"/>
        </w:rPr>
        <w:t>aff</w:t>
      </w:r>
      <w:r w:rsidR="003641CE" w:rsidRPr="0029160A">
        <w:rPr>
          <w:i/>
          <w:color w:val="000000" w:themeColor="text1"/>
          <w:szCs w:val="26"/>
        </w:rPr>
        <w:t>’</w:t>
      </w:r>
      <w:r w:rsidRPr="0029160A">
        <w:rPr>
          <w:i/>
          <w:color w:val="000000" w:themeColor="text1"/>
          <w:szCs w:val="26"/>
        </w:rPr>
        <w:t>d</w:t>
      </w:r>
      <w:r w:rsidRPr="0029160A">
        <w:rPr>
          <w:color w:val="000000" w:themeColor="text1"/>
          <w:szCs w:val="26"/>
        </w:rPr>
        <w:t>, 636 A.2d 627 (Pa. 1994)).</w:t>
      </w:r>
      <w:r w:rsidRPr="0029160A">
        <w:rPr>
          <w:color w:val="000000" w:themeColor="text1"/>
          <w:sz w:val="24"/>
          <w:szCs w:val="22"/>
        </w:rPr>
        <w:t xml:space="preserve">  </w:t>
      </w:r>
      <w:r w:rsidRPr="0029160A">
        <w:rPr>
          <w:color w:val="000000" w:themeColor="text1"/>
          <w:szCs w:val="26"/>
        </w:rPr>
        <w:t>As such, the Commission may consider other factors to ensure that the decision reasonably reflects future conditions when new rates take effect. The Company, therefore, urges the Commission to accept the ALJs</w:t>
      </w:r>
      <w:r w:rsidR="00395940" w:rsidRPr="0029160A">
        <w:rPr>
          <w:color w:val="000000" w:themeColor="text1"/>
          <w:szCs w:val="26"/>
        </w:rPr>
        <w:t>’</w:t>
      </w:r>
      <w:r w:rsidRPr="0029160A">
        <w:rPr>
          <w:color w:val="000000" w:themeColor="text1"/>
          <w:szCs w:val="26"/>
        </w:rPr>
        <w:t xml:space="preserve"> recommendation and approve Wellsboro</w:t>
      </w:r>
      <w:r w:rsidR="0052404E" w:rsidRPr="0029160A">
        <w:rPr>
          <w:color w:val="000000" w:themeColor="text1"/>
          <w:szCs w:val="26"/>
        </w:rPr>
        <w:t>’</w:t>
      </w:r>
      <w:r w:rsidRPr="0029160A">
        <w:rPr>
          <w:color w:val="000000" w:themeColor="text1"/>
          <w:szCs w:val="26"/>
        </w:rPr>
        <w:t xml:space="preserve">s claim for rate case expense to be normalized over a 36-month period.  Wellsboro R. Exc. at 13-14; Wellsboro M.B. at 50-52. </w:t>
      </w:r>
    </w:p>
    <w:p w14:paraId="5A46B319" w14:textId="77777777" w:rsidR="00475586" w:rsidRPr="0029160A" w:rsidRDefault="00475586">
      <w:pPr>
        <w:widowControl/>
        <w:spacing w:line="360" w:lineRule="auto"/>
        <w:rPr>
          <w:color w:val="000000" w:themeColor="text1"/>
          <w:szCs w:val="26"/>
        </w:rPr>
      </w:pPr>
    </w:p>
    <w:p w14:paraId="6551A444" w14:textId="77777777" w:rsidR="00475586" w:rsidRPr="0029160A" w:rsidRDefault="00475586" w:rsidP="00CB0B2E">
      <w:pPr>
        <w:pStyle w:val="Heading4"/>
        <w:keepNext/>
        <w:keepLines/>
        <w:ind w:hanging="720"/>
        <w:contextualSpacing w:val="0"/>
        <w:rPr>
          <w:color w:val="000000" w:themeColor="text1"/>
        </w:rPr>
      </w:pPr>
      <w:bookmarkStart w:id="119" w:name="_Toc38951793"/>
      <w:r w:rsidRPr="0029160A">
        <w:rPr>
          <w:color w:val="000000" w:themeColor="text1"/>
        </w:rPr>
        <w:t>Disposition</w:t>
      </w:r>
      <w:bookmarkEnd w:id="119"/>
    </w:p>
    <w:p w14:paraId="0817AAE9" w14:textId="77777777" w:rsidR="00475586" w:rsidRPr="0029160A" w:rsidRDefault="00475586">
      <w:pPr>
        <w:keepNext/>
        <w:keepLines/>
        <w:widowControl/>
        <w:spacing w:line="360" w:lineRule="auto"/>
        <w:rPr>
          <w:color w:val="000000" w:themeColor="text1"/>
          <w:szCs w:val="26"/>
        </w:rPr>
      </w:pPr>
    </w:p>
    <w:p w14:paraId="0F0456D5" w14:textId="77777777" w:rsidR="006265B4" w:rsidRPr="0029160A" w:rsidRDefault="006265B4" w:rsidP="00CB0B2E">
      <w:pPr>
        <w:widowControl/>
        <w:spacing w:line="360" w:lineRule="auto"/>
        <w:ind w:firstLine="1440"/>
        <w:contextualSpacing/>
        <w:rPr>
          <w:color w:val="000000" w:themeColor="text1"/>
          <w:szCs w:val="26"/>
        </w:rPr>
      </w:pPr>
      <w:r w:rsidRPr="0029160A">
        <w:rPr>
          <w:color w:val="000000" w:themeColor="text1"/>
          <w:szCs w:val="26"/>
        </w:rPr>
        <w:t xml:space="preserve">We agree with the ALJs’ recommendation and find merit in the Company’s assertion that it is likely to file its next rate case within </w:t>
      </w:r>
      <w:r w:rsidR="00074A4F" w:rsidRPr="0029160A">
        <w:rPr>
          <w:color w:val="000000" w:themeColor="text1"/>
          <w:szCs w:val="26"/>
        </w:rPr>
        <w:t>three</w:t>
      </w:r>
      <w:r w:rsidRPr="0029160A">
        <w:rPr>
          <w:color w:val="000000" w:themeColor="text1"/>
          <w:szCs w:val="26"/>
        </w:rPr>
        <w:t xml:space="preserve"> years, as opposed to a longer time period and the record in this case supports such a conclusion.  R.D. at 45.  </w:t>
      </w:r>
    </w:p>
    <w:p w14:paraId="43409DC6" w14:textId="1FE3B29B" w:rsidR="006265B4" w:rsidRPr="0029160A" w:rsidRDefault="006265B4">
      <w:pPr>
        <w:pStyle w:val="NewNormal"/>
        <w:spacing w:line="360" w:lineRule="auto"/>
        <w:ind w:firstLine="1440"/>
        <w:jc w:val="left"/>
        <w:rPr>
          <w:color w:val="000000" w:themeColor="text1"/>
          <w:sz w:val="26"/>
          <w:szCs w:val="26"/>
        </w:rPr>
      </w:pPr>
      <w:r w:rsidRPr="0029160A">
        <w:rPr>
          <w:color w:val="000000" w:themeColor="text1"/>
          <w:sz w:val="26"/>
          <w:szCs w:val="26"/>
        </w:rPr>
        <w:lastRenderedPageBreak/>
        <w:t xml:space="preserve">As asserted by Wellsboro, we find that I&amp;E and the OCA each failed in their Exceptions to account for record evidence supporting the Company’s proposed normalization period.  Wellsboro R. Exc. at 13-14; Wellsboro M.B. at 50-52.  Contrary to the claims of I&amp;E and </w:t>
      </w:r>
      <w:r w:rsidR="0095017D" w:rsidRPr="0029160A">
        <w:rPr>
          <w:color w:val="000000" w:themeColor="text1"/>
          <w:sz w:val="26"/>
          <w:szCs w:val="26"/>
        </w:rPr>
        <w:t xml:space="preserve">the </w:t>
      </w:r>
      <w:r w:rsidRPr="0029160A">
        <w:rPr>
          <w:color w:val="000000" w:themeColor="text1"/>
          <w:sz w:val="26"/>
          <w:szCs w:val="26"/>
        </w:rPr>
        <w:t xml:space="preserve">OCA, substantial evidence exists to support deviation from the Commission’s common practice of setting a normalization period for </w:t>
      </w:r>
      <w:bookmarkStart w:id="120" w:name="_Hlk35608644"/>
      <w:r w:rsidRPr="0029160A">
        <w:rPr>
          <w:color w:val="000000" w:themeColor="text1"/>
          <w:sz w:val="26"/>
          <w:szCs w:val="26"/>
        </w:rPr>
        <w:t xml:space="preserve">rate case expense </w:t>
      </w:r>
      <w:bookmarkEnd w:id="120"/>
      <w:r w:rsidRPr="0029160A">
        <w:rPr>
          <w:color w:val="000000" w:themeColor="text1"/>
          <w:sz w:val="26"/>
          <w:szCs w:val="26"/>
        </w:rPr>
        <w:t>based only on historic filing frequency.  We note that this practice of relying on historic filing frequency is not an absolute and each case should be decided on the basis of evidence of historic filing frequency and future expectations.  Examination of the record in this case indicates that both historic frequency and future expectations support the 36</w:t>
      </w:r>
      <w:r w:rsidR="00DB2657">
        <w:rPr>
          <w:color w:val="000000" w:themeColor="text1"/>
          <w:sz w:val="26"/>
          <w:szCs w:val="26"/>
        </w:rPr>
        <w:noBreakHyphen/>
      </w:r>
      <w:r w:rsidRPr="0029160A">
        <w:rPr>
          <w:color w:val="000000" w:themeColor="text1"/>
          <w:sz w:val="26"/>
          <w:szCs w:val="26"/>
        </w:rPr>
        <w:t xml:space="preserve">month period used by the Company and adopted in the R.D. </w:t>
      </w:r>
      <w:r w:rsidRPr="0029160A">
        <w:rPr>
          <w:iCs/>
          <w:color w:val="000000" w:themeColor="text1"/>
          <w:sz w:val="26"/>
          <w:szCs w:val="26"/>
        </w:rPr>
        <w:t xml:space="preserve"> </w:t>
      </w:r>
      <w:r w:rsidRPr="0029160A">
        <w:rPr>
          <w:color w:val="000000" w:themeColor="text1"/>
          <w:sz w:val="26"/>
          <w:szCs w:val="26"/>
        </w:rPr>
        <w:t>Wellsboro R. Exc. at</w:t>
      </w:r>
      <w:r w:rsidR="00DB2657">
        <w:rPr>
          <w:color w:val="000000" w:themeColor="text1"/>
          <w:sz w:val="26"/>
          <w:szCs w:val="26"/>
        </w:rPr>
        <w:t> </w:t>
      </w:r>
      <w:r w:rsidRPr="0029160A">
        <w:rPr>
          <w:color w:val="000000" w:themeColor="text1"/>
          <w:sz w:val="26"/>
          <w:szCs w:val="26"/>
        </w:rPr>
        <w:t>13</w:t>
      </w:r>
      <w:r w:rsidR="00DB2657">
        <w:rPr>
          <w:color w:val="000000" w:themeColor="text1"/>
          <w:sz w:val="26"/>
          <w:szCs w:val="26"/>
        </w:rPr>
        <w:noBreakHyphen/>
      </w:r>
      <w:r w:rsidRPr="0029160A">
        <w:rPr>
          <w:color w:val="000000" w:themeColor="text1"/>
          <w:sz w:val="26"/>
          <w:szCs w:val="26"/>
        </w:rPr>
        <w:t xml:space="preserve">14; Wellsboro M.B. at 50-52. </w:t>
      </w:r>
    </w:p>
    <w:p w14:paraId="20F17B11" w14:textId="77777777" w:rsidR="006265B4" w:rsidRPr="0029160A" w:rsidRDefault="006265B4">
      <w:pPr>
        <w:pStyle w:val="NewNormal"/>
        <w:spacing w:line="360" w:lineRule="auto"/>
        <w:ind w:firstLine="0"/>
        <w:jc w:val="left"/>
        <w:rPr>
          <w:color w:val="000000" w:themeColor="text1"/>
        </w:rPr>
      </w:pPr>
    </w:p>
    <w:p w14:paraId="6B0AEF40" w14:textId="77777777" w:rsidR="006265B4" w:rsidRPr="0029160A" w:rsidRDefault="006265B4" w:rsidP="00CB0B2E">
      <w:pPr>
        <w:widowControl/>
        <w:spacing w:line="360" w:lineRule="auto"/>
        <w:ind w:firstLine="1440"/>
        <w:contextualSpacing/>
        <w:rPr>
          <w:color w:val="000000" w:themeColor="text1"/>
          <w:szCs w:val="26"/>
        </w:rPr>
      </w:pPr>
      <w:r w:rsidRPr="0029160A">
        <w:rPr>
          <w:color w:val="000000" w:themeColor="text1"/>
          <w:szCs w:val="26"/>
        </w:rPr>
        <w:t xml:space="preserve">We note further that this proceeding is premised on the use of a FPFTY and the recognition that certain expenses may be based on future expectations.  Consistent with our determination in the </w:t>
      </w:r>
      <w:r w:rsidRPr="0029160A">
        <w:rPr>
          <w:i/>
          <w:color w:val="000000" w:themeColor="text1"/>
          <w:szCs w:val="26"/>
        </w:rPr>
        <w:t>UGI Order</w:t>
      </w:r>
      <w:r w:rsidRPr="0029160A">
        <w:rPr>
          <w:iCs/>
          <w:color w:val="000000" w:themeColor="text1"/>
          <w:szCs w:val="26"/>
        </w:rPr>
        <w:t xml:space="preserve">, </w:t>
      </w:r>
      <w:r w:rsidRPr="0029160A">
        <w:rPr>
          <w:color w:val="000000" w:themeColor="text1"/>
          <w:szCs w:val="26"/>
        </w:rPr>
        <w:t>the normalization period for rate case expense is one of those expenses.  Thus, we may depart from the common practice of setting a normalization period base</w:t>
      </w:r>
      <w:r w:rsidR="00C55897" w:rsidRPr="0029160A">
        <w:rPr>
          <w:color w:val="000000" w:themeColor="text1"/>
          <w:szCs w:val="26"/>
        </w:rPr>
        <w:t>d</w:t>
      </w:r>
      <w:r w:rsidRPr="0029160A">
        <w:rPr>
          <w:color w:val="000000" w:themeColor="text1"/>
          <w:szCs w:val="26"/>
        </w:rPr>
        <w:t xml:space="preserve"> on historic filing frequency where substantial evidence exists to support a different normalization period.  Such is the case here, where Wellsboro has enumerated convincingly the reasons that support a shortened filing frequency cycle.</w:t>
      </w:r>
    </w:p>
    <w:p w14:paraId="1D894D4F" w14:textId="77777777" w:rsidR="006265B4" w:rsidRPr="0029160A" w:rsidRDefault="006265B4" w:rsidP="00CB0B2E">
      <w:pPr>
        <w:widowControl/>
        <w:spacing w:line="360" w:lineRule="auto"/>
        <w:ind w:firstLine="1440"/>
        <w:contextualSpacing/>
        <w:rPr>
          <w:color w:val="000000" w:themeColor="text1"/>
          <w:szCs w:val="26"/>
        </w:rPr>
      </w:pPr>
    </w:p>
    <w:p w14:paraId="37678845" w14:textId="77777777" w:rsidR="0026554C" w:rsidRPr="0029160A" w:rsidRDefault="006265B4" w:rsidP="00CB0B2E">
      <w:pPr>
        <w:widowControl/>
        <w:spacing w:line="360" w:lineRule="auto"/>
        <w:ind w:firstLine="1440"/>
        <w:contextualSpacing/>
        <w:rPr>
          <w:color w:val="000000" w:themeColor="text1"/>
          <w:szCs w:val="26"/>
        </w:rPr>
      </w:pPr>
      <w:r w:rsidRPr="0029160A">
        <w:rPr>
          <w:color w:val="000000" w:themeColor="text1"/>
          <w:szCs w:val="26"/>
        </w:rPr>
        <w:t xml:space="preserve">Accordingly, we approve Wellsboro’s total rate case expense claim of $326,000 to be normalized over </w:t>
      </w:r>
      <w:r w:rsidR="00C55897" w:rsidRPr="0029160A">
        <w:rPr>
          <w:color w:val="000000" w:themeColor="text1"/>
          <w:szCs w:val="26"/>
        </w:rPr>
        <w:t>three</w:t>
      </w:r>
      <w:r w:rsidRPr="0029160A">
        <w:rPr>
          <w:color w:val="000000" w:themeColor="text1"/>
          <w:szCs w:val="26"/>
        </w:rPr>
        <w:t xml:space="preserve"> years, consistent with its historic and anticipated frequency of base rate proceedings, and with prior Commission proceedings.  This would result in a normalized claim of $108,667.  Accordingly, we shall deny the Exceptions filed </w:t>
      </w:r>
      <w:r w:rsidR="0095017D" w:rsidRPr="0029160A">
        <w:rPr>
          <w:color w:val="000000" w:themeColor="text1"/>
          <w:szCs w:val="26"/>
        </w:rPr>
        <w:t xml:space="preserve">by </w:t>
      </w:r>
      <w:r w:rsidRPr="0029160A">
        <w:rPr>
          <w:color w:val="000000" w:themeColor="text1"/>
          <w:szCs w:val="26"/>
        </w:rPr>
        <w:t>I&amp;E and the OCA and adopt the recommendation of the ALJs on this issue.</w:t>
      </w:r>
    </w:p>
    <w:p w14:paraId="19E39E3A" w14:textId="77777777" w:rsidR="006265B4" w:rsidRPr="0029160A" w:rsidRDefault="006265B4" w:rsidP="00CB0B2E">
      <w:pPr>
        <w:widowControl/>
        <w:spacing w:line="360" w:lineRule="auto"/>
        <w:ind w:firstLine="1440"/>
        <w:contextualSpacing/>
        <w:rPr>
          <w:color w:val="000000" w:themeColor="text1"/>
          <w:szCs w:val="26"/>
        </w:rPr>
      </w:pPr>
    </w:p>
    <w:p w14:paraId="4C39E4C5" w14:textId="1A0EA6E8" w:rsidR="00461A7E" w:rsidRPr="0029160A" w:rsidRDefault="008463A0" w:rsidP="00CB0B2E">
      <w:pPr>
        <w:pStyle w:val="Heading3"/>
        <w:keepNext/>
        <w:keepLines/>
        <w:ind w:left="1440" w:hanging="720"/>
        <w:contextualSpacing w:val="0"/>
        <w:rPr>
          <w:color w:val="000000" w:themeColor="text1"/>
        </w:rPr>
      </w:pPr>
      <w:bookmarkStart w:id="121" w:name="_Toc36552362"/>
      <w:bookmarkStart w:id="122" w:name="_Toc38951794"/>
      <w:r w:rsidRPr="0029160A">
        <w:rPr>
          <w:color w:val="000000" w:themeColor="text1"/>
        </w:rPr>
        <w:lastRenderedPageBreak/>
        <w:t xml:space="preserve">Rate of Return:  </w:t>
      </w:r>
      <w:r w:rsidR="00905712" w:rsidRPr="0029160A">
        <w:rPr>
          <w:color w:val="000000" w:themeColor="text1"/>
        </w:rPr>
        <w:t xml:space="preserve">Primary </w:t>
      </w:r>
      <w:r w:rsidR="005B2A99" w:rsidRPr="0029160A">
        <w:rPr>
          <w:color w:val="000000" w:themeColor="text1"/>
        </w:rPr>
        <w:t>Methodology</w:t>
      </w:r>
      <w:r w:rsidRPr="0029160A">
        <w:rPr>
          <w:color w:val="000000" w:themeColor="text1"/>
        </w:rPr>
        <w:t xml:space="preserve"> to Determine </w:t>
      </w:r>
      <w:bookmarkEnd w:id="121"/>
      <w:r w:rsidR="00490D6E" w:rsidRPr="0029160A">
        <w:rPr>
          <w:color w:val="000000" w:themeColor="text1"/>
        </w:rPr>
        <w:t>ROE</w:t>
      </w:r>
      <w:bookmarkEnd w:id="122"/>
    </w:p>
    <w:p w14:paraId="640A4144" w14:textId="77777777" w:rsidR="00D72D1C" w:rsidRPr="0029160A" w:rsidRDefault="00D72D1C">
      <w:pPr>
        <w:keepNext/>
        <w:keepLines/>
        <w:widowControl/>
        <w:spacing w:line="360" w:lineRule="auto"/>
        <w:rPr>
          <w:color w:val="000000" w:themeColor="text1"/>
        </w:rPr>
      </w:pPr>
    </w:p>
    <w:p w14:paraId="7876B686" w14:textId="1E773E9E" w:rsidR="00D72D1C" w:rsidRPr="0029160A" w:rsidRDefault="00D72D1C" w:rsidP="00CB0B2E">
      <w:pPr>
        <w:pStyle w:val="Heading4"/>
        <w:keepNext/>
        <w:keepLines/>
        <w:numPr>
          <w:ilvl w:val="0"/>
          <w:numId w:val="23"/>
        </w:numPr>
        <w:ind w:hanging="720"/>
        <w:contextualSpacing w:val="0"/>
        <w:rPr>
          <w:color w:val="000000" w:themeColor="text1"/>
        </w:rPr>
      </w:pPr>
      <w:bookmarkStart w:id="123" w:name="_Toc38951795"/>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123"/>
    </w:p>
    <w:p w14:paraId="7D45374D" w14:textId="77777777" w:rsidR="00D72D1C" w:rsidRPr="0029160A" w:rsidRDefault="00D72D1C">
      <w:pPr>
        <w:keepNext/>
        <w:keepLines/>
        <w:widowControl/>
        <w:spacing w:line="360" w:lineRule="auto"/>
        <w:rPr>
          <w:color w:val="000000" w:themeColor="text1"/>
          <w:szCs w:val="26"/>
        </w:rPr>
      </w:pPr>
    </w:p>
    <w:p w14:paraId="6367724B" w14:textId="0FB02E64" w:rsidR="00EF15E4" w:rsidRPr="0029160A" w:rsidRDefault="00EC0EC6">
      <w:pPr>
        <w:widowControl/>
        <w:spacing w:line="360" w:lineRule="auto"/>
        <w:ind w:firstLine="1440"/>
        <w:rPr>
          <w:color w:val="000000" w:themeColor="text1"/>
          <w:szCs w:val="26"/>
        </w:rPr>
      </w:pPr>
      <w:bookmarkStart w:id="124" w:name="_Hlk34898125"/>
      <w:r w:rsidRPr="0029160A">
        <w:rPr>
          <w:color w:val="000000" w:themeColor="text1"/>
          <w:szCs w:val="26"/>
        </w:rPr>
        <w:t>In this proceeding, the Company requested a</w:t>
      </w:r>
      <w:r w:rsidR="00EF15E4" w:rsidRPr="0029160A">
        <w:rPr>
          <w:color w:val="000000" w:themeColor="text1"/>
          <w:szCs w:val="26"/>
        </w:rPr>
        <w:t xml:space="preserve"> 10</w:t>
      </w:r>
      <w:r w:rsidRPr="0029160A">
        <w:rPr>
          <w:color w:val="000000" w:themeColor="text1"/>
          <w:szCs w:val="26"/>
        </w:rPr>
        <w:t>.</w:t>
      </w:r>
      <w:r w:rsidR="00EF15E4" w:rsidRPr="0029160A">
        <w:rPr>
          <w:color w:val="000000" w:themeColor="text1"/>
          <w:szCs w:val="26"/>
        </w:rPr>
        <w:t>3</w:t>
      </w:r>
      <w:r w:rsidRPr="0029160A">
        <w:rPr>
          <w:color w:val="000000" w:themeColor="text1"/>
          <w:szCs w:val="26"/>
        </w:rPr>
        <w:t xml:space="preserve">0% </w:t>
      </w:r>
      <w:r w:rsidR="00C64073" w:rsidRPr="0029160A">
        <w:rPr>
          <w:color w:val="000000" w:themeColor="text1"/>
          <w:szCs w:val="26"/>
        </w:rPr>
        <w:t>c</w:t>
      </w:r>
      <w:r w:rsidRPr="0029160A">
        <w:rPr>
          <w:color w:val="000000" w:themeColor="text1"/>
          <w:szCs w:val="26"/>
        </w:rPr>
        <w:t xml:space="preserve">ost of </w:t>
      </w:r>
      <w:r w:rsidR="00C64073" w:rsidRPr="0029160A">
        <w:rPr>
          <w:color w:val="000000" w:themeColor="text1"/>
          <w:szCs w:val="26"/>
        </w:rPr>
        <w:t>common e</w:t>
      </w:r>
      <w:r w:rsidRPr="0029160A">
        <w:rPr>
          <w:color w:val="000000" w:themeColor="text1"/>
          <w:szCs w:val="26"/>
        </w:rPr>
        <w:t xml:space="preserve">quity (COE) </w:t>
      </w:r>
      <w:r w:rsidR="00C64073" w:rsidRPr="0029160A">
        <w:rPr>
          <w:color w:val="000000" w:themeColor="text1"/>
          <w:szCs w:val="26"/>
        </w:rPr>
        <w:t xml:space="preserve">or return on equity (ROE) </w:t>
      </w:r>
      <w:r w:rsidRPr="0029160A">
        <w:rPr>
          <w:color w:val="000000" w:themeColor="text1"/>
          <w:szCs w:val="26"/>
        </w:rPr>
        <w:t xml:space="preserve">yielding an overall rate of return of </w:t>
      </w:r>
      <w:r w:rsidR="00EF15E4" w:rsidRPr="0029160A">
        <w:rPr>
          <w:color w:val="000000" w:themeColor="text1"/>
          <w:szCs w:val="26"/>
        </w:rPr>
        <w:t>7.64</w:t>
      </w:r>
      <w:r w:rsidRPr="0029160A">
        <w:rPr>
          <w:color w:val="000000" w:themeColor="text1"/>
          <w:szCs w:val="26"/>
        </w:rPr>
        <w:t>%</w:t>
      </w:r>
      <w:r w:rsidR="00EF15E4" w:rsidRPr="0029160A">
        <w:rPr>
          <w:color w:val="000000" w:themeColor="text1"/>
          <w:szCs w:val="26"/>
        </w:rPr>
        <w:t xml:space="preserve">, based upon the undisputed </w:t>
      </w:r>
      <w:bookmarkEnd w:id="124"/>
      <w:r w:rsidR="00EF15E4" w:rsidRPr="0029160A">
        <w:rPr>
          <w:color w:val="000000" w:themeColor="text1"/>
          <w:szCs w:val="26"/>
        </w:rPr>
        <w:t>capital structure of 49.33% long-term debt, 50.05% common equity, and 0.62% preferred equity.  R.D. at 50.  The Company’s witness Mr. D</w:t>
      </w:r>
      <w:r w:rsidR="0052404E" w:rsidRPr="0029160A">
        <w:rPr>
          <w:color w:val="000000" w:themeColor="text1"/>
          <w:szCs w:val="26"/>
        </w:rPr>
        <w:t>’</w:t>
      </w:r>
      <w:r w:rsidR="00EF15E4" w:rsidRPr="0029160A">
        <w:rPr>
          <w:color w:val="000000" w:themeColor="text1"/>
          <w:szCs w:val="26"/>
        </w:rPr>
        <w:t xml:space="preserve">Ascendis described his </w:t>
      </w:r>
      <w:r w:rsidR="00E82843" w:rsidRPr="0029160A">
        <w:rPr>
          <w:color w:val="000000" w:themeColor="text1"/>
          <w:szCs w:val="26"/>
        </w:rPr>
        <w:t xml:space="preserve">primary </w:t>
      </w:r>
      <w:r w:rsidR="00EF15E4" w:rsidRPr="0029160A">
        <w:rPr>
          <w:color w:val="000000" w:themeColor="text1"/>
          <w:szCs w:val="26"/>
        </w:rPr>
        <w:t>methodology for developing a recommended ROE for Wellsboro in his direct testimony as follows:</w:t>
      </w:r>
    </w:p>
    <w:p w14:paraId="129881B0" w14:textId="77777777" w:rsidR="00EF15E4" w:rsidRPr="0029160A" w:rsidRDefault="00EF15E4" w:rsidP="0052404E">
      <w:pPr>
        <w:widowControl/>
        <w:autoSpaceDN w:val="0"/>
        <w:rPr>
          <w:color w:val="000000" w:themeColor="text1"/>
          <w:szCs w:val="26"/>
        </w:rPr>
      </w:pPr>
    </w:p>
    <w:p w14:paraId="7FB3F9A0" w14:textId="24E6C516" w:rsidR="00EF15E4" w:rsidRPr="0029160A" w:rsidRDefault="00EF15E4">
      <w:pPr>
        <w:widowControl/>
        <w:tabs>
          <w:tab w:val="left" w:pos="720"/>
          <w:tab w:val="left" w:pos="2160"/>
          <w:tab w:val="left" w:pos="2880"/>
          <w:tab w:val="left" w:pos="3600"/>
          <w:tab w:val="left" w:pos="4320"/>
          <w:tab w:val="left" w:pos="5040"/>
          <w:tab w:val="left" w:pos="5760"/>
          <w:tab w:val="left" w:pos="6480"/>
          <w:tab w:val="left" w:pos="7200"/>
          <w:tab w:val="left" w:pos="8640"/>
        </w:tabs>
        <w:autoSpaceDE w:val="0"/>
        <w:autoSpaceDN w:val="0"/>
        <w:ind w:left="1440" w:right="720"/>
        <w:rPr>
          <w:color w:val="000000" w:themeColor="text1"/>
          <w:szCs w:val="26"/>
        </w:rPr>
      </w:pPr>
      <w:r w:rsidRPr="0029160A">
        <w:rPr>
          <w:color w:val="000000" w:themeColor="text1"/>
          <w:szCs w:val="26"/>
        </w:rPr>
        <w:t>My recommendation results from applying several cost of common equity models, specifically the Discounted Cash Flow Model (“DCF model”), the Risk Premium Model (</w:t>
      </w:r>
      <w:r w:rsidR="0052404E" w:rsidRPr="0029160A">
        <w:rPr>
          <w:color w:val="000000" w:themeColor="text1"/>
          <w:szCs w:val="26"/>
        </w:rPr>
        <w:t>“</w:t>
      </w:r>
      <w:r w:rsidRPr="0029160A">
        <w:rPr>
          <w:color w:val="000000" w:themeColor="text1"/>
          <w:szCs w:val="26"/>
        </w:rPr>
        <w:t>RPM</w:t>
      </w:r>
      <w:r w:rsidR="0052404E" w:rsidRPr="0029160A">
        <w:rPr>
          <w:color w:val="000000" w:themeColor="text1"/>
          <w:szCs w:val="26"/>
        </w:rPr>
        <w:t>”</w:t>
      </w:r>
      <w:r w:rsidRPr="0029160A">
        <w:rPr>
          <w:color w:val="000000" w:themeColor="text1"/>
          <w:szCs w:val="26"/>
        </w:rPr>
        <w:t>), and the Capital Asset Pricing Model (</w:t>
      </w:r>
      <w:r w:rsidR="0052404E" w:rsidRPr="0029160A">
        <w:rPr>
          <w:color w:val="000000" w:themeColor="text1"/>
          <w:szCs w:val="26"/>
        </w:rPr>
        <w:t>“</w:t>
      </w:r>
      <w:r w:rsidRPr="0029160A">
        <w:rPr>
          <w:color w:val="000000" w:themeColor="text1"/>
          <w:szCs w:val="26"/>
        </w:rPr>
        <w:t>CAPM</w:t>
      </w:r>
      <w:r w:rsidR="0052404E" w:rsidRPr="0029160A">
        <w:rPr>
          <w:color w:val="000000" w:themeColor="text1"/>
          <w:szCs w:val="26"/>
        </w:rPr>
        <w:t>”</w:t>
      </w:r>
      <w:r w:rsidRPr="0029160A">
        <w:rPr>
          <w:color w:val="000000" w:themeColor="text1"/>
          <w:szCs w:val="26"/>
        </w:rPr>
        <w:t>), to the market data of the Electric and Gas Utility Proxy Group whose selection criteria will be discussed below.  In addition, I applied the DCF model, RPM, and CAPM to proxy groups of domestic, non-price regulated companies comparable in total risk to the Electric and Gas Utility Proxy Groups (</w:t>
      </w:r>
      <w:r w:rsidR="0052404E" w:rsidRPr="0029160A">
        <w:rPr>
          <w:color w:val="000000" w:themeColor="text1"/>
          <w:szCs w:val="26"/>
        </w:rPr>
        <w:t>“</w:t>
      </w:r>
      <w:r w:rsidRPr="0029160A">
        <w:rPr>
          <w:color w:val="000000" w:themeColor="text1"/>
          <w:szCs w:val="26"/>
        </w:rPr>
        <w:t>Non-Price Regulated Proxy Groups</w:t>
      </w:r>
      <w:r w:rsidR="0052404E" w:rsidRPr="0029160A">
        <w:rPr>
          <w:color w:val="000000" w:themeColor="text1"/>
          <w:szCs w:val="26"/>
        </w:rPr>
        <w:t>”</w:t>
      </w:r>
      <w:r w:rsidRPr="0029160A">
        <w:rPr>
          <w:color w:val="000000" w:themeColor="text1"/>
          <w:szCs w:val="26"/>
        </w:rPr>
        <w:t xml:space="preserve">).  </w:t>
      </w:r>
    </w:p>
    <w:p w14:paraId="367C7446" w14:textId="77777777" w:rsidR="00EF15E4" w:rsidRPr="0029160A" w:rsidRDefault="00EF15E4" w:rsidP="0052404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360" w:lineRule="auto"/>
        <w:ind w:left="1440" w:right="1440"/>
        <w:rPr>
          <w:color w:val="000000" w:themeColor="text1"/>
          <w:szCs w:val="26"/>
        </w:rPr>
      </w:pPr>
    </w:p>
    <w:p w14:paraId="5F8572BA" w14:textId="77777777" w:rsidR="00EF15E4" w:rsidRPr="0029160A" w:rsidRDefault="00EF15E4">
      <w:pPr>
        <w:widowControl/>
        <w:autoSpaceDN w:val="0"/>
        <w:spacing w:line="360" w:lineRule="auto"/>
        <w:rPr>
          <w:color w:val="000000" w:themeColor="text1"/>
          <w:szCs w:val="26"/>
        </w:rPr>
      </w:pPr>
      <w:r w:rsidRPr="0029160A">
        <w:rPr>
          <w:color w:val="000000" w:themeColor="text1"/>
          <w:szCs w:val="26"/>
        </w:rPr>
        <w:t>R.D. at 51-5</w:t>
      </w:r>
      <w:r w:rsidR="003E3087" w:rsidRPr="0029160A">
        <w:rPr>
          <w:color w:val="000000" w:themeColor="text1"/>
          <w:szCs w:val="26"/>
        </w:rPr>
        <w:t>2</w:t>
      </w:r>
      <w:r w:rsidRPr="0029160A">
        <w:rPr>
          <w:color w:val="000000" w:themeColor="text1"/>
          <w:szCs w:val="26"/>
        </w:rPr>
        <w:t xml:space="preserve"> (citing Wellsboro Joint St. 2 at 4-5; Wellsboro M.B. at 58).</w:t>
      </w:r>
    </w:p>
    <w:p w14:paraId="1D8F267C" w14:textId="77777777" w:rsidR="003E3087" w:rsidRPr="0029160A" w:rsidRDefault="003E3087">
      <w:pPr>
        <w:widowControl/>
        <w:autoSpaceDN w:val="0"/>
        <w:spacing w:line="360" w:lineRule="auto"/>
        <w:ind w:firstLine="1440"/>
        <w:rPr>
          <w:color w:val="000000" w:themeColor="text1"/>
          <w:szCs w:val="26"/>
        </w:rPr>
      </w:pPr>
      <w:bookmarkStart w:id="125" w:name="_Hlk29358461"/>
    </w:p>
    <w:p w14:paraId="17C41F84" w14:textId="7D479695" w:rsidR="00E82843" w:rsidRPr="0029160A" w:rsidRDefault="004241F7" w:rsidP="00CB0B2E">
      <w:pPr>
        <w:widowControl/>
        <w:autoSpaceDN w:val="0"/>
        <w:spacing w:line="360" w:lineRule="auto"/>
        <w:ind w:firstLine="1440"/>
        <w:rPr>
          <w:color w:val="000000" w:themeColor="text1"/>
          <w:szCs w:val="26"/>
        </w:rPr>
      </w:pPr>
      <w:r w:rsidRPr="0029160A">
        <w:rPr>
          <w:color w:val="000000" w:themeColor="text1"/>
          <w:szCs w:val="26"/>
        </w:rPr>
        <w:t xml:space="preserve">In summary, </w:t>
      </w:r>
      <w:r w:rsidR="003E3087" w:rsidRPr="0029160A">
        <w:rPr>
          <w:color w:val="000000" w:themeColor="text1"/>
          <w:szCs w:val="26"/>
        </w:rPr>
        <w:t>Mr. D’Ascendis’ analysis of multiple ROE models developed a</w:t>
      </w:r>
      <w:r w:rsidR="00EF0E34" w:rsidRPr="0029160A">
        <w:rPr>
          <w:color w:val="000000" w:themeColor="text1"/>
          <w:szCs w:val="26"/>
        </w:rPr>
        <w:t>n</w:t>
      </w:r>
      <w:r w:rsidR="003E3087" w:rsidRPr="0029160A">
        <w:rPr>
          <w:color w:val="000000" w:themeColor="text1"/>
          <w:szCs w:val="26"/>
        </w:rPr>
        <w:t xml:space="preserve"> ROE, based on his proxy group, of 9.05%.  Mr. D’Ascendis then adjusts the proxy group’s ROE upward by 1.00% for the Company’s smaller relative size to the proxy group and 0.25% to reflect management performance.  As a result of his adjustments to the proxy group’s ROE to reflect the unique risk of the Company, Mr. D’Ascendis recommends a 10.30% ROE.  </w:t>
      </w:r>
      <w:r w:rsidR="00E82843" w:rsidRPr="0029160A">
        <w:rPr>
          <w:color w:val="000000" w:themeColor="text1"/>
          <w:szCs w:val="26"/>
        </w:rPr>
        <w:t xml:space="preserve">R.D. at 51-53 (citing </w:t>
      </w:r>
      <w:r w:rsidR="003E3087" w:rsidRPr="0029160A">
        <w:rPr>
          <w:color w:val="000000" w:themeColor="text1"/>
          <w:szCs w:val="26"/>
        </w:rPr>
        <w:t>Joint St. 2-R, Exh</w:t>
      </w:r>
      <w:r w:rsidR="005150F4" w:rsidRPr="0029160A">
        <w:rPr>
          <w:color w:val="000000" w:themeColor="text1"/>
          <w:szCs w:val="26"/>
        </w:rPr>
        <w:t>ibit</w:t>
      </w:r>
      <w:r w:rsidR="003E3087" w:rsidRPr="0029160A">
        <w:rPr>
          <w:color w:val="000000" w:themeColor="text1"/>
          <w:szCs w:val="26"/>
        </w:rPr>
        <w:t>_(DWD-1R), Sch. 1R at</w:t>
      </w:r>
      <w:r w:rsidR="00DB2657">
        <w:rPr>
          <w:color w:val="000000" w:themeColor="text1"/>
          <w:szCs w:val="26"/>
        </w:rPr>
        <w:t xml:space="preserve"> </w:t>
      </w:r>
      <w:r w:rsidR="003E3087" w:rsidRPr="0029160A">
        <w:rPr>
          <w:color w:val="000000" w:themeColor="text1"/>
          <w:szCs w:val="26"/>
        </w:rPr>
        <w:t>2; Wellsboro M.B. at 55-56</w:t>
      </w:r>
      <w:r w:rsidR="00E82843" w:rsidRPr="0029160A">
        <w:rPr>
          <w:color w:val="000000" w:themeColor="text1"/>
          <w:szCs w:val="26"/>
        </w:rPr>
        <w:t>; Wellsboro M.B., Table 2 at 59).</w:t>
      </w:r>
    </w:p>
    <w:bookmarkEnd w:id="125"/>
    <w:p w14:paraId="59F9D4D5" w14:textId="77777777" w:rsidR="00EC0EC6" w:rsidRPr="0029160A" w:rsidRDefault="00EC0EC6">
      <w:pPr>
        <w:widowControl/>
        <w:spacing w:line="360" w:lineRule="auto"/>
        <w:rPr>
          <w:color w:val="000000" w:themeColor="text1"/>
          <w:szCs w:val="26"/>
          <w:highlight w:val="yellow"/>
        </w:rPr>
      </w:pPr>
    </w:p>
    <w:p w14:paraId="6066CCF6" w14:textId="5610F878" w:rsidR="007848E1" w:rsidRPr="0029160A" w:rsidRDefault="00EC0EC6">
      <w:pPr>
        <w:widowControl/>
        <w:spacing w:line="360" w:lineRule="auto"/>
        <w:ind w:firstLine="1440"/>
        <w:rPr>
          <w:bCs/>
          <w:color w:val="000000" w:themeColor="text1"/>
          <w:szCs w:val="26"/>
        </w:rPr>
      </w:pPr>
      <w:r w:rsidRPr="0029160A">
        <w:rPr>
          <w:bCs/>
          <w:color w:val="000000" w:themeColor="text1"/>
          <w:szCs w:val="26"/>
        </w:rPr>
        <w:lastRenderedPageBreak/>
        <w:t xml:space="preserve">I&amp;E and the OCA </w:t>
      </w:r>
      <w:r w:rsidR="00EF15E4" w:rsidRPr="0029160A">
        <w:rPr>
          <w:bCs/>
          <w:color w:val="000000" w:themeColor="text1"/>
          <w:szCs w:val="26"/>
        </w:rPr>
        <w:t>both dispute</w:t>
      </w:r>
      <w:r w:rsidR="004241F7" w:rsidRPr="0029160A">
        <w:rPr>
          <w:bCs/>
          <w:color w:val="000000" w:themeColor="text1"/>
          <w:szCs w:val="26"/>
        </w:rPr>
        <w:t>d</w:t>
      </w:r>
      <w:r w:rsidR="00EF15E4" w:rsidRPr="0029160A">
        <w:rPr>
          <w:bCs/>
          <w:color w:val="000000" w:themeColor="text1"/>
          <w:szCs w:val="26"/>
        </w:rPr>
        <w:t xml:space="preserve"> the Company’s requested COE</w:t>
      </w:r>
      <w:r w:rsidR="006C6A4D" w:rsidRPr="0029160A">
        <w:rPr>
          <w:bCs/>
          <w:color w:val="000000" w:themeColor="text1"/>
          <w:szCs w:val="26"/>
        </w:rPr>
        <w:t xml:space="preserve"> and</w:t>
      </w:r>
      <w:r w:rsidR="00E82843" w:rsidRPr="0029160A">
        <w:rPr>
          <w:bCs/>
          <w:color w:val="000000" w:themeColor="text1"/>
          <w:szCs w:val="26"/>
        </w:rPr>
        <w:t xml:space="preserve"> the primary methodology </w:t>
      </w:r>
      <w:r w:rsidR="00EF15E4" w:rsidRPr="0029160A">
        <w:rPr>
          <w:bCs/>
          <w:color w:val="000000" w:themeColor="text1"/>
          <w:szCs w:val="26"/>
        </w:rPr>
        <w:t>for developing the COE.  R.D. at 50-51, 53</w:t>
      </w:r>
      <w:r w:rsidR="006C6A4D" w:rsidRPr="0029160A">
        <w:rPr>
          <w:bCs/>
          <w:color w:val="000000" w:themeColor="text1"/>
          <w:szCs w:val="26"/>
        </w:rPr>
        <w:t xml:space="preserve">.  </w:t>
      </w:r>
      <w:r w:rsidR="00EF15E4" w:rsidRPr="0029160A">
        <w:rPr>
          <w:bCs/>
          <w:color w:val="000000" w:themeColor="text1"/>
          <w:szCs w:val="26"/>
        </w:rPr>
        <w:t xml:space="preserve">I&amp;E and the OCA both recommended using the DCF method as the primary method to determine the </w:t>
      </w:r>
      <w:r w:rsidR="006D699B" w:rsidRPr="0029160A">
        <w:rPr>
          <w:bCs/>
          <w:color w:val="000000" w:themeColor="text1"/>
          <w:szCs w:val="26"/>
        </w:rPr>
        <w:t>COE</w:t>
      </w:r>
      <w:r w:rsidR="00EF15E4" w:rsidRPr="0029160A">
        <w:rPr>
          <w:bCs/>
          <w:color w:val="000000" w:themeColor="text1"/>
          <w:szCs w:val="26"/>
        </w:rPr>
        <w:t xml:space="preserve">, with the results of the CAPM used as a comparison to the DCF results. </w:t>
      </w:r>
      <w:r w:rsidR="00CD29B2">
        <w:rPr>
          <w:bCs/>
          <w:color w:val="000000" w:themeColor="text1"/>
          <w:szCs w:val="26"/>
        </w:rPr>
        <w:t xml:space="preserve"> </w:t>
      </w:r>
      <w:r w:rsidR="00EF15E4" w:rsidRPr="0029160A">
        <w:rPr>
          <w:bCs/>
          <w:color w:val="000000" w:themeColor="text1"/>
          <w:szCs w:val="26"/>
        </w:rPr>
        <w:t xml:space="preserve">R.D. at 53. </w:t>
      </w:r>
      <w:r w:rsidRPr="0029160A">
        <w:rPr>
          <w:bCs/>
          <w:color w:val="000000" w:themeColor="text1"/>
          <w:szCs w:val="26"/>
        </w:rPr>
        <w:t xml:space="preserve"> </w:t>
      </w:r>
    </w:p>
    <w:p w14:paraId="62D1F48C" w14:textId="77777777" w:rsidR="007848E1" w:rsidRPr="0029160A" w:rsidRDefault="007848E1">
      <w:pPr>
        <w:widowControl/>
        <w:spacing w:line="360" w:lineRule="auto"/>
        <w:ind w:firstLine="1440"/>
        <w:rPr>
          <w:bCs/>
          <w:color w:val="000000" w:themeColor="text1"/>
          <w:szCs w:val="26"/>
        </w:rPr>
      </w:pPr>
    </w:p>
    <w:p w14:paraId="2B9F9061" w14:textId="4FD6A8F8" w:rsidR="007848E1" w:rsidRPr="0029160A" w:rsidRDefault="007848E1">
      <w:pPr>
        <w:widowControl/>
        <w:spacing w:line="360" w:lineRule="auto"/>
        <w:ind w:firstLine="1440"/>
        <w:rPr>
          <w:color w:val="000000" w:themeColor="text1"/>
          <w:szCs w:val="26"/>
        </w:rPr>
      </w:pPr>
      <w:r w:rsidRPr="0029160A">
        <w:rPr>
          <w:bCs/>
          <w:color w:val="000000" w:themeColor="text1"/>
          <w:szCs w:val="26"/>
        </w:rPr>
        <w:t xml:space="preserve">The </w:t>
      </w:r>
      <w:r w:rsidRPr="0029160A">
        <w:rPr>
          <w:color w:val="000000" w:themeColor="text1"/>
          <w:szCs w:val="26"/>
        </w:rPr>
        <w:t xml:space="preserve">OCA </w:t>
      </w:r>
      <w:r w:rsidR="004241F7" w:rsidRPr="0029160A">
        <w:rPr>
          <w:color w:val="000000" w:themeColor="text1"/>
          <w:szCs w:val="26"/>
        </w:rPr>
        <w:t>argued</w:t>
      </w:r>
      <w:r w:rsidRPr="0029160A">
        <w:rPr>
          <w:color w:val="000000" w:themeColor="text1"/>
          <w:szCs w:val="26"/>
        </w:rPr>
        <w:t xml:space="preserve"> that the Company’s requested </w:t>
      </w:r>
      <w:r w:rsidR="00725AE7" w:rsidRPr="0029160A">
        <w:rPr>
          <w:color w:val="000000" w:themeColor="text1"/>
          <w:szCs w:val="26"/>
        </w:rPr>
        <w:t xml:space="preserve">ROE </w:t>
      </w:r>
      <w:r w:rsidRPr="0029160A">
        <w:rPr>
          <w:color w:val="000000" w:themeColor="text1"/>
          <w:szCs w:val="26"/>
        </w:rPr>
        <w:t xml:space="preserve">of 10.30% is </w:t>
      </w:r>
      <w:r w:rsidRPr="0029160A">
        <w:rPr>
          <w:rFonts w:eastAsiaTheme="minorHAnsi"/>
          <w:color w:val="000000" w:themeColor="text1"/>
          <w:szCs w:val="26"/>
        </w:rPr>
        <w:t>well in excess of an objective assessment of investor market requirements in the current economic environment and should be rejected.  R.D. at 50 (citing OCA M.B. at 35)</w:t>
      </w:r>
      <w:r w:rsidRPr="0029160A">
        <w:rPr>
          <w:color w:val="000000" w:themeColor="text1"/>
          <w:szCs w:val="26"/>
        </w:rPr>
        <w:t xml:space="preserve">. </w:t>
      </w:r>
      <w:r w:rsidR="006C6A4D" w:rsidRPr="0029160A">
        <w:rPr>
          <w:color w:val="000000" w:themeColor="text1"/>
          <w:szCs w:val="26"/>
        </w:rPr>
        <w:t xml:space="preserve"> Utilizing the DCF method with the CAPM as the check, t</w:t>
      </w:r>
      <w:r w:rsidRPr="0029160A">
        <w:rPr>
          <w:color w:val="000000" w:themeColor="text1"/>
          <w:szCs w:val="26"/>
        </w:rPr>
        <w:t>he OCA recommend</w:t>
      </w:r>
      <w:r w:rsidR="004241F7" w:rsidRPr="0029160A">
        <w:rPr>
          <w:color w:val="000000" w:themeColor="text1"/>
          <w:szCs w:val="26"/>
        </w:rPr>
        <w:t xml:space="preserve">ed </w:t>
      </w:r>
      <w:r w:rsidRPr="0029160A">
        <w:rPr>
          <w:color w:val="000000" w:themeColor="text1"/>
          <w:szCs w:val="26"/>
        </w:rPr>
        <w:t xml:space="preserve">a </w:t>
      </w:r>
      <w:r w:rsidR="00725AE7" w:rsidRPr="0029160A">
        <w:rPr>
          <w:color w:val="000000" w:themeColor="text1"/>
          <w:szCs w:val="26"/>
        </w:rPr>
        <w:t>COE</w:t>
      </w:r>
      <w:r w:rsidRPr="0029160A">
        <w:rPr>
          <w:color w:val="000000" w:themeColor="text1"/>
          <w:szCs w:val="26"/>
        </w:rPr>
        <w:t xml:space="preserve"> of 8.38%, yielding an overall rate of return of 6.68%.  </w:t>
      </w:r>
      <w:r w:rsidR="004241F7" w:rsidRPr="0029160A">
        <w:rPr>
          <w:color w:val="000000" w:themeColor="text1"/>
          <w:szCs w:val="26"/>
        </w:rPr>
        <w:t xml:space="preserve">R.D. at 50 (citing </w:t>
      </w:r>
      <w:r w:rsidRPr="0029160A">
        <w:rPr>
          <w:color w:val="000000" w:themeColor="text1"/>
          <w:szCs w:val="26"/>
        </w:rPr>
        <w:t>OCA M</w:t>
      </w:r>
      <w:r w:rsidR="004241F7" w:rsidRPr="0029160A">
        <w:rPr>
          <w:color w:val="000000" w:themeColor="text1"/>
          <w:szCs w:val="26"/>
        </w:rPr>
        <w:t>.B.</w:t>
      </w:r>
      <w:r w:rsidRPr="0029160A">
        <w:rPr>
          <w:color w:val="000000" w:themeColor="text1"/>
          <w:szCs w:val="26"/>
        </w:rPr>
        <w:t xml:space="preserve"> at</w:t>
      </w:r>
      <w:r w:rsidR="0052404E" w:rsidRPr="0029160A">
        <w:rPr>
          <w:color w:val="000000" w:themeColor="text1"/>
          <w:szCs w:val="26"/>
        </w:rPr>
        <w:t> </w:t>
      </w:r>
      <w:r w:rsidRPr="0029160A">
        <w:rPr>
          <w:color w:val="000000" w:themeColor="text1"/>
          <w:szCs w:val="26"/>
        </w:rPr>
        <w:t>35</w:t>
      </w:r>
      <w:r w:rsidR="004241F7" w:rsidRPr="0029160A">
        <w:rPr>
          <w:color w:val="000000" w:themeColor="text1"/>
          <w:szCs w:val="26"/>
        </w:rPr>
        <w:t>)</w:t>
      </w:r>
      <w:r w:rsidRPr="0029160A">
        <w:rPr>
          <w:color w:val="000000" w:themeColor="text1"/>
          <w:szCs w:val="26"/>
        </w:rPr>
        <w:t>.</w:t>
      </w:r>
      <w:r w:rsidR="004241F7" w:rsidRPr="0029160A">
        <w:rPr>
          <w:bCs/>
          <w:color w:val="000000" w:themeColor="text1"/>
          <w:szCs w:val="26"/>
        </w:rPr>
        <w:t xml:space="preserve">  </w:t>
      </w:r>
      <w:r w:rsidR="004241F7" w:rsidRPr="0029160A">
        <w:rPr>
          <w:color w:val="000000" w:themeColor="text1"/>
          <w:szCs w:val="26"/>
        </w:rPr>
        <w:t>Meanwhile,</w:t>
      </w:r>
      <w:r w:rsidRPr="0029160A">
        <w:rPr>
          <w:color w:val="000000" w:themeColor="text1"/>
          <w:szCs w:val="26"/>
        </w:rPr>
        <w:t xml:space="preserve"> I&amp;E recommended an 8.10% </w:t>
      </w:r>
      <w:r w:rsidR="00725AE7" w:rsidRPr="0029160A">
        <w:rPr>
          <w:color w:val="000000" w:themeColor="text1"/>
          <w:szCs w:val="26"/>
        </w:rPr>
        <w:t>ROE</w:t>
      </w:r>
      <w:r w:rsidRPr="0029160A">
        <w:rPr>
          <w:color w:val="000000" w:themeColor="text1"/>
          <w:szCs w:val="26"/>
        </w:rPr>
        <w:t>, yield</w:t>
      </w:r>
      <w:r w:rsidR="004241F7" w:rsidRPr="0029160A">
        <w:rPr>
          <w:color w:val="000000" w:themeColor="text1"/>
          <w:szCs w:val="26"/>
        </w:rPr>
        <w:t>ing</w:t>
      </w:r>
      <w:r w:rsidRPr="0029160A">
        <w:rPr>
          <w:color w:val="000000" w:themeColor="text1"/>
          <w:szCs w:val="26"/>
        </w:rPr>
        <w:t xml:space="preserve"> a 6.53% overall rate of return.  R.D. at 51 (citing I&amp;E M.B. at 29-30).</w:t>
      </w:r>
    </w:p>
    <w:p w14:paraId="791D076F" w14:textId="77777777" w:rsidR="009320AC" w:rsidRPr="0029160A" w:rsidRDefault="009320AC">
      <w:pPr>
        <w:widowControl/>
        <w:spacing w:line="360" w:lineRule="auto"/>
        <w:ind w:firstLine="1440"/>
        <w:rPr>
          <w:bCs/>
          <w:color w:val="000000" w:themeColor="text1"/>
          <w:szCs w:val="26"/>
        </w:rPr>
      </w:pPr>
    </w:p>
    <w:p w14:paraId="7D9E2DDD" w14:textId="4BAFC469" w:rsidR="007848E1" w:rsidRPr="0029160A" w:rsidRDefault="00EC0EC6" w:rsidP="00395940">
      <w:pPr>
        <w:widowControl/>
        <w:autoSpaceDN w:val="0"/>
        <w:spacing w:line="360" w:lineRule="auto"/>
        <w:ind w:firstLine="1440"/>
        <w:rPr>
          <w:color w:val="000000" w:themeColor="text1"/>
          <w:szCs w:val="26"/>
        </w:rPr>
      </w:pPr>
      <w:r w:rsidRPr="0029160A">
        <w:rPr>
          <w:color w:val="000000" w:themeColor="text1"/>
          <w:szCs w:val="26"/>
        </w:rPr>
        <w:t>I&amp;E</w:t>
      </w:r>
      <w:r w:rsidR="007848E1" w:rsidRPr="0029160A">
        <w:rPr>
          <w:color w:val="000000" w:themeColor="text1"/>
          <w:szCs w:val="26"/>
        </w:rPr>
        <w:t>’s</w:t>
      </w:r>
      <w:r w:rsidRPr="0029160A">
        <w:rPr>
          <w:color w:val="000000" w:themeColor="text1"/>
          <w:szCs w:val="26"/>
        </w:rPr>
        <w:t xml:space="preserve"> and the OCA</w:t>
      </w:r>
      <w:r w:rsidR="007848E1" w:rsidRPr="0029160A">
        <w:rPr>
          <w:color w:val="000000" w:themeColor="text1"/>
          <w:szCs w:val="26"/>
        </w:rPr>
        <w:t xml:space="preserve">’s </w:t>
      </w:r>
      <w:r w:rsidRPr="0029160A">
        <w:rPr>
          <w:color w:val="000000" w:themeColor="text1"/>
          <w:szCs w:val="26"/>
        </w:rPr>
        <w:t xml:space="preserve">proposed calculations of the Company’s rate of return </w:t>
      </w:r>
      <w:r w:rsidR="007848E1" w:rsidRPr="0029160A">
        <w:rPr>
          <w:color w:val="000000" w:themeColor="text1"/>
          <w:szCs w:val="26"/>
        </w:rPr>
        <w:t xml:space="preserve">was </w:t>
      </w:r>
      <w:r w:rsidRPr="0029160A">
        <w:rPr>
          <w:color w:val="000000" w:themeColor="text1"/>
          <w:szCs w:val="26"/>
        </w:rPr>
        <w:t>based on their respective expert’s testimony of the appropriate COE as derived by the traditional market-based analysis of standard cost of equity issues, such as proxy</w:t>
      </w:r>
      <w:r w:rsidR="007848E1" w:rsidRPr="0029160A">
        <w:rPr>
          <w:color w:val="000000" w:themeColor="text1"/>
          <w:szCs w:val="26"/>
        </w:rPr>
        <w:t xml:space="preserve"> (or barometer)</w:t>
      </w:r>
      <w:r w:rsidRPr="0029160A">
        <w:rPr>
          <w:color w:val="000000" w:themeColor="text1"/>
          <w:szCs w:val="26"/>
        </w:rPr>
        <w:t xml:space="preserve"> groups, growth rates, and dividend yields.  R.D. </w:t>
      </w:r>
      <w:r w:rsidR="00CD29B2">
        <w:rPr>
          <w:color w:val="000000" w:themeColor="text1"/>
          <w:szCs w:val="26"/>
        </w:rPr>
        <w:t xml:space="preserve">at </w:t>
      </w:r>
      <w:r w:rsidRPr="0029160A">
        <w:rPr>
          <w:color w:val="000000" w:themeColor="text1"/>
          <w:szCs w:val="26"/>
        </w:rPr>
        <w:t>5</w:t>
      </w:r>
      <w:r w:rsidR="007848E1" w:rsidRPr="0029160A">
        <w:rPr>
          <w:color w:val="000000" w:themeColor="text1"/>
          <w:szCs w:val="26"/>
        </w:rPr>
        <w:t>4</w:t>
      </w:r>
      <w:r w:rsidRPr="0029160A">
        <w:rPr>
          <w:color w:val="000000" w:themeColor="text1"/>
          <w:szCs w:val="26"/>
        </w:rPr>
        <w:t>-6</w:t>
      </w:r>
      <w:r w:rsidR="007848E1" w:rsidRPr="0029160A">
        <w:rPr>
          <w:color w:val="000000" w:themeColor="text1"/>
          <w:szCs w:val="26"/>
        </w:rPr>
        <w:t xml:space="preserve">7 </w:t>
      </w:r>
      <w:r w:rsidRPr="0029160A">
        <w:rPr>
          <w:color w:val="000000" w:themeColor="text1"/>
          <w:szCs w:val="26"/>
        </w:rPr>
        <w:t>(ALJs</w:t>
      </w:r>
      <w:r w:rsidR="003237D3" w:rsidRPr="0029160A">
        <w:rPr>
          <w:color w:val="000000" w:themeColor="text1"/>
          <w:szCs w:val="26"/>
        </w:rPr>
        <w:t>’</w:t>
      </w:r>
      <w:r w:rsidRPr="0029160A">
        <w:rPr>
          <w:color w:val="000000" w:themeColor="text1"/>
          <w:szCs w:val="26"/>
        </w:rPr>
        <w:t xml:space="preserve"> summary of</w:t>
      </w:r>
      <w:r w:rsidR="007848E1" w:rsidRPr="0029160A">
        <w:rPr>
          <w:color w:val="000000" w:themeColor="text1"/>
          <w:szCs w:val="26"/>
        </w:rPr>
        <w:t xml:space="preserve"> the testimonies offered by th</w:t>
      </w:r>
      <w:r w:rsidR="004241F7" w:rsidRPr="0029160A">
        <w:rPr>
          <w:color w:val="000000" w:themeColor="text1"/>
          <w:szCs w:val="26"/>
        </w:rPr>
        <w:t>e</w:t>
      </w:r>
      <w:r w:rsidR="007848E1" w:rsidRPr="0029160A">
        <w:rPr>
          <w:color w:val="000000" w:themeColor="text1"/>
          <w:szCs w:val="26"/>
        </w:rPr>
        <w:t xml:space="preserve"> Company’s,</w:t>
      </w:r>
      <w:r w:rsidRPr="0029160A">
        <w:rPr>
          <w:color w:val="000000" w:themeColor="text1"/>
          <w:szCs w:val="26"/>
        </w:rPr>
        <w:t xml:space="preserve"> I&amp;E’s and</w:t>
      </w:r>
      <w:r w:rsidR="007848E1" w:rsidRPr="0029160A">
        <w:rPr>
          <w:color w:val="000000" w:themeColor="text1"/>
          <w:szCs w:val="26"/>
        </w:rPr>
        <w:t xml:space="preserve"> the</w:t>
      </w:r>
      <w:r w:rsidRPr="0029160A">
        <w:rPr>
          <w:color w:val="000000" w:themeColor="text1"/>
          <w:szCs w:val="26"/>
        </w:rPr>
        <w:t xml:space="preserve"> OCA’s expert</w:t>
      </w:r>
      <w:r w:rsidR="007848E1" w:rsidRPr="0029160A">
        <w:rPr>
          <w:color w:val="000000" w:themeColor="text1"/>
          <w:szCs w:val="26"/>
        </w:rPr>
        <w:t>s</w:t>
      </w:r>
      <w:r w:rsidRPr="0029160A">
        <w:rPr>
          <w:color w:val="000000" w:themeColor="text1"/>
          <w:szCs w:val="26"/>
        </w:rPr>
        <w:t xml:space="preserve"> regarding a market-based analysis of COE).  </w:t>
      </w:r>
    </w:p>
    <w:p w14:paraId="38526F2C" w14:textId="77777777" w:rsidR="007848E1" w:rsidRPr="0029160A" w:rsidRDefault="007848E1" w:rsidP="00395940">
      <w:pPr>
        <w:widowControl/>
        <w:autoSpaceDN w:val="0"/>
        <w:spacing w:line="360" w:lineRule="auto"/>
        <w:ind w:firstLine="1440"/>
        <w:rPr>
          <w:color w:val="000000" w:themeColor="text1"/>
          <w:szCs w:val="26"/>
        </w:rPr>
      </w:pPr>
    </w:p>
    <w:p w14:paraId="4D7FB670" w14:textId="77777777" w:rsidR="00D72D1C" w:rsidRPr="0029160A" w:rsidRDefault="00D72D1C" w:rsidP="00395940">
      <w:pPr>
        <w:pStyle w:val="Heading4"/>
        <w:ind w:hanging="720"/>
        <w:contextualSpacing w:val="0"/>
        <w:rPr>
          <w:color w:val="000000" w:themeColor="text1"/>
        </w:rPr>
      </w:pPr>
      <w:bookmarkStart w:id="126" w:name="_Toc38951796"/>
      <w:r w:rsidRPr="0029160A">
        <w:rPr>
          <w:color w:val="000000" w:themeColor="text1"/>
        </w:rPr>
        <w:t>Recommended Decision</w:t>
      </w:r>
      <w:bookmarkEnd w:id="126"/>
    </w:p>
    <w:p w14:paraId="3786BD28" w14:textId="77777777" w:rsidR="00D72D1C" w:rsidRPr="0029160A" w:rsidRDefault="00D72D1C" w:rsidP="00395940">
      <w:pPr>
        <w:widowControl/>
        <w:spacing w:line="360" w:lineRule="auto"/>
        <w:rPr>
          <w:color w:val="000000" w:themeColor="text1"/>
          <w:szCs w:val="26"/>
        </w:rPr>
      </w:pPr>
    </w:p>
    <w:p w14:paraId="47137289" w14:textId="26114FFE" w:rsidR="002B3343" w:rsidRPr="0029160A" w:rsidRDefault="008463A0" w:rsidP="00395940">
      <w:pPr>
        <w:widowControl/>
        <w:spacing w:line="360" w:lineRule="auto"/>
        <w:ind w:firstLine="1440"/>
        <w:rPr>
          <w:color w:val="000000" w:themeColor="text1"/>
        </w:rPr>
      </w:pPr>
      <w:r w:rsidRPr="0029160A">
        <w:rPr>
          <w:color w:val="000000" w:themeColor="text1"/>
          <w:szCs w:val="26"/>
        </w:rPr>
        <w:t xml:space="preserve">The ALJs </w:t>
      </w:r>
      <w:r w:rsidR="006C6A4D" w:rsidRPr="0029160A">
        <w:rPr>
          <w:color w:val="000000" w:themeColor="text1"/>
        </w:rPr>
        <w:t xml:space="preserve">agreed with I&amp;E and </w:t>
      </w:r>
      <w:r w:rsidR="00DD718D" w:rsidRPr="0029160A">
        <w:rPr>
          <w:color w:val="000000" w:themeColor="text1"/>
        </w:rPr>
        <w:t xml:space="preserve">the </w:t>
      </w:r>
      <w:r w:rsidR="006C6A4D" w:rsidRPr="0029160A">
        <w:rPr>
          <w:color w:val="000000" w:themeColor="text1"/>
        </w:rPr>
        <w:t xml:space="preserve">OCA and </w:t>
      </w:r>
      <w:r w:rsidRPr="0029160A">
        <w:rPr>
          <w:color w:val="000000" w:themeColor="text1"/>
          <w:szCs w:val="26"/>
        </w:rPr>
        <w:t>recommended the use of the DCF method as the primary method to determine the COE in this case and the use of the CAPM method to serve as a check on the DCF results</w:t>
      </w:r>
      <w:r w:rsidR="006C6A4D" w:rsidRPr="0029160A">
        <w:rPr>
          <w:color w:val="000000" w:themeColor="text1"/>
          <w:szCs w:val="26"/>
        </w:rPr>
        <w:t>,</w:t>
      </w:r>
      <w:r w:rsidR="006C6A4D" w:rsidRPr="0029160A">
        <w:rPr>
          <w:color w:val="000000" w:themeColor="text1"/>
        </w:rPr>
        <w:t xml:space="preserve"> stating they “see no reason to deviate from these preferred methods in this proceeding.”  R.D. at 53-54 (citing </w:t>
      </w:r>
      <w:r w:rsidR="00005AA5" w:rsidRPr="0029160A">
        <w:rPr>
          <w:i/>
          <w:iCs/>
          <w:color w:val="000000" w:themeColor="text1"/>
          <w:szCs w:val="26"/>
        </w:rPr>
        <w:t>2012 PPL Order</w:t>
      </w:r>
      <w:r w:rsidR="00005AA5" w:rsidRPr="0029160A">
        <w:rPr>
          <w:color w:val="000000" w:themeColor="text1"/>
          <w:szCs w:val="26"/>
        </w:rPr>
        <w:t xml:space="preserve"> </w:t>
      </w:r>
      <w:r w:rsidR="006C6A4D" w:rsidRPr="0029160A">
        <w:rPr>
          <w:color w:val="000000" w:themeColor="text1"/>
          <w:szCs w:val="26"/>
        </w:rPr>
        <w:t xml:space="preserve">at 69-70; </w:t>
      </w:r>
      <w:r w:rsidR="006C6A4D" w:rsidRPr="0029160A">
        <w:rPr>
          <w:rFonts w:eastAsiaTheme="minorHAnsi"/>
          <w:i/>
          <w:iCs/>
          <w:color w:val="000000" w:themeColor="text1"/>
          <w:szCs w:val="26"/>
        </w:rPr>
        <w:t>Pa. PUC v. City of DuBois -- Bureau of Water</w:t>
      </w:r>
      <w:r w:rsidR="006C6A4D" w:rsidRPr="0029160A">
        <w:rPr>
          <w:rFonts w:eastAsiaTheme="minorHAnsi"/>
          <w:color w:val="000000" w:themeColor="text1"/>
          <w:szCs w:val="26"/>
        </w:rPr>
        <w:t>, Docket No. R</w:t>
      </w:r>
      <w:r w:rsidR="0052404E" w:rsidRPr="0029160A">
        <w:rPr>
          <w:rFonts w:eastAsiaTheme="minorHAnsi"/>
          <w:color w:val="000000" w:themeColor="text1"/>
          <w:szCs w:val="26"/>
        </w:rPr>
        <w:noBreakHyphen/>
      </w:r>
      <w:r w:rsidR="006C6A4D" w:rsidRPr="0029160A">
        <w:rPr>
          <w:rFonts w:eastAsiaTheme="minorHAnsi"/>
          <w:color w:val="000000" w:themeColor="text1"/>
          <w:szCs w:val="26"/>
        </w:rPr>
        <w:t>2016</w:t>
      </w:r>
      <w:r w:rsidR="0052404E" w:rsidRPr="0029160A">
        <w:rPr>
          <w:rFonts w:eastAsiaTheme="minorHAnsi"/>
          <w:color w:val="000000" w:themeColor="text1"/>
          <w:szCs w:val="26"/>
        </w:rPr>
        <w:noBreakHyphen/>
      </w:r>
      <w:r w:rsidR="006C6A4D" w:rsidRPr="0029160A">
        <w:rPr>
          <w:rFonts w:eastAsiaTheme="minorHAnsi"/>
          <w:color w:val="000000" w:themeColor="text1"/>
          <w:szCs w:val="26"/>
        </w:rPr>
        <w:t>2554150 (Order entered March 28, 2017) at 96-96 (</w:t>
      </w:r>
      <w:r w:rsidR="006C6A4D" w:rsidRPr="0029160A">
        <w:rPr>
          <w:rFonts w:eastAsiaTheme="minorHAnsi"/>
          <w:i/>
          <w:iCs/>
          <w:color w:val="000000" w:themeColor="text1"/>
          <w:szCs w:val="26"/>
        </w:rPr>
        <w:t>City of DuBois</w:t>
      </w:r>
      <w:r w:rsidR="009D4D43" w:rsidRPr="0029160A">
        <w:rPr>
          <w:rFonts w:eastAsiaTheme="minorHAnsi"/>
          <w:color w:val="000000" w:themeColor="text1"/>
          <w:szCs w:val="26"/>
        </w:rPr>
        <w:t xml:space="preserve">); </w:t>
      </w:r>
      <w:r w:rsidR="009D4D43" w:rsidRPr="0029160A">
        <w:rPr>
          <w:i/>
          <w:iCs/>
          <w:color w:val="000000" w:themeColor="text1"/>
          <w:szCs w:val="26"/>
        </w:rPr>
        <w:t>UGI</w:t>
      </w:r>
      <w:r w:rsidR="006C6A4D" w:rsidRPr="0029160A">
        <w:rPr>
          <w:i/>
          <w:iCs/>
          <w:color w:val="000000" w:themeColor="text1"/>
          <w:szCs w:val="26"/>
        </w:rPr>
        <w:t xml:space="preserve"> Order</w:t>
      </w:r>
      <w:r w:rsidR="00DD718D" w:rsidRPr="0029160A">
        <w:rPr>
          <w:color w:val="000000" w:themeColor="text1"/>
          <w:szCs w:val="26"/>
        </w:rPr>
        <w:t xml:space="preserve"> </w:t>
      </w:r>
      <w:r w:rsidR="00DD718D" w:rsidRPr="0029160A">
        <w:rPr>
          <w:color w:val="000000" w:themeColor="text1"/>
          <w:szCs w:val="26"/>
        </w:rPr>
        <w:lastRenderedPageBreak/>
        <w:t>at 103-106</w:t>
      </w:r>
      <w:r w:rsidR="006C6A4D" w:rsidRPr="0029160A">
        <w:rPr>
          <w:color w:val="000000" w:themeColor="text1"/>
          <w:szCs w:val="26"/>
        </w:rPr>
        <w:t>.</w:t>
      </w:r>
      <w:r w:rsidRPr="0029160A">
        <w:rPr>
          <w:color w:val="000000" w:themeColor="text1"/>
          <w:szCs w:val="26"/>
        </w:rPr>
        <w:t xml:space="preserve">  </w:t>
      </w:r>
      <w:r w:rsidR="00152B90" w:rsidRPr="0029160A">
        <w:rPr>
          <w:color w:val="000000" w:themeColor="text1"/>
        </w:rPr>
        <w:t xml:space="preserve">Accordingly, the ALJs did not utilize the Comparable Earnings Method or the Risk Premium Method.  R.D. at 80.  </w:t>
      </w:r>
    </w:p>
    <w:p w14:paraId="501DC4CA" w14:textId="77777777" w:rsidR="002B3343" w:rsidRPr="0029160A" w:rsidRDefault="002B3343">
      <w:pPr>
        <w:widowControl/>
        <w:spacing w:line="360" w:lineRule="auto"/>
        <w:ind w:firstLine="1440"/>
        <w:rPr>
          <w:color w:val="000000" w:themeColor="text1"/>
        </w:rPr>
      </w:pPr>
    </w:p>
    <w:p w14:paraId="21135D1D" w14:textId="2C14B8FA" w:rsidR="002B3343" w:rsidRPr="0029160A" w:rsidRDefault="002B3343">
      <w:pPr>
        <w:widowControl/>
        <w:spacing w:line="360" w:lineRule="auto"/>
        <w:ind w:firstLine="1440"/>
        <w:rPr>
          <w:color w:val="000000" w:themeColor="text1"/>
        </w:rPr>
      </w:pPr>
      <w:r w:rsidRPr="0029160A">
        <w:rPr>
          <w:color w:val="000000" w:themeColor="text1"/>
        </w:rPr>
        <w:t xml:space="preserve">The ALJs explained that the Parties’ average of the mean and median for each Party’s constant growth DCF model produces fairly similar results.  The ALJs </w:t>
      </w:r>
      <w:r w:rsidR="00984331" w:rsidRPr="0029160A">
        <w:rPr>
          <w:color w:val="000000" w:themeColor="text1"/>
        </w:rPr>
        <w:t>averaged the</w:t>
      </w:r>
      <w:r w:rsidRPr="0029160A">
        <w:rPr>
          <w:color w:val="000000" w:themeColor="text1"/>
        </w:rPr>
        <w:t xml:space="preserve"> mean and median for comparison’s sake as two of the parties utilized this method for their DCF recommendation.  The ALJs found that each Party’s Mean and Median DCF result was within 20</w:t>
      </w:r>
      <w:r w:rsidR="007C7206" w:rsidRPr="0029160A">
        <w:rPr>
          <w:color w:val="000000" w:themeColor="text1"/>
        </w:rPr>
        <w:t>-</w:t>
      </w:r>
      <w:r w:rsidRPr="0029160A">
        <w:rPr>
          <w:color w:val="000000" w:themeColor="text1"/>
        </w:rPr>
        <w:t>basis points of each other, so both methodologies produced fairly similar results.  Additionally, the lowest average for I&amp;E was within 24</w:t>
      </w:r>
      <w:r w:rsidR="006F3745" w:rsidRPr="0029160A">
        <w:rPr>
          <w:color w:val="000000" w:themeColor="text1"/>
        </w:rPr>
        <w:noBreakHyphen/>
      </w:r>
      <w:r w:rsidRPr="0029160A">
        <w:rPr>
          <w:color w:val="000000" w:themeColor="text1"/>
        </w:rPr>
        <w:t>basis points of the highest average of the OCA.  Because all Parties’ DCF results were fairly similar and thus appear reasonable, the ALJs selected Wellsboro’s DCF model on the slight strength of the proxy group.  R.D. at 64.</w:t>
      </w:r>
    </w:p>
    <w:p w14:paraId="7EE7F24E" w14:textId="77777777" w:rsidR="002B3343" w:rsidRPr="0029160A" w:rsidRDefault="002B3343">
      <w:pPr>
        <w:widowControl/>
        <w:spacing w:line="360" w:lineRule="auto"/>
        <w:ind w:firstLine="1440"/>
        <w:rPr>
          <w:color w:val="000000" w:themeColor="text1"/>
        </w:rPr>
      </w:pPr>
    </w:p>
    <w:p w14:paraId="23479333" w14:textId="6760DC6E" w:rsidR="00D72D1C" w:rsidRPr="0029160A" w:rsidRDefault="008463A0" w:rsidP="0052404E">
      <w:pPr>
        <w:widowControl/>
        <w:spacing w:line="360" w:lineRule="auto"/>
        <w:ind w:firstLine="1440"/>
        <w:rPr>
          <w:color w:val="000000" w:themeColor="text1"/>
          <w:szCs w:val="26"/>
        </w:rPr>
      </w:pPr>
      <w:r w:rsidRPr="0029160A">
        <w:rPr>
          <w:color w:val="000000" w:themeColor="text1"/>
          <w:szCs w:val="26"/>
        </w:rPr>
        <w:t>The ALJs note</w:t>
      </w:r>
      <w:r w:rsidR="006C6A4D" w:rsidRPr="0029160A">
        <w:rPr>
          <w:color w:val="000000" w:themeColor="text1"/>
          <w:szCs w:val="26"/>
        </w:rPr>
        <w:t>d</w:t>
      </w:r>
      <w:r w:rsidRPr="0029160A">
        <w:rPr>
          <w:color w:val="000000" w:themeColor="text1"/>
          <w:szCs w:val="26"/>
        </w:rPr>
        <w:t xml:space="preserve"> that </w:t>
      </w:r>
      <w:r w:rsidR="003237D3" w:rsidRPr="0029160A">
        <w:rPr>
          <w:color w:val="000000" w:themeColor="text1"/>
          <w:szCs w:val="26"/>
        </w:rPr>
        <w:t xml:space="preserve">the </w:t>
      </w:r>
      <w:r w:rsidRPr="0029160A">
        <w:rPr>
          <w:color w:val="000000" w:themeColor="text1"/>
          <w:szCs w:val="26"/>
        </w:rPr>
        <w:t xml:space="preserve">standalone CAPM ROE analysis </w:t>
      </w:r>
      <w:r w:rsidR="003237D3" w:rsidRPr="0029160A">
        <w:rPr>
          <w:color w:val="000000" w:themeColor="text1"/>
          <w:szCs w:val="26"/>
        </w:rPr>
        <w:t xml:space="preserve">result </w:t>
      </w:r>
      <w:r w:rsidRPr="0029160A">
        <w:rPr>
          <w:color w:val="000000" w:themeColor="text1"/>
          <w:szCs w:val="26"/>
        </w:rPr>
        <w:t>of 8.27% validate</w:t>
      </w:r>
      <w:r w:rsidR="002B3343" w:rsidRPr="0029160A">
        <w:rPr>
          <w:color w:val="000000" w:themeColor="text1"/>
          <w:szCs w:val="26"/>
        </w:rPr>
        <w:t>d</w:t>
      </w:r>
      <w:r w:rsidRPr="0029160A">
        <w:rPr>
          <w:color w:val="000000" w:themeColor="text1"/>
          <w:szCs w:val="26"/>
        </w:rPr>
        <w:t xml:space="preserve"> the standalone DCF COE analysis</w:t>
      </w:r>
      <w:r w:rsidR="003237D3" w:rsidRPr="0029160A">
        <w:rPr>
          <w:color w:val="000000" w:themeColor="text1"/>
          <w:szCs w:val="26"/>
        </w:rPr>
        <w:t xml:space="preserve"> estimate</w:t>
      </w:r>
      <w:r w:rsidRPr="0029160A">
        <w:rPr>
          <w:color w:val="000000" w:themeColor="text1"/>
          <w:szCs w:val="26"/>
        </w:rPr>
        <w:t xml:space="preserve">, also 8.27%.  R.D. at 67.  </w:t>
      </w:r>
    </w:p>
    <w:p w14:paraId="0BE6BE8F" w14:textId="77777777" w:rsidR="00D72D1C" w:rsidRPr="0029160A" w:rsidRDefault="00D72D1C" w:rsidP="0052404E">
      <w:pPr>
        <w:widowControl/>
        <w:spacing w:line="360" w:lineRule="auto"/>
        <w:rPr>
          <w:color w:val="000000" w:themeColor="text1"/>
          <w:szCs w:val="26"/>
        </w:rPr>
      </w:pPr>
    </w:p>
    <w:p w14:paraId="2E291BD0" w14:textId="77777777" w:rsidR="00D72D1C" w:rsidRPr="0029160A" w:rsidRDefault="00312B42" w:rsidP="00CB0B2E">
      <w:pPr>
        <w:pStyle w:val="Heading4"/>
        <w:keepNext/>
        <w:keepLines/>
        <w:ind w:hanging="720"/>
        <w:contextualSpacing w:val="0"/>
        <w:rPr>
          <w:color w:val="000000" w:themeColor="text1"/>
        </w:rPr>
      </w:pPr>
      <w:bookmarkStart w:id="127" w:name="_Toc38951797"/>
      <w:r w:rsidRPr="0029160A">
        <w:rPr>
          <w:color w:val="000000" w:themeColor="text1"/>
        </w:rPr>
        <w:t>Wellsboro Exception No. 7 and Replies</w:t>
      </w:r>
      <w:bookmarkEnd w:id="127"/>
    </w:p>
    <w:p w14:paraId="7A1CC650" w14:textId="77777777" w:rsidR="00D72D1C" w:rsidRPr="0029160A" w:rsidRDefault="00D72D1C" w:rsidP="0052404E">
      <w:pPr>
        <w:keepNext/>
        <w:keepLines/>
        <w:widowControl/>
        <w:spacing w:line="360" w:lineRule="auto"/>
        <w:rPr>
          <w:color w:val="000000" w:themeColor="text1"/>
          <w:szCs w:val="26"/>
        </w:rPr>
      </w:pPr>
    </w:p>
    <w:p w14:paraId="3CF0DD67" w14:textId="2F109491" w:rsidR="002D0B84" w:rsidRPr="0029160A" w:rsidRDefault="00905712" w:rsidP="0052404E">
      <w:pPr>
        <w:widowControl/>
        <w:spacing w:line="360" w:lineRule="auto"/>
        <w:ind w:firstLine="1440"/>
        <w:contextualSpacing/>
        <w:rPr>
          <w:color w:val="000000" w:themeColor="text1"/>
          <w:szCs w:val="26"/>
        </w:rPr>
      </w:pPr>
      <w:r w:rsidRPr="0029160A">
        <w:rPr>
          <w:color w:val="000000" w:themeColor="text1"/>
          <w:szCs w:val="26"/>
        </w:rPr>
        <w:t xml:space="preserve">In Wellsboro Exception No. 7, Wellsboro states </w:t>
      </w:r>
      <w:r w:rsidR="00E457AD" w:rsidRPr="0029160A">
        <w:rPr>
          <w:color w:val="000000" w:themeColor="text1"/>
          <w:szCs w:val="26"/>
        </w:rPr>
        <w:t xml:space="preserve">that </w:t>
      </w:r>
      <w:r w:rsidRPr="0029160A">
        <w:rPr>
          <w:color w:val="000000" w:themeColor="text1"/>
          <w:szCs w:val="26"/>
        </w:rPr>
        <w:t xml:space="preserve">the ALJs erred by declining to consider multiple methods to establish the </w:t>
      </w:r>
      <w:r w:rsidR="004A355C" w:rsidRPr="0029160A">
        <w:rPr>
          <w:color w:val="000000" w:themeColor="text1"/>
          <w:szCs w:val="26"/>
        </w:rPr>
        <w:t>C</w:t>
      </w:r>
      <w:r w:rsidRPr="0029160A">
        <w:rPr>
          <w:color w:val="000000" w:themeColor="text1"/>
          <w:szCs w:val="26"/>
        </w:rPr>
        <w:t xml:space="preserve">OE where data shows DCF results to be unreliable based on a market-to-book analysis.  Wellsboro contends that credible record evidence in this case demonstrates that primary reliance on the DCF method in the current market conditions will understate the ROE.  </w:t>
      </w:r>
      <w:r w:rsidR="004A355C" w:rsidRPr="0029160A">
        <w:rPr>
          <w:color w:val="000000" w:themeColor="text1"/>
          <w:szCs w:val="26"/>
        </w:rPr>
        <w:t>Wellsboro urges t</w:t>
      </w:r>
      <w:r w:rsidRPr="0029160A">
        <w:rPr>
          <w:color w:val="000000" w:themeColor="text1"/>
          <w:szCs w:val="26"/>
        </w:rPr>
        <w:t>he Commission</w:t>
      </w:r>
      <w:r w:rsidR="004A355C" w:rsidRPr="0029160A">
        <w:rPr>
          <w:color w:val="000000" w:themeColor="text1"/>
          <w:szCs w:val="26"/>
        </w:rPr>
        <w:t xml:space="preserve"> to</w:t>
      </w:r>
      <w:r w:rsidRPr="0029160A">
        <w:rPr>
          <w:color w:val="000000" w:themeColor="text1"/>
          <w:szCs w:val="26"/>
        </w:rPr>
        <w:t xml:space="preserve"> consider </w:t>
      </w:r>
      <w:r w:rsidR="004A355C" w:rsidRPr="0029160A">
        <w:rPr>
          <w:color w:val="000000" w:themeColor="text1"/>
          <w:szCs w:val="26"/>
        </w:rPr>
        <w:t>such</w:t>
      </w:r>
      <w:r w:rsidRPr="0029160A">
        <w:rPr>
          <w:color w:val="000000" w:themeColor="text1"/>
          <w:szCs w:val="26"/>
        </w:rPr>
        <w:t xml:space="preserve"> evidence and incorporate the multiple models presented by the Company’s rate of return witness, Mr. D’Ascendis, in determining the appropriate ROE for the Company. Wellsboro Exc. at 15-19</w:t>
      </w:r>
      <w:r w:rsidR="002D0B84" w:rsidRPr="0029160A">
        <w:rPr>
          <w:color w:val="000000" w:themeColor="text1"/>
          <w:szCs w:val="26"/>
        </w:rPr>
        <w:t xml:space="preserve"> (citing </w:t>
      </w:r>
      <w:r w:rsidRPr="0029160A">
        <w:rPr>
          <w:color w:val="000000" w:themeColor="text1"/>
          <w:szCs w:val="26"/>
        </w:rPr>
        <w:t>R.D. at 54; Wellsboro M.B. at</w:t>
      </w:r>
      <w:r w:rsidR="0052404E" w:rsidRPr="0029160A">
        <w:rPr>
          <w:color w:val="000000" w:themeColor="text1"/>
          <w:szCs w:val="26"/>
        </w:rPr>
        <w:t> </w:t>
      </w:r>
      <w:r w:rsidRPr="0029160A">
        <w:rPr>
          <w:color w:val="000000" w:themeColor="text1"/>
          <w:szCs w:val="26"/>
        </w:rPr>
        <w:t>6</w:t>
      </w:r>
      <w:r w:rsidR="00761999" w:rsidRPr="0029160A">
        <w:rPr>
          <w:color w:val="000000" w:themeColor="text1"/>
          <w:szCs w:val="26"/>
        </w:rPr>
        <w:t>0</w:t>
      </w:r>
      <w:r w:rsidRPr="0029160A">
        <w:rPr>
          <w:color w:val="000000" w:themeColor="text1"/>
          <w:szCs w:val="26"/>
        </w:rPr>
        <w:t xml:space="preserve">-70, 79, 90-91).  </w:t>
      </w:r>
    </w:p>
    <w:p w14:paraId="7F6A9972" w14:textId="77777777" w:rsidR="002D0B84" w:rsidRPr="0029160A" w:rsidRDefault="002D0B84">
      <w:pPr>
        <w:widowControl/>
        <w:spacing w:line="360" w:lineRule="auto"/>
        <w:ind w:firstLine="1440"/>
        <w:contextualSpacing/>
        <w:rPr>
          <w:color w:val="000000" w:themeColor="text1"/>
          <w:szCs w:val="26"/>
        </w:rPr>
      </w:pPr>
    </w:p>
    <w:p w14:paraId="378DB33C" w14:textId="77777777" w:rsidR="00905712" w:rsidRPr="0029160A" w:rsidRDefault="00E457AD">
      <w:pPr>
        <w:widowControl/>
        <w:spacing w:line="360" w:lineRule="auto"/>
        <w:ind w:firstLine="1440"/>
        <w:contextualSpacing/>
        <w:rPr>
          <w:color w:val="000000" w:themeColor="text1"/>
          <w:szCs w:val="26"/>
        </w:rPr>
      </w:pPr>
      <w:r w:rsidRPr="0029160A">
        <w:rPr>
          <w:color w:val="000000" w:themeColor="text1"/>
          <w:szCs w:val="26"/>
        </w:rPr>
        <w:lastRenderedPageBreak/>
        <w:t>Wellsboro emphasizes that</w:t>
      </w:r>
      <w:r w:rsidR="0028585F" w:rsidRPr="0029160A">
        <w:rPr>
          <w:color w:val="000000" w:themeColor="text1"/>
          <w:szCs w:val="26"/>
        </w:rPr>
        <w:t xml:space="preserve">, in the </w:t>
      </w:r>
      <w:r w:rsidR="0028585F" w:rsidRPr="0029160A">
        <w:rPr>
          <w:i/>
          <w:iCs/>
          <w:color w:val="000000" w:themeColor="text1"/>
          <w:szCs w:val="26"/>
        </w:rPr>
        <w:t>UGI Order</w:t>
      </w:r>
      <w:r w:rsidR="0028585F" w:rsidRPr="0029160A">
        <w:rPr>
          <w:color w:val="000000" w:themeColor="text1"/>
          <w:szCs w:val="26"/>
        </w:rPr>
        <w:t>,</w:t>
      </w:r>
      <w:r w:rsidRPr="0029160A">
        <w:rPr>
          <w:color w:val="000000" w:themeColor="text1"/>
          <w:szCs w:val="26"/>
        </w:rPr>
        <w:t xml:space="preserve"> t</w:t>
      </w:r>
      <w:r w:rsidR="00905712" w:rsidRPr="0029160A">
        <w:rPr>
          <w:color w:val="000000" w:themeColor="text1"/>
          <w:szCs w:val="26"/>
        </w:rPr>
        <w:t>he Commission stated that “where evidence based on other cost of equity methods indicates that the DCF-only results may understate the utility’s current cost of equity capital</w:t>
      </w:r>
      <w:r w:rsidR="0028585F" w:rsidRPr="0029160A">
        <w:rPr>
          <w:color w:val="000000" w:themeColor="text1"/>
          <w:szCs w:val="26"/>
        </w:rPr>
        <w:t>,</w:t>
      </w:r>
      <w:r w:rsidR="00905712" w:rsidRPr="0029160A">
        <w:rPr>
          <w:color w:val="000000" w:themeColor="text1"/>
          <w:szCs w:val="26"/>
        </w:rPr>
        <w:t xml:space="preserve">” </w:t>
      </w:r>
      <w:r w:rsidR="0028585F" w:rsidRPr="0029160A">
        <w:rPr>
          <w:color w:val="000000" w:themeColor="text1"/>
          <w:szCs w:val="26"/>
        </w:rPr>
        <w:t>it</w:t>
      </w:r>
      <w:r w:rsidR="00905712" w:rsidRPr="0029160A">
        <w:rPr>
          <w:color w:val="000000" w:themeColor="text1"/>
          <w:szCs w:val="26"/>
        </w:rPr>
        <w:t xml:space="preserve"> “will consider those other methods, to some degree, in evaluating the appropriate range of reasonableness for [an] equity return determination.” </w:t>
      </w:r>
      <w:r w:rsidR="002D0B84" w:rsidRPr="0029160A">
        <w:rPr>
          <w:color w:val="000000" w:themeColor="text1"/>
          <w:szCs w:val="26"/>
        </w:rPr>
        <w:t xml:space="preserve"> Wellsboro Exc. at 16 (citing </w:t>
      </w:r>
      <w:r w:rsidR="002D0B84" w:rsidRPr="0029160A">
        <w:rPr>
          <w:i/>
          <w:iCs/>
          <w:color w:val="000000" w:themeColor="text1"/>
          <w:szCs w:val="26"/>
        </w:rPr>
        <w:t>UGI Order</w:t>
      </w:r>
      <w:r w:rsidR="002D0B84" w:rsidRPr="0029160A">
        <w:rPr>
          <w:color w:val="000000" w:themeColor="text1"/>
          <w:szCs w:val="26"/>
        </w:rPr>
        <w:t xml:space="preserve"> at 104-105).  </w:t>
      </w:r>
      <w:r w:rsidR="00905712" w:rsidRPr="0029160A">
        <w:rPr>
          <w:color w:val="000000" w:themeColor="text1"/>
          <w:szCs w:val="26"/>
        </w:rPr>
        <w:t>The Company argues that the</w:t>
      </w:r>
      <w:r w:rsidR="0028585F" w:rsidRPr="0029160A">
        <w:rPr>
          <w:color w:val="000000" w:themeColor="text1"/>
          <w:szCs w:val="26"/>
        </w:rPr>
        <w:t xml:space="preserve">se comments </w:t>
      </w:r>
      <w:r w:rsidR="00905712" w:rsidRPr="0029160A">
        <w:rPr>
          <w:color w:val="000000" w:themeColor="text1"/>
          <w:szCs w:val="26"/>
        </w:rPr>
        <w:t>support its position because they clarify that while the DCF method is preferred, other methods will be considered where reliance on the DCF method would lead to unreasonable results.</w:t>
      </w:r>
      <w:r w:rsidR="0094308F" w:rsidRPr="0029160A">
        <w:rPr>
          <w:color w:val="000000" w:themeColor="text1"/>
          <w:szCs w:val="26"/>
        </w:rPr>
        <w:t xml:space="preserve">  </w:t>
      </w:r>
      <w:r w:rsidR="002D0B84" w:rsidRPr="0029160A">
        <w:rPr>
          <w:color w:val="000000" w:themeColor="text1"/>
          <w:szCs w:val="26"/>
        </w:rPr>
        <w:t>Wellsboro Exc. at 16.</w:t>
      </w:r>
      <w:r w:rsidR="00905712" w:rsidRPr="0029160A">
        <w:rPr>
          <w:color w:val="000000" w:themeColor="text1"/>
          <w:szCs w:val="26"/>
        </w:rPr>
        <w:t xml:space="preserve"> </w:t>
      </w:r>
      <w:r w:rsidR="002D0B84" w:rsidRPr="0029160A">
        <w:rPr>
          <w:color w:val="000000" w:themeColor="text1"/>
          <w:szCs w:val="26"/>
        </w:rPr>
        <w:t xml:space="preserve"> </w:t>
      </w:r>
    </w:p>
    <w:p w14:paraId="5221D259" w14:textId="77777777" w:rsidR="00905712" w:rsidRPr="0029160A" w:rsidRDefault="00905712">
      <w:pPr>
        <w:widowControl/>
        <w:spacing w:line="360" w:lineRule="auto"/>
        <w:ind w:firstLine="1440"/>
        <w:contextualSpacing/>
        <w:rPr>
          <w:color w:val="000000" w:themeColor="text1"/>
          <w:szCs w:val="26"/>
        </w:rPr>
      </w:pPr>
    </w:p>
    <w:p w14:paraId="768F7A18" w14:textId="77777777" w:rsidR="00EB590D" w:rsidRPr="0029160A" w:rsidRDefault="00905712">
      <w:pPr>
        <w:widowControl/>
        <w:spacing w:line="360" w:lineRule="auto"/>
        <w:ind w:firstLine="1440"/>
        <w:contextualSpacing/>
        <w:rPr>
          <w:color w:val="000000" w:themeColor="text1"/>
          <w:szCs w:val="26"/>
        </w:rPr>
      </w:pPr>
      <w:r w:rsidRPr="0029160A">
        <w:rPr>
          <w:color w:val="000000" w:themeColor="text1"/>
          <w:szCs w:val="26"/>
        </w:rPr>
        <w:t xml:space="preserve">Here, </w:t>
      </w:r>
      <w:r w:rsidR="004A355C" w:rsidRPr="0029160A">
        <w:rPr>
          <w:color w:val="000000" w:themeColor="text1"/>
          <w:szCs w:val="26"/>
        </w:rPr>
        <w:t xml:space="preserve">Wellsboro emphasizes that </w:t>
      </w:r>
      <w:r w:rsidRPr="0029160A">
        <w:rPr>
          <w:color w:val="000000" w:themeColor="text1"/>
          <w:szCs w:val="26"/>
        </w:rPr>
        <w:t xml:space="preserve">the record presents evidence that relying on the DCF method understates the </w:t>
      </w:r>
      <w:r w:rsidR="004A355C" w:rsidRPr="0029160A">
        <w:rPr>
          <w:color w:val="000000" w:themeColor="text1"/>
          <w:szCs w:val="26"/>
        </w:rPr>
        <w:t>ROE</w:t>
      </w:r>
      <w:r w:rsidRPr="0029160A">
        <w:rPr>
          <w:color w:val="000000" w:themeColor="text1"/>
          <w:szCs w:val="26"/>
        </w:rPr>
        <w:t xml:space="preserve"> for the Company.  Specifically, Mr. D’Ascendis testified that the DCF model assumes a market-to-book ratio of unity (1.0), which means that the model will overstate or understate the required ROE if the actual market-to-book value of the proxy group deviates from 1.0. </w:t>
      </w:r>
      <w:r w:rsidR="00EB590D" w:rsidRPr="0029160A">
        <w:rPr>
          <w:color w:val="000000" w:themeColor="text1"/>
          <w:szCs w:val="26"/>
        </w:rPr>
        <w:t xml:space="preserve"> This</w:t>
      </w:r>
      <w:r w:rsidR="004A355C" w:rsidRPr="0029160A">
        <w:rPr>
          <w:color w:val="000000" w:themeColor="text1"/>
          <w:szCs w:val="26"/>
        </w:rPr>
        <w:t xml:space="preserve"> result</w:t>
      </w:r>
      <w:r w:rsidR="00EB590D" w:rsidRPr="0029160A">
        <w:rPr>
          <w:color w:val="000000" w:themeColor="text1"/>
          <w:szCs w:val="26"/>
        </w:rPr>
        <w:t xml:space="preserve"> is due to incongruent methods by which investors and regulators assess value; investors evaluate returns based on market value, while regulators authorize returns based on book value.  This effect is mitigated when the market-to-book ratio is at or close to 1.0.</w:t>
      </w:r>
      <w:r w:rsidRPr="0029160A">
        <w:rPr>
          <w:color w:val="000000" w:themeColor="text1"/>
          <w:szCs w:val="26"/>
        </w:rPr>
        <w:t xml:space="preserve"> </w:t>
      </w:r>
      <w:r w:rsidR="002D0B84" w:rsidRPr="0029160A">
        <w:rPr>
          <w:color w:val="000000" w:themeColor="text1"/>
          <w:szCs w:val="26"/>
        </w:rPr>
        <w:t xml:space="preserve"> Wellsboro Exc. at 17 (citing Wellsboro M.B. at 69).</w:t>
      </w:r>
    </w:p>
    <w:p w14:paraId="794BDBC8" w14:textId="77777777" w:rsidR="00EB590D" w:rsidRPr="0029160A" w:rsidRDefault="00EB590D">
      <w:pPr>
        <w:widowControl/>
        <w:spacing w:line="360" w:lineRule="auto"/>
        <w:ind w:firstLine="1440"/>
        <w:contextualSpacing/>
        <w:rPr>
          <w:color w:val="000000" w:themeColor="text1"/>
          <w:szCs w:val="26"/>
        </w:rPr>
      </w:pPr>
    </w:p>
    <w:p w14:paraId="6E3B8B9A" w14:textId="06662E55" w:rsidR="00905712" w:rsidRPr="0029160A" w:rsidRDefault="00905712" w:rsidP="00395940">
      <w:pPr>
        <w:widowControl/>
        <w:spacing w:line="360" w:lineRule="auto"/>
        <w:ind w:firstLine="1440"/>
        <w:contextualSpacing/>
        <w:rPr>
          <w:color w:val="000000" w:themeColor="text1"/>
          <w:szCs w:val="26"/>
        </w:rPr>
      </w:pPr>
      <w:r w:rsidRPr="0029160A">
        <w:rPr>
          <w:color w:val="000000" w:themeColor="text1"/>
          <w:szCs w:val="26"/>
        </w:rPr>
        <w:t>Here,</w:t>
      </w:r>
      <w:r w:rsidR="00EB590D" w:rsidRPr="0029160A">
        <w:rPr>
          <w:color w:val="000000" w:themeColor="text1"/>
          <w:szCs w:val="26"/>
        </w:rPr>
        <w:t xml:space="preserve"> however,</w:t>
      </w:r>
      <w:r w:rsidRPr="0029160A">
        <w:rPr>
          <w:color w:val="000000" w:themeColor="text1"/>
          <w:szCs w:val="26"/>
        </w:rPr>
        <w:t xml:space="preserve"> </w:t>
      </w:r>
      <w:r w:rsidR="00EB590D" w:rsidRPr="0029160A">
        <w:rPr>
          <w:color w:val="000000" w:themeColor="text1"/>
          <w:szCs w:val="26"/>
        </w:rPr>
        <w:t>Mr. D’Ascen</w:t>
      </w:r>
      <w:r w:rsidR="004A355C" w:rsidRPr="0029160A">
        <w:rPr>
          <w:color w:val="000000" w:themeColor="text1"/>
          <w:szCs w:val="26"/>
        </w:rPr>
        <w:t>d</w:t>
      </w:r>
      <w:r w:rsidR="00EB590D" w:rsidRPr="0029160A">
        <w:rPr>
          <w:color w:val="000000" w:themeColor="text1"/>
          <w:szCs w:val="26"/>
        </w:rPr>
        <w:t xml:space="preserve">is’ analysis showed that </w:t>
      </w:r>
      <w:r w:rsidRPr="0029160A">
        <w:rPr>
          <w:color w:val="000000" w:themeColor="text1"/>
          <w:szCs w:val="26"/>
        </w:rPr>
        <w:t xml:space="preserve">the combined I&amp;E and </w:t>
      </w:r>
      <w:r w:rsidR="00301601" w:rsidRPr="0029160A">
        <w:rPr>
          <w:color w:val="000000" w:themeColor="text1"/>
          <w:szCs w:val="26"/>
        </w:rPr>
        <w:t xml:space="preserve">the </w:t>
      </w:r>
      <w:r w:rsidRPr="0029160A">
        <w:rPr>
          <w:color w:val="000000" w:themeColor="text1"/>
          <w:szCs w:val="26"/>
        </w:rPr>
        <w:t xml:space="preserve">OCA electric utility proxy groups </w:t>
      </w:r>
      <w:r w:rsidR="00EB590D" w:rsidRPr="0029160A">
        <w:rPr>
          <w:color w:val="000000" w:themeColor="text1"/>
          <w:szCs w:val="26"/>
        </w:rPr>
        <w:t xml:space="preserve">has </w:t>
      </w:r>
      <w:r w:rsidRPr="0029160A">
        <w:rPr>
          <w:color w:val="000000" w:themeColor="text1"/>
          <w:szCs w:val="26"/>
        </w:rPr>
        <w:t>significantly exceeded the 1.65 ten-year average and th</w:t>
      </w:r>
      <w:r w:rsidR="00EB590D" w:rsidRPr="0029160A">
        <w:rPr>
          <w:color w:val="000000" w:themeColor="text1"/>
          <w:szCs w:val="26"/>
        </w:rPr>
        <w:t>at the current</w:t>
      </w:r>
      <w:r w:rsidRPr="0029160A">
        <w:rPr>
          <w:color w:val="000000" w:themeColor="text1"/>
          <w:szCs w:val="26"/>
        </w:rPr>
        <w:t xml:space="preserve"> market-to-book ratio since 2018 more than doubles 1.0.</w:t>
      </w:r>
      <w:r w:rsidR="004A355C" w:rsidRPr="0029160A">
        <w:rPr>
          <w:color w:val="000000" w:themeColor="text1"/>
          <w:szCs w:val="26"/>
        </w:rPr>
        <w:t xml:space="preserve">  Wellsboro submits that </w:t>
      </w:r>
      <w:r w:rsidR="00EB590D" w:rsidRPr="0029160A">
        <w:rPr>
          <w:color w:val="000000" w:themeColor="text1"/>
          <w:szCs w:val="26"/>
        </w:rPr>
        <w:t>Mr. D’Ascendis provided extensive supporting evidence corroborating his finding.  First, he provided his review of financial literature corroborating his findings.  Further, he demonstrated the unreasonable results through a separate analysis</w:t>
      </w:r>
      <w:r w:rsidR="002D0B84" w:rsidRPr="0029160A">
        <w:rPr>
          <w:color w:val="000000" w:themeColor="text1"/>
          <w:szCs w:val="26"/>
        </w:rPr>
        <w:t xml:space="preserve"> applying the I&amp;E and the OCA cost rates to book value instead of market value, which reduced the I&amp;E and </w:t>
      </w:r>
      <w:r w:rsidR="00301601" w:rsidRPr="0029160A">
        <w:rPr>
          <w:color w:val="000000" w:themeColor="text1"/>
          <w:szCs w:val="26"/>
        </w:rPr>
        <w:t xml:space="preserve">the </w:t>
      </w:r>
      <w:r w:rsidR="002D0B84" w:rsidRPr="0029160A">
        <w:rPr>
          <w:color w:val="000000" w:themeColor="text1"/>
          <w:szCs w:val="26"/>
        </w:rPr>
        <w:t>OCA growth rates (from 4.69% and 5.15% at market value, to just 0.23% and 0.81% at book value, respectively)</w:t>
      </w:r>
      <w:r w:rsidR="00EB590D" w:rsidRPr="0029160A">
        <w:rPr>
          <w:color w:val="000000" w:themeColor="text1"/>
          <w:szCs w:val="26"/>
        </w:rPr>
        <w:t xml:space="preserve">.  Finally, </w:t>
      </w:r>
      <w:r w:rsidR="004A355C" w:rsidRPr="0029160A">
        <w:rPr>
          <w:color w:val="000000" w:themeColor="text1"/>
          <w:szCs w:val="26"/>
        </w:rPr>
        <w:t>Mr. D’Ascendis</w:t>
      </w:r>
      <w:r w:rsidR="00EB590D" w:rsidRPr="0029160A">
        <w:rPr>
          <w:color w:val="000000" w:themeColor="text1"/>
          <w:szCs w:val="26"/>
        </w:rPr>
        <w:t xml:space="preserve"> ran the I&amp;E and</w:t>
      </w:r>
      <w:r w:rsidR="004A355C" w:rsidRPr="0029160A">
        <w:rPr>
          <w:color w:val="000000" w:themeColor="text1"/>
          <w:szCs w:val="26"/>
        </w:rPr>
        <w:t xml:space="preserve"> the</w:t>
      </w:r>
      <w:r w:rsidR="00EB590D" w:rsidRPr="0029160A">
        <w:rPr>
          <w:color w:val="000000" w:themeColor="text1"/>
          <w:szCs w:val="26"/>
        </w:rPr>
        <w:t xml:space="preserve"> OCA DCF models with a book value capital structure, </w:t>
      </w:r>
      <w:r w:rsidR="00EB590D" w:rsidRPr="0029160A">
        <w:rPr>
          <w:color w:val="000000" w:themeColor="text1"/>
          <w:szCs w:val="26"/>
        </w:rPr>
        <w:lastRenderedPageBreak/>
        <w:t>which increased the respective ROEs by over 100</w:t>
      </w:r>
      <w:r w:rsidR="007C7206" w:rsidRPr="0029160A">
        <w:rPr>
          <w:color w:val="000000" w:themeColor="text1"/>
          <w:szCs w:val="26"/>
        </w:rPr>
        <w:t>-</w:t>
      </w:r>
      <w:r w:rsidR="00EB590D" w:rsidRPr="0029160A">
        <w:rPr>
          <w:color w:val="000000" w:themeColor="text1"/>
          <w:szCs w:val="26"/>
        </w:rPr>
        <w:t xml:space="preserve">basis points (from 8.10% to 9.19% </w:t>
      </w:r>
      <w:r w:rsidR="004A355C" w:rsidRPr="0029160A">
        <w:rPr>
          <w:color w:val="000000" w:themeColor="text1"/>
          <w:szCs w:val="26"/>
        </w:rPr>
        <w:t xml:space="preserve">and </w:t>
      </w:r>
      <w:r w:rsidR="00EB590D" w:rsidRPr="0029160A">
        <w:rPr>
          <w:color w:val="000000" w:themeColor="text1"/>
          <w:szCs w:val="26"/>
        </w:rPr>
        <w:t>from 8.38% to 9.45%</w:t>
      </w:r>
      <w:r w:rsidR="004A355C" w:rsidRPr="0029160A">
        <w:rPr>
          <w:color w:val="000000" w:themeColor="text1"/>
          <w:szCs w:val="26"/>
        </w:rPr>
        <w:t>, respectively</w:t>
      </w:r>
      <w:r w:rsidR="00EB590D" w:rsidRPr="0029160A">
        <w:rPr>
          <w:color w:val="000000" w:themeColor="text1"/>
          <w:szCs w:val="26"/>
        </w:rPr>
        <w:t>).</w:t>
      </w:r>
      <w:r w:rsidR="002D0B84" w:rsidRPr="0029160A">
        <w:rPr>
          <w:color w:val="000000" w:themeColor="text1"/>
          <w:szCs w:val="26"/>
        </w:rPr>
        <w:t xml:space="preserve">  Wellsboro Exc. at 16-18 (citing Wellsboro M.B. at</w:t>
      </w:r>
      <w:r w:rsidR="000900C1" w:rsidRPr="0029160A">
        <w:rPr>
          <w:color w:val="000000" w:themeColor="text1"/>
          <w:szCs w:val="26"/>
        </w:rPr>
        <w:t> </w:t>
      </w:r>
      <w:r w:rsidR="002D0B84" w:rsidRPr="0029160A">
        <w:rPr>
          <w:color w:val="000000" w:themeColor="text1"/>
          <w:szCs w:val="26"/>
        </w:rPr>
        <w:t>69-70).</w:t>
      </w:r>
    </w:p>
    <w:p w14:paraId="7D678E33" w14:textId="77777777" w:rsidR="002D0B84" w:rsidRPr="0029160A" w:rsidRDefault="002D0B84" w:rsidP="00395940">
      <w:pPr>
        <w:widowControl/>
        <w:spacing w:line="360" w:lineRule="auto"/>
        <w:ind w:firstLine="1440"/>
        <w:contextualSpacing/>
        <w:rPr>
          <w:color w:val="000000" w:themeColor="text1"/>
          <w:szCs w:val="26"/>
        </w:rPr>
      </w:pPr>
    </w:p>
    <w:p w14:paraId="08C73317" w14:textId="10ADD104" w:rsidR="002D0B84" w:rsidRPr="0029160A" w:rsidRDefault="004A355C" w:rsidP="00395940">
      <w:pPr>
        <w:widowControl/>
        <w:spacing w:line="360" w:lineRule="auto"/>
        <w:ind w:firstLine="1440"/>
        <w:contextualSpacing/>
        <w:rPr>
          <w:color w:val="000000" w:themeColor="text1"/>
          <w:szCs w:val="26"/>
        </w:rPr>
      </w:pPr>
      <w:r w:rsidRPr="0029160A">
        <w:rPr>
          <w:color w:val="000000" w:themeColor="text1"/>
          <w:szCs w:val="26"/>
        </w:rPr>
        <w:t>Wellsboro submits that w</w:t>
      </w:r>
      <w:r w:rsidR="002D0B84" w:rsidRPr="0029160A">
        <w:rPr>
          <w:color w:val="000000" w:themeColor="text1"/>
          <w:szCs w:val="26"/>
        </w:rPr>
        <w:t xml:space="preserve">hile the R.D. partially addresses the shortcomings of the I&amp;E and </w:t>
      </w:r>
      <w:r w:rsidRPr="0029160A">
        <w:rPr>
          <w:color w:val="000000" w:themeColor="text1"/>
          <w:szCs w:val="26"/>
        </w:rPr>
        <w:t xml:space="preserve">the </w:t>
      </w:r>
      <w:r w:rsidR="002D0B84" w:rsidRPr="0029160A">
        <w:rPr>
          <w:color w:val="000000" w:themeColor="text1"/>
          <w:szCs w:val="26"/>
        </w:rPr>
        <w:t>OCA ROE recommendations by establishing the recommended ROE at the high end of a standard deviation range based on the average of Wellsboro</w:t>
      </w:r>
      <w:r w:rsidR="00756EB0" w:rsidRPr="0029160A">
        <w:rPr>
          <w:color w:val="000000" w:themeColor="text1"/>
          <w:szCs w:val="26"/>
        </w:rPr>
        <w:t>’</w:t>
      </w:r>
      <w:r w:rsidR="002D0B84" w:rsidRPr="0029160A">
        <w:rPr>
          <w:color w:val="000000" w:themeColor="text1"/>
          <w:szCs w:val="26"/>
        </w:rPr>
        <w:t>s mean and median constant growth DCF results, the R.D. justified this recommendation as reflecting a size adjustment, rather than reflecting an adjustment due to understated DCF results.</w:t>
      </w:r>
      <w:r w:rsidR="00301601" w:rsidRPr="0029160A">
        <w:rPr>
          <w:color w:val="000000" w:themeColor="text1"/>
          <w:szCs w:val="26"/>
        </w:rPr>
        <w:t xml:space="preserve">  </w:t>
      </w:r>
      <w:r w:rsidR="002D0B84" w:rsidRPr="0029160A">
        <w:rPr>
          <w:color w:val="000000" w:themeColor="text1"/>
          <w:szCs w:val="26"/>
        </w:rPr>
        <w:t>Wellsboro Exc. at</w:t>
      </w:r>
      <w:r w:rsidR="00301601" w:rsidRPr="0029160A">
        <w:rPr>
          <w:color w:val="000000" w:themeColor="text1"/>
          <w:szCs w:val="26"/>
        </w:rPr>
        <w:t xml:space="preserve"> </w:t>
      </w:r>
      <w:r w:rsidR="002D0B84" w:rsidRPr="0029160A">
        <w:rPr>
          <w:color w:val="000000" w:themeColor="text1"/>
          <w:szCs w:val="26"/>
        </w:rPr>
        <w:t xml:space="preserve">18 (citing R.D. at 76). </w:t>
      </w:r>
      <w:r w:rsidRPr="0029160A">
        <w:rPr>
          <w:color w:val="000000" w:themeColor="text1"/>
          <w:szCs w:val="26"/>
        </w:rPr>
        <w:t xml:space="preserve"> </w:t>
      </w:r>
      <w:r w:rsidR="002D0B84" w:rsidRPr="0029160A">
        <w:rPr>
          <w:color w:val="000000" w:themeColor="text1"/>
          <w:szCs w:val="26"/>
        </w:rPr>
        <w:t>As detailed above,</w:t>
      </w:r>
      <w:r w:rsidRPr="0029160A">
        <w:rPr>
          <w:color w:val="000000" w:themeColor="text1"/>
          <w:szCs w:val="26"/>
        </w:rPr>
        <w:t xml:space="preserve"> however,</w:t>
      </w:r>
      <w:r w:rsidR="002D0B84" w:rsidRPr="0029160A">
        <w:rPr>
          <w:color w:val="000000" w:themeColor="text1"/>
          <w:szCs w:val="26"/>
        </w:rPr>
        <w:t xml:space="preserve"> Mr. D</w:t>
      </w:r>
      <w:r w:rsidR="0052404E" w:rsidRPr="0029160A">
        <w:rPr>
          <w:color w:val="000000" w:themeColor="text1"/>
          <w:szCs w:val="26"/>
        </w:rPr>
        <w:t>’</w:t>
      </w:r>
      <w:r w:rsidR="002D0B84" w:rsidRPr="0029160A">
        <w:rPr>
          <w:color w:val="000000" w:themeColor="text1"/>
          <w:szCs w:val="26"/>
        </w:rPr>
        <w:t>Ascendis established the inaccuracy of the DCF model in the current market environment where the market</w:t>
      </w:r>
      <w:r w:rsidR="000D1A49" w:rsidRPr="0029160A">
        <w:rPr>
          <w:color w:val="000000" w:themeColor="text1"/>
          <w:szCs w:val="26"/>
        </w:rPr>
        <w:t>-</w:t>
      </w:r>
      <w:r w:rsidR="002D0B84" w:rsidRPr="0029160A">
        <w:rPr>
          <w:color w:val="000000" w:themeColor="text1"/>
          <w:szCs w:val="26"/>
        </w:rPr>
        <w:t xml:space="preserve">to-book ratio far exceeds unity (1.0). </w:t>
      </w:r>
      <w:r w:rsidRPr="0029160A">
        <w:rPr>
          <w:color w:val="000000" w:themeColor="text1"/>
          <w:szCs w:val="26"/>
        </w:rPr>
        <w:t xml:space="preserve"> </w:t>
      </w:r>
      <w:r w:rsidR="002D0B84" w:rsidRPr="0029160A">
        <w:rPr>
          <w:color w:val="000000" w:themeColor="text1"/>
          <w:szCs w:val="26"/>
        </w:rPr>
        <w:t>While the R.D. does apply the CAPM model as a check on the DCF, it declines to consider the full multiple model analysis proposed by the Company, despite the Commission</w:t>
      </w:r>
      <w:r w:rsidR="008A0755">
        <w:rPr>
          <w:color w:val="000000" w:themeColor="text1"/>
          <w:szCs w:val="26"/>
        </w:rPr>
        <w:t>’</w:t>
      </w:r>
      <w:r w:rsidR="002D0B84" w:rsidRPr="0029160A">
        <w:rPr>
          <w:color w:val="000000" w:themeColor="text1"/>
          <w:szCs w:val="26"/>
        </w:rPr>
        <w:t xml:space="preserve">s indication in the </w:t>
      </w:r>
      <w:r w:rsidR="002D0B84" w:rsidRPr="0029160A">
        <w:rPr>
          <w:i/>
          <w:iCs/>
          <w:color w:val="000000" w:themeColor="text1"/>
          <w:szCs w:val="26"/>
        </w:rPr>
        <w:t>UGI Order</w:t>
      </w:r>
      <w:r w:rsidR="002D0B84" w:rsidRPr="0029160A">
        <w:rPr>
          <w:color w:val="000000" w:themeColor="text1"/>
          <w:szCs w:val="26"/>
        </w:rPr>
        <w:t xml:space="preserve"> that consideration of other models is appropriate in circumstances where the results of such models show the DCF results may be understated. </w:t>
      </w:r>
      <w:r w:rsidRPr="0029160A">
        <w:rPr>
          <w:color w:val="000000" w:themeColor="text1"/>
          <w:szCs w:val="26"/>
        </w:rPr>
        <w:t xml:space="preserve"> </w:t>
      </w:r>
      <w:r w:rsidR="002D0B84" w:rsidRPr="0029160A">
        <w:rPr>
          <w:color w:val="000000" w:themeColor="text1"/>
          <w:szCs w:val="26"/>
        </w:rPr>
        <w:t xml:space="preserve">Wellsboro Exc. at 18 (citing R.D. at 52; </w:t>
      </w:r>
      <w:r w:rsidR="002D0B84" w:rsidRPr="0029160A">
        <w:rPr>
          <w:i/>
          <w:iCs/>
          <w:color w:val="000000" w:themeColor="text1"/>
          <w:szCs w:val="26"/>
        </w:rPr>
        <w:t>but cf</w:t>
      </w:r>
      <w:r w:rsidR="002D0B84" w:rsidRPr="0029160A">
        <w:rPr>
          <w:color w:val="000000" w:themeColor="text1"/>
          <w:szCs w:val="26"/>
        </w:rPr>
        <w:t xml:space="preserve">. Wellsboro M.B. at 68-69). </w:t>
      </w:r>
      <w:r w:rsidRPr="0029160A">
        <w:rPr>
          <w:color w:val="000000" w:themeColor="text1"/>
          <w:szCs w:val="26"/>
        </w:rPr>
        <w:t xml:space="preserve"> Wellsboro submits that t</w:t>
      </w:r>
      <w:r w:rsidR="002D0B84" w:rsidRPr="0029160A">
        <w:rPr>
          <w:color w:val="000000" w:themeColor="text1"/>
          <w:szCs w:val="26"/>
        </w:rPr>
        <w:t xml:space="preserve">he result of this omission </w:t>
      </w:r>
      <w:r w:rsidRPr="0029160A">
        <w:rPr>
          <w:color w:val="000000" w:themeColor="text1"/>
          <w:szCs w:val="26"/>
        </w:rPr>
        <w:t xml:space="preserve">in the R.D. </w:t>
      </w:r>
      <w:r w:rsidR="002D0B84" w:rsidRPr="0029160A">
        <w:rPr>
          <w:color w:val="000000" w:themeColor="text1"/>
          <w:szCs w:val="26"/>
        </w:rPr>
        <w:t>is that the R.D. applies a size adjustment to a base ROE of 8.27</w:t>
      </w:r>
      <w:r w:rsidR="00301601" w:rsidRPr="0029160A">
        <w:rPr>
          <w:color w:val="000000" w:themeColor="text1"/>
          <w:szCs w:val="26"/>
        </w:rPr>
        <w:t>%</w:t>
      </w:r>
      <w:r w:rsidR="002D0B84" w:rsidRPr="0029160A">
        <w:rPr>
          <w:color w:val="000000" w:themeColor="text1"/>
          <w:szCs w:val="26"/>
        </w:rPr>
        <w:t>, where the appropriate result would be to apply the size</w:t>
      </w:r>
      <w:r w:rsidRPr="0029160A">
        <w:rPr>
          <w:color w:val="000000" w:themeColor="text1"/>
          <w:szCs w:val="26"/>
        </w:rPr>
        <w:t xml:space="preserve"> </w:t>
      </w:r>
      <w:r w:rsidR="002D0B84" w:rsidRPr="0029160A">
        <w:rPr>
          <w:color w:val="000000" w:themeColor="text1"/>
          <w:szCs w:val="26"/>
        </w:rPr>
        <w:t>adjustment to the base ROE of 9.05</w:t>
      </w:r>
      <w:r w:rsidR="00301601" w:rsidRPr="0029160A">
        <w:rPr>
          <w:color w:val="000000" w:themeColor="text1"/>
          <w:szCs w:val="26"/>
        </w:rPr>
        <w:t>%</w:t>
      </w:r>
      <w:r w:rsidR="002D0B84" w:rsidRPr="0029160A">
        <w:rPr>
          <w:color w:val="000000" w:themeColor="text1"/>
          <w:szCs w:val="26"/>
        </w:rPr>
        <w:t>, as justified by the multiple model approach proposed by Mr. D</w:t>
      </w:r>
      <w:r w:rsidR="0052404E" w:rsidRPr="0029160A">
        <w:rPr>
          <w:color w:val="000000" w:themeColor="text1"/>
          <w:szCs w:val="26"/>
        </w:rPr>
        <w:t>’</w:t>
      </w:r>
      <w:r w:rsidR="002D0B84" w:rsidRPr="0029160A">
        <w:rPr>
          <w:color w:val="000000" w:themeColor="text1"/>
          <w:szCs w:val="26"/>
        </w:rPr>
        <w:t xml:space="preserve">Ascendis.  Wellsboro Exc. at 18-19 (citing R.D. at 76; </w:t>
      </w:r>
      <w:r w:rsidR="002D0B84" w:rsidRPr="0029160A">
        <w:rPr>
          <w:i/>
          <w:iCs/>
          <w:color w:val="000000" w:themeColor="text1"/>
          <w:szCs w:val="26"/>
        </w:rPr>
        <w:t>but see</w:t>
      </w:r>
      <w:r w:rsidR="002D0B84" w:rsidRPr="0029160A">
        <w:rPr>
          <w:color w:val="000000" w:themeColor="text1"/>
          <w:szCs w:val="26"/>
        </w:rPr>
        <w:t xml:space="preserve"> R.D. at 52-53).</w:t>
      </w:r>
    </w:p>
    <w:p w14:paraId="5CFFB6DF" w14:textId="77777777" w:rsidR="002D0B84" w:rsidRPr="0029160A" w:rsidRDefault="002D0B84">
      <w:pPr>
        <w:widowControl/>
        <w:spacing w:line="360" w:lineRule="auto"/>
        <w:contextualSpacing/>
        <w:rPr>
          <w:color w:val="000000" w:themeColor="text1"/>
          <w:szCs w:val="26"/>
        </w:rPr>
      </w:pPr>
    </w:p>
    <w:p w14:paraId="591767B8" w14:textId="26D976ED" w:rsidR="002D0B84" w:rsidRPr="0029160A" w:rsidRDefault="002D0B84">
      <w:pPr>
        <w:widowControl/>
        <w:spacing w:line="360" w:lineRule="auto"/>
        <w:ind w:firstLine="1440"/>
        <w:contextualSpacing/>
        <w:rPr>
          <w:color w:val="000000" w:themeColor="text1"/>
          <w:szCs w:val="26"/>
        </w:rPr>
      </w:pPr>
      <w:r w:rsidRPr="0029160A">
        <w:rPr>
          <w:color w:val="000000" w:themeColor="text1"/>
          <w:szCs w:val="26"/>
        </w:rPr>
        <w:t>According to Wellsboro, consistent with the above analysis of the market-to-book ratio, each of the alternative analyses developed by Mr. D</w:t>
      </w:r>
      <w:r w:rsidR="0052404E" w:rsidRPr="0029160A">
        <w:rPr>
          <w:color w:val="000000" w:themeColor="text1"/>
          <w:szCs w:val="26"/>
        </w:rPr>
        <w:t>’</w:t>
      </w:r>
      <w:r w:rsidRPr="0029160A">
        <w:rPr>
          <w:color w:val="000000" w:themeColor="text1"/>
          <w:szCs w:val="26"/>
        </w:rPr>
        <w:t>Ascendis show a</w:t>
      </w:r>
      <w:r w:rsidR="00EF0E34" w:rsidRPr="0029160A">
        <w:rPr>
          <w:color w:val="000000" w:themeColor="text1"/>
          <w:szCs w:val="26"/>
        </w:rPr>
        <w:t>n</w:t>
      </w:r>
      <w:r w:rsidRPr="0029160A">
        <w:rPr>
          <w:color w:val="000000" w:themeColor="text1"/>
          <w:szCs w:val="26"/>
        </w:rPr>
        <w:t xml:space="preserve"> ROE higher than the DCF method.  Wellsboro Exc. at 19 (citing R.D. at 52).  These results reinforce the necessity to view DCF results with skepticism when running the model in an environment where market values far exceed book value.  Although the Commission has used the standard deviation range around the DCF results in determining the quarterly Distribution System Improvement Charge (DSIC) ROEs, </w:t>
      </w:r>
      <w:r w:rsidR="009E2291" w:rsidRPr="0029160A">
        <w:rPr>
          <w:color w:val="000000" w:themeColor="text1"/>
          <w:szCs w:val="26"/>
        </w:rPr>
        <w:t xml:space="preserve">Wellsboro </w:t>
      </w:r>
      <w:r w:rsidR="009E2291" w:rsidRPr="0029160A">
        <w:rPr>
          <w:color w:val="000000" w:themeColor="text1"/>
          <w:szCs w:val="26"/>
        </w:rPr>
        <w:lastRenderedPageBreak/>
        <w:t xml:space="preserve">contends </w:t>
      </w:r>
      <w:r w:rsidRPr="0029160A">
        <w:rPr>
          <w:color w:val="000000" w:themeColor="text1"/>
          <w:szCs w:val="26"/>
        </w:rPr>
        <w:t xml:space="preserve">it is more precise to examine and consider multiple models.  </w:t>
      </w:r>
      <w:r w:rsidR="009E2291" w:rsidRPr="0029160A">
        <w:rPr>
          <w:color w:val="000000" w:themeColor="text1"/>
          <w:szCs w:val="26"/>
        </w:rPr>
        <w:t>Wellsboro urges, i</w:t>
      </w:r>
      <w:r w:rsidRPr="0029160A">
        <w:rPr>
          <w:color w:val="000000" w:themeColor="text1"/>
          <w:szCs w:val="26"/>
        </w:rPr>
        <w:t xml:space="preserve">n this environment, </w:t>
      </w:r>
      <w:r w:rsidR="009E2291" w:rsidRPr="0029160A">
        <w:rPr>
          <w:color w:val="000000" w:themeColor="text1"/>
          <w:szCs w:val="26"/>
        </w:rPr>
        <w:t xml:space="preserve">for </w:t>
      </w:r>
      <w:r w:rsidRPr="0029160A">
        <w:rPr>
          <w:color w:val="000000" w:themeColor="text1"/>
          <w:szCs w:val="26"/>
        </w:rPr>
        <w:t xml:space="preserve">the Commission </w:t>
      </w:r>
      <w:r w:rsidR="009E2291" w:rsidRPr="0029160A">
        <w:rPr>
          <w:color w:val="000000" w:themeColor="text1"/>
          <w:szCs w:val="26"/>
        </w:rPr>
        <w:t>to</w:t>
      </w:r>
      <w:r w:rsidRPr="0029160A">
        <w:rPr>
          <w:color w:val="000000" w:themeColor="text1"/>
          <w:szCs w:val="26"/>
        </w:rPr>
        <w:t xml:space="preserve"> carefully consider the alternative models proposed by Mr. D</w:t>
      </w:r>
      <w:r w:rsidR="0052404E" w:rsidRPr="0029160A">
        <w:rPr>
          <w:color w:val="000000" w:themeColor="text1"/>
          <w:szCs w:val="26"/>
        </w:rPr>
        <w:t>’</w:t>
      </w:r>
      <w:r w:rsidRPr="0029160A">
        <w:rPr>
          <w:color w:val="000000" w:themeColor="text1"/>
          <w:szCs w:val="26"/>
        </w:rPr>
        <w:t>Ascendis.  Wellsboro Exc. at 19 (citing Wellsboro M.B. at 60-67).</w:t>
      </w:r>
    </w:p>
    <w:p w14:paraId="71F2EE75" w14:textId="77777777" w:rsidR="00761999" w:rsidRPr="0029160A" w:rsidRDefault="00761999">
      <w:pPr>
        <w:widowControl/>
        <w:spacing w:line="360" w:lineRule="auto"/>
        <w:ind w:firstLine="1440"/>
        <w:rPr>
          <w:color w:val="000000" w:themeColor="text1"/>
          <w:szCs w:val="26"/>
        </w:rPr>
      </w:pPr>
    </w:p>
    <w:p w14:paraId="0FB2FEEF" w14:textId="53CEB93C" w:rsidR="00761999" w:rsidRPr="0029160A" w:rsidRDefault="00761999">
      <w:pPr>
        <w:widowControl/>
        <w:spacing w:line="360" w:lineRule="auto"/>
        <w:ind w:firstLine="1440"/>
        <w:rPr>
          <w:color w:val="000000" w:themeColor="text1"/>
          <w:szCs w:val="26"/>
        </w:rPr>
      </w:pPr>
      <w:r w:rsidRPr="0029160A">
        <w:rPr>
          <w:color w:val="000000" w:themeColor="text1"/>
          <w:szCs w:val="26"/>
        </w:rPr>
        <w:t xml:space="preserve">Finally, the Company recognizes that this Exception may not impact the overall result as the R.D. awarded the maximum 7.14% overall return proposed by the Company. </w:t>
      </w:r>
      <w:r w:rsidR="009E2291" w:rsidRPr="0029160A">
        <w:rPr>
          <w:color w:val="000000" w:themeColor="text1"/>
          <w:szCs w:val="26"/>
        </w:rPr>
        <w:t xml:space="preserve"> </w:t>
      </w:r>
      <w:r w:rsidRPr="0029160A">
        <w:rPr>
          <w:color w:val="000000" w:themeColor="text1"/>
          <w:szCs w:val="26"/>
        </w:rPr>
        <w:t>However, to account for any potential modifications to the R.D. and ensure the record reflects the appropriate analysis, the Company requests that the Commission grant this Exception and develop an unadjusted ROE recommendation based on the multiple models proposed by Mr. D</w:t>
      </w:r>
      <w:r w:rsidR="0052404E" w:rsidRPr="0029160A">
        <w:rPr>
          <w:color w:val="000000" w:themeColor="text1"/>
          <w:szCs w:val="26"/>
        </w:rPr>
        <w:t>’</w:t>
      </w:r>
      <w:r w:rsidRPr="0029160A">
        <w:rPr>
          <w:color w:val="000000" w:themeColor="text1"/>
          <w:szCs w:val="26"/>
        </w:rPr>
        <w:t>Ascendis.  Wellsboro Exc. at 19.</w:t>
      </w:r>
    </w:p>
    <w:p w14:paraId="60EAD730" w14:textId="77777777" w:rsidR="00020498" w:rsidRPr="0029160A" w:rsidRDefault="00020498">
      <w:pPr>
        <w:widowControl/>
        <w:spacing w:line="360" w:lineRule="auto"/>
        <w:ind w:firstLine="1440"/>
        <w:rPr>
          <w:color w:val="000000" w:themeColor="text1"/>
          <w:szCs w:val="26"/>
        </w:rPr>
      </w:pPr>
    </w:p>
    <w:p w14:paraId="2C4E2767" w14:textId="40103C00" w:rsidR="008463A0" w:rsidRPr="0029160A" w:rsidRDefault="00020498">
      <w:pPr>
        <w:widowControl/>
        <w:spacing w:line="360" w:lineRule="auto"/>
        <w:ind w:firstLine="1440"/>
        <w:rPr>
          <w:color w:val="000000" w:themeColor="text1"/>
          <w:szCs w:val="26"/>
        </w:rPr>
      </w:pPr>
      <w:r w:rsidRPr="0029160A">
        <w:rPr>
          <w:color w:val="000000" w:themeColor="text1"/>
          <w:szCs w:val="26"/>
        </w:rPr>
        <w:t xml:space="preserve">In Replies to Wellsboro Exception No. 7, I&amp;E submits that the ALJs correctly declined to consider Wellsboro’s market-to-book ratio analysis to determine ROE and did not err by relying primarily on a DCF analysis, as checked by the CAPM analysis.  I&amp;E argues that Wellsboro’s reliance on the Commission’s comments in the </w:t>
      </w:r>
      <w:r w:rsidRPr="0029160A">
        <w:rPr>
          <w:i/>
          <w:iCs/>
          <w:color w:val="000000" w:themeColor="text1"/>
          <w:szCs w:val="26"/>
        </w:rPr>
        <w:t>UGI Order</w:t>
      </w:r>
      <w:r w:rsidRPr="0029160A">
        <w:rPr>
          <w:color w:val="000000" w:themeColor="text1"/>
          <w:szCs w:val="26"/>
        </w:rPr>
        <w:t xml:space="preserve"> is misplaced because Wellsboro failed to demonstrate that the DCF results are understated.  I&amp;E R. Exc. at 6.  As the ALJs noted in the R.D., Wellsboro’s standalone CAPM ROE analysis of 8.27% validates its DCF ROE analysis, also 8.27%.  I&amp;E R.</w:t>
      </w:r>
      <w:r w:rsidR="007E3A76" w:rsidRPr="0029160A">
        <w:rPr>
          <w:color w:val="000000" w:themeColor="text1"/>
          <w:szCs w:val="26"/>
        </w:rPr>
        <w:t> </w:t>
      </w:r>
      <w:r w:rsidRPr="0029160A">
        <w:rPr>
          <w:color w:val="000000" w:themeColor="text1"/>
          <w:szCs w:val="26"/>
        </w:rPr>
        <w:t>Exc. at 6-7 (citing R.D. at 67).  Likewise, I&amp;E calculated a CAPM ROE of 7.59%,</w:t>
      </w:r>
      <w:r w:rsidRPr="0029160A">
        <w:rPr>
          <w:rFonts w:eastAsia="Calibri"/>
          <w:color w:val="000000" w:themeColor="text1"/>
          <w:szCs w:val="26"/>
        </w:rPr>
        <w:t xml:space="preserve"> </w:t>
      </w:r>
      <w:r w:rsidRPr="0029160A">
        <w:rPr>
          <w:color w:val="000000" w:themeColor="text1"/>
          <w:szCs w:val="26"/>
        </w:rPr>
        <w:t xml:space="preserve">confirming the reasonableness of I&amp;E’s 8.10% DCF calculation.  I&amp;E R. Exc. at 7 (citing I&amp;E R.B. at 19).  The Commission has consistently validated the use of the CAPM method as a check on DCF analysis, including in the </w:t>
      </w:r>
      <w:r w:rsidRPr="0029160A">
        <w:rPr>
          <w:i/>
          <w:iCs/>
          <w:color w:val="000000" w:themeColor="text1"/>
          <w:szCs w:val="26"/>
        </w:rPr>
        <w:t>UGI Order</w:t>
      </w:r>
      <w:r w:rsidRPr="0029160A">
        <w:rPr>
          <w:color w:val="000000" w:themeColor="text1"/>
          <w:szCs w:val="26"/>
        </w:rPr>
        <w:t xml:space="preserve">, unlike the market-to-book ratio analysis.  I&amp;E argues that the ALJs should not be expected to use or equally weigh any method offered to check the results of the DCF analysis.  I&amp;E notes that Wellsboro wholly depends on its market-to-book ratio analysis to support its Exception, and I&amp;E avers this analysis is insufficient to show the DCF is understated or the ALJs erred.  Specifically, I&amp;E argues that Wellsboro’s market-to-book ratio analysis is flawed because it has not demonstrated investors expect utility returns to be set on a different basis than book value.  I&amp;E R. Exc. at 7 (citing I&amp;E M.B. at 48-49).  </w:t>
      </w:r>
    </w:p>
    <w:p w14:paraId="398C39FB" w14:textId="5C397F3A" w:rsidR="00D72D1C" w:rsidRPr="0029160A" w:rsidRDefault="008463A0">
      <w:pPr>
        <w:widowControl/>
        <w:spacing w:line="360" w:lineRule="auto"/>
        <w:ind w:firstLine="1440"/>
        <w:rPr>
          <w:color w:val="000000" w:themeColor="text1"/>
          <w:szCs w:val="26"/>
        </w:rPr>
      </w:pPr>
      <w:r w:rsidRPr="0029160A">
        <w:rPr>
          <w:color w:val="000000" w:themeColor="text1"/>
          <w:szCs w:val="26"/>
        </w:rPr>
        <w:lastRenderedPageBreak/>
        <w:t>In Replies to Wellsboro Exception No. 7, the OCA avers the ALJs correctly rejected the Company’s deviation from the preferred methods in determining the ROE (the DCF method with CAPM method as a check).</w:t>
      </w:r>
      <w:r w:rsidR="00E36979" w:rsidRPr="0029160A">
        <w:rPr>
          <w:color w:val="000000" w:themeColor="text1"/>
          <w:szCs w:val="26"/>
        </w:rPr>
        <w:t xml:space="preserve">  </w:t>
      </w:r>
      <w:r w:rsidRPr="0029160A">
        <w:rPr>
          <w:color w:val="000000" w:themeColor="text1"/>
          <w:szCs w:val="26"/>
        </w:rPr>
        <w:t xml:space="preserve">The OCA submits that the Commission has affirmed its primary reliance on the DCF method, citing, </w:t>
      </w:r>
      <w:r w:rsidRPr="0029160A">
        <w:rPr>
          <w:i/>
          <w:iCs/>
          <w:color w:val="000000" w:themeColor="text1"/>
          <w:szCs w:val="26"/>
        </w:rPr>
        <w:t>inter alia</w:t>
      </w:r>
      <w:r w:rsidRPr="0029160A">
        <w:rPr>
          <w:color w:val="000000" w:themeColor="text1"/>
          <w:szCs w:val="26"/>
        </w:rPr>
        <w:t xml:space="preserve">, to the </w:t>
      </w:r>
      <w:r w:rsidRPr="0029160A">
        <w:rPr>
          <w:i/>
          <w:iCs/>
          <w:color w:val="000000" w:themeColor="text1"/>
          <w:szCs w:val="26"/>
        </w:rPr>
        <w:t>UGI Order</w:t>
      </w:r>
      <w:r w:rsidRPr="0029160A">
        <w:rPr>
          <w:color w:val="000000" w:themeColor="text1"/>
          <w:szCs w:val="26"/>
        </w:rPr>
        <w:t xml:space="preserve">.  Wellsboro’s contention that the DCF results in this case “understate the appropriate rate of return for the Company” disregards the use of the CAPM method as </w:t>
      </w:r>
      <w:r w:rsidR="005A74C4" w:rsidRPr="0029160A">
        <w:rPr>
          <w:color w:val="000000" w:themeColor="text1"/>
          <w:szCs w:val="26"/>
        </w:rPr>
        <w:t xml:space="preserve">a </w:t>
      </w:r>
      <w:r w:rsidRPr="0029160A">
        <w:rPr>
          <w:color w:val="000000" w:themeColor="text1"/>
          <w:szCs w:val="26"/>
        </w:rPr>
        <w:t xml:space="preserve">check on the DCF results.  Moreover, Wellsboro’s contention that the R.D. partially addresses the understated ROE by recommending the ROE be set at the high-end standard deviation range is wholly inaccurate and simply ignores the actual language of the R.D.  The ALJs clearly accepted the DCF results as checked by the CAPM method.  The ALJs explained that their use of the high-end standard deviation reflected their consideration of the “size risk” factor affecting a smaller company, like Wellsboro.  The ALJs did not state they recommended the high-end standard deviation because they found the DCF results inadequate, as the Company suggests.  OCA R. Exc. at 11-4 (citing OCA M.B. at 40; OCA R.B. at 26).  </w:t>
      </w:r>
    </w:p>
    <w:p w14:paraId="53992607" w14:textId="77777777" w:rsidR="008463A0" w:rsidRPr="0029160A" w:rsidRDefault="008463A0">
      <w:pPr>
        <w:widowControl/>
        <w:spacing w:line="360" w:lineRule="auto"/>
        <w:ind w:firstLine="1440"/>
        <w:rPr>
          <w:color w:val="000000" w:themeColor="text1"/>
          <w:szCs w:val="26"/>
        </w:rPr>
      </w:pPr>
    </w:p>
    <w:p w14:paraId="3554BE33" w14:textId="77777777" w:rsidR="00D72D1C" w:rsidRPr="0029160A" w:rsidRDefault="00D72D1C" w:rsidP="00CB0B2E">
      <w:pPr>
        <w:pStyle w:val="Heading4"/>
        <w:ind w:hanging="720"/>
        <w:contextualSpacing w:val="0"/>
        <w:rPr>
          <w:color w:val="000000" w:themeColor="text1"/>
        </w:rPr>
      </w:pPr>
      <w:bookmarkStart w:id="128" w:name="_Toc38951798"/>
      <w:r w:rsidRPr="0029160A">
        <w:rPr>
          <w:color w:val="000000" w:themeColor="text1"/>
        </w:rPr>
        <w:t>Disposition</w:t>
      </w:r>
      <w:bookmarkEnd w:id="128"/>
    </w:p>
    <w:p w14:paraId="0F117456" w14:textId="77777777" w:rsidR="00D72D1C" w:rsidRPr="0029160A" w:rsidRDefault="00D72D1C">
      <w:pPr>
        <w:widowControl/>
        <w:spacing w:line="360" w:lineRule="auto"/>
        <w:rPr>
          <w:color w:val="000000" w:themeColor="text1"/>
          <w:szCs w:val="26"/>
        </w:rPr>
      </w:pPr>
    </w:p>
    <w:p w14:paraId="2BA8B77F" w14:textId="73921B7F" w:rsidR="002358DF" w:rsidRPr="0029160A" w:rsidRDefault="002358DF">
      <w:pPr>
        <w:widowControl/>
        <w:spacing w:line="360" w:lineRule="auto"/>
        <w:ind w:firstLine="1440"/>
        <w:contextualSpacing/>
        <w:rPr>
          <w:color w:val="000000" w:themeColor="text1"/>
          <w:szCs w:val="26"/>
        </w:rPr>
      </w:pPr>
      <w:r w:rsidRPr="0029160A">
        <w:rPr>
          <w:color w:val="000000" w:themeColor="text1"/>
          <w:szCs w:val="26"/>
        </w:rPr>
        <w:t xml:space="preserve">Upon our consideration of the record evidence, we agree with the finding of the ALJs that the Company’s cost of equity in this proceeding should primarily be based upon the use of the DCF methodology and that the results of the CAPM analysis should be used as a comparison to the DCF results.  R.D. at 80.  At the outset, we note the validity of Wellsboro’s argument, in its Exceptions, that in </w:t>
      </w:r>
      <w:r w:rsidRPr="0029160A">
        <w:rPr>
          <w:i/>
          <w:iCs/>
          <w:color w:val="000000" w:themeColor="text1"/>
          <w:szCs w:val="26"/>
        </w:rPr>
        <w:t>UGI</w:t>
      </w:r>
      <w:r w:rsidRPr="0029160A">
        <w:rPr>
          <w:color w:val="000000" w:themeColor="text1"/>
          <w:szCs w:val="26"/>
        </w:rPr>
        <w:t>,</w:t>
      </w:r>
      <w:r w:rsidRPr="0029160A">
        <w:rPr>
          <w:i/>
          <w:iCs/>
          <w:color w:val="000000" w:themeColor="text1"/>
          <w:szCs w:val="26"/>
        </w:rPr>
        <w:t xml:space="preserve"> </w:t>
      </w:r>
      <w:r w:rsidRPr="0029160A">
        <w:rPr>
          <w:color w:val="000000" w:themeColor="text1"/>
          <w:szCs w:val="26"/>
        </w:rPr>
        <w:t>we stated that when evidence based on other cost of equity methods indicates that the reliance on only the DCF results may understate the utility’s cost of equity capital, we would give credence to those other methods, to</w:t>
      </w:r>
      <w:r w:rsidR="00074A4F" w:rsidRPr="0029160A">
        <w:rPr>
          <w:color w:val="000000" w:themeColor="text1"/>
          <w:szCs w:val="26"/>
        </w:rPr>
        <w:t xml:space="preserve"> the </w:t>
      </w:r>
      <w:r w:rsidRPr="0029160A">
        <w:rPr>
          <w:color w:val="000000" w:themeColor="text1"/>
          <w:szCs w:val="26"/>
        </w:rPr>
        <w:t>extent</w:t>
      </w:r>
      <w:r w:rsidR="00074A4F" w:rsidRPr="0029160A">
        <w:rPr>
          <w:color w:val="000000" w:themeColor="text1"/>
          <w:szCs w:val="26"/>
        </w:rPr>
        <w:t xml:space="preserve"> appropriate</w:t>
      </w:r>
      <w:r w:rsidRPr="0029160A">
        <w:rPr>
          <w:color w:val="000000" w:themeColor="text1"/>
          <w:szCs w:val="26"/>
        </w:rPr>
        <w:t xml:space="preserve">, in evaluating the appropriate range of reasonableness in setting an ROE.  Wellsboro Exc. at 15-19; </w:t>
      </w:r>
      <w:r w:rsidRPr="0029160A">
        <w:rPr>
          <w:i/>
          <w:iCs/>
          <w:color w:val="000000" w:themeColor="text1"/>
          <w:szCs w:val="26"/>
        </w:rPr>
        <w:t xml:space="preserve">UGI </w:t>
      </w:r>
      <w:r w:rsidRPr="0029160A">
        <w:rPr>
          <w:color w:val="000000" w:themeColor="text1"/>
          <w:szCs w:val="26"/>
        </w:rPr>
        <w:t>at</w:t>
      </w:r>
      <w:r w:rsidRPr="0029160A">
        <w:rPr>
          <w:i/>
          <w:iCs/>
          <w:color w:val="000000" w:themeColor="text1"/>
          <w:szCs w:val="26"/>
        </w:rPr>
        <w:t xml:space="preserve"> </w:t>
      </w:r>
      <w:r w:rsidRPr="0029160A">
        <w:rPr>
          <w:color w:val="000000" w:themeColor="text1"/>
          <w:szCs w:val="26"/>
        </w:rPr>
        <w:t xml:space="preserve">104-5.  However, in </w:t>
      </w:r>
      <w:r w:rsidRPr="0029160A">
        <w:rPr>
          <w:i/>
          <w:iCs/>
          <w:color w:val="000000" w:themeColor="text1"/>
          <w:szCs w:val="26"/>
        </w:rPr>
        <w:t>UGI</w:t>
      </w:r>
      <w:r w:rsidRPr="0029160A">
        <w:rPr>
          <w:color w:val="000000" w:themeColor="text1"/>
          <w:szCs w:val="26"/>
        </w:rPr>
        <w:t xml:space="preserve">, we also found that UGI failed to demonstrate on the record that the DCF method understated its ROE or that the other methods it proffered served as an aid in arriving at </w:t>
      </w:r>
      <w:r w:rsidRPr="0029160A">
        <w:rPr>
          <w:color w:val="000000" w:themeColor="text1"/>
          <w:szCs w:val="26"/>
        </w:rPr>
        <w:lastRenderedPageBreak/>
        <w:t xml:space="preserve">the appropriate cost of common equity.  </w:t>
      </w:r>
      <w:r w:rsidRPr="0029160A">
        <w:rPr>
          <w:i/>
          <w:iCs/>
          <w:color w:val="000000" w:themeColor="text1"/>
          <w:szCs w:val="26"/>
        </w:rPr>
        <w:t xml:space="preserve">UGI </w:t>
      </w:r>
      <w:r w:rsidRPr="0029160A">
        <w:rPr>
          <w:color w:val="000000" w:themeColor="text1"/>
          <w:szCs w:val="26"/>
        </w:rPr>
        <w:t>at 105-6.  We</w:t>
      </w:r>
      <w:r w:rsidR="00074A4F" w:rsidRPr="0029160A">
        <w:rPr>
          <w:color w:val="000000" w:themeColor="text1"/>
          <w:szCs w:val="26"/>
        </w:rPr>
        <w:t>,</w:t>
      </w:r>
      <w:r w:rsidRPr="0029160A">
        <w:rPr>
          <w:color w:val="000000" w:themeColor="text1"/>
          <w:szCs w:val="26"/>
        </w:rPr>
        <w:t xml:space="preserve"> likewise</w:t>
      </w:r>
      <w:r w:rsidR="00074A4F" w:rsidRPr="0029160A">
        <w:rPr>
          <w:color w:val="000000" w:themeColor="text1"/>
          <w:szCs w:val="26"/>
        </w:rPr>
        <w:t>,</w:t>
      </w:r>
      <w:r w:rsidRPr="0029160A">
        <w:rPr>
          <w:color w:val="000000" w:themeColor="text1"/>
          <w:szCs w:val="26"/>
        </w:rPr>
        <w:t xml:space="preserve"> find in the instant case that Wellsboro has failed to present a valid reason that the other methods it has proffered should be given equal weight to the DCF method.  </w:t>
      </w:r>
    </w:p>
    <w:p w14:paraId="02945C15" w14:textId="77777777" w:rsidR="002358DF" w:rsidRPr="0029160A" w:rsidRDefault="002358DF">
      <w:pPr>
        <w:widowControl/>
        <w:spacing w:line="360" w:lineRule="auto"/>
        <w:ind w:firstLine="1440"/>
        <w:contextualSpacing/>
        <w:rPr>
          <w:color w:val="000000" w:themeColor="text1"/>
          <w:szCs w:val="26"/>
        </w:rPr>
      </w:pPr>
    </w:p>
    <w:p w14:paraId="7A2F2879" w14:textId="3855A7F7" w:rsidR="002358DF" w:rsidRPr="0029160A" w:rsidRDefault="00204902">
      <w:pPr>
        <w:widowControl/>
        <w:spacing w:line="360" w:lineRule="auto"/>
        <w:ind w:firstLine="1440"/>
        <w:contextualSpacing/>
        <w:rPr>
          <w:color w:val="000000" w:themeColor="text1"/>
          <w:szCs w:val="26"/>
        </w:rPr>
      </w:pPr>
      <w:r w:rsidRPr="0029160A">
        <w:rPr>
          <w:color w:val="000000" w:themeColor="text1"/>
          <w:szCs w:val="26"/>
        </w:rPr>
        <w:t>W</w:t>
      </w:r>
      <w:r w:rsidR="002358DF" w:rsidRPr="0029160A">
        <w:rPr>
          <w:color w:val="000000" w:themeColor="text1"/>
          <w:szCs w:val="26"/>
        </w:rPr>
        <w:t xml:space="preserve">e are not persuaded by Wellsboro’s argument that the difference between the market value of a utility’s stock and its book value causes the DCF method to undervalue the rate of return when the </w:t>
      </w:r>
      <w:r w:rsidR="00074A4F" w:rsidRPr="0029160A">
        <w:rPr>
          <w:color w:val="000000" w:themeColor="text1"/>
          <w:szCs w:val="26"/>
        </w:rPr>
        <w:t xml:space="preserve">market-to-book </w:t>
      </w:r>
      <w:r w:rsidR="002358DF" w:rsidRPr="0029160A">
        <w:rPr>
          <w:color w:val="000000" w:themeColor="text1"/>
          <w:szCs w:val="26"/>
        </w:rPr>
        <w:t xml:space="preserve">ratio of a given stock exceeds unity.  Wellsboro M.B. at 69-70; Wellsboro St. 2-R at 13-14.  Rather, as I&amp;E highlighted, the Company’s argument assumes that investors are unaware of the difference between the book value and the market value.  The record indicates that the forecasted growth rates used in the DCF method are set by analysts based on current conditions, as well as future expectations for the stock.  The stock market is impacted by regulatory policies and by economic and financial conditions.  Therefore, while </w:t>
      </w:r>
      <w:r w:rsidR="00074A4F" w:rsidRPr="0029160A">
        <w:rPr>
          <w:color w:val="000000" w:themeColor="text1"/>
          <w:szCs w:val="26"/>
        </w:rPr>
        <w:t xml:space="preserve">a market-to-book </w:t>
      </w:r>
      <w:r w:rsidR="002358DF" w:rsidRPr="0029160A">
        <w:rPr>
          <w:color w:val="000000" w:themeColor="text1"/>
          <w:szCs w:val="26"/>
        </w:rPr>
        <w:t xml:space="preserve">ratio greater than 1.0 implies that investors expect future cash flows to be more valuable than the historical accounting value of the company, </w:t>
      </w:r>
      <w:r w:rsidR="00074A4F" w:rsidRPr="0029160A">
        <w:rPr>
          <w:color w:val="000000" w:themeColor="text1"/>
          <w:szCs w:val="26"/>
        </w:rPr>
        <w:t xml:space="preserve">a market-to-book </w:t>
      </w:r>
      <w:r w:rsidR="002358DF" w:rsidRPr="0029160A">
        <w:rPr>
          <w:color w:val="000000" w:themeColor="text1"/>
          <w:szCs w:val="26"/>
        </w:rPr>
        <w:t xml:space="preserve">ratio of less than 1.0 could result either when the stock market is in </w:t>
      </w:r>
      <w:r w:rsidR="005A74C4" w:rsidRPr="0029160A">
        <w:rPr>
          <w:color w:val="000000" w:themeColor="text1"/>
          <w:szCs w:val="26"/>
        </w:rPr>
        <w:t xml:space="preserve">a </w:t>
      </w:r>
      <w:r w:rsidR="002358DF" w:rsidRPr="0029160A">
        <w:rPr>
          <w:color w:val="000000" w:themeColor="text1"/>
          <w:szCs w:val="26"/>
        </w:rPr>
        <w:t xml:space="preserve">depression or when the company is underperforming.  I&amp;E St. 2-SR at </w:t>
      </w:r>
      <w:r w:rsidR="005A19B0" w:rsidRPr="0029160A">
        <w:rPr>
          <w:color w:val="000000" w:themeColor="text1"/>
          <w:szCs w:val="26"/>
        </w:rPr>
        <w:t>12-13</w:t>
      </w:r>
      <w:r w:rsidR="002358DF" w:rsidRPr="0029160A">
        <w:rPr>
          <w:color w:val="000000" w:themeColor="text1"/>
          <w:szCs w:val="26"/>
        </w:rPr>
        <w:t>.  Therefore, in establishing a</w:t>
      </w:r>
      <w:r w:rsidR="00836E12" w:rsidRPr="0029160A">
        <w:rPr>
          <w:color w:val="000000" w:themeColor="text1"/>
          <w:szCs w:val="26"/>
        </w:rPr>
        <w:t>n</w:t>
      </w:r>
      <w:r w:rsidR="002358DF" w:rsidRPr="0029160A">
        <w:rPr>
          <w:color w:val="000000" w:themeColor="text1"/>
          <w:szCs w:val="26"/>
        </w:rPr>
        <w:t xml:space="preserve"> ROE for regulatory purposes, we find that it is not appropriate to evaluate the results of the DCF using </w:t>
      </w:r>
      <w:r w:rsidR="00074A4F" w:rsidRPr="0029160A">
        <w:rPr>
          <w:color w:val="000000" w:themeColor="text1"/>
          <w:szCs w:val="26"/>
        </w:rPr>
        <w:t>a market-to-book</w:t>
      </w:r>
      <w:r w:rsidR="002358DF" w:rsidRPr="0029160A">
        <w:rPr>
          <w:color w:val="000000" w:themeColor="text1"/>
          <w:szCs w:val="26"/>
        </w:rPr>
        <w:t xml:space="preserve"> ratio.</w:t>
      </w:r>
    </w:p>
    <w:p w14:paraId="2D052CBF" w14:textId="77777777" w:rsidR="00724D30" w:rsidRPr="0029160A" w:rsidRDefault="00724D30">
      <w:pPr>
        <w:widowControl/>
        <w:spacing w:line="360" w:lineRule="auto"/>
        <w:ind w:firstLine="1440"/>
        <w:contextualSpacing/>
        <w:rPr>
          <w:color w:val="000000" w:themeColor="text1"/>
          <w:szCs w:val="26"/>
        </w:rPr>
      </w:pPr>
    </w:p>
    <w:p w14:paraId="3A9259F4" w14:textId="3E0E9257" w:rsidR="002358DF" w:rsidRPr="0029160A" w:rsidRDefault="002358DF" w:rsidP="0052404E">
      <w:pPr>
        <w:widowControl/>
        <w:spacing w:line="360" w:lineRule="auto"/>
        <w:ind w:firstLine="1440"/>
        <w:contextualSpacing/>
        <w:rPr>
          <w:color w:val="000000" w:themeColor="text1"/>
          <w:szCs w:val="26"/>
        </w:rPr>
      </w:pPr>
      <w:r w:rsidRPr="0029160A">
        <w:rPr>
          <w:color w:val="000000" w:themeColor="text1"/>
          <w:szCs w:val="26"/>
        </w:rPr>
        <w:t xml:space="preserve">Additionally, as both I&amp;E and the OCA noted, we have expressly endorsed the use of the DCF method as the primary method for setting a utility’s cost of equity capital in several other rate proceedings that have come before the Commission.  For example, in addition to our recent decision in </w:t>
      </w:r>
      <w:r w:rsidRPr="0029160A">
        <w:rPr>
          <w:i/>
          <w:iCs/>
          <w:color w:val="000000" w:themeColor="text1"/>
          <w:szCs w:val="26"/>
        </w:rPr>
        <w:t>UGI</w:t>
      </w:r>
      <w:r w:rsidRPr="0029160A">
        <w:rPr>
          <w:color w:val="000000" w:themeColor="text1"/>
          <w:szCs w:val="26"/>
        </w:rPr>
        <w:t>,</w:t>
      </w:r>
      <w:r w:rsidRPr="0029160A">
        <w:rPr>
          <w:i/>
          <w:iCs/>
          <w:color w:val="000000" w:themeColor="text1"/>
          <w:szCs w:val="26"/>
        </w:rPr>
        <w:t xml:space="preserve"> </w:t>
      </w:r>
      <w:r w:rsidRPr="0029160A">
        <w:rPr>
          <w:color w:val="000000" w:themeColor="text1"/>
          <w:szCs w:val="26"/>
        </w:rPr>
        <w:t xml:space="preserve">we affirmed the use of the DCF as our preferred methodology in </w:t>
      </w:r>
      <w:r w:rsidRPr="0029160A">
        <w:rPr>
          <w:i/>
          <w:color w:val="000000" w:themeColor="text1"/>
          <w:szCs w:val="26"/>
        </w:rPr>
        <w:t>Pa. P</w:t>
      </w:r>
      <w:r w:rsidR="0052404E" w:rsidRPr="0029160A">
        <w:rPr>
          <w:i/>
          <w:color w:val="000000" w:themeColor="text1"/>
          <w:szCs w:val="26"/>
        </w:rPr>
        <w:t>UC</w:t>
      </w:r>
      <w:r w:rsidRPr="0029160A">
        <w:rPr>
          <w:i/>
          <w:color w:val="000000" w:themeColor="text1"/>
          <w:szCs w:val="26"/>
        </w:rPr>
        <w:t xml:space="preserve"> v. PPL Electric Utilities Corporation</w:t>
      </w:r>
      <w:r w:rsidRPr="0029160A">
        <w:rPr>
          <w:color w:val="000000" w:themeColor="text1"/>
          <w:szCs w:val="26"/>
        </w:rPr>
        <w:t xml:space="preserve">, </w:t>
      </w:r>
      <w:bookmarkStart w:id="129" w:name="_Hlk527018143"/>
      <w:r w:rsidRPr="0029160A">
        <w:rPr>
          <w:color w:val="000000" w:themeColor="text1"/>
          <w:szCs w:val="26"/>
        </w:rPr>
        <w:t>Docket Nos. R</w:t>
      </w:r>
      <w:r w:rsidR="0052404E" w:rsidRPr="0029160A">
        <w:rPr>
          <w:color w:val="000000" w:themeColor="text1"/>
          <w:szCs w:val="26"/>
        </w:rPr>
        <w:noBreakHyphen/>
      </w:r>
      <w:r w:rsidRPr="0029160A">
        <w:rPr>
          <w:color w:val="000000" w:themeColor="text1"/>
          <w:szCs w:val="26"/>
        </w:rPr>
        <w:t xml:space="preserve">2012-2290597, </w:t>
      </w:r>
      <w:r w:rsidRPr="0029160A">
        <w:rPr>
          <w:i/>
          <w:color w:val="000000" w:themeColor="text1"/>
          <w:szCs w:val="26"/>
        </w:rPr>
        <w:t>et al.</w:t>
      </w:r>
      <w:r w:rsidRPr="0029160A">
        <w:rPr>
          <w:color w:val="000000" w:themeColor="text1"/>
          <w:szCs w:val="26"/>
        </w:rPr>
        <w:t xml:space="preserve"> (Order entered December 28, 2012</w:t>
      </w:r>
      <w:bookmarkEnd w:id="129"/>
      <w:r w:rsidRPr="0029160A">
        <w:rPr>
          <w:color w:val="000000" w:themeColor="text1"/>
          <w:szCs w:val="26"/>
        </w:rPr>
        <w:t xml:space="preserve">), and again, more recently, in </w:t>
      </w:r>
      <w:r w:rsidRPr="0029160A">
        <w:rPr>
          <w:i/>
          <w:color w:val="000000" w:themeColor="text1"/>
          <w:szCs w:val="26"/>
        </w:rPr>
        <w:t>Pa. PUC, et. al v. City of Dubois-Bureau of Water</w:t>
      </w:r>
      <w:r w:rsidRPr="0029160A">
        <w:rPr>
          <w:color w:val="000000" w:themeColor="text1"/>
          <w:szCs w:val="26"/>
        </w:rPr>
        <w:t>, Docket No. R</w:t>
      </w:r>
      <w:r w:rsidRPr="0029160A">
        <w:rPr>
          <w:color w:val="000000" w:themeColor="text1"/>
          <w:szCs w:val="26"/>
        </w:rPr>
        <w:noBreakHyphen/>
        <w:t>2016</w:t>
      </w:r>
      <w:r w:rsidRPr="0029160A">
        <w:rPr>
          <w:color w:val="000000" w:themeColor="text1"/>
          <w:szCs w:val="26"/>
        </w:rPr>
        <w:noBreakHyphen/>
        <w:t xml:space="preserve">2554150, </w:t>
      </w:r>
      <w:r w:rsidRPr="0029160A">
        <w:rPr>
          <w:i/>
          <w:color w:val="000000" w:themeColor="text1"/>
          <w:szCs w:val="26"/>
        </w:rPr>
        <w:t>et. al.</w:t>
      </w:r>
      <w:r w:rsidRPr="0029160A">
        <w:rPr>
          <w:color w:val="000000" w:themeColor="text1"/>
          <w:szCs w:val="26"/>
        </w:rPr>
        <w:t xml:space="preserve"> (Order entered March 28, 2017).  Because Wellsboro has not presented substantial evidence on the record that would cause us to deviate from the use of the DCF method as </w:t>
      </w:r>
      <w:r w:rsidRPr="0029160A">
        <w:rPr>
          <w:color w:val="000000" w:themeColor="text1"/>
          <w:szCs w:val="26"/>
        </w:rPr>
        <w:lastRenderedPageBreak/>
        <w:t>the primary ROE setting method in the instant case, we shall reject the Company’s arguments.  Accordingly, Wellsboro’s Exception No. 7 is denied and we adopt the ALJs’ recommendation that the Company’s cost of equity in this proceeding should primarily be based upon the use of the DCF methodology and that the results of the CAPM analysis should be used as a comparison to the DCF results.</w:t>
      </w:r>
      <w:r w:rsidR="00153B3B" w:rsidRPr="0029160A">
        <w:rPr>
          <w:color w:val="000000" w:themeColor="text1"/>
          <w:szCs w:val="26"/>
        </w:rPr>
        <w:t xml:space="preserve">  </w:t>
      </w:r>
    </w:p>
    <w:p w14:paraId="1B91B2D2" w14:textId="77777777" w:rsidR="00D72D1C" w:rsidRPr="0029160A" w:rsidRDefault="00D72D1C" w:rsidP="0052404E">
      <w:pPr>
        <w:widowControl/>
        <w:spacing w:line="360" w:lineRule="auto"/>
        <w:rPr>
          <w:color w:val="000000" w:themeColor="text1"/>
        </w:rPr>
      </w:pPr>
    </w:p>
    <w:p w14:paraId="3F85D936" w14:textId="77777777" w:rsidR="005B2A99" w:rsidRPr="0029160A" w:rsidRDefault="008463A0" w:rsidP="00CB0B2E">
      <w:pPr>
        <w:pStyle w:val="Heading3"/>
        <w:ind w:left="1440" w:hanging="720"/>
        <w:rPr>
          <w:color w:val="000000" w:themeColor="text1"/>
        </w:rPr>
      </w:pPr>
      <w:bookmarkStart w:id="130" w:name="_Toc36552363"/>
      <w:bookmarkStart w:id="131" w:name="_Toc38951799"/>
      <w:r w:rsidRPr="0029160A">
        <w:rPr>
          <w:color w:val="000000" w:themeColor="text1"/>
        </w:rPr>
        <w:t xml:space="preserve">Rate of Return:  </w:t>
      </w:r>
      <w:r w:rsidR="005B2A99" w:rsidRPr="0029160A">
        <w:rPr>
          <w:color w:val="000000" w:themeColor="text1"/>
        </w:rPr>
        <w:t xml:space="preserve">Size Risk Adjustment </w:t>
      </w:r>
      <w:r w:rsidRPr="0029160A">
        <w:rPr>
          <w:color w:val="000000" w:themeColor="text1"/>
        </w:rPr>
        <w:t xml:space="preserve">to </w:t>
      </w:r>
      <w:bookmarkEnd w:id="130"/>
      <w:r w:rsidR="00490D6E" w:rsidRPr="0029160A">
        <w:rPr>
          <w:color w:val="000000" w:themeColor="text1"/>
        </w:rPr>
        <w:t>ROE</w:t>
      </w:r>
      <w:bookmarkEnd w:id="131"/>
    </w:p>
    <w:p w14:paraId="0CEACBEE" w14:textId="77777777" w:rsidR="005B2A99" w:rsidRPr="0029160A" w:rsidRDefault="005B2A99" w:rsidP="0052404E">
      <w:pPr>
        <w:widowControl/>
        <w:spacing w:line="360" w:lineRule="auto"/>
        <w:rPr>
          <w:color w:val="000000" w:themeColor="text1"/>
        </w:rPr>
      </w:pPr>
    </w:p>
    <w:p w14:paraId="269E1EBD" w14:textId="5FA9EC91" w:rsidR="005B2A99" w:rsidRPr="0029160A" w:rsidRDefault="005B2A99" w:rsidP="00CB0B2E">
      <w:pPr>
        <w:pStyle w:val="Heading4"/>
        <w:numPr>
          <w:ilvl w:val="0"/>
          <w:numId w:val="29"/>
        </w:numPr>
        <w:ind w:hanging="720"/>
        <w:rPr>
          <w:color w:val="000000" w:themeColor="text1"/>
        </w:rPr>
      </w:pPr>
      <w:bookmarkStart w:id="132" w:name="_Toc38951800"/>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132"/>
    </w:p>
    <w:p w14:paraId="1B0DF1C2" w14:textId="77777777" w:rsidR="005B2A99" w:rsidRPr="0029160A" w:rsidRDefault="005B2A99" w:rsidP="0052404E">
      <w:pPr>
        <w:widowControl/>
        <w:spacing w:line="360" w:lineRule="auto"/>
        <w:rPr>
          <w:color w:val="000000" w:themeColor="text1"/>
          <w:szCs w:val="26"/>
        </w:rPr>
      </w:pPr>
    </w:p>
    <w:p w14:paraId="010062B1" w14:textId="07E0CB73" w:rsidR="006C6A4D" w:rsidRPr="0029160A" w:rsidRDefault="006C6A4D" w:rsidP="0052404E">
      <w:pPr>
        <w:widowControl/>
        <w:spacing w:line="360" w:lineRule="auto"/>
        <w:ind w:firstLine="1440"/>
        <w:rPr>
          <w:bCs/>
          <w:color w:val="000000" w:themeColor="text1"/>
          <w:szCs w:val="26"/>
        </w:rPr>
      </w:pPr>
      <w:r w:rsidRPr="0029160A">
        <w:rPr>
          <w:color w:val="000000" w:themeColor="text1"/>
        </w:rPr>
        <w:t>As noted above, Wellsboro’s witness D’Ascendis</w:t>
      </w:r>
      <w:r w:rsidRPr="0029160A">
        <w:rPr>
          <w:rFonts w:eastAsia="Calibri"/>
          <w:color w:val="000000" w:themeColor="text1"/>
        </w:rPr>
        <w:t xml:space="preserve"> proposed a 100-basis point size adjustment to the COE to account for the additional risks associated with smaller public utilities.  </w:t>
      </w:r>
      <w:bookmarkStart w:id="133" w:name="_Hlk37077783"/>
      <w:r w:rsidR="00152B90" w:rsidRPr="0029160A">
        <w:rPr>
          <w:rFonts w:eastAsia="Calibri"/>
          <w:color w:val="000000" w:themeColor="text1"/>
        </w:rPr>
        <w:t xml:space="preserve">Both </w:t>
      </w:r>
      <w:r w:rsidRPr="0029160A">
        <w:rPr>
          <w:bCs/>
          <w:color w:val="000000" w:themeColor="text1"/>
          <w:szCs w:val="26"/>
        </w:rPr>
        <w:t xml:space="preserve">I&amp;E and the OCA </w:t>
      </w:r>
      <w:r w:rsidR="00152B90" w:rsidRPr="0029160A">
        <w:rPr>
          <w:bCs/>
          <w:color w:val="000000" w:themeColor="text1"/>
          <w:szCs w:val="26"/>
        </w:rPr>
        <w:t>oppose</w:t>
      </w:r>
      <w:r w:rsidR="00A56652" w:rsidRPr="0029160A">
        <w:rPr>
          <w:bCs/>
          <w:color w:val="000000" w:themeColor="text1"/>
          <w:szCs w:val="26"/>
        </w:rPr>
        <w:t>d</w:t>
      </w:r>
      <w:r w:rsidR="00152B90" w:rsidRPr="0029160A">
        <w:rPr>
          <w:bCs/>
          <w:color w:val="000000" w:themeColor="text1"/>
          <w:szCs w:val="26"/>
        </w:rPr>
        <w:t xml:space="preserve"> any </w:t>
      </w:r>
      <w:r w:rsidRPr="0029160A">
        <w:rPr>
          <w:bCs/>
          <w:color w:val="000000" w:themeColor="text1"/>
          <w:szCs w:val="26"/>
        </w:rPr>
        <w:t xml:space="preserve">adjustment to reflect size risk.  R.D. at 50-51, 53, 67; </w:t>
      </w:r>
      <w:r w:rsidRPr="006711F7">
        <w:rPr>
          <w:color w:val="000000" w:themeColor="text1"/>
          <w:szCs w:val="26"/>
        </w:rPr>
        <w:t xml:space="preserve">R.D. </w:t>
      </w:r>
      <w:r w:rsidR="009007AB">
        <w:rPr>
          <w:color w:val="000000" w:themeColor="text1"/>
          <w:szCs w:val="26"/>
        </w:rPr>
        <w:t xml:space="preserve">at </w:t>
      </w:r>
      <w:r w:rsidRPr="006711F7">
        <w:rPr>
          <w:color w:val="000000" w:themeColor="text1"/>
          <w:szCs w:val="26"/>
        </w:rPr>
        <w:t>67-76</w:t>
      </w:r>
      <w:r w:rsidRPr="0029160A">
        <w:rPr>
          <w:color w:val="000000" w:themeColor="text1"/>
          <w:szCs w:val="26"/>
        </w:rPr>
        <w:t xml:space="preserve"> (ALJs</w:t>
      </w:r>
      <w:r w:rsidR="00CF796C" w:rsidRPr="0029160A">
        <w:rPr>
          <w:color w:val="000000" w:themeColor="text1"/>
          <w:szCs w:val="26"/>
        </w:rPr>
        <w:t>’</w:t>
      </w:r>
      <w:r w:rsidRPr="0029160A">
        <w:rPr>
          <w:color w:val="000000" w:themeColor="text1"/>
          <w:szCs w:val="26"/>
        </w:rPr>
        <w:t xml:space="preserve"> summary of the testimonies offered by the Company’s, I&amp;E’s and the OCA’s experts regarding a size risk adjustment to the COE).  </w:t>
      </w:r>
      <w:bookmarkEnd w:id="133"/>
    </w:p>
    <w:p w14:paraId="06D6D128" w14:textId="77777777" w:rsidR="005B2A99" w:rsidRPr="0029160A" w:rsidRDefault="005B2A99" w:rsidP="0052404E">
      <w:pPr>
        <w:widowControl/>
        <w:spacing w:line="360" w:lineRule="auto"/>
        <w:rPr>
          <w:color w:val="000000" w:themeColor="text1"/>
          <w:szCs w:val="26"/>
        </w:rPr>
      </w:pPr>
    </w:p>
    <w:p w14:paraId="7A22AF7D" w14:textId="77777777" w:rsidR="005B2A99" w:rsidRPr="0029160A" w:rsidRDefault="005B2A99" w:rsidP="00CB0B2E">
      <w:pPr>
        <w:pStyle w:val="Heading4"/>
        <w:ind w:hanging="720"/>
        <w:rPr>
          <w:color w:val="000000" w:themeColor="text1"/>
        </w:rPr>
      </w:pPr>
      <w:bookmarkStart w:id="134" w:name="_Toc38951801"/>
      <w:r w:rsidRPr="0029160A">
        <w:rPr>
          <w:color w:val="000000" w:themeColor="text1"/>
        </w:rPr>
        <w:t>Recommended Decision</w:t>
      </w:r>
      <w:bookmarkEnd w:id="134"/>
    </w:p>
    <w:p w14:paraId="1FB35073" w14:textId="77777777" w:rsidR="005B2A99" w:rsidRPr="0029160A" w:rsidRDefault="005B2A99" w:rsidP="0052404E">
      <w:pPr>
        <w:widowControl/>
        <w:spacing w:line="360" w:lineRule="auto"/>
        <w:rPr>
          <w:color w:val="000000" w:themeColor="text1"/>
          <w:szCs w:val="26"/>
        </w:rPr>
      </w:pPr>
    </w:p>
    <w:p w14:paraId="3D221B94" w14:textId="609A369C" w:rsidR="005B2A99" w:rsidRPr="0029160A" w:rsidRDefault="001726E3" w:rsidP="00CB0B2E">
      <w:pPr>
        <w:widowControl/>
        <w:spacing w:line="360" w:lineRule="auto"/>
        <w:ind w:firstLine="1440"/>
        <w:rPr>
          <w:color w:val="000000" w:themeColor="text1"/>
          <w:szCs w:val="26"/>
        </w:rPr>
      </w:pPr>
      <w:r w:rsidRPr="0029160A">
        <w:rPr>
          <w:color w:val="000000" w:themeColor="text1"/>
          <w:szCs w:val="26"/>
        </w:rPr>
        <w:t>While the ALJs stated they were unable to conclude whether size risk applies to utilities generally, they also stated: “ultimately, we must conclude that smaller companies face size risk and Wellsboro is a smaller company.”  R.D. at 74-75.  The ALJs explained that, based on record evidence, it is reasonable to conclude that a smaller company would face proportionally greater financial and business risk than much larger utilities.  R.D. at 75-76 (citing Wellsboro M.B. at 88-89; Joint St. 2 at 42; Wellsboro St. 4 at 6).  When factoring the size risk in to the ROE determination, the R.D. declined to quantify a specific amount for the size risk adjustment and instead recommended using the high end (9.49%) of a one standard deviation range (7.05% to 9.49%) based on the average of Wellsboro’s mean and median constant growth DCF results.  R.D. at 76</w:t>
      </w:r>
      <w:r w:rsidR="00152B90" w:rsidRPr="0029160A">
        <w:rPr>
          <w:color w:val="000000" w:themeColor="text1"/>
          <w:szCs w:val="26"/>
        </w:rPr>
        <w:t>, 80</w:t>
      </w:r>
      <w:r w:rsidRPr="0029160A">
        <w:rPr>
          <w:color w:val="000000" w:themeColor="text1"/>
          <w:szCs w:val="26"/>
        </w:rPr>
        <w:t>.</w:t>
      </w:r>
    </w:p>
    <w:p w14:paraId="79704E94" w14:textId="77777777" w:rsidR="005B2A99" w:rsidRPr="0029160A" w:rsidRDefault="00312B42" w:rsidP="00CB0B2E">
      <w:pPr>
        <w:pStyle w:val="Heading4"/>
        <w:spacing w:line="240" w:lineRule="auto"/>
        <w:ind w:hanging="720"/>
        <w:contextualSpacing w:val="0"/>
        <w:rPr>
          <w:color w:val="000000" w:themeColor="text1"/>
        </w:rPr>
      </w:pPr>
      <w:bookmarkStart w:id="135" w:name="_Toc38951802"/>
      <w:r w:rsidRPr="0029160A">
        <w:rPr>
          <w:color w:val="000000" w:themeColor="text1"/>
        </w:rPr>
        <w:lastRenderedPageBreak/>
        <w:t>Wellsboro Exception No. 8, I&amp;E Exception No. 6, OCA Exception No. 7 and Replies</w:t>
      </w:r>
      <w:bookmarkEnd w:id="135"/>
    </w:p>
    <w:p w14:paraId="64836C83" w14:textId="77777777" w:rsidR="005B2A99" w:rsidRPr="0029160A" w:rsidRDefault="005B2A99" w:rsidP="0052404E">
      <w:pPr>
        <w:widowControl/>
        <w:spacing w:line="480" w:lineRule="auto"/>
        <w:rPr>
          <w:color w:val="000000" w:themeColor="text1"/>
          <w:szCs w:val="26"/>
        </w:rPr>
      </w:pPr>
    </w:p>
    <w:p w14:paraId="20E6DB66" w14:textId="3EB59839" w:rsidR="001726E3" w:rsidRPr="0029160A" w:rsidRDefault="001726E3" w:rsidP="00CB0B2E">
      <w:pPr>
        <w:widowControl/>
        <w:spacing w:line="360" w:lineRule="auto"/>
        <w:ind w:firstLine="1440"/>
        <w:rPr>
          <w:color w:val="000000" w:themeColor="text1"/>
          <w:szCs w:val="26"/>
        </w:rPr>
      </w:pPr>
      <w:r w:rsidRPr="0029160A">
        <w:rPr>
          <w:color w:val="000000" w:themeColor="text1"/>
          <w:szCs w:val="26"/>
        </w:rPr>
        <w:t>In Wellsboro Exception No. 8, Wellsboro concurs in the R.D.’s finding that Wellsboro faces size risk but excepts to the R.D.’s methodology for reflecting the size risk, contending the R.D. erred by failing to apply the Company’s adjustment to the ROE of 100</w:t>
      </w:r>
      <w:r w:rsidR="00724D30" w:rsidRPr="0029160A">
        <w:rPr>
          <w:color w:val="000000" w:themeColor="text1"/>
          <w:szCs w:val="26"/>
        </w:rPr>
        <w:t>-</w:t>
      </w:r>
      <w:r w:rsidRPr="0029160A">
        <w:rPr>
          <w:color w:val="000000" w:themeColor="text1"/>
          <w:szCs w:val="26"/>
        </w:rPr>
        <w:t>basis points, subject to a cap at the 10.30% proposed maximum ROE.  The Company submits that the standard deviation range methodology used by the R.D. reflects the Commission’s practice regarding calculating DSIC ROEs for larger electric utilities and thus results in a</w:t>
      </w:r>
      <w:r w:rsidR="005A74C4" w:rsidRPr="0029160A">
        <w:rPr>
          <w:color w:val="000000" w:themeColor="text1"/>
          <w:szCs w:val="26"/>
        </w:rPr>
        <w:t>n</w:t>
      </w:r>
      <w:r w:rsidRPr="0029160A">
        <w:rPr>
          <w:color w:val="000000" w:themeColor="text1"/>
          <w:szCs w:val="26"/>
        </w:rPr>
        <w:t xml:space="preserve"> ROE that is commensurate with the ROEs established for larger electric utilities but is not truly reflective of the Company’s specific size risk.  The R.D.’s use of the standard deviation method does not obviate the need to apply a “further adjustment” to the authorized ROE to account for Wellsboro’s size risk.</w:t>
      </w:r>
      <w:r w:rsidR="00835AD6" w:rsidRPr="0029160A">
        <w:rPr>
          <w:color w:val="000000" w:themeColor="text1"/>
          <w:szCs w:val="26"/>
        </w:rPr>
        <w:t xml:space="preserve">  </w:t>
      </w:r>
      <w:r w:rsidRPr="0029160A">
        <w:rPr>
          <w:color w:val="000000" w:themeColor="text1"/>
          <w:szCs w:val="26"/>
        </w:rPr>
        <w:t>To accurately account for the size risk faced by the Company, Wellsboro urges the Commission to approve the Company’s proposed size adjustment of 100</w:t>
      </w:r>
      <w:r w:rsidR="00724D30" w:rsidRPr="0029160A">
        <w:rPr>
          <w:color w:val="000000" w:themeColor="text1"/>
          <w:szCs w:val="26"/>
        </w:rPr>
        <w:t>-</w:t>
      </w:r>
      <w:r w:rsidRPr="0029160A">
        <w:rPr>
          <w:color w:val="000000" w:themeColor="text1"/>
          <w:szCs w:val="26"/>
        </w:rPr>
        <w:t>basis points, capped at the proposed maximum ROE of 10.30%.  The Company recognizes that granting this Exception may not impact the overall result, as the R.D. awarded the maximum 7.14% overall rate of return proposed by the Company; however, to account for any potential modifications to the R.D. and to ensure the record reflects the appropriate analysis, the Company requests the Commission grant this Exception No. 8.  Wellsboro Exc. at</w:t>
      </w:r>
      <w:r w:rsidR="0052404E" w:rsidRPr="0029160A">
        <w:rPr>
          <w:color w:val="000000" w:themeColor="text1"/>
          <w:szCs w:val="26"/>
        </w:rPr>
        <w:t> </w:t>
      </w:r>
      <w:r w:rsidRPr="0029160A">
        <w:rPr>
          <w:color w:val="000000" w:themeColor="text1"/>
          <w:szCs w:val="26"/>
        </w:rPr>
        <w:t>19</w:t>
      </w:r>
      <w:r w:rsidR="0052404E" w:rsidRPr="0029160A">
        <w:rPr>
          <w:color w:val="000000" w:themeColor="text1"/>
          <w:szCs w:val="26"/>
        </w:rPr>
        <w:noBreakHyphen/>
      </w:r>
      <w:r w:rsidRPr="0029160A">
        <w:rPr>
          <w:color w:val="000000" w:themeColor="text1"/>
          <w:szCs w:val="26"/>
        </w:rPr>
        <w:t>21; Wellsboro M.B. at 79, 90-91.</w:t>
      </w:r>
    </w:p>
    <w:p w14:paraId="537B8A8E" w14:textId="77777777" w:rsidR="001726E3" w:rsidRPr="0029160A" w:rsidRDefault="001726E3" w:rsidP="00CB0B2E">
      <w:pPr>
        <w:widowControl/>
        <w:spacing w:line="360" w:lineRule="auto"/>
        <w:ind w:firstLine="1440"/>
        <w:rPr>
          <w:color w:val="000000" w:themeColor="text1"/>
          <w:szCs w:val="26"/>
        </w:rPr>
      </w:pPr>
    </w:p>
    <w:p w14:paraId="457F53C2" w14:textId="5010E534" w:rsidR="001726E3" w:rsidRPr="0029160A" w:rsidRDefault="001726E3" w:rsidP="00CB0B2E">
      <w:pPr>
        <w:widowControl/>
        <w:spacing w:line="360" w:lineRule="auto"/>
        <w:ind w:firstLine="1440"/>
        <w:rPr>
          <w:color w:val="000000" w:themeColor="text1"/>
          <w:szCs w:val="26"/>
        </w:rPr>
      </w:pPr>
      <w:r w:rsidRPr="0029160A">
        <w:rPr>
          <w:color w:val="000000" w:themeColor="text1"/>
          <w:szCs w:val="26"/>
        </w:rPr>
        <w:t>In I&amp;E’s Replies to Wellsboro Exception No. 8, I&amp;E initially notes the ALJs’ size adjustment already effectively awards a size adjustment of 122</w:t>
      </w:r>
      <w:r w:rsidR="00724D30" w:rsidRPr="0029160A">
        <w:rPr>
          <w:color w:val="000000" w:themeColor="text1"/>
          <w:szCs w:val="26"/>
        </w:rPr>
        <w:t>-</w:t>
      </w:r>
      <w:r w:rsidRPr="0029160A">
        <w:rPr>
          <w:color w:val="000000" w:themeColor="text1"/>
          <w:szCs w:val="26"/>
        </w:rPr>
        <w:t>basis points to the ROE (the average of Wellsboro’s DCF results is 8.27%, and the upper end of one standard deviation is 9.49%).  I&amp;E R. Exc. at 8 (citing R.D. at 76).</w:t>
      </w:r>
      <w:r w:rsidR="00AE0C95" w:rsidRPr="0029160A">
        <w:rPr>
          <w:color w:val="000000" w:themeColor="text1"/>
          <w:szCs w:val="26"/>
        </w:rPr>
        <w:t xml:space="preserve">  </w:t>
      </w:r>
      <w:r w:rsidRPr="0029160A">
        <w:rPr>
          <w:color w:val="000000" w:themeColor="text1"/>
          <w:szCs w:val="26"/>
        </w:rPr>
        <w:t>Meanwhile, Wellsboro’s claim was only for an upward adjustment of 100</w:t>
      </w:r>
      <w:r w:rsidR="00724D30" w:rsidRPr="0029160A">
        <w:rPr>
          <w:color w:val="000000" w:themeColor="text1"/>
          <w:szCs w:val="26"/>
        </w:rPr>
        <w:t>-</w:t>
      </w:r>
      <w:r w:rsidRPr="0029160A">
        <w:rPr>
          <w:color w:val="000000" w:themeColor="text1"/>
          <w:szCs w:val="26"/>
        </w:rPr>
        <w:t>basis points.  Therefore, I&amp;E asks the Commission to reject the claim in Wellsboro’s Exception No. 8 that the ALJs’ recommendation to award a</w:t>
      </w:r>
      <w:r w:rsidR="005A74C4" w:rsidRPr="0029160A">
        <w:rPr>
          <w:color w:val="000000" w:themeColor="text1"/>
          <w:szCs w:val="26"/>
        </w:rPr>
        <w:t>n</w:t>
      </w:r>
      <w:r w:rsidRPr="0029160A">
        <w:rPr>
          <w:color w:val="000000" w:themeColor="text1"/>
          <w:szCs w:val="26"/>
        </w:rPr>
        <w:t xml:space="preserve"> ROE at the upper end of a standard deviation of DCF </w:t>
      </w:r>
      <w:r w:rsidRPr="0029160A">
        <w:rPr>
          <w:color w:val="000000" w:themeColor="text1"/>
          <w:szCs w:val="26"/>
        </w:rPr>
        <w:lastRenderedPageBreak/>
        <w:t>results does not truly reflect an adjustment for size.  I&amp;E argues that Wellsboro’s Exception essentially asks the Commission to completely abandon any methodological analysis, whether it be DCF, CAPM, market-to-book ratios, etc., and simply conclude that the ALJs’ recommended ROE is similar to DSIC ROEs from which a further adjustment is needed.  However, I&amp;E asserts that Wellsboro provides no specific reason why it should even be awarded at the upper end of one standard deviation of its DCF analysis other than simply stating that it is how the Commission sets its DSIC ROE.  By comparison, although the average of Wellsboro’s DCF analyses only supports an 8.27% ROE, the ALJs specifically stated they relied on a size adjustment as the reason to award a</w:t>
      </w:r>
      <w:r w:rsidR="005A74C4" w:rsidRPr="0029160A">
        <w:rPr>
          <w:color w:val="000000" w:themeColor="text1"/>
          <w:szCs w:val="26"/>
        </w:rPr>
        <w:t>n</w:t>
      </w:r>
      <w:r w:rsidRPr="0029160A">
        <w:rPr>
          <w:color w:val="000000" w:themeColor="text1"/>
          <w:szCs w:val="26"/>
        </w:rPr>
        <w:t xml:space="preserve"> ROE at the upper end of one standard deviation.  Therefore, I&amp;E submits that Wellsboro has not demonstrated the ALJs erred by not further adjusting its size adjustment, and Wellsboro Exception No. 8 should be rejected.  I&amp;E R. Exc. at 7-9 (citing I&amp;E R. B. at 21-23).  In the OCA’s Replies to Wellsboro Exception No. 8, the OCA submits the ALJs correctly denied the Company’s 100</w:t>
      </w:r>
      <w:r w:rsidR="00724D30" w:rsidRPr="0029160A">
        <w:rPr>
          <w:color w:val="000000" w:themeColor="text1"/>
          <w:szCs w:val="26"/>
        </w:rPr>
        <w:t>-</w:t>
      </w:r>
      <w:r w:rsidRPr="0029160A">
        <w:rPr>
          <w:color w:val="000000" w:themeColor="text1"/>
          <w:szCs w:val="26"/>
        </w:rPr>
        <w:t>basis point size adjustment and re-emphasizes its position that any size adjustment is improper for the same reasons explained in OCA Exception No. 7.  OCA R. Exc. at 14-17.</w:t>
      </w:r>
      <w:r w:rsidR="00153B3B" w:rsidRPr="0029160A">
        <w:rPr>
          <w:color w:val="000000" w:themeColor="text1"/>
          <w:szCs w:val="26"/>
        </w:rPr>
        <w:t xml:space="preserve">  </w:t>
      </w:r>
    </w:p>
    <w:p w14:paraId="40BD2214" w14:textId="77777777" w:rsidR="001726E3" w:rsidRPr="0029160A" w:rsidRDefault="001726E3" w:rsidP="00CB0B2E">
      <w:pPr>
        <w:widowControl/>
        <w:spacing w:line="360" w:lineRule="auto"/>
        <w:ind w:firstLine="1440"/>
        <w:rPr>
          <w:color w:val="000000" w:themeColor="text1"/>
          <w:szCs w:val="26"/>
        </w:rPr>
      </w:pPr>
    </w:p>
    <w:p w14:paraId="32D1229F" w14:textId="77777777" w:rsidR="001726E3" w:rsidRPr="0029160A" w:rsidRDefault="001726E3" w:rsidP="00CB0B2E">
      <w:pPr>
        <w:widowControl/>
        <w:spacing w:line="360" w:lineRule="auto"/>
        <w:ind w:firstLine="1440"/>
        <w:rPr>
          <w:color w:val="000000" w:themeColor="text1"/>
          <w:szCs w:val="26"/>
        </w:rPr>
      </w:pPr>
      <w:r w:rsidRPr="0029160A">
        <w:rPr>
          <w:color w:val="000000" w:themeColor="text1"/>
          <w:szCs w:val="26"/>
        </w:rPr>
        <w:t>In I&amp;E Exception No. 6, I&amp;E submits the ALJs erred by finding evidence for a generic size risk to merit a size adjustment to Wellsboro’s ROE when they did not conclude a size effect exists for utilities.  I&amp;E avers that the ALJs expressly did not conclude a size risk exists for utilities (citing, R.D. at 74-75) and Wellsboro failed to meet its burden of proof establishing that a size adjustment should be made to the ROE.  I&amp;E states that most utilities have a captive customer base, and if Wellsboro faces difficulties or unforeseen risks, it may request higher rates to offset increased expenses; therefore, I&amp;E argues, size adjustment analysis for companies generally does not apply to utilities.  I&amp;E Exc. at 11-13 (citing I&amp;E M.B. at 50-52; I&amp;E R.B. at 23-24).</w:t>
      </w:r>
    </w:p>
    <w:p w14:paraId="1C2A00EF" w14:textId="77777777" w:rsidR="001726E3" w:rsidRPr="0029160A" w:rsidRDefault="001726E3" w:rsidP="00CB0B2E">
      <w:pPr>
        <w:widowControl/>
        <w:spacing w:line="360" w:lineRule="auto"/>
        <w:ind w:firstLine="1440"/>
        <w:rPr>
          <w:color w:val="000000" w:themeColor="text1"/>
          <w:szCs w:val="26"/>
        </w:rPr>
      </w:pPr>
    </w:p>
    <w:p w14:paraId="12729C21" w14:textId="2888721E" w:rsidR="001726E3" w:rsidRPr="0029160A" w:rsidRDefault="001726E3" w:rsidP="00CB0B2E">
      <w:pPr>
        <w:widowControl/>
        <w:spacing w:line="360" w:lineRule="auto"/>
        <w:ind w:firstLine="1440"/>
        <w:rPr>
          <w:color w:val="000000" w:themeColor="text1"/>
          <w:szCs w:val="26"/>
        </w:rPr>
      </w:pPr>
      <w:r w:rsidRPr="0029160A">
        <w:rPr>
          <w:color w:val="000000" w:themeColor="text1"/>
          <w:szCs w:val="26"/>
        </w:rPr>
        <w:t xml:space="preserve">In OCA Exception No. 7, the OCA contends the ALJs erred by recommending a 9.31% ROE for Wellsboro and recommending that the OCA’s proposed </w:t>
      </w:r>
      <w:r w:rsidRPr="0029160A">
        <w:rPr>
          <w:color w:val="000000" w:themeColor="text1"/>
          <w:szCs w:val="26"/>
        </w:rPr>
        <w:lastRenderedPageBreak/>
        <w:t>ROE of 8.38% be rejected (</w:t>
      </w:r>
      <w:r w:rsidR="00A621E8">
        <w:rPr>
          <w:color w:val="000000" w:themeColor="text1"/>
          <w:szCs w:val="26"/>
        </w:rPr>
        <w:t>c</w:t>
      </w:r>
      <w:r w:rsidRPr="0029160A">
        <w:rPr>
          <w:color w:val="000000" w:themeColor="text1"/>
          <w:szCs w:val="26"/>
        </w:rPr>
        <w:t>iting R.D. at 80-81).  The OCA characterizes the ALJs</w:t>
      </w:r>
      <w:r w:rsidR="003B46EA" w:rsidRPr="0029160A">
        <w:rPr>
          <w:color w:val="000000" w:themeColor="text1"/>
          <w:szCs w:val="26"/>
        </w:rPr>
        <w:t>’</w:t>
      </w:r>
      <w:r w:rsidRPr="0029160A">
        <w:rPr>
          <w:color w:val="000000" w:themeColor="text1"/>
          <w:szCs w:val="26"/>
        </w:rPr>
        <w:t xml:space="preserve"> recommendation as being based “roughly on size and performance adjustments” and submits that an award of 9.31% is both inconsistent with the evidence of record and the current low-cost capital environment.  The OCA submits that any size adder to the ROE is improper and unreasonable based on the testimony of its witness </w:t>
      </w:r>
      <w:r w:rsidR="009A0BEA" w:rsidRPr="0029160A">
        <w:rPr>
          <w:color w:val="000000" w:themeColor="text1"/>
          <w:szCs w:val="26"/>
        </w:rPr>
        <w:t xml:space="preserve">Dr. David S. Habr </w:t>
      </w:r>
      <w:r w:rsidR="00CF331B" w:rsidRPr="0029160A">
        <w:rPr>
          <w:color w:val="000000" w:themeColor="text1"/>
          <w:szCs w:val="26"/>
        </w:rPr>
        <w:t>(</w:t>
      </w:r>
      <w:r w:rsidRPr="0029160A">
        <w:rPr>
          <w:color w:val="000000" w:themeColor="text1"/>
          <w:szCs w:val="26"/>
        </w:rPr>
        <w:t>Dr. Habr</w:t>
      </w:r>
      <w:r w:rsidR="00CF331B" w:rsidRPr="0029160A">
        <w:rPr>
          <w:color w:val="000000" w:themeColor="text1"/>
          <w:szCs w:val="26"/>
        </w:rPr>
        <w:t>)</w:t>
      </w:r>
      <w:r w:rsidRPr="0029160A">
        <w:rPr>
          <w:color w:val="000000" w:themeColor="text1"/>
          <w:szCs w:val="26"/>
        </w:rPr>
        <w:t>: (1) Dr. Habr testified that his review of the economic/technical literature presented by Mr. D’Ascendis did not corroborate Mr. D’Ascendis analysis; rather, it actually supported a downward adjustment to the ROE; (2) Dr. Habr testified that a size adder would be unduly burdensome for ratepayers; utility customers should not be required to pay higher costs associated with inefficient utility operations resulting from the utility’s choice to operate at such a small scale; and (3) Dr. Habr found Mr. D’Ascendis’ CAPM analysis unreasonable; Dr. Habr’s CAPM analysis provided an upper limit on COE of only 8.76% to 8.92% (</w:t>
      </w:r>
      <w:r w:rsidR="00A621E8">
        <w:rPr>
          <w:color w:val="000000" w:themeColor="text1"/>
          <w:szCs w:val="26"/>
        </w:rPr>
        <w:t>c</w:t>
      </w:r>
      <w:r w:rsidRPr="0029160A">
        <w:rPr>
          <w:color w:val="000000" w:themeColor="text1"/>
          <w:szCs w:val="26"/>
        </w:rPr>
        <w:t>iting OCA M.B. at 53, 55-56, 58-59; OCA St. 3 at 29-30, Table 6, 34).  The OCA notes that the ALJs</w:t>
      </w:r>
      <w:r w:rsidR="00CF796C" w:rsidRPr="0029160A">
        <w:rPr>
          <w:color w:val="000000" w:themeColor="text1"/>
          <w:szCs w:val="26"/>
        </w:rPr>
        <w:t>’</w:t>
      </w:r>
      <w:r w:rsidRPr="0029160A">
        <w:rPr>
          <w:color w:val="000000" w:themeColor="text1"/>
          <w:szCs w:val="26"/>
        </w:rPr>
        <w:t xml:space="preserve"> adoption of the 9.49% is inconsistent with the OCA’s CAPM limits.  The OCA highlights that the ALJs found the average and median of the OCA’s DCF results to be reasonable, which equaled 8.38%, while I&amp;E’s equaled 8.1%, and the Company’s equaled 8.27%.</w:t>
      </w:r>
      <w:r w:rsidR="00C17392" w:rsidRPr="0029160A">
        <w:rPr>
          <w:color w:val="000000" w:themeColor="text1"/>
          <w:szCs w:val="26"/>
        </w:rPr>
        <w:t xml:space="preserve">  </w:t>
      </w:r>
      <w:r w:rsidRPr="0029160A">
        <w:rPr>
          <w:color w:val="000000" w:themeColor="text1"/>
          <w:szCs w:val="26"/>
        </w:rPr>
        <w:t>The ALJs also found the Company’s DCF range of 7.05</w:t>
      </w:r>
      <w:r w:rsidR="00094EE2" w:rsidRPr="0029160A">
        <w:rPr>
          <w:color w:val="000000" w:themeColor="text1"/>
          <w:szCs w:val="26"/>
        </w:rPr>
        <w:t>%</w:t>
      </w:r>
      <w:r w:rsidRPr="0029160A">
        <w:rPr>
          <w:color w:val="000000" w:themeColor="text1"/>
          <w:szCs w:val="26"/>
        </w:rPr>
        <w:t xml:space="preserve">-9.49% to be reasonable.  The OCA’s position is that a recommendation based on a higher end DCF result of 9.49% is unreasonable given the DCF range presented by the </w:t>
      </w:r>
      <w:r w:rsidR="00094EE2" w:rsidRPr="0029160A">
        <w:rPr>
          <w:color w:val="000000" w:themeColor="text1"/>
          <w:szCs w:val="26"/>
        </w:rPr>
        <w:t>P</w:t>
      </w:r>
      <w:r w:rsidRPr="0029160A">
        <w:rPr>
          <w:color w:val="000000" w:themeColor="text1"/>
          <w:szCs w:val="26"/>
        </w:rPr>
        <w:t>arties in this proceeding.  Accordingly, the OCA submits that the Commission should not adopt the ALJs</w:t>
      </w:r>
      <w:r w:rsidR="00387D00" w:rsidRPr="0029160A">
        <w:rPr>
          <w:color w:val="000000" w:themeColor="text1"/>
          <w:szCs w:val="26"/>
        </w:rPr>
        <w:t>’</w:t>
      </w:r>
      <w:r w:rsidRPr="0029160A">
        <w:rPr>
          <w:color w:val="000000" w:themeColor="text1"/>
          <w:szCs w:val="26"/>
        </w:rPr>
        <w:t xml:space="preserve"> recommendation to base the Company’s ROE upon the higher end of the DCF range.  OCA Exc. at 14-19 (citing OCA M.B. at</w:t>
      </w:r>
      <w:r w:rsidR="009007AB">
        <w:rPr>
          <w:color w:val="000000" w:themeColor="text1"/>
          <w:szCs w:val="26"/>
        </w:rPr>
        <w:t> </w:t>
      </w:r>
      <w:r w:rsidRPr="0029160A">
        <w:rPr>
          <w:color w:val="000000" w:themeColor="text1"/>
          <w:szCs w:val="26"/>
        </w:rPr>
        <w:t>33</w:t>
      </w:r>
      <w:r w:rsidR="009007AB">
        <w:rPr>
          <w:color w:val="000000" w:themeColor="text1"/>
          <w:szCs w:val="26"/>
        </w:rPr>
        <w:noBreakHyphen/>
      </w:r>
      <w:r w:rsidRPr="0029160A">
        <w:rPr>
          <w:color w:val="000000" w:themeColor="text1"/>
          <w:szCs w:val="26"/>
        </w:rPr>
        <w:t>62; OCA R.B. at 21-32).</w:t>
      </w:r>
    </w:p>
    <w:p w14:paraId="51DC6685" w14:textId="77777777" w:rsidR="001726E3" w:rsidRPr="0029160A" w:rsidRDefault="001726E3" w:rsidP="00CB0B2E">
      <w:pPr>
        <w:widowControl/>
        <w:spacing w:line="360" w:lineRule="auto"/>
        <w:ind w:firstLine="1440"/>
        <w:rPr>
          <w:color w:val="000000" w:themeColor="text1"/>
          <w:szCs w:val="26"/>
        </w:rPr>
      </w:pPr>
    </w:p>
    <w:p w14:paraId="0F55CF91" w14:textId="31AE3D94" w:rsidR="001726E3" w:rsidRPr="0029160A" w:rsidRDefault="001726E3" w:rsidP="00CB0B2E">
      <w:pPr>
        <w:widowControl/>
        <w:spacing w:line="360" w:lineRule="auto"/>
        <w:ind w:firstLine="1440"/>
        <w:rPr>
          <w:color w:val="000000" w:themeColor="text1"/>
          <w:szCs w:val="26"/>
        </w:rPr>
      </w:pPr>
      <w:r w:rsidRPr="0029160A">
        <w:rPr>
          <w:color w:val="000000" w:themeColor="text1"/>
          <w:szCs w:val="26"/>
        </w:rPr>
        <w:t xml:space="preserve">In Replies to I&amp;E Exception No. 6 and OCA Exception No. 7, Wellsboro contends these Exceptions are inconsistent with the record evidence on size risk and therefore should be denied.  As for I&amp;E Exception No. 6, Wellsboro contends I&amp;E relies on a misstatement of the burden of proof.  The Company bore the burden of proof only to its argument that size risk exists for small companies.  </w:t>
      </w:r>
      <w:r w:rsidRPr="0029160A">
        <w:rPr>
          <w:i/>
          <w:color w:val="000000" w:themeColor="text1"/>
          <w:szCs w:val="26"/>
        </w:rPr>
        <w:t xml:space="preserve">Pa. PUC v. Duquesne Light </w:t>
      </w:r>
      <w:r w:rsidRPr="0029160A">
        <w:rPr>
          <w:i/>
          <w:color w:val="000000" w:themeColor="text1"/>
          <w:szCs w:val="26"/>
        </w:rPr>
        <w:lastRenderedPageBreak/>
        <w:t>Company</w:t>
      </w:r>
      <w:r w:rsidRPr="0029160A">
        <w:rPr>
          <w:color w:val="000000" w:themeColor="text1"/>
          <w:szCs w:val="26"/>
        </w:rPr>
        <w:t>, Docket No. R-2018-3000124 (Order entered December 20, 2018) (</w:t>
      </w:r>
      <w:r w:rsidRPr="0029160A">
        <w:rPr>
          <w:i/>
          <w:iCs/>
          <w:color w:val="000000" w:themeColor="text1"/>
          <w:szCs w:val="26"/>
        </w:rPr>
        <w:t>Duquesne Order</w:t>
      </w:r>
      <w:r w:rsidRPr="0029160A">
        <w:rPr>
          <w:color w:val="000000" w:themeColor="text1"/>
          <w:szCs w:val="26"/>
        </w:rPr>
        <w:t>) at 71.  I&amp;E bore the burden of proof to support its counterargument that even if small companies face size risk, utilities do not.  The ALJs appropriately determined that I&amp;E failed to support its counterargument.  R.D. at 74.  As for OCA Exception No. 7, Wellsboro argues the OCA’s argument is unsupported and not responsive to the R.D.’s recommendation to accept a size adjustment.  The Company submits that its Exceptions addressed the deficiencies in the R.D.</w:t>
      </w:r>
      <w:r w:rsidR="0052404E" w:rsidRPr="0029160A">
        <w:rPr>
          <w:color w:val="000000" w:themeColor="text1"/>
          <w:szCs w:val="26"/>
        </w:rPr>
        <w:t>’</w:t>
      </w:r>
      <w:r w:rsidRPr="0029160A">
        <w:rPr>
          <w:color w:val="000000" w:themeColor="text1"/>
          <w:szCs w:val="26"/>
        </w:rPr>
        <w:t xml:space="preserve">s ROE determination and detailed the necessity of ensuring that an appropriate size adjustment should be applied to the ROE that would otherwise be approved for a larger electric utility.  The I&amp;E and </w:t>
      </w:r>
      <w:r w:rsidR="008107E8" w:rsidRPr="0029160A">
        <w:rPr>
          <w:color w:val="000000" w:themeColor="text1"/>
          <w:szCs w:val="26"/>
        </w:rPr>
        <w:t xml:space="preserve">the </w:t>
      </w:r>
      <w:r w:rsidRPr="0029160A">
        <w:rPr>
          <w:color w:val="000000" w:themeColor="text1"/>
          <w:szCs w:val="26"/>
        </w:rPr>
        <w:t>OCA Exceptions</w:t>
      </w:r>
      <w:r w:rsidRPr="0029160A">
        <w:rPr>
          <w:color w:val="000000" w:themeColor="text1"/>
          <w:sz w:val="24"/>
          <w:szCs w:val="22"/>
        </w:rPr>
        <w:t xml:space="preserve"> </w:t>
      </w:r>
      <w:r w:rsidRPr="0029160A">
        <w:rPr>
          <w:color w:val="000000" w:themeColor="text1"/>
          <w:szCs w:val="26"/>
        </w:rPr>
        <w:t>seeking to reduce the ROE approved in the R.D. would deprive the Company of an opportunity to earn a reasonable rate of return and frustrate its efforts to continue furnishing reliable public utility service to customers.  Wellsboro R. Exc. at 14-20.</w:t>
      </w:r>
    </w:p>
    <w:p w14:paraId="047D32DB" w14:textId="77777777" w:rsidR="00651332" w:rsidRPr="0029160A" w:rsidRDefault="00651332" w:rsidP="00CB0B2E">
      <w:pPr>
        <w:widowControl/>
        <w:spacing w:line="360" w:lineRule="auto"/>
        <w:ind w:firstLine="1440"/>
        <w:rPr>
          <w:color w:val="000000" w:themeColor="text1"/>
          <w:szCs w:val="26"/>
        </w:rPr>
      </w:pPr>
    </w:p>
    <w:p w14:paraId="66F8D3E6" w14:textId="77777777" w:rsidR="005B2A99" w:rsidRPr="0029160A" w:rsidRDefault="005B2A99" w:rsidP="00CB0B2E">
      <w:pPr>
        <w:pStyle w:val="Heading4"/>
        <w:keepNext/>
        <w:keepLines/>
        <w:ind w:hanging="720"/>
        <w:rPr>
          <w:color w:val="000000" w:themeColor="text1"/>
        </w:rPr>
      </w:pPr>
      <w:bookmarkStart w:id="136" w:name="_Toc38951803"/>
      <w:r w:rsidRPr="0029160A">
        <w:rPr>
          <w:color w:val="000000" w:themeColor="text1"/>
        </w:rPr>
        <w:t>Disposition</w:t>
      </w:r>
      <w:bookmarkEnd w:id="136"/>
    </w:p>
    <w:p w14:paraId="72E61889" w14:textId="77777777" w:rsidR="005B2A99" w:rsidRPr="0029160A" w:rsidRDefault="005B2A99" w:rsidP="0052404E">
      <w:pPr>
        <w:keepNext/>
        <w:keepLines/>
        <w:widowControl/>
        <w:spacing w:line="360" w:lineRule="auto"/>
        <w:rPr>
          <w:color w:val="000000" w:themeColor="text1"/>
          <w:szCs w:val="26"/>
        </w:rPr>
      </w:pPr>
    </w:p>
    <w:p w14:paraId="004834E3" w14:textId="77777777" w:rsidR="002358DF" w:rsidRPr="0029160A" w:rsidRDefault="002358DF" w:rsidP="0052404E">
      <w:pPr>
        <w:widowControl/>
        <w:spacing w:line="360" w:lineRule="auto"/>
        <w:ind w:firstLine="1440"/>
        <w:contextualSpacing/>
        <w:rPr>
          <w:color w:val="000000" w:themeColor="text1"/>
          <w:szCs w:val="26"/>
        </w:rPr>
      </w:pPr>
      <w:r w:rsidRPr="0029160A">
        <w:rPr>
          <w:color w:val="000000" w:themeColor="text1"/>
          <w:szCs w:val="26"/>
        </w:rPr>
        <w:t>Based upon the evidence of record, we agree with the recommendation of the ALJs to factor the size risk into the ROE determination by using the high end (9.49%) of a one standard deviation range (7.05% to 9.49%) based on the average of Wellsboro’s mean and median constant growth DCF results.  R.D. at 76.  In doing</w:t>
      </w:r>
      <w:r w:rsidR="00074A4F" w:rsidRPr="0029160A">
        <w:rPr>
          <w:color w:val="000000" w:themeColor="text1"/>
          <w:szCs w:val="26"/>
        </w:rPr>
        <w:t xml:space="preserve"> so</w:t>
      </w:r>
      <w:r w:rsidRPr="0029160A">
        <w:rPr>
          <w:color w:val="000000" w:themeColor="text1"/>
          <w:szCs w:val="26"/>
        </w:rPr>
        <w:t xml:space="preserve">, we recognize that Wellsboro’s size is a factor in assessing its ability to attract capital.  Accordingly, we shall reject Wellsboro’s Exception No. 8, I&amp;E’s Exception No. 6, and the OCA’s Exception No. 7, consistent with the following discussion.  </w:t>
      </w:r>
    </w:p>
    <w:p w14:paraId="6D219857" w14:textId="77777777" w:rsidR="002358DF" w:rsidRPr="0029160A" w:rsidRDefault="002358DF">
      <w:pPr>
        <w:widowControl/>
        <w:spacing w:line="360" w:lineRule="auto"/>
        <w:ind w:firstLine="1440"/>
        <w:contextualSpacing/>
        <w:rPr>
          <w:color w:val="000000" w:themeColor="text1"/>
          <w:szCs w:val="26"/>
        </w:rPr>
      </w:pPr>
    </w:p>
    <w:p w14:paraId="3CDE446F" w14:textId="58D09776" w:rsidR="002358DF" w:rsidRPr="0029160A" w:rsidRDefault="002358DF">
      <w:pPr>
        <w:widowControl/>
        <w:spacing w:line="360" w:lineRule="auto"/>
        <w:ind w:firstLine="1440"/>
        <w:contextualSpacing/>
        <w:rPr>
          <w:color w:val="000000" w:themeColor="text1"/>
          <w:szCs w:val="26"/>
        </w:rPr>
      </w:pPr>
      <w:r w:rsidRPr="0029160A">
        <w:rPr>
          <w:color w:val="000000" w:themeColor="text1"/>
          <w:szCs w:val="26"/>
        </w:rPr>
        <w:t xml:space="preserve">We are not convinced by the arguments of I&amp;E and the OCA that the ALJs erred in awarding a size adjustment to Wellsboro.  Rather, we are of the same opinion as the ALJs that Wellsboro’s witness Mr. D’Ascendis offered persuasive record evidence that there is a general inverse relationship between size and risk, such that smaller companies like Wellsboro face greater risk.  In this regard, Mr. D’Ascendis testified that smaller companies face greater business risk because they have fewer resources to enable </w:t>
      </w:r>
      <w:r w:rsidRPr="0029160A">
        <w:rPr>
          <w:color w:val="000000" w:themeColor="text1"/>
          <w:szCs w:val="26"/>
        </w:rPr>
        <w:lastRenderedPageBreak/>
        <w:t>them to handle significant events that affect their sales, revenues, and earnings.  Therefore, the loss of revenues from a few larger customers would have a greater effect on a small</w:t>
      </w:r>
      <w:r w:rsidR="00955E12" w:rsidRPr="0029160A">
        <w:rPr>
          <w:color w:val="000000" w:themeColor="text1"/>
          <w:szCs w:val="26"/>
        </w:rPr>
        <w:t>er</w:t>
      </w:r>
      <w:r w:rsidRPr="0029160A">
        <w:rPr>
          <w:color w:val="000000" w:themeColor="text1"/>
          <w:szCs w:val="26"/>
        </w:rPr>
        <w:t xml:space="preserve"> company than on a bigger company that has a larger and more diverse customer base.  Wellsboro St. 2 at 41-42.  Accordingly, we find it intuitive that, because smaller firms are riskier, investors will generally demand greater returns to compensate for greater assumed risk.  Further, because the record evidence demonstrates that Wellsboro is significantly smaller in size when compared to the EDCs in its proxy group, we find that this weighs in favor of awarding the Company a size adjustment.</w:t>
      </w:r>
    </w:p>
    <w:p w14:paraId="35F41DBB" w14:textId="77777777" w:rsidR="002358DF" w:rsidRPr="0029160A" w:rsidRDefault="002358DF">
      <w:pPr>
        <w:widowControl/>
        <w:spacing w:line="360" w:lineRule="auto"/>
        <w:ind w:firstLine="1440"/>
        <w:contextualSpacing/>
        <w:rPr>
          <w:color w:val="000000" w:themeColor="text1"/>
          <w:szCs w:val="26"/>
        </w:rPr>
      </w:pPr>
    </w:p>
    <w:p w14:paraId="71256CBE" w14:textId="781D0AC7" w:rsidR="002358DF" w:rsidRPr="0029160A" w:rsidRDefault="002358DF">
      <w:pPr>
        <w:widowControl/>
        <w:spacing w:line="360" w:lineRule="auto"/>
        <w:ind w:firstLine="1440"/>
        <w:contextualSpacing/>
        <w:rPr>
          <w:color w:val="000000" w:themeColor="text1"/>
          <w:szCs w:val="26"/>
        </w:rPr>
      </w:pPr>
      <w:r w:rsidRPr="0029160A">
        <w:rPr>
          <w:color w:val="000000" w:themeColor="text1"/>
          <w:szCs w:val="26"/>
        </w:rPr>
        <w:t xml:space="preserve">At the same time, however, we echo the ALJs that the Parties have presented offsetting arguments such that there is not substantial evidence to determine whether size is specifically a risk for utilities.  As I&amp;E and the OCA both noted, the technical literature presented by Wellsboro is not specific to the utility industry and also may not definitively support a size adjustment.  Additionally, as I&amp;E observed, the empirical study undertaken by Wellsboro’s witness Mr. D’Ascendis illustrates the difficulty in predicting the risk effect of a company’s size.  More specifically, while Mr. D’Ascendis used market information from the NYSE, the AMEX, and the NASDAQ, we find that I&amp;E offered evidence indicating that for certain periods, large-capitalization stocks have outperformed small-capitalization stocks such that there is not sufficient correlation to prove that size is a specific risk for utilities.  I&amp;E St. 2-SR at 23-24.  Therefore, we are not persuaded by Wellsboro’s argument that the ALJs erred by not awarding the Company a greater size adjustment.  For this reason, we decline to award an explicit 100-basis point size adjustment, as advocated by Wellsboro.  </w:t>
      </w:r>
    </w:p>
    <w:p w14:paraId="43C99EBF" w14:textId="77777777" w:rsidR="002358DF" w:rsidRPr="0029160A" w:rsidRDefault="002358DF">
      <w:pPr>
        <w:widowControl/>
        <w:spacing w:line="360" w:lineRule="auto"/>
        <w:ind w:firstLine="1440"/>
        <w:contextualSpacing/>
        <w:rPr>
          <w:color w:val="000000" w:themeColor="text1"/>
          <w:szCs w:val="26"/>
        </w:rPr>
      </w:pPr>
    </w:p>
    <w:p w14:paraId="28DBEA9E" w14:textId="77777777" w:rsidR="002358DF" w:rsidRPr="0029160A" w:rsidRDefault="002358DF">
      <w:pPr>
        <w:widowControl/>
        <w:spacing w:line="360" w:lineRule="auto"/>
        <w:ind w:firstLine="1440"/>
        <w:contextualSpacing/>
        <w:rPr>
          <w:color w:val="000000" w:themeColor="text1"/>
          <w:szCs w:val="26"/>
        </w:rPr>
      </w:pPr>
      <w:r w:rsidRPr="0029160A">
        <w:rPr>
          <w:color w:val="000000" w:themeColor="text1"/>
          <w:szCs w:val="26"/>
        </w:rPr>
        <w:t xml:space="preserve">Consistent with the foregoing discussion, like the ALJs, we shall not specify an exact size adjustment.  Instead, we shall adopt the ALJs’ recommendation that the top of Wellsboro’s DCF range of 9.49% reflects Wellsboro’s status as a company many magnitudes smaller than the companies in the proxy group.  R.D. at 80.  We note, however, that Wellsboro’s Exhibit_(HSG-1R) Schedule C1R only allowed for a 7.14% </w:t>
      </w:r>
      <w:r w:rsidRPr="0029160A">
        <w:rPr>
          <w:color w:val="000000" w:themeColor="text1"/>
          <w:szCs w:val="26"/>
        </w:rPr>
        <w:lastRenderedPageBreak/>
        <w:t>rate of return on rate base to limit the revenue increase to $999,999.  The associated rate of return on equity would be 9.31%, which was granted by the ALJs.  R.D. at 81.  In our view, this cost of equity is reasonable and strikes an appropriate balance by recognizing the general inverse relationship between a company’s size and its risk, while acknowledging that there is not substantial evidence in the record to prove that an explicit size basis point adjustment is warranted in this case.</w:t>
      </w:r>
    </w:p>
    <w:p w14:paraId="17C47216" w14:textId="77777777" w:rsidR="005B2A99" w:rsidRPr="0029160A" w:rsidRDefault="005B2A99" w:rsidP="00CB0B2E">
      <w:pPr>
        <w:pStyle w:val="Heading3"/>
        <w:numPr>
          <w:ilvl w:val="0"/>
          <w:numId w:val="0"/>
        </w:numPr>
        <w:ind w:left="1800"/>
        <w:rPr>
          <w:color w:val="000000" w:themeColor="text1"/>
        </w:rPr>
      </w:pPr>
    </w:p>
    <w:p w14:paraId="665982CB" w14:textId="3335E551" w:rsidR="00D72D1C" w:rsidRPr="0029160A" w:rsidRDefault="008463A0" w:rsidP="00CB0B2E">
      <w:pPr>
        <w:pStyle w:val="Heading3"/>
        <w:keepNext/>
        <w:keepLines/>
        <w:ind w:left="1440" w:hanging="720"/>
        <w:rPr>
          <w:color w:val="000000" w:themeColor="text1"/>
        </w:rPr>
      </w:pPr>
      <w:bookmarkStart w:id="137" w:name="_Toc36552364"/>
      <w:bookmarkStart w:id="138" w:name="_Toc38951804"/>
      <w:bookmarkStart w:id="139" w:name="_Hlk38950939"/>
      <w:r w:rsidRPr="0029160A">
        <w:rPr>
          <w:color w:val="000000" w:themeColor="text1"/>
        </w:rPr>
        <w:t xml:space="preserve">Rate of Return:  </w:t>
      </w:r>
      <w:r w:rsidR="00461A7E" w:rsidRPr="0029160A">
        <w:rPr>
          <w:color w:val="000000" w:themeColor="text1"/>
        </w:rPr>
        <w:t>Management Effectiveness Adjustment</w:t>
      </w:r>
      <w:r w:rsidRPr="0029160A">
        <w:rPr>
          <w:color w:val="000000" w:themeColor="text1"/>
        </w:rPr>
        <w:t xml:space="preserve"> to </w:t>
      </w:r>
      <w:bookmarkEnd w:id="137"/>
      <w:r w:rsidR="00490D6E" w:rsidRPr="0029160A">
        <w:rPr>
          <w:color w:val="000000" w:themeColor="text1"/>
        </w:rPr>
        <w:t>ROE</w:t>
      </w:r>
      <w:bookmarkEnd w:id="138"/>
    </w:p>
    <w:p w14:paraId="12FB868E" w14:textId="77777777" w:rsidR="00D72D1C" w:rsidRPr="0029160A" w:rsidRDefault="00D72D1C">
      <w:pPr>
        <w:keepNext/>
        <w:keepLines/>
        <w:widowControl/>
        <w:rPr>
          <w:color w:val="000000" w:themeColor="text1"/>
        </w:rPr>
      </w:pPr>
    </w:p>
    <w:p w14:paraId="5665C323" w14:textId="14E56739" w:rsidR="00D72D1C" w:rsidRPr="0029160A" w:rsidRDefault="00D72D1C" w:rsidP="00CB0B2E">
      <w:pPr>
        <w:pStyle w:val="Heading4"/>
        <w:keepNext/>
        <w:keepLines/>
        <w:numPr>
          <w:ilvl w:val="0"/>
          <w:numId w:val="24"/>
        </w:numPr>
        <w:ind w:hanging="720"/>
        <w:rPr>
          <w:color w:val="000000" w:themeColor="text1"/>
        </w:rPr>
      </w:pPr>
      <w:bookmarkStart w:id="140" w:name="_Toc38951805"/>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140"/>
    </w:p>
    <w:p w14:paraId="18FBEF7B" w14:textId="77777777" w:rsidR="00D72D1C" w:rsidRPr="0029160A" w:rsidRDefault="00D72D1C">
      <w:pPr>
        <w:keepNext/>
        <w:keepLines/>
        <w:widowControl/>
        <w:rPr>
          <w:color w:val="000000" w:themeColor="text1"/>
          <w:szCs w:val="26"/>
        </w:rPr>
      </w:pPr>
    </w:p>
    <w:p w14:paraId="141F0C64" w14:textId="276E85D5" w:rsidR="006C6A4D" w:rsidRPr="0029160A" w:rsidRDefault="006C6A4D" w:rsidP="00B842EC">
      <w:pPr>
        <w:widowControl/>
        <w:spacing w:line="360" w:lineRule="auto"/>
        <w:ind w:firstLine="1440"/>
        <w:rPr>
          <w:bCs/>
          <w:color w:val="000000" w:themeColor="text1"/>
          <w:szCs w:val="26"/>
        </w:rPr>
      </w:pPr>
      <w:r w:rsidRPr="0029160A">
        <w:rPr>
          <w:color w:val="000000" w:themeColor="text1"/>
          <w:szCs w:val="26"/>
        </w:rPr>
        <w:t>As noted above,</w:t>
      </w:r>
      <w:r w:rsidRPr="0029160A">
        <w:rPr>
          <w:color w:val="000000" w:themeColor="text1"/>
        </w:rPr>
        <w:t xml:space="preserve"> </w:t>
      </w:r>
      <w:r w:rsidR="00152B90" w:rsidRPr="0029160A">
        <w:rPr>
          <w:color w:val="000000" w:themeColor="text1"/>
        </w:rPr>
        <w:t>Wellsboro request</w:t>
      </w:r>
      <w:r w:rsidR="00A56652" w:rsidRPr="0029160A">
        <w:rPr>
          <w:color w:val="000000" w:themeColor="text1"/>
        </w:rPr>
        <w:t>ed</w:t>
      </w:r>
      <w:r w:rsidR="00152B90" w:rsidRPr="0029160A">
        <w:rPr>
          <w:color w:val="000000" w:themeColor="text1"/>
        </w:rPr>
        <w:t xml:space="preserve"> in this proceeding that it be given a 25-basis point addition to the </w:t>
      </w:r>
      <w:r w:rsidR="006D5F31" w:rsidRPr="0029160A">
        <w:rPr>
          <w:color w:val="000000" w:themeColor="text1"/>
        </w:rPr>
        <w:t>COE</w:t>
      </w:r>
      <w:r w:rsidR="00152B90" w:rsidRPr="0029160A">
        <w:rPr>
          <w:color w:val="000000" w:themeColor="text1"/>
        </w:rPr>
        <w:t xml:space="preserve"> due to its management effectiveness.  R.D. at 78.  Both </w:t>
      </w:r>
      <w:r w:rsidR="00152B90" w:rsidRPr="0029160A">
        <w:rPr>
          <w:bCs/>
          <w:color w:val="000000" w:themeColor="text1"/>
          <w:szCs w:val="26"/>
        </w:rPr>
        <w:t>I&amp;E and the OCA oppose</w:t>
      </w:r>
      <w:r w:rsidR="00A56652" w:rsidRPr="0029160A">
        <w:rPr>
          <w:bCs/>
          <w:color w:val="000000" w:themeColor="text1"/>
          <w:szCs w:val="26"/>
        </w:rPr>
        <w:t>d</w:t>
      </w:r>
      <w:r w:rsidR="00152B90" w:rsidRPr="0029160A">
        <w:rPr>
          <w:bCs/>
          <w:color w:val="000000" w:themeColor="text1"/>
          <w:szCs w:val="26"/>
        </w:rPr>
        <w:t xml:space="preserve"> the award of any allowance for management effectiveness.  R.D. at 78; </w:t>
      </w:r>
      <w:r w:rsidR="00152B90" w:rsidRPr="0029160A">
        <w:rPr>
          <w:color w:val="000000" w:themeColor="text1"/>
          <w:szCs w:val="26"/>
        </w:rPr>
        <w:t xml:space="preserve">R.D. </w:t>
      </w:r>
      <w:r w:rsidR="00CD29B2">
        <w:rPr>
          <w:color w:val="000000" w:themeColor="text1"/>
          <w:szCs w:val="26"/>
        </w:rPr>
        <w:t xml:space="preserve">at </w:t>
      </w:r>
      <w:r w:rsidR="00152B90" w:rsidRPr="0029160A">
        <w:rPr>
          <w:color w:val="000000" w:themeColor="text1"/>
          <w:szCs w:val="26"/>
        </w:rPr>
        <w:t>78-79 (ALJs</w:t>
      </w:r>
      <w:r w:rsidR="00CF796C" w:rsidRPr="0029160A">
        <w:rPr>
          <w:color w:val="000000" w:themeColor="text1"/>
          <w:szCs w:val="26"/>
        </w:rPr>
        <w:t>’</w:t>
      </w:r>
      <w:r w:rsidR="00152B90" w:rsidRPr="0029160A">
        <w:rPr>
          <w:color w:val="000000" w:themeColor="text1"/>
          <w:szCs w:val="26"/>
        </w:rPr>
        <w:t xml:space="preserve"> summary of the testimonies offered by the Company’s, I&amp;E’s and the OCA’s experts regarding a management effectiveness adjustment to the COE).  </w:t>
      </w:r>
    </w:p>
    <w:bookmarkEnd w:id="139"/>
    <w:p w14:paraId="062B0F7B" w14:textId="77777777" w:rsidR="00D72D1C" w:rsidRPr="0029160A" w:rsidRDefault="00D72D1C" w:rsidP="00B842EC">
      <w:pPr>
        <w:widowControl/>
        <w:spacing w:line="360" w:lineRule="auto"/>
        <w:rPr>
          <w:color w:val="000000" w:themeColor="text1"/>
          <w:szCs w:val="26"/>
        </w:rPr>
      </w:pPr>
    </w:p>
    <w:p w14:paraId="3CFD892C" w14:textId="77777777" w:rsidR="00D72D1C" w:rsidRPr="0029160A" w:rsidRDefault="00D72D1C" w:rsidP="00CB0B2E">
      <w:pPr>
        <w:pStyle w:val="Heading4"/>
        <w:ind w:hanging="720"/>
        <w:rPr>
          <w:color w:val="000000" w:themeColor="text1"/>
        </w:rPr>
      </w:pPr>
      <w:bookmarkStart w:id="141" w:name="_Toc38951806"/>
      <w:r w:rsidRPr="0029160A">
        <w:rPr>
          <w:color w:val="000000" w:themeColor="text1"/>
        </w:rPr>
        <w:t>Recommended Decision</w:t>
      </w:r>
      <w:bookmarkEnd w:id="141"/>
      <w:r w:rsidR="0095457E" w:rsidRPr="0029160A">
        <w:rPr>
          <w:color w:val="000000" w:themeColor="text1"/>
        </w:rPr>
        <w:t xml:space="preserve"> </w:t>
      </w:r>
    </w:p>
    <w:p w14:paraId="65842C42" w14:textId="77777777" w:rsidR="00D72D1C" w:rsidRPr="0029160A" w:rsidRDefault="00D72D1C" w:rsidP="00B842EC">
      <w:pPr>
        <w:widowControl/>
        <w:spacing w:line="360" w:lineRule="auto"/>
        <w:rPr>
          <w:color w:val="000000" w:themeColor="text1"/>
          <w:szCs w:val="26"/>
        </w:rPr>
      </w:pPr>
    </w:p>
    <w:p w14:paraId="1AA2C090" w14:textId="22ACD02C" w:rsidR="00152B90" w:rsidRPr="0029160A" w:rsidRDefault="001726E3" w:rsidP="00CB0B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spacing w:line="360" w:lineRule="auto"/>
        <w:ind w:firstLine="1440"/>
        <w:rPr>
          <w:color w:val="000000" w:themeColor="text1"/>
          <w:szCs w:val="26"/>
        </w:rPr>
      </w:pPr>
      <w:r w:rsidRPr="0029160A">
        <w:rPr>
          <w:color w:val="000000" w:themeColor="text1"/>
          <w:szCs w:val="26"/>
        </w:rPr>
        <w:t xml:space="preserve">The ALJs </w:t>
      </w:r>
      <w:r w:rsidR="006C6A4D" w:rsidRPr="0029160A">
        <w:rPr>
          <w:color w:val="000000" w:themeColor="text1"/>
          <w:szCs w:val="26"/>
        </w:rPr>
        <w:t>explained that Section 523 of the Code requires the Commission to consider management performance and effectiveness when setting rates.  R.D. at 77 (citing 66 Pa.</w:t>
      </w:r>
      <w:r w:rsidR="00B842EC" w:rsidRPr="0029160A">
        <w:rPr>
          <w:color w:val="000000" w:themeColor="text1"/>
          <w:szCs w:val="26"/>
        </w:rPr>
        <w:t xml:space="preserve"> </w:t>
      </w:r>
      <w:r w:rsidR="006C6A4D" w:rsidRPr="0029160A">
        <w:rPr>
          <w:color w:val="000000" w:themeColor="text1"/>
          <w:szCs w:val="26"/>
        </w:rPr>
        <w:t>C.S. § 523(a)).</w:t>
      </w:r>
      <w:r w:rsidR="00152B90" w:rsidRPr="0029160A">
        <w:rPr>
          <w:color w:val="000000" w:themeColor="text1"/>
          <w:szCs w:val="26"/>
        </w:rPr>
        <w:t xml:space="preserve">  The ALJs explained that Section 523(a) merely requires that the Commission consider a utility’s efficiency, effectiveness and adequacy of service in determining just and reasonable rates.  In the ALJs’ opinion, this section does not state that any particularly remarkable or extraordinary level of efficiency, effectiveness or customer service is required in order for the Commission to award an adjustment for management effectiveness, and we do not so interpret this section here.  R.D. at 79.</w:t>
      </w:r>
    </w:p>
    <w:p w14:paraId="70C20CF5" w14:textId="77777777" w:rsidR="00724D30" w:rsidRPr="0029160A" w:rsidRDefault="00724D30" w:rsidP="00CB0B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spacing w:line="360" w:lineRule="auto"/>
        <w:ind w:firstLine="1440"/>
        <w:rPr>
          <w:color w:val="000000" w:themeColor="text1"/>
          <w:szCs w:val="26"/>
        </w:rPr>
      </w:pPr>
    </w:p>
    <w:p w14:paraId="189D5702" w14:textId="7F294E0D" w:rsidR="006C6A4D" w:rsidRPr="0029160A" w:rsidRDefault="006C6A4D" w:rsidP="00CB0B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spacing w:line="360" w:lineRule="auto"/>
        <w:ind w:firstLine="1440"/>
        <w:rPr>
          <w:rFonts w:eastAsiaTheme="minorHAnsi"/>
          <w:color w:val="000000" w:themeColor="text1"/>
          <w:szCs w:val="26"/>
        </w:rPr>
      </w:pPr>
      <w:bookmarkStart w:id="142" w:name="_Hlk38954640"/>
      <w:r w:rsidRPr="0029160A">
        <w:rPr>
          <w:color w:val="000000" w:themeColor="text1"/>
          <w:szCs w:val="26"/>
        </w:rPr>
        <w:lastRenderedPageBreak/>
        <w:t xml:space="preserve">The ALJs explained that, in past decisions, the Commission has included upward adjustments to the </w:t>
      </w:r>
      <w:r w:rsidR="008017CD" w:rsidRPr="0029160A">
        <w:rPr>
          <w:color w:val="000000" w:themeColor="text1"/>
          <w:szCs w:val="26"/>
        </w:rPr>
        <w:t>COE</w:t>
      </w:r>
      <w:r w:rsidRPr="0029160A">
        <w:rPr>
          <w:color w:val="000000" w:themeColor="text1"/>
          <w:szCs w:val="26"/>
        </w:rPr>
        <w:t xml:space="preserve"> to reflect solid management effectiveness.  R.D. at 77 (citing</w:t>
      </w:r>
      <w:r w:rsidRPr="0029160A">
        <w:rPr>
          <w:i/>
          <w:color w:val="000000" w:themeColor="text1"/>
          <w:szCs w:val="26"/>
        </w:rPr>
        <w:t xml:space="preserve"> 2012 PPL Order</w:t>
      </w:r>
      <w:r w:rsidRPr="0029160A">
        <w:rPr>
          <w:color w:val="000000" w:themeColor="text1"/>
          <w:szCs w:val="26"/>
        </w:rPr>
        <w:t xml:space="preserve"> at 98-99; </w:t>
      </w:r>
      <w:r w:rsidRPr="0029160A">
        <w:rPr>
          <w:i/>
          <w:color w:val="000000" w:themeColor="text1"/>
          <w:szCs w:val="26"/>
        </w:rPr>
        <w:t>Pa. PUC v. Aqua PA, Inc.</w:t>
      </w:r>
      <w:r w:rsidRPr="0029160A">
        <w:rPr>
          <w:color w:val="000000" w:themeColor="text1"/>
          <w:szCs w:val="26"/>
        </w:rPr>
        <w:t>, Docket No. R</w:t>
      </w:r>
      <w:r w:rsidR="00B842EC" w:rsidRPr="0029160A">
        <w:rPr>
          <w:color w:val="000000" w:themeColor="text1"/>
          <w:szCs w:val="26"/>
        </w:rPr>
        <w:noBreakHyphen/>
      </w:r>
      <w:r w:rsidRPr="0029160A">
        <w:rPr>
          <w:color w:val="000000" w:themeColor="text1"/>
          <w:szCs w:val="26"/>
        </w:rPr>
        <w:t xml:space="preserve">00072711, 2008 Pa. PUC LEXIS 50 (Order </w:t>
      </w:r>
      <w:r w:rsidR="00396318" w:rsidRPr="0029160A">
        <w:rPr>
          <w:color w:val="000000" w:themeColor="text1"/>
          <w:szCs w:val="26"/>
        </w:rPr>
        <w:t>entered</w:t>
      </w:r>
      <w:r w:rsidRPr="0029160A">
        <w:rPr>
          <w:color w:val="000000" w:themeColor="text1"/>
          <w:szCs w:val="26"/>
        </w:rPr>
        <w:t xml:space="preserve"> July 17, 2008); </w:t>
      </w:r>
      <w:r w:rsidRPr="0029160A">
        <w:rPr>
          <w:i/>
          <w:color w:val="000000" w:themeColor="text1"/>
          <w:szCs w:val="26"/>
        </w:rPr>
        <w:t>Pa. PUC</w:t>
      </w:r>
      <w:r w:rsidR="00396318" w:rsidRPr="0029160A">
        <w:rPr>
          <w:i/>
          <w:color w:val="000000" w:themeColor="text1"/>
          <w:szCs w:val="26"/>
        </w:rPr>
        <w:t>, et al.</w:t>
      </w:r>
      <w:r w:rsidR="00BE1CFA" w:rsidRPr="0029160A">
        <w:rPr>
          <w:i/>
          <w:color w:val="000000" w:themeColor="text1"/>
          <w:szCs w:val="26"/>
        </w:rPr>
        <w:t xml:space="preserve"> v. West</w:t>
      </w:r>
      <w:r w:rsidR="00452940" w:rsidRPr="0029160A">
        <w:rPr>
          <w:i/>
          <w:color w:val="000000" w:themeColor="text1"/>
          <w:szCs w:val="26"/>
        </w:rPr>
        <w:t> </w:t>
      </w:r>
      <w:r w:rsidR="00BE1CFA" w:rsidRPr="0029160A">
        <w:rPr>
          <w:i/>
          <w:color w:val="000000" w:themeColor="text1"/>
          <w:szCs w:val="26"/>
        </w:rPr>
        <w:t>Penn Power</w:t>
      </w:r>
      <w:r w:rsidR="00396318" w:rsidRPr="0029160A">
        <w:rPr>
          <w:i/>
          <w:color w:val="000000" w:themeColor="text1"/>
          <w:szCs w:val="26"/>
        </w:rPr>
        <w:t xml:space="preserve"> Company</w:t>
      </w:r>
      <w:r w:rsidRPr="0029160A">
        <w:rPr>
          <w:color w:val="000000" w:themeColor="text1"/>
          <w:szCs w:val="26"/>
        </w:rPr>
        <w:t xml:space="preserve">, Docket No. R-00942986, 1994 Pa. PUC LEXIS 144 (Order </w:t>
      </w:r>
      <w:r w:rsidR="00396318" w:rsidRPr="0029160A">
        <w:rPr>
          <w:color w:val="000000" w:themeColor="text1"/>
          <w:szCs w:val="26"/>
        </w:rPr>
        <w:t>entered</w:t>
      </w:r>
      <w:r w:rsidRPr="0029160A">
        <w:rPr>
          <w:color w:val="000000" w:themeColor="text1"/>
          <w:szCs w:val="26"/>
        </w:rPr>
        <w:t xml:space="preserve"> </w:t>
      </w:r>
      <w:r w:rsidR="00452940" w:rsidRPr="0029160A">
        <w:rPr>
          <w:color w:val="000000" w:themeColor="text1"/>
          <w:szCs w:val="26"/>
        </w:rPr>
        <w:t>December 29, 1994</w:t>
      </w:r>
      <w:r w:rsidRPr="0029160A">
        <w:rPr>
          <w:color w:val="000000" w:themeColor="text1"/>
          <w:szCs w:val="26"/>
        </w:rPr>
        <w:t>)</w:t>
      </w:r>
      <w:r w:rsidR="002962FF" w:rsidRPr="0029160A">
        <w:rPr>
          <w:color w:val="000000" w:themeColor="text1"/>
          <w:szCs w:val="26"/>
        </w:rPr>
        <w:t>)</w:t>
      </w:r>
      <w:r w:rsidRPr="0029160A">
        <w:rPr>
          <w:color w:val="000000" w:themeColor="text1"/>
          <w:szCs w:val="26"/>
        </w:rPr>
        <w:t xml:space="preserve">.  The ALJs further explained that, in order to be rewarded with a rate of return premium, the utility must provide specific evidence to support the adjustment.  R.D. at 77 (citing </w:t>
      </w:r>
      <w:r w:rsidRPr="0029160A">
        <w:rPr>
          <w:i/>
          <w:iCs/>
          <w:color w:val="000000" w:themeColor="text1"/>
          <w:szCs w:val="26"/>
        </w:rPr>
        <w:t xml:space="preserve">Pa. PUC </w:t>
      </w:r>
      <w:r w:rsidR="00152B90" w:rsidRPr="0029160A">
        <w:rPr>
          <w:i/>
          <w:iCs/>
          <w:color w:val="000000" w:themeColor="text1"/>
          <w:szCs w:val="26"/>
        </w:rPr>
        <w:t xml:space="preserve">v. </w:t>
      </w:r>
      <w:r w:rsidRPr="0029160A">
        <w:rPr>
          <w:i/>
          <w:iCs/>
          <w:color w:val="000000" w:themeColor="text1"/>
          <w:szCs w:val="26"/>
        </w:rPr>
        <w:t>Columbia Water Co.</w:t>
      </w:r>
      <w:r w:rsidRPr="0029160A">
        <w:rPr>
          <w:color w:val="000000" w:themeColor="text1"/>
          <w:szCs w:val="26"/>
        </w:rPr>
        <w:t>, 2013 Pa. PUC L</w:t>
      </w:r>
      <w:r w:rsidR="00452940" w:rsidRPr="0029160A">
        <w:rPr>
          <w:color w:val="000000" w:themeColor="text1"/>
          <w:szCs w:val="26"/>
        </w:rPr>
        <w:t xml:space="preserve">EXIS </w:t>
      </w:r>
      <w:r w:rsidRPr="0029160A">
        <w:rPr>
          <w:color w:val="000000" w:themeColor="text1"/>
          <w:szCs w:val="26"/>
        </w:rPr>
        <w:t xml:space="preserve">763, *82). </w:t>
      </w:r>
    </w:p>
    <w:bookmarkEnd w:id="142"/>
    <w:p w14:paraId="671FB068" w14:textId="77777777" w:rsidR="006C6A4D" w:rsidRPr="0029160A" w:rsidRDefault="006C6A4D" w:rsidP="00CB0B2E">
      <w:pPr>
        <w:widowControl/>
        <w:spacing w:line="360" w:lineRule="auto"/>
        <w:rPr>
          <w:color w:val="000000" w:themeColor="text1"/>
          <w:szCs w:val="26"/>
        </w:rPr>
      </w:pPr>
    </w:p>
    <w:p w14:paraId="45BF66F7" w14:textId="77777777" w:rsidR="00152B90" w:rsidRPr="0029160A" w:rsidRDefault="006C6A4D" w:rsidP="00CB0B2E">
      <w:pPr>
        <w:widowControl/>
        <w:spacing w:line="360" w:lineRule="auto"/>
        <w:ind w:firstLine="1440"/>
        <w:rPr>
          <w:color w:val="000000" w:themeColor="text1"/>
          <w:szCs w:val="26"/>
        </w:rPr>
      </w:pPr>
      <w:r w:rsidRPr="0029160A">
        <w:rPr>
          <w:color w:val="000000" w:themeColor="text1"/>
          <w:szCs w:val="26"/>
        </w:rPr>
        <w:t xml:space="preserve">The ALJs </w:t>
      </w:r>
      <w:r w:rsidR="001726E3" w:rsidRPr="0029160A">
        <w:rPr>
          <w:color w:val="000000" w:themeColor="text1"/>
          <w:szCs w:val="26"/>
        </w:rPr>
        <w:t xml:space="preserve">recommended that Wellsboro be given a 25-basis point addition to its </w:t>
      </w:r>
      <w:r w:rsidR="003136A0" w:rsidRPr="0029160A">
        <w:rPr>
          <w:color w:val="000000" w:themeColor="text1"/>
          <w:szCs w:val="26"/>
        </w:rPr>
        <w:t>COE</w:t>
      </w:r>
      <w:r w:rsidR="001726E3" w:rsidRPr="0029160A">
        <w:rPr>
          <w:color w:val="000000" w:themeColor="text1"/>
          <w:szCs w:val="26"/>
        </w:rPr>
        <w:t xml:space="preserve"> due to management effectiveness.</w:t>
      </w:r>
      <w:r w:rsidR="007D4D4D" w:rsidRPr="0029160A">
        <w:rPr>
          <w:color w:val="000000" w:themeColor="text1"/>
          <w:szCs w:val="26"/>
        </w:rPr>
        <w:t xml:space="preserve">  </w:t>
      </w:r>
      <w:r w:rsidR="00152B90" w:rsidRPr="0029160A">
        <w:rPr>
          <w:color w:val="000000" w:themeColor="text1"/>
          <w:szCs w:val="26"/>
        </w:rPr>
        <w:t xml:space="preserve">The ALJs stated they believe that the undisputed record evidence demonstrated that, in fact, Wellsboro is operated in a very efficient and effective manner and has provided very good customer service.  According to the ALJs, “[t]here simply is no record evidence that suggests or proves otherwise.”  The ALJs found convincing that, other than </w:t>
      </w:r>
      <w:r w:rsidR="00F345CD" w:rsidRPr="0029160A">
        <w:rPr>
          <w:color w:val="000000" w:themeColor="text1"/>
          <w:szCs w:val="26"/>
        </w:rPr>
        <w:t xml:space="preserve">the </w:t>
      </w:r>
      <w:r w:rsidR="00152B90" w:rsidRPr="0029160A">
        <w:rPr>
          <w:color w:val="000000" w:themeColor="text1"/>
          <w:szCs w:val="26"/>
        </w:rPr>
        <w:t xml:space="preserve">OCA, I&amp;E and </w:t>
      </w:r>
      <w:r w:rsidR="00F345CD" w:rsidRPr="0029160A">
        <w:rPr>
          <w:color w:val="000000" w:themeColor="text1"/>
          <w:szCs w:val="26"/>
        </w:rPr>
        <w:t xml:space="preserve">the </w:t>
      </w:r>
      <w:r w:rsidR="00152B90" w:rsidRPr="0029160A">
        <w:rPr>
          <w:color w:val="000000" w:themeColor="text1"/>
          <w:szCs w:val="26"/>
        </w:rPr>
        <w:t xml:space="preserve">OSBA, no other parties or customers of the </w:t>
      </w:r>
      <w:r w:rsidR="00F345CD" w:rsidRPr="0029160A">
        <w:rPr>
          <w:color w:val="000000" w:themeColor="text1"/>
          <w:szCs w:val="26"/>
        </w:rPr>
        <w:t>C</w:t>
      </w:r>
      <w:r w:rsidR="00152B90" w:rsidRPr="0029160A">
        <w:rPr>
          <w:color w:val="000000" w:themeColor="text1"/>
          <w:szCs w:val="26"/>
        </w:rPr>
        <w:t xml:space="preserve">ompany intervened in or filed complaints against the </w:t>
      </w:r>
      <w:r w:rsidR="00F345CD" w:rsidRPr="0029160A">
        <w:rPr>
          <w:color w:val="000000" w:themeColor="text1"/>
          <w:szCs w:val="26"/>
        </w:rPr>
        <w:t>C</w:t>
      </w:r>
      <w:r w:rsidR="00152B90" w:rsidRPr="0029160A">
        <w:rPr>
          <w:color w:val="000000" w:themeColor="text1"/>
          <w:szCs w:val="26"/>
        </w:rPr>
        <w:t>ompany’s rate increase request.  R.D. at 79-80.</w:t>
      </w:r>
    </w:p>
    <w:p w14:paraId="5ADDDBC2" w14:textId="77777777" w:rsidR="00152B90" w:rsidRPr="0029160A" w:rsidRDefault="00152B90" w:rsidP="00CB0B2E">
      <w:pPr>
        <w:widowControl/>
        <w:spacing w:line="360" w:lineRule="auto"/>
        <w:ind w:firstLine="1440"/>
        <w:rPr>
          <w:color w:val="000000" w:themeColor="text1"/>
        </w:rPr>
      </w:pPr>
    </w:p>
    <w:p w14:paraId="0C448D01" w14:textId="0123E55C" w:rsidR="001726E3" w:rsidRPr="0029160A" w:rsidRDefault="00C97354" w:rsidP="00CB0B2E">
      <w:pPr>
        <w:widowControl/>
        <w:spacing w:line="360" w:lineRule="auto"/>
        <w:ind w:firstLine="1440"/>
        <w:rPr>
          <w:color w:val="000000" w:themeColor="text1"/>
          <w:szCs w:val="26"/>
        </w:rPr>
      </w:pPr>
      <w:r w:rsidRPr="0029160A">
        <w:rPr>
          <w:color w:val="000000" w:themeColor="text1"/>
        </w:rPr>
        <w:t>The ALJs</w:t>
      </w:r>
      <w:r w:rsidR="0008618F" w:rsidRPr="0029160A">
        <w:rPr>
          <w:color w:val="000000" w:themeColor="text1"/>
        </w:rPr>
        <w:t>’</w:t>
      </w:r>
      <w:r w:rsidRPr="0029160A">
        <w:rPr>
          <w:color w:val="000000" w:themeColor="text1"/>
        </w:rPr>
        <w:t xml:space="preserve"> recommendation to grant Wellsboro the additional 25% management effectiveness adjustment would produce </w:t>
      </w:r>
      <w:r w:rsidR="00204902" w:rsidRPr="0029160A">
        <w:rPr>
          <w:color w:val="000000" w:themeColor="text1"/>
        </w:rPr>
        <w:t>a</w:t>
      </w:r>
      <w:r w:rsidR="006541EE" w:rsidRPr="0029160A">
        <w:rPr>
          <w:color w:val="000000" w:themeColor="text1"/>
        </w:rPr>
        <w:t>n</w:t>
      </w:r>
      <w:r w:rsidRPr="0029160A">
        <w:rPr>
          <w:color w:val="000000" w:themeColor="text1"/>
        </w:rPr>
        <w:t xml:space="preserve"> ROE of 9.74%.  R.D. at 81.  However, because</w:t>
      </w:r>
      <w:r w:rsidR="001726E3" w:rsidRPr="0029160A">
        <w:rPr>
          <w:color w:val="000000" w:themeColor="text1"/>
          <w:szCs w:val="26"/>
        </w:rPr>
        <w:t xml:space="preserve"> Wellsboro is limited to a revenue increase of $999,999, </w:t>
      </w:r>
      <w:r w:rsidRPr="0029160A">
        <w:rPr>
          <w:color w:val="000000" w:themeColor="text1"/>
          <w:szCs w:val="26"/>
        </w:rPr>
        <w:t xml:space="preserve">and thus only allowed for a 7.14% rate of return on rate base to limit the revenue increase, </w:t>
      </w:r>
      <w:r w:rsidR="001726E3" w:rsidRPr="0029160A">
        <w:rPr>
          <w:color w:val="000000" w:themeColor="text1"/>
          <w:szCs w:val="26"/>
        </w:rPr>
        <w:t>the ALJs</w:t>
      </w:r>
      <w:r w:rsidRPr="0029160A">
        <w:rPr>
          <w:color w:val="000000" w:themeColor="text1"/>
          <w:szCs w:val="26"/>
        </w:rPr>
        <w:t xml:space="preserve"> recognized that the associated return on equity would be capped at 9.31%.  Accordingly, the ALJs </w:t>
      </w:r>
      <w:r w:rsidR="001968AA" w:rsidRPr="0029160A">
        <w:rPr>
          <w:color w:val="000000" w:themeColor="text1"/>
          <w:szCs w:val="26"/>
        </w:rPr>
        <w:t>recommended granting</w:t>
      </w:r>
      <w:r w:rsidRPr="0029160A">
        <w:rPr>
          <w:color w:val="000000" w:themeColor="text1"/>
          <w:szCs w:val="26"/>
        </w:rPr>
        <w:t xml:space="preserve"> a </w:t>
      </w:r>
      <w:r w:rsidR="001726E3" w:rsidRPr="0029160A">
        <w:rPr>
          <w:color w:val="000000" w:themeColor="text1"/>
          <w:szCs w:val="26"/>
        </w:rPr>
        <w:t>9.31%</w:t>
      </w:r>
      <w:r w:rsidRPr="0029160A">
        <w:rPr>
          <w:color w:val="000000" w:themeColor="text1"/>
          <w:szCs w:val="26"/>
        </w:rPr>
        <w:t xml:space="preserve"> ROE</w:t>
      </w:r>
      <w:r w:rsidR="001726E3" w:rsidRPr="0029160A">
        <w:rPr>
          <w:color w:val="000000" w:themeColor="text1"/>
          <w:szCs w:val="26"/>
        </w:rPr>
        <w:t xml:space="preserve">. </w:t>
      </w:r>
      <w:r w:rsidR="000D1A49" w:rsidRPr="0029160A">
        <w:rPr>
          <w:color w:val="000000" w:themeColor="text1"/>
          <w:szCs w:val="26"/>
        </w:rPr>
        <w:t xml:space="preserve"> </w:t>
      </w:r>
      <w:r w:rsidR="001726E3" w:rsidRPr="0029160A">
        <w:rPr>
          <w:color w:val="000000" w:themeColor="text1"/>
          <w:szCs w:val="26"/>
        </w:rPr>
        <w:t>R.D. at 79, 81.</w:t>
      </w:r>
    </w:p>
    <w:p w14:paraId="3CE20594" w14:textId="77777777" w:rsidR="00D72D1C" w:rsidRPr="0029160A" w:rsidRDefault="00D72D1C" w:rsidP="00B842EC">
      <w:pPr>
        <w:widowControl/>
        <w:spacing w:line="360" w:lineRule="auto"/>
        <w:rPr>
          <w:color w:val="000000" w:themeColor="text1"/>
          <w:szCs w:val="26"/>
        </w:rPr>
      </w:pPr>
    </w:p>
    <w:p w14:paraId="45FCCAAB" w14:textId="77777777" w:rsidR="00D72D1C" w:rsidRPr="0029160A" w:rsidRDefault="0095457E" w:rsidP="00CB0B2E">
      <w:pPr>
        <w:pStyle w:val="Heading4"/>
        <w:keepNext/>
        <w:keepLines/>
        <w:ind w:hanging="720"/>
        <w:rPr>
          <w:color w:val="000000" w:themeColor="text1"/>
        </w:rPr>
      </w:pPr>
      <w:bookmarkStart w:id="143" w:name="_Toc38951807"/>
      <w:r w:rsidRPr="0029160A">
        <w:rPr>
          <w:color w:val="000000" w:themeColor="text1"/>
        </w:rPr>
        <w:lastRenderedPageBreak/>
        <w:t>I&amp;E Exc</w:t>
      </w:r>
      <w:r w:rsidR="00312B42" w:rsidRPr="0029160A">
        <w:rPr>
          <w:color w:val="000000" w:themeColor="text1"/>
        </w:rPr>
        <w:t>eption</w:t>
      </w:r>
      <w:r w:rsidRPr="0029160A">
        <w:rPr>
          <w:color w:val="000000" w:themeColor="text1"/>
        </w:rPr>
        <w:t xml:space="preserve"> No. 7</w:t>
      </w:r>
      <w:r w:rsidR="00312B42" w:rsidRPr="0029160A">
        <w:rPr>
          <w:color w:val="000000" w:themeColor="text1"/>
        </w:rPr>
        <w:t>,</w:t>
      </w:r>
      <w:r w:rsidRPr="0029160A">
        <w:rPr>
          <w:color w:val="000000" w:themeColor="text1"/>
        </w:rPr>
        <w:t xml:space="preserve"> OCA Exc</w:t>
      </w:r>
      <w:r w:rsidR="00312B42" w:rsidRPr="0029160A">
        <w:rPr>
          <w:color w:val="000000" w:themeColor="text1"/>
        </w:rPr>
        <w:t xml:space="preserve">eption </w:t>
      </w:r>
      <w:r w:rsidRPr="0029160A">
        <w:rPr>
          <w:color w:val="000000" w:themeColor="text1"/>
        </w:rPr>
        <w:t>No. 8</w:t>
      </w:r>
      <w:r w:rsidR="00312B42" w:rsidRPr="0029160A">
        <w:rPr>
          <w:color w:val="000000" w:themeColor="text1"/>
        </w:rPr>
        <w:t xml:space="preserve"> and Replies</w:t>
      </w:r>
      <w:bookmarkEnd w:id="143"/>
    </w:p>
    <w:p w14:paraId="0DF7DC0A" w14:textId="77777777" w:rsidR="00D72D1C" w:rsidRPr="0029160A" w:rsidRDefault="00D72D1C" w:rsidP="00CB0B2E">
      <w:pPr>
        <w:keepNext/>
        <w:keepLines/>
        <w:widowControl/>
        <w:spacing w:line="360" w:lineRule="auto"/>
        <w:rPr>
          <w:color w:val="000000" w:themeColor="text1"/>
          <w:szCs w:val="26"/>
        </w:rPr>
      </w:pPr>
    </w:p>
    <w:p w14:paraId="78C11DE8" w14:textId="1B5C3575" w:rsidR="0095457E" w:rsidRPr="0029160A" w:rsidRDefault="0095457E" w:rsidP="00B842EC">
      <w:pPr>
        <w:widowControl/>
        <w:spacing w:line="360" w:lineRule="auto"/>
        <w:ind w:firstLine="1440"/>
        <w:rPr>
          <w:color w:val="000000" w:themeColor="text1"/>
          <w:szCs w:val="26"/>
        </w:rPr>
      </w:pPr>
      <w:r w:rsidRPr="0029160A">
        <w:rPr>
          <w:color w:val="000000" w:themeColor="text1"/>
          <w:szCs w:val="26"/>
        </w:rPr>
        <w:t>In I&amp;E Exception No. 7, I&amp;E submits the ALJs erred by awarding the Company a 25-basis point upward adjustment for management effectiveness.  I&amp;E argues the ALJs erred by finding substantial evidence exists to award Wellsboro a 25</w:t>
      </w:r>
      <w:r w:rsidR="00B842EC" w:rsidRPr="0029160A">
        <w:rPr>
          <w:color w:val="000000" w:themeColor="text1"/>
          <w:szCs w:val="26"/>
        </w:rPr>
        <w:noBreakHyphen/>
      </w:r>
      <w:r w:rsidRPr="0029160A">
        <w:rPr>
          <w:color w:val="000000" w:themeColor="text1"/>
          <w:szCs w:val="26"/>
        </w:rPr>
        <w:t xml:space="preserve">basis point increase to ROE and that Wellsboro has provided no evidence </w:t>
      </w:r>
      <w:r w:rsidR="002C1665" w:rsidRPr="0029160A">
        <w:rPr>
          <w:color w:val="000000" w:themeColor="text1"/>
          <w:szCs w:val="26"/>
        </w:rPr>
        <w:t xml:space="preserve">as to </w:t>
      </w:r>
      <w:r w:rsidRPr="0029160A">
        <w:rPr>
          <w:color w:val="000000" w:themeColor="text1"/>
          <w:szCs w:val="26"/>
        </w:rPr>
        <w:t xml:space="preserve">why specifically a 25-basis point upward adjustment is appropriate.  To the extent awarding ROE basis points is found appropriate by the Commission, consistent with the </w:t>
      </w:r>
      <w:r w:rsidRPr="0029160A">
        <w:rPr>
          <w:i/>
          <w:iCs/>
          <w:color w:val="000000" w:themeColor="text1"/>
          <w:szCs w:val="26"/>
        </w:rPr>
        <w:t>UGI Order</w:t>
      </w:r>
      <w:r w:rsidRPr="0029160A">
        <w:rPr>
          <w:color w:val="000000" w:themeColor="text1"/>
          <w:szCs w:val="26"/>
        </w:rPr>
        <w:t xml:space="preserve"> (where the Commission reduced the ALJs</w:t>
      </w:r>
      <w:r w:rsidR="00A73EF8">
        <w:rPr>
          <w:color w:val="000000" w:themeColor="text1"/>
          <w:szCs w:val="26"/>
        </w:rPr>
        <w:t>’</w:t>
      </w:r>
      <w:r w:rsidRPr="0029160A">
        <w:rPr>
          <w:color w:val="000000" w:themeColor="text1"/>
          <w:szCs w:val="26"/>
        </w:rPr>
        <w:t xml:space="preserve"> award from 20 points to 5 points), the Commission should award no more than 5</w:t>
      </w:r>
      <w:r w:rsidR="00713E18" w:rsidRPr="0029160A">
        <w:rPr>
          <w:color w:val="000000" w:themeColor="text1"/>
          <w:szCs w:val="26"/>
        </w:rPr>
        <w:t>-</w:t>
      </w:r>
      <w:r w:rsidRPr="0029160A">
        <w:rPr>
          <w:color w:val="000000" w:themeColor="text1"/>
          <w:szCs w:val="26"/>
        </w:rPr>
        <w:t xml:space="preserve">basis points applying the same rationale as in the </w:t>
      </w:r>
      <w:r w:rsidRPr="0029160A">
        <w:rPr>
          <w:i/>
          <w:iCs/>
          <w:color w:val="000000" w:themeColor="text1"/>
          <w:szCs w:val="26"/>
        </w:rPr>
        <w:t>UGI Order</w:t>
      </w:r>
      <w:r w:rsidRPr="0029160A">
        <w:rPr>
          <w:color w:val="000000" w:themeColor="text1"/>
          <w:szCs w:val="26"/>
        </w:rPr>
        <w:t xml:space="preserve">:  such adjustment is “reasonable, appropriate, and conservative based on Section 523 of the Code and better serves the public interest.” </w:t>
      </w:r>
      <w:r w:rsidR="00161554" w:rsidRPr="0029160A">
        <w:rPr>
          <w:color w:val="000000" w:themeColor="text1"/>
          <w:szCs w:val="26"/>
        </w:rPr>
        <w:t xml:space="preserve"> </w:t>
      </w:r>
      <w:r w:rsidRPr="0029160A">
        <w:rPr>
          <w:i/>
          <w:iCs/>
          <w:color w:val="000000" w:themeColor="text1"/>
          <w:szCs w:val="26"/>
        </w:rPr>
        <w:t>UGI Order</w:t>
      </w:r>
      <w:r w:rsidRPr="0029160A">
        <w:rPr>
          <w:color w:val="000000" w:themeColor="text1"/>
          <w:szCs w:val="26"/>
        </w:rPr>
        <w:t xml:space="preserve"> at 115.  I&amp;E Exc. at</w:t>
      </w:r>
      <w:r w:rsidR="008A0755">
        <w:rPr>
          <w:color w:val="000000" w:themeColor="text1"/>
          <w:szCs w:val="26"/>
        </w:rPr>
        <w:t> </w:t>
      </w:r>
      <w:r w:rsidRPr="0029160A">
        <w:rPr>
          <w:color w:val="000000" w:themeColor="text1"/>
          <w:szCs w:val="26"/>
        </w:rPr>
        <w:t>13-14 (citing I&amp;E M.B. at 52-53; I&amp;E R.B. at 24).</w:t>
      </w:r>
    </w:p>
    <w:p w14:paraId="23A548EA" w14:textId="77777777" w:rsidR="0095457E" w:rsidRPr="0029160A" w:rsidRDefault="0095457E">
      <w:pPr>
        <w:widowControl/>
        <w:spacing w:line="360" w:lineRule="auto"/>
        <w:ind w:firstLine="1440"/>
        <w:rPr>
          <w:color w:val="000000" w:themeColor="text1"/>
          <w:szCs w:val="26"/>
        </w:rPr>
      </w:pPr>
    </w:p>
    <w:p w14:paraId="16EB07C3" w14:textId="318BF4CF" w:rsidR="0095457E" w:rsidRPr="0029160A" w:rsidRDefault="0095457E">
      <w:pPr>
        <w:widowControl/>
        <w:spacing w:line="360" w:lineRule="auto"/>
        <w:ind w:firstLine="1440"/>
        <w:rPr>
          <w:color w:val="000000" w:themeColor="text1"/>
          <w:szCs w:val="26"/>
        </w:rPr>
      </w:pPr>
      <w:r w:rsidRPr="0029160A">
        <w:rPr>
          <w:color w:val="000000" w:themeColor="text1"/>
          <w:szCs w:val="26"/>
        </w:rPr>
        <w:t>In OCA Exception No. 8, the OCA submits the ALJs erred by recommending a management effectiveness adjustment adder of 25</w:t>
      </w:r>
      <w:r w:rsidR="00713E18" w:rsidRPr="0029160A">
        <w:rPr>
          <w:color w:val="000000" w:themeColor="text1"/>
          <w:szCs w:val="26"/>
        </w:rPr>
        <w:t>-</w:t>
      </w:r>
      <w:r w:rsidRPr="0029160A">
        <w:rPr>
          <w:color w:val="000000" w:themeColor="text1"/>
          <w:szCs w:val="26"/>
        </w:rPr>
        <w:t>basis points to the ROE because it is unsupported by the record evidence.  The OCA argues that the Commission should expect its regulated utilities to provide safe, adequate, efficient, and reasonable service in accordance with the utilities’ public service obligation.  Therefore, it is the OCA’s position that a management effectiveness adjustment should be scrutinized and only awarded in truly exceptional circumstances.  Here, the OCA submits that the record in this matter does not support the ALJs’ recommended 25</w:t>
      </w:r>
      <w:r w:rsidR="00713E18" w:rsidRPr="0029160A">
        <w:rPr>
          <w:color w:val="000000" w:themeColor="text1"/>
          <w:szCs w:val="26"/>
        </w:rPr>
        <w:t>-</w:t>
      </w:r>
      <w:r w:rsidRPr="0029160A">
        <w:rPr>
          <w:color w:val="000000" w:themeColor="text1"/>
          <w:szCs w:val="26"/>
        </w:rPr>
        <w:t>basis point adder.  The OCA submits that the ALJs’ recommended 9.49% base ROE award is well above what the record supports and adding another 25</w:t>
      </w:r>
      <w:r w:rsidR="00713E18" w:rsidRPr="0029160A">
        <w:rPr>
          <w:color w:val="000000" w:themeColor="text1"/>
          <w:szCs w:val="26"/>
        </w:rPr>
        <w:t>-</w:t>
      </w:r>
      <w:r w:rsidRPr="0029160A">
        <w:rPr>
          <w:color w:val="000000" w:themeColor="text1"/>
          <w:szCs w:val="26"/>
        </w:rPr>
        <w:t xml:space="preserve">basis points on top is </w:t>
      </w:r>
      <w:r w:rsidR="00713E18" w:rsidRPr="0029160A">
        <w:rPr>
          <w:color w:val="000000" w:themeColor="text1"/>
          <w:szCs w:val="26"/>
        </w:rPr>
        <w:t>neither reasonable</w:t>
      </w:r>
      <w:r w:rsidRPr="0029160A">
        <w:rPr>
          <w:color w:val="000000" w:themeColor="text1"/>
          <w:szCs w:val="26"/>
        </w:rPr>
        <w:t xml:space="preserve"> nor fair to the ratepayers and certainly is not required to attract capital.  OCA</w:t>
      </w:r>
      <w:r w:rsidR="005C717E" w:rsidRPr="0029160A">
        <w:rPr>
          <w:color w:val="000000" w:themeColor="text1"/>
          <w:szCs w:val="26"/>
        </w:rPr>
        <w:t> </w:t>
      </w:r>
      <w:r w:rsidRPr="0029160A">
        <w:rPr>
          <w:color w:val="000000" w:themeColor="text1"/>
          <w:szCs w:val="26"/>
        </w:rPr>
        <w:t>Exc. at 19-20 (citing OCA M.B. at 59-60; OCA R.B. at 29-30).</w:t>
      </w:r>
    </w:p>
    <w:p w14:paraId="519573A5" w14:textId="77777777" w:rsidR="0095457E" w:rsidRPr="0029160A" w:rsidRDefault="0095457E">
      <w:pPr>
        <w:widowControl/>
        <w:spacing w:line="360" w:lineRule="auto"/>
        <w:ind w:firstLine="1440"/>
        <w:rPr>
          <w:color w:val="000000" w:themeColor="text1"/>
          <w:szCs w:val="26"/>
        </w:rPr>
      </w:pPr>
    </w:p>
    <w:p w14:paraId="6D82566F" w14:textId="50C92D37" w:rsidR="0095457E" w:rsidRPr="0029160A" w:rsidRDefault="0095457E">
      <w:pPr>
        <w:widowControl/>
        <w:spacing w:line="360" w:lineRule="auto"/>
        <w:ind w:firstLine="1440"/>
        <w:rPr>
          <w:color w:val="000000" w:themeColor="text1"/>
          <w:szCs w:val="26"/>
        </w:rPr>
      </w:pPr>
      <w:r w:rsidRPr="0029160A">
        <w:rPr>
          <w:color w:val="000000" w:themeColor="text1"/>
          <w:szCs w:val="26"/>
        </w:rPr>
        <w:t xml:space="preserve">In Replies to I&amp;E Exception No. 7 and OCA Exception No. 8, Wellsboro submits these Exceptions should be rejected in favor of the R.D.’s well-reasoned </w:t>
      </w:r>
      <w:r w:rsidRPr="0029160A">
        <w:rPr>
          <w:color w:val="000000" w:themeColor="text1"/>
          <w:szCs w:val="26"/>
        </w:rPr>
        <w:lastRenderedPageBreak/>
        <w:t xml:space="preserve">recommendation to approve a 25-basis point performance adjustment for the Company.  The R.D. correctly weighed the numerous indicators of exemplary and innovative service and found merit in awarding a substantial performance adjustment.  R.D. at 79-80. </w:t>
      </w:r>
      <w:r w:rsidR="000D1A49" w:rsidRPr="0029160A">
        <w:rPr>
          <w:color w:val="000000" w:themeColor="text1"/>
          <w:szCs w:val="26"/>
        </w:rPr>
        <w:t xml:space="preserve"> </w:t>
      </w:r>
      <w:r w:rsidR="00A56652" w:rsidRPr="0029160A">
        <w:rPr>
          <w:color w:val="000000" w:themeColor="text1"/>
          <w:szCs w:val="26"/>
        </w:rPr>
        <w:t xml:space="preserve">Wellsboro submits that </w:t>
      </w:r>
      <w:r w:rsidR="00B842EC" w:rsidRPr="0029160A">
        <w:rPr>
          <w:color w:val="000000" w:themeColor="text1"/>
          <w:szCs w:val="26"/>
        </w:rPr>
        <w:t xml:space="preserve">I&amp;E’s and </w:t>
      </w:r>
      <w:r w:rsidR="00A56652" w:rsidRPr="0029160A">
        <w:rPr>
          <w:color w:val="000000" w:themeColor="text1"/>
          <w:szCs w:val="26"/>
        </w:rPr>
        <w:t>t</w:t>
      </w:r>
      <w:r w:rsidRPr="0029160A">
        <w:rPr>
          <w:color w:val="000000" w:themeColor="text1"/>
          <w:szCs w:val="26"/>
        </w:rPr>
        <w:t>he OCA</w:t>
      </w:r>
      <w:r w:rsidR="00A56652" w:rsidRPr="0029160A">
        <w:rPr>
          <w:color w:val="000000" w:themeColor="text1"/>
          <w:szCs w:val="26"/>
        </w:rPr>
        <w:t>’s</w:t>
      </w:r>
      <w:r w:rsidR="00B842EC" w:rsidRPr="0029160A">
        <w:rPr>
          <w:color w:val="000000" w:themeColor="text1"/>
          <w:szCs w:val="26"/>
        </w:rPr>
        <w:t xml:space="preserve"> </w:t>
      </w:r>
      <w:r w:rsidRPr="0029160A">
        <w:rPr>
          <w:color w:val="000000" w:themeColor="text1"/>
          <w:szCs w:val="26"/>
        </w:rPr>
        <w:t xml:space="preserve">arguments to the contrary should be rejected.  </w:t>
      </w:r>
      <w:r w:rsidR="00A56652" w:rsidRPr="0029160A">
        <w:rPr>
          <w:color w:val="000000" w:themeColor="text1"/>
          <w:szCs w:val="26"/>
        </w:rPr>
        <w:t xml:space="preserve">According to Wellsboro, </w:t>
      </w:r>
      <w:r w:rsidR="00B842EC" w:rsidRPr="0029160A">
        <w:rPr>
          <w:color w:val="000000" w:themeColor="text1"/>
          <w:szCs w:val="26"/>
        </w:rPr>
        <w:t xml:space="preserve">I&amp;E and </w:t>
      </w:r>
      <w:r w:rsidR="00A56652" w:rsidRPr="0029160A">
        <w:rPr>
          <w:color w:val="000000" w:themeColor="text1"/>
          <w:szCs w:val="26"/>
        </w:rPr>
        <w:t>t</w:t>
      </w:r>
      <w:r w:rsidRPr="0029160A">
        <w:rPr>
          <w:color w:val="000000" w:themeColor="text1"/>
          <w:szCs w:val="26"/>
        </w:rPr>
        <w:t>he OCA continue to mount policy arguments against a performance adjustment based on their witnesses</w:t>
      </w:r>
      <w:r w:rsidR="00867E57" w:rsidRPr="0029160A">
        <w:rPr>
          <w:color w:val="000000" w:themeColor="text1"/>
          <w:szCs w:val="26"/>
        </w:rPr>
        <w:t>’</w:t>
      </w:r>
      <w:r w:rsidRPr="0029160A">
        <w:rPr>
          <w:color w:val="000000" w:themeColor="text1"/>
          <w:szCs w:val="26"/>
        </w:rPr>
        <w:t xml:space="preserve"> belief that utilities should not receive performance adjustments for meeting their obligations.  These arguments were comprehensively addressed in the Company</w:t>
      </w:r>
      <w:r w:rsidR="00452940" w:rsidRPr="0029160A">
        <w:rPr>
          <w:color w:val="000000" w:themeColor="text1"/>
          <w:szCs w:val="26"/>
        </w:rPr>
        <w:t>’</w:t>
      </w:r>
      <w:r w:rsidRPr="0029160A">
        <w:rPr>
          <w:color w:val="000000" w:themeColor="text1"/>
          <w:szCs w:val="26"/>
        </w:rPr>
        <w:t xml:space="preserve">s </w:t>
      </w:r>
      <w:r w:rsidR="000D1A49" w:rsidRPr="0029160A">
        <w:rPr>
          <w:color w:val="000000" w:themeColor="text1"/>
          <w:szCs w:val="26"/>
        </w:rPr>
        <w:t>M</w:t>
      </w:r>
      <w:r w:rsidR="00A56652" w:rsidRPr="0029160A">
        <w:rPr>
          <w:color w:val="000000" w:themeColor="text1"/>
          <w:szCs w:val="26"/>
        </w:rPr>
        <w:t>ain Brief</w:t>
      </w:r>
      <w:r w:rsidR="000D1A49" w:rsidRPr="0029160A">
        <w:rPr>
          <w:color w:val="000000" w:themeColor="text1"/>
          <w:szCs w:val="26"/>
        </w:rPr>
        <w:t>.</w:t>
      </w:r>
      <w:r w:rsidRPr="0029160A">
        <w:rPr>
          <w:color w:val="000000" w:themeColor="text1"/>
          <w:szCs w:val="26"/>
        </w:rPr>
        <w:t xml:space="preserve">  Therein, the Company clarified that its efforts to provide customer service and innovation above and beyond its regulatory obligations include, but are not limited to: (1) rolling out Smarthub use to customers; (2) equipping field personnel with tablets to use for maps and inspections; (3) excellent reliability metrics; (4) completing an Asset Verification Project, which improves outage reporting capabilities (and used by approximately one-fifth of Wellsboro</w:t>
      </w:r>
      <w:r w:rsidR="00867E57" w:rsidRPr="0029160A">
        <w:rPr>
          <w:color w:val="000000" w:themeColor="text1"/>
          <w:szCs w:val="26"/>
        </w:rPr>
        <w:t>’</w:t>
      </w:r>
      <w:r w:rsidRPr="0029160A">
        <w:rPr>
          <w:color w:val="000000" w:themeColor="text1"/>
          <w:szCs w:val="26"/>
        </w:rPr>
        <w:t xml:space="preserve">s customers); and (5) continued capital investment of approximately $1.25 million annually since the last rate case without use of a DSIC.  </w:t>
      </w:r>
      <w:r w:rsidR="00A56652" w:rsidRPr="0029160A">
        <w:rPr>
          <w:color w:val="000000" w:themeColor="text1"/>
          <w:szCs w:val="26"/>
        </w:rPr>
        <w:t>Wellsboro submits that t</w:t>
      </w:r>
      <w:r w:rsidRPr="0029160A">
        <w:rPr>
          <w:color w:val="000000" w:themeColor="text1"/>
          <w:szCs w:val="26"/>
        </w:rPr>
        <w:t xml:space="preserve">he R.D. appropriately concluded that these efforts warrant a substantial performance adjustment. </w:t>
      </w:r>
      <w:r w:rsidR="000D1A49" w:rsidRPr="0029160A">
        <w:rPr>
          <w:color w:val="000000" w:themeColor="text1"/>
          <w:szCs w:val="26"/>
        </w:rPr>
        <w:t xml:space="preserve"> </w:t>
      </w:r>
      <w:r w:rsidRPr="0029160A">
        <w:rPr>
          <w:color w:val="000000" w:themeColor="text1"/>
          <w:szCs w:val="26"/>
        </w:rPr>
        <w:t>R.D. at 79-80.  The Company submits it has met its burden of providing substantial evidence to support the proposed 25-basis point performance adjustment.  The Commission should recognize the Company</w:t>
      </w:r>
      <w:r w:rsidR="005C717E" w:rsidRPr="0029160A">
        <w:rPr>
          <w:color w:val="000000" w:themeColor="text1"/>
          <w:szCs w:val="26"/>
        </w:rPr>
        <w:t>’</w:t>
      </w:r>
      <w:r w:rsidRPr="0029160A">
        <w:rPr>
          <w:color w:val="000000" w:themeColor="text1"/>
          <w:szCs w:val="26"/>
        </w:rPr>
        <w:t xml:space="preserve">s efforts to provide its customers with exemplary and innovative service by denying the I&amp;E and </w:t>
      </w:r>
      <w:r w:rsidR="00580E29" w:rsidRPr="0029160A">
        <w:rPr>
          <w:color w:val="000000" w:themeColor="text1"/>
          <w:szCs w:val="26"/>
        </w:rPr>
        <w:t xml:space="preserve">the </w:t>
      </w:r>
      <w:r w:rsidRPr="0029160A">
        <w:rPr>
          <w:color w:val="000000" w:themeColor="text1"/>
          <w:szCs w:val="26"/>
        </w:rPr>
        <w:t xml:space="preserve">OCA Exceptions and adopting the 25-basis point performance adjustment recommended by </w:t>
      </w:r>
      <w:r w:rsidR="000D1A49" w:rsidRPr="0029160A">
        <w:rPr>
          <w:color w:val="000000" w:themeColor="text1"/>
          <w:szCs w:val="26"/>
        </w:rPr>
        <w:t xml:space="preserve">the </w:t>
      </w:r>
      <w:r w:rsidRPr="0029160A">
        <w:rPr>
          <w:color w:val="000000" w:themeColor="text1"/>
          <w:szCs w:val="26"/>
        </w:rPr>
        <w:t>R.D.  Wellsboro R. Exc. at 20-21 (citing Wellsboro M.B. at 83-87).</w:t>
      </w:r>
    </w:p>
    <w:p w14:paraId="3C3AC3D4" w14:textId="77777777" w:rsidR="00D72D1C" w:rsidRPr="0029160A" w:rsidRDefault="00D72D1C">
      <w:pPr>
        <w:widowControl/>
        <w:rPr>
          <w:color w:val="000000" w:themeColor="text1"/>
          <w:szCs w:val="26"/>
        </w:rPr>
      </w:pPr>
    </w:p>
    <w:p w14:paraId="35777E3F" w14:textId="1295C1DF" w:rsidR="0095457E" w:rsidRPr="0029160A" w:rsidRDefault="00D72D1C" w:rsidP="00CB0B2E">
      <w:pPr>
        <w:pStyle w:val="Heading4"/>
        <w:keepNext/>
        <w:ind w:hanging="720"/>
        <w:rPr>
          <w:color w:val="000000" w:themeColor="text1"/>
        </w:rPr>
      </w:pPr>
      <w:bookmarkStart w:id="144" w:name="_Toc38951808"/>
      <w:r w:rsidRPr="0029160A">
        <w:rPr>
          <w:color w:val="000000" w:themeColor="text1"/>
        </w:rPr>
        <w:t>Disposition</w:t>
      </w:r>
      <w:bookmarkEnd w:id="144"/>
    </w:p>
    <w:p w14:paraId="163B556A" w14:textId="77777777" w:rsidR="00984331" w:rsidRPr="0029160A" w:rsidRDefault="00984331" w:rsidP="00CB0B2E">
      <w:pPr>
        <w:keepNext/>
        <w:widowControl/>
        <w:rPr>
          <w:color w:val="000000" w:themeColor="text1"/>
        </w:rPr>
      </w:pPr>
    </w:p>
    <w:p w14:paraId="76D61893" w14:textId="3CB6F24F" w:rsidR="000F1611" w:rsidRPr="0029160A" w:rsidRDefault="000F1611" w:rsidP="00B842EC">
      <w:pPr>
        <w:keepNext/>
        <w:widowControl/>
        <w:autoSpaceDE w:val="0"/>
        <w:autoSpaceDN w:val="0"/>
        <w:spacing w:line="360" w:lineRule="auto"/>
        <w:ind w:firstLine="1440"/>
        <w:contextualSpacing/>
        <w:rPr>
          <w:color w:val="000000" w:themeColor="text1"/>
          <w:szCs w:val="26"/>
        </w:rPr>
      </w:pPr>
      <w:r w:rsidRPr="0029160A">
        <w:rPr>
          <w:color w:val="000000" w:themeColor="text1"/>
          <w:szCs w:val="26"/>
        </w:rPr>
        <w:t>Pursuant to the Code, the Commission may reward utilities through rates for their performance.  In pertinent part, Section 523 of the Code, 66 Pa.</w:t>
      </w:r>
      <w:r w:rsidR="00B842EC" w:rsidRPr="0029160A">
        <w:rPr>
          <w:color w:val="000000" w:themeColor="text1"/>
          <w:szCs w:val="26"/>
        </w:rPr>
        <w:t xml:space="preserve"> </w:t>
      </w:r>
      <w:r w:rsidRPr="0029160A">
        <w:rPr>
          <w:color w:val="000000" w:themeColor="text1"/>
          <w:szCs w:val="26"/>
        </w:rPr>
        <w:t>C.S. § 523 provides:</w:t>
      </w:r>
    </w:p>
    <w:p w14:paraId="0E79B797" w14:textId="77777777" w:rsidR="000F1611" w:rsidRPr="0029160A" w:rsidRDefault="000F1611" w:rsidP="00B842EC">
      <w:pPr>
        <w:widowControl/>
        <w:autoSpaceDE w:val="0"/>
        <w:autoSpaceDN w:val="0"/>
        <w:contextualSpacing/>
        <w:rPr>
          <w:color w:val="000000" w:themeColor="text1"/>
          <w:szCs w:val="26"/>
        </w:rPr>
      </w:pPr>
    </w:p>
    <w:p w14:paraId="6E84DCD1" w14:textId="77777777" w:rsidR="000F1611" w:rsidRPr="0029160A" w:rsidRDefault="000F1611" w:rsidP="00651332">
      <w:pPr>
        <w:keepNext/>
        <w:widowControl/>
        <w:autoSpaceDE w:val="0"/>
        <w:autoSpaceDN w:val="0"/>
        <w:ind w:left="1440" w:right="1440"/>
        <w:contextualSpacing/>
        <w:rPr>
          <w:b/>
          <w:color w:val="000000" w:themeColor="text1"/>
          <w:szCs w:val="26"/>
        </w:rPr>
      </w:pPr>
      <w:r w:rsidRPr="0029160A">
        <w:rPr>
          <w:b/>
          <w:color w:val="000000" w:themeColor="text1"/>
          <w:szCs w:val="26"/>
        </w:rPr>
        <w:lastRenderedPageBreak/>
        <w:t>§ 523.  Performance factor consideration.</w:t>
      </w:r>
    </w:p>
    <w:p w14:paraId="7A182A45" w14:textId="77777777" w:rsidR="000F1611" w:rsidRPr="0029160A" w:rsidRDefault="000F1611" w:rsidP="00651332">
      <w:pPr>
        <w:keepNext/>
        <w:widowControl/>
        <w:autoSpaceDE w:val="0"/>
        <w:autoSpaceDN w:val="0"/>
        <w:ind w:left="1440" w:right="1440"/>
        <w:contextualSpacing/>
        <w:rPr>
          <w:color w:val="000000" w:themeColor="text1"/>
          <w:szCs w:val="26"/>
        </w:rPr>
      </w:pPr>
    </w:p>
    <w:p w14:paraId="0C1A8C16" w14:textId="77777777" w:rsidR="000F1611" w:rsidRPr="0029160A" w:rsidRDefault="000F1611" w:rsidP="00651332">
      <w:pPr>
        <w:keepNext/>
        <w:widowControl/>
        <w:autoSpaceDE w:val="0"/>
        <w:autoSpaceDN w:val="0"/>
        <w:ind w:left="1440" w:right="1440"/>
        <w:contextualSpacing/>
        <w:rPr>
          <w:color w:val="000000" w:themeColor="text1"/>
          <w:szCs w:val="26"/>
        </w:rPr>
      </w:pPr>
      <w:r w:rsidRPr="0029160A">
        <w:rPr>
          <w:color w:val="000000" w:themeColor="text1"/>
          <w:szCs w:val="26"/>
        </w:rPr>
        <w:t>(a)</w:t>
      </w:r>
      <w:r w:rsidRPr="0029160A">
        <w:rPr>
          <w:color w:val="000000" w:themeColor="text1"/>
          <w:szCs w:val="26"/>
        </w:rPr>
        <w:tab/>
      </w:r>
      <w:r w:rsidRPr="0029160A">
        <w:rPr>
          <w:b/>
          <w:color w:val="000000" w:themeColor="text1"/>
          <w:szCs w:val="26"/>
        </w:rPr>
        <w:t>Considerations.</w:t>
      </w:r>
      <w:r w:rsidRPr="0029160A">
        <w:rPr>
          <w:color w:val="000000" w:themeColor="text1"/>
          <w:szCs w:val="26"/>
        </w:rPr>
        <w:t xml:space="preserve"> – The Commission shall consider, in addition to all other relevant evidence of record, the efficiency, effectiveness and adequacy of service of each utility when determining just and reasonable rates under this title.  On the basis of the commission’s consideration of such evidence, it shall give effect to this section by making such adjustments to specific components of the utility’s claimed cost of service as it may determine to be proper and appropriate.  Any adjustment made under this section shall be made on the basis of specific findings upon evidence of record, which findings shall be set forth explicitly, together with their underlying rationale, in the final order of the commission.</w:t>
      </w:r>
    </w:p>
    <w:p w14:paraId="717CD492" w14:textId="77777777" w:rsidR="000F1611" w:rsidRPr="0029160A" w:rsidRDefault="000F1611">
      <w:pPr>
        <w:widowControl/>
        <w:autoSpaceDE w:val="0"/>
        <w:autoSpaceDN w:val="0"/>
        <w:ind w:left="1440" w:right="1440"/>
        <w:contextualSpacing/>
        <w:rPr>
          <w:color w:val="000000" w:themeColor="text1"/>
          <w:szCs w:val="26"/>
        </w:rPr>
      </w:pPr>
    </w:p>
    <w:p w14:paraId="5CF3E82A" w14:textId="77777777" w:rsidR="000F1611" w:rsidRPr="0029160A" w:rsidRDefault="000F1611">
      <w:pPr>
        <w:widowControl/>
        <w:autoSpaceDE w:val="0"/>
        <w:autoSpaceDN w:val="0"/>
        <w:ind w:left="1440" w:right="1440"/>
        <w:contextualSpacing/>
        <w:rPr>
          <w:color w:val="000000" w:themeColor="text1"/>
          <w:szCs w:val="26"/>
        </w:rPr>
      </w:pPr>
      <w:r w:rsidRPr="0029160A">
        <w:rPr>
          <w:color w:val="000000" w:themeColor="text1"/>
          <w:szCs w:val="26"/>
        </w:rPr>
        <w:t>(b)</w:t>
      </w:r>
      <w:r w:rsidRPr="0029160A">
        <w:rPr>
          <w:color w:val="000000" w:themeColor="text1"/>
          <w:szCs w:val="26"/>
        </w:rPr>
        <w:tab/>
      </w:r>
      <w:r w:rsidRPr="0029160A">
        <w:rPr>
          <w:b/>
          <w:color w:val="000000" w:themeColor="text1"/>
          <w:szCs w:val="26"/>
        </w:rPr>
        <w:t>Fixed utilities.</w:t>
      </w:r>
      <w:r w:rsidRPr="0029160A">
        <w:rPr>
          <w:color w:val="000000" w:themeColor="text1"/>
          <w:szCs w:val="26"/>
        </w:rPr>
        <w:t xml:space="preserve"> – As part of its duties pursuant to subsection (a), the commission shall set forth criteria by which it will evaluate future fixed utility performance and in assessing the performance of a fixed utility pursuant to subsection (a), the commission shall consider specifically the following:</w:t>
      </w:r>
    </w:p>
    <w:p w14:paraId="141E684E" w14:textId="77777777" w:rsidR="000F1611" w:rsidRPr="0029160A" w:rsidRDefault="000F1611">
      <w:pPr>
        <w:widowControl/>
        <w:autoSpaceDE w:val="0"/>
        <w:autoSpaceDN w:val="0"/>
        <w:ind w:left="1440" w:right="1440"/>
        <w:contextualSpacing/>
        <w:rPr>
          <w:color w:val="000000" w:themeColor="text1"/>
          <w:szCs w:val="26"/>
        </w:rPr>
      </w:pPr>
    </w:p>
    <w:p w14:paraId="6D943207" w14:textId="77777777" w:rsidR="000F1611" w:rsidRPr="0029160A" w:rsidRDefault="000F1611">
      <w:pPr>
        <w:widowControl/>
        <w:autoSpaceDE w:val="0"/>
        <w:autoSpaceDN w:val="0"/>
        <w:ind w:left="1440" w:right="1440"/>
        <w:contextualSpacing/>
        <w:rPr>
          <w:color w:val="000000" w:themeColor="text1"/>
          <w:szCs w:val="26"/>
        </w:rPr>
      </w:pPr>
      <w:r w:rsidRPr="0029160A">
        <w:rPr>
          <w:color w:val="000000" w:themeColor="text1"/>
          <w:szCs w:val="26"/>
        </w:rPr>
        <w:t>(1)</w:t>
      </w:r>
      <w:r w:rsidRPr="0029160A">
        <w:rPr>
          <w:color w:val="000000" w:themeColor="text1"/>
          <w:szCs w:val="26"/>
        </w:rPr>
        <w:tab/>
        <w:t>Management effectiveness and operating efficiency as measured by an audit pursuant to Section 516 (relating to audits of certain utilities) to the extent that the audit or portions of the audit have been properly introduced by a party into the record of the proceeding in accordance with applicable rules of evidence and procedure.</w:t>
      </w:r>
    </w:p>
    <w:p w14:paraId="69503180" w14:textId="77777777" w:rsidR="000F1611" w:rsidRPr="0029160A" w:rsidRDefault="000F1611">
      <w:pPr>
        <w:widowControl/>
        <w:autoSpaceDE w:val="0"/>
        <w:autoSpaceDN w:val="0"/>
        <w:ind w:left="1440" w:right="1440"/>
        <w:contextualSpacing/>
        <w:rPr>
          <w:color w:val="000000" w:themeColor="text1"/>
          <w:szCs w:val="26"/>
        </w:rPr>
      </w:pPr>
    </w:p>
    <w:p w14:paraId="4487D830" w14:textId="77777777" w:rsidR="000F1611" w:rsidRPr="0029160A" w:rsidRDefault="000F1611">
      <w:pPr>
        <w:widowControl/>
        <w:autoSpaceDE w:val="0"/>
        <w:autoSpaceDN w:val="0"/>
        <w:ind w:left="1440" w:right="1440"/>
        <w:contextualSpacing/>
        <w:jc w:val="center"/>
        <w:rPr>
          <w:color w:val="000000" w:themeColor="text1"/>
          <w:szCs w:val="26"/>
        </w:rPr>
      </w:pPr>
      <w:r w:rsidRPr="0029160A">
        <w:rPr>
          <w:color w:val="000000" w:themeColor="text1"/>
          <w:szCs w:val="26"/>
        </w:rPr>
        <w:t>* * *</w:t>
      </w:r>
    </w:p>
    <w:p w14:paraId="2A7D775D" w14:textId="77777777" w:rsidR="000F1611" w:rsidRPr="0029160A" w:rsidRDefault="000F1611">
      <w:pPr>
        <w:widowControl/>
        <w:autoSpaceDE w:val="0"/>
        <w:autoSpaceDN w:val="0"/>
        <w:ind w:left="1440" w:right="1440"/>
        <w:contextualSpacing/>
        <w:rPr>
          <w:color w:val="000000" w:themeColor="text1"/>
          <w:szCs w:val="26"/>
        </w:rPr>
      </w:pPr>
    </w:p>
    <w:p w14:paraId="2A590107" w14:textId="77777777" w:rsidR="000F1611" w:rsidRPr="0029160A" w:rsidRDefault="000F1611">
      <w:pPr>
        <w:widowControl/>
        <w:autoSpaceDE w:val="0"/>
        <w:autoSpaceDN w:val="0"/>
        <w:ind w:left="1440" w:right="1440"/>
        <w:contextualSpacing/>
        <w:rPr>
          <w:color w:val="000000" w:themeColor="text1"/>
          <w:szCs w:val="26"/>
        </w:rPr>
      </w:pPr>
      <w:r w:rsidRPr="0029160A">
        <w:rPr>
          <w:color w:val="000000" w:themeColor="text1"/>
          <w:szCs w:val="26"/>
        </w:rPr>
        <w:t>(4)</w:t>
      </w:r>
      <w:r w:rsidRPr="0029160A">
        <w:rPr>
          <w:color w:val="000000" w:themeColor="text1"/>
          <w:szCs w:val="26"/>
        </w:rPr>
        <w:tab/>
        <w:t>Action or failure to act to encourage development of cost-effective energy supply alternatives such as conservation or load management, cogeneration or small power production for electric and gas utilities.</w:t>
      </w:r>
    </w:p>
    <w:p w14:paraId="344F73BF" w14:textId="77777777" w:rsidR="000F1611" w:rsidRPr="0029160A" w:rsidRDefault="000F1611">
      <w:pPr>
        <w:widowControl/>
        <w:autoSpaceDE w:val="0"/>
        <w:autoSpaceDN w:val="0"/>
        <w:ind w:left="1440" w:right="1440"/>
        <w:contextualSpacing/>
        <w:jc w:val="center"/>
        <w:rPr>
          <w:color w:val="000000" w:themeColor="text1"/>
          <w:szCs w:val="26"/>
        </w:rPr>
      </w:pPr>
      <w:r w:rsidRPr="0029160A">
        <w:rPr>
          <w:color w:val="000000" w:themeColor="text1"/>
          <w:szCs w:val="26"/>
        </w:rPr>
        <w:t>* * *</w:t>
      </w:r>
    </w:p>
    <w:p w14:paraId="671848FE" w14:textId="77777777" w:rsidR="000F1611" w:rsidRPr="0029160A" w:rsidRDefault="000F1611">
      <w:pPr>
        <w:widowControl/>
        <w:autoSpaceDE w:val="0"/>
        <w:autoSpaceDN w:val="0"/>
        <w:ind w:left="1440" w:right="1440"/>
        <w:contextualSpacing/>
        <w:rPr>
          <w:color w:val="000000" w:themeColor="text1"/>
          <w:szCs w:val="26"/>
        </w:rPr>
      </w:pPr>
    </w:p>
    <w:p w14:paraId="29B5139D" w14:textId="77777777" w:rsidR="000F1611" w:rsidRPr="0029160A" w:rsidRDefault="000F1611">
      <w:pPr>
        <w:widowControl/>
        <w:autoSpaceDE w:val="0"/>
        <w:autoSpaceDN w:val="0"/>
        <w:ind w:left="1440" w:right="1440"/>
        <w:contextualSpacing/>
        <w:rPr>
          <w:color w:val="000000" w:themeColor="text1"/>
          <w:szCs w:val="26"/>
        </w:rPr>
      </w:pPr>
      <w:r w:rsidRPr="0029160A">
        <w:rPr>
          <w:color w:val="000000" w:themeColor="text1"/>
          <w:szCs w:val="26"/>
        </w:rPr>
        <w:t>(7)</w:t>
      </w:r>
      <w:r w:rsidRPr="0029160A">
        <w:rPr>
          <w:color w:val="000000" w:themeColor="text1"/>
          <w:szCs w:val="26"/>
        </w:rPr>
        <w:tab/>
        <w:t>Any other relevant and material evidence of efficiency, effectiveness and adequacy of service.</w:t>
      </w:r>
    </w:p>
    <w:p w14:paraId="22BE319F" w14:textId="77777777" w:rsidR="000F1611" w:rsidRPr="0029160A" w:rsidRDefault="000F1611">
      <w:pPr>
        <w:widowControl/>
        <w:autoSpaceDE w:val="0"/>
        <w:autoSpaceDN w:val="0"/>
        <w:ind w:left="1440" w:right="1440"/>
        <w:contextualSpacing/>
        <w:rPr>
          <w:color w:val="000000" w:themeColor="text1"/>
          <w:szCs w:val="26"/>
        </w:rPr>
      </w:pPr>
    </w:p>
    <w:p w14:paraId="75827474" w14:textId="77777777" w:rsidR="000F1611" w:rsidRPr="0029160A" w:rsidRDefault="000F1611">
      <w:pPr>
        <w:widowControl/>
        <w:autoSpaceDE w:val="0"/>
        <w:autoSpaceDN w:val="0"/>
        <w:ind w:left="1440" w:right="1440"/>
        <w:contextualSpacing/>
        <w:rPr>
          <w:color w:val="000000" w:themeColor="text1"/>
          <w:szCs w:val="26"/>
        </w:rPr>
      </w:pPr>
    </w:p>
    <w:p w14:paraId="28BA8239" w14:textId="387DE50E" w:rsidR="000F1611" w:rsidRPr="0029160A" w:rsidRDefault="000F1611" w:rsidP="00C41CB9">
      <w:pPr>
        <w:widowControl/>
        <w:spacing w:after="200" w:line="360" w:lineRule="auto"/>
        <w:contextualSpacing/>
        <w:rPr>
          <w:color w:val="000000" w:themeColor="text1"/>
          <w:szCs w:val="26"/>
        </w:rPr>
      </w:pPr>
      <w:r w:rsidRPr="0029160A">
        <w:rPr>
          <w:color w:val="000000" w:themeColor="text1"/>
          <w:szCs w:val="26"/>
        </w:rPr>
        <w:lastRenderedPageBreak/>
        <w:tab/>
      </w:r>
      <w:r w:rsidRPr="0029160A">
        <w:rPr>
          <w:color w:val="000000" w:themeColor="text1"/>
          <w:szCs w:val="26"/>
        </w:rPr>
        <w:tab/>
        <w:t>In considering the record evidence and arguments before us, along with the Exceptions and Reply Exceptions of the Parties, we are persuaded by the arguments of Wellsboro regarding its management performance and its effort to provide its customers with exemplary and innovative service including: (1) rolling out Smarthub use to customers; (2) equipping field personnel with tablets to use for maps and inspections; (3)</w:t>
      </w:r>
      <w:r w:rsidR="00B842EC" w:rsidRPr="0029160A">
        <w:rPr>
          <w:color w:val="000000" w:themeColor="text1"/>
          <w:szCs w:val="26"/>
        </w:rPr>
        <w:t> </w:t>
      </w:r>
      <w:r w:rsidRPr="0029160A">
        <w:rPr>
          <w:color w:val="000000" w:themeColor="text1"/>
          <w:szCs w:val="26"/>
        </w:rPr>
        <w:t>excellent reliability metrics; (4) completing an Asset Verification Project, which improves outage reporting capabilities (and used by approximately one-fifth of Wellsboro</w:t>
      </w:r>
      <w:r w:rsidR="00B842EC" w:rsidRPr="0029160A">
        <w:rPr>
          <w:color w:val="000000" w:themeColor="text1"/>
          <w:szCs w:val="26"/>
        </w:rPr>
        <w:t>’</w:t>
      </w:r>
      <w:r w:rsidRPr="0029160A">
        <w:rPr>
          <w:color w:val="000000" w:themeColor="text1"/>
          <w:szCs w:val="26"/>
        </w:rPr>
        <w:t>s customers); and (5) continued capital investment of approximately $1.25 million annually since the last rate case without use of a DSIC.  Wellsboro R. Exc. at</w:t>
      </w:r>
      <w:r w:rsidR="00B842EC" w:rsidRPr="0029160A">
        <w:rPr>
          <w:color w:val="000000" w:themeColor="text1"/>
          <w:szCs w:val="26"/>
        </w:rPr>
        <w:t> </w:t>
      </w:r>
      <w:r w:rsidRPr="0029160A">
        <w:rPr>
          <w:color w:val="000000" w:themeColor="text1"/>
          <w:szCs w:val="26"/>
        </w:rPr>
        <w:t>20</w:t>
      </w:r>
      <w:r w:rsidR="00B842EC" w:rsidRPr="0029160A">
        <w:rPr>
          <w:color w:val="000000" w:themeColor="text1"/>
          <w:szCs w:val="26"/>
        </w:rPr>
        <w:noBreakHyphen/>
      </w:r>
      <w:r w:rsidRPr="0029160A">
        <w:rPr>
          <w:color w:val="000000" w:themeColor="text1"/>
          <w:szCs w:val="26"/>
        </w:rPr>
        <w:t>21; Wellsboro M.B. at 83-87.</w:t>
      </w:r>
    </w:p>
    <w:p w14:paraId="47FE3FFB" w14:textId="77777777" w:rsidR="000F1611" w:rsidRPr="0029160A" w:rsidRDefault="000F1611" w:rsidP="00C41CB9">
      <w:pPr>
        <w:widowControl/>
        <w:autoSpaceDE w:val="0"/>
        <w:autoSpaceDN w:val="0"/>
        <w:adjustRightInd w:val="0"/>
        <w:spacing w:line="360" w:lineRule="auto"/>
        <w:rPr>
          <w:rFonts w:eastAsiaTheme="minorHAnsi"/>
          <w:color w:val="000000" w:themeColor="text1"/>
          <w:sz w:val="24"/>
          <w:szCs w:val="24"/>
        </w:rPr>
      </w:pPr>
    </w:p>
    <w:p w14:paraId="7FE9602A" w14:textId="404F2768" w:rsidR="000F1611" w:rsidRPr="0029160A" w:rsidRDefault="000F1611" w:rsidP="00C41CB9">
      <w:pPr>
        <w:widowControl/>
        <w:spacing w:after="200" w:line="360" w:lineRule="auto"/>
        <w:ind w:firstLine="1440"/>
        <w:contextualSpacing/>
        <w:rPr>
          <w:rFonts w:eastAsiaTheme="minorHAnsi"/>
          <w:color w:val="000000" w:themeColor="text1"/>
          <w:szCs w:val="26"/>
        </w:rPr>
      </w:pPr>
      <w:r w:rsidRPr="0029160A">
        <w:rPr>
          <w:rFonts w:eastAsiaTheme="minorHAnsi"/>
          <w:color w:val="000000" w:themeColor="text1"/>
          <w:szCs w:val="26"/>
        </w:rPr>
        <w:t>We recognize the evidence presented by Wellsboro regarding, among other things, its positive customer metrics (</w:t>
      </w:r>
      <w:r w:rsidRPr="0029160A">
        <w:rPr>
          <w:rFonts w:eastAsiaTheme="minorHAnsi"/>
          <w:i/>
          <w:iCs/>
          <w:color w:val="000000" w:themeColor="text1"/>
          <w:szCs w:val="26"/>
        </w:rPr>
        <w:t>e.g.</w:t>
      </w:r>
      <w:r w:rsidRPr="0029160A">
        <w:rPr>
          <w:rFonts w:eastAsiaTheme="minorHAnsi"/>
          <w:color w:val="000000" w:themeColor="text1"/>
          <w:szCs w:val="26"/>
        </w:rPr>
        <w:t>, low complaints), its reliability metrics and its increased rollout of technological improvements (</w:t>
      </w:r>
      <w:r w:rsidRPr="0029160A">
        <w:rPr>
          <w:rFonts w:eastAsiaTheme="minorHAnsi"/>
          <w:i/>
          <w:iCs/>
          <w:color w:val="000000" w:themeColor="text1"/>
          <w:szCs w:val="26"/>
        </w:rPr>
        <w:t>e.g.</w:t>
      </w:r>
      <w:r w:rsidRPr="0029160A">
        <w:rPr>
          <w:rFonts w:eastAsiaTheme="minorHAnsi"/>
          <w:color w:val="000000" w:themeColor="text1"/>
          <w:szCs w:val="26"/>
        </w:rPr>
        <w:t xml:space="preserve">, Smarthub).  In considering the record evidence and the arguments before us in both the testimony and in Exceptions and Reply Exceptions, we believe that a management effectiveness adjustment is warranted.  However, similar to our recent </w:t>
      </w:r>
      <w:r w:rsidRPr="0029160A">
        <w:rPr>
          <w:rFonts w:eastAsiaTheme="minorHAnsi"/>
          <w:i/>
          <w:iCs/>
          <w:color w:val="000000" w:themeColor="text1"/>
          <w:szCs w:val="26"/>
        </w:rPr>
        <w:t>UGI Order</w:t>
      </w:r>
      <w:r w:rsidRPr="0029160A">
        <w:rPr>
          <w:rFonts w:eastAsiaTheme="minorHAnsi"/>
          <w:color w:val="000000" w:themeColor="text1"/>
          <w:szCs w:val="26"/>
        </w:rPr>
        <w:t>, we shall not grant the full 25-basis point adjustment requested by Wellsboro and recommended by the ALJs.  Instead, we shall apply a 5-basis point (</w:t>
      </w:r>
      <w:r w:rsidRPr="0029160A">
        <w:rPr>
          <w:rFonts w:eastAsiaTheme="minorHAnsi"/>
          <w:i/>
          <w:color w:val="000000" w:themeColor="text1"/>
          <w:szCs w:val="26"/>
        </w:rPr>
        <w:t>i.e.</w:t>
      </w:r>
      <w:r w:rsidRPr="0029160A">
        <w:rPr>
          <w:rFonts w:eastAsiaTheme="minorHAnsi"/>
          <w:color w:val="000000" w:themeColor="text1"/>
          <w:szCs w:val="26"/>
        </w:rPr>
        <w:t xml:space="preserve">, 0.05%) adjustment to Wellsboro’s rate of return on equity.  </w:t>
      </w:r>
      <w:r w:rsidRPr="0029160A">
        <w:rPr>
          <w:rFonts w:eastAsiaTheme="minorHAnsi"/>
          <w:i/>
          <w:iCs/>
          <w:color w:val="000000" w:themeColor="text1"/>
          <w:szCs w:val="26"/>
        </w:rPr>
        <w:t>See</w:t>
      </w:r>
      <w:r w:rsidR="00B842EC" w:rsidRPr="0029160A">
        <w:rPr>
          <w:rFonts w:eastAsiaTheme="minorHAnsi"/>
          <w:i/>
          <w:iCs/>
          <w:color w:val="000000" w:themeColor="text1"/>
          <w:szCs w:val="26"/>
        </w:rPr>
        <w:t> </w:t>
      </w:r>
      <w:r w:rsidRPr="0029160A">
        <w:rPr>
          <w:rFonts w:eastAsiaTheme="minorHAnsi"/>
          <w:i/>
          <w:iCs/>
          <w:color w:val="000000" w:themeColor="text1"/>
          <w:szCs w:val="26"/>
        </w:rPr>
        <w:t>UGI Order</w:t>
      </w:r>
      <w:r w:rsidRPr="0029160A">
        <w:rPr>
          <w:rFonts w:eastAsiaTheme="minorHAnsi"/>
          <w:color w:val="000000" w:themeColor="text1"/>
          <w:szCs w:val="26"/>
        </w:rPr>
        <w:t xml:space="preserve"> at 113-115.</w:t>
      </w:r>
    </w:p>
    <w:p w14:paraId="371B1F3F" w14:textId="77777777" w:rsidR="000F1611" w:rsidRPr="0029160A" w:rsidRDefault="000F1611">
      <w:pPr>
        <w:widowControl/>
        <w:spacing w:after="200" w:line="360" w:lineRule="auto"/>
        <w:ind w:firstLine="1440"/>
        <w:contextualSpacing/>
        <w:rPr>
          <w:rFonts w:eastAsiaTheme="minorHAnsi"/>
          <w:color w:val="000000" w:themeColor="text1"/>
          <w:szCs w:val="26"/>
        </w:rPr>
      </w:pPr>
    </w:p>
    <w:p w14:paraId="268A949F" w14:textId="37A79C0B" w:rsidR="000F1611" w:rsidRPr="0029160A" w:rsidRDefault="000F1611" w:rsidP="00B842EC">
      <w:pPr>
        <w:widowControl/>
        <w:spacing w:after="200" w:line="360" w:lineRule="auto"/>
        <w:ind w:firstLine="1440"/>
        <w:contextualSpacing/>
        <w:rPr>
          <w:color w:val="000000" w:themeColor="text1"/>
          <w:szCs w:val="26"/>
        </w:rPr>
      </w:pPr>
      <w:r w:rsidRPr="0029160A">
        <w:rPr>
          <w:rFonts w:eastAsiaTheme="minorHAnsi"/>
          <w:color w:val="000000" w:themeColor="text1"/>
          <w:szCs w:val="26"/>
        </w:rPr>
        <w:t>In our view, this adjustment i</w:t>
      </w:r>
      <w:r w:rsidRPr="0029160A">
        <w:rPr>
          <w:color w:val="000000" w:themeColor="text1"/>
          <w:szCs w:val="26"/>
        </w:rPr>
        <w:t>s reasonable, appropriate, and conservative based on Section 523 of the Code</w:t>
      </w:r>
      <w:r w:rsidRPr="0029160A">
        <w:rPr>
          <w:rFonts w:eastAsiaTheme="minorHAnsi"/>
          <w:color w:val="000000" w:themeColor="text1"/>
          <w:szCs w:val="26"/>
        </w:rPr>
        <w:t xml:space="preserve"> and better serves the public interest</w:t>
      </w:r>
      <w:r w:rsidRPr="0029160A">
        <w:rPr>
          <w:rFonts w:eastAsiaTheme="minorHAnsi"/>
          <w:i/>
          <w:iCs/>
          <w:color w:val="000000" w:themeColor="text1"/>
          <w:szCs w:val="26"/>
        </w:rPr>
        <w:t xml:space="preserve">.  </w:t>
      </w:r>
      <w:r w:rsidRPr="0029160A">
        <w:rPr>
          <w:rFonts w:eastAsiaTheme="minorHAnsi"/>
          <w:color w:val="000000" w:themeColor="text1"/>
          <w:szCs w:val="26"/>
        </w:rPr>
        <w:t xml:space="preserve">Accordingly, we shall grant the Exceptions of I&amp;E and the OCA, in part, and deny them, in part, and modify the recommendation of the ALJs on this issue but that a 5-basis point adjustment is more appropriate, aligns with other management effectiveness adjustments approved by this Commission and better serves the public interest.  </w:t>
      </w:r>
    </w:p>
    <w:p w14:paraId="2D745E58" w14:textId="77777777" w:rsidR="00461A7E" w:rsidRPr="0029160A" w:rsidRDefault="00461A7E" w:rsidP="00B842EC">
      <w:pPr>
        <w:widowControl/>
        <w:spacing w:line="360" w:lineRule="auto"/>
        <w:rPr>
          <w:color w:val="000000" w:themeColor="text1"/>
        </w:rPr>
      </w:pPr>
    </w:p>
    <w:p w14:paraId="645433DA" w14:textId="341A34FA" w:rsidR="00461A7E" w:rsidRPr="0029160A" w:rsidRDefault="00DB1CE2" w:rsidP="00651332">
      <w:pPr>
        <w:pStyle w:val="Heading3"/>
        <w:keepNext/>
        <w:ind w:left="1440" w:hanging="720"/>
        <w:rPr>
          <w:color w:val="000000" w:themeColor="text1"/>
        </w:rPr>
      </w:pPr>
      <w:bookmarkStart w:id="145" w:name="_Toc36552365"/>
      <w:bookmarkStart w:id="146" w:name="_Toc38951809"/>
      <w:r w:rsidRPr="0029160A">
        <w:rPr>
          <w:color w:val="000000" w:themeColor="text1"/>
        </w:rPr>
        <w:lastRenderedPageBreak/>
        <w:t xml:space="preserve">Rate Structure:  </w:t>
      </w:r>
      <w:r w:rsidR="00461A7E" w:rsidRPr="0029160A">
        <w:rPr>
          <w:color w:val="000000" w:themeColor="text1"/>
        </w:rPr>
        <w:t>Allocated Class Cost of Service Study</w:t>
      </w:r>
      <w:bookmarkEnd w:id="145"/>
      <w:bookmarkEnd w:id="146"/>
    </w:p>
    <w:p w14:paraId="0D5622E4" w14:textId="77777777" w:rsidR="00D72D1C" w:rsidRPr="0029160A" w:rsidRDefault="00D72D1C" w:rsidP="00651332">
      <w:pPr>
        <w:keepNext/>
        <w:widowControl/>
        <w:spacing w:line="360" w:lineRule="auto"/>
        <w:rPr>
          <w:color w:val="000000" w:themeColor="text1"/>
        </w:rPr>
      </w:pPr>
    </w:p>
    <w:p w14:paraId="3C853F7F" w14:textId="3FB5A271" w:rsidR="00D72D1C" w:rsidRPr="0029160A" w:rsidRDefault="00D72D1C" w:rsidP="00651332">
      <w:pPr>
        <w:pStyle w:val="Heading4"/>
        <w:keepNext/>
        <w:numPr>
          <w:ilvl w:val="0"/>
          <w:numId w:val="25"/>
        </w:numPr>
        <w:ind w:hanging="720"/>
        <w:rPr>
          <w:color w:val="000000" w:themeColor="text1"/>
        </w:rPr>
      </w:pPr>
      <w:bookmarkStart w:id="147" w:name="_Toc38951810"/>
      <w:r w:rsidRPr="0029160A">
        <w:rPr>
          <w:color w:val="000000" w:themeColor="text1"/>
        </w:rPr>
        <w:t>Position</w:t>
      </w:r>
      <w:r w:rsidR="00CB0B2E" w:rsidRPr="0029160A">
        <w:rPr>
          <w:color w:val="000000" w:themeColor="text1"/>
        </w:rPr>
        <w:t>s</w:t>
      </w:r>
      <w:r w:rsidRPr="0029160A">
        <w:rPr>
          <w:color w:val="000000" w:themeColor="text1"/>
        </w:rPr>
        <w:t xml:space="preserve"> of the Parties</w:t>
      </w:r>
      <w:bookmarkEnd w:id="147"/>
    </w:p>
    <w:p w14:paraId="5EE1CD97" w14:textId="77777777" w:rsidR="00D72D1C" w:rsidRPr="0029160A" w:rsidRDefault="00D72D1C" w:rsidP="00651332">
      <w:pPr>
        <w:keepNext/>
        <w:widowControl/>
        <w:spacing w:line="360" w:lineRule="auto"/>
        <w:rPr>
          <w:color w:val="000000" w:themeColor="text1"/>
          <w:szCs w:val="26"/>
        </w:rPr>
      </w:pPr>
    </w:p>
    <w:p w14:paraId="17990D9F" w14:textId="77777777" w:rsidR="000363FD" w:rsidRPr="0029160A" w:rsidRDefault="000363FD" w:rsidP="00651332">
      <w:pPr>
        <w:keepNext/>
        <w:widowControl/>
        <w:spacing w:line="360" w:lineRule="auto"/>
        <w:ind w:firstLine="1440"/>
        <w:rPr>
          <w:color w:val="000000" w:themeColor="text1"/>
          <w:szCs w:val="26"/>
        </w:rPr>
      </w:pPr>
      <w:r w:rsidRPr="0029160A">
        <w:rPr>
          <w:color w:val="000000" w:themeColor="text1"/>
          <w:szCs w:val="26"/>
        </w:rPr>
        <w:t>Wellsboro stated that the purpose of an allocated class cost of service study (ACCOSS) is to assign the total distribution revenue requirement of a utility to the rate classes in its Tariff, on a cost causation basis.  Company witness Gorman explained that the utility’s costs of providing service are analyzed to assign or allocate its costs among rate classes to ensure full cost recovery from each rate class.  Wellsboro M.B. at 97 (citing Wellsboro St. 1 at 19).</w:t>
      </w:r>
    </w:p>
    <w:p w14:paraId="65AC5896" w14:textId="77777777" w:rsidR="000363FD" w:rsidRPr="0029160A" w:rsidRDefault="000363FD">
      <w:pPr>
        <w:widowControl/>
        <w:spacing w:line="360" w:lineRule="auto"/>
        <w:ind w:firstLine="1440"/>
        <w:rPr>
          <w:color w:val="000000" w:themeColor="text1"/>
          <w:szCs w:val="26"/>
        </w:rPr>
      </w:pPr>
    </w:p>
    <w:p w14:paraId="1FCF6BCE" w14:textId="019F9008" w:rsidR="000363FD" w:rsidRPr="0029160A" w:rsidRDefault="000363FD">
      <w:pPr>
        <w:widowControl/>
        <w:spacing w:line="360" w:lineRule="auto"/>
        <w:ind w:firstLine="1440"/>
        <w:rPr>
          <w:i/>
          <w:iCs/>
          <w:color w:val="000000" w:themeColor="text1"/>
          <w:szCs w:val="26"/>
        </w:rPr>
      </w:pPr>
      <w:r w:rsidRPr="0029160A">
        <w:rPr>
          <w:color w:val="000000" w:themeColor="text1"/>
          <w:szCs w:val="26"/>
        </w:rPr>
        <w:t>Wellsboro claimed it followed the traditional three-step process in developing its ACCOSS: (1) functionalization of rate base and costs; (2) classification of functionalized costs as demand-related, commodity-related, or customer-related</w:t>
      </w:r>
      <w:r w:rsidR="00A73EF8">
        <w:rPr>
          <w:color w:val="000000" w:themeColor="text1"/>
          <w:szCs w:val="26"/>
        </w:rPr>
        <w:t>;</w:t>
      </w:r>
      <w:r w:rsidRPr="0029160A">
        <w:rPr>
          <w:color w:val="000000" w:themeColor="text1"/>
          <w:szCs w:val="26"/>
        </w:rPr>
        <w:t xml:space="preserve"> and (3)</w:t>
      </w:r>
      <w:r w:rsidR="00B842EC" w:rsidRPr="0029160A">
        <w:rPr>
          <w:color w:val="000000" w:themeColor="text1"/>
          <w:szCs w:val="26"/>
        </w:rPr>
        <w:t> </w:t>
      </w:r>
      <w:r w:rsidRPr="0029160A">
        <w:rPr>
          <w:color w:val="000000" w:themeColor="text1"/>
          <w:szCs w:val="26"/>
        </w:rPr>
        <w:t xml:space="preserve">class allocation of the functionalized, classified costs among each rate class.  The Company included the following functions in its ACCOSS: (1) primary distribution, including substations and conductors operating primarily at voltages of over 600V, up to and including 12kV, and related assets; (2) secondary distribution, which are facilities designed to move power from the primary distribution system to customers’ premises; and (3) billing, which includes meters and assets and activities related to enabling the distribution of electricity to customers and billing and collecting revenue.  </w:t>
      </w:r>
      <w:r w:rsidRPr="0029160A">
        <w:rPr>
          <w:i/>
          <w:iCs/>
          <w:color w:val="000000" w:themeColor="text1"/>
          <w:szCs w:val="26"/>
        </w:rPr>
        <w:t>Id.</w:t>
      </w:r>
    </w:p>
    <w:p w14:paraId="7367743B" w14:textId="77777777" w:rsidR="000363FD" w:rsidRPr="0029160A" w:rsidRDefault="000363FD">
      <w:pPr>
        <w:widowControl/>
        <w:spacing w:line="360" w:lineRule="auto"/>
        <w:ind w:firstLine="1440"/>
        <w:rPr>
          <w:i/>
          <w:iCs/>
          <w:color w:val="000000" w:themeColor="text1"/>
          <w:szCs w:val="26"/>
        </w:rPr>
      </w:pPr>
    </w:p>
    <w:p w14:paraId="62E2F6B0" w14:textId="77777777" w:rsidR="000363FD" w:rsidRPr="0029160A" w:rsidRDefault="000363FD">
      <w:pPr>
        <w:widowControl/>
        <w:spacing w:line="360" w:lineRule="auto"/>
        <w:ind w:firstLine="1440"/>
        <w:rPr>
          <w:color w:val="000000" w:themeColor="text1"/>
          <w:szCs w:val="26"/>
        </w:rPr>
      </w:pPr>
      <w:r w:rsidRPr="0029160A">
        <w:rPr>
          <w:color w:val="000000" w:themeColor="text1"/>
          <w:szCs w:val="26"/>
        </w:rPr>
        <w:t>Wellsboro presented its allocation and assignment of assets and costs as Exh</w:t>
      </w:r>
      <w:r w:rsidR="000D1A49" w:rsidRPr="0029160A">
        <w:rPr>
          <w:color w:val="000000" w:themeColor="text1"/>
          <w:szCs w:val="26"/>
        </w:rPr>
        <w:t>ibit</w:t>
      </w:r>
      <w:r w:rsidRPr="0029160A">
        <w:rPr>
          <w:color w:val="000000" w:themeColor="text1"/>
          <w:szCs w:val="26"/>
        </w:rPr>
        <w:t>_(HSG-1), Schedules D (W) through D6 (W), based on three categories of classification: (1) customer-related costs; (2) commodity-related costs; and (3) demand-(or capacity) related costs.  Wellsboro M.B. at 98 (</w:t>
      </w:r>
      <w:r w:rsidR="000D1A49" w:rsidRPr="0029160A">
        <w:rPr>
          <w:color w:val="000000" w:themeColor="text1"/>
          <w:szCs w:val="26"/>
        </w:rPr>
        <w:t xml:space="preserve">Wellsboro </w:t>
      </w:r>
      <w:r w:rsidRPr="0029160A">
        <w:rPr>
          <w:color w:val="000000" w:themeColor="text1"/>
          <w:szCs w:val="26"/>
        </w:rPr>
        <w:t xml:space="preserve">St. 1 at 21-22).  </w:t>
      </w:r>
    </w:p>
    <w:p w14:paraId="381EB67F" w14:textId="77777777" w:rsidR="000363FD" w:rsidRPr="0029160A" w:rsidRDefault="000363FD">
      <w:pPr>
        <w:widowControl/>
        <w:spacing w:line="360" w:lineRule="auto"/>
        <w:ind w:firstLine="1440"/>
        <w:rPr>
          <w:color w:val="000000" w:themeColor="text1"/>
          <w:szCs w:val="26"/>
        </w:rPr>
      </w:pPr>
    </w:p>
    <w:p w14:paraId="0D4C09F2" w14:textId="0A86E22B" w:rsidR="000363FD" w:rsidRPr="0029160A" w:rsidRDefault="000363FD">
      <w:pPr>
        <w:widowControl/>
        <w:spacing w:line="360" w:lineRule="auto"/>
        <w:ind w:firstLine="1440"/>
        <w:rPr>
          <w:color w:val="000000" w:themeColor="text1"/>
          <w:szCs w:val="26"/>
        </w:rPr>
      </w:pPr>
      <w:r w:rsidRPr="0029160A">
        <w:rPr>
          <w:color w:val="000000" w:themeColor="text1"/>
          <w:szCs w:val="26"/>
        </w:rPr>
        <w:t xml:space="preserve">The Company offered that I&amp;E’s witness Cline relied upon Wellsboro’s ACCOSS in evaluating the Company’s proposed revenue allocation.  On the other hand, </w:t>
      </w:r>
      <w:r w:rsidRPr="0029160A">
        <w:rPr>
          <w:color w:val="000000" w:themeColor="text1"/>
          <w:szCs w:val="26"/>
        </w:rPr>
        <w:lastRenderedPageBreak/>
        <w:t xml:space="preserve">the OCA witness Mierzwa did not oppose the proposed ACCOSS but expressed concerns about the classification of secondary portions of distribution plant (Accounts 364, 365, 366) and transformers (Account 368).  </w:t>
      </w:r>
      <w:r w:rsidRPr="0029160A">
        <w:rPr>
          <w:i/>
          <w:iCs/>
          <w:color w:val="000000" w:themeColor="text1"/>
          <w:szCs w:val="26"/>
        </w:rPr>
        <w:t>Id.</w:t>
      </w:r>
      <w:r w:rsidRPr="0029160A">
        <w:rPr>
          <w:color w:val="000000" w:themeColor="text1"/>
          <w:szCs w:val="26"/>
        </w:rPr>
        <w:t xml:space="preserve"> (citing Wellsboro St. 1-R at 7; OCA St. 4 at 4).  Further, Mr. Mierzwa disagreed with Wellsboro’s classification of a large portion of secondary distribution plant upstream of meters and services as customer-related.  </w:t>
      </w:r>
      <w:r w:rsidRPr="0029160A">
        <w:rPr>
          <w:i/>
          <w:iCs/>
          <w:color w:val="000000" w:themeColor="text1"/>
          <w:szCs w:val="26"/>
        </w:rPr>
        <w:t>Id.</w:t>
      </w:r>
      <w:r w:rsidRPr="0029160A">
        <w:rPr>
          <w:color w:val="000000" w:themeColor="text1"/>
          <w:szCs w:val="26"/>
        </w:rPr>
        <w:t xml:space="preserve">  (citing OCA St. 4 at 8).  </w:t>
      </w:r>
    </w:p>
    <w:p w14:paraId="39263A4B" w14:textId="77777777" w:rsidR="000363FD" w:rsidRPr="0029160A" w:rsidRDefault="000363FD">
      <w:pPr>
        <w:widowControl/>
        <w:spacing w:line="360" w:lineRule="auto"/>
        <w:ind w:firstLine="1440"/>
        <w:rPr>
          <w:color w:val="000000" w:themeColor="text1"/>
          <w:szCs w:val="26"/>
        </w:rPr>
      </w:pPr>
    </w:p>
    <w:p w14:paraId="0A971DA0" w14:textId="739F3F18" w:rsidR="000363FD" w:rsidRPr="0029160A" w:rsidRDefault="000363FD">
      <w:pPr>
        <w:widowControl/>
        <w:spacing w:line="360" w:lineRule="auto"/>
        <w:ind w:firstLine="1440"/>
        <w:rPr>
          <w:color w:val="000000" w:themeColor="text1"/>
          <w:szCs w:val="26"/>
        </w:rPr>
      </w:pPr>
      <w:r w:rsidRPr="0029160A">
        <w:rPr>
          <w:color w:val="000000" w:themeColor="text1"/>
          <w:szCs w:val="26"/>
        </w:rPr>
        <w:t>Wellsboro argued that absent the use of the minimum system method, the distribution costs are incorrectly allocated to each class.  Specifically, the Company contends that all upstream distribution plant (</w:t>
      </w:r>
      <w:r w:rsidRPr="0029160A">
        <w:rPr>
          <w:i/>
          <w:iCs/>
          <w:color w:val="000000" w:themeColor="text1"/>
          <w:szCs w:val="26"/>
        </w:rPr>
        <w:t>e.g.</w:t>
      </w:r>
      <w:r w:rsidRPr="0029160A">
        <w:rPr>
          <w:color w:val="000000" w:themeColor="text1"/>
          <w:szCs w:val="26"/>
        </w:rPr>
        <w:t xml:space="preserve"> transformers, conductors, poles, towers) is recognized by fundamental utility accounting practice as containing customer costs.  Further, the Company stated that using a demand allocation factor alone assumes that transformer and conductor capacity is the same for all classes; but, the Company added, they are not.  Wellsboro asserted that the Commission, in the </w:t>
      </w:r>
      <w:r w:rsidRPr="0029160A">
        <w:rPr>
          <w:i/>
          <w:color w:val="000000" w:themeColor="text1"/>
          <w:szCs w:val="26"/>
        </w:rPr>
        <w:t>UGI Order</w:t>
      </w:r>
      <w:r w:rsidRPr="0029160A">
        <w:rPr>
          <w:color w:val="000000" w:themeColor="text1"/>
          <w:szCs w:val="26"/>
        </w:rPr>
        <w:t xml:space="preserve">, found the minimum system method is “consistent with the NARUC </w:t>
      </w:r>
      <w:r w:rsidR="0019743F" w:rsidRPr="0029160A">
        <w:rPr>
          <w:color w:val="000000" w:themeColor="text1"/>
          <w:szCs w:val="26"/>
        </w:rPr>
        <w:t>[National Association of Regulatory Utility Commissioners]</w:t>
      </w:r>
      <w:r w:rsidR="00F2465F" w:rsidRPr="0029160A">
        <w:rPr>
          <w:color w:val="000000" w:themeColor="text1"/>
          <w:szCs w:val="26"/>
        </w:rPr>
        <w:t xml:space="preserve"> </w:t>
      </w:r>
      <w:r w:rsidRPr="0029160A">
        <w:rPr>
          <w:color w:val="000000" w:themeColor="text1"/>
          <w:szCs w:val="26"/>
        </w:rPr>
        <w:t>Manual and more accurately reflects cost-causation principles than the A</w:t>
      </w:r>
      <w:r w:rsidR="009E4607" w:rsidRPr="0029160A">
        <w:rPr>
          <w:color w:val="000000" w:themeColor="text1"/>
          <w:szCs w:val="26"/>
        </w:rPr>
        <w:t>C</w:t>
      </w:r>
      <w:r w:rsidRPr="0029160A">
        <w:rPr>
          <w:color w:val="000000" w:themeColor="text1"/>
          <w:szCs w:val="26"/>
        </w:rPr>
        <w:t xml:space="preserve">COSS methodology proposed by the OCA.”  Wellsboro M.B. at 99 (citing </w:t>
      </w:r>
      <w:r w:rsidRPr="0029160A">
        <w:rPr>
          <w:i/>
          <w:iCs/>
          <w:color w:val="000000" w:themeColor="text1"/>
          <w:szCs w:val="26"/>
        </w:rPr>
        <w:t>UGI Order</w:t>
      </w:r>
      <w:r w:rsidRPr="0029160A">
        <w:rPr>
          <w:color w:val="000000" w:themeColor="text1"/>
          <w:szCs w:val="26"/>
        </w:rPr>
        <w:t xml:space="preserve"> at 160).  </w:t>
      </w:r>
    </w:p>
    <w:p w14:paraId="3F4473C1" w14:textId="77777777" w:rsidR="00651332" w:rsidRPr="0029160A" w:rsidRDefault="00651332">
      <w:pPr>
        <w:widowControl/>
        <w:spacing w:line="360" w:lineRule="auto"/>
        <w:ind w:firstLine="1440"/>
        <w:rPr>
          <w:color w:val="000000" w:themeColor="text1"/>
          <w:szCs w:val="26"/>
        </w:rPr>
      </w:pPr>
    </w:p>
    <w:p w14:paraId="6D2DC3E0" w14:textId="01BC6EC2" w:rsidR="000363FD" w:rsidRPr="0029160A" w:rsidRDefault="000363FD">
      <w:pPr>
        <w:widowControl/>
        <w:spacing w:line="360" w:lineRule="auto"/>
        <w:ind w:firstLine="1440"/>
        <w:rPr>
          <w:i/>
          <w:iCs/>
          <w:color w:val="000000" w:themeColor="text1"/>
          <w:szCs w:val="26"/>
        </w:rPr>
      </w:pPr>
      <w:r w:rsidRPr="0029160A">
        <w:rPr>
          <w:color w:val="000000" w:themeColor="text1"/>
          <w:szCs w:val="26"/>
        </w:rPr>
        <w:t>The OCA argued Wellsboro’s proposed ACCOSS is inappropriate because a significant portion of secondary upstream distribution plant is classified as customer-related.  According to the OCA witness Mierzwa, the Company witness Gorman used the minimum system approach to estimate the customer-related portion of line transformers, and he used a “zero load analysis” to estimate the customer-related portion of all other upstream secondary distribution plant (</w:t>
      </w:r>
      <w:r w:rsidRPr="0029160A">
        <w:rPr>
          <w:i/>
          <w:iCs/>
          <w:color w:val="000000" w:themeColor="text1"/>
          <w:szCs w:val="26"/>
        </w:rPr>
        <w:t>e.g.</w:t>
      </w:r>
      <w:r w:rsidR="00452940" w:rsidRPr="0029160A">
        <w:rPr>
          <w:color w:val="000000" w:themeColor="text1"/>
          <w:szCs w:val="26"/>
        </w:rPr>
        <w:t>,</w:t>
      </w:r>
      <w:r w:rsidRPr="0029160A">
        <w:rPr>
          <w:color w:val="000000" w:themeColor="text1"/>
          <w:szCs w:val="26"/>
        </w:rPr>
        <w:t xml:space="preserve"> poles, towers, fixtures, overhead conductors, devices).  These types of costs, the OCA continued, are not directly related to the number of utility customers.  The OCA added that the cost of upstream secondary distribution plant is incurred to meet the coincident loads of the customers it serves.  Further, the OCA criticized the methodologies used by the Company to determine the customer-</w:t>
      </w:r>
      <w:r w:rsidRPr="0029160A">
        <w:rPr>
          <w:color w:val="000000" w:themeColor="text1"/>
          <w:szCs w:val="26"/>
        </w:rPr>
        <w:lastRenderedPageBreak/>
        <w:t>related component as flawed and not reliable.  Specifically, the OCA claimed Wellsboro failed to account for how the distribution system is engineered and how it is designed to work each day.  OCA M.B. at 70 (citing OCA St. 4 at 9-10).</w:t>
      </w:r>
      <w:r w:rsidR="00153B3B" w:rsidRPr="0029160A">
        <w:rPr>
          <w:color w:val="000000" w:themeColor="text1"/>
          <w:szCs w:val="26"/>
        </w:rPr>
        <w:t xml:space="preserve">  </w:t>
      </w:r>
    </w:p>
    <w:p w14:paraId="0FC04A03" w14:textId="77777777" w:rsidR="000363FD" w:rsidRPr="0029160A" w:rsidRDefault="000363FD">
      <w:pPr>
        <w:widowControl/>
        <w:spacing w:line="360" w:lineRule="auto"/>
        <w:ind w:firstLine="1440"/>
        <w:rPr>
          <w:i/>
          <w:iCs/>
          <w:color w:val="000000" w:themeColor="text1"/>
          <w:szCs w:val="26"/>
        </w:rPr>
      </w:pPr>
    </w:p>
    <w:p w14:paraId="5EE3FC47" w14:textId="2A7F0EE9" w:rsidR="000363FD" w:rsidRPr="0029160A" w:rsidRDefault="000363FD" w:rsidP="00B842EC">
      <w:pPr>
        <w:widowControl/>
        <w:spacing w:line="360" w:lineRule="auto"/>
        <w:ind w:firstLine="1440"/>
        <w:rPr>
          <w:color w:val="000000" w:themeColor="text1"/>
          <w:szCs w:val="26"/>
        </w:rPr>
      </w:pPr>
      <w:r w:rsidRPr="0029160A">
        <w:rPr>
          <w:color w:val="000000" w:themeColor="text1"/>
          <w:szCs w:val="26"/>
        </w:rPr>
        <w:t xml:space="preserve">The OCA supported </w:t>
      </w:r>
      <w:r w:rsidR="00B01D00" w:rsidRPr="0029160A">
        <w:rPr>
          <w:color w:val="000000" w:themeColor="text1"/>
          <w:szCs w:val="26"/>
        </w:rPr>
        <w:t xml:space="preserve">its </w:t>
      </w:r>
      <w:r w:rsidRPr="0029160A">
        <w:rPr>
          <w:color w:val="000000" w:themeColor="text1"/>
          <w:szCs w:val="26"/>
        </w:rPr>
        <w:t>position by modifying the ACCOSS to determine the impact of the classification of upstream secondary distribution plant as 100% demand-related.  The OCA witness Mierzwa testified the change was necessary because the Company’s cost study accounted for the load carrying capability of its transformer system, which Mierzwa eliminated in his modified allocation.  Furthermore, the OCA contended its ACCOSS is a better reflection of the factors that caused Wellsboro to be constructed – the need to meet peak demands in the local area and the need to deliver energy at usable voltages at any time.  OCA M.B. at 74-75 (citing OCA St. 4 at 14, 16).  Accordingly, the OCA submitted that the Commission should adopt its version of the ACCOSS for Wellsboro, which classifies 100% of the upstream secondary distribution plant as demand-related.  OCA M.B. at 76 (citing OCA St. 4 at Sch. JDM-3, Exh</w:t>
      </w:r>
      <w:r w:rsidR="00963CED" w:rsidRPr="0029160A">
        <w:rPr>
          <w:color w:val="000000" w:themeColor="text1"/>
          <w:szCs w:val="26"/>
        </w:rPr>
        <w:t>ibit</w:t>
      </w:r>
      <w:r w:rsidRPr="0029160A">
        <w:rPr>
          <w:color w:val="000000" w:themeColor="text1"/>
          <w:szCs w:val="26"/>
        </w:rPr>
        <w:t>_(HSG-1) Sch. E-1 (W-OCA)).</w:t>
      </w:r>
    </w:p>
    <w:p w14:paraId="6B52098E" w14:textId="77777777" w:rsidR="00D72D1C" w:rsidRPr="0029160A" w:rsidRDefault="00D72D1C" w:rsidP="00B842EC">
      <w:pPr>
        <w:widowControl/>
        <w:spacing w:line="360" w:lineRule="auto"/>
        <w:rPr>
          <w:color w:val="000000" w:themeColor="text1"/>
          <w:szCs w:val="26"/>
        </w:rPr>
      </w:pPr>
    </w:p>
    <w:p w14:paraId="45457DA7" w14:textId="77777777" w:rsidR="00D72D1C" w:rsidRPr="0029160A" w:rsidRDefault="00D72D1C" w:rsidP="00CB0B2E">
      <w:pPr>
        <w:pStyle w:val="Heading4"/>
        <w:keepNext/>
        <w:keepLines/>
        <w:ind w:hanging="720"/>
        <w:rPr>
          <w:color w:val="000000" w:themeColor="text1"/>
        </w:rPr>
      </w:pPr>
      <w:bookmarkStart w:id="148" w:name="_Toc38951811"/>
      <w:r w:rsidRPr="0029160A">
        <w:rPr>
          <w:color w:val="000000" w:themeColor="text1"/>
        </w:rPr>
        <w:t>Recommended Decision</w:t>
      </w:r>
      <w:bookmarkEnd w:id="148"/>
    </w:p>
    <w:p w14:paraId="15F24D42" w14:textId="77777777" w:rsidR="00D72D1C" w:rsidRPr="0029160A" w:rsidRDefault="00D72D1C" w:rsidP="00B842EC">
      <w:pPr>
        <w:keepNext/>
        <w:keepLines/>
        <w:widowControl/>
        <w:spacing w:line="360" w:lineRule="auto"/>
        <w:rPr>
          <w:color w:val="000000" w:themeColor="text1"/>
          <w:szCs w:val="26"/>
        </w:rPr>
      </w:pPr>
    </w:p>
    <w:p w14:paraId="0B8A8B70" w14:textId="2A03D05B" w:rsidR="00B620D3" w:rsidRPr="0029160A" w:rsidRDefault="00B620D3" w:rsidP="00B842EC">
      <w:pPr>
        <w:widowControl/>
        <w:spacing w:line="360" w:lineRule="auto"/>
        <w:ind w:firstLine="1440"/>
        <w:rPr>
          <w:color w:val="000000" w:themeColor="text1"/>
          <w:szCs w:val="26"/>
        </w:rPr>
      </w:pPr>
      <w:r w:rsidRPr="0029160A">
        <w:rPr>
          <w:color w:val="000000" w:themeColor="text1"/>
          <w:szCs w:val="26"/>
        </w:rPr>
        <w:t xml:space="preserve">The ALJs found that Wellsboro’s ACCOSS should be approved and noted that overall, the Company’s proposed ACCOSS had been generally accepted by each of the </w:t>
      </w:r>
      <w:r w:rsidR="00F2465F" w:rsidRPr="0029160A">
        <w:rPr>
          <w:color w:val="000000" w:themeColor="text1"/>
          <w:szCs w:val="26"/>
        </w:rPr>
        <w:t>P</w:t>
      </w:r>
      <w:r w:rsidRPr="0029160A">
        <w:rPr>
          <w:color w:val="000000" w:themeColor="text1"/>
          <w:szCs w:val="26"/>
        </w:rPr>
        <w:t>arties.  The ALJs rejected the OCA’s argument that Wellsboro’s use of a minimum system approach to estimate a customer-related portion of line transformers, and the Company’s analysis to estimate the customer-related portion of all other upstream secondary distribution plant, is inappropriate.  Further, the ALJs rejected the OCA</w:t>
      </w:r>
      <w:r w:rsidR="00CF5FE6" w:rsidRPr="0029160A">
        <w:rPr>
          <w:color w:val="000000" w:themeColor="text1"/>
          <w:szCs w:val="26"/>
        </w:rPr>
        <w:t>’</w:t>
      </w:r>
      <w:r w:rsidRPr="0029160A">
        <w:rPr>
          <w:color w:val="000000" w:themeColor="text1"/>
          <w:szCs w:val="26"/>
        </w:rPr>
        <w:t>s argument that Wellsboro incorrectly classified a portion of the secondary upstream distribution plant as customer-related.  R.D. at 91-92.</w:t>
      </w:r>
    </w:p>
    <w:p w14:paraId="5D13EC7A" w14:textId="77777777" w:rsidR="00B620D3" w:rsidRPr="0029160A" w:rsidRDefault="00B620D3">
      <w:pPr>
        <w:widowControl/>
        <w:spacing w:line="360" w:lineRule="auto"/>
        <w:ind w:firstLine="1440"/>
        <w:rPr>
          <w:color w:val="000000" w:themeColor="text1"/>
          <w:szCs w:val="26"/>
        </w:rPr>
      </w:pPr>
    </w:p>
    <w:p w14:paraId="6063E547" w14:textId="36E726C9" w:rsidR="00B620D3" w:rsidRPr="0029160A" w:rsidRDefault="00B620D3">
      <w:pPr>
        <w:widowControl/>
        <w:spacing w:line="360" w:lineRule="auto"/>
        <w:ind w:firstLine="1440"/>
        <w:rPr>
          <w:color w:val="000000" w:themeColor="text1"/>
          <w:szCs w:val="26"/>
        </w:rPr>
      </w:pPr>
      <w:r w:rsidRPr="0029160A">
        <w:rPr>
          <w:color w:val="000000" w:themeColor="text1"/>
          <w:szCs w:val="26"/>
        </w:rPr>
        <w:lastRenderedPageBreak/>
        <w:t>The ALJs noted Wellsboro correctly referenced the</w:t>
      </w:r>
      <w:r w:rsidRPr="0029160A">
        <w:rPr>
          <w:i/>
          <w:iCs/>
          <w:color w:val="000000" w:themeColor="text1"/>
          <w:szCs w:val="26"/>
        </w:rPr>
        <w:t xml:space="preserve"> UGI Order</w:t>
      </w:r>
      <w:r w:rsidRPr="0029160A">
        <w:rPr>
          <w:color w:val="000000" w:themeColor="text1"/>
          <w:szCs w:val="26"/>
        </w:rPr>
        <w:t xml:space="preserve">, where the Commission found that the minimum system method is “consistent with the NARUC Manual and more accurately reflects cost causation principles than the ACCOSS methodology proposed by the OCA.”  </w:t>
      </w:r>
      <w:r w:rsidRPr="0029160A">
        <w:rPr>
          <w:i/>
          <w:iCs/>
          <w:color w:val="000000" w:themeColor="text1"/>
          <w:szCs w:val="26"/>
        </w:rPr>
        <w:t>UGI Order</w:t>
      </w:r>
      <w:r w:rsidRPr="0029160A">
        <w:rPr>
          <w:color w:val="000000" w:themeColor="text1"/>
          <w:szCs w:val="26"/>
        </w:rPr>
        <w:t xml:space="preserve"> at 160.  The ALJs further noted the ACCOSS presented by the Company, including its use of the minimum system method in classifying primary and secondary distribution costs as part demand and part customer costs, adheres to the generally accepted methods of preparing a cost allocation study set forth in the NARUC Electric Utility Cost Allocation Manual (NARUC Manual).  </w:t>
      </w:r>
      <w:r w:rsidRPr="0029160A">
        <w:rPr>
          <w:i/>
          <w:iCs/>
          <w:color w:val="000000" w:themeColor="text1"/>
          <w:szCs w:val="26"/>
        </w:rPr>
        <w:t>Id.</w:t>
      </w:r>
      <w:r w:rsidRPr="0029160A">
        <w:rPr>
          <w:color w:val="000000" w:themeColor="text1"/>
          <w:szCs w:val="26"/>
        </w:rPr>
        <w:t xml:space="preserve"> </w:t>
      </w:r>
    </w:p>
    <w:p w14:paraId="735FB047" w14:textId="77777777" w:rsidR="00B620D3" w:rsidRPr="0029160A" w:rsidRDefault="00B620D3">
      <w:pPr>
        <w:widowControl/>
        <w:spacing w:line="360" w:lineRule="auto"/>
        <w:ind w:firstLine="1440"/>
        <w:rPr>
          <w:color w:val="000000" w:themeColor="text1"/>
          <w:szCs w:val="26"/>
        </w:rPr>
      </w:pPr>
    </w:p>
    <w:p w14:paraId="38FA8BAE" w14:textId="73CEFE00" w:rsidR="00D72D1C" w:rsidRPr="0029160A" w:rsidRDefault="00B620D3" w:rsidP="00B842EC">
      <w:pPr>
        <w:widowControl/>
        <w:spacing w:line="360" w:lineRule="auto"/>
        <w:ind w:firstLine="1440"/>
        <w:rPr>
          <w:color w:val="000000" w:themeColor="text1"/>
          <w:szCs w:val="26"/>
        </w:rPr>
      </w:pPr>
      <w:r w:rsidRPr="0029160A">
        <w:rPr>
          <w:color w:val="000000" w:themeColor="text1"/>
          <w:szCs w:val="26"/>
        </w:rPr>
        <w:t xml:space="preserve">The ALJs noted the methods utilized by Wellsboro are similar, or identical, to methods used in two prior proceedings.  R.D. at 92 (citing </w:t>
      </w:r>
      <w:r w:rsidRPr="0029160A">
        <w:rPr>
          <w:i/>
          <w:color w:val="000000" w:themeColor="text1"/>
          <w:szCs w:val="26"/>
        </w:rPr>
        <w:t>PPL 2012 Order</w:t>
      </w:r>
      <w:r w:rsidRPr="0029160A">
        <w:rPr>
          <w:color w:val="000000" w:themeColor="text1"/>
          <w:szCs w:val="26"/>
        </w:rPr>
        <w:t xml:space="preserve">; </w:t>
      </w:r>
      <w:r w:rsidRPr="0029160A">
        <w:rPr>
          <w:i/>
          <w:iCs/>
          <w:color w:val="000000" w:themeColor="text1"/>
          <w:szCs w:val="26"/>
        </w:rPr>
        <w:t>UGI Order</w:t>
      </w:r>
      <w:r w:rsidRPr="0029160A">
        <w:rPr>
          <w:color w:val="000000" w:themeColor="text1"/>
          <w:szCs w:val="26"/>
        </w:rPr>
        <w:t>)</w:t>
      </w:r>
      <w:r w:rsidR="00452940" w:rsidRPr="0029160A">
        <w:rPr>
          <w:color w:val="000000" w:themeColor="text1"/>
          <w:szCs w:val="26"/>
        </w:rPr>
        <w:t>.</w:t>
      </w:r>
      <w:r w:rsidRPr="0029160A">
        <w:rPr>
          <w:color w:val="000000" w:themeColor="text1"/>
          <w:szCs w:val="26"/>
        </w:rPr>
        <w:t xml:space="preserve">  Further, the ALJs noted the arguments made by the OCA against the Company in the instant proceeding are similar to the arguments made by the OCA in the</w:t>
      </w:r>
      <w:r w:rsidRPr="0029160A">
        <w:rPr>
          <w:i/>
          <w:iCs/>
          <w:color w:val="000000" w:themeColor="text1"/>
          <w:szCs w:val="26"/>
        </w:rPr>
        <w:t xml:space="preserve"> UGI Order</w:t>
      </w:r>
      <w:r w:rsidRPr="0029160A">
        <w:rPr>
          <w:color w:val="000000" w:themeColor="text1"/>
          <w:szCs w:val="26"/>
        </w:rPr>
        <w:t xml:space="preserve"> and the</w:t>
      </w:r>
      <w:r w:rsidRPr="0029160A">
        <w:rPr>
          <w:i/>
          <w:iCs/>
          <w:color w:val="000000" w:themeColor="text1"/>
          <w:szCs w:val="26"/>
        </w:rPr>
        <w:t xml:space="preserve"> PPL 2012 Order</w:t>
      </w:r>
      <w:r w:rsidRPr="0029160A">
        <w:rPr>
          <w:color w:val="000000" w:themeColor="text1"/>
          <w:szCs w:val="26"/>
        </w:rPr>
        <w:t xml:space="preserve">.  In the instant proceeding, the ALJs determined the OCA had not offered convincing reasons for deviating from the historically accepted and approved approach.  R.D. at 92.  </w:t>
      </w:r>
      <w:bookmarkStart w:id="149" w:name="_Hlk36322185"/>
      <w:r w:rsidRPr="0029160A">
        <w:rPr>
          <w:color w:val="000000" w:themeColor="text1"/>
          <w:szCs w:val="26"/>
        </w:rPr>
        <w:t>Accordingly, the ALJs recommended Wellsboro’s ACCOSS should be accepted and approved.  R.D. at 92.</w:t>
      </w:r>
      <w:bookmarkEnd w:id="149"/>
    </w:p>
    <w:p w14:paraId="7ECD5DA9" w14:textId="77777777" w:rsidR="00D72D1C" w:rsidRPr="0029160A" w:rsidRDefault="00D72D1C" w:rsidP="00B842EC">
      <w:pPr>
        <w:widowControl/>
        <w:spacing w:line="360" w:lineRule="auto"/>
        <w:rPr>
          <w:color w:val="000000" w:themeColor="text1"/>
          <w:szCs w:val="26"/>
        </w:rPr>
      </w:pPr>
    </w:p>
    <w:p w14:paraId="278F193A" w14:textId="77777777" w:rsidR="00D72D1C" w:rsidRPr="0029160A" w:rsidRDefault="0051798E" w:rsidP="00CB0B2E">
      <w:pPr>
        <w:pStyle w:val="Heading4"/>
        <w:ind w:hanging="720"/>
        <w:rPr>
          <w:color w:val="000000" w:themeColor="text1"/>
        </w:rPr>
      </w:pPr>
      <w:bookmarkStart w:id="150" w:name="_Toc38951812"/>
      <w:r w:rsidRPr="0029160A">
        <w:rPr>
          <w:color w:val="000000" w:themeColor="text1"/>
        </w:rPr>
        <w:t>OCA Exc</w:t>
      </w:r>
      <w:r w:rsidR="00312B42" w:rsidRPr="0029160A">
        <w:rPr>
          <w:color w:val="000000" w:themeColor="text1"/>
        </w:rPr>
        <w:t>eption</w:t>
      </w:r>
      <w:r w:rsidRPr="0029160A">
        <w:rPr>
          <w:color w:val="000000" w:themeColor="text1"/>
        </w:rPr>
        <w:t xml:space="preserve"> No. 9</w:t>
      </w:r>
      <w:r w:rsidR="00312B42" w:rsidRPr="0029160A">
        <w:rPr>
          <w:color w:val="000000" w:themeColor="text1"/>
        </w:rPr>
        <w:t xml:space="preserve"> and Replies</w:t>
      </w:r>
      <w:bookmarkEnd w:id="150"/>
    </w:p>
    <w:p w14:paraId="37C79139" w14:textId="77777777" w:rsidR="00D72D1C" w:rsidRPr="0029160A" w:rsidRDefault="00D72D1C" w:rsidP="00B842EC">
      <w:pPr>
        <w:widowControl/>
        <w:spacing w:line="360" w:lineRule="auto"/>
        <w:rPr>
          <w:color w:val="000000" w:themeColor="text1"/>
          <w:szCs w:val="26"/>
        </w:rPr>
      </w:pPr>
    </w:p>
    <w:p w14:paraId="7E1B18A9" w14:textId="79BAB125" w:rsidR="00B620D3" w:rsidRPr="0029160A" w:rsidRDefault="00B620D3" w:rsidP="00B842EC">
      <w:pPr>
        <w:widowControl/>
        <w:spacing w:line="360" w:lineRule="auto"/>
        <w:ind w:firstLine="1440"/>
        <w:rPr>
          <w:color w:val="000000" w:themeColor="text1"/>
          <w:szCs w:val="26"/>
        </w:rPr>
      </w:pPr>
      <w:r w:rsidRPr="0029160A">
        <w:rPr>
          <w:color w:val="000000" w:themeColor="text1"/>
          <w:szCs w:val="26"/>
        </w:rPr>
        <w:t>In OCA Exception No. 9, the OCA submits that the ALJs erred by adopting Wellsboro’s improper classification of a significant portion of upstream secondary plant as customer-related in the ACCOSS.  The OCA notes that</w:t>
      </w:r>
      <w:r w:rsidR="000B66C6" w:rsidRPr="0029160A">
        <w:rPr>
          <w:color w:val="000000" w:themeColor="text1"/>
          <w:szCs w:val="26"/>
        </w:rPr>
        <w:t>,</w:t>
      </w:r>
      <w:r w:rsidRPr="0029160A">
        <w:rPr>
          <w:color w:val="000000" w:themeColor="text1"/>
          <w:szCs w:val="26"/>
        </w:rPr>
        <w:t xml:space="preserve"> although it accepted several aspects of the Company’s ACCOSS, the OCA proposed a modified ACCOSS to change the classification of the secondary portion of upstream distribution plant to 100% demand-related.  OCA Exc. at 20-21 (citing R.D. at 92; OCA M.B. at 68; OCA R.B. at</w:t>
      </w:r>
      <w:r w:rsidR="00B41933" w:rsidRPr="0029160A">
        <w:rPr>
          <w:color w:val="000000" w:themeColor="text1"/>
          <w:szCs w:val="26"/>
        </w:rPr>
        <w:t> </w:t>
      </w:r>
      <w:r w:rsidRPr="0029160A">
        <w:rPr>
          <w:color w:val="000000" w:themeColor="text1"/>
          <w:szCs w:val="26"/>
        </w:rPr>
        <w:t>34).</w:t>
      </w:r>
    </w:p>
    <w:p w14:paraId="708E0D3E" w14:textId="77777777" w:rsidR="00B620D3" w:rsidRPr="0029160A" w:rsidRDefault="00B620D3">
      <w:pPr>
        <w:widowControl/>
        <w:spacing w:line="360" w:lineRule="auto"/>
        <w:ind w:firstLine="1440"/>
        <w:rPr>
          <w:color w:val="000000" w:themeColor="text1"/>
          <w:szCs w:val="26"/>
        </w:rPr>
      </w:pPr>
    </w:p>
    <w:p w14:paraId="149EFB7D" w14:textId="77777777" w:rsidR="00B620D3" w:rsidRPr="0029160A" w:rsidRDefault="00B620D3">
      <w:pPr>
        <w:widowControl/>
        <w:spacing w:line="360" w:lineRule="auto"/>
        <w:ind w:firstLine="1440"/>
        <w:rPr>
          <w:color w:val="000000" w:themeColor="text1"/>
          <w:szCs w:val="26"/>
        </w:rPr>
      </w:pPr>
      <w:r w:rsidRPr="0029160A">
        <w:rPr>
          <w:color w:val="000000" w:themeColor="text1"/>
          <w:szCs w:val="26"/>
        </w:rPr>
        <w:lastRenderedPageBreak/>
        <w:t>The OCA contends that the R</w:t>
      </w:r>
      <w:r w:rsidR="00A56652" w:rsidRPr="0029160A">
        <w:rPr>
          <w:color w:val="000000" w:themeColor="text1"/>
          <w:szCs w:val="26"/>
        </w:rPr>
        <w:t>.D.</w:t>
      </w:r>
      <w:r w:rsidRPr="0029160A">
        <w:rPr>
          <w:color w:val="000000" w:themeColor="text1"/>
          <w:szCs w:val="26"/>
        </w:rPr>
        <w:t xml:space="preserve"> relies upon the determinations of the</w:t>
      </w:r>
      <w:r w:rsidRPr="0029160A">
        <w:rPr>
          <w:i/>
          <w:iCs/>
          <w:color w:val="000000" w:themeColor="text1"/>
          <w:szCs w:val="26"/>
        </w:rPr>
        <w:t xml:space="preserve"> UGI Order</w:t>
      </w:r>
      <w:r w:rsidRPr="0029160A">
        <w:rPr>
          <w:color w:val="000000" w:themeColor="text1"/>
          <w:szCs w:val="26"/>
        </w:rPr>
        <w:t xml:space="preserve"> and the</w:t>
      </w:r>
      <w:r w:rsidRPr="0029160A">
        <w:rPr>
          <w:i/>
          <w:iCs/>
          <w:color w:val="000000" w:themeColor="text1"/>
          <w:szCs w:val="26"/>
        </w:rPr>
        <w:t xml:space="preserve"> PPL 2012 Order</w:t>
      </w:r>
      <w:r w:rsidRPr="0029160A">
        <w:rPr>
          <w:color w:val="000000" w:themeColor="text1"/>
          <w:szCs w:val="26"/>
        </w:rPr>
        <w:t>, but it ignores the flaws in the Company’s methodologies.  Further, the OCA asserts that contrary to the conclusion of the ALJs, the arguments the OCA made in this proceeding are not identical to the arguments it made in the</w:t>
      </w:r>
      <w:r w:rsidRPr="0029160A">
        <w:rPr>
          <w:i/>
          <w:iCs/>
          <w:color w:val="000000" w:themeColor="text1"/>
          <w:szCs w:val="26"/>
        </w:rPr>
        <w:t xml:space="preserve"> UGI Order</w:t>
      </w:r>
      <w:r w:rsidRPr="0029160A">
        <w:rPr>
          <w:color w:val="000000" w:themeColor="text1"/>
          <w:szCs w:val="26"/>
        </w:rPr>
        <w:t xml:space="preserve"> proceeding or the</w:t>
      </w:r>
      <w:r w:rsidRPr="0029160A">
        <w:rPr>
          <w:i/>
          <w:iCs/>
          <w:color w:val="000000" w:themeColor="text1"/>
          <w:szCs w:val="26"/>
        </w:rPr>
        <w:t xml:space="preserve"> PPL 2012 Order</w:t>
      </w:r>
      <w:r w:rsidRPr="0029160A">
        <w:rPr>
          <w:color w:val="000000" w:themeColor="text1"/>
          <w:szCs w:val="26"/>
        </w:rPr>
        <w:t xml:space="preserve"> proceeding.  OCA Exc. at 21 (citing R.D. at 91-92; </w:t>
      </w:r>
      <w:r w:rsidRPr="0029160A">
        <w:rPr>
          <w:i/>
          <w:iCs/>
          <w:color w:val="000000" w:themeColor="text1"/>
          <w:szCs w:val="26"/>
        </w:rPr>
        <w:t>UGI Order</w:t>
      </w:r>
      <w:r w:rsidRPr="0029160A">
        <w:rPr>
          <w:color w:val="000000" w:themeColor="text1"/>
          <w:szCs w:val="26"/>
        </w:rPr>
        <w:t xml:space="preserve"> at 160).  Rather, the OCA elaborates that the arguments in the instant proceeding are based upon flaws in the analysis and methodologies performed and utilized by Wellsboro witness Gorman.  Moreover, the OCA remains of the opinion that the portion of the secondary distribution plant that the Company classified as customer-related in its ACCOSS should be changed to 100% demand-related.  The OCA argues that Mr. Gorman did not account for how the distribution system is engineered and how it is designed to work each day.  In short, the OCA declares Wellsboro’s ACCOSS unsuitable as a guide to setting rates.  Therefore, the OCA submits that the ALJs</w:t>
      </w:r>
      <w:r w:rsidR="00722176" w:rsidRPr="0029160A">
        <w:rPr>
          <w:color w:val="000000" w:themeColor="text1"/>
          <w:szCs w:val="26"/>
        </w:rPr>
        <w:t>’</w:t>
      </w:r>
      <w:r w:rsidRPr="0029160A">
        <w:rPr>
          <w:color w:val="000000" w:themeColor="text1"/>
          <w:szCs w:val="26"/>
        </w:rPr>
        <w:t xml:space="preserve"> recommendation be rejected, and the OCA’s modified ACCOSS be adopted.  OCA Exc. at 21-22.</w:t>
      </w:r>
    </w:p>
    <w:p w14:paraId="3222968B" w14:textId="77777777" w:rsidR="00B620D3" w:rsidRPr="0029160A" w:rsidRDefault="00B620D3">
      <w:pPr>
        <w:widowControl/>
        <w:spacing w:line="360" w:lineRule="auto"/>
        <w:ind w:firstLine="1440"/>
        <w:rPr>
          <w:color w:val="000000" w:themeColor="text1"/>
          <w:szCs w:val="26"/>
        </w:rPr>
      </w:pPr>
    </w:p>
    <w:p w14:paraId="73F62BCF" w14:textId="50D87CBB" w:rsidR="00B620D3" w:rsidRPr="0029160A" w:rsidRDefault="00B620D3">
      <w:pPr>
        <w:widowControl/>
        <w:spacing w:line="360" w:lineRule="auto"/>
        <w:ind w:firstLine="1440"/>
        <w:rPr>
          <w:color w:val="000000" w:themeColor="text1"/>
          <w:szCs w:val="26"/>
        </w:rPr>
      </w:pPr>
      <w:r w:rsidRPr="0029160A">
        <w:rPr>
          <w:color w:val="000000" w:themeColor="text1"/>
          <w:szCs w:val="26"/>
        </w:rPr>
        <w:t xml:space="preserve">The OCA highlights that a major difference between its ACCOSS proposal and Wellsboro’s ACCOSS proposal is that Wellsboro performed a “zero-load analysis” to determine a customer-related portion of secondary distribution plant other than line transformers.  The OCA witness Mierzwa describes the Company witness Gorman’s process for performing “zero-load analysis,” saying he apparently disaggregated the installed replacement costs of poles, overhead, conductors, and underground conductors into two categories: </w:t>
      </w:r>
      <w:bookmarkStart w:id="151" w:name="_Hlk36556975"/>
      <w:r w:rsidR="00722176" w:rsidRPr="0029160A">
        <w:rPr>
          <w:color w:val="000000" w:themeColor="text1"/>
          <w:szCs w:val="26"/>
        </w:rPr>
        <w:t xml:space="preserve">(1) </w:t>
      </w:r>
      <w:r w:rsidRPr="0029160A">
        <w:rPr>
          <w:color w:val="000000" w:themeColor="text1"/>
          <w:szCs w:val="26"/>
        </w:rPr>
        <w:t>labor-related (</w:t>
      </w:r>
      <w:r w:rsidRPr="0029160A">
        <w:rPr>
          <w:i/>
          <w:iCs/>
          <w:color w:val="000000" w:themeColor="text1"/>
          <w:szCs w:val="26"/>
        </w:rPr>
        <w:t>i.e</w:t>
      </w:r>
      <w:r w:rsidRPr="0029160A">
        <w:rPr>
          <w:color w:val="000000" w:themeColor="text1"/>
          <w:szCs w:val="26"/>
        </w:rPr>
        <w:t>.</w:t>
      </w:r>
      <w:r w:rsidR="00EA75F1" w:rsidRPr="0029160A">
        <w:rPr>
          <w:color w:val="000000" w:themeColor="text1"/>
          <w:szCs w:val="26"/>
        </w:rPr>
        <w:t>,</w:t>
      </w:r>
      <w:r w:rsidRPr="0029160A">
        <w:rPr>
          <w:color w:val="000000" w:themeColor="text1"/>
          <w:szCs w:val="26"/>
        </w:rPr>
        <w:t xml:space="preserve"> all costs except materials),</w:t>
      </w:r>
      <w:r w:rsidR="00722176" w:rsidRPr="0029160A">
        <w:rPr>
          <w:color w:val="000000" w:themeColor="text1"/>
          <w:szCs w:val="26"/>
        </w:rPr>
        <w:t xml:space="preserve"> and</w:t>
      </w:r>
      <w:r w:rsidRPr="0029160A">
        <w:rPr>
          <w:color w:val="000000" w:themeColor="text1"/>
          <w:szCs w:val="26"/>
        </w:rPr>
        <w:t xml:space="preserve"> </w:t>
      </w:r>
      <w:r w:rsidR="00722176" w:rsidRPr="0029160A">
        <w:rPr>
          <w:color w:val="000000" w:themeColor="text1"/>
          <w:szCs w:val="26"/>
        </w:rPr>
        <w:t xml:space="preserve">(2) </w:t>
      </w:r>
      <w:r w:rsidRPr="0029160A">
        <w:rPr>
          <w:color w:val="000000" w:themeColor="text1"/>
          <w:szCs w:val="26"/>
        </w:rPr>
        <w:t>customer-related and the demand-related (</w:t>
      </w:r>
      <w:r w:rsidRPr="0029160A">
        <w:rPr>
          <w:i/>
          <w:iCs/>
          <w:color w:val="000000" w:themeColor="text1"/>
          <w:szCs w:val="26"/>
        </w:rPr>
        <w:t>i.e</w:t>
      </w:r>
      <w:r w:rsidRPr="0029160A">
        <w:rPr>
          <w:color w:val="000000" w:themeColor="text1"/>
          <w:szCs w:val="26"/>
        </w:rPr>
        <w:t>., costs of material).  OCA Exc. at 23 (citing OCA St.</w:t>
      </w:r>
      <w:r w:rsidR="00B842EC" w:rsidRPr="0029160A">
        <w:rPr>
          <w:color w:val="000000" w:themeColor="text1"/>
          <w:szCs w:val="26"/>
        </w:rPr>
        <w:t> </w:t>
      </w:r>
      <w:r w:rsidRPr="0029160A">
        <w:rPr>
          <w:color w:val="000000" w:themeColor="text1"/>
          <w:szCs w:val="26"/>
        </w:rPr>
        <w:t xml:space="preserve">4 at 11).  </w:t>
      </w:r>
      <w:bookmarkEnd w:id="151"/>
      <w:r w:rsidRPr="0029160A">
        <w:rPr>
          <w:color w:val="000000" w:themeColor="text1"/>
          <w:szCs w:val="26"/>
        </w:rPr>
        <w:t xml:space="preserve">Mr. Mierzwa comments that Mr. Gorman’s basis for the division is that a system with no material costs would have zero load carrying capability.  According to Mr. Mierzwa, the problem with this analysis is that there is no basis in how secondary distribution costs are actually incurred when the system has no material.  Further, Mr. Mierzwa remarks that the separation of installation costs into customer-related and </w:t>
      </w:r>
      <w:r w:rsidRPr="0029160A">
        <w:rPr>
          <w:color w:val="000000" w:themeColor="text1"/>
          <w:szCs w:val="26"/>
        </w:rPr>
        <w:lastRenderedPageBreak/>
        <w:t>demand-related is artificial because the costs of upgrading a distribution line are integrated, and the costs of adding a new conductor or installing new poles are related to expected future coincident demand.  OCA Exc. 22-24 (citing OCA St. 4 at 11).</w:t>
      </w:r>
    </w:p>
    <w:p w14:paraId="45FB91D2" w14:textId="77777777" w:rsidR="00B620D3" w:rsidRPr="0029160A" w:rsidRDefault="00B620D3">
      <w:pPr>
        <w:widowControl/>
        <w:spacing w:line="360" w:lineRule="auto"/>
        <w:ind w:firstLine="1440"/>
        <w:rPr>
          <w:color w:val="000000" w:themeColor="text1"/>
          <w:szCs w:val="26"/>
        </w:rPr>
      </w:pPr>
    </w:p>
    <w:p w14:paraId="5F15F53C" w14:textId="40BA7BDC" w:rsidR="00B620D3" w:rsidRPr="0029160A" w:rsidRDefault="00B620D3">
      <w:pPr>
        <w:widowControl/>
        <w:spacing w:line="360" w:lineRule="auto"/>
        <w:ind w:firstLine="1440"/>
        <w:rPr>
          <w:color w:val="000000" w:themeColor="text1"/>
          <w:szCs w:val="26"/>
        </w:rPr>
      </w:pPr>
      <w:r w:rsidRPr="0029160A">
        <w:rPr>
          <w:color w:val="000000" w:themeColor="text1"/>
          <w:szCs w:val="26"/>
        </w:rPr>
        <w:t>Another difference the OCA acknowledges between its ACCOSS proposal and Wellsboro’s ACCOSS proposal is that Wellsboro classified a component of its secondary distribution plant as customer-related by applying the minimum system analysis to line transformers, while the OCA asserts that such plant should be classified as 100% demand-related.  According to the OCA, the Company’s minimum system analysis is flawed because it does not reflect how coincident load drives the transformer costs, nor does it account for the load-carrying capability of the hypothetical minimum system.  The OCA submits that line transformers are designed in order to meet the coincident loads placed on them, and the investment in a transformer is not made simply to connect the customer to the system.  Further, the OCA puts forth that the Company has not presented evidence to demonstrate the correlation between the length or mileage of Wellsboro’s secondary distribution system and the number of customers served by its system.  OCA Exc. at 24-25 (citing OCA St. 4 at 9, 12).</w:t>
      </w:r>
    </w:p>
    <w:p w14:paraId="686DF7BB" w14:textId="77777777" w:rsidR="00B620D3" w:rsidRPr="0029160A" w:rsidRDefault="00B620D3">
      <w:pPr>
        <w:widowControl/>
        <w:spacing w:line="360" w:lineRule="auto"/>
        <w:ind w:firstLine="1440"/>
        <w:rPr>
          <w:color w:val="000000" w:themeColor="text1"/>
          <w:szCs w:val="26"/>
        </w:rPr>
      </w:pPr>
    </w:p>
    <w:p w14:paraId="5DC5A137" w14:textId="6753C18A" w:rsidR="00B620D3" w:rsidRPr="0029160A" w:rsidRDefault="00B620D3">
      <w:pPr>
        <w:widowControl/>
        <w:spacing w:line="360" w:lineRule="auto"/>
        <w:ind w:firstLine="1440"/>
        <w:rPr>
          <w:color w:val="000000" w:themeColor="text1"/>
          <w:szCs w:val="26"/>
        </w:rPr>
      </w:pPr>
      <w:r w:rsidRPr="0029160A">
        <w:rPr>
          <w:color w:val="000000" w:themeColor="text1"/>
          <w:szCs w:val="26"/>
        </w:rPr>
        <w:t xml:space="preserve">In its Replies to OCA Exception No. 9, the Company submits that </w:t>
      </w:r>
      <w:r w:rsidR="003D0ECD" w:rsidRPr="0029160A">
        <w:rPr>
          <w:color w:val="000000" w:themeColor="text1"/>
          <w:szCs w:val="26"/>
        </w:rPr>
        <w:t xml:space="preserve">the </w:t>
      </w:r>
      <w:r w:rsidRPr="0029160A">
        <w:rPr>
          <w:color w:val="000000" w:themeColor="text1"/>
          <w:szCs w:val="26"/>
        </w:rPr>
        <w:t>OCA’s Exception should be denied because the ALJs correctly determined that Wellsboro’s ACCOSS is reasonable and consistent with cost causation precedent.  Specifically, the Company states that the ALJs found that Wellsboro’s use of the “minimum system method” and “zero-load analysis” to identify and calculate the customer portion of upstream secondary distribution plant was reasonable and in accordance with Commission precedent.  Wellsboro R. Exc. at 22-23 (citing R.D. at 91; Wellsboro M.B. at 99-100</w:t>
      </w:r>
      <w:r w:rsidR="00A948A7">
        <w:rPr>
          <w:color w:val="000000" w:themeColor="text1"/>
          <w:szCs w:val="26"/>
        </w:rPr>
        <w:t>;</w:t>
      </w:r>
      <w:r w:rsidRPr="0029160A">
        <w:rPr>
          <w:color w:val="000000" w:themeColor="text1"/>
          <w:szCs w:val="26"/>
        </w:rPr>
        <w:t xml:space="preserve"> Wellsboro R.B. at 40-41).  Further, Wellsboro contends that the OCA has failed to demonstrate why the Commission should now deviate from its precedent and the well-established and approved utility accounting practices for developing a cost of service study.  Accordingly, Wellsboro requests that the </w:t>
      </w:r>
      <w:r w:rsidRPr="0029160A">
        <w:rPr>
          <w:color w:val="000000" w:themeColor="text1"/>
          <w:szCs w:val="26"/>
        </w:rPr>
        <w:lastRenderedPageBreak/>
        <w:t>Commission deny OCA</w:t>
      </w:r>
      <w:r w:rsidR="00B842EC" w:rsidRPr="0029160A">
        <w:rPr>
          <w:color w:val="000000" w:themeColor="text1"/>
          <w:szCs w:val="26"/>
        </w:rPr>
        <w:t>’</w:t>
      </w:r>
      <w:r w:rsidRPr="0029160A">
        <w:rPr>
          <w:color w:val="000000" w:themeColor="text1"/>
          <w:szCs w:val="26"/>
        </w:rPr>
        <w:t>s Exception No. 9, adopt Wellsboro</w:t>
      </w:r>
      <w:r w:rsidR="00B842EC" w:rsidRPr="0029160A">
        <w:rPr>
          <w:color w:val="000000" w:themeColor="text1"/>
          <w:szCs w:val="26"/>
        </w:rPr>
        <w:t>’</w:t>
      </w:r>
      <w:r w:rsidRPr="0029160A">
        <w:rPr>
          <w:color w:val="000000" w:themeColor="text1"/>
          <w:szCs w:val="26"/>
        </w:rPr>
        <w:t>s ACCOSS, and find the Company</w:t>
      </w:r>
      <w:r w:rsidR="00CF5FE6" w:rsidRPr="0029160A">
        <w:rPr>
          <w:color w:val="000000" w:themeColor="text1"/>
          <w:szCs w:val="26"/>
        </w:rPr>
        <w:t>’</w:t>
      </w:r>
      <w:r w:rsidRPr="0029160A">
        <w:rPr>
          <w:color w:val="000000" w:themeColor="text1"/>
          <w:szCs w:val="26"/>
        </w:rPr>
        <w:t xml:space="preserve">s use of the </w:t>
      </w:r>
      <w:r w:rsidR="00B842EC" w:rsidRPr="0029160A">
        <w:rPr>
          <w:color w:val="000000" w:themeColor="text1"/>
          <w:szCs w:val="26"/>
        </w:rPr>
        <w:t>“</w:t>
      </w:r>
      <w:r w:rsidRPr="0029160A">
        <w:rPr>
          <w:color w:val="000000" w:themeColor="text1"/>
          <w:szCs w:val="26"/>
        </w:rPr>
        <w:t>minimum system method” and</w:t>
      </w:r>
      <w:r w:rsidR="00B842EC" w:rsidRPr="0029160A">
        <w:rPr>
          <w:color w:val="000000" w:themeColor="text1"/>
          <w:szCs w:val="26"/>
        </w:rPr>
        <w:t xml:space="preserve"> “</w:t>
      </w:r>
      <w:r w:rsidRPr="0029160A">
        <w:rPr>
          <w:color w:val="000000" w:themeColor="text1"/>
          <w:szCs w:val="26"/>
        </w:rPr>
        <w:t>zero-load analysis</w:t>
      </w:r>
      <w:r w:rsidR="00B842EC" w:rsidRPr="0029160A">
        <w:rPr>
          <w:color w:val="000000" w:themeColor="text1"/>
          <w:szCs w:val="26"/>
        </w:rPr>
        <w:t>”</w:t>
      </w:r>
      <w:r w:rsidRPr="0029160A">
        <w:rPr>
          <w:color w:val="000000" w:themeColor="text1"/>
          <w:szCs w:val="26"/>
        </w:rPr>
        <w:t xml:space="preserve"> to be reasonable.  Wellsboro R. Exc. at 24-25.</w:t>
      </w:r>
    </w:p>
    <w:p w14:paraId="01C6A47C" w14:textId="77777777" w:rsidR="00B620D3" w:rsidRPr="0029160A" w:rsidRDefault="00B620D3">
      <w:pPr>
        <w:widowControl/>
        <w:spacing w:line="360" w:lineRule="auto"/>
        <w:ind w:firstLine="1440"/>
        <w:rPr>
          <w:color w:val="000000" w:themeColor="text1"/>
          <w:szCs w:val="26"/>
        </w:rPr>
      </w:pPr>
    </w:p>
    <w:p w14:paraId="3CA0D2EF" w14:textId="77777777" w:rsidR="00B620D3" w:rsidRPr="0029160A" w:rsidRDefault="00B620D3">
      <w:pPr>
        <w:widowControl/>
        <w:spacing w:line="360" w:lineRule="auto"/>
        <w:ind w:firstLine="1440"/>
        <w:rPr>
          <w:color w:val="000000" w:themeColor="text1"/>
          <w:szCs w:val="26"/>
        </w:rPr>
      </w:pPr>
      <w:r w:rsidRPr="0029160A">
        <w:rPr>
          <w:color w:val="000000" w:themeColor="text1"/>
          <w:szCs w:val="26"/>
        </w:rPr>
        <w:t xml:space="preserve">Wellsboro rebuts that the OCA raises the same arguments in its Exceptions that have been repeatedly rejected by the Commission.  In reply to the OCA’s contention that Wellsboro’s upstream secondary distribution plant should be classified as 100% demand-related, the Company alleges that the OCA raised the same criticisms in the prior </w:t>
      </w:r>
      <w:r w:rsidRPr="0029160A">
        <w:rPr>
          <w:i/>
          <w:color w:val="000000" w:themeColor="text1"/>
          <w:szCs w:val="26"/>
        </w:rPr>
        <w:t xml:space="preserve">UGI Order </w:t>
      </w:r>
      <w:r w:rsidRPr="0029160A">
        <w:rPr>
          <w:iCs/>
          <w:color w:val="000000" w:themeColor="text1"/>
          <w:szCs w:val="26"/>
        </w:rPr>
        <w:t xml:space="preserve">and the </w:t>
      </w:r>
      <w:r w:rsidRPr="0029160A">
        <w:rPr>
          <w:i/>
          <w:color w:val="000000" w:themeColor="text1"/>
          <w:szCs w:val="26"/>
        </w:rPr>
        <w:t>PPL 2012 Order</w:t>
      </w:r>
      <w:r w:rsidRPr="0029160A">
        <w:rPr>
          <w:color w:val="000000" w:themeColor="text1"/>
          <w:szCs w:val="26"/>
        </w:rPr>
        <w:t xml:space="preserve"> proceedings, and the Commission rejected the OCA’s arguments in the</w:t>
      </w:r>
      <w:bookmarkStart w:id="152" w:name="_Hlk36524624"/>
      <w:r w:rsidRPr="0029160A">
        <w:rPr>
          <w:i/>
          <w:color w:val="000000" w:themeColor="text1"/>
          <w:szCs w:val="26"/>
        </w:rPr>
        <w:t xml:space="preserve"> UGI Order </w:t>
      </w:r>
      <w:r w:rsidRPr="0029160A">
        <w:rPr>
          <w:iCs/>
          <w:color w:val="000000" w:themeColor="text1"/>
          <w:szCs w:val="26"/>
        </w:rPr>
        <w:t xml:space="preserve">and the </w:t>
      </w:r>
      <w:bookmarkEnd w:id="152"/>
      <w:r w:rsidRPr="0029160A">
        <w:rPr>
          <w:i/>
          <w:color w:val="000000" w:themeColor="text1"/>
          <w:szCs w:val="26"/>
        </w:rPr>
        <w:t>PPL 2012 Order.</w:t>
      </w:r>
      <w:r w:rsidRPr="0029160A">
        <w:rPr>
          <w:color w:val="000000" w:themeColor="text1"/>
          <w:szCs w:val="26"/>
        </w:rPr>
        <w:t xml:space="preserve">  Wellsboro R. Exc. at 23.</w:t>
      </w:r>
    </w:p>
    <w:p w14:paraId="00C8E2E9" w14:textId="77777777" w:rsidR="00B620D3" w:rsidRPr="0029160A" w:rsidRDefault="00B620D3">
      <w:pPr>
        <w:widowControl/>
        <w:spacing w:line="360" w:lineRule="auto"/>
        <w:ind w:firstLine="1440"/>
        <w:rPr>
          <w:color w:val="000000" w:themeColor="text1"/>
          <w:szCs w:val="26"/>
        </w:rPr>
      </w:pPr>
    </w:p>
    <w:p w14:paraId="35B5C515" w14:textId="77777777" w:rsidR="00B620D3" w:rsidRPr="0029160A" w:rsidRDefault="00B620D3">
      <w:pPr>
        <w:widowControl/>
        <w:spacing w:line="360" w:lineRule="auto"/>
        <w:ind w:firstLine="1440"/>
        <w:rPr>
          <w:iCs/>
          <w:color w:val="000000" w:themeColor="text1"/>
          <w:szCs w:val="26"/>
        </w:rPr>
      </w:pPr>
      <w:r w:rsidRPr="0029160A">
        <w:rPr>
          <w:color w:val="000000" w:themeColor="text1"/>
          <w:szCs w:val="26"/>
        </w:rPr>
        <w:t xml:space="preserve">Wellsboro emphasizes that the minimum system approach methodology it employed in the instant proceeding is the same methodology that was approved for </w:t>
      </w:r>
      <w:r w:rsidR="005C040A" w:rsidRPr="0029160A">
        <w:rPr>
          <w:iCs/>
          <w:color w:val="000000" w:themeColor="text1"/>
          <w:szCs w:val="26"/>
        </w:rPr>
        <w:t>UGI Utilities, Inc. – Electric Division (</w:t>
      </w:r>
      <w:r w:rsidRPr="0029160A">
        <w:rPr>
          <w:color w:val="000000" w:themeColor="text1"/>
          <w:szCs w:val="26"/>
        </w:rPr>
        <w:t>UGI</w:t>
      </w:r>
      <w:r w:rsidR="005C040A" w:rsidRPr="0029160A">
        <w:rPr>
          <w:color w:val="000000" w:themeColor="text1"/>
          <w:szCs w:val="26"/>
        </w:rPr>
        <w:t>)</w:t>
      </w:r>
      <w:r w:rsidRPr="0029160A">
        <w:rPr>
          <w:color w:val="000000" w:themeColor="text1"/>
          <w:szCs w:val="26"/>
        </w:rPr>
        <w:t xml:space="preserve"> in the </w:t>
      </w:r>
      <w:r w:rsidRPr="0029160A">
        <w:rPr>
          <w:i/>
          <w:color w:val="000000" w:themeColor="text1"/>
          <w:szCs w:val="26"/>
        </w:rPr>
        <w:t xml:space="preserve">UGI Order.  </w:t>
      </w:r>
      <w:r w:rsidRPr="0029160A">
        <w:rPr>
          <w:iCs/>
          <w:color w:val="000000" w:themeColor="text1"/>
          <w:szCs w:val="26"/>
        </w:rPr>
        <w:t>The Company explains that UGI, like Wellsboro here, separated costs into functional cost categories (</w:t>
      </w:r>
      <w:r w:rsidRPr="0029160A">
        <w:rPr>
          <w:i/>
          <w:color w:val="000000" w:themeColor="text1"/>
          <w:szCs w:val="26"/>
        </w:rPr>
        <w:t>e.g.</w:t>
      </w:r>
      <w:r w:rsidRPr="0029160A">
        <w:rPr>
          <w:iCs/>
          <w:color w:val="000000" w:themeColor="text1"/>
          <w:szCs w:val="26"/>
        </w:rPr>
        <w:t xml:space="preserve">, primary or secondary distribution), then classified the costs as customer- or demand-related costs based on a minimum system method.  This methodology, the Company continues, identifies the portion of costs required to serve a customer with a minimum or no load, and allocates the remaining costs based on each rate class’s maximum non-coincident peak demand.  </w:t>
      </w:r>
      <w:r w:rsidRPr="0029160A">
        <w:rPr>
          <w:i/>
          <w:iCs/>
          <w:color w:val="000000" w:themeColor="text1"/>
          <w:szCs w:val="26"/>
        </w:rPr>
        <w:t xml:space="preserve">Id. </w:t>
      </w:r>
      <w:r w:rsidRPr="0029160A">
        <w:rPr>
          <w:color w:val="000000" w:themeColor="text1"/>
          <w:szCs w:val="26"/>
        </w:rPr>
        <w:t xml:space="preserve"> (citing </w:t>
      </w:r>
      <w:r w:rsidRPr="0029160A">
        <w:rPr>
          <w:i/>
          <w:iCs/>
          <w:color w:val="000000" w:themeColor="text1"/>
          <w:szCs w:val="26"/>
        </w:rPr>
        <w:t>UGI Order</w:t>
      </w:r>
      <w:r w:rsidRPr="0029160A">
        <w:rPr>
          <w:color w:val="000000" w:themeColor="text1"/>
          <w:szCs w:val="26"/>
        </w:rPr>
        <w:t xml:space="preserve"> at 155-156).  </w:t>
      </w:r>
      <w:r w:rsidRPr="0029160A">
        <w:rPr>
          <w:iCs/>
          <w:color w:val="000000" w:themeColor="text1"/>
          <w:szCs w:val="26"/>
        </w:rPr>
        <w:t xml:space="preserve">The OCA had recommended that UGI be required to classify 100% of its upstream primary and secondary distribution plant as demand-related because, the OCA argued, UGI’s minimum system method was improper.  </w:t>
      </w:r>
      <w:r w:rsidRPr="0029160A">
        <w:rPr>
          <w:i/>
          <w:color w:val="000000" w:themeColor="text1"/>
          <w:szCs w:val="26"/>
        </w:rPr>
        <w:t>Id.</w:t>
      </w:r>
      <w:r w:rsidRPr="0029160A">
        <w:rPr>
          <w:iCs/>
          <w:color w:val="000000" w:themeColor="text1"/>
          <w:szCs w:val="26"/>
        </w:rPr>
        <w:t xml:space="preserve"> (citing </w:t>
      </w:r>
      <w:r w:rsidRPr="0029160A">
        <w:rPr>
          <w:i/>
          <w:iCs/>
          <w:color w:val="000000" w:themeColor="text1"/>
          <w:szCs w:val="26"/>
        </w:rPr>
        <w:t>UGI Order</w:t>
      </w:r>
      <w:r w:rsidRPr="0029160A">
        <w:rPr>
          <w:iCs/>
          <w:color w:val="000000" w:themeColor="text1"/>
          <w:szCs w:val="26"/>
        </w:rPr>
        <w:t xml:space="preserve"> at 156).</w:t>
      </w:r>
    </w:p>
    <w:p w14:paraId="19569890" w14:textId="77777777" w:rsidR="00B620D3" w:rsidRPr="0029160A" w:rsidRDefault="00B620D3">
      <w:pPr>
        <w:widowControl/>
        <w:spacing w:line="360" w:lineRule="auto"/>
        <w:ind w:firstLine="1440"/>
        <w:rPr>
          <w:iCs/>
          <w:color w:val="000000" w:themeColor="text1"/>
          <w:szCs w:val="26"/>
        </w:rPr>
      </w:pPr>
    </w:p>
    <w:p w14:paraId="2A279AC4" w14:textId="4B7F6807" w:rsidR="00B620D3" w:rsidRPr="0029160A" w:rsidRDefault="00B620D3">
      <w:pPr>
        <w:widowControl/>
        <w:spacing w:line="360" w:lineRule="auto"/>
        <w:ind w:firstLine="1440"/>
        <w:rPr>
          <w:color w:val="000000" w:themeColor="text1"/>
          <w:szCs w:val="26"/>
        </w:rPr>
      </w:pPr>
      <w:r w:rsidRPr="0029160A">
        <w:rPr>
          <w:color w:val="000000" w:themeColor="text1"/>
          <w:szCs w:val="26"/>
        </w:rPr>
        <w:t>The Company notes that</w:t>
      </w:r>
      <w:r w:rsidR="002A077E" w:rsidRPr="0029160A">
        <w:rPr>
          <w:color w:val="000000" w:themeColor="text1"/>
          <w:szCs w:val="26"/>
        </w:rPr>
        <w:t>,</w:t>
      </w:r>
      <w:r w:rsidRPr="0029160A">
        <w:rPr>
          <w:color w:val="000000" w:themeColor="text1"/>
          <w:szCs w:val="26"/>
        </w:rPr>
        <w:t xml:space="preserve"> consistent with Commission precedent in the </w:t>
      </w:r>
      <w:r w:rsidRPr="0029160A">
        <w:rPr>
          <w:i/>
          <w:iCs/>
          <w:color w:val="000000" w:themeColor="text1"/>
          <w:szCs w:val="26"/>
        </w:rPr>
        <w:t>UGI Order</w:t>
      </w:r>
      <w:r w:rsidRPr="0029160A">
        <w:rPr>
          <w:color w:val="000000" w:themeColor="text1"/>
          <w:szCs w:val="26"/>
        </w:rPr>
        <w:t xml:space="preserve"> and the </w:t>
      </w:r>
      <w:r w:rsidRPr="0029160A">
        <w:rPr>
          <w:i/>
          <w:iCs/>
          <w:color w:val="000000" w:themeColor="text1"/>
          <w:szCs w:val="26"/>
        </w:rPr>
        <w:t>PPL 2012 Order</w:t>
      </w:r>
      <w:r w:rsidRPr="0029160A">
        <w:rPr>
          <w:color w:val="000000" w:themeColor="text1"/>
          <w:szCs w:val="26"/>
        </w:rPr>
        <w:t xml:space="preserve">, the Commission affirmed the use of the “minimum system” method as the accepted approach to classify and allocate distribution system costs.  </w:t>
      </w:r>
      <w:r w:rsidRPr="0029160A">
        <w:rPr>
          <w:i/>
          <w:iCs/>
          <w:color w:val="000000" w:themeColor="text1"/>
          <w:szCs w:val="26"/>
        </w:rPr>
        <w:t>Id.</w:t>
      </w:r>
      <w:r w:rsidRPr="0029160A">
        <w:rPr>
          <w:color w:val="000000" w:themeColor="text1"/>
          <w:szCs w:val="26"/>
        </w:rPr>
        <w:t xml:space="preserve"> (citing </w:t>
      </w:r>
      <w:r w:rsidRPr="0029160A">
        <w:rPr>
          <w:i/>
          <w:iCs/>
          <w:color w:val="000000" w:themeColor="text1"/>
          <w:szCs w:val="26"/>
        </w:rPr>
        <w:t>UGI Order</w:t>
      </w:r>
      <w:r w:rsidRPr="0029160A">
        <w:rPr>
          <w:color w:val="000000" w:themeColor="text1"/>
          <w:szCs w:val="26"/>
        </w:rPr>
        <w:t xml:space="preserve"> at 162; </w:t>
      </w:r>
      <w:r w:rsidRPr="0029160A">
        <w:rPr>
          <w:i/>
          <w:iCs/>
          <w:color w:val="000000" w:themeColor="text1"/>
          <w:szCs w:val="26"/>
        </w:rPr>
        <w:t>PPL 2012 Order</w:t>
      </w:r>
      <w:r w:rsidRPr="0029160A">
        <w:rPr>
          <w:color w:val="000000" w:themeColor="text1"/>
          <w:szCs w:val="26"/>
        </w:rPr>
        <w:t xml:space="preserve"> at 113).  In the </w:t>
      </w:r>
      <w:r w:rsidRPr="0029160A">
        <w:rPr>
          <w:i/>
          <w:iCs/>
          <w:color w:val="000000" w:themeColor="text1"/>
          <w:szCs w:val="26"/>
        </w:rPr>
        <w:t>UGI Order</w:t>
      </w:r>
      <w:r w:rsidRPr="0029160A">
        <w:rPr>
          <w:color w:val="000000" w:themeColor="text1"/>
          <w:szCs w:val="26"/>
        </w:rPr>
        <w:t>, the Commission found that the minimum system method and UGI</w:t>
      </w:r>
      <w:r w:rsidR="00CF5FE6" w:rsidRPr="0029160A">
        <w:rPr>
          <w:color w:val="000000" w:themeColor="text1"/>
          <w:szCs w:val="26"/>
        </w:rPr>
        <w:t>’</w:t>
      </w:r>
      <w:r w:rsidRPr="0029160A">
        <w:rPr>
          <w:color w:val="000000" w:themeColor="text1"/>
          <w:szCs w:val="26"/>
        </w:rPr>
        <w:t xml:space="preserve">s ACCOSS were </w:t>
      </w:r>
      <w:r w:rsidRPr="0029160A">
        <w:rPr>
          <w:color w:val="000000" w:themeColor="text1"/>
          <w:szCs w:val="26"/>
        </w:rPr>
        <w:lastRenderedPageBreak/>
        <w:t xml:space="preserve">consistent with the </w:t>
      </w:r>
      <w:bookmarkStart w:id="153" w:name="_Hlk36525490"/>
      <w:r w:rsidRPr="0029160A">
        <w:rPr>
          <w:color w:val="000000" w:themeColor="text1"/>
          <w:szCs w:val="26"/>
        </w:rPr>
        <w:t xml:space="preserve">NARUC Manual </w:t>
      </w:r>
      <w:bookmarkEnd w:id="153"/>
      <w:r w:rsidRPr="0029160A">
        <w:rPr>
          <w:color w:val="000000" w:themeColor="text1"/>
          <w:szCs w:val="26"/>
        </w:rPr>
        <w:t>and more accurately reflects cost-causation principles than the OCA</w:t>
      </w:r>
      <w:r w:rsidR="00CF5FE6" w:rsidRPr="0029160A">
        <w:rPr>
          <w:color w:val="000000" w:themeColor="text1"/>
          <w:szCs w:val="26"/>
        </w:rPr>
        <w:t>’</w:t>
      </w:r>
      <w:r w:rsidRPr="0029160A">
        <w:rPr>
          <w:color w:val="000000" w:themeColor="text1"/>
          <w:szCs w:val="26"/>
        </w:rPr>
        <w:t xml:space="preserve">s preferred method of allocating secondary distribution plant on a 100% demand basis.  Wellsboro R. Exc. at 23-24 (citing </w:t>
      </w:r>
      <w:r w:rsidRPr="0029160A">
        <w:rPr>
          <w:i/>
          <w:iCs/>
          <w:color w:val="000000" w:themeColor="text1"/>
          <w:szCs w:val="26"/>
        </w:rPr>
        <w:t>UGI Order</w:t>
      </w:r>
      <w:r w:rsidRPr="0029160A">
        <w:rPr>
          <w:color w:val="000000" w:themeColor="text1"/>
          <w:szCs w:val="26"/>
        </w:rPr>
        <w:t xml:space="preserve"> at 160).</w:t>
      </w:r>
    </w:p>
    <w:p w14:paraId="4C690B7F" w14:textId="77777777" w:rsidR="00B620D3" w:rsidRPr="0029160A" w:rsidRDefault="00B620D3">
      <w:pPr>
        <w:widowControl/>
        <w:spacing w:line="360" w:lineRule="auto"/>
        <w:ind w:firstLine="1440"/>
        <w:rPr>
          <w:color w:val="000000" w:themeColor="text1"/>
          <w:szCs w:val="26"/>
        </w:rPr>
      </w:pPr>
    </w:p>
    <w:p w14:paraId="74EAED1C" w14:textId="03121ABD" w:rsidR="00B620D3" w:rsidRPr="0029160A" w:rsidRDefault="00A56652">
      <w:pPr>
        <w:widowControl/>
        <w:spacing w:line="360" w:lineRule="auto"/>
        <w:ind w:firstLine="1440"/>
        <w:rPr>
          <w:color w:val="000000" w:themeColor="text1"/>
          <w:szCs w:val="26"/>
        </w:rPr>
      </w:pPr>
      <w:r w:rsidRPr="0029160A">
        <w:rPr>
          <w:color w:val="000000" w:themeColor="text1"/>
          <w:szCs w:val="26"/>
        </w:rPr>
        <w:t>Wellsboro explains that, h</w:t>
      </w:r>
      <w:r w:rsidR="00B620D3" w:rsidRPr="0029160A">
        <w:rPr>
          <w:color w:val="000000" w:themeColor="text1"/>
          <w:szCs w:val="26"/>
        </w:rPr>
        <w:t xml:space="preserve">ere, the ALJs recognized the precedent in the </w:t>
      </w:r>
      <w:r w:rsidR="00B620D3" w:rsidRPr="0029160A">
        <w:rPr>
          <w:i/>
          <w:iCs/>
          <w:color w:val="000000" w:themeColor="text1"/>
          <w:szCs w:val="26"/>
        </w:rPr>
        <w:t>UGI Order</w:t>
      </w:r>
      <w:r w:rsidR="00B620D3" w:rsidRPr="0029160A">
        <w:rPr>
          <w:color w:val="000000" w:themeColor="text1"/>
          <w:szCs w:val="26"/>
        </w:rPr>
        <w:t xml:space="preserve"> and the</w:t>
      </w:r>
      <w:r w:rsidR="00B620D3" w:rsidRPr="0029160A">
        <w:rPr>
          <w:i/>
          <w:iCs/>
          <w:color w:val="000000" w:themeColor="text1"/>
          <w:szCs w:val="26"/>
        </w:rPr>
        <w:t xml:space="preserve"> PPL 2012 Order</w:t>
      </w:r>
      <w:r w:rsidR="00B620D3" w:rsidRPr="0029160A">
        <w:rPr>
          <w:color w:val="000000" w:themeColor="text1"/>
          <w:szCs w:val="26"/>
        </w:rPr>
        <w:t>, and determined that Wellsboro</w:t>
      </w:r>
      <w:r w:rsidR="00B842EC" w:rsidRPr="0029160A">
        <w:rPr>
          <w:color w:val="000000" w:themeColor="text1"/>
          <w:szCs w:val="26"/>
        </w:rPr>
        <w:t>’</w:t>
      </w:r>
      <w:r w:rsidR="00B620D3" w:rsidRPr="0029160A">
        <w:rPr>
          <w:color w:val="000000" w:themeColor="text1"/>
          <w:szCs w:val="26"/>
        </w:rPr>
        <w:t xml:space="preserve">s ACCOSS, which classifies primary and secondary distribution costs as part demand and part customer costs, and allocates other costs based on the maximum non-coincident demand under the </w:t>
      </w:r>
      <w:r w:rsidR="00B842EC" w:rsidRPr="0029160A">
        <w:rPr>
          <w:color w:val="000000" w:themeColor="text1"/>
          <w:szCs w:val="26"/>
        </w:rPr>
        <w:t>“</w:t>
      </w:r>
      <w:r w:rsidR="00B620D3" w:rsidRPr="0029160A">
        <w:rPr>
          <w:color w:val="000000" w:themeColor="text1"/>
          <w:szCs w:val="26"/>
        </w:rPr>
        <w:t>minimum system</w:t>
      </w:r>
      <w:r w:rsidR="00B842EC" w:rsidRPr="0029160A">
        <w:rPr>
          <w:color w:val="000000" w:themeColor="text1"/>
          <w:szCs w:val="26"/>
        </w:rPr>
        <w:t>”</w:t>
      </w:r>
      <w:r w:rsidR="00B620D3" w:rsidRPr="0029160A">
        <w:rPr>
          <w:color w:val="000000" w:themeColor="text1"/>
          <w:szCs w:val="26"/>
        </w:rPr>
        <w:t xml:space="preserve"> method, adheres to the generally accepted utility accounting practices in the NARUC Manual.  Wellsboro R. Exc. at 24 (citing R.D. at 92).  Further, the Company asserts the ALJs found that Wellsboro’s ACCOSS correctly considers and adheres to fundamental class cost of service ratemaking principles, which the appellate court precedent considers the </w:t>
      </w:r>
      <w:r w:rsidR="00B842EC" w:rsidRPr="0029160A">
        <w:rPr>
          <w:color w:val="000000" w:themeColor="text1"/>
          <w:szCs w:val="26"/>
        </w:rPr>
        <w:t>“</w:t>
      </w:r>
      <w:r w:rsidR="00B620D3" w:rsidRPr="0029160A">
        <w:rPr>
          <w:color w:val="000000" w:themeColor="text1"/>
          <w:szCs w:val="26"/>
        </w:rPr>
        <w:t>polestar</w:t>
      </w:r>
      <w:r w:rsidR="00B842EC" w:rsidRPr="0029160A">
        <w:rPr>
          <w:color w:val="000000" w:themeColor="text1"/>
          <w:szCs w:val="26"/>
        </w:rPr>
        <w:t>”</w:t>
      </w:r>
      <w:r w:rsidR="00B620D3" w:rsidRPr="0029160A">
        <w:rPr>
          <w:color w:val="000000" w:themeColor="text1"/>
          <w:szCs w:val="26"/>
        </w:rPr>
        <w:t xml:space="preserve"> of public utility ratemaking.  </w:t>
      </w:r>
      <w:r w:rsidR="00C04FBB" w:rsidRPr="0029160A">
        <w:rPr>
          <w:color w:val="000000" w:themeColor="text1"/>
          <w:szCs w:val="26"/>
        </w:rPr>
        <w:t xml:space="preserve">Wellsboro R. Exc. at 24 </w:t>
      </w:r>
      <w:r w:rsidR="00B620D3" w:rsidRPr="0029160A">
        <w:rPr>
          <w:color w:val="000000" w:themeColor="text1"/>
          <w:szCs w:val="26"/>
        </w:rPr>
        <w:t xml:space="preserve">(citing R.D. at 91; </w:t>
      </w:r>
      <w:r w:rsidR="00B620D3" w:rsidRPr="0029160A">
        <w:rPr>
          <w:i/>
          <w:color w:val="000000" w:themeColor="text1"/>
          <w:szCs w:val="26"/>
        </w:rPr>
        <w:t>Lloyd</w:t>
      </w:r>
      <w:r w:rsidR="00B620D3" w:rsidRPr="0029160A">
        <w:rPr>
          <w:color w:val="000000" w:themeColor="text1"/>
          <w:szCs w:val="26"/>
        </w:rPr>
        <w:t>, 904 A.2d at 1020).</w:t>
      </w:r>
    </w:p>
    <w:p w14:paraId="7397538A" w14:textId="77777777" w:rsidR="00B620D3" w:rsidRPr="0029160A" w:rsidRDefault="00B620D3">
      <w:pPr>
        <w:widowControl/>
        <w:spacing w:line="360" w:lineRule="auto"/>
        <w:ind w:firstLine="1440"/>
        <w:rPr>
          <w:color w:val="000000" w:themeColor="text1"/>
          <w:szCs w:val="26"/>
        </w:rPr>
      </w:pPr>
    </w:p>
    <w:p w14:paraId="0F6CC574" w14:textId="7F3CFF76" w:rsidR="00D72D1C" w:rsidRPr="0029160A" w:rsidRDefault="00B620D3" w:rsidP="00452940">
      <w:pPr>
        <w:widowControl/>
        <w:spacing w:line="360" w:lineRule="auto"/>
        <w:ind w:firstLine="1440"/>
        <w:rPr>
          <w:color w:val="000000" w:themeColor="text1"/>
          <w:szCs w:val="26"/>
        </w:rPr>
      </w:pPr>
      <w:r w:rsidRPr="0029160A">
        <w:rPr>
          <w:color w:val="000000" w:themeColor="text1"/>
          <w:szCs w:val="26"/>
        </w:rPr>
        <w:t xml:space="preserve">In </w:t>
      </w:r>
      <w:r w:rsidR="00A56652" w:rsidRPr="0029160A">
        <w:rPr>
          <w:color w:val="000000" w:themeColor="text1"/>
          <w:szCs w:val="26"/>
        </w:rPr>
        <w:t xml:space="preserve">response </w:t>
      </w:r>
      <w:r w:rsidR="00850518" w:rsidRPr="0029160A">
        <w:rPr>
          <w:color w:val="000000" w:themeColor="text1"/>
          <w:szCs w:val="26"/>
        </w:rPr>
        <w:t>to the</w:t>
      </w:r>
      <w:r w:rsidRPr="0029160A">
        <w:rPr>
          <w:color w:val="000000" w:themeColor="text1"/>
          <w:szCs w:val="26"/>
        </w:rPr>
        <w:t xml:space="preserve"> OCA</w:t>
      </w:r>
      <w:r w:rsidR="00A56652" w:rsidRPr="0029160A">
        <w:rPr>
          <w:color w:val="000000" w:themeColor="text1"/>
          <w:szCs w:val="26"/>
        </w:rPr>
        <w:t>’s</w:t>
      </w:r>
      <w:r w:rsidRPr="0029160A">
        <w:rPr>
          <w:color w:val="000000" w:themeColor="text1"/>
          <w:szCs w:val="26"/>
        </w:rPr>
        <w:t xml:space="preserve"> argu</w:t>
      </w:r>
      <w:r w:rsidR="00A56652" w:rsidRPr="0029160A">
        <w:rPr>
          <w:color w:val="000000" w:themeColor="text1"/>
          <w:szCs w:val="26"/>
        </w:rPr>
        <w:t>ment</w:t>
      </w:r>
      <w:r w:rsidRPr="0029160A">
        <w:rPr>
          <w:color w:val="000000" w:themeColor="text1"/>
          <w:szCs w:val="26"/>
        </w:rPr>
        <w:t xml:space="preserve"> that Wellsboro’s use of the minimum system analysis is improper and, therefore, Wellsboro should be required to allocate 100% of line transformer costs as demand-related</w:t>
      </w:r>
      <w:r w:rsidR="001A39DA" w:rsidRPr="0029160A">
        <w:rPr>
          <w:color w:val="000000" w:themeColor="text1"/>
          <w:szCs w:val="26"/>
        </w:rPr>
        <w:t>,</w:t>
      </w:r>
      <w:r w:rsidRPr="0029160A">
        <w:rPr>
          <w:color w:val="000000" w:themeColor="text1"/>
          <w:szCs w:val="26"/>
        </w:rPr>
        <w:t xml:space="preserve"> Wellsboro points out that even though the OCA alleges the Company</w:t>
      </w:r>
      <w:r w:rsidR="00452940" w:rsidRPr="0029160A">
        <w:rPr>
          <w:color w:val="000000" w:themeColor="text1"/>
          <w:szCs w:val="26"/>
        </w:rPr>
        <w:t>’</w:t>
      </w:r>
      <w:r w:rsidRPr="0029160A">
        <w:rPr>
          <w:color w:val="000000" w:themeColor="text1"/>
          <w:szCs w:val="26"/>
        </w:rPr>
        <w:t xml:space="preserve">s approach presents unique flaws, the </w:t>
      </w:r>
      <w:r w:rsidR="00A56652" w:rsidRPr="0029160A">
        <w:rPr>
          <w:color w:val="000000" w:themeColor="text1"/>
          <w:szCs w:val="26"/>
        </w:rPr>
        <w:t xml:space="preserve">OCA’s </w:t>
      </w:r>
      <w:r w:rsidRPr="0029160A">
        <w:rPr>
          <w:color w:val="000000" w:themeColor="text1"/>
          <w:szCs w:val="26"/>
        </w:rPr>
        <w:t xml:space="preserve">arguments are similar to what it presented in the </w:t>
      </w:r>
      <w:r w:rsidRPr="0029160A">
        <w:rPr>
          <w:i/>
          <w:iCs/>
          <w:color w:val="000000" w:themeColor="text1"/>
          <w:szCs w:val="26"/>
        </w:rPr>
        <w:t>UGI Order</w:t>
      </w:r>
      <w:r w:rsidRPr="0029160A">
        <w:rPr>
          <w:color w:val="000000" w:themeColor="text1"/>
          <w:szCs w:val="26"/>
        </w:rPr>
        <w:t xml:space="preserve"> proceeding: that the minimum system method does not account </w:t>
      </w:r>
      <w:r w:rsidR="00B842EC" w:rsidRPr="0029160A">
        <w:rPr>
          <w:color w:val="000000" w:themeColor="text1"/>
          <w:szCs w:val="26"/>
        </w:rPr>
        <w:t>“</w:t>
      </w:r>
      <w:r w:rsidRPr="0029160A">
        <w:rPr>
          <w:color w:val="000000" w:themeColor="text1"/>
          <w:szCs w:val="26"/>
        </w:rPr>
        <w:t>for the load-carrying capability of the hypothetical minimum system.</w:t>
      </w:r>
      <w:r w:rsidR="00B842EC" w:rsidRPr="0029160A">
        <w:rPr>
          <w:color w:val="000000" w:themeColor="text1"/>
          <w:szCs w:val="26"/>
        </w:rPr>
        <w:t>”</w:t>
      </w:r>
      <w:r w:rsidRPr="0029160A">
        <w:rPr>
          <w:color w:val="000000" w:themeColor="text1"/>
          <w:szCs w:val="26"/>
        </w:rPr>
        <w:t xml:space="preserve">  </w:t>
      </w:r>
      <w:r w:rsidRPr="0029160A">
        <w:rPr>
          <w:i/>
          <w:iCs/>
          <w:color w:val="000000" w:themeColor="text1"/>
          <w:szCs w:val="26"/>
        </w:rPr>
        <w:t>Id.</w:t>
      </w:r>
      <w:r w:rsidRPr="0029160A">
        <w:rPr>
          <w:color w:val="000000" w:themeColor="text1"/>
          <w:szCs w:val="26"/>
        </w:rPr>
        <w:t xml:space="preserve"> (citing OCA Exc. at 24).  Wellsboro contends the ALJs properly recognized that the OCA continued to advance arguments that the Commission rejected in the </w:t>
      </w:r>
      <w:r w:rsidRPr="0029160A">
        <w:rPr>
          <w:i/>
          <w:iCs/>
          <w:color w:val="000000" w:themeColor="text1"/>
          <w:szCs w:val="26"/>
        </w:rPr>
        <w:t xml:space="preserve">UGI Order </w:t>
      </w:r>
      <w:r w:rsidRPr="0029160A">
        <w:rPr>
          <w:color w:val="000000" w:themeColor="text1"/>
          <w:szCs w:val="26"/>
        </w:rPr>
        <w:t xml:space="preserve">and the </w:t>
      </w:r>
      <w:r w:rsidRPr="0029160A">
        <w:rPr>
          <w:i/>
          <w:iCs/>
          <w:color w:val="000000" w:themeColor="text1"/>
          <w:szCs w:val="26"/>
        </w:rPr>
        <w:t>PPL 2012 Order</w:t>
      </w:r>
      <w:r w:rsidRPr="0029160A">
        <w:rPr>
          <w:color w:val="000000" w:themeColor="text1"/>
          <w:szCs w:val="26"/>
        </w:rPr>
        <w:t xml:space="preserve">.  </w:t>
      </w:r>
      <w:r w:rsidRPr="0029160A">
        <w:rPr>
          <w:i/>
          <w:iCs/>
          <w:color w:val="000000" w:themeColor="text1"/>
          <w:szCs w:val="26"/>
        </w:rPr>
        <w:t xml:space="preserve">Id. </w:t>
      </w:r>
      <w:r w:rsidRPr="0029160A">
        <w:rPr>
          <w:color w:val="000000" w:themeColor="text1"/>
          <w:szCs w:val="26"/>
        </w:rPr>
        <w:t xml:space="preserve">(citing R.D. at 92). </w:t>
      </w:r>
    </w:p>
    <w:p w14:paraId="5ADFB168" w14:textId="77777777" w:rsidR="00D72D1C" w:rsidRPr="0029160A" w:rsidRDefault="00D72D1C" w:rsidP="00452940">
      <w:pPr>
        <w:widowControl/>
        <w:spacing w:line="360" w:lineRule="auto"/>
        <w:rPr>
          <w:color w:val="000000" w:themeColor="text1"/>
          <w:szCs w:val="26"/>
        </w:rPr>
      </w:pPr>
    </w:p>
    <w:p w14:paraId="52A5BA72" w14:textId="77777777" w:rsidR="00D72D1C" w:rsidRPr="0029160A" w:rsidRDefault="00D72D1C" w:rsidP="00452940">
      <w:pPr>
        <w:pStyle w:val="Heading4"/>
        <w:keepNext/>
        <w:ind w:hanging="720"/>
        <w:rPr>
          <w:color w:val="000000" w:themeColor="text1"/>
        </w:rPr>
      </w:pPr>
      <w:bookmarkStart w:id="154" w:name="_Toc38951813"/>
      <w:r w:rsidRPr="0029160A">
        <w:rPr>
          <w:color w:val="000000" w:themeColor="text1"/>
        </w:rPr>
        <w:t>Disposition</w:t>
      </w:r>
      <w:bookmarkEnd w:id="154"/>
    </w:p>
    <w:p w14:paraId="226F321A" w14:textId="77777777" w:rsidR="00200331" w:rsidRPr="0029160A" w:rsidRDefault="00200331" w:rsidP="00452940">
      <w:pPr>
        <w:keepNext/>
        <w:widowControl/>
        <w:spacing w:after="200" w:line="360" w:lineRule="auto"/>
        <w:ind w:firstLine="1440"/>
        <w:contextualSpacing/>
        <w:rPr>
          <w:rFonts w:eastAsiaTheme="minorHAnsi"/>
          <w:color w:val="000000" w:themeColor="text1"/>
          <w:szCs w:val="26"/>
        </w:rPr>
      </w:pPr>
    </w:p>
    <w:p w14:paraId="6DDE09E2" w14:textId="25EA23E1" w:rsidR="004477D8" w:rsidRPr="0029160A" w:rsidRDefault="004477D8" w:rsidP="00452940">
      <w:pPr>
        <w:keepNext/>
        <w:widowControl/>
        <w:spacing w:after="200" w:line="360" w:lineRule="auto"/>
        <w:ind w:firstLine="1440"/>
        <w:contextualSpacing/>
        <w:rPr>
          <w:rFonts w:eastAsiaTheme="minorHAnsi"/>
          <w:color w:val="000000" w:themeColor="text1"/>
          <w:szCs w:val="26"/>
        </w:rPr>
      </w:pPr>
      <w:r w:rsidRPr="0029160A">
        <w:rPr>
          <w:rFonts w:eastAsiaTheme="minorHAnsi"/>
          <w:color w:val="000000" w:themeColor="text1"/>
          <w:szCs w:val="26"/>
        </w:rPr>
        <w:t xml:space="preserve">We agree with the ALJs’ recommendation that Wellsboro’s proposed ACCOSS be approved and the OCA’s arguments be rejected.  We do not find merit in the </w:t>
      </w:r>
      <w:r w:rsidRPr="0029160A">
        <w:rPr>
          <w:rFonts w:eastAsiaTheme="minorHAnsi"/>
          <w:color w:val="000000" w:themeColor="text1"/>
          <w:szCs w:val="26"/>
        </w:rPr>
        <w:lastRenderedPageBreak/>
        <w:t>OCA’s position and Exceptions on this issue, and we are not persuaded by the arguments the OCA presented in support of its recommended alternative ACCOSS methodology.  R.D. at 91-92.</w:t>
      </w:r>
    </w:p>
    <w:p w14:paraId="7A2E0CD2" w14:textId="77777777" w:rsidR="004477D8" w:rsidRPr="0029160A" w:rsidRDefault="004477D8">
      <w:pPr>
        <w:widowControl/>
        <w:spacing w:after="200" w:line="360" w:lineRule="auto"/>
        <w:ind w:firstLine="1440"/>
        <w:contextualSpacing/>
        <w:rPr>
          <w:rFonts w:eastAsiaTheme="minorHAnsi"/>
          <w:color w:val="000000" w:themeColor="text1"/>
          <w:szCs w:val="26"/>
        </w:rPr>
      </w:pPr>
    </w:p>
    <w:p w14:paraId="53AEDFE1" w14:textId="2AA6FC35" w:rsidR="004477D8" w:rsidRPr="0029160A" w:rsidRDefault="004477D8">
      <w:pPr>
        <w:widowControl/>
        <w:spacing w:after="200" w:line="360" w:lineRule="auto"/>
        <w:ind w:firstLine="1440"/>
        <w:contextualSpacing/>
        <w:rPr>
          <w:rFonts w:eastAsiaTheme="minorHAnsi"/>
          <w:color w:val="000000" w:themeColor="text1"/>
          <w:szCs w:val="26"/>
        </w:rPr>
      </w:pPr>
      <w:r w:rsidRPr="0029160A">
        <w:rPr>
          <w:rFonts w:eastAsiaTheme="minorHAnsi"/>
          <w:color w:val="000000" w:themeColor="text1"/>
          <w:szCs w:val="26"/>
        </w:rPr>
        <w:t>As Wellsboro pointed out, we note the OCA presented its contention that secondary distribution plant should be classified as 100% demand</w:t>
      </w:r>
      <w:r w:rsidR="00012A09" w:rsidRPr="0029160A">
        <w:rPr>
          <w:rFonts w:eastAsiaTheme="minorHAnsi"/>
          <w:color w:val="000000" w:themeColor="text1"/>
          <w:szCs w:val="26"/>
        </w:rPr>
        <w:t>-</w:t>
      </w:r>
      <w:r w:rsidRPr="0029160A">
        <w:rPr>
          <w:rFonts w:eastAsiaTheme="minorHAnsi"/>
          <w:color w:val="000000" w:themeColor="text1"/>
          <w:szCs w:val="26"/>
        </w:rPr>
        <w:t xml:space="preserve">related in the </w:t>
      </w:r>
      <w:r w:rsidRPr="0029160A">
        <w:rPr>
          <w:rFonts w:eastAsiaTheme="minorHAnsi"/>
          <w:i/>
          <w:iCs/>
          <w:color w:val="000000" w:themeColor="text1"/>
          <w:szCs w:val="26"/>
        </w:rPr>
        <w:t>UGI Order</w:t>
      </w:r>
      <w:r w:rsidRPr="0029160A">
        <w:rPr>
          <w:rFonts w:eastAsiaTheme="minorHAnsi"/>
          <w:color w:val="000000" w:themeColor="text1"/>
          <w:szCs w:val="26"/>
        </w:rPr>
        <w:t xml:space="preserve"> and </w:t>
      </w:r>
      <w:r w:rsidRPr="0029160A">
        <w:rPr>
          <w:rFonts w:eastAsiaTheme="minorHAnsi"/>
          <w:i/>
          <w:iCs/>
          <w:color w:val="000000" w:themeColor="text1"/>
          <w:szCs w:val="26"/>
        </w:rPr>
        <w:t>PPL</w:t>
      </w:r>
      <w:r w:rsidRPr="0029160A">
        <w:rPr>
          <w:rFonts w:eastAsiaTheme="minorHAnsi"/>
          <w:color w:val="000000" w:themeColor="text1"/>
          <w:szCs w:val="26"/>
        </w:rPr>
        <w:t xml:space="preserve"> </w:t>
      </w:r>
      <w:r w:rsidRPr="0029160A">
        <w:rPr>
          <w:rFonts w:eastAsiaTheme="minorHAnsi"/>
          <w:i/>
          <w:color w:val="000000" w:themeColor="text1"/>
          <w:szCs w:val="26"/>
        </w:rPr>
        <w:t>2012 Order</w:t>
      </w:r>
      <w:r w:rsidRPr="0029160A">
        <w:rPr>
          <w:rFonts w:eastAsiaTheme="minorHAnsi"/>
          <w:color w:val="000000" w:themeColor="text1"/>
          <w:szCs w:val="26"/>
        </w:rPr>
        <w:t xml:space="preserve"> proceedings, and we rejected the OCA’s argument in those prior proceedings</w:t>
      </w:r>
      <w:r w:rsidRPr="0029160A">
        <w:rPr>
          <w:rFonts w:eastAsiaTheme="minorHAnsi"/>
          <w:i/>
          <w:color w:val="000000" w:themeColor="text1"/>
          <w:szCs w:val="26"/>
        </w:rPr>
        <w:t xml:space="preserve">.  </w:t>
      </w:r>
      <w:bookmarkStart w:id="155" w:name="_Hlk37997732"/>
      <w:r w:rsidRPr="0029160A">
        <w:rPr>
          <w:rFonts w:eastAsiaTheme="minorHAnsi"/>
          <w:iCs/>
          <w:color w:val="000000" w:themeColor="text1"/>
          <w:szCs w:val="26"/>
        </w:rPr>
        <w:t>Wellsboro R. Exc. at 23</w:t>
      </w:r>
      <w:r w:rsidRPr="0029160A">
        <w:rPr>
          <w:rFonts w:eastAsiaTheme="minorHAnsi"/>
          <w:i/>
          <w:color w:val="000000" w:themeColor="text1"/>
          <w:szCs w:val="26"/>
        </w:rPr>
        <w:t xml:space="preserve">.  </w:t>
      </w:r>
      <w:bookmarkEnd w:id="155"/>
      <w:r w:rsidRPr="0029160A">
        <w:rPr>
          <w:rFonts w:eastAsiaTheme="minorHAnsi"/>
          <w:color w:val="000000" w:themeColor="text1"/>
          <w:szCs w:val="26"/>
        </w:rPr>
        <w:t>We agree with the ALJs’ conclusion that the OCA did not present convincing arguments in this proceeding to re</w:t>
      </w:r>
      <w:r w:rsidRPr="0029160A">
        <w:rPr>
          <w:rFonts w:eastAsiaTheme="minorHAnsi"/>
          <w:color w:val="000000" w:themeColor="text1"/>
          <w:szCs w:val="26"/>
        </w:rPr>
        <w:noBreakHyphen/>
        <w:t xml:space="preserve">evaluate our determinations in the </w:t>
      </w:r>
      <w:r w:rsidRPr="0029160A">
        <w:rPr>
          <w:rFonts w:eastAsiaTheme="minorHAnsi"/>
          <w:i/>
          <w:iCs/>
          <w:color w:val="000000" w:themeColor="text1"/>
          <w:szCs w:val="26"/>
        </w:rPr>
        <w:t>UGI Order</w:t>
      </w:r>
      <w:r w:rsidRPr="0029160A">
        <w:rPr>
          <w:rFonts w:eastAsiaTheme="minorHAnsi"/>
          <w:color w:val="000000" w:themeColor="text1"/>
          <w:szCs w:val="26"/>
        </w:rPr>
        <w:t xml:space="preserve"> or</w:t>
      </w:r>
      <w:r w:rsidR="00B866B0" w:rsidRPr="0029160A">
        <w:rPr>
          <w:rFonts w:eastAsiaTheme="minorHAnsi"/>
          <w:color w:val="000000" w:themeColor="text1"/>
          <w:szCs w:val="26"/>
        </w:rPr>
        <w:t xml:space="preserve"> the</w:t>
      </w:r>
      <w:r w:rsidRPr="0029160A">
        <w:rPr>
          <w:rFonts w:eastAsiaTheme="minorHAnsi"/>
          <w:color w:val="000000" w:themeColor="text1"/>
          <w:szCs w:val="26"/>
        </w:rPr>
        <w:t xml:space="preserve"> </w:t>
      </w:r>
      <w:r w:rsidRPr="0029160A">
        <w:rPr>
          <w:rFonts w:eastAsiaTheme="minorHAnsi"/>
          <w:i/>
          <w:color w:val="000000" w:themeColor="text1"/>
          <w:szCs w:val="26"/>
        </w:rPr>
        <w:t>2012 PPL Order</w:t>
      </w:r>
      <w:r w:rsidRPr="0029160A">
        <w:rPr>
          <w:rFonts w:eastAsiaTheme="minorHAnsi"/>
          <w:color w:val="000000" w:themeColor="text1"/>
          <w:szCs w:val="26"/>
        </w:rPr>
        <w:t>.  R.D. at 91-92.</w:t>
      </w:r>
    </w:p>
    <w:p w14:paraId="76CFA3DC" w14:textId="77777777" w:rsidR="004477D8" w:rsidRPr="0029160A" w:rsidRDefault="004477D8">
      <w:pPr>
        <w:widowControl/>
        <w:spacing w:after="200" w:line="360" w:lineRule="auto"/>
        <w:ind w:firstLine="1440"/>
        <w:contextualSpacing/>
        <w:rPr>
          <w:rFonts w:eastAsiaTheme="minorHAnsi"/>
          <w:color w:val="000000" w:themeColor="text1"/>
          <w:szCs w:val="26"/>
        </w:rPr>
      </w:pPr>
    </w:p>
    <w:p w14:paraId="16CE290F" w14:textId="693763C7" w:rsidR="004477D8" w:rsidRPr="0029160A" w:rsidRDefault="004477D8" w:rsidP="00452940">
      <w:pPr>
        <w:widowControl/>
        <w:spacing w:after="200" w:line="360" w:lineRule="auto"/>
        <w:ind w:firstLine="1440"/>
        <w:contextualSpacing/>
        <w:rPr>
          <w:rFonts w:eastAsiaTheme="minorHAnsi"/>
          <w:color w:val="000000" w:themeColor="text1"/>
          <w:szCs w:val="26"/>
        </w:rPr>
      </w:pPr>
      <w:r w:rsidRPr="0029160A">
        <w:rPr>
          <w:rFonts w:eastAsiaTheme="minorHAnsi"/>
          <w:color w:val="000000" w:themeColor="text1"/>
          <w:szCs w:val="26"/>
        </w:rPr>
        <w:t xml:space="preserve">As Wellsboro further noted, we observe that the minimum system approach methodology employed by the Company is the same methodology approved for UGI in the </w:t>
      </w:r>
      <w:r w:rsidRPr="0029160A">
        <w:rPr>
          <w:rFonts w:eastAsiaTheme="minorHAnsi"/>
          <w:i/>
          <w:iCs/>
          <w:color w:val="000000" w:themeColor="text1"/>
          <w:szCs w:val="26"/>
        </w:rPr>
        <w:t>UGI Order</w:t>
      </w:r>
      <w:r w:rsidRPr="0029160A">
        <w:rPr>
          <w:rFonts w:eastAsiaTheme="minorHAnsi"/>
          <w:color w:val="000000" w:themeColor="text1"/>
          <w:szCs w:val="26"/>
        </w:rPr>
        <w:t xml:space="preserve"> proceeding.  </w:t>
      </w:r>
      <w:r w:rsidRPr="0029160A">
        <w:rPr>
          <w:rFonts w:eastAsiaTheme="minorHAnsi"/>
          <w:iCs/>
          <w:color w:val="000000" w:themeColor="text1"/>
          <w:szCs w:val="26"/>
        </w:rPr>
        <w:t>Wellsboro R. Exc. at 23</w:t>
      </w:r>
      <w:r w:rsidRPr="0029160A">
        <w:rPr>
          <w:rFonts w:eastAsiaTheme="minorHAnsi"/>
          <w:i/>
          <w:color w:val="000000" w:themeColor="text1"/>
          <w:szCs w:val="26"/>
        </w:rPr>
        <w:t xml:space="preserve">.  </w:t>
      </w:r>
      <w:r w:rsidRPr="0029160A">
        <w:rPr>
          <w:rFonts w:eastAsiaTheme="minorHAnsi"/>
          <w:color w:val="000000" w:themeColor="text1"/>
          <w:szCs w:val="26"/>
        </w:rPr>
        <w:t xml:space="preserve">The Commission has affirmed the use of the “minimum system method” as the accepted approach to classify and allocate distribution system costs in prior proceedings.  </w:t>
      </w:r>
      <w:r w:rsidRPr="0029160A">
        <w:rPr>
          <w:rFonts w:eastAsiaTheme="minorHAnsi"/>
          <w:i/>
          <w:color w:val="000000" w:themeColor="text1"/>
          <w:szCs w:val="26"/>
        </w:rPr>
        <w:t>See UGI Order, supra</w:t>
      </w:r>
      <w:r w:rsidRPr="0029160A">
        <w:rPr>
          <w:rFonts w:eastAsiaTheme="minorHAnsi"/>
          <w:iCs/>
          <w:color w:val="000000" w:themeColor="text1"/>
          <w:szCs w:val="26"/>
        </w:rPr>
        <w:t>;</w:t>
      </w:r>
      <w:r w:rsidRPr="0029160A">
        <w:rPr>
          <w:rFonts w:eastAsiaTheme="minorHAnsi"/>
          <w:i/>
          <w:color w:val="000000" w:themeColor="text1"/>
          <w:szCs w:val="26"/>
        </w:rPr>
        <w:t xml:space="preserve"> see also 2012 PPL Order, supra</w:t>
      </w:r>
      <w:r w:rsidRPr="0029160A">
        <w:rPr>
          <w:rFonts w:eastAsiaTheme="minorHAnsi"/>
          <w:color w:val="000000" w:themeColor="text1"/>
          <w:szCs w:val="26"/>
        </w:rPr>
        <w:t>;</w:t>
      </w:r>
      <w:r w:rsidRPr="0029160A">
        <w:rPr>
          <w:rFonts w:eastAsiaTheme="minorHAnsi"/>
          <w:i/>
          <w:color w:val="000000" w:themeColor="text1"/>
          <w:szCs w:val="26"/>
        </w:rPr>
        <w:t xml:space="preserve"> see also</w:t>
      </w:r>
      <w:r w:rsidRPr="006A43C4">
        <w:rPr>
          <w:rFonts w:eastAsiaTheme="minorHAnsi"/>
          <w:iCs/>
          <w:color w:val="000000" w:themeColor="text1"/>
          <w:szCs w:val="26"/>
        </w:rPr>
        <w:t>,</w:t>
      </w:r>
      <w:r w:rsidRPr="0029160A">
        <w:rPr>
          <w:rFonts w:eastAsiaTheme="minorHAnsi"/>
          <w:i/>
          <w:color w:val="000000" w:themeColor="text1"/>
          <w:szCs w:val="26"/>
        </w:rPr>
        <w:t xml:space="preserve"> Pa. PUC v. PPL Electric Utilities Corp</w:t>
      </w:r>
      <w:r w:rsidRPr="0029160A">
        <w:rPr>
          <w:rFonts w:eastAsiaTheme="minorHAnsi"/>
          <w:color w:val="000000" w:themeColor="text1"/>
          <w:szCs w:val="26"/>
        </w:rPr>
        <w:t>., Docket No. R</w:t>
      </w:r>
      <w:r w:rsidR="003A6A81" w:rsidRPr="0029160A">
        <w:rPr>
          <w:rFonts w:eastAsiaTheme="minorHAnsi"/>
          <w:color w:val="000000" w:themeColor="text1"/>
          <w:szCs w:val="26"/>
        </w:rPr>
        <w:noBreakHyphen/>
      </w:r>
      <w:r w:rsidRPr="0029160A">
        <w:rPr>
          <w:rFonts w:eastAsiaTheme="minorHAnsi"/>
          <w:color w:val="000000" w:themeColor="text1"/>
          <w:szCs w:val="26"/>
        </w:rPr>
        <w:t>2010</w:t>
      </w:r>
      <w:r w:rsidR="003A6A81" w:rsidRPr="0029160A">
        <w:rPr>
          <w:rFonts w:eastAsiaTheme="minorHAnsi"/>
          <w:color w:val="000000" w:themeColor="text1"/>
          <w:szCs w:val="26"/>
        </w:rPr>
        <w:noBreakHyphen/>
      </w:r>
      <w:r w:rsidRPr="0029160A">
        <w:rPr>
          <w:rFonts w:eastAsiaTheme="minorHAnsi"/>
          <w:color w:val="000000" w:themeColor="text1"/>
          <w:szCs w:val="26"/>
        </w:rPr>
        <w:t>2161694 (Order entered December 21, 2010) (</w:t>
      </w:r>
      <w:r w:rsidRPr="0029160A">
        <w:rPr>
          <w:rFonts w:eastAsiaTheme="minorHAnsi"/>
          <w:i/>
          <w:color w:val="000000" w:themeColor="text1"/>
          <w:szCs w:val="26"/>
        </w:rPr>
        <w:t>2010 PPL Order</w:t>
      </w:r>
      <w:r w:rsidRPr="0029160A">
        <w:rPr>
          <w:rFonts w:eastAsiaTheme="minorHAnsi"/>
          <w:color w:val="000000" w:themeColor="text1"/>
          <w:szCs w:val="26"/>
        </w:rPr>
        <w:t xml:space="preserve">).  We agree with the ALJs that Wellsboro’s ACCOSS is consistent with the NARUC Manual and more accurately reflects adherence to cost-causation principles than the ACCOSS methodology proposed by the OCA.  </w:t>
      </w:r>
      <w:r w:rsidRPr="0029160A">
        <w:rPr>
          <w:rFonts w:eastAsiaTheme="minorHAnsi"/>
          <w:iCs/>
          <w:color w:val="000000" w:themeColor="text1"/>
          <w:szCs w:val="26"/>
        </w:rPr>
        <w:t>Moreover, we share the opinion of the ALJs that</w:t>
      </w:r>
      <w:r w:rsidRPr="0029160A">
        <w:rPr>
          <w:rFonts w:eastAsiaTheme="minorHAnsi"/>
          <w:i/>
          <w:color w:val="000000" w:themeColor="text1"/>
          <w:szCs w:val="26"/>
        </w:rPr>
        <w:t xml:space="preserve"> </w:t>
      </w:r>
      <w:r w:rsidRPr="0029160A">
        <w:rPr>
          <w:rFonts w:eastAsiaTheme="minorHAnsi"/>
          <w:color w:val="000000" w:themeColor="text1"/>
          <w:szCs w:val="26"/>
        </w:rPr>
        <w:t>the Company’s utilization of the “minimum system method” and “zero-load analysis” in its ACCOSS methodology is reasonable and in accordance with Commission precedent.  R.D. at</w:t>
      </w:r>
      <w:r w:rsidR="003A6A81" w:rsidRPr="0029160A">
        <w:rPr>
          <w:rFonts w:eastAsiaTheme="minorHAnsi"/>
          <w:color w:val="000000" w:themeColor="text1"/>
          <w:szCs w:val="26"/>
        </w:rPr>
        <w:t> </w:t>
      </w:r>
      <w:r w:rsidRPr="0029160A">
        <w:rPr>
          <w:rFonts w:eastAsiaTheme="minorHAnsi"/>
          <w:color w:val="000000" w:themeColor="text1"/>
          <w:szCs w:val="26"/>
        </w:rPr>
        <w:t>91</w:t>
      </w:r>
      <w:r w:rsidR="003A6A81" w:rsidRPr="0029160A">
        <w:rPr>
          <w:rFonts w:eastAsiaTheme="minorHAnsi"/>
          <w:color w:val="000000" w:themeColor="text1"/>
          <w:szCs w:val="26"/>
        </w:rPr>
        <w:noBreakHyphen/>
      </w:r>
      <w:r w:rsidRPr="0029160A">
        <w:rPr>
          <w:rFonts w:eastAsiaTheme="minorHAnsi"/>
          <w:color w:val="000000" w:themeColor="text1"/>
          <w:szCs w:val="26"/>
        </w:rPr>
        <w:t>92.  Accordingly, we shall deny Exception</w:t>
      </w:r>
      <w:r w:rsidR="004B0716" w:rsidRPr="0029160A">
        <w:rPr>
          <w:rFonts w:eastAsiaTheme="minorHAnsi"/>
          <w:color w:val="000000" w:themeColor="text1"/>
          <w:szCs w:val="26"/>
        </w:rPr>
        <w:t xml:space="preserve"> No. 9</w:t>
      </w:r>
      <w:r w:rsidRPr="0029160A">
        <w:rPr>
          <w:rFonts w:eastAsiaTheme="minorHAnsi"/>
          <w:color w:val="000000" w:themeColor="text1"/>
          <w:szCs w:val="26"/>
        </w:rPr>
        <w:t xml:space="preserve"> of the OCA regarding Wellsboro’s ACCOSS.</w:t>
      </w:r>
    </w:p>
    <w:p w14:paraId="7E09DAEB" w14:textId="77777777" w:rsidR="00D72D1C" w:rsidRPr="0029160A" w:rsidRDefault="00D72D1C" w:rsidP="00452940">
      <w:pPr>
        <w:widowControl/>
        <w:spacing w:line="360" w:lineRule="auto"/>
        <w:rPr>
          <w:color w:val="000000" w:themeColor="text1"/>
        </w:rPr>
      </w:pPr>
    </w:p>
    <w:p w14:paraId="5B206B98" w14:textId="53EADC31" w:rsidR="00461A7E" w:rsidRPr="0029160A" w:rsidRDefault="00DB1CE2" w:rsidP="00452940">
      <w:pPr>
        <w:pStyle w:val="Heading3"/>
        <w:keepNext/>
        <w:ind w:left="1440" w:hanging="720"/>
        <w:rPr>
          <w:color w:val="000000" w:themeColor="text1"/>
        </w:rPr>
      </w:pPr>
      <w:bookmarkStart w:id="156" w:name="_Toc36552366"/>
      <w:bookmarkStart w:id="157" w:name="_Toc38951814"/>
      <w:r w:rsidRPr="0029160A">
        <w:rPr>
          <w:color w:val="000000" w:themeColor="text1"/>
        </w:rPr>
        <w:lastRenderedPageBreak/>
        <w:t xml:space="preserve">Rate Structure:  </w:t>
      </w:r>
      <w:r w:rsidR="00461A7E" w:rsidRPr="0029160A">
        <w:rPr>
          <w:color w:val="000000" w:themeColor="text1"/>
        </w:rPr>
        <w:t>Revenue Allocation</w:t>
      </w:r>
      <w:bookmarkEnd w:id="156"/>
      <w:bookmarkEnd w:id="157"/>
    </w:p>
    <w:p w14:paraId="05CC9ABC" w14:textId="77777777" w:rsidR="00D72D1C" w:rsidRPr="0029160A" w:rsidRDefault="00D72D1C" w:rsidP="00452940">
      <w:pPr>
        <w:keepNext/>
        <w:widowControl/>
        <w:spacing w:line="360" w:lineRule="auto"/>
        <w:rPr>
          <w:color w:val="000000" w:themeColor="text1"/>
        </w:rPr>
      </w:pPr>
    </w:p>
    <w:p w14:paraId="1558E315" w14:textId="5A0BD3B7" w:rsidR="00D72D1C" w:rsidRPr="0029160A" w:rsidRDefault="00D72D1C" w:rsidP="00452940">
      <w:pPr>
        <w:pStyle w:val="Heading4"/>
        <w:keepNext/>
        <w:numPr>
          <w:ilvl w:val="0"/>
          <w:numId w:val="26"/>
        </w:numPr>
        <w:ind w:hanging="720"/>
        <w:rPr>
          <w:color w:val="000000" w:themeColor="text1"/>
        </w:rPr>
      </w:pPr>
      <w:bookmarkStart w:id="158" w:name="_Toc38951815"/>
      <w:r w:rsidRPr="0029160A">
        <w:rPr>
          <w:color w:val="000000" w:themeColor="text1"/>
        </w:rPr>
        <w:t>Position</w:t>
      </w:r>
      <w:r w:rsidR="009D7A24" w:rsidRPr="0029160A">
        <w:rPr>
          <w:color w:val="000000" w:themeColor="text1"/>
        </w:rPr>
        <w:t>s</w:t>
      </w:r>
      <w:r w:rsidRPr="0029160A">
        <w:rPr>
          <w:color w:val="000000" w:themeColor="text1"/>
        </w:rPr>
        <w:t xml:space="preserve"> of the Parties</w:t>
      </w:r>
      <w:bookmarkEnd w:id="158"/>
    </w:p>
    <w:p w14:paraId="3C79FEA6" w14:textId="77777777" w:rsidR="00B41933" w:rsidRPr="0029160A" w:rsidRDefault="00B41933" w:rsidP="00452940">
      <w:pPr>
        <w:spacing w:line="360" w:lineRule="auto"/>
        <w:rPr>
          <w:color w:val="000000" w:themeColor="text1"/>
        </w:rPr>
      </w:pPr>
    </w:p>
    <w:p w14:paraId="0DB3FC15" w14:textId="230969FE" w:rsidR="00A33410" w:rsidRPr="0029160A" w:rsidRDefault="00F668FB" w:rsidP="00452940">
      <w:pPr>
        <w:keepNext/>
        <w:widowControl/>
        <w:autoSpaceDN w:val="0"/>
        <w:spacing w:line="360" w:lineRule="auto"/>
        <w:ind w:firstLine="1440"/>
        <w:rPr>
          <w:color w:val="000000" w:themeColor="text1"/>
          <w:szCs w:val="26"/>
        </w:rPr>
      </w:pPr>
      <w:r w:rsidRPr="0029160A">
        <w:rPr>
          <w:rFonts w:eastAsiaTheme="minorHAnsi"/>
          <w:color w:val="000000" w:themeColor="text1"/>
          <w:szCs w:val="26"/>
        </w:rPr>
        <w:t>Wellsboro</w:t>
      </w:r>
      <w:r w:rsidR="00841A40">
        <w:rPr>
          <w:rFonts w:eastAsiaTheme="minorHAnsi"/>
          <w:color w:val="000000" w:themeColor="text1"/>
          <w:szCs w:val="26"/>
        </w:rPr>
        <w:t>’</w:t>
      </w:r>
      <w:r w:rsidRPr="0029160A">
        <w:rPr>
          <w:rFonts w:eastAsiaTheme="minorHAnsi"/>
          <w:color w:val="000000" w:themeColor="text1"/>
          <w:szCs w:val="26"/>
        </w:rPr>
        <w:t xml:space="preserve">s proposed revenue allocation is set forth in Schedule B6-4 (W).  </w:t>
      </w:r>
      <w:r w:rsidR="00A33410" w:rsidRPr="0029160A">
        <w:rPr>
          <w:iCs/>
          <w:color w:val="000000" w:themeColor="text1"/>
          <w:szCs w:val="26"/>
        </w:rPr>
        <w:t>The Parties all present</w:t>
      </w:r>
      <w:r w:rsidRPr="0029160A">
        <w:rPr>
          <w:iCs/>
          <w:color w:val="000000" w:themeColor="text1"/>
          <w:szCs w:val="26"/>
        </w:rPr>
        <w:t>ed</w:t>
      </w:r>
      <w:r w:rsidR="00A33410" w:rsidRPr="0029160A">
        <w:rPr>
          <w:iCs/>
          <w:color w:val="000000" w:themeColor="text1"/>
          <w:szCs w:val="26"/>
        </w:rPr>
        <w:t xml:space="preserve"> different positions on the issue of revenue allocation.</w:t>
      </w:r>
      <w:r w:rsidR="00A33410" w:rsidRPr="0029160A">
        <w:rPr>
          <w:i/>
          <w:color w:val="000000" w:themeColor="text1"/>
          <w:szCs w:val="26"/>
        </w:rPr>
        <w:t xml:space="preserve">  </w:t>
      </w:r>
      <w:r w:rsidR="00A33410" w:rsidRPr="0029160A">
        <w:rPr>
          <w:color w:val="000000" w:themeColor="text1"/>
          <w:szCs w:val="26"/>
        </w:rPr>
        <w:t xml:space="preserve">R.D. </w:t>
      </w:r>
      <w:r w:rsidR="00B54D3C">
        <w:rPr>
          <w:color w:val="000000" w:themeColor="text1"/>
          <w:szCs w:val="26"/>
        </w:rPr>
        <w:t xml:space="preserve">at </w:t>
      </w:r>
      <w:r w:rsidR="00A33410" w:rsidRPr="0029160A">
        <w:rPr>
          <w:color w:val="000000" w:themeColor="text1"/>
          <w:szCs w:val="26"/>
        </w:rPr>
        <w:t>93</w:t>
      </w:r>
      <w:r w:rsidR="00CF796C" w:rsidRPr="0029160A">
        <w:rPr>
          <w:color w:val="000000" w:themeColor="text1"/>
          <w:szCs w:val="26"/>
        </w:rPr>
        <w:noBreakHyphen/>
      </w:r>
      <w:r w:rsidR="00A33410" w:rsidRPr="0029160A">
        <w:rPr>
          <w:color w:val="000000" w:themeColor="text1"/>
          <w:szCs w:val="26"/>
        </w:rPr>
        <w:t>103 (ALJs</w:t>
      </w:r>
      <w:r w:rsidR="00CF796C" w:rsidRPr="0029160A">
        <w:rPr>
          <w:color w:val="000000" w:themeColor="text1"/>
          <w:szCs w:val="26"/>
        </w:rPr>
        <w:t>’</w:t>
      </w:r>
      <w:r w:rsidR="00A33410" w:rsidRPr="0029160A">
        <w:rPr>
          <w:color w:val="000000" w:themeColor="text1"/>
          <w:szCs w:val="26"/>
        </w:rPr>
        <w:t xml:space="preserve"> summary of the testimonies offered by the Company’s, I&amp;E’s, the OCA’s and the OSBA’s experts regarding revenue allocation).  </w:t>
      </w:r>
    </w:p>
    <w:p w14:paraId="4CDA634E" w14:textId="77777777" w:rsidR="00A33410" w:rsidRPr="0029160A" w:rsidRDefault="00A33410" w:rsidP="00CB0B2E">
      <w:pPr>
        <w:widowControl/>
        <w:spacing w:line="360" w:lineRule="auto"/>
        <w:ind w:firstLine="1440"/>
        <w:rPr>
          <w:rFonts w:eastAsiaTheme="minorHAnsi"/>
          <w:color w:val="000000" w:themeColor="text1"/>
          <w:szCs w:val="26"/>
        </w:rPr>
      </w:pPr>
    </w:p>
    <w:p w14:paraId="71209195" w14:textId="77777777" w:rsidR="00A33410" w:rsidRPr="0029160A" w:rsidRDefault="002D689C" w:rsidP="00CB0B2E">
      <w:pPr>
        <w:widowControl/>
        <w:spacing w:line="360" w:lineRule="auto"/>
        <w:ind w:firstLine="1440"/>
        <w:rPr>
          <w:rFonts w:eastAsiaTheme="minorHAnsi" w:cstheme="minorBidi"/>
          <w:color w:val="000000" w:themeColor="text1"/>
          <w:szCs w:val="26"/>
        </w:rPr>
      </w:pPr>
      <w:r w:rsidRPr="0029160A">
        <w:rPr>
          <w:rFonts w:eastAsiaTheme="minorHAnsi"/>
          <w:color w:val="000000" w:themeColor="text1"/>
          <w:szCs w:val="26"/>
        </w:rPr>
        <w:t>Wellsboro maintain</w:t>
      </w:r>
      <w:r w:rsidR="00F668FB" w:rsidRPr="0029160A">
        <w:rPr>
          <w:rFonts w:eastAsiaTheme="minorHAnsi"/>
          <w:color w:val="000000" w:themeColor="text1"/>
          <w:szCs w:val="26"/>
        </w:rPr>
        <w:t>ed</w:t>
      </w:r>
      <w:r w:rsidRPr="0029160A">
        <w:rPr>
          <w:rFonts w:eastAsiaTheme="minorHAnsi"/>
          <w:color w:val="000000" w:themeColor="text1"/>
          <w:szCs w:val="26"/>
        </w:rPr>
        <w:t xml:space="preserve"> that a rate decrease for rate class POL</w:t>
      </w:r>
      <w:r w:rsidR="00600DFD" w:rsidRPr="0029160A">
        <w:rPr>
          <w:rStyle w:val="FootnoteReference"/>
          <w:rFonts w:eastAsiaTheme="minorHAnsi"/>
          <w:color w:val="000000" w:themeColor="text1"/>
          <w:szCs w:val="26"/>
        </w:rPr>
        <w:footnoteReference w:id="13"/>
      </w:r>
      <w:r w:rsidRPr="0029160A">
        <w:rPr>
          <w:rFonts w:eastAsiaTheme="minorHAnsi"/>
          <w:color w:val="000000" w:themeColor="text1"/>
          <w:szCs w:val="26"/>
        </w:rPr>
        <w:t xml:space="preserve"> is reasonable and appropriate to bring all classes closer to cost of service.</w:t>
      </w:r>
      <w:r w:rsidR="00A33410" w:rsidRPr="0029160A">
        <w:rPr>
          <w:color w:val="000000" w:themeColor="text1"/>
          <w:szCs w:val="26"/>
        </w:rPr>
        <w:t xml:space="preserve">  Wellsboro a</w:t>
      </w:r>
      <w:r w:rsidR="00BE10A3" w:rsidRPr="0029160A">
        <w:rPr>
          <w:color w:val="000000" w:themeColor="text1"/>
          <w:szCs w:val="26"/>
        </w:rPr>
        <w:t>r</w:t>
      </w:r>
      <w:r w:rsidR="00A33410" w:rsidRPr="0029160A">
        <w:rPr>
          <w:color w:val="000000" w:themeColor="text1"/>
          <w:szCs w:val="26"/>
        </w:rPr>
        <w:t xml:space="preserve">gued that its proposed revenue allocation is consistent with the Commission’s decision in the </w:t>
      </w:r>
      <w:r w:rsidR="00A33410" w:rsidRPr="0029160A">
        <w:rPr>
          <w:i/>
          <w:iCs/>
          <w:noProof/>
          <w:color w:val="000000" w:themeColor="text1"/>
          <w:szCs w:val="26"/>
        </w:rPr>
        <w:t>UGI Order</w:t>
      </w:r>
      <w:r w:rsidR="00A33410" w:rsidRPr="0029160A">
        <w:rPr>
          <w:color w:val="000000" w:themeColor="text1"/>
          <w:szCs w:val="26"/>
        </w:rPr>
        <w:t xml:space="preserve">.  R.D. at 93 (citing </w:t>
      </w:r>
      <w:r w:rsidR="00A33410" w:rsidRPr="0029160A">
        <w:rPr>
          <w:i/>
          <w:iCs/>
          <w:noProof/>
          <w:color w:val="000000" w:themeColor="text1"/>
          <w:szCs w:val="26"/>
        </w:rPr>
        <w:t>UGI Order</w:t>
      </w:r>
      <w:r w:rsidR="00A33410" w:rsidRPr="0029160A">
        <w:rPr>
          <w:color w:val="000000" w:themeColor="text1"/>
          <w:szCs w:val="26"/>
        </w:rPr>
        <w:t xml:space="preserve"> at 163-164; Wellsboro M.B. at 101).</w:t>
      </w:r>
      <w:r w:rsidR="006D4497" w:rsidRPr="0029160A">
        <w:rPr>
          <w:color w:val="000000" w:themeColor="text1"/>
          <w:szCs w:val="26"/>
        </w:rPr>
        <w:t xml:space="preserve">  </w:t>
      </w:r>
      <w:r w:rsidR="00A33410" w:rsidRPr="0029160A">
        <w:rPr>
          <w:color w:val="000000" w:themeColor="text1"/>
          <w:szCs w:val="26"/>
        </w:rPr>
        <w:t>Wellsboro’s witness argued the position that the ACCOSS should control revenue allocation, including if a decrease is warranted for a class.</w:t>
      </w:r>
      <w:r w:rsidR="00A97581" w:rsidRPr="0029160A">
        <w:rPr>
          <w:color w:val="000000" w:themeColor="text1"/>
          <w:szCs w:val="26"/>
        </w:rPr>
        <w:t xml:space="preserve">  </w:t>
      </w:r>
      <w:r w:rsidR="00A33410" w:rsidRPr="0029160A">
        <w:rPr>
          <w:color w:val="000000" w:themeColor="text1"/>
          <w:szCs w:val="26"/>
        </w:rPr>
        <w:t xml:space="preserve">R.D. at 93 (citing </w:t>
      </w:r>
      <w:r w:rsidR="00A33410" w:rsidRPr="0029160A">
        <w:rPr>
          <w:rFonts w:eastAsiaTheme="minorHAnsi" w:cstheme="minorBidi"/>
          <w:color w:val="000000" w:themeColor="text1"/>
          <w:szCs w:val="26"/>
        </w:rPr>
        <w:t>Wellsboro St. 1-SR – Surrebuttal Testimony of Howard S. Gorman (Wellsboro St. 1-SR) at 2).</w:t>
      </w:r>
    </w:p>
    <w:p w14:paraId="097DF0B3" w14:textId="77777777" w:rsidR="00D72D1C" w:rsidRPr="0029160A" w:rsidRDefault="00D72D1C">
      <w:pPr>
        <w:widowControl/>
        <w:ind w:firstLine="1440"/>
        <w:rPr>
          <w:color w:val="000000" w:themeColor="text1"/>
          <w:szCs w:val="26"/>
        </w:rPr>
      </w:pPr>
    </w:p>
    <w:p w14:paraId="3F87C856" w14:textId="2A62044E" w:rsidR="00FB0ADA" w:rsidRPr="0029160A" w:rsidRDefault="00FB0ADA">
      <w:pPr>
        <w:widowControl/>
        <w:spacing w:line="360" w:lineRule="auto"/>
        <w:ind w:firstLine="1440"/>
        <w:rPr>
          <w:rFonts w:eastAsiaTheme="minorHAnsi" w:cstheme="minorBidi"/>
          <w:color w:val="000000" w:themeColor="text1"/>
          <w:szCs w:val="26"/>
        </w:rPr>
      </w:pPr>
      <w:r w:rsidRPr="0029160A">
        <w:rPr>
          <w:rFonts w:eastAsiaTheme="minorHAnsi" w:cstheme="minorBidi"/>
          <w:color w:val="000000" w:themeColor="text1"/>
          <w:szCs w:val="26"/>
        </w:rPr>
        <w:t>T</w:t>
      </w:r>
      <w:r w:rsidR="00A33410" w:rsidRPr="0029160A">
        <w:rPr>
          <w:rFonts w:eastAsiaTheme="minorHAnsi" w:cstheme="minorBidi"/>
          <w:color w:val="000000" w:themeColor="text1"/>
          <w:szCs w:val="26"/>
        </w:rPr>
        <w:t>he OCA noted that Wellsboro’s proposal would provide for a rate decrease of 19.9 % for the POL class and only a 1.2 % increase for the MSL</w:t>
      </w:r>
      <w:r w:rsidR="00A97581" w:rsidRPr="0029160A">
        <w:rPr>
          <w:rStyle w:val="FootnoteReference"/>
          <w:rFonts w:eastAsiaTheme="minorHAnsi" w:cstheme="minorBidi"/>
          <w:color w:val="000000" w:themeColor="text1"/>
          <w:szCs w:val="26"/>
        </w:rPr>
        <w:footnoteReference w:id="14"/>
      </w:r>
      <w:r w:rsidR="00A33410" w:rsidRPr="0029160A">
        <w:rPr>
          <w:rFonts w:eastAsiaTheme="minorHAnsi" w:cstheme="minorBidi"/>
          <w:color w:val="000000" w:themeColor="text1"/>
          <w:szCs w:val="26"/>
        </w:rPr>
        <w:t xml:space="preserve"> rate class when other rate classes are experiencing significant increases.  R.D. at 96 (citing OCA St.</w:t>
      </w:r>
      <w:r w:rsidR="00AE4BF8">
        <w:rPr>
          <w:rFonts w:eastAsiaTheme="minorHAnsi" w:cstheme="minorBidi"/>
          <w:color w:val="000000" w:themeColor="text1"/>
          <w:szCs w:val="26"/>
        </w:rPr>
        <w:t> </w:t>
      </w:r>
      <w:r w:rsidR="00A33410" w:rsidRPr="0029160A">
        <w:rPr>
          <w:rFonts w:eastAsiaTheme="minorHAnsi" w:cstheme="minorBidi"/>
          <w:color w:val="000000" w:themeColor="text1"/>
          <w:szCs w:val="26"/>
        </w:rPr>
        <w:t xml:space="preserve">4 at 18).  The OCA argued that such a rate decrease for Rate POL when </w:t>
      </w:r>
      <w:r w:rsidR="00A56652" w:rsidRPr="0029160A">
        <w:rPr>
          <w:rFonts w:eastAsiaTheme="minorHAnsi" w:cstheme="minorBidi"/>
          <w:color w:val="000000" w:themeColor="text1"/>
          <w:szCs w:val="26"/>
        </w:rPr>
        <w:t xml:space="preserve">rates for </w:t>
      </w:r>
      <w:r w:rsidR="00A33410" w:rsidRPr="0029160A">
        <w:rPr>
          <w:rFonts w:eastAsiaTheme="minorHAnsi" w:cstheme="minorBidi"/>
          <w:color w:val="000000" w:themeColor="text1"/>
          <w:szCs w:val="26"/>
        </w:rPr>
        <w:t>other rate</w:t>
      </w:r>
      <w:r w:rsidR="00A56652" w:rsidRPr="0029160A">
        <w:rPr>
          <w:rFonts w:eastAsiaTheme="minorHAnsi" w:cstheme="minorBidi"/>
          <w:color w:val="000000" w:themeColor="text1"/>
          <w:szCs w:val="26"/>
        </w:rPr>
        <w:t xml:space="preserve"> classes</w:t>
      </w:r>
      <w:r w:rsidR="00A33410" w:rsidRPr="0029160A">
        <w:rPr>
          <w:rFonts w:eastAsiaTheme="minorHAnsi" w:cstheme="minorBidi"/>
          <w:color w:val="000000" w:themeColor="text1"/>
          <w:szCs w:val="26"/>
        </w:rPr>
        <w:t xml:space="preserve"> are increasing is not appropriate and that the Commission has recognized this consideration regarding rate decreases for some classes at a time of significant increases for others.  </w:t>
      </w:r>
      <w:bookmarkStart w:id="159" w:name="_Hlk31550316"/>
      <w:r w:rsidR="00A33410" w:rsidRPr="0029160A">
        <w:rPr>
          <w:rFonts w:eastAsiaTheme="minorHAnsi" w:cstheme="minorBidi"/>
          <w:color w:val="000000" w:themeColor="text1"/>
          <w:szCs w:val="26"/>
        </w:rPr>
        <w:t xml:space="preserve">The OCA pointed out that in PPL’s 2012 base rate proceeding, the Commission rejected providing rate decreases in a general base rate proceeding, holding, “as a matter of fairness, those customer classes that have not been allotted any rate </w:t>
      </w:r>
      <w:r w:rsidR="00A33410" w:rsidRPr="0029160A">
        <w:rPr>
          <w:rFonts w:eastAsiaTheme="minorHAnsi" w:cstheme="minorBidi"/>
          <w:color w:val="000000" w:themeColor="text1"/>
          <w:szCs w:val="26"/>
        </w:rPr>
        <w:lastRenderedPageBreak/>
        <w:t xml:space="preserve">increase via the Company’s original revenue allocation should not receive rate decreases as argued by the OSBA and PPLICA.”  </w:t>
      </w:r>
      <w:r w:rsidR="00A33410" w:rsidRPr="0029160A">
        <w:rPr>
          <w:rFonts w:eastAsiaTheme="minorHAnsi" w:cstheme="minorBidi"/>
          <w:i/>
          <w:iCs/>
          <w:color w:val="000000" w:themeColor="text1"/>
          <w:szCs w:val="26"/>
        </w:rPr>
        <w:t>PPL 2012 Order</w:t>
      </w:r>
      <w:r w:rsidR="001B3CD8" w:rsidRPr="0029160A">
        <w:rPr>
          <w:rFonts w:eastAsiaTheme="minorHAnsi" w:cstheme="minorBidi"/>
          <w:color w:val="000000" w:themeColor="text1"/>
          <w:szCs w:val="26"/>
        </w:rPr>
        <w:t xml:space="preserve"> a</w:t>
      </w:r>
      <w:r w:rsidR="002B4E64" w:rsidRPr="0029160A">
        <w:rPr>
          <w:rFonts w:eastAsiaTheme="minorHAnsi" w:cstheme="minorBidi"/>
          <w:color w:val="000000" w:themeColor="text1"/>
          <w:szCs w:val="26"/>
        </w:rPr>
        <w:t>t 124</w:t>
      </w:r>
      <w:r w:rsidR="00A33410" w:rsidRPr="0029160A">
        <w:rPr>
          <w:rFonts w:eastAsiaTheme="minorHAnsi" w:cstheme="minorBidi"/>
          <w:color w:val="000000" w:themeColor="text1"/>
          <w:szCs w:val="26"/>
        </w:rPr>
        <w:t>.</w:t>
      </w:r>
      <w:bookmarkEnd w:id="159"/>
      <w:r w:rsidR="00A33410" w:rsidRPr="0029160A">
        <w:rPr>
          <w:rFonts w:eastAsiaTheme="minorHAnsi" w:cstheme="minorBidi"/>
          <w:color w:val="000000" w:themeColor="text1"/>
          <w:szCs w:val="26"/>
        </w:rPr>
        <w:t xml:space="preserve">  Under the OCA’s revenue allocation, the $17,175 decrease proposed for the POL rate class is eliminated and proportionately assigned to the remaining classes to mitigate the increases for those classes.  R.D. at 96 (citing OCA St. 4 at 19; OCA St. 4-R at 2).  </w:t>
      </w:r>
    </w:p>
    <w:p w14:paraId="571D65C1" w14:textId="77777777" w:rsidR="00FB0ADA" w:rsidRPr="0029160A" w:rsidRDefault="00FB0ADA">
      <w:pPr>
        <w:widowControl/>
        <w:spacing w:line="360" w:lineRule="auto"/>
        <w:ind w:firstLine="1440"/>
        <w:rPr>
          <w:rFonts w:eastAsiaTheme="minorHAnsi" w:cstheme="minorBidi"/>
          <w:color w:val="000000" w:themeColor="text1"/>
          <w:szCs w:val="26"/>
        </w:rPr>
      </w:pPr>
    </w:p>
    <w:p w14:paraId="1DD58724" w14:textId="0A0BD666" w:rsidR="00480477" w:rsidRPr="0029160A" w:rsidRDefault="00FB0ADA" w:rsidP="00CB0B2E">
      <w:pPr>
        <w:widowControl/>
        <w:spacing w:line="360" w:lineRule="auto"/>
        <w:ind w:firstLine="1440"/>
        <w:rPr>
          <w:color w:val="000000" w:themeColor="text1"/>
          <w:szCs w:val="26"/>
        </w:rPr>
      </w:pPr>
      <w:r w:rsidRPr="0029160A">
        <w:rPr>
          <w:color w:val="000000" w:themeColor="text1"/>
          <w:szCs w:val="26"/>
        </w:rPr>
        <w:t xml:space="preserve">The OSBA witness </w:t>
      </w:r>
      <w:r w:rsidR="0071128B" w:rsidRPr="0029160A">
        <w:rPr>
          <w:color w:val="000000" w:themeColor="text1"/>
          <w:szCs w:val="26"/>
        </w:rPr>
        <w:t xml:space="preserve">Brian </w:t>
      </w:r>
      <w:r w:rsidRPr="0029160A">
        <w:rPr>
          <w:color w:val="000000" w:themeColor="text1"/>
          <w:szCs w:val="26"/>
        </w:rPr>
        <w:t>Kalcic performed a revenue subsidy analysis and testified that Wellsboro’s proposal would move all classes closer to cost of service with the exception of the Company’s small non-residential heating classes (</w:t>
      </w:r>
      <w:r w:rsidRPr="0029160A">
        <w:rPr>
          <w:i/>
          <w:iCs/>
          <w:color w:val="000000" w:themeColor="text1"/>
          <w:szCs w:val="26"/>
        </w:rPr>
        <w:t>i.e.</w:t>
      </w:r>
      <w:r w:rsidRPr="0029160A">
        <w:rPr>
          <w:color w:val="000000" w:themeColor="text1"/>
          <w:szCs w:val="26"/>
        </w:rPr>
        <w:t>, Rates NRH and CSH).  R.D. at 97 (citing OSBA St. 1 at 7; Schedule BK-2</w:t>
      </w:r>
      <w:r w:rsidR="00ED3A7E">
        <w:rPr>
          <w:color w:val="000000" w:themeColor="text1"/>
          <w:szCs w:val="26"/>
        </w:rPr>
        <w:t xml:space="preserve"> </w:t>
      </w:r>
      <w:r w:rsidRPr="0029160A">
        <w:rPr>
          <w:color w:val="000000" w:themeColor="text1"/>
          <w:szCs w:val="26"/>
        </w:rPr>
        <w:t xml:space="preserve">(W)).  The OSBA, therefore, largely supported Wellsboro’s proposal, except for the proposed decrease to the POL class.  The OSBA supported using class revenue subsidies (rather than relative class rates of return at present and proposed rates) to determine movement toward cost of service.  R.D. at 97 (citing OSBA St. 1 at 5-6).  The OSBA noted that under its </w:t>
      </w:r>
      <w:bookmarkStart w:id="160" w:name="_Hlk31551754"/>
      <w:r w:rsidRPr="0029160A">
        <w:rPr>
          <w:color w:val="000000" w:themeColor="text1"/>
          <w:szCs w:val="26"/>
        </w:rPr>
        <w:t>revenue allocation</w:t>
      </w:r>
      <w:bookmarkEnd w:id="160"/>
      <w:r w:rsidRPr="0029160A">
        <w:rPr>
          <w:color w:val="000000" w:themeColor="text1"/>
          <w:szCs w:val="26"/>
        </w:rPr>
        <w:t>, class increases reflect the same limit of 28.2% as under Wellsboro’s proposed allocation but incorporates two adjustments to Wellsboro’s proposal:  (1) no increase to Rate POL, which provides $17,175 of rate relief to other classes (compared to Wellsboro’s proposal); and (2) a reduction to the aggregate increase to Rates RS and IS</w:t>
      </w:r>
      <w:r w:rsidR="00305593" w:rsidRPr="0029160A">
        <w:rPr>
          <w:rStyle w:val="FootnoteReference"/>
          <w:color w:val="000000" w:themeColor="text1"/>
          <w:szCs w:val="26"/>
        </w:rPr>
        <w:footnoteReference w:id="15"/>
      </w:r>
      <w:r w:rsidRPr="0029160A">
        <w:rPr>
          <w:color w:val="000000" w:themeColor="text1"/>
          <w:szCs w:val="26"/>
        </w:rPr>
        <w:t xml:space="preserve"> by $17,175, while adjusting the individual RS and IS class increases so as to provide for the same percentage movement toward cost of service for each class (as measured by the percentage reduction in their respective present subsidies).  All remaining class increases in Schedule BK-3</w:t>
      </w:r>
      <w:r w:rsidR="00ED3A7E">
        <w:rPr>
          <w:color w:val="000000" w:themeColor="text1"/>
          <w:szCs w:val="26"/>
        </w:rPr>
        <w:t xml:space="preserve"> </w:t>
      </w:r>
      <w:r w:rsidRPr="0029160A">
        <w:rPr>
          <w:color w:val="000000" w:themeColor="text1"/>
          <w:szCs w:val="26"/>
        </w:rPr>
        <w:t>(W) are unchanged from the levels shown in Wellsboro’s proposal (Schedule BK-1</w:t>
      </w:r>
      <w:r w:rsidR="00ED3A7E">
        <w:rPr>
          <w:color w:val="000000" w:themeColor="text1"/>
          <w:szCs w:val="26"/>
        </w:rPr>
        <w:t xml:space="preserve"> </w:t>
      </w:r>
      <w:r w:rsidRPr="0029160A">
        <w:rPr>
          <w:color w:val="000000" w:themeColor="text1"/>
          <w:szCs w:val="26"/>
        </w:rPr>
        <w:t>(W)).  R.D. at 98-99 (citing OSBA St. 1 at 8).</w:t>
      </w:r>
    </w:p>
    <w:p w14:paraId="23AE2461" w14:textId="77777777" w:rsidR="00480477" w:rsidRPr="0029160A" w:rsidRDefault="00480477" w:rsidP="00CB0B2E">
      <w:pPr>
        <w:widowControl/>
        <w:spacing w:line="360" w:lineRule="auto"/>
        <w:ind w:firstLine="1440"/>
        <w:rPr>
          <w:color w:val="000000" w:themeColor="text1"/>
          <w:szCs w:val="26"/>
        </w:rPr>
      </w:pPr>
    </w:p>
    <w:p w14:paraId="6AB66ED5" w14:textId="054863BB" w:rsidR="00480477" w:rsidRPr="0029160A" w:rsidRDefault="00FB0ADA" w:rsidP="00CB0B2E">
      <w:pPr>
        <w:widowControl/>
        <w:spacing w:line="360" w:lineRule="auto"/>
        <w:ind w:firstLine="1440"/>
        <w:rPr>
          <w:color w:val="000000" w:themeColor="text1"/>
          <w:szCs w:val="26"/>
        </w:rPr>
      </w:pPr>
      <w:r w:rsidRPr="0029160A">
        <w:rPr>
          <w:color w:val="000000" w:themeColor="text1"/>
          <w:szCs w:val="26"/>
        </w:rPr>
        <w:t xml:space="preserve">I&amp;E witness Cline made two recommendations regarding revenue allocation.  First, he recommended that the POL rate class be allocated no increase or decrease under proposed rates.  Second, he recommended that the excess $17,175 in </w:t>
      </w:r>
      <w:r w:rsidRPr="0029160A">
        <w:rPr>
          <w:color w:val="000000" w:themeColor="text1"/>
          <w:szCs w:val="26"/>
        </w:rPr>
        <w:lastRenderedPageBreak/>
        <w:t xml:space="preserve">revenue reallocated from the POL rate class be allocated as follows: (1) the first $245 </w:t>
      </w:r>
      <w:r w:rsidR="006422F2" w:rsidRPr="0029160A">
        <w:rPr>
          <w:color w:val="000000" w:themeColor="text1"/>
          <w:szCs w:val="26"/>
        </w:rPr>
        <w:t>be</w:t>
      </w:r>
      <w:r w:rsidRPr="0029160A">
        <w:rPr>
          <w:color w:val="000000" w:themeColor="text1"/>
          <w:szCs w:val="26"/>
        </w:rPr>
        <w:t xml:space="preserve"> allocated to the MSL class</w:t>
      </w:r>
      <w:r w:rsidR="00A73EF8">
        <w:rPr>
          <w:color w:val="000000" w:themeColor="text1"/>
          <w:szCs w:val="26"/>
        </w:rPr>
        <w:t>,</w:t>
      </w:r>
      <w:r w:rsidRPr="0029160A">
        <w:rPr>
          <w:color w:val="000000" w:themeColor="text1"/>
          <w:szCs w:val="26"/>
        </w:rPr>
        <w:t xml:space="preserve"> and (2) the remaining $16,930 be applied to the </w:t>
      </w:r>
      <w:r w:rsidR="00511B08" w:rsidRPr="0029160A">
        <w:rPr>
          <w:color w:val="000000" w:themeColor="text1"/>
          <w:szCs w:val="26"/>
        </w:rPr>
        <w:t>Commercial Service (</w:t>
      </w:r>
      <w:r w:rsidRPr="0029160A">
        <w:rPr>
          <w:color w:val="000000" w:themeColor="text1"/>
          <w:szCs w:val="26"/>
        </w:rPr>
        <w:t>CS</w:t>
      </w:r>
      <w:r w:rsidR="00511B08" w:rsidRPr="0029160A">
        <w:rPr>
          <w:color w:val="000000" w:themeColor="text1"/>
          <w:szCs w:val="26"/>
        </w:rPr>
        <w:t>)</w:t>
      </w:r>
      <w:r w:rsidRPr="0029160A">
        <w:rPr>
          <w:color w:val="000000" w:themeColor="text1"/>
          <w:szCs w:val="26"/>
        </w:rPr>
        <w:t xml:space="preserve"> rate class.  </w:t>
      </w:r>
      <w:r w:rsidR="00480477" w:rsidRPr="0029160A">
        <w:rPr>
          <w:color w:val="000000" w:themeColor="text1"/>
          <w:szCs w:val="26"/>
        </w:rPr>
        <w:t xml:space="preserve">R.D. at 99 (citing </w:t>
      </w:r>
      <w:r w:rsidRPr="0029160A">
        <w:rPr>
          <w:rFonts w:eastAsiaTheme="minorHAnsi" w:cstheme="minorBidi"/>
          <w:color w:val="000000" w:themeColor="text1"/>
          <w:szCs w:val="26"/>
        </w:rPr>
        <w:t>I&amp;E St. 3 at 26</w:t>
      </w:r>
      <w:r w:rsidR="00480477" w:rsidRPr="0029160A">
        <w:rPr>
          <w:rFonts w:eastAsiaTheme="minorHAnsi" w:cstheme="minorBidi"/>
          <w:color w:val="000000" w:themeColor="text1"/>
          <w:szCs w:val="26"/>
        </w:rPr>
        <w:t>)</w:t>
      </w:r>
      <w:r w:rsidRPr="0029160A">
        <w:rPr>
          <w:rFonts w:eastAsiaTheme="minorHAnsi" w:cstheme="minorBidi"/>
          <w:color w:val="000000" w:themeColor="text1"/>
          <w:szCs w:val="26"/>
        </w:rPr>
        <w:t>.</w:t>
      </w:r>
      <w:r w:rsidR="00480477" w:rsidRPr="0029160A">
        <w:rPr>
          <w:rFonts w:eastAsiaTheme="minorHAnsi" w:cstheme="minorBidi"/>
          <w:color w:val="000000" w:themeColor="text1"/>
          <w:szCs w:val="26"/>
        </w:rPr>
        <w:t xml:space="preserve">  His </w:t>
      </w:r>
      <w:r w:rsidRPr="0029160A">
        <w:rPr>
          <w:color w:val="000000" w:themeColor="text1"/>
          <w:szCs w:val="26"/>
        </w:rPr>
        <w:t>recommendations were based on analyzing how the rate of return for each class compares to the system average rate of return</w:t>
      </w:r>
      <w:r w:rsidR="00480477" w:rsidRPr="0029160A">
        <w:rPr>
          <w:color w:val="000000" w:themeColor="text1"/>
          <w:szCs w:val="26"/>
        </w:rPr>
        <w:t>, arguing i</w:t>
      </w:r>
      <w:r w:rsidRPr="0029160A">
        <w:rPr>
          <w:color w:val="000000" w:themeColor="text1"/>
          <w:szCs w:val="26"/>
        </w:rPr>
        <w:t xml:space="preserve">n general, </w:t>
      </w:r>
      <w:r w:rsidR="00480477" w:rsidRPr="0029160A">
        <w:rPr>
          <w:color w:val="000000" w:themeColor="text1"/>
          <w:szCs w:val="26"/>
        </w:rPr>
        <w:t xml:space="preserve">that </w:t>
      </w:r>
      <w:r w:rsidRPr="0029160A">
        <w:rPr>
          <w:color w:val="000000" w:themeColor="text1"/>
          <w:szCs w:val="26"/>
        </w:rPr>
        <w:t xml:space="preserve">a relative rate of return that provides revenue equal to its cost to serve would have a relative rate of return equal to 1.0.  </w:t>
      </w:r>
      <w:r w:rsidR="00480477" w:rsidRPr="0029160A">
        <w:rPr>
          <w:color w:val="000000" w:themeColor="text1"/>
          <w:szCs w:val="26"/>
        </w:rPr>
        <w:t xml:space="preserve">R.D. at 99 (citing I&amp;E St. 3 at 21).  While I&amp;E witness Cline agreed with Wellsboro that rate classes MSL and CS should move closer to a relative rate of return of 1.0, he disagreed with the proposed decrease in revenue for the POL rate class.  </w:t>
      </w:r>
      <w:r w:rsidR="00AD63AA" w:rsidRPr="0029160A">
        <w:rPr>
          <w:color w:val="000000" w:themeColor="text1"/>
          <w:szCs w:val="26"/>
        </w:rPr>
        <w:t>R.D. at 99 (citing I&amp;E St. 3 at 26).</w:t>
      </w:r>
      <w:r w:rsidR="00480477" w:rsidRPr="0029160A">
        <w:rPr>
          <w:color w:val="000000" w:themeColor="text1"/>
          <w:szCs w:val="26"/>
        </w:rPr>
        <w:t xml:space="preserve">  Instead, I&amp;E argues that POL should be allocated no increase or decrease, and the excess $17,175 in revenue should be allocated as follows: (1) the first $245 is allocated to the MSL class, which results in no increase in rates for that class, and (2) the remaining $16,930 ($17,175 - $245) be applied to the CS rate class, resulting in an overall CS class increase of $124,378 ($141,308 - $16,930).  R.D. at 101-102 (citing I&amp;E St. 3 at 26-27).  </w:t>
      </w:r>
    </w:p>
    <w:p w14:paraId="73C6DA29" w14:textId="77777777" w:rsidR="00480477" w:rsidRPr="0029160A" w:rsidRDefault="00480477" w:rsidP="00CB0B2E">
      <w:pPr>
        <w:widowControl/>
        <w:spacing w:line="360" w:lineRule="auto"/>
        <w:ind w:firstLine="1440"/>
        <w:rPr>
          <w:color w:val="000000" w:themeColor="text1"/>
          <w:szCs w:val="26"/>
        </w:rPr>
      </w:pPr>
    </w:p>
    <w:p w14:paraId="2EAC4F9B" w14:textId="2674FDFD" w:rsidR="00FB0ADA" w:rsidRPr="0029160A" w:rsidRDefault="00480477" w:rsidP="00CB0B2E">
      <w:pPr>
        <w:widowControl/>
        <w:spacing w:line="360" w:lineRule="auto"/>
        <w:ind w:firstLine="1440"/>
        <w:rPr>
          <w:color w:val="000000" w:themeColor="text1"/>
          <w:szCs w:val="26"/>
        </w:rPr>
      </w:pPr>
      <w:r w:rsidRPr="0029160A">
        <w:rPr>
          <w:color w:val="000000" w:themeColor="text1"/>
          <w:szCs w:val="26"/>
        </w:rPr>
        <w:t>I&amp;E witness Cline acknowledged that while his recommendation did not move the POL class towards a relative rate of return of 1.0 as much as Wellsboro’s proposal, the movement from 12.46 under present rates to 3.54 still represented a significant movement and it is for this reason and the benefit to the CS and MSL rate classes that I&amp;E feels its recommendation is more reasonable than Wellsboro’s proposed allocation.  R.D. at 102.</w:t>
      </w:r>
    </w:p>
    <w:p w14:paraId="2376B8C3" w14:textId="77777777" w:rsidR="00D72D1C" w:rsidRPr="0029160A" w:rsidRDefault="00D72D1C" w:rsidP="00B457F0">
      <w:pPr>
        <w:widowControl/>
        <w:spacing w:line="360" w:lineRule="auto"/>
        <w:rPr>
          <w:color w:val="000000" w:themeColor="text1"/>
          <w:szCs w:val="26"/>
        </w:rPr>
      </w:pPr>
    </w:p>
    <w:p w14:paraId="1C9AE74F" w14:textId="77777777" w:rsidR="00D72D1C" w:rsidRPr="0029160A" w:rsidRDefault="00D72D1C" w:rsidP="00CB0B2E">
      <w:pPr>
        <w:pStyle w:val="Heading4"/>
        <w:ind w:hanging="720"/>
        <w:rPr>
          <w:color w:val="000000" w:themeColor="text1"/>
        </w:rPr>
      </w:pPr>
      <w:bookmarkStart w:id="161" w:name="_Toc38951816"/>
      <w:r w:rsidRPr="0029160A">
        <w:rPr>
          <w:color w:val="000000" w:themeColor="text1"/>
        </w:rPr>
        <w:t>Recommended Decision</w:t>
      </w:r>
      <w:bookmarkEnd w:id="161"/>
    </w:p>
    <w:p w14:paraId="7DA88CB3" w14:textId="77777777" w:rsidR="00D72D1C" w:rsidRPr="0029160A" w:rsidRDefault="00D72D1C" w:rsidP="00B457F0">
      <w:pPr>
        <w:widowControl/>
        <w:spacing w:line="360" w:lineRule="auto"/>
        <w:rPr>
          <w:color w:val="000000" w:themeColor="text1"/>
          <w:szCs w:val="26"/>
        </w:rPr>
      </w:pPr>
    </w:p>
    <w:p w14:paraId="462AA869" w14:textId="77777777" w:rsidR="00FB0ADA" w:rsidRPr="0029160A" w:rsidRDefault="002D689C" w:rsidP="00B457F0">
      <w:pPr>
        <w:widowControl/>
        <w:spacing w:line="360" w:lineRule="auto"/>
        <w:ind w:firstLine="1440"/>
        <w:rPr>
          <w:color w:val="000000" w:themeColor="text1"/>
          <w:szCs w:val="26"/>
        </w:rPr>
      </w:pPr>
      <w:r w:rsidRPr="0029160A">
        <w:rPr>
          <w:color w:val="000000" w:themeColor="text1"/>
        </w:rPr>
        <w:t xml:space="preserve">The ALJs explained that the primary goal in revenue allocation is to have rates reflect the actual cost of service to the various customer classes.  R.D. at 92 (citing </w:t>
      </w:r>
      <w:r w:rsidRPr="0029160A">
        <w:rPr>
          <w:i/>
          <w:iCs/>
          <w:color w:val="000000" w:themeColor="text1"/>
        </w:rPr>
        <w:t>L</w:t>
      </w:r>
      <w:bookmarkStart w:id="162" w:name="_BA_Cite_DB3ABF_000131"/>
      <w:bookmarkEnd w:id="162"/>
      <w:r w:rsidRPr="0029160A">
        <w:rPr>
          <w:i/>
          <w:iCs/>
          <w:color w:val="000000" w:themeColor="text1"/>
        </w:rPr>
        <w:t>loyd</w:t>
      </w:r>
      <w:r w:rsidRPr="0029160A">
        <w:rPr>
          <w:color w:val="000000" w:themeColor="text1"/>
        </w:rPr>
        <w:t xml:space="preserve">).  A proposed revenue allocation will only be found to be reasonable if it moves distribution rates for each class closer to the full cost of providing service.  R.D. at 92-93 (citing </w:t>
      </w:r>
      <w:r w:rsidRPr="0029160A">
        <w:rPr>
          <w:i/>
          <w:color w:val="000000" w:themeColor="text1"/>
        </w:rPr>
        <w:t>Pa. PUC v. PPL Electric Utilities Corp.</w:t>
      </w:r>
      <w:r w:rsidRPr="0029160A">
        <w:rPr>
          <w:iCs/>
          <w:color w:val="000000" w:themeColor="text1"/>
        </w:rPr>
        <w:t>,</w:t>
      </w:r>
      <w:r w:rsidRPr="0029160A">
        <w:rPr>
          <w:color w:val="000000" w:themeColor="text1"/>
        </w:rPr>
        <w:t xml:space="preserve"> Docket Nos. R-00049255, 2007 Pa. PUC </w:t>
      </w:r>
      <w:r w:rsidRPr="0029160A">
        <w:rPr>
          <w:color w:val="000000" w:themeColor="text1"/>
        </w:rPr>
        <w:lastRenderedPageBreak/>
        <w:t>LEXIS 55 (Order on Remand entered July 25, 2007) (</w:t>
      </w:r>
      <w:r w:rsidRPr="0029160A">
        <w:rPr>
          <w:i/>
          <w:iCs/>
          <w:color w:val="000000" w:themeColor="text1"/>
        </w:rPr>
        <w:t>2007 PPL Order</w:t>
      </w:r>
      <w:r w:rsidRPr="0029160A">
        <w:rPr>
          <w:color w:val="000000" w:themeColor="text1"/>
        </w:rPr>
        <w:t xml:space="preserve">)).  Factors such as gradualism, rate shock, rate continuity, competitive concerns, and principles of fundamental fairness must also weigh in the determination.  R.D. at 93 (citing </w:t>
      </w:r>
      <w:r w:rsidRPr="0029160A">
        <w:rPr>
          <w:i/>
          <w:iCs/>
          <w:color w:val="000000" w:themeColor="text1"/>
        </w:rPr>
        <w:t>L</w:t>
      </w:r>
      <w:bookmarkStart w:id="163" w:name="_BA_Cite_DB3ABF_000237"/>
      <w:bookmarkEnd w:id="163"/>
      <w:r w:rsidRPr="0029160A">
        <w:rPr>
          <w:i/>
          <w:iCs/>
          <w:color w:val="000000" w:themeColor="text1"/>
        </w:rPr>
        <w:t>loyd</w:t>
      </w:r>
      <w:r w:rsidRPr="0029160A">
        <w:rPr>
          <w:color w:val="000000" w:themeColor="text1"/>
        </w:rPr>
        <w:t xml:space="preserve"> at 1020-1021).  In </w:t>
      </w:r>
      <w:r w:rsidRPr="0029160A">
        <w:rPr>
          <w:i/>
          <w:iCs/>
          <w:color w:val="000000" w:themeColor="text1"/>
        </w:rPr>
        <w:t>C</w:t>
      </w:r>
      <w:bookmarkStart w:id="164" w:name="_BA_Cite_DB3ABF_000238"/>
      <w:bookmarkEnd w:id="164"/>
      <w:r w:rsidRPr="0029160A">
        <w:rPr>
          <w:i/>
          <w:iCs/>
          <w:color w:val="000000" w:themeColor="text1"/>
        </w:rPr>
        <w:t>ity of DuBois</w:t>
      </w:r>
      <w:r w:rsidRPr="0029160A">
        <w:rPr>
          <w:color w:val="000000" w:themeColor="text1"/>
        </w:rPr>
        <w:t xml:space="preserve">, the Commission stated that “while </w:t>
      </w:r>
      <w:r w:rsidRPr="0029160A">
        <w:rPr>
          <w:i/>
          <w:color w:val="000000" w:themeColor="text1"/>
        </w:rPr>
        <w:t>L</w:t>
      </w:r>
      <w:bookmarkStart w:id="165" w:name="_BA_Cite_DB3ABF_000239"/>
      <w:bookmarkEnd w:id="165"/>
      <w:r w:rsidRPr="0029160A">
        <w:rPr>
          <w:i/>
          <w:color w:val="000000" w:themeColor="text1"/>
        </w:rPr>
        <w:t xml:space="preserve">loyd </w:t>
      </w:r>
      <w:r w:rsidRPr="0029160A">
        <w:rPr>
          <w:color w:val="000000" w:themeColor="text1"/>
        </w:rPr>
        <w:t xml:space="preserve">establishes cost of </w:t>
      </w:r>
      <w:r w:rsidRPr="0029160A">
        <w:rPr>
          <w:color w:val="000000" w:themeColor="text1"/>
          <w:szCs w:val="26"/>
        </w:rPr>
        <w:t xml:space="preserve">service rates as the polestar of ratemaking, it does not preclude consideration of other factors.”  R.D. at 93 (citing </w:t>
      </w:r>
      <w:r w:rsidRPr="0029160A">
        <w:rPr>
          <w:i/>
          <w:iCs/>
          <w:color w:val="000000" w:themeColor="text1"/>
          <w:szCs w:val="26"/>
        </w:rPr>
        <w:t>P</w:t>
      </w:r>
      <w:bookmarkStart w:id="166" w:name="_BA_Cite_DB3ABF_000133"/>
      <w:bookmarkEnd w:id="166"/>
      <w:r w:rsidRPr="0029160A">
        <w:rPr>
          <w:i/>
          <w:iCs/>
          <w:color w:val="000000" w:themeColor="text1"/>
          <w:szCs w:val="26"/>
        </w:rPr>
        <w:t>a. PUC v. City of DuBois</w:t>
      </w:r>
      <w:r w:rsidRPr="0029160A">
        <w:rPr>
          <w:color w:val="000000" w:themeColor="text1"/>
          <w:szCs w:val="26"/>
        </w:rPr>
        <w:t>, Docket No. R-2016-2554150, slip. op. at 26 (May 18, 2017))</w:t>
      </w:r>
      <w:r w:rsidR="00FB0ADA" w:rsidRPr="0029160A">
        <w:rPr>
          <w:color w:val="000000" w:themeColor="text1"/>
          <w:szCs w:val="26"/>
        </w:rPr>
        <w:t>.</w:t>
      </w:r>
      <w:r w:rsidR="00A33410" w:rsidRPr="0029160A">
        <w:rPr>
          <w:color w:val="000000" w:themeColor="text1"/>
          <w:szCs w:val="26"/>
        </w:rPr>
        <w:t xml:space="preserve"> </w:t>
      </w:r>
    </w:p>
    <w:p w14:paraId="6D8BA7DF" w14:textId="77777777" w:rsidR="00FB0ADA" w:rsidRPr="0029160A" w:rsidRDefault="00FB0ADA">
      <w:pPr>
        <w:widowControl/>
        <w:spacing w:line="360" w:lineRule="auto"/>
        <w:ind w:firstLine="1440"/>
        <w:rPr>
          <w:color w:val="000000" w:themeColor="text1"/>
          <w:szCs w:val="26"/>
        </w:rPr>
      </w:pPr>
    </w:p>
    <w:p w14:paraId="21B40D26" w14:textId="431316FC" w:rsidR="00A33410" w:rsidRPr="0029160A" w:rsidRDefault="00FB0ADA">
      <w:pPr>
        <w:widowControl/>
        <w:spacing w:line="360" w:lineRule="auto"/>
        <w:ind w:firstLine="1440"/>
        <w:rPr>
          <w:color w:val="000000" w:themeColor="text1"/>
          <w:szCs w:val="26"/>
        </w:rPr>
      </w:pPr>
      <w:r w:rsidRPr="0029160A">
        <w:rPr>
          <w:rFonts w:eastAsiaTheme="minorHAnsi"/>
          <w:color w:val="000000" w:themeColor="text1"/>
          <w:szCs w:val="26"/>
        </w:rPr>
        <w:t>The ALJs stated that the foregoing</w:t>
      </w:r>
      <w:r w:rsidR="00A33410" w:rsidRPr="0029160A">
        <w:rPr>
          <w:rFonts w:eastAsiaTheme="minorHAnsi"/>
          <w:color w:val="000000" w:themeColor="text1"/>
          <w:szCs w:val="26"/>
        </w:rPr>
        <w:t xml:space="preserve"> conclusion is corroborated by the Commission’s previous decision in the </w:t>
      </w:r>
      <w:r w:rsidR="00A33410" w:rsidRPr="0029160A">
        <w:rPr>
          <w:rFonts w:eastAsiaTheme="minorHAnsi"/>
          <w:i/>
          <w:iCs/>
          <w:color w:val="000000" w:themeColor="text1"/>
          <w:szCs w:val="26"/>
        </w:rPr>
        <w:t>UGI Order</w:t>
      </w:r>
      <w:r w:rsidR="00A33410" w:rsidRPr="0029160A">
        <w:rPr>
          <w:rFonts w:eastAsiaTheme="minorHAnsi"/>
          <w:color w:val="000000" w:themeColor="text1"/>
          <w:szCs w:val="26"/>
        </w:rPr>
        <w:t xml:space="preserve">, wherein </w:t>
      </w:r>
      <w:r w:rsidR="00CD42E2" w:rsidRPr="0029160A">
        <w:rPr>
          <w:rFonts w:eastAsiaTheme="minorHAnsi"/>
          <w:color w:val="000000" w:themeColor="text1"/>
          <w:szCs w:val="26"/>
        </w:rPr>
        <w:t xml:space="preserve">the </w:t>
      </w:r>
      <w:r w:rsidR="00A33410" w:rsidRPr="0029160A">
        <w:rPr>
          <w:rFonts w:eastAsiaTheme="minorHAnsi"/>
          <w:color w:val="000000" w:themeColor="text1"/>
          <w:szCs w:val="26"/>
        </w:rPr>
        <w:t>OCA opposed a decrease to non-residential class GS-4</w:t>
      </w:r>
      <w:r w:rsidR="00B457F0" w:rsidRPr="0029160A">
        <w:rPr>
          <w:rFonts w:eastAsiaTheme="minorHAnsi"/>
          <w:color w:val="000000" w:themeColor="text1"/>
          <w:szCs w:val="26"/>
        </w:rPr>
        <w:t>,</w:t>
      </w:r>
      <w:r w:rsidR="002F3B4E" w:rsidRPr="0029160A">
        <w:rPr>
          <w:rStyle w:val="FootnoteReference"/>
          <w:rFonts w:eastAsiaTheme="minorHAnsi"/>
          <w:color w:val="000000" w:themeColor="text1"/>
          <w:szCs w:val="26"/>
        </w:rPr>
        <w:footnoteReference w:id="16"/>
      </w:r>
      <w:r w:rsidR="00A33410" w:rsidRPr="0029160A">
        <w:rPr>
          <w:rFonts w:eastAsiaTheme="minorHAnsi"/>
          <w:color w:val="000000" w:themeColor="text1"/>
          <w:szCs w:val="26"/>
        </w:rPr>
        <w:t xml:space="preserve"> arguing that there should be no decrease for any class while rates are increasing.</w:t>
      </w:r>
      <w:r w:rsidRPr="0029160A">
        <w:rPr>
          <w:rFonts w:eastAsiaTheme="minorHAnsi"/>
          <w:color w:val="000000" w:themeColor="text1"/>
          <w:szCs w:val="26"/>
        </w:rPr>
        <w:t xml:space="preserve">  R.D. at 103 (citing </w:t>
      </w:r>
      <w:r w:rsidR="00A33410" w:rsidRPr="0029160A">
        <w:rPr>
          <w:rFonts w:eastAsiaTheme="minorHAnsi"/>
          <w:i/>
          <w:iCs/>
          <w:color w:val="000000" w:themeColor="text1"/>
          <w:szCs w:val="26"/>
        </w:rPr>
        <w:t>UGI Order</w:t>
      </w:r>
      <w:r w:rsidR="00A33410" w:rsidRPr="0029160A">
        <w:rPr>
          <w:rFonts w:eastAsiaTheme="minorHAnsi"/>
          <w:color w:val="000000" w:themeColor="text1"/>
          <w:szCs w:val="26"/>
        </w:rPr>
        <w:t xml:space="preserve"> at 163</w:t>
      </w:r>
      <w:r w:rsidRPr="0029160A">
        <w:rPr>
          <w:rFonts w:eastAsiaTheme="minorHAnsi"/>
          <w:color w:val="000000" w:themeColor="text1"/>
          <w:szCs w:val="26"/>
        </w:rPr>
        <w:t>)</w:t>
      </w:r>
      <w:r w:rsidR="00A33410" w:rsidRPr="0029160A">
        <w:rPr>
          <w:rFonts w:eastAsiaTheme="minorHAnsi"/>
          <w:color w:val="000000" w:themeColor="text1"/>
          <w:szCs w:val="26"/>
        </w:rPr>
        <w:t xml:space="preserve">.  However, in the </w:t>
      </w:r>
      <w:r w:rsidR="00A33410" w:rsidRPr="0029160A">
        <w:rPr>
          <w:rFonts w:eastAsiaTheme="minorHAnsi"/>
          <w:i/>
          <w:iCs/>
          <w:color w:val="000000" w:themeColor="text1"/>
          <w:szCs w:val="26"/>
        </w:rPr>
        <w:t>UGI Order</w:t>
      </w:r>
      <w:r w:rsidR="00A33410" w:rsidRPr="0029160A">
        <w:rPr>
          <w:rFonts w:eastAsiaTheme="minorHAnsi"/>
          <w:color w:val="000000" w:themeColor="text1"/>
          <w:szCs w:val="26"/>
        </w:rPr>
        <w:t xml:space="preserve">, the ALJs </w:t>
      </w:r>
      <w:r w:rsidR="00B457F0" w:rsidRPr="0029160A">
        <w:rPr>
          <w:rFonts w:eastAsiaTheme="minorHAnsi"/>
          <w:color w:val="000000" w:themeColor="text1"/>
          <w:szCs w:val="26"/>
        </w:rPr>
        <w:t>“</w:t>
      </w:r>
      <w:r w:rsidR="00A33410" w:rsidRPr="0029160A">
        <w:rPr>
          <w:rFonts w:eastAsiaTheme="minorHAnsi"/>
          <w:color w:val="000000" w:themeColor="text1"/>
          <w:szCs w:val="26"/>
        </w:rPr>
        <w:t>determined that UGI</w:t>
      </w:r>
      <w:r w:rsidR="00725EEC" w:rsidRPr="0029160A">
        <w:rPr>
          <w:rFonts w:eastAsiaTheme="minorHAnsi"/>
          <w:color w:val="000000" w:themeColor="text1"/>
          <w:szCs w:val="26"/>
        </w:rPr>
        <w:t>’</w:t>
      </w:r>
      <w:r w:rsidR="00A33410" w:rsidRPr="0029160A">
        <w:rPr>
          <w:rFonts w:eastAsiaTheme="minorHAnsi"/>
          <w:color w:val="000000" w:themeColor="text1"/>
          <w:szCs w:val="26"/>
        </w:rPr>
        <w:t>s proposed revenue requirement allocation among the various rate classes achieves significant progress in moving rate classes toward the system average of relative rate of return.</w:t>
      </w:r>
      <w:r w:rsidR="00B457F0" w:rsidRPr="0029160A">
        <w:rPr>
          <w:rFonts w:eastAsiaTheme="minorHAnsi"/>
          <w:color w:val="000000" w:themeColor="text1"/>
          <w:szCs w:val="26"/>
        </w:rPr>
        <w:t>”</w:t>
      </w:r>
      <w:r w:rsidR="00A33410" w:rsidRPr="0029160A">
        <w:rPr>
          <w:rFonts w:eastAsiaTheme="minorHAnsi"/>
          <w:color w:val="000000" w:themeColor="text1"/>
          <w:szCs w:val="26"/>
        </w:rPr>
        <w:t xml:space="preserve">  </w:t>
      </w:r>
      <w:r w:rsidRPr="0029160A">
        <w:rPr>
          <w:rFonts w:eastAsiaTheme="minorHAnsi"/>
          <w:i/>
          <w:iCs/>
          <w:color w:val="000000" w:themeColor="text1"/>
          <w:szCs w:val="26"/>
        </w:rPr>
        <w:t>UGI Order</w:t>
      </w:r>
      <w:r w:rsidRPr="0029160A">
        <w:rPr>
          <w:rFonts w:eastAsiaTheme="minorHAnsi"/>
          <w:color w:val="000000" w:themeColor="text1"/>
          <w:szCs w:val="26"/>
        </w:rPr>
        <w:t xml:space="preserve"> at 164.  </w:t>
      </w:r>
      <w:r w:rsidR="00A33410" w:rsidRPr="0029160A">
        <w:rPr>
          <w:rFonts w:eastAsiaTheme="minorHAnsi"/>
          <w:color w:val="000000" w:themeColor="text1"/>
          <w:szCs w:val="26"/>
        </w:rPr>
        <w:t>The Commission adopted the ALJs</w:t>
      </w:r>
      <w:r w:rsidR="00B457F0" w:rsidRPr="0029160A">
        <w:rPr>
          <w:rFonts w:eastAsiaTheme="minorHAnsi"/>
          <w:color w:val="000000" w:themeColor="text1"/>
          <w:szCs w:val="26"/>
        </w:rPr>
        <w:t>’</w:t>
      </w:r>
      <w:r w:rsidR="00A33410" w:rsidRPr="0029160A">
        <w:rPr>
          <w:rFonts w:eastAsiaTheme="minorHAnsi"/>
          <w:color w:val="000000" w:themeColor="text1"/>
          <w:szCs w:val="26"/>
        </w:rPr>
        <w:t xml:space="preserve"> recommendation and approved UGI</w:t>
      </w:r>
      <w:r w:rsidR="00B457F0" w:rsidRPr="0029160A">
        <w:rPr>
          <w:rFonts w:eastAsiaTheme="minorHAnsi"/>
          <w:color w:val="000000" w:themeColor="text1"/>
          <w:szCs w:val="26"/>
        </w:rPr>
        <w:t>’</w:t>
      </w:r>
      <w:r w:rsidR="00A33410" w:rsidRPr="0029160A">
        <w:rPr>
          <w:rFonts w:eastAsiaTheme="minorHAnsi"/>
          <w:color w:val="000000" w:themeColor="text1"/>
          <w:szCs w:val="26"/>
        </w:rPr>
        <w:t xml:space="preserve">s revenue allocation, including the decrease for GS-4. </w:t>
      </w:r>
      <w:r w:rsidRPr="0029160A">
        <w:rPr>
          <w:rFonts w:eastAsiaTheme="minorHAnsi"/>
          <w:color w:val="000000" w:themeColor="text1"/>
          <w:szCs w:val="26"/>
        </w:rPr>
        <w:t xml:space="preserve"> R.D. at 103-104 (citing </w:t>
      </w:r>
      <w:r w:rsidR="00A33410" w:rsidRPr="0029160A">
        <w:rPr>
          <w:rFonts w:eastAsiaTheme="minorHAnsi"/>
          <w:color w:val="000000" w:themeColor="text1"/>
          <w:szCs w:val="26"/>
        </w:rPr>
        <w:t>Wellsboro M</w:t>
      </w:r>
      <w:r w:rsidRPr="0029160A">
        <w:rPr>
          <w:rFonts w:eastAsiaTheme="minorHAnsi"/>
          <w:color w:val="000000" w:themeColor="text1"/>
          <w:szCs w:val="26"/>
        </w:rPr>
        <w:t>.B.</w:t>
      </w:r>
      <w:r w:rsidR="00A33410" w:rsidRPr="0029160A">
        <w:rPr>
          <w:rFonts w:eastAsiaTheme="minorHAnsi"/>
          <w:color w:val="000000" w:themeColor="text1"/>
          <w:szCs w:val="26"/>
        </w:rPr>
        <w:t xml:space="preserve"> at 101</w:t>
      </w:r>
      <w:r w:rsidRPr="0029160A">
        <w:rPr>
          <w:rFonts w:eastAsiaTheme="minorHAnsi"/>
          <w:color w:val="000000" w:themeColor="text1"/>
          <w:szCs w:val="26"/>
        </w:rPr>
        <w:t>)</w:t>
      </w:r>
      <w:r w:rsidR="00A33410" w:rsidRPr="0029160A">
        <w:rPr>
          <w:rFonts w:eastAsiaTheme="minorHAnsi"/>
          <w:color w:val="000000" w:themeColor="text1"/>
          <w:szCs w:val="26"/>
        </w:rPr>
        <w:t>.  Revenue allocation is the result of several factors which must be considered and balanced.</w:t>
      </w:r>
      <w:r w:rsidRPr="0029160A">
        <w:rPr>
          <w:rFonts w:eastAsiaTheme="minorHAnsi"/>
          <w:color w:val="000000" w:themeColor="text1"/>
          <w:szCs w:val="26"/>
        </w:rPr>
        <w:t xml:space="preserve">  R.D. at 104.</w:t>
      </w:r>
    </w:p>
    <w:p w14:paraId="13693D74" w14:textId="77777777" w:rsidR="002D689C" w:rsidRPr="0029160A" w:rsidRDefault="002D689C">
      <w:pPr>
        <w:widowControl/>
        <w:spacing w:line="360" w:lineRule="auto"/>
        <w:rPr>
          <w:color w:val="000000" w:themeColor="text1"/>
          <w:szCs w:val="26"/>
        </w:rPr>
      </w:pPr>
    </w:p>
    <w:p w14:paraId="47674C07" w14:textId="131524DC" w:rsidR="0095457E" w:rsidRPr="0029160A" w:rsidRDefault="0095457E" w:rsidP="00B457F0">
      <w:pPr>
        <w:widowControl/>
        <w:spacing w:line="360" w:lineRule="auto"/>
        <w:ind w:firstLine="1440"/>
        <w:rPr>
          <w:color w:val="000000" w:themeColor="text1"/>
          <w:szCs w:val="26"/>
        </w:rPr>
      </w:pPr>
      <w:r w:rsidRPr="0029160A">
        <w:rPr>
          <w:color w:val="000000" w:themeColor="text1"/>
          <w:szCs w:val="26"/>
        </w:rPr>
        <w:t xml:space="preserve">The ALJs recommended adoption of I&amp;E’s revenue allocation proposal because the ALJs found it most closely reflects the actual cost of service for the various customer classes, most reasonably moves distribution rates for each class closer to the full cost of providing service and most thoroughly considers factors such as gradualism, rate shock, rate continuity, and fundamental fairness.  The ALJs found the movement for the rate schedule POL from 12.46 to 3.54 under I&amp;E’s proposal appropriately moves this rate class toward cost of service.  While the ALJs agreed with Wellsboro on the general principle that rates may decrease where justified by cost-of-service and other ratemaking </w:t>
      </w:r>
      <w:r w:rsidRPr="0029160A">
        <w:rPr>
          <w:color w:val="000000" w:themeColor="text1"/>
          <w:szCs w:val="26"/>
        </w:rPr>
        <w:lastRenderedPageBreak/>
        <w:t>factors, the ALJs rejected Wellsboro’s proposed revenue allocation method and proposed rate decrease for Rate POL because it meant rate schedules CS an</w:t>
      </w:r>
      <w:r w:rsidR="005D239D" w:rsidRPr="0029160A">
        <w:rPr>
          <w:color w:val="000000" w:themeColor="text1"/>
          <w:szCs w:val="26"/>
        </w:rPr>
        <w:t>d</w:t>
      </w:r>
      <w:r w:rsidRPr="0029160A">
        <w:rPr>
          <w:color w:val="000000" w:themeColor="text1"/>
          <w:szCs w:val="26"/>
        </w:rPr>
        <w:t xml:space="preserve"> MSL would receive rate increases resulting in relative rates of return above 1.0 at proposed rates.  The ALJs also rejected the OCA’s proposed revenue allocation on the basis that it would provide relief to classes whose relative rates of return are already below 1.0 and therefore not generate sufficient revenue to recover the costs the utility spends to serve those classes.  R.D. at 103-105.</w:t>
      </w:r>
    </w:p>
    <w:p w14:paraId="60DC8DEB" w14:textId="77777777" w:rsidR="00D72D1C" w:rsidRPr="0029160A" w:rsidRDefault="00D72D1C" w:rsidP="00B457F0">
      <w:pPr>
        <w:widowControl/>
        <w:spacing w:line="360" w:lineRule="auto"/>
        <w:rPr>
          <w:color w:val="000000" w:themeColor="text1"/>
          <w:szCs w:val="26"/>
        </w:rPr>
      </w:pPr>
    </w:p>
    <w:p w14:paraId="083D675C" w14:textId="77777777" w:rsidR="00D72D1C" w:rsidRPr="0029160A" w:rsidRDefault="0095457E" w:rsidP="00CB0B2E">
      <w:pPr>
        <w:pStyle w:val="Heading4"/>
        <w:keepNext/>
        <w:keepLines/>
        <w:ind w:hanging="720"/>
        <w:contextualSpacing w:val="0"/>
        <w:rPr>
          <w:color w:val="000000" w:themeColor="text1"/>
        </w:rPr>
      </w:pPr>
      <w:bookmarkStart w:id="167" w:name="_Toc38951817"/>
      <w:r w:rsidRPr="0029160A">
        <w:rPr>
          <w:color w:val="000000" w:themeColor="text1"/>
        </w:rPr>
        <w:t>Wellsboro Exc</w:t>
      </w:r>
      <w:r w:rsidR="00312B42" w:rsidRPr="0029160A">
        <w:rPr>
          <w:color w:val="000000" w:themeColor="text1"/>
        </w:rPr>
        <w:t>eption</w:t>
      </w:r>
      <w:r w:rsidRPr="0029160A">
        <w:rPr>
          <w:color w:val="000000" w:themeColor="text1"/>
        </w:rPr>
        <w:t xml:space="preserve"> No. 9</w:t>
      </w:r>
      <w:r w:rsidR="00312B42" w:rsidRPr="0029160A">
        <w:rPr>
          <w:color w:val="000000" w:themeColor="text1"/>
        </w:rPr>
        <w:t>,</w:t>
      </w:r>
      <w:r w:rsidRPr="0029160A">
        <w:rPr>
          <w:color w:val="000000" w:themeColor="text1"/>
        </w:rPr>
        <w:t xml:space="preserve"> OCA Exc</w:t>
      </w:r>
      <w:r w:rsidR="00312B42" w:rsidRPr="0029160A">
        <w:rPr>
          <w:color w:val="000000" w:themeColor="text1"/>
        </w:rPr>
        <w:t>eption</w:t>
      </w:r>
      <w:r w:rsidRPr="0029160A">
        <w:rPr>
          <w:color w:val="000000" w:themeColor="text1"/>
        </w:rPr>
        <w:t xml:space="preserve"> No. 10</w:t>
      </w:r>
      <w:r w:rsidR="00312B42" w:rsidRPr="0029160A">
        <w:rPr>
          <w:color w:val="000000" w:themeColor="text1"/>
        </w:rPr>
        <w:t xml:space="preserve"> and Replies</w:t>
      </w:r>
      <w:bookmarkEnd w:id="167"/>
    </w:p>
    <w:p w14:paraId="36B2F8FB" w14:textId="77777777" w:rsidR="0095457E" w:rsidRPr="0029160A" w:rsidRDefault="0095457E" w:rsidP="00B457F0">
      <w:pPr>
        <w:keepNext/>
        <w:keepLines/>
        <w:widowControl/>
        <w:spacing w:line="360" w:lineRule="auto"/>
        <w:rPr>
          <w:color w:val="000000" w:themeColor="text1"/>
          <w:szCs w:val="26"/>
        </w:rPr>
      </w:pPr>
    </w:p>
    <w:p w14:paraId="0B0696BE" w14:textId="45CDA4D8" w:rsidR="0095457E" w:rsidRPr="0029160A" w:rsidRDefault="0095457E" w:rsidP="00B457F0">
      <w:pPr>
        <w:widowControl/>
        <w:spacing w:line="360" w:lineRule="auto"/>
        <w:ind w:firstLine="1440"/>
        <w:rPr>
          <w:color w:val="000000" w:themeColor="text1"/>
          <w:szCs w:val="26"/>
        </w:rPr>
      </w:pPr>
      <w:r w:rsidRPr="0029160A">
        <w:rPr>
          <w:color w:val="000000" w:themeColor="text1"/>
          <w:szCs w:val="26"/>
        </w:rPr>
        <w:t>In Wellsboro Exception No. 9, Wellsboro contends that the ALJs erred in approving I&amp;E’s revenue allocation method because it fails to adequately move all customers toward cost</w:t>
      </w:r>
      <w:r w:rsidR="000A2948" w:rsidRPr="0029160A">
        <w:rPr>
          <w:color w:val="000000" w:themeColor="text1"/>
          <w:szCs w:val="26"/>
        </w:rPr>
        <w:t>-</w:t>
      </w:r>
      <w:r w:rsidRPr="0029160A">
        <w:rPr>
          <w:color w:val="000000" w:themeColor="text1"/>
          <w:szCs w:val="26"/>
        </w:rPr>
        <w:t>of</w:t>
      </w:r>
      <w:r w:rsidR="000A2948" w:rsidRPr="0029160A">
        <w:rPr>
          <w:color w:val="000000" w:themeColor="text1"/>
          <w:szCs w:val="26"/>
        </w:rPr>
        <w:t>-</w:t>
      </w:r>
      <w:r w:rsidRPr="0029160A">
        <w:rPr>
          <w:color w:val="000000" w:themeColor="text1"/>
          <w:szCs w:val="26"/>
        </w:rPr>
        <w:t>service rates and erred in rejecting the Company’s proposed revenue allocation, which included a rate decrease for rate schedule POL customers.  Wellsboro provides that with a relative rate of return of 12.42 under present rates, rate schedule POL should receive as much rate relief as reasonably possible.  The Company asserts that its proposal brings Rate POL as close to cost</w:t>
      </w:r>
      <w:r w:rsidR="000A2948" w:rsidRPr="0029160A">
        <w:rPr>
          <w:color w:val="000000" w:themeColor="text1"/>
          <w:szCs w:val="26"/>
        </w:rPr>
        <w:t>-</w:t>
      </w:r>
      <w:r w:rsidRPr="0029160A">
        <w:rPr>
          <w:color w:val="000000" w:themeColor="text1"/>
          <w:szCs w:val="26"/>
        </w:rPr>
        <w:t>of-service as possible without subjecting other rate schedules to rate shock.  Accordingly, Wellsboro requests the Commission reject the ALJs’ recommendation and approve the Company’s proposed revenue allocation.  Wellsboro Exc. at 22-23 (citing Wellsboro M.B. at 100-101).</w:t>
      </w:r>
    </w:p>
    <w:p w14:paraId="16D1BD89" w14:textId="77777777" w:rsidR="0095457E" w:rsidRPr="0029160A" w:rsidRDefault="0095457E" w:rsidP="00CB0B2E">
      <w:pPr>
        <w:widowControl/>
        <w:spacing w:line="360" w:lineRule="auto"/>
        <w:rPr>
          <w:color w:val="000000" w:themeColor="text1"/>
          <w:szCs w:val="26"/>
        </w:rPr>
      </w:pPr>
    </w:p>
    <w:p w14:paraId="0760E154" w14:textId="2EDC6915" w:rsidR="0095457E" w:rsidRPr="0029160A" w:rsidRDefault="0095457E" w:rsidP="00CB0B2E">
      <w:pPr>
        <w:widowControl/>
        <w:spacing w:line="360" w:lineRule="auto"/>
        <w:ind w:firstLine="1440"/>
        <w:rPr>
          <w:color w:val="000000" w:themeColor="text1"/>
          <w:szCs w:val="26"/>
        </w:rPr>
      </w:pPr>
      <w:r w:rsidRPr="0029160A">
        <w:rPr>
          <w:color w:val="000000" w:themeColor="text1"/>
          <w:szCs w:val="26"/>
        </w:rPr>
        <w:t>In the OCA’s Replies to Wellsboro Exception No. 9, the OCA submits the ALJs correctly denied the Company’s proposed revenue allocation to include a rate decrease for the POL rate class.  The OCA re-emphasizes that its proposed revenue allocation would move all customers closer to the cost</w:t>
      </w:r>
      <w:r w:rsidR="00935FDC" w:rsidRPr="0029160A">
        <w:rPr>
          <w:color w:val="000000" w:themeColor="text1"/>
          <w:szCs w:val="26"/>
        </w:rPr>
        <w:t>-</w:t>
      </w:r>
      <w:r w:rsidRPr="0029160A">
        <w:rPr>
          <w:color w:val="000000" w:themeColor="text1"/>
          <w:szCs w:val="26"/>
        </w:rPr>
        <w:t>of</w:t>
      </w:r>
      <w:r w:rsidR="00935FDC" w:rsidRPr="0029160A">
        <w:rPr>
          <w:color w:val="000000" w:themeColor="text1"/>
          <w:szCs w:val="26"/>
        </w:rPr>
        <w:t>-</w:t>
      </w:r>
      <w:r w:rsidRPr="0029160A">
        <w:rPr>
          <w:color w:val="000000" w:themeColor="text1"/>
          <w:szCs w:val="26"/>
        </w:rPr>
        <w:t>service and the POL rate class revenues would remain unchanged while moving closer to the</w:t>
      </w:r>
      <w:r w:rsidR="004F26EC" w:rsidRPr="0029160A">
        <w:rPr>
          <w:color w:val="000000" w:themeColor="text1"/>
          <w:szCs w:val="26"/>
        </w:rPr>
        <w:t xml:space="preserve"> cost</w:t>
      </w:r>
      <w:r w:rsidR="0071128B" w:rsidRPr="0029160A">
        <w:rPr>
          <w:color w:val="000000" w:themeColor="text1"/>
          <w:szCs w:val="26"/>
        </w:rPr>
        <w:t>-</w:t>
      </w:r>
      <w:r w:rsidR="004F26EC" w:rsidRPr="0029160A">
        <w:rPr>
          <w:color w:val="000000" w:themeColor="text1"/>
          <w:szCs w:val="26"/>
        </w:rPr>
        <w:t>of</w:t>
      </w:r>
      <w:r w:rsidR="0071128B" w:rsidRPr="0029160A">
        <w:rPr>
          <w:color w:val="000000" w:themeColor="text1"/>
          <w:szCs w:val="26"/>
        </w:rPr>
        <w:t>-</w:t>
      </w:r>
      <w:r w:rsidR="004F26EC" w:rsidRPr="0029160A">
        <w:rPr>
          <w:color w:val="000000" w:themeColor="text1"/>
          <w:szCs w:val="26"/>
        </w:rPr>
        <w:t>service</w:t>
      </w:r>
      <w:r w:rsidRPr="0029160A">
        <w:rPr>
          <w:color w:val="000000" w:themeColor="text1"/>
          <w:szCs w:val="26"/>
        </w:rPr>
        <w:t>.  The OCA submits that a rate decrease for the POL class is inappropriate as no class should receive a rate decrease at a time when rates are increasing.  OCA R. Exc. at 17-18 (citing OCA St. 4-SR at 7; OCA St. 4 at 18).</w:t>
      </w:r>
    </w:p>
    <w:p w14:paraId="62B1239A" w14:textId="2CCD4516" w:rsidR="0095457E" w:rsidRPr="0029160A" w:rsidRDefault="0095457E" w:rsidP="00CB0B2E">
      <w:pPr>
        <w:widowControl/>
        <w:spacing w:line="360" w:lineRule="auto"/>
        <w:ind w:firstLine="1440"/>
        <w:rPr>
          <w:color w:val="000000" w:themeColor="text1"/>
          <w:szCs w:val="26"/>
        </w:rPr>
      </w:pPr>
      <w:r w:rsidRPr="0029160A">
        <w:rPr>
          <w:color w:val="000000" w:themeColor="text1"/>
          <w:szCs w:val="26"/>
        </w:rPr>
        <w:lastRenderedPageBreak/>
        <w:t xml:space="preserve">In the OSBA’s Replies to Wellsboro Exception No. 9, the OSBA </w:t>
      </w:r>
      <w:r w:rsidR="006E2E3C" w:rsidRPr="0029160A">
        <w:rPr>
          <w:color w:val="000000" w:themeColor="text1"/>
          <w:szCs w:val="26"/>
        </w:rPr>
        <w:t>submits that</w:t>
      </w:r>
      <w:r w:rsidRPr="0029160A">
        <w:rPr>
          <w:color w:val="000000" w:themeColor="text1"/>
          <w:szCs w:val="26"/>
        </w:rPr>
        <w:t xml:space="preserve"> it was generally supportive of the Company’s revenue allocation proposal except for the Company’s small non-residential heating classes (</w:t>
      </w:r>
      <w:r w:rsidRPr="0029160A">
        <w:rPr>
          <w:i/>
          <w:iCs/>
          <w:color w:val="000000" w:themeColor="text1"/>
          <w:szCs w:val="26"/>
        </w:rPr>
        <w:t>i.e</w:t>
      </w:r>
      <w:r w:rsidRPr="0029160A">
        <w:rPr>
          <w:color w:val="000000" w:themeColor="text1"/>
          <w:szCs w:val="26"/>
        </w:rPr>
        <w:t xml:space="preserve">., Rates NRH and CSH).  The OSBA recommended revenue allocation resulted in slight adjustments to the Company’s proposed increases to rates POL, RS, and IS.  The OSBA avers that the ALJs properly rejected the Company’s proposal that included a rate decrease for POL.  The OSBA points out that Wellsboro’s reliance on the </w:t>
      </w:r>
      <w:r w:rsidRPr="0029160A">
        <w:rPr>
          <w:i/>
          <w:iCs/>
          <w:color w:val="000000" w:themeColor="text1"/>
          <w:szCs w:val="26"/>
        </w:rPr>
        <w:t>UGI Order</w:t>
      </w:r>
      <w:r w:rsidRPr="0029160A">
        <w:rPr>
          <w:color w:val="000000" w:themeColor="text1"/>
          <w:szCs w:val="26"/>
        </w:rPr>
        <w:t xml:space="preserve"> is misplaced.  According to the OSBA, the Commission’s decision in the </w:t>
      </w:r>
      <w:r w:rsidRPr="0029160A">
        <w:rPr>
          <w:i/>
          <w:iCs/>
          <w:color w:val="000000" w:themeColor="text1"/>
          <w:szCs w:val="26"/>
        </w:rPr>
        <w:t>UGI Order</w:t>
      </w:r>
      <w:r w:rsidRPr="0029160A">
        <w:rPr>
          <w:color w:val="000000" w:themeColor="text1"/>
          <w:szCs w:val="26"/>
        </w:rPr>
        <w:t xml:space="preserve"> was based on a general rejection of an alternative cost of service study and should not be taken as a general endorsement of rate decreases.  Citing </w:t>
      </w:r>
      <w:r w:rsidRPr="0029160A">
        <w:rPr>
          <w:i/>
          <w:iCs/>
          <w:color w:val="000000" w:themeColor="text1"/>
          <w:szCs w:val="26"/>
        </w:rPr>
        <w:t>UGI Order</w:t>
      </w:r>
      <w:r w:rsidRPr="0029160A">
        <w:rPr>
          <w:color w:val="000000" w:themeColor="text1"/>
          <w:szCs w:val="26"/>
        </w:rPr>
        <w:t xml:space="preserve"> at 164-65.  The OSBA contends that the POL class would move closer to cost of service under the OSBA’s revenue allocation proposal, where Rate POL would receive no increase rather than a rate decrease.  OSBA R. Exc. at</w:t>
      </w:r>
      <w:r w:rsidR="00B457F0" w:rsidRPr="0029160A">
        <w:rPr>
          <w:color w:val="000000" w:themeColor="text1"/>
          <w:szCs w:val="26"/>
        </w:rPr>
        <w:t> </w:t>
      </w:r>
      <w:r w:rsidRPr="0029160A">
        <w:rPr>
          <w:color w:val="000000" w:themeColor="text1"/>
          <w:szCs w:val="26"/>
        </w:rPr>
        <w:t>4-5; OSBA M.B. at 6, 8; OSBA R.B. at 5-6; OSBA St. 1-S at 2-3; OSBA St. 1-R, Att.</w:t>
      </w:r>
      <w:r w:rsidR="00725EEC" w:rsidRPr="0029160A">
        <w:rPr>
          <w:color w:val="000000" w:themeColor="text1"/>
          <w:szCs w:val="26"/>
        </w:rPr>
        <w:t> </w:t>
      </w:r>
      <w:r w:rsidRPr="0029160A">
        <w:rPr>
          <w:color w:val="000000" w:themeColor="text1"/>
          <w:szCs w:val="26"/>
        </w:rPr>
        <w:t>BK-1R</w:t>
      </w:r>
      <w:r w:rsidR="00ED3A7E">
        <w:rPr>
          <w:color w:val="000000" w:themeColor="text1"/>
          <w:szCs w:val="26"/>
        </w:rPr>
        <w:t xml:space="preserve"> </w:t>
      </w:r>
      <w:r w:rsidRPr="0029160A">
        <w:rPr>
          <w:color w:val="000000" w:themeColor="text1"/>
          <w:szCs w:val="26"/>
        </w:rPr>
        <w:t xml:space="preserve">(W).  </w:t>
      </w:r>
    </w:p>
    <w:p w14:paraId="40AFB0EC" w14:textId="77777777" w:rsidR="0095457E" w:rsidRPr="0029160A" w:rsidRDefault="0095457E">
      <w:pPr>
        <w:widowControl/>
        <w:spacing w:line="360" w:lineRule="auto"/>
        <w:ind w:firstLine="1440"/>
        <w:rPr>
          <w:color w:val="000000" w:themeColor="text1"/>
          <w:szCs w:val="26"/>
        </w:rPr>
      </w:pPr>
    </w:p>
    <w:p w14:paraId="2F232FBE" w14:textId="7C24EAD1" w:rsidR="00F01CAF" w:rsidRPr="0029160A" w:rsidRDefault="00F01CAF">
      <w:pPr>
        <w:widowControl/>
        <w:spacing w:line="360" w:lineRule="auto"/>
        <w:ind w:firstLine="1440"/>
        <w:rPr>
          <w:color w:val="000000" w:themeColor="text1"/>
          <w:szCs w:val="26"/>
        </w:rPr>
      </w:pPr>
      <w:r w:rsidRPr="0029160A">
        <w:rPr>
          <w:color w:val="000000" w:themeColor="text1"/>
          <w:szCs w:val="26"/>
        </w:rPr>
        <w:t xml:space="preserve">In OCA Exception No. 10, the OCA contends that the ALJs erred in approving I&amp;E’s revenue allocation method.  The OCA asserts that while cost of service should guide the Commission when setting rates, other ratemaking principles such as gradualism, rate shock avoidance, and basic fairness should not be abandoned.  The OCA states that while the ALJs acknowledge these other factors, the ALJs did not give appropriate weight to these other factors in their analysis.  </w:t>
      </w:r>
      <w:r w:rsidR="009A0BEA" w:rsidRPr="0029160A">
        <w:rPr>
          <w:color w:val="000000" w:themeColor="text1"/>
          <w:szCs w:val="26"/>
        </w:rPr>
        <w:t>As the OCA acknowledges, t</w:t>
      </w:r>
      <w:r w:rsidRPr="0029160A">
        <w:rPr>
          <w:color w:val="000000" w:themeColor="text1"/>
          <w:szCs w:val="26"/>
        </w:rPr>
        <w:t xml:space="preserve">he ALJs </w:t>
      </w:r>
      <w:r w:rsidR="009A0BEA" w:rsidRPr="0029160A">
        <w:rPr>
          <w:color w:val="000000" w:themeColor="text1"/>
          <w:szCs w:val="26"/>
        </w:rPr>
        <w:t xml:space="preserve">in the R.D. cite </w:t>
      </w:r>
      <w:r w:rsidRPr="0029160A">
        <w:rPr>
          <w:i/>
          <w:iCs/>
          <w:color w:val="000000" w:themeColor="text1"/>
          <w:szCs w:val="26"/>
        </w:rPr>
        <w:t>Lloyd</w:t>
      </w:r>
      <w:r w:rsidR="009A0BEA" w:rsidRPr="0029160A">
        <w:rPr>
          <w:color w:val="000000" w:themeColor="text1"/>
          <w:szCs w:val="26"/>
        </w:rPr>
        <w:t xml:space="preserve"> generally and</w:t>
      </w:r>
      <w:r w:rsidR="004B50A4" w:rsidRPr="0029160A">
        <w:rPr>
          <w:color w:val="000000" w:themeColor="text1"/>
          <w:szCs w:val="26"/>
        </w:rPr>
        <w:t xml:space="preserve"> state the</w:t>
      </w:r>
      <w:r w:rsidRPr="0029160A">
        <w:rPr>
          <w:color w:val="000000" w:themeColor="text1"/>
          <w:szCs w:val="26"/>
        </w:rPr>
        <w:t xml:space="preserve"> “primary goal in revenue allocation is to have rates reflect the actual cost of service</w:t>
      </w:r>
      <w:r w:rsidR="009A0BEA" w:rsidRPr="0029160A">
        <w:rPr>
          <w:color w:val="000000" w:themeColor="text1"/>
          <w:szCs w:val="26"/>
        </w:rPr>
        <w:t xml:space="preserve"> to the various customer classes</w:t>
      </w:r>
      <w:r w:rsidRPr="0029160A">
        <w:rPr>
          <w:color w:val="000000" w:themeColor="text1"/>
          <w:szCs w:val="26"/>
        </w:rPr>
        <w:t>.”  R.D. at 92</w:t>
      </w:r>
      <w:r w:rsidR="009A0BEA" w:rsidRPr="0029160A">
        <w:rPr>
          <w:color w:val="000000" w:themeColor="text1"/>
          <w:szCs w:val="26"/>
        </w:rPr>
        <w:t xml:space="preserve"> (citing generally</w:t>
      </w:r>
      <w:r w:rsidRPr="0029160A">
        <w:rPr>
          <w:color w:val="000000" w:themeColor="text1"/>
          <w:szCs w:val="26"/>
        </w:rPr>
        <w:t xml:space="preserve"> </w:t>
      </w:r>
      <w:r w:rsidRPr="0029160A">
        <w:rPr>
          <w:bCs/>
          <w:i/>
          <w:iCs/>
          <w:color w:val="000000" w:themeColor="text1"/>
          <w:szCs w:val="26"/>
        </w:rPr>
        <w:t>Lloyd</w:t>
      </w:r>
      <w:r w:rsidRPr="0029160A">
        <w:rPr>
          <w:bCs/>
          <w:color w:val="000000" w:themeColor="text1"/>
          <w:szCs w:val="26"/>
        </w:rPr>
        <w:t xml:space="preserve">).  The OCA submits the ALJs application of </w:t>
      </w:r>
      <w:r w:rsidRPr="0029160A">
        <w:rPr>
          <w:bCs/>
          <w:i/>
          <w:iCs/>
          <w:color w:val="000000" w:themeColor="text1"/>
          <w:szCs w:val="26"/>
        </w:rPr>
        <w:t>Lloyd</w:t>
      </w:r>
      <w:r w:rsidRPr="0029160A">
        <w:rPr>
          <w:bCs/>
          <w:color w:val="000000" w:themeColor="text1"/>
          <w:szCs w:val="26"/>
        </w:rPr>
        <w:t xml:space="preserve"> here is inaccurate; </w:t>
      </w:r>
      <w:r w:rsidRPr="0029160A">
        <w:rPr>
          <w:bCs/>
          <w:i/>
          <w:iCs/>
          <w:color w:val="000000" w:themeColor="text1"/>
          <w:szCs w:val="26"/>
        </w:rPr>
        <w:t>Lloyd</w:t>
      </w:r>
      <w:r w:rsidRPr="0029160A">
        <w:rPr>
          <w:bCs/>
          <w:color w:val="000000" w:themeColor="text1"/>
          <w:szCs w:val="26"/>
        </w:rPr>
        <w:t xml:space="preserve"> provides that the cost</w:t>
      </w:r>
      <w:r w:rsidR="00211AD9" w:rsidRPr="0029160A">
        <w:rPr>
          <w:bCs/>
          <w:color w:val="000000" w:themeColor="text1"/>
          <w:szCs w:val="26"/>
        </w:rPr>
        <w:t>-</w:t>
      </w:r>
      <w:r w:rsidRPr="0029160A">
        <w:rPr>
          <w:bCs/>
          <w:color w:val="000000" w:themeColor="text1"/>
          <w:szCs w:val="26"/>
        </w:rPr>
        <w:t>of</w:t>
      </w:r>
      <w:r w:rsidR="00211AD9" w:rsidRPr="0029160A">
        <w:rPr>
          <w:bCs/>
          <w:color w:val="000000" w:themeColor="text1"/>
          <w:szCs w:val="26"/>
        </w:rPr>
        <w:t>-</w:t>
      </w:r>
      <w:r w:rsidRPr="0029160A">
        <w:rPr>
          <w:bCs/>
          <w:color w:val="000000" w:themeColor="text1"/>
          <w:szCs w:val="26"/>
        </w:rPr>
        <w:t xml:space="preserve">service is a “polestar” for revenue allocation, or merely a “guide,” while providing that other factors, including gradualism, avoidance of rate shock, and fundamental fairness, may be taken into account.  OCA Exc. at 26 (citing </w:t>
      </w:r>
      <w:r w:rsidRPr="0029160A">
        <w:rPr>
          <w:bCs/>
          <w:i/>
          <w:iCs/>
          <w:color w:val="000000" w:themeColor="text1"/>
          <w:szCs w:val="26"/>
        </w:rPr>
        <w:t>Lloyd</w:t>
      </w:r>
      <w:r w:rsidRPr="0029160A">
        <w:rPr>
          <w:bCs/>
          <w:color w:val="000000" w:themeColor="text1"/>
          <w:szCs w:val="26"/>
        </w:rPr>
        <w:t xml:space="preserve"> at 1020-21).  </w:t>
      </w:r>
      <w:r w:rsidRPr="0029160A">
        <w:rPr>
          <w:color w:val="000000" w:themeColor="text1"/>
          <w:szCs w:val="26"/>
        </w:rPr>
        <w:t xml:space="preserve">The OCA submits the ALJs erred in concluding that I&amp;E’s proposed revenue allocation best considers and balances these </w:t>
      </w:r>
      <w:r w:rsidRPr="0029160A">
        <w:rPr>
          <w:color w:val="000000" w:themeColor="text1"/>
          <w:szCs w:val="26"/>
        </w:rPr>
        <w:lastRenderedPageBreak/>
        <w:t>factors because I&amp;E’s witness Cline does not even consider gradualism in his proposal.  Meanwhile, the OCA’s witness Mierzwa explained that under his proposal while the rate classes may still be below 1.0, the rates classes, including Rate POL, move toward cost of service.  Therefore, the OCA submits its proposed revenue allocation properly reflects movement towards cost of service while also properly reflecting gradualism.  The OCA submits the Commission should reject the ALJs’ recommendation and should adopt the OCA’s proposed revenue allocation for setting rates.  OCA Exc. at 25-29; OCA M.B. at</w:t>
      </w:r>
      <w:r w:rsidR="00D23B4E" w:rsidRPr="0029160A">
        <w:rPr>
          <w:color w:val="000000" w:themeColor="text1"/>
          <w:szCs w:val="26"/>
        </w:rPr>
        <w:t> </w:t>
      </w:r>
      <w:r w:rsidRPr="0029160A">
        <w:rPr>
          <w:color w:val="000000" w:themeColor="text1"/>
          <w:szCs w:val="26"/>
        </w:rPr>
        <w:t>77-83, OCA R.B. at 38-42.</w:t>
      </w:r>
    </w:p>
    <w:p w14:paraId="73EB55FA" w14:textId="77777777" w:rsidR="00F01CAF" w:rsidRPr="0029160A" w:rsidRDefault="00F01CAF">
      <w:pPr>
        <w:widowControl/>
        <w:spacing w:line="360" w:lineRule="auto"/>
        <w:ind w:firstLine="1440"/>
        <w:rPr>
          <w:color w:val="000000" w:themeColor="text1"/>
          <w:szCs w:val="26"/>
        </w:rPr>
      </w:pPr>
    </w:p>
    <w:p w14:paraId="264E3C60" w14:textId="61F8B347" w:rsidR="00F01CAF" w:rsidRPr="0029160A" w:rsidRDefault="00F01CAF">
      <w:pPr>
        <w:widowControl/>
        <w:spacing w:line="360" w:lineRule="auto"/>
        <w:ind w:firstLine="1440"/>
        <w:rPr>
          <w:color w:val="000000" w:themeColor="text1"/>
          <w:szCs w:val="26"/>
        </w:rPr>
      </w:pPr>
      <w:r w:rsidRPr="0029160A">
        <w:rPr>
          <w:color w:val="000000" w:themeColor="text1"/>
          <w:szCs w:val="26"/>
        </w:rPr>
        <w:t xml:space="preserve">In Replies to OCA Exception No. 10, Wellsboro submits that the OCA Exception should be denied because the Company’s proposed revenue allocation adequately moves all customers toward cost-of-service.  Wellsboro R. Exc. at 25; Wellsboro M.B. at 101-102. </w:t>
      </w:r>
    </w:p>
    <w:p w14:paraId="226EFFBA" w14:textId="77777777" w:rsidR="00F01CAF" w:rsidRPr="0029160A" w:rsidRDefault="00F01CAF">
      <w:pPr>
        <w:widowControl/>
        <w:spacing w:line="360" w:lineRule="auto"/>
        <w:ind w:firstLine="1440"/>
        <w:rPr>
          <w:color w:val="000000" w:themeColor="text1"/>
          <w:szCs w:val="26"/>
        </w:rPr>
      </w:pPr>
    </w:p>
    <w:p w14:paraId="175535AD" w14:textId="4E25AD1D" w:rsidR="0095457E" w:rsidRPr="0029160A" w:rsidRDefault="00F01CAF" w:rsidP="00B457F0">
      <w:pPr>
        <w:widowControl/>
        <w:spacing w:line="360" w:lineRule="auto"/>
        <w:ind w:firstLine="1440"/>
        <w:rPr>
          <w:color w:val="000000" w:themeColor="text1"/>
          <w:szCs w:val="26"/>
        </w:rPr>
      </w:pPr>
      <w:r w:rsidRPr="0029160A">
        <w:rPr>
          <w:color w:val="000000" w:themeColor="text1"/>
          <w:szCs w:val="26"/>
        </w:rPr>
        <w:t>In I&amp;E’s Replies to Wellsboro Exception No. 9 and OCA Exception No.</w:t>
      </w:r>
      <w:r w:rsidR="00C41CB9" w:rsidRPr="0029160A">
        <w:rPr>
          <w:color w:val="000000" w:themeColor="text1"/>
          <w:szCs w:val="26"/>
        </w:rPr>
        <w:t> </w:t>
      </w:r>
      <w:r w:rsidRPr="0029160A">
        <w:rPr>
          <w:color w:val="000000" w:themeColor="text1"/>
          <w:szCs w:val="26"/>
        </w:rPr>
        <w:t xml:space="preserve">10, I&amp;E submits that the ALJs correctly adopted I&amp;E’s proposed revenue allocation, which eliminated the rate decrease for the POL rate class.  Although the OCA agreed with I&amp;E that rate class POL should not receive a rate decrease, the OCA disagreed with I&amp;E’s proposed redistribution of POL’s decrease to different rate classes.  I&amp;E explains that the difference between the OCA and I&amp;E’s proposed redistribution is that the OCA proposed to proportionately distribute relief to classes, while I&amp;E proposes that relief only be assigned to classes with a relative rate of return greater than 1.0, </w:t>
      </w:r>
      <w:r w:rsidRPr="0029160A">
        <w:rPr>
          <w:i/>
          <w:iCs/>
          <w:color w:val="000000" w:themeColor="text1"/>
          <w:szCs w:val="26"/>
        </w:rPr>
        <w:t>i.e</w:t>
      </w:r>
      <w:r w:rsidRPr="0029160A">
        <w:rPr>
          <w:color w:val="000000" w:themeColor="text1"/>
          <w:szCs w:val="26"/>
        </w:rPr>
        <w:t xml:space="preserve">., classes that are generating revenue greater than its cost to serve.  I&amp;E rejects the OCA’s claim that the OCA’s proposal more appropriately reflects the principle of gradualism.  I&amp;E submits that while gradualism may be taken into account, the OCA provides no basis that the ALJs did not take this into account or otherwise erred by not solely relying on the OCA’s analysis.  The ALJs weighed all the </w:t>
      </w:r>
      <w:r w:rsidR="00970007" w:rsidRPr="0029160A">
        <w:rPr>
          <w:color w:val="000000" w:themeColor="text1"/>
          <w:szCs w:val="26"/>
        </w:rPr>
        <w:t>P</w:t>
      </w:r>
      <w:r w:rsidRPr="0029160A">
        <w:rPr>
          <w:color w:val="000000" w:themeColor="text1"/>
          <w:szCs w:val="26"/>
        </w:rPr>
        <w:t xml:space="preserve">arties’ positions, including the OCA’s, and decided that I&amp;E’s revenue allocation most appropriately balances the many factors which must be considered.  Importantly, among the various factors, I&amp;E avers its proposal most </w:t>
      </w:r>
      <w:r w:rsidRPr="0029160A">
        <w:rPr>
          <w:color w:val="000000" w:themeColor="text1"/>
          <w:szCs w:val="26"/>
        </w:rPr>
        <w:lastRenderedPageBreak/>
        <w:t xml:space="preserve">appropriately moves classes towards their cost of service.  As the OCA acknowledges, the Commonwealth Court in </w:t>
      </w:r>
      <w:r w:rsidRPr="0029160A">
        <w:rPr>
          <w:i/>
          <w:iCs/>
          <w:color w:val="000000" w:themeColor="text1"/>
          <w:szCs w:val="26"/>
        </w:rPr>
        <w:t>Lloyd</w:t>
      </w:r>
      <w:r w:rsidRPr="0029160A">
        <w:rPr>
          <w:color w:val="000000" w:themeColor="text1"/>
          <w:szCs w:val="26"/>
        </w:rPr>
        <w:t xml:space="preserve"> has stated the primary goal in revenue allocation is to have rates reflect the actual cost of service.</w:t>
      </w:r>
      <w:r w:rsidRPr="0029160A">
        <w:rPr>
          <w:bCs/>
          <w:color w:val="000000" w:themeColor="text1"/>
          <w:szCs w:val="26"/>
        </w:rPr>
        <w:t xml:space="preserve"> </w:t>
      </w:r>
      <w:r w:rsidRPr="0029160A">
        <w:rPr>
          <w:color w:val="000000" w:themeColor="text1"/>
          <w:szCs w:val="26"/>
        </w:rPr>
        <w:t xml:space="preserve">Although the OCA claims its proposal will move classes towards the cost of service, I&amp;E avers adopting the OCA’s proposal will accomplish the opposite.  Specifically, the OCA’s proposal will reduce the relative rate of return of classes that are already generating less revenue than their cost to serve.  By comparison, I&amp;E’s proposal will only further adjust rates for those classes that generate more revenue than their cost to serve, </w:t>
      </w:r>
      <w:r w:rsidRPr="0029160A">
        <w:rPr>
          <w:i/>
          <w:iCs/>
          <w:color w:val="000000" w:themeColor="text1"/>
          <w:szCs w:val="26"/>
        </w:rPr>
        <w:t>i.e</w:t>
      </w:r>
      <w:r w:rsidRPr="0029160A">
        <w:rPr>
          <w:color w:val="000000" w:themeColor="text1"/>
          <w:szCs w:val="26"/>
        </w:rPr>
        <w:t>., classes with a relative rate of return above 1.0.  Additionally, although Wellsboro claims greater relief should be provided to class POL, the ALJs correctly found the movement for this class from 12.46 to 3.54 under I&amp;E’s proposal still represents a significant movement towards cost of service.  I&amp;E submits that since its proposal most fairly allocates revenue to classes, the ALJs did not err in adopting it</w:t>
      </w:r>
      <w:r w:rsidR="00AE0676">
        <w:rPr>
          <w:color w:val="000000" w:themeColor="text1"/>
          <w:szCs w:val="26"/>
        </w:rPr>
        <w:t>,</w:t>
      </w:r>
      <w:r w:rsidRPr="0029160A">
        <w:rPr>
          <w:color w:val="000000" w:themeColor="text1"/>
          <w:szCs w:val="26"/>
        </w:rPr>
        <w:t xml:space="preserve"> and Wellsboro’s and OCA’s Exceptions should be rejected.  I&amp;E R. Exc. at</w:t>
      </w:r>
      <w:r w:rsidR="00651332" w:rsidRPr="0029160A">
        <w:rPr>
          <w:color w:val="000000" w:themeColor="text1"/>
          <w:szCs w:val="26"/>
        </w:rPr>
        <w:t> </w:t>
      </w:r>
      <w:r w:rsidRPr="0029160A">
        <w:rPr>
          <w:color w:val="000000" w:themeColor="text1"/>
          <w:szCs w:val="26"/>
        </w:rPr>
        <w:t>9</w:t>
      </w:r>
      <w:r w:rsidR="00651332" w:rsidRPr="0029160A">
        <w:rPr>
          <w:color w:val="000000" w:themeColor="text1"/>
          <w:szCs w:val="26"/>
        </w:rPr>
        <w:noBreakHyphen/>
      </w:r>
      <w:r w:rsidRPr="0029160A">
        <w:rPr>
          <w:color w:val="000000" w:themeColor="text1"/>
          <w:szCs w:val="26"/>
        </w:rPr>
        <w:t>11.</w:t>
      </w:r>
    </w:p>
    <w:p w14:paraId="18C59746" w14:textId="77777777" w:rsidR="00651332" w:rsidRPr="0029160A" w:rsidRDefault="00651332" w:rsidP="00B457F0">
      <w:pPr>
        <w:widowControl/>
        <w:spacing w:line="360" w:lineRule="auto"/>
        <w:ind w:firstLine="1440"/>
        <w:rPr>
          <w:color w:val="000000" w:themeColor="text1"/>
          <w:szCs w:val="26"/>
        </w:rPr>
      </w:pPr>
    </w:p>
    <w:p w14:paraId="7836C6D7" w14:textId="77777777" w:rsidR="00D72D1C" w:rsidRPr="0029160A" w:rsidRDefault="00D72D1C" w:rsidP="00CB0B2E">
      <w:pPr>
        <w:pStyle w:val="Heading4"/>
        <w:ind w:hanging="720"/>
        <w:rPr>
          <w:color w:val="000000" w:themeColor="text1"/>
        </w:rPr>
      </w:pPr>
      <w:bookmarkStart w:id="168" w:name="_Toc38951818"/>
      <w:r w:rsidRPr="0029160A">
        <w:rPr>
          <w:color w:val="000000" w:themeColor="text1"/>
        </w:rPr>
        <w:t>Disposition</w:t>
      </w:r>
      <w:bookmarkEnd w:id="168"/>
    </w:p>
    <w:p w14:paraId="687718D2" w14:textId="77777777" w:rsidR="00D72D1C" w:rsidRPr="0029160A" w:rsidRDefault="00D72D1C" w:rsidP="00B457F0">
      <w:pPr>
        <w:widowControl/>
        <w:spacing w:line="360" w:lineRule="auto"/>
        <w:rPr>
          <w:color w:val="000000" w:themeColor="text1"/>
          <w:szCs w:val="26"/>
        </w:rPr>
      </w:pPr>
    </w:p>
    <w:p w14:paraId="3C000DBA" w14:textId="67FC530A" w:rsidR="00916FC4" w:rsidRPr="0029160A" w:rsidRDefault="00916FC4" w:rsidP="00B457F0">
      <w:pPr>
        <w:widowControl/>
        <w:spacing w:line="360" w:lineRule="auto"/>
        <w:ind w:firstLine="1440"/>
        <w:rPr>
          <w:color w:val="000000" w:themeColor="text1"/>
          <w:szCs w:val="26"/>
        </w:rPr>
      </w:pPr>
      <w:r w:rsidRPr="0029160A">
        <w:rPr>
          <w:color w:val="000000" w:themeColor="text1"/>
          <w:szCs w:val="26"/>
        </w:rPr>
        <w:t>In considering the record evidence and arguments before us, along with the Exceptions and Reply Exceptions of the Parties, we are persuaded by the arguments of Wellsboro regarding its proposed revenue allocation, which includes a rate decrease for rate schedule POL customers.</w:t>
      </w:r>
      <w:r w:rsidR="006B3020" w:rsidRPr="0029160A">
        <w:rPr>
          <w:color w:val="000000" w:themeColor="text1"/>
          <w:szCs w:val="26"/>
        </w:rPr>
        <w:t xml:space="preserve"> </w:t>
      </w:r>
      <w:r w:rsidRPr="0029160A">
        <w:rPr>
          <w:color w:val="000000" w:themeColor="text1"/>
          <w:szCs w:val="26"/>
        </w:rPr>
        <w:t xml:space="preserve"> We agree with Wellsboro’s position that the </w:t>
      </w:r>
      <w:r w:rsidR="00B866B0" w:rsidRPr="0029160A">
        <w:rPr>
          <w:color w:val="000000" w:themeColor="text1"/>
          <w:szCs w:val="26"/>
        </w:rPr>
        <w:t>ACCOSS</w:t>
      </w:r>
      <w:r w:rsidRPr="0029160A">
        <w:rPr>
          <w:color w:val="000000" w:themeColor="text1"/>
          <w:szCs w:val="26"/>
        </w:rPr>
        <w:t xml:space="preserve"> should control revenue allocation, including if a decrease is warranted for a class.  </w:t>
      </w:r>
      <w:r w:rsidRPr="0029160A">
        <w:rPr>
          <w:rFonts w:eastAsiaTheme="minorHAnsi" w:cstheme="minorBidi"/>
          <w:color w:val="000000" w:themeColor="text1"/>
          <w:szCs w:val="26"/>
        </w:rPr>
        <w:t xml:space="preserve">Wellsboro St. </w:t>
      </w:r>
      <w:r w:rsidR="00CF461D" w:rsidRPr="0029160A">
        <w:rPr>
          <w:rFonts w:eastAsiaTheme="minorHAnsi" w:cstheme="minorBidi"/>
          <w:color w:val="000000" w:themeColor="text1"/>
          <w:szCs w:val="26"/>
        </w:rPr>
        <w:t>1</w:t>
      </w:r>
      <w:r w:rsidRPr="0029160A">
        <w:rPr>
          <w:rFonts w:eastAsiaTheme="minorHAnsi" w:cstheme="minorBidi"/>
          <w:color w:val="000000" w:themeColor="text1"/>
          <w:szCs w:val="26"/>
        </w:rPr>
        <w:t>-SR at 2.</w:t>
      </w:r>
      <w:r w:rsidRPr="0029160A">
        <w:rPr>
          <w:color w:val="000000" w:themeColor="text1"/>
          <w:szCs w:val="26"/>
        </w:rPr>
        <w:t xml:space="preserve">  Such revenue allocation, in our opinion, is consistent with our prior decision in the </w:t>
      </w:r>
      <w:r w:rsidRPr="0029160A">
        <w:rPr>
          <w:i/>
          <w:iCs/>
          <w:noProof/>
          <w:color w:val="000000" w:themeColor="text1"/>
          <w:szCs w:val="26"/>
        </w:rPr>
        <w:t>UGI Order</w:t>
      </w:r>
      <w:r w:rsidRPr="0029160A">
        <w:rPr>
          <w:color w:val="000000" w:themeColor="text1"/>
          <w:szCs w:val="26"/>
        </w:rPr>
        <w:t xml:space="preserve">.  </w:t>
      </w:r>
      <w:r w:rsidRPr="0029160A">
        <w:rPr>
          <w:i/>
          <w:iCs/>
          <w:noProof/>
          <w:color w:val="000000" w:themeColor="text1"/>
          <w:szCs w:val="26"/>
        </w:rPr>
        <w:t>UGI Order</w:t>
      </w:r>
      <w:r w:rsidRPr="0029160A">
        <w:rPr>
          <w:color w:val="000000" w:themeColor="text1"/>
          <w:szCs w:val="26"/>
        </w:rPr>
        <w:t xml:space="preserve"> at 163-164 (concluding </w:t>
      </w:r>
      <w:r w:rsidRPr="0029160A">
        <w:rPr>
          <w:rFonts w:eastAsiaTheme="minorHAnsi"/>
          <w:color w:val="000000" w:themeColor="text1"/>
          <w:szCs w:val="26"/>
        </w:rPr>
        <w:t>that “UGI</w:t>
      </w:r>
      <w:r w:rsidR="00D23B4E" w:rsidRPr="0029160A">
        <w:rPr>
          <w:rFonts w:eastAsiaTheme="minorHAnsi"/>
          <w:color w:val="000000" w:themeColor="text1"/>
          <w:szCs w:val="26"/>
        </w:rPr>
        <w:t>’</w:t>
      </w:r>
      <w:r w:rsidRPr="0029160A">
        <w:rPr>
          <w:rFonts w:eastAsiaTheme="minorHAnsi"/>
          <w:color w:val="000000" w:themeColor="text1"/>
          <w:szCs w:val="26"/>
        </w:rPr>
        <w:t>s proposed revenue requirement allocation among the various rate classes [including a rate decrease for GS-4 rate class] achieves significant progress in moving rate classes toward the system average of relative rate of return.”)</w:t>
      </w:r>
      <w:r w:rsidR="00B866B0" w:rsidRPr="0029160A">
        <w:rPr>
          <w:rFonts w:eastAsiaTheme="minorHAnsi"/>
          <w:color w:val="000000" w:themeColor="text1"/>
          <w:szCs w:val="26"/>
        </w:rPr>
        <w:t>.</w:t>
      </w:r>
      <w:r w:rsidRPr="0029160A">
        <w:rPr>
          <w:rFonts w:eastAsiaTheme="minorHAnsi"/>
          <w:color w:val="000000" w:themeColor="text1"/>
          <w:szCs w:val="26"/>
        </w:rPr>
        <w:t xml:space="preserve">  </w:t>
      </w:r>
      <w:r w:rsidRPr="0029160A">
        <w:rPr>
          <w:color w:val="000000" w:themeColor="text1"/>
          <w:szCs w:val="26"/>
        </w:rPr>
        <w:t xml:space="preserve">Wellsboro demonstrated with sufficient evidence in this case that with a relative rate of return of 12.42 under present rates, rate schedule POL should receive as much rate relief as reasonably possible, and that its </w:t>
      </w:r>
      <w:r w:rsidRPr="0029160A">
        <w:rPr>
          <w:color w:val="000000" w:themeColor="text1"/>
          <w:szCs w:val="26"/>
        </w:rPr>
        <w:lastRenderedPageBreak/>
        <w:t>revenue allocation proposal brings Rate POL as close to cost-of-service as possible without subjecting other rate schedules to rate shock.  Wellsboro Exc. at 22-23; Wellsboro M.B. at 100-101.  Accordingly, we shall adopt Wellsboro’s revenue allocation proposal, grant Wellsboro’s Exception No. 9 and modify the ALJs</w:t>
      </w:r>
      <w:r w:rsidR="00CF796C" w:rsidRPr="0029160A">
        <w:rPr>
          <w:color w:val="000000" w:themeColor="text1"/>
          <w:szCs w:val="26"/>
        </w:rPr>
        <w:t>’</w:t>
      </w:r>
      <w:r w:rsidRPr="0029160A">
        <w:rPr>
          <w:color w:val="000000" w:themeColor="text1"/>
          <w:szCs w:val="26"/>
        </w:rPr>
        <w:t xml:space="preserve"> R.D. consistent with the above discussion.  </w:t>
      </w:r>
    </w:p>
    <w:p w14:paraId="691B5F73" w14:textId="77777777" w:rsidR="00F01CAF" w:rsidRPr="0029160A" w:rsidRDefault="00F01CAF" w:rsidP="00B457F0">
      <w:pPr>
        <w:widowControl/>
        <w:spacing w:line="360" w:lineRule="auto"/>
        <w:rPr>
          <w:color w:val="000000" w:themeColor="text1"/>
        </w:rPr>
      </w:pPr>
    </w:p>
    <w:p w14:paraId="5A29B889" w14:textId="5758A8A1" w:rsidR="00461A7E" w:rsidRPr="0029160A" w:rsidRDefault="00DB1CE2" w:rsidP="00CB0B2E">
      <w:pPr>
        <w:pStyle w:val="Heading3"/>
        <w:keepNext/>
        <w:keepLines/>
        <w:ind w:left="1440" w:hanging="720"/>
        <w:rPr>
          <w:color w:val="000000" w:themeColor="text1"/>
        </w:rPr>
      </w:pPr>
      <w:bookmarkStart w:id="169" w:name="_Toc36552367"/>
      <w:bookmarkStart w:id="170" w:name="_Toc38951819"/>
      <w:r w:rsidRPr="0029160A">
        <w:rPr>
          <w:color w:val="000000" w:themeColor="text1"/>
        </w:rPr>
        <w:t xml:space="preserve">Rate Structure:  </w:t>
      </w:r>
      <w:r w:rsidR="00461A7E" w:rsidRPr="0029160A">
        <w:rPr>
          <w:color w:val="000000" w:themeColor="text1"/>
        </w:rPr>
        <w:t>Rate Design</w:t>
      </w:r>
      <w:bookmarkEnd w:id="169"/>
      <w:bookmarkEnd w:id="170"/>
    </w:p>
    <w:p w14:paraId="0D993FFB" w14:textId="77777777" w:rsidR="00D72D1C" w:rsidRPr="0029160A" w:rsidRDefault="00D72D1C" w:rsidP="00B457F0">
      <w:pPr>
        <w:keepNext/>
        <w:keepLines/>
        <w:widowControl/>
        <w:spacing w:line="360" w:lineRule="auto"/>
        <w:rPr>
          <w:color w:val="000000" w:themeColor="text1"/>
        </w:rPr>
      </w:pPr>
    </w:p>
    <w:p w14:paraId="4B383C5A" w14:textId="480CF03A" w:rsidR="00D72D1C" w:rsidRPr="0029160A" w:rsidRDefault="00D72D1C" w:rsidP="00CB0B2E">
      <w:pPr>
        <w:pStyle w:val="Heading4"/>
        <w:numPr>
          <w:ilvl w:val="0"/>
          <w:numId w:val="27"/>
        </w:numPr>
        <w:ind w:hanging="720"/>
        <w:rPr>
          <w:color w:val="000000" w:themeColor="text1"/>
        </w:rPr>
      </w:pPr>
      <w:bookmarkStart w:id="171" w:name="_Toc38951820"/>
      <w:r w:rsidRPr="0029160A">
        <w:rPr>
          <w:color w:val="000000" w:themeColor="text1"/>
        </w:rPr>
        <w:t>Position</w:t>
      </w:r>
      <w:r w:rsidR="009D7A24" w:rsidRPr="0029160A">
        <w:rPr>
          <w:color w:val="000000" w:themeColor="text1"/>
        </w:rPr>
        <w:t xml:space="preserve">s </w:t>
      </w:r>
      <w:r w:rsidRPr="0029160A">
        <w:rPr>
          <w:color w:val="000000" w:themeColor="text1"/>
        </w:rPr>
        <w:t>of the Parties</w:t>
      </w:r>
      <w:bookmarkEnd w:id="171"/>
    </w:p>
    <w:p w14:paraId="47701D10" w14:textId="77777777" w:rsidR="00D72D1C" w:rsidRPr="0029160A" w:rsidRDefault="00D72D1C" w:rsidP="00B457F0">
      <w:pPr>
        <w:widowControl/>
        <w:spacing w:line="360" w:lineRule="auto"/>
        <w:rPr>
          <w:color w:val="000000" w:themeColor="text1"/>
          <w:szCs w:val="26"/>
        </w:rPr>
      </w:pPr>
    </w:p>
    <w:p w14:paraId="3317DCE2" w14:textId="35F01FC8" w:rsidR="003A629E" w:rsidRPr="0029160A" w:rsidRDefault="00A10C67" w:rsidP="00CB0B2E">
      <w:pPr>
        <w:widowControl/>
        <w:spacing w:line="360" w:lineRule="auto"/>
        <w:ind w:firstLine="1440"/>
        <w:rPr>
          <w:color w:val="000000" w:themeColor="text1"/>
          <w:szCs w:val="26"/>
        </w:rPr>
      </w:pPr>
      <w:r w:rsidRPr="0029160A">
        <w:rPr>
          <w:rFonts w:eastAsiaTheme="minorHAnsi" w:cstheme="minorBidi"/>
          <w:color w:val="000000" w:themeColor="text1"/>
          <w:szCs w:val="26"/>
        </w:rPr>
        <w:t>Wellsboro</w:t>
      </w:r>
      <w:r w:rsidR="007635D4" w:rsidRPr="0029160A">
        <w:rPr>
          <w:rFonts w:eastAsiaTheme="minorHAnsi" w:cstheme="minorBidi"/>
          <w:color w:val="000000" w:themeColor="text1"/>
          <w:szCs w:val="26"/>
        </w:rPr>
        <w:t>’</w:t>
      </w:r>
      <w:r w:rsidRPr="0029160A">
        <w:rPr>
          <w:rFonts w:eastAsiaTheme="minorHAnsi" w:cstheme="minorBidi"/>
          <w:color w:val="000000" w:themeColor="text1"/>
          <w:szCs w:val="26"/>
        </w:rPr>
        <w:t>s proposed rates for each rate class are set forth in Schedules B6</w:t>
      </w:r>
      <w:r w:rsidR="004D586D" w:rsidRPr="0029160A">
        <w:rPr>
          <w:rFonts w:eastAsiaTheme="minorHAnsi" w:cstheme="minorBidi"/>
          <w:color w:val="000000" w:themeColor="text1"/>
          <w:szCs w:val="26"/>
        </w:rPr>
        <w:noBreakHyphen/>
      </w:r>
      <w:r w:rsidRPr="0029160A">
        <w:rPr>
          <w:rFonts w:eastAsiaTheme="minorHAnsi" w:cstheme="minorBidi"/>
          <w:color w:val="000000" w:themeColor="text1"/>
          <w:szCs w:val="26"/>
        </w:rPr>
        <w:t>3 (W) and B7 (W) (in table format)</w:t>
      </w:r>
      <w:r w:rsidR="00F668FB" w:rsidRPr="0029160A">
        <w:rPr>
          <w:rFonts w:eastAsiaTheme="minorHAnsi" w:cstheme="minorBidi"/>
          <w:color w:val="000000" w:themeColor="text1"/>
          <w:szCs w:val="26"/>
        </w:rPr>
        <w:t xml:space="preserve">.  </w:t>
      </w:r>
      <w:r w:rsidRPr="0029160A">
        <w:rPr>
          <w:iCs/>
          <w:color w:val="000000" w:themeColor="text1"/>
          <w:szCs w:val="26"/>
        </w:rPr>
        <w:t>The Parties all present</w:t>
      </w:r>
      <w:r w:rsidR="00F668FB" w:rsidRPr="0029160A">
        <w:rPr>
          <w:iCs/>
          <w:color w:val="000000" w:themeColor="text1"/>
          <w:szCs w:val="26"/>
        </w:rPr>
        <w:t>ed</w:t>
      </w:r>
      <w:r w:rsidRPr="0029160A">
        <w:rPr>
          <w:iCs/>
          <w:color w:val="000000" w:themeColor="text1"/>
          <w:szCs w:val="26"/>
        </w:rPr>
        <w:t xml:space="preserve"> different positions on the issue of revenue allocation.</w:t>
      </w:r>
      <w:r w:rsidRPr="0029160A">
        <w:rPr>
          <w:i/>
          <w:color w:val="000000" w:themeColor="text1"/>
          <w:szCs w:val="26"/>
        </w:rPr>
        <w:t xml:space="preserve">  </w:t>
      </w:r>
      <w:r w:rsidRPr="0029160A">
        <w:rPr>
          <w:color w:val="000000" w:themeColor="text1"/>
          <w:szCs w:val="26"/>
        </w:rPr>
        <w:t xml:space="preserve">R.D. </w:t>
      </w:r>
      <w:r w:rsidR="00CD29B2">
        <w:rPr>
          <w:color w:val="000000" w:themeColor="text1"/>
          <w:szCs w:val="26"/>
        </w:rPr>
        <w:t xml:space="preserve">at </w:t>
      </w:r>
      <w:r w:rsidR="00F668FB" w:rsidRPr="0029160A">
        <w:rPr>
          <w:color w:val="000000" w:themeColor="text1"/>
          <w:szCs w:val="26"/>
        </w:rPr>
        <w:t>106-123</w:t>
      </w:r>
      <w:r w:rsidRPr="0029160A">
        <w:rPr>
          <w:color w:val="000000" w:themeColor="text1"/>
          <w:szCs w:val="26"/>
        </w:rPr>
        <w:t xml:space="preserve"> (ALJs</w:t>
      </w:r>
      <w:r w:rsidR="00CF796C" w:rsidRPr="0029160A">
        <w:rPr>
          <w:color w:val="000000" w:themeColor="text1"/>
          <w:szCs w:val="26"/>
        </w:rPr>
        <w:t>’</w:t>
      </w:r>
      <w:r w:rsidRPr="0029160A">
        <w:rPr>
          <w:color w:val="000000" w:themeColor="text1"/>
          <w:szCs w:val="26"/>
        </w:rPr>
        <w:t xml:space="preserve"> summary of the testimonies offered by the Company’s, I&amp;E’s, the OCA’s and the OSBA’s experts regarding r</w:t>
      </w:r>
      <w:r w:rsidR="00F668FB" w:rsidRPr="0029160A">
        <w:rPr>
          <w:color w:val="000000" w:themeColor="text1"/>
          <w:szCs w:val="26"/>
        </w:rPr>
        <w:t>ate design</w:t>
      </w:r>
      <w:r w:rsidRPr="0029160A">
        <w:rPr>
          <w:color w:val="000000" w:themeColor="text1"/>
          <w:szCs w:val="26"/>
        </w:rPr>
        <w:t xml:space="preserve">).  </w:t>
      </w:r>
    </w:p>
    <w:p w14:paraId="35819D6C" w14:textId="77777777" w:rsidR="003A629E" w:rsidRPr="0029160A" w:rsidRDefault="003A629E" w:rsidP="00CB0B2E">
      <w:pPr>
        <w:widowControl/>
        <w:spacing w:line="360" w:lineRule="auto"/>
        <w:ind w:firstLine="1440"/>
        <w:rPr>
          <w:color w:val="000000" w:themeColor="text1"/>
          <w:szCs w:val="26"/>
        </w:rPr>
      </w:pPr>
    </w:p>
    <w:p w14:paraId="48811179" w14:textId="2F3C2040" w:rsidR="00D12675" w:rsidRPr="0029160A" w:rsidRDefault="003A629E" w:rsidP="00CB0B2E">
      <w:pPr>
        <w:widowControl/>
        <w:spacing w:line="360" w:lineRule="auto"/>
        <w:ind w:firstLine="1440"/>
        <w:rPr>
          <w:rFonts w:eastAsiaTheme="minorHAnsi"/>
          <w:color w:val="000000" w:themeColor="text1"/>
          <w:sz w:val="24"/>
          <w:szCs w:val="24"/>
        </w:rPr>
      </w:pPr>
      <w:r w:rsidRPr="0029160A">
        <w:rPr>
          <w:rFonts w:eastAsiaTheme="minorHAnsi"/>
          <w:color w:val="000000" w:themeColor="text1"/>
          <w:szCs w:val="26"/>
        </w:rPr>
        <w:t xml:space="preserve">In relevant part, Wellsboro proposed to include a portion of demand-related costs reflecting minimum demand for Residential and Commercial customers in the respective fixed monthly charges.  R.D. at 106.  </w:t>
      </w:r>
      <w:r w:rsidRPr="0029160A">
        <w:rPr>
          <w:bCs/>
          <w:color w:val="000000" w:themeColor="text1"/>
          <w:szCs w:val="26"/>
        </w:rPr>
        <w:t>Wellsboro argued that m</w:t>
      </w:r>
      <w:r w:rsidRPr="0029160A">
        <w:rPr>
          <w:color w:val="000000" w:themeColor="text1"/>
          <w:szCs w:val="26"/>
        </w:rPr>
        <w:t>oving the residential rate design towards cost of service would require addition of a demand billing element and that incorporating demand costs into the monthly customer charge will be easier for residential customers to understand.  R.D. at 109.  To recognize cost of service in the proposal, Wellsboro chose a demand level attained by 98% of the RS accounts at least annually, and over 96.6% monthly.  Wellsboro submitted this proposal reflects a gradual approach to making this transition.  R.D. at 109 (citing Wellsboro St. 1 at 43).  Wellsboro asserted that by including only the portion of demand charges that effectively functions as the minimum demand for the affected customers, the Company realistically reflects cost-of-service principles while supporting rate stability and gradualism.  R.D.</w:t>
      </w:r>
      <w:r w:rsidR="00CD29B2">
        <w:rPr>
          <w:color w:val="000000" w:themeColor="text1"/>
          <w:szCs w:val="26"/>
        </w:rPr>
        <w:t> </w:t>
      </w:r>
      <w:r w:rsidRPr="0029160A">
        <w:rPr>
          <w:color w:val="000000" w:themeColor="text1"/>
          <w:szCs w:val="26"/>
        </w:rPr>
        <w:t>at</w:t>
      </w:r>
      <w:r w:rsidR="00D23B4E" w:rsidRPr="0029160A">
        <w:rPr>
          <w:color w:val="000000" w:themeColor="text1"/>
          <w:szCs w:val="26"/>
        </w:rPr>
        <w:t> </w:t>
      </w:r>
      <w:r w:rsidRPr="0029160A">
        <w:rPr>
          <w:color w:val="000000" w:themeColor="text1"/>
          <w:szCs w:val="26"/>
        </w:rPr>
        <w:t xml:space="preserve">109 (citing Wellsboro St. 1 at 41, 43).  </w:t>
      </w:r>
      <w:r w:rsidR="00B706E5" w:rsidRPr="0029160A">
        <w:rPr>
          <w:rFonts w:eastAsiaTheme="minorHAnsi"/>
          <w:color w:val="000000" w:themeColor="text1"/>
          <w:szCs w:val="26"/>
        </w:rPr>
        <w:t xml:space="preserve">By aligning rates with costs, the Company </w:t>
      </w:r>
      <w:r w:rsidR="00B706E5" w:rsidRPr="0029160A">
        <w:rPr>
          <w:rFonts w:eastAsiaTheme="minorHAnsi"/>
          <w:color w:val="000000" w:themeColor="text1"/>
          <w:szCs w:val="26"/>
        </w:rPr>
        <w:lastRenderedPageBreak/>
        <w:t>argued its proposal supports the Company</w:t>
      </w:r>
      <w:r w:rsidR="007635D4" w:rsidRPr="0029160A">
        <w:rPr>
          <w:rFonts w:eastAsiaTheme="minorHAnsi"/>
          <w:color w:val="000000" w:themeColor="text1"/>
          <w:szCs w:val="26"/>
        </w:rPr>
        <w:t>’</w:t>
      </w:r>
      <w:r w:rsidR="00B706E5" w:rsidRPr="0029160A">
        <w:rPr>
          <w:rFonts w:eastAsiaTheme="minorHAnsi"/>
          <w:color w:val="000000" w:themeColor="text1"/>
          <w:szCs w:val="26"/>
        </w:rPr>
        <w:t>s ongoing efforts to invest in reliability projects.</w:t>
      </w:r>
      <w:r w:rsidR="00B706E5" w:rsidRPr="0029160A">
        <w:rPr>
          <w:rFonts w:eastAsiaTheme="minorHAnsi"/>
          <w:color w:val="000000" w:themeColor="text1"/>
          <w:sz w:val="24"/>
          <w:szCs w:val="24"/>
        </w:rPr>
        <w:t xml:space="preserve">  </w:t>
      </w:r>
      <w:r w:rsidR="00B706E5" w:rsidRPr="0029160A">
        <w:rPr>
          <w:color w:val="000000" w:themeColor="text1"/>
          <w:szCs w:val="26"/>
        </w:rPr>
        <w:t xml:space="preserve">R.D. at 112 (citing Wellsboro St. 1 at 40-42).  </w:t>
      </w:r>
      <w:r w:rsidRPr="0029160A">
        <w:rPr>
          <w:color w:val="000000" w:themeColor="text1"/>
          <w:szCs w:val="26"/>
        </w:rPr>
        <w:t>Wellsboro argued that its proposal to include a small part of demand costs in the fixed monthly fee is reasonable, aligns closely with cost-causation principles</w:t>
      </w:r>
      <w:r w:rsidR="00B706E5" w:rsidRPr="0029160A">
        <w:rPr>
          <w:color w:val="000000" w:themeColor="text1"/>
          <w:szCs w:val="26"/>
        </w:rPr>
        <w:t xml:space="preserve"> </w:t>
      </w:r>
      <w:r w:rsidRPr="0029160A">
        <w:rPr>
          <w:color w:val="000000" w:themeColor="text1"/>
          <w:szCs w:val="26"/>
        </w:rPr>
        <w:t>and s</w:t>
      </w:r>
      <w:r w:rsidR="00182666" w:rsidRPr="0029160A">
        <w:rPr>
          <w:color w:val="000000" w:themeColor="text1"/>
          <w:szCs w:val="26"/>
        </w:rPr>
        <w:t>atisfies the</w:t>
      </w:r>
      <w:r w:rsidRPr="0029160A">
        <w:rPr>
          <w:color w:val="000000" w:themeColor="text1"/>
          <w:szCs w:val="26"/>
        </w:rPr>
        <w:t xml:space="preserve"> </w:t>
      </w:r>
      <w:r w:rsidR="00182666" w:rsidRPr="0029160A">
        <w:rPr>
          <w:color w:val="000000" w:themeColor="text1"/>
          <w:szCs w:val="26"/>
        </w:rPr>
        <w:t>14</w:t>
      </w:r>
      <w:r w:rsidR="00B706E5" w:rsidRPr="0029160A">
        <w:rPr>
          <w:color w:val="000000" w:themeColor="text1"/>
          <w:szCs w:val="26"/>
        </w:rPr>
        <w:t xml:space="preserve"> policy</w:t>
      </w:r>
      <w:r w:rsidR="00182666" w:rsidRPr="0029160A">
        <w:rPr>
          <w:color w:val="000000" w:themeColor="text1"/>
          <w:szCs w:val="26"/>
        </w:rPr>
        <w:t xml:space="preserve"> factors enumerated </w:t>
      </w:r>
      <w:r w:rsidR="00B706E5" w:rsidRPr="0029160A">
        <w:rPr>
          <w:color w:val="000000" w:themeColor="text1"/>
          <w:szCs w:val="26"/>
        </w:rPr>
        <w:t xml:space="preserve">in the </w:t>
      </w:r>
      <w:r w:rsidR="00B706E5" w:rsidRPr="0029160A">
        <w:rPr>
          <w:i/>
          <w:iCs/>
          <w:color w:val="000000" w:themeColor="text1"/>
          <w:szCs w:val="26"/>
        </w:rPr>
        <w:t>Final Policy Statement</w:t>
      </w:r>
      <w:r w:rsidR="00B706E5" w:rsidRPr="0029160A">
        <w:rPr>
          <w:color w:val="000000" w:themeColor="text1"/>
          <w:szCs w:val="26"/>
        </w:rPr>
        <w:t xml:space="preserve"> at 52 Pa. Code §§ 69.3301-3302 and the</w:t>
      </w:r>
      <w:r w:rsidRPr="0029160A">
        <w:rPr>
          <w:color w:val="000000" w:themeColor="text1"/>
          <w:szCs w:val="26"/>
        </w:rPr>
        <w:t xml:space="preserve"> </w:t>
      </w:r>
      <w:r w:rsidRPr="0029160A">
        <w:rPr>
          <w:i/>
          <w:iCs/>
          <w:color w:val="000000" w:themeColor="text1"/>
          <w:szCs w:val="26"/>
        </w:rPr>
        <w:t>Fixed Utility Distribution Rates Policy Statement Order</w:t>
      </w:r>
      <w:r w:rsidRPr="0029160A">
        <w:rPr>
          <w:color w:val="000000" w:themeColor="text1"/>
          <w:szCs w:val="26"/>
        </w:rPr>
        <w:t>, Docket No. M-2015-2518883 (Order entered July 18, 2019) (</w:t>
      </w:r>
      <w:r w:rsidRPr="0029160A">
        <w:rPr>
          <w:i/>
          <w:iCs/>
          <w:color w:val="000000" w:themeColor="text1"/>
          <w:szCs w:val="26"/>
        </w:rPr>
        <w:t>Final Policy Statement Order</w:t>
      </w:r>
      <w:r w:rsidRPr="0029160A">
        <w:rPr>
          <w:color w:val="000000" w:themeColor="text1"/>
          <w:szCs w:val="26"/>
        </w:rPr>
        <w:t>).  R.D. at 112 (citing Wellsboro St.</w:t>
      </w:r>
      <w:r w:rsidR="00D23B4E" w:rsidRPr="0029160A">
        <w:rPr>
          <w:color w:val="000000" w:themeColor="text1"/>
          <w:szCs w:val="26"/>
        </w:rPr>
        <w:t> </w:t>
      </w:r>
      <w:r w:rsidRPr="0029160A">
        <w:rPr>
          <w:color w:val="000000" w:themeColor="text1"/>
          <w:szCs w:val="26"/>
        </w:rPr>
        <w:t>1 at 40-42).</w:t>
      </w:r>
    </w:p>
    <w:p w14:paraId="1A88359D" w14:textId="77777777" w:rsidR="00D12675" w:rsidRPr="0029160A" w:rsidRDefault="00D12675" w:rsidP="00CB0B2E">
      <w:pPr>
        <w:widowControl/>
        <w:spacing w:line="360" w:lineRule="auto"/>
        <w:ind w:firstLine="1440"/>
        <w:rPr>
          <w:color w:val="000000" w:themeColor="text1"/>
          <w:szCs w:val="26"/>
        </w:rPr>
      </w:pPr>
    </w:p>
    <w:p w14:paraId="767D75AA" w14:textId="77777777" w:rsidR="006D4BFD" w:rsidRPr="0029160A" w:rsidRDefault="003A629E" w:rsidP="00CB0B2E">
      <w:pPr>
        <w:widowControl/>
        <w:spacing w:line="360" w:lineRule="auto"/>
        <w:ind w:firstLine="1440"/>
        <w:rPr>
          <w:rFonts w:eastAsia="Calibri"/>
          <w:color w:val="000000" w:themeColor="text1"/>
          <w:szCs w:val="26"/>
        </w:rPr>
      </w:pPr>
      <w:r w:rsidRPr="0029160A">
        <w:rPr>
          <w:rFonts w:eastAsiaTheme="minorHAnsi"/>
          <w:color w:val="000000" w:themeColor="text1"/>
          <w:szCs w:val="26"/>
        </w:rPr>
        <w:t xml:space="preserve">The OCA opposed the inclusion of demand-related costs in the monthly customer charge or agree that the demand-related amounts should increase over time.  </w:t>
      </w:r>
      <w:r w:rsidR="00D12675" w:rsidRPr="0029160A">
        <w:rPr>
          <w:rFonts w:eastAsiaTheme="minorHAnsi"/>
          <w:color w:val="000000" w:themeColor="text1"/>
          <w:szCs w:val="26"/>
        </w:rPr>
        <w:t xml:space="preserve">The </w:t>
      </w:r>
      <w:r w:rsidRPr="0029160A">
        <w:rPr>
          <w:rFonts w:eastAsiaTheme="minorHAnsi"/>
          <w:color w:val="000000" w:themeColor="text1"/>
          <w:szCs w:val="26"/>
        </w:rPr>
        <w:t>OCA argue</w:t>
      </w:r>
      <w:r w:rsidR="00D12675" w:rsidRPr="0029160A">
        <w:rPr>
          <w:rFonts w:eastAsiaTheme="minorHAnsi"/>
          <w:color w:val="000000" w:themeColor="text1"/>
          <w:szCs w:val="26"/>
        </w:rPr>
        <w:t>d</w:t>
      </w:r>
      <w:r w:rsidRPr="0029160A">
        <w:rPr>
          <w:rFonts w:eastAsiaTheme="minorHAnsi"/>
          <w:color w:val="000000" w:themeColor="text1"/>
          <w:szCs w:val="26"/>
        </w:rPr>
        <w:t xml:space="preserve"> that Wellsboro’s proposal marks a dramatic change in how it and the Commission have developed customer charges in the past without any support and that such a change would also alter the price signals customers have become accustomed to without any meaningful benefit.</w:t>
      </w:r>
      <w:r w:rsidR="00F42F25" w:rsidRPr="0029160A">
        <w:rPr>
          <w:rFonts w:eastAsiaTheme="minorHAnsi"/>
          <w:color w:val="000000" w:themeColor="text1"/>
          <w:szCs w:val="26"/>
        </w:rPr>
        <w:t xml:space="preserve">  R.D. at 114 (citing OCA St. 4 at 25-26).</w:t>
      </w:r>
      <w:r w:rsidR="00D12675" w:rsidRPr="0029160A">
        <w:rPr>
          <w:rFonts w:eastAsia="Calibri"/>
          <w:color w:val="000000" w:themeColor="text1"/>
          <w:szCs w:val="26"/>
        </w:rPr>
        <w:t xml:space="preserve">  The OCA’s position is that Wellsboro’s proposed inclusion of demand charges as a part of the customer charge has the opposite effect because the inclusion of demand charges in the fixed customer charge prevents the customer from seeing price signals that would otherwise encourage conservation and the efficient use of electricity.  R.D. at 116 (citing OCA St. 4 at 27).</w:t>
      </w:r>
    </w:p>
    <w:p w14:paraId="4617EC59" w14:textId="77777777" w:rsidR="006D4BFD" w:rsidRPr="0029160A" w:rsidRDefault="006D4BFD" w:rsidP="00CB0B2E">
      <w:pPr>
        <w:widowControl/>
        <w:spacing w:line="360" w:lineRule="auto"/>
        <w:ind w:firstLine="1440"/>
        <w:rPr>
          <w:rFonts w:eastAsia="Calibri"/>
          <w:color w:val="000000" w:themeColor="text1"/>
          <w:szCs w:val="26"/>
        </w:rPr>
      </w:pPr>
    </w:p>
    <w:p w14:paraId="1ED2FA43" w14:textId="75618024" w:rsidR="00182666" w:rsidRPr="0029160A" w:rsidRDefault="006D4BFD" w:rsidP="00CB0B2E">
      <w:pPr>
        <w:widowControl/>
        <w:spacing w:line="360" w:lineRule="auto"/>
        <w:ind w:firstLine="1440"/>
        <w:rPr>
          <w:rFonts w:eastAsiaTheme="minorHAnsi"/>
          <w:color w:val="000000" w:themeColor="text1"/>
          <w:szCs w:val="26"/>
        </w:rPr>
      </w:pPr>
      <w:r w:rsidRPr="0029160A">
        <w:rPr>
          <w:rFonts w:eastAsia="Calibri"/>
          <w:color w:val="000000" w:themeColor="text1"/>
          <w:szCs w:val="26"/>
        </w:rPr>
        <w:t xml:space="preserve">The </w:t>
      </w:r>
      <w:r w:rsidR="00D12675" w:rsidRPr="0029160A">
        <w:rPr>
          <w:rFonts w:eastAsia="Calibri"/>
          <w:color w:val="000000" w:themeColor="text1"/>
          <w:szCs w:val="26"/>
        </w:rPr>
        <w:t xml:space="preserve">OSBA opposed the level of Wellsboro’s proposed customer charges for the </w:t>
      </w:r>
      <w:r w:rsidR="002F78E0" w:rsidRPr="0029160A">
        <w:rPr>
          <w:rFonts w:eastAsia="Calibri"/>
          <w:color w:val="000000" w:themeColor="text1"/>
          <w:szCs w:val="26"/>
        </w:rPr>
        <w:t>Non-Residential Service (</w:t>
      </w:r>
      <w:r w:rsidR="00D12675" w:rsidRPr="0029160A">
        <w:rPr>
          <w:rFonts w:eastAsia="Calibri"/>
          <w:color w:val="000000" w:themeColor="text1"/>
          <w:szCs w:val="26"/>
        </w:rPr>
        <w:t>NRS</w:t>
      </w:r>
      <w:r w:rsidR="002F78E0" w:rsidRPr="0029160A">
        <w:rPr>
          <w:rFonts w:eastAsia="Calibri"/>
          <w:color w:val="000000" w:themeColor="text1"/>
          <w:szCs w:val="26"/>
        </w:rPr>
        <w:t>)</w:t>
      </w:r>
      <w:r w:rsidR="00D12675" w:rsidRPr="0029160A">
        <w:rPr>
          <w:rFonts w:eastAsia="Calibri"/>
          <w:color w:val="000000" w:themeColor="text1"/>
          <w:szCs w:val="26"/>
        </w:rPr>
        <w:t xml:space="preserve">, NRH, CS and CSH service classes. </w:t>
      </w:r>
      <w:r w:rsidRPr="0029160A">
        <w:rPr>
          <w:rFonts w:eastAsia="Calibri"/>
          <w:color w:val="000000" w:themeColor="text1"/>
          <w:szCs w:val="26"/>
        </w:rPr>
        <w:t xml:space="preserve"> R.D. at 188.  Specifically, </w:t>
      </w:r>
      <w:r w:rsidR="00D12675" w:rsidRPr="0029160A">
        <w:rPr>
          <w:rFonts w:eastAsia="Calibri"/>
          <w:color w:val="000000" w:themeColor="text1"/>
          <w:szCs w:val="26"/>
        </w:rPr>
        <w:t xml:space="preserve">Wellsboro </w:t>
      </w:r>
      <w:r w:rsidRPr="0029160A">
        <w:rPr>
          <w:rFonts w:eastAsia="Calibri"/>
          <w:color w:val="000000" w:themeColor="text1"/>
          <w:szCs w:val="26"/>
        </w:rPr>
        <w:t>proposed</w:t>
      </w:r>
      <w:r w:rsidR="00D12675" w:rsidRPr="0029160A">
        <w:rPr>
          <w:rFonts w:eastAsia="Calibri"/>
          <w:color w:val="000000" w:themeColor="text1"/>
          <w:szCs w:val="26"/>
        </w:rPr>
        <w:t xml:space="preserve"> to increase the </w:t>
      </w:r>
      <w:r w:rsidRPr="0029160A">
        <w:rPr>
          <w:rFonts w:eastAsia="Calibri"/>
          <w:color w:val="000000" w:themeColor="text1"/>
          <w:szCs w:val="26"/>
        </w:rPr>
        <w:t xml:space="preserve">monthly </w:t>
      </w:r>
      <w:r w:rsidR="00D12675" w:rsidRPr="0029160A">
        <w:rPr>
          <w:rFonts w:eastAsia="Calibri"/>
          <w:color w:val="000000" w:themeColor="text1"/>
          <w:szCs w:val="26"/>
        </w:rPr>
        <w:t>customer charge for</w:t>
      </w:r>
      <w:r w:rsidRPr="0029160A">
        <w:rPr>
          <w:rFonts w:eastAsia="Calibri"/>
          <w:color w:val="000000" w:themeColor="text1"/>
          <w:szCs w:val="26"/>
        </w:rPr>
        <w:t xml:space="preserve">: </w:t>
      </w:r>
      <w:r w:rsidR="00972F99" w:rsidRPr="0029160A">
        <w:rPr>
          <w:rFonts w:eastAsia="Calibri"/>
          <w:color w:val="000000" w:themeColor="text1"/>
          <w:szCs w:val="26"/>
        </w:rPr>
        <w:t>(1)</w:t>
      </w:r>
      <w:r w:rsidR="002F3B4E" w:rsidRPr="0029160A">
        <w:rPr>
          <w:rFonts w:eastAsia="Calibri"/>
          <w:color w:val="000000" w:themeColor="text1"/>
          <w:szCs w:val="26"/>
        </w:rPr>
        <w:t xml:space="preserve"> </w:t>
      </w:r>
      <w:r w:rsidRPr="0029160A">
        <w:rPr>
          <w:rFonts w:eastAsia="Calibri"/>
          <w:color w:val="000000" w:themeColor="text1"/>
          <w:szCs w:val="26"/>
        </w:rPr>
        <w:t>rates</w:t>
      </w:r>
      <w:r w:rsidR="00D12675" w:rsidRPr="0029160A">
        <w:rPr>
          <w:rFonts w:eastAsia="Calibri"/>
          <w:color w:val="000000" w:themeColor="text1"/>
          <w:szCs w:val="26"/>
        </w:rPr>
        <w:t xml:space="preserve"> NRS and NRH</w:t>
      </w:r>
      <w:r w:rsidRPr="0029160A">
        <w:rPr>
          <w:rFonts w:eastAsia="Calibri"/>
          <w:color w:val="000000" w:themeColor="text1"/>
          <w:szCs w:val="26"/>
        </w:rPr>
        <w:t xml:space="preserve">, </w:t>
      </w:r>
      <w:r w:rsidR="00D12675" w:rsidRPr="0029160A">
        <w:rPr>
          <w:rFonts w:eastAsia="Calibri"/>
          <w:color w:val="000000" w:themeColor="text1"/>
          <w:szCs w:val="26"/>
        </w:rPr>
        <w:t>from $12.22 to $13.40</w:t>
      </w:r>
      <w:r w:rsidRPr="0029160A">
        <w:rPr>
          <w:rFonts w:eastAsia="Calibri"/>
          <w:color w:val="000000" w:themeColor="text1"/>
          <w:szCs w:val="26"/>
        </w:rPr>
        <w:t xml:space="preserve">, </w:t>
      </w:r>
      <w:r w:rsidR="00D12675" w:rsidRPr="0029160A">
        <w:rPr>
          <w:rFonts w:eastAsia="Calibri"/>
          <w:color w:val="000000" w:themeColor="text1"/>
          <w:szCs w:val="26"/>
        </w:rPr>
        <w:t>or 9.7%.</w:t>
      </w:r>
      <w:bookmarkStart w:id="172" w:name="_Hlk32144472"/>
      <w:r w:rsidRPr="0029160A">
        <w:rPr>
          <w:rFonts w:eastAsiaTheme="minorHAnsi"/>
          <w:color w:val="000000" w:themeColor="text1"/>
          <w:szCs w:val="26"/>
        </w:rPr>
        <w:t>;</w:t>
      </w:r>
      <w:r w:rsidRPr="0029160A">
        <w:rPr>
          <w:rFonts w:eastAsia="Calibri"/>
          <w:color w:val="000000" w:themeColor="text1"/>
          <w:szCs w:val="26"/>
        </w:rPr>
        <w:t xml:space="preserve"> </w:t>
      </w:r>
      <w:r w:rsidR="00972F99" w:rsidRPr="0029160A">
        <w:rPr>
          <w:rFonts w:eastAsia="Calibri"/>
          <w:color w:val="000000" w:themeColor="text1"/>
          <w:szCs w:val="26"/>
        </w:rPr>
        <w:t xml:space="preserve">(2) </w:t>
      </w:r>
      <w:r w:rsidRPr="0029160A">
        <w:rPr>
          <w:rFonts w:eastAsia="Calibri"/>
          <w:color w:val="000000" w:themeColor="text1"/>
          <w:szCs w:val="26"/>
        </w:rPr>
        <w:t xml:space="preserve">for rate CS, from $32.02 to $35.00, or 9.3%; and </w:t>
      </w:r>
      <w:r w:rsidR="00972F99" w:rsidRPr="0029160A">
        <w:rPr>
          <w:rFonts w:eastAsia="Calibri"/>
          <w:color w:val="000000" w:themeColor="text1"/>
          <w:szCs w:val="26"/>
        </w:rPr>
        <w:t xml:space="preserve">(3) </w:t>
      </w:r>
      <w:r w:rsidRPr="0029160A">
        <w:rPr>
          <w:rFonts w:eastAsia="Calibri"/>
          <w:color w:val="000000" w:themeColor="text1"/>
          <w:szCs w:val="26"/>
        </w:rPr>
        <w:t xml:space="preserve">for rate CSH, from $45.81 to $58.00, or 26.6%.  The </w:t>
      </w:r>
      <w:r w:rsidR="00D12675" w:rsidRPr="0029160A">
        <w:rPr>
          <w:rFonts w:eastAsia="Calibri"/>
          <w:color w:val="000000" w:themeColor="text1"/>
          <w:szCs w:val="26"/>
        </w:rPr>
        <w:t>OSBA argue</w:t>
      </w:r>
      <w:r w:rsidRPr="0029160A">
        <w:rPr>
          <w:rFonts w:eastAsia="Calibri"/>
          <w:color w:val="000000" w:themeColor="text1"/>
          <w:szCs w:val="26"/>
        </w:rPr>
        <w:t xml:space="preserve">d </w:t>
      </w:r>
      <w:r w:rsidR="00D12675" w:rsidRPr="0029160A">
        <w:rPr>
          <w:rFonts w:eastAsia="Calibri"/>
          <w:color w:val="000000" w:themeColor="text1"/>
          <w:szCs w:val="26"/>
        </w:rPr>
        <w:t>that Wellsboro’s proposal</w:t>
      </w:r>
      <w:bookmarkEnd w:id="172"/>
      <w:r w:rsidR="00D12675" w:rsidRPr="0029160A">
        <w:rPr>
          <w:rFonts w:eastAsia="Calibri"/>
          <w:color w:val="000000" w:themeColor="text1"/>
          <w:szCs w:val="26"/>
        </w:rPr>
        <w:t xml:space="preserve"> is inconsistent with its own customer cost analysis and therefore recommend</w:t>
      </w:r>
      <w:r w:rsidRPr="0029160A">
        <w:rPr>
          <w:rFonts w:eastAsia="Calibri"/>
          <w:color w:val="000000" w:themeColor="text1"/>
          <w:szCs w:val="26"/>
        </w:rPr>
        <w:t>ed</w:t>
      </w:r>
      <w:r w:rsidR="00D12675" w:rsidRPr="0029160A">
        <w:rPr>
          <w:rFonts w:eastAsia="Calibri"/>
          <w:color w:val="000000" w:themeColor="text1"/>
          <w:szCs w:val="26"/>
        </w:rPr>
        <w:t xml:space="preserve"> that the </w:t>
      </w:r>
      <w:r w:rsidRPr="0029160A">
        <w:rPr>
          <w:rFonts w:eastAsia="Calibri"/>
          <w:color w:val="000000" w:themeColor="text1"/>
          <w:szCs w:val="26"/>
        </w:rPr>
        <w:t xml:space="preserve">monthly </w:t>
      </w:r>
      <w:r w:rsidR="00D12675" w:rsidRPr="0029160A">
        <w:rPr>
          <w:rFonts w:eastAsia="Calibri"/>
          <w:color w:val="000000" w:themeColor="text1"/>
          <w:szCs w:val="26"/>
        </w:rPr>
        <w:t>customer charge remain unchanged</w:t>
      </w:r>
      <w:r w:rsidR="00D962EB" w:rsidRPr="0029160A">
        <w:rPr>
          <w:rFonts w:eastAsia="Calibri"/>
          <w:color w:val="000000" w:themeColor="text1"/>
          <w:szCs w:val="26"/>
        </w:rPr>
        <w:t>:</w:t>
      </w:r>
      <w:r w:rsidR="00D12675" w:rsidRPr="0029160A">
        <w:rPr>
          <w:rFonts w:eastAsia="Calibri"/>
          <w:color w:val="000000" w:themeColor="text1"/>
          <w:szCs w:val="26"/>
        </w:rPr>
        <w:t xml:space="preserve"> </w:t>
      </w:r>
      <w:r w:rsidR="00D962EB" w:rsidRPr="0029160A">
        <w:rPr>
          <w:rFonts w:eastAsia="Calibri"/>
          <w:color w:val="000000" w:themeColor="text1"/>
          <w:szCs w:val="26"/>
        </w:rPr>
        <w:t xml:space="preserve">(1) </w:t>
      </w:r>
      <w:r w:rsidR="00D12675" w:rsidRPr="0029160A">
        <w:rPr>
          <w:rFonts w:eastAsia="Calibri"/>
          <w:color w:val="000000" w:themeColor="text1"/>
          <w:szCs w:val="26"/>
        </w:rPr>
        <w:t>at $12.22</w:t>
      </w:r>
      <w:r w:rsidRPr="0029160A">
        <w:rPr>
          <w:rFonts w:eastAsia="Calibri"/>
          <w:color w:val="000000" w:themeColor="text1"/>
          <w:szCs w:val="26"/>
        </w:rPr>
        <w:t xml:space="preserve"> for Rates NRS/NRH; </w:t>
      </w:r>
      <w:r w:rsidR="00D962EB" w:rsidRPr="0029160A">
        <w:rPr>
          <w:rFonts w:eastAsia="Calibri"/>
          <w:color w:val="000000" w:themeColor="text1"/>
          <w:szCs w:val="26"/>
        </w:rPr>
        <w:t xml:space="preserve">(2) </w:t>
      </w:r>
      <w:r w:rsidRPr="0029160A">
        <w:rPr>
          <w:rFonts w:eastAsia="Calibri"/>
          <w:color w:val="000000" w:themeColor="text1"/>
          <w:szCs w:val="26"/>
        </w:rPr>
        <w:t xml:space="preserve">at $32.03 for Rate CS; and </w:t>
      </w:r>
      <w:r w:rsidR="00D962EB" w:rsidRPr="0029160A">
        <w:rPr>
          <w:rFonts w:eastAsia="Calibri"/>
          <w:color w:val="000000" w:themeColor="text1"/>
          <w:szCs w:val="26"/>
        </w:rPr>
        <w:t xml:space="preserve">(3) </w:t>
      </w:r>
      <w:r w:rsidRPr="0029160A">
        <w:rPr>
          <w:rFonts w:eastAsia="Calibri"/>
          <w:color w:val="000000" w:themeColor="text1"/>
          <w:szCs w:val="26"/>
        </w:rPr>
        <w:t xml:space="preserve">at $45.91 for Rate CSH customers.  </w:t>
      </w:r>
      <w:r w:rsidRPr="0029160A">
        <w:rPr>
          <w:rFonts w:eastAsia="Calibri"/>
          <w:color w:val="000000" w:themeColor="text1"/>
          <w:szCs w:val="26"/>
        </w:rPr>
        <w:lastRenderedPageBreak/>
        <w:t>The OSBA argued that none of the</w:t>
      </w:r>
      <w:r w:rsidR="00D12675" w:rsidRPr="0029160A">
        <w:rPr>
          <w:rFonts w:eastAsia="Calibri"/>
          <w:color w:val="000000" w:themeColor="text1"/>
          <w:szCs w:val="26"/>
        </w:rPr>
        <w:t xml:space="preserve"> customers</w:t>
      </w:r>
      <w:r w:rsidRPr="0029160A">
        <w:rPr>
          <w:rFonts w:eastAsia="Calibri"/>
          <w:color w:val="000000" w:themeColor="text1"/>
          <w:szCs w:val="26"/>
        </w:rPr>
        <w:t xml:space="preserve"> in these </w:t>
      </w:r>
      <w:r w:rsidR="00772A9B" w:rsidRPr="0029160A">
        <w:rPr>
          <w:rFonts w:eastAsia="Calibri"/>
          <w:color w:val="000000" w:themeColor="text1"/>
          <w:szCs w:val="26"/>
        </w:rPr>
        <w:t>r</w:t>
      </w:r>
      <w:r w:rsidRPr="0029160A">
        <w:rPr>
          <w:rFonts w:eastAsia="Calibri"/>
          <w:color w:val="000000" w:themeColor="text1"/>
          <w:szCs w:val="26"/>
        </w:rPr>
        <w:t>ate classes</w:t>
      </w:r>
      <w:r w:rsidR="00D12675" w:rsidRPr="0029160A">
        <w:rPr>
          <w:rFonts w:eastAsia="Calibri"/>
          <w:color w:val="000000" w:themeColor="text1"/>
          <w:szCs w:val="26"/>
        </w:rPr>
        <w:t xml:space="preserve"> </w:t>
      </w:r>
      <w:r w:rsidRPr="0029160A">
        <w:rPr>
          <w:rFonts w:eastAsia="Calibri"/>
          <w:color w:val="000000" w:themeColor="text1"/>
          <w:szCs w:val="26"/>
        </w:rPr>
        <w:t xml:space="preserve">currently </w:t>
      </w:r>
      <w:r w:rsidR="00D12675" w:rsidRPr="0029160A">
        <w:rPr>
          <w:rFonts w:eastAsia="Calibri"/>
          <w:color w:val="000000" w:themeColor="text1"/>
          <w:szCs w:val="26"/>
        </w:rPr>
        <w:t>pay a demand charge</w:t>
      </w:r>
      <w:r w:rsidRPr="0029160A">
        <w:rPr>
          <w:rFonts w:eastAsia="Calibri"/>
          <w:color w:val="000000" w:themeColor="text1"/>
          <w:szCs w:val="26"/>
        </w:rPr>
        <w:t xml:space="preserve"> and that </w:t>
      </w:r>
      <w:r w:rsidR="00D12675" w:rsidRPr="0029160A">
        <w:rPr>
          <w:rFonts w:eastAsia="Calibri"/>
          <w:color w:val="000000" w:themeColor="text1"/>
          <w:szCs w:val="26"/>
        </w:rPr>
        <w:t>the balance of each class’s assigned revenue requirement should be recovered in the energy ($/kWh) charge.</w:t>
      </w:r>
      <w:r w:rsidR="00F16DF4" w:rsidRPr="0029160A">
        <w:rPr>
          <w:rFonts w:eastAsia="Calibri"/>
          <w:color w:val="000000" w:themeColor="text1"/>
          <w:szCs w:val="26"/>
        </w:rPr>
        <w:t xml:space="preserve">  </w:t>
      </w:r>
      <w:bookmarkStart w:id="173" w:name="_Hlk32151679"/>
      <w:r w:rsidRPr="0029160A">
        <w:rPr>
          <w:rFonts w:eastAsiaTheme="minorHAnsi"/>
          <w:color w:val="000000" w:themeColor="text1"/>
          <w:szCs w:val="26"/>
        </w:rPr>
        <w:t>R.D. at 118 (citing OSBA St. 1 at 10-13).</w:t>
      </w:r>
      <w:bookmarkEnd w:id="173"/>
    </w:p>
    <w:p w14:paraId="1ED78D58" w14:textId="77777777" w:rsidR="00182666" w:rsidRPr="0029160A" w:rsidRDefault="00182666" w:rsidP="00CB0B2E">
      <w:pPr>
        <w:widowControl/>
        <w:spacing w:line="360" w:lineRule="auto"/>
        <w:ind w:firstLine="1440"/>
        <w:rPr>
          <w:rFonts w:eastAsiaTheme="minorHAnsi"/>
          <w:color w:val="000000" w:themeColor="text1"/>
          <w:szCs w:val="26"/>
        </w:rPr>
      </w:pPr>
    </w:p>
    <w:p w14:paraId="4E563ADD" w14:textId="560A8916" w:rsidR="00182666" w:rsidRPr="0029160A" w:rsidRDefault="00BA2BC0" w:rsidP="00CB0B2E">
      <w:pPr>
        <w:widowControl/>
        <w:spacing w:line="360" w:lineRule="auto"/>
        <w:ind w:firstLine="1440"/>
        <w:rPr>
          <w:rFonts w:eastAsiaTheme="minorHAnsi"/>
          <w:color w:val="000000" w:themeColor="text1"/>
          <w:szCs w:val="26"/>
        </w:rPr>
      </w:pPr>
      <w:r w:rsidRPr="0029160A">
        <w:rPr>
          <w:rFonts w:eastAsia="Calibri"/>
          <w:color w:val="000000" w:themeColor="text1"/>
          <w:szCs w:val="26"/>
        </w:rPr>
        <w:t>Like the OCA, I&amp;E also opposed Wellsboro’s proposal to include a portion of the demand-related costs in the customer charge because it will send inaccurate price signals to customers.  R.D. at 119-120 (citing I&amp;E St. 3 at 30-31).</w:t>
      </w:r>
      <w:r w:rsidR="00A03760" w:rsidRPr="0029160A">
        <w:rPr>
          <w:rFonts w:eastAsia="Calibri"/>
          <w:color w:val="000000" w:themeColor="text1"/>
          <w:szCs w:val="26"/>
        </w:rPr>
        <w:t xml:space="preserve">  </w:t>
      </w:r>
      <w:r w:rsidRPr="0029160A">
        <w:rPr>
          <w:rFonts w:eastAsiaTheme="minorHAnsi"/>
          <w:color w:val="000000" w:themeColor="text1"/>
          <w:szCs w:val="26"/>
        </w:rPr>
        <w:t xml:space="preserve">I&amp;E proposed customer charges be limited to what can be supported by Wellsboro’s customer cost analysis, which shows that the RS and RSAE class customer charges should only be increased to $12.00 and that there is no cost basis for increasing the NRS, NRH, </w:t>
      </w:r>
      <w:r w:rsidRPr="0029160A">
        <w:rPr>
          <w:rFonts w:eastAsiaTheme="minorHAnsi"/>
          <w:bCs/>
          <w:color w:val="000000" w:themeColor="text1"/>
          <w:szCs w:val="26"/>
        </w:rPr>
        <w:t>CS, and CSH</w:t>
      </w:r>
      <w:r w:rsidRPr="0029160A">
        <w:rPr>
          <w:rFonts w:eastAsiaTheme="minorHAnsi"/>
          <w:color w:val="000000" w:themeColor="text1"/>
          <w:szCs w:val="26"/>
        </w:rPr>
        <w:t xml:space="preserve"> classes from their existing customer charges.</w:t>
      </w:r>
      <w:r w:rsidR="00146E3C" w:rsidRPr="0029160A">
        <w:rPr>
          <w:rFonts w:eastAsiaTheme="minorHAnsi"/>
          <w:color w:val="000000" w:themeColor="text1"/>
          <w:szCs w:val="26"/>
        </w:rPr>
        <w:t xml:space="preserve">  </w:t>
      </w:r>
      <w:r w:rsidR="00182666" w:rsidRPr="0029160A">
        <w:rPr>
          <w:rFonts w:eastAsia="Calibri"/>
          <w:color w:val="000000" w:themeColor="text1"/>
          <w:szCs w:val="26"/>
        </w:rPr>
        <w:t>R.D. at 120 (citing I&amp;E St. 3 at 37).</w:t>
      </w:r>
      <w:r w:rsidR="005559E3" w:rsidRPr="0029160A">
        <w:rPr>
          <w:rFonts w:eastAsia="Calibri"/>
          <w:color w:val="000000" w:themeColor="text1"/>
          <w:szCs w:val="26"/>
        </w:rPr>
        <w:t xml:space="preserve">  </w:t>
      </w:r>
      <w:r w:rsidRPr="0029160A">
        <w:rPr>
          <w:rFonts w:eastAsiaTheme="minorHAnsi"/>
          <w:color w:val="000000" w:themeColor="text1"/>
          <w:szCs w:val="26"/>
        </w:rPr>
        <w:t>Additionally, Wellsboro witness Gorman stated that the Company’s costs to maintain the system do not change even as customers implement net metering and reduce their total kWh usage, because those customers may return to their old usage levels at any point and that it is therefore reasonable for some of those costs to be recovered as demand related in the monthly fixed charge.</w:t>
      </w:r>
      <w:r w:rsidR="00182666" w:rsidRPr="0029160A">
        <w:rPr>
          <w:rFonts w:eastAsiaTheme="minorHAnsi"/>
          <w:color w:val="000000" w:themeColor="text1"/>
          <w:szCs w:val="26"/>
        </w:rPr>
        <w:t xml:space="preserve">  R.D. at 120-121.</w:t>
      </w:r>
    </w:p>
    <w:p w14:paraId="6D3A04C1" w14:textId="77777777" w:rsidR="00651332" w:rsidRPr="0029160A" w:rsidRDefault="00651332" w:rsidP="00CB0B2E">
      <w:pPr>
        <w:widowControl/>
        <w:spacing w:line="360" w:lineRule="auto"/>
        <w:ind w:firstLine="1440"/>
        <w:rPr>
          <w:rFonts w:eastAsiaTheme="minorHAnsi"/>
          <w:color w:val="000000" w:themeColor="text1"/>
          <w:szCs w:val="26"/>
        </w:rPr>
      </w:pPr>
    </w:p>
    <w:p w14:paraId="412AFBFE" w14:textId="54BEC465" w:rsidR="00182666" w:rsidRPr="0029160A" w:rsidRDefault="00182666" w:rsidP="00CB0B2E">
      <w:pPr>
        <w:widowControl/>
        <w:spacing w:line="360" w:lineRule="auto"/>
        <w:ind w:firstLine="1440"/>
        <w:rPr>
          <w:rFonts w:eastAsiaTheme="minorHAnsi"/>
          <w:color w:val="000000" w:themeColor="text1"/>
          <w:szCs w:val="26"/>
        </w:rPr>
      </w:pPr>
      <w:r w:rsidRPr="0029160A">
        <w:rPr>
          <w:color w:val="000000" w:themeColor="text1"/>
          <w:szCs w:val="26"/>
        </w:rPr>
        <w:t xml:space="preserve">I&amp;E also disagreed with Wellsboro’s argument that the proposed adjustment to the customer charge should be considered “alternative ratemaking” and accepted by the Commission.  R.D. at 121 (citing Wellsboro St. 1 at 31-32).  I&amp;E witness Cline disagreed with Wellsboro witness Gorman that the 14 factors enumerated by the Commission in its </w:t>
      </w:r>
      <w:r w:rsidRPr="0029160A">
        <w:rPr>
          <w:i/>
          <w:iCs/>
          <w:color w:val="000000" w:themeColor="text1"/>
          <w:szCs w:val="26"/>
        </w:rPr>
        <w:t>Final Policy Statement Order</w:t>
      </w:r>
      <w:r w:rsidRPr="0029160A">
        <w:rPr>
          <w:color w:val="000000" w:themeColor="text1"/>
          <w:szCs w:val="26"/>
        </w:rPr>
        <w:t xml:space="preserve"> are satisfied.</w:t>
      </w:r>
      <w:r w:rsidRPr="0029160A">
        <w:rPr>
          <w:rStyle w:val="FootnoteReference"/>
          <w:color w:val="000000" w:themeColor="text1"/>
          <w:szCs w:val="26"/>
        </w:rPr>
        <w:footnoteReference w:id="17"/>
      </w:r>
      <w:r w:rsidRPr="0029160A">
        <w:rPr>
          <w:color w:val="000000" w:themeColor="text1"/>
          <w:szCs w:val="26"/>
        </w:rPr>
        <w:t xml:space="preserve">  R.D. at 121-122 (citing </w:t>
      </w:r>
      <w:bookmarkStart w:id="174" w:name="_Hlk33002369"/>
      <w:r w:rsidRPr="0029160A">
        <w:rPr>
          <w:bCs/>
          <w:color w:val="000000" w:themeColor="text1"/>
          <w:szCs w:val="26"/>
        </w:rPr>
        <w:t>I&amp;E St. 3 at 35).</w:t>
      </w:r>
      <w:bookmarkEnd w:id="174"/>
      <w:r w:rsidR="005559E3" w:rsidRPr="0029160A">
        <w:rPr>
          <w:bCs/>
          <w:color w:val="000000" w:themeColor="text1"/>
          <w:szCs w:val="26"/>
        </w:rPr>
        <w:t xml:space="preserve"> </w:t>
      </w:r>
      <w:r w:rsidR="00D23B4E" w:rsidRPr="0029160A">
        <w:rPr>
          <w:bCs/>
          <w:color w:val="000000" w:themeColor="text1"/>
          <w:szCs w:val="26"/>
        </w:rPr>
        <w:t xml:space="preserve"> </w:t>
      </w:r>
      <w:r w:rsidRPr="0029160A">
        <w:rPr>
          <w:bCs/>
          <w:color w:val="000000" w:themeColor="text1"/>
          <w:szCs w:val="26"/>
        </w:rPr>
        <w:t>Last</w:t>
      </w:r>
      <w:r w:rsidR="005559E3" w:rsidRPr="0029160A">
        <w:rPr>
          <w:bCs/>
          <w:color w:val="000000" w:themeColor="text1"/>
          <w:szCs w:val="26"/>
        </w:rPr>
        <w:t>ly</w:t>
      </w:r>
      <w:r w:rsidRPr="0029160A">
        <w:rPr>
          <w:bCs/>
          <w:color w:val="000000" w:themeColor="text1"/>
          <w:szCs w:val="26"/>
        </w:rPr>
        <w:t xml:space="preserve">, I&amp;E argued that while Wellsboro primarily justified its proposal by reference to reliability, which may have some bearing on the Commission’s analysis; however, the multiple concerns cited by I&amp;E should outweigh this singular consideration.  Therefore, I&amp;E requested that the Commission reject Wellsboro’s proposal to assign a </w:t>
      </w:r>
      <w:r w:rsidRPr="0029160A">
        <w:rPr>
          <w:bCs/>
          <w:color w:val="000000" w:themeColor="text1"/>
          <w:szCs w:val="26"/>
        </w:rPr>
        <w:lastRenderedPageBreak/>
        <w:t>portion of demand charge to customer charge and instead adopt I&amp;E’s recommendations in accord with Wellsboro’s cost of service study.  R.D. at 122-123.</w:t>
      </w:r>
    </w:p>
    <w:p w14:paraId="29120C27" w14:textId="77777777" w:rsidR="00D72D1C" w:rsidRPr="0029160A" w:rsidRDefault="00D72D1C" w:rsidP="004D586D">
      <w:pPr>
        <w:widowControl/>
        <w:spacing w:line="360" w:lineRule="auto"/>
        <w:rPr>
          <w:color w:val="000000" w:themeColor="text1"/>
          <w:szCs w:val="26"/>
        </w:rPr>
      </w:pPr>
    </w:p>
    <w:p w14:paraId="3468F595" w14:textId="77777777" w:rsidR="00D72D1C" w:rsidRPr="0029160A" w:rsidRDefault="00D72D1C" w:rsidP="00CB0B2E">
      <w:pPr>
        <w:pStyle w:val="Heading4"/>
        <w:keepNext/>
        <w:keepLines/>
        <w:ind w:hanging="720"/>
        <w:rPr>
          <w:color w:val="000000" w:themeColor="text1"/>
        </w:rPr>
      </w:pPr>
      <w:bookmarkStart w:id="175" w:name="_Toc38951821"/>
      <w:r w:rsidRPr="0029160A">
        <w:rPr>
          <w:color w:val="000000" w:themeColor="text1"/>
        </w:rPr>
        <w:t>Recommended Decision</w:t>
      </w:r>
      <w:bookmarkEnd w:id="175"/>
    </w:p>
    <w:p w14:paraId="39A21E8F" w14:textId="77777777" w:rsidR="00D72D1C" w:rsidRPr="0029160A" w:rsidRDefault="00D72D1C" w:rsidP="004D586D">
      <w:pPr>
        <w:keepNext/>
        <w:keepLines/>
        <w:widowControl/>
        <w:spacing w:line="360" w:lineRule="auto"/>
        <w:rPr>
          <w:color w:val="000000" w:themeColor="text1"/>
          <w:szCs w:val="26"/>
        </w:rPr>
      </w:pPr>
    </w:p>
    <w:p w14:paraId="1B7B2E17" w14:textId="4EB94393" w:rsidR="00D72D1C" w:rsidRPr="0029160A" w:rsidRDefault="009049D7" w:rsidP="00D23B4E">
      <w:pPr>
        <w:widowControl/>
        <w:spacing w:line="360" w:lineRule="auto"/>
        <w:ind w:firstLine="1440"/>
        <w:rPr>
          <w:color w:val="000000" w:themeColor="text1"/>
          <w:szCs w:val="26"/>
        </w:rPr>
      </w:pPr>
      <w:r w:rsidRPr="0029160A">
        <w:rPr>
          <w:color w:val="000000" w:themeColor="text1"/>
          <w:szCs w:val="26"/>
        </w:rPr>
        <w:t xml:space="preserve">The ALJs recommended that the Commission reject Wellsboro’s proposal to assign a portion of demand charges to customer charges on the basis that customer charges have historically been limited to the unavoidable direct costs associated with billing an individual customer and because Wellsboro’s proposed customer charges are not supported by the customer cost analysis.  R.D. at 123.  The ALJs rejected Wellsboro’s argument that its proposal constitutes a qualifying alternative ratemaking proposal based on their finding that the proposal would not meet the stated purpose of the Commission’s </w:t>
      </w:r>
      <w:r w:rsidRPr="0029160A">
        <w:rPr>
          <w:i/>
          <w:iCs/>
          <w:color w:val="000000" w:themeColor="text1"/>
          <w:szCs w:val="26"/>
        </w:rPr>
        <w:t>Final Policy Statement</w:t>
      </w:r>
      <w:r w:rsidRPr="0029160A">
        <w:rPr>
          <w:color w:val="000000" w:themeColor="text1"/>
          <w:szCs w:val="26"/>
        </w:rPr>
        <w:t xml:space="preserve"> at 52 Pa. Code § 69.3301, which is to encourage efficient use of electricity.  R.D. at 123, 125.  The ALJs found that the OCA and I&amp;E demonstrated that including a portion of demand charges in the fixed customer charges will prevent customers from seeing price signals and thus have a detrimental effect on customer incentives to employ efficiency measures and distributed energy resources.  R.D. at 123-124.  The ALJs also agreed </w:t>
      </w:r>
      <w:r w:rsidR="002F3B4E" w:rsidRPr="0029160A">
        <w:rPr>
          <w:color w:val="000000" w:themeColor="text1"/>
          <w:szCs w:val="26"/>
        </w:rPr>
        <w:t>with I</w:t>
      </w:r>
      <w:r w:rsidRPr="0029160A">
        <w:rPr>
          <w:color w:val="000000" w:themeColor="text1"/>
          <w:szCs w:val="26"/>
        </w:rPr>
        <w:t>&amp;E that low-income customers who are also low usage customers would experience a higher percentage increase to their bill under Wellsboro’s proposal compared to a rate established under traditional ratemaking design.  Moreover, the ALJs found that Wellsboro’s proposed rate design does not align revenues with cost causation principles because it improperly counts demand costs as fixed costs and because its rate design fails to reduce intraclass cost-shifting.  R.D. at</w:t>
      </w:r>
      <w:r w:rsidR="004D586D" w:rsidRPr="0029160A">
        <w:rPr>
          <w:color w:val="000000" w:themeColor="text1"/>
          <w:szCs w:val="26"/>
        </w:rPr>
        <w:t> </w:t>
      </w:r>
      <w:r w:rsidRPr="0029160A">
        <w:rPr>
          <w:color w:val="000000" w:themeColor="text1"/>
          <w:szCs w:val="26"/>
        </w:rPr>
        <w:t>124.  The ALJs recommended that the Commission adopt I&amp;E’s proposed customer charges, which are supported by Wellsboro’s customer cost analysis.  R.D. at 125.</w:t>
      </w:r>
    </w:p>
    <w:p w14:paraId="5FA3EF89" w14:textId="77777777" w:rsidR="00D72D1C" w:rsidRPr="0029160A" w:rsidRDefault="00D72D1C" w:rsidP="00D23B4E">
      <w:pPr>
        <w:widowControl/>
        <w:spacing w:line="360" w:lineRule="auto"/>
        <w:rPr>
          <w:color w:val="000000" w:themeColor="text1"/>
          <w:szCs w:val="26"/>
        </w:rPr>
      </w:pPr>
    </w:p>
    <w:p w14:paraId="2F294A0A" w14:textId="77777777" w:rsidR="00D72D1C" w:rsidRPr="0029160A" w:rsidRDefault="009049D7" w:rsidP="00D23B4E">
      <w:pPr>
        <w:pStyle w:val="Heading4"/>
        <w:keepNext/>
        <w:keepLines/>
        <w:ind w:hanging="720"/>
        <w:rPr>
          <w:color w:val="000000" w:themeColor="text1"/>
        </w:rPr>
      </w:pPr>
      <w:bookmarkStart w:id="176" w:name="_Toc38951822"/>
      <w:r w:rsidRPr="0029160A">
        <w:rPr>
          <w:color w:val="000000" w:themeColor="text1"/>
        </w:rPr>
        <w:lastRenderedPageBreak/>
        <w:t>Wellsboro Ex</w:t>
      </w:r>
      <w:r w:rsidR="00312B42" w:rsidRPr="0029160A">
        <w:rPr>
          <w:color w:val="000000" w:themeColor="text1"/>
        </w:rPr>
        <w:t>ception</w:t>
      </w:r>
      <w:r w:rsidRPr="0029160A">
        <w:rPr>
          <w:color w:val="000000" w:themeColor="text1"/>
        </w:rPr>
        <w:t xml:space="preserve"> No. 10</w:t>
      </w:r>
      <w:r w:rsidR="00312B42" w:rsidRPr="0029160A">
        <w:rPr>
          <w:color w:val="000000" w:themeColor="text1"/>
        </w:rPr>
        <w:t xml:space="preserve"> and Replies</w:t>
      </w:r>
      <w:bookmarkEnd w:id="176"/>
    </w:p>
    <w:p w14:paraId="5E0A315B" w14:textId="77777777" w:rsidR="00D72D1C" w:rsidRPr="0029160A" w:rsidRDefault="00D72D1C" w:rsidP="00D23B4E">
      <w:pPr>
        <w:keepNext/>
        <w:keepLines/>
        <w:widowControl/>
        <w:spacing w:line="360" w:lineRule="auto"/>
        <w:ind w:firstLine="1440"/>
        <w:rPr>
          <w:color w:val="000000" w:themeColor="text1"/>
          <w:szCs w:val="26"/>
        </w:rPr>
      </w:pPr>
    </w:p>
    <w:p w14:paraId="48145416" w14:textId="647F1A1F" w:rsidR="009049D7" w:rsidRPr="0029160A" w:rsidRDefault="009049D7" w:rsidP="00D23B4E">
      <w:pPr>
        <w:widowControl/>
        <w:spacing w:line="360" w:lineRule="auto"/>
        <w:ind w:firstLine="1440"/>
        <w:rPr>
          <w:color w:val="000000" w:themeColor="text1"/>
          <w:szCs w:val="26"/>
        </w:rPr>
      </w:pPr>
      <w:r w:rsidRPr="0029160A">
        <w:rPr>
          <w:color w:val="000000" w:themeColor="text1"/>
          <w:szCs w:val="26"/>
        </w:rPr>
        <w:t xml:space="preserve">In Wellsboro Exception No. 10, Wellsboro submits that the ALJs erred in rejecting the Company’s proposal to recover minimum demand costs through the fixed monthly charge.  Wellsboro proposed to increase fixed monthly charges for Residential and Commercial customers to include a portion of demand charges equal to minimum demand.  Wellsboro avers that its proposal is an alternative ratemaking proposal under the </w:t>
      </w:r>
      <w:r w:rsidRPr="0029160A">
        <w:rPr>
          <w:i/>
          <w:iCs/>
          <w:color w:val="000000" w:themeColor="text1"/>
          <w:szCs w:val="26"/>
        </w:rPr>
        <w:t>Final Policy Statement</w:t>
      </w:r>
      <w:r w:rsidRPr="0029160A">
        <w:rPr>
          <w:color w:val="000000" w:themeColor="text1"/>
          <w:szCs w:val="26"/>
        </w:rPr>
        <w:t xml:space="preserve"> at 52 Pa. Code §§ 69.3301-3302.  Wellsboro argues the ALJs erred by misapplying the flexibility afforded by the </w:t>
      </w:r>
      <w:r w:rsidRPr="0029160A">
        <w:rPr>
          <w:i/>
          <w:iCs/>
          <w:color w:val="000000" w:themeColor="text1"/>
          <w:szCs w:val="26"/>
        </w:rPr>
        <w:t>Final Policy Statement</w:t>
      </w:r>
      <w:r w:rsidRPr="0029160A">
        <w:rPr>
          <w:color w:val="000000" w:themeColor="text1"/>
          <w:szCs w:val="26"/>
        </w:rPr>
        <w:t xml:space="preserve"> by misperceiving the purpose of alternative ratemaking mechanisms as intended to unilaterally promote energy efficiency.  Wellsboro cites to </w:t>
      </w:r>
      <w:r w:rsidRPr="0029160A">
        <w:rPr>
          <w:i/>
          <w:iCs/>
          <w:color w:val="000000" w:themeColor="text1"/>
          <w:szCs w:val="26"/>
        </w:rPr>
        <w:t>Pa. PUC v. Aqua Pennsylvania</w:t>
      </w:r>
      <w:r w:rsidRPr="0029160A">
        <w:rPr>
          <w:color w:val="000000" w:themeColor="text1"/>
          <w:szCs w:val="26"/>
        </w:rPr>
        <w:t>, 2004 Pa. PUC LEXIS 39 (Order entered August 5, 2004) (</w:t>
      </w:r>
      <w:r w:rsidRPr="0029160A">
        <w:rPr>
          <w:i/>
          <w:iCs/>
          <w:color w:val="000000" w:themeColor="text1"/>
          <w:szCs w:val="26"/>
        </w:rPr>
        <w:t>Aqua</w:t>
      </w:r>
      <w:r w:rsidRPr="0029160A">
        <w:rPr>
          <w:color w:val="000000" w:themeColor="text1"/>
          <w:szCs w:val="26"/>
        </w:rPr>
        <w:t>), to support its proposal.  Wellsboro Exc. at 23-28 (citing Wellsboro M.B. at 103-108; Wellsboro R.B. at 43-45; Wellsboro Statement 6-R at</w:t>
      </w:r>
      <w:r w:rsidR="002D4EC0" w:rsidRPr="0029160A">
        <w:rPr>
          <w:color w:val="000000" w:themeColor="text1"/>
          <w:szCs w:val="26"/>
        </w:rPr>
        <w:t> </w:t>
      </w:r>
      <w:r w:rsidRPr="0029160A">
        <w:rPr>
          <w:color w:val="000000" w:themeColor="text1"/>
          <w:szCs w:val="26"/>
        </w:rPr>
        <w:t>9).</w:t>
      </w:r>
    </w:p>
    <w:p w14:paraId="4EEABCA3" w14:textId="77777777" w:rsidR="009049D7" w:rsidRPr="0029160A" w:rsidRDefault="009049D7">
      <w:pPr>
        <w:widowControl/>
        <w:spacing w:line="360" w:lineRule="auto"/>
        <w:ind w:firstLine="1440"/>
        <w:rPr>
          <w:color w:val="000000" w:themeColor="text1"/>
          <w:szCs w:val="26"/>
        </w:rPr>
      </w:pPr>
    </w:p>
    <w:p w14:paraId="1E53A198" w14:textId="06F5F16B" w:rsidR="009049D7" w:rsidRPr="0029160A" w:rsidRDefault="009049D7" w:rsidP="002E0E3A">
      <w:pPr>
        <w:widowControl/>
        <w:spacing w:line="360" w:lineRule="auto"/>
        <w:ind w:firstLine="1440"/>
        <w:rPr>
          <w:color w:val="000000" w:themeColor="text1"/>
          <w:szCs w:val="26"/>
        </w:rPr>
      </w:pPr>
      <w:r w:rsidRPr="0029160A">
        <w:rPr>
          <w:color w:val="000000" w:themeColor="text1"/>
          <w:szCs w:val="26"/>
        </w:rPr>
        <w:t xml:space="preserve">In I&amp;E’s Replies to Wellsboro Exception No. 10, I&amp;E submits the ALJs correctly denied the Company’s proposal to recover minimum demand costs through the fixed monthly charge.  Regarding Wellsboro’s cite to </w:t>
      </w:r>
      <w:r w:rsidRPr="0029160A">
        <w:rPr>
          <w:i/>
          <w:iCs/>
          <w:color w:val="000000" w:themeColor="text1"/>
          <w:szCs w:val="26"/>
        </w:rPr>
        <w:t>Aqua</w:t>
      </w:r>
      <w:r w:rsidRPr="0029160A">
        <w:rPr>
          <w:color w:val="000000" w:themeColor="text1"/>
          <w:szCs w:val="26"/>
        </w:rPr>
        <w:t xml:space="preserve">, I&amp;E submits it is a limited example and Wellsboro misapplies it here as that case only applies to “general and administrative costs,” which volumetric charges are not.  Regarding the ALJs noting that customer charges have historically been limited to unavoidable direct costs associated with billing an individual customers, I&amp;E argues that Wellsboro mischaracterizes its proposal as only shifting a minimum of costs because Wellsboro </w:t>
      </w:r>
      <w:r w:rsidRPr="0029160A">
        <w:rPr>
          <w:bCs/>
          <w:color w:val="000000" w:themeColor="text1"/>
          <w:szCs w:val="26"/>
        </w:rPr>
        <w:t>views its proposal as just the first step to shifting more of the volumetric charge to the customer charge in the future.  I&amp;E submits, therefore, that Wellsboro has not justified why the ALJs erred in not allowing the Company to deviate from the historic practice of limiting the customer charge to recovery of unavoidable costs.</w:t>
      </w:r>
      <w:r w:rsidRPr="0029160A">
        <w:rPr>
          <w:color w:val="000000" w:themeColor="text1"/>
          <w:szCs w:val="26"/>
        </w:rPr>
        <w:t xml:space="preserve">  </w:t>
      </w:r>
      <w:r w:rsidRPr="0029160A">
        <w:rPr>
          <w:bCs/>
          <w:color w:val="000000" w:themeColor="text1"/>
          <w:szCs w:val="26"/>
        </w:rPr>
        <w:t>As for alternative ratemaking, I&amp;E acknowledges that while energy efficiency is a consideration, the ALJs clearly considered other factors in their analysis</w:t>
      </w:r>
      <w:r w:rsidRPr="0029160A">
        <w:rPr>
          <w:color w:val="000000" w:themeColor="text1"/>
          <w:szCs w:val="26"/>
        </w:rPr>
        <w:t xml:space="preserve"> of the proposal.  Specifically, t</w:t>
      </w:r>
      <w:r w:rsidRPr="0029160A">
        <w:rPr>
          <w:bCs/>
          <w:color w:val="000000" w:themeColor="text1"/>
          <w:szCs w:val="26"/>
        </w:rPr>
        <w:t xml:space="preserve">he ALJs found, in addition to </w:t>
      </w:r>
      <w:r w:rsidRPr="0029160A">
        <w:rPr>
          <w:bCs/>
          <w:color w:val="000000" w:themeColor="text1"/>
          <w:szCs w:val="26"/>
        </w:rPr>
        <w:lastRenderedPageBreak/>
        <w:t>discouraging energy efficiency, Wellsboro’s proposal does not reflect cost causation principles and does not properly consider</w:t>
      </w:r>
      <w:r w:rsidRPr="0029160A">
        <w:rPr>
          <w:color w:val="000000" w:themeColor="text1"/>
          <w:szCs w:val="26"/>
        </w:rPr>
        <w:t xml:space="preserve"> customer impacts.  I&amp;E avers Wellsboro’s primary concern here is revenue stability, and the ALJs properly acknowledged revenue stability is only one of many considerations.  Therefore, I&amp;E submits the ALJs did not err by weighing the various considerations presented by the Parties.  I&amp;E requests the Commission deny Wellsboro’s Exception No. 10.  I&amp;E R. Exc. at 11-13.</w:t>
      </w:r>
    </w:p>
    <w:p w14:paraId="243B4946" w14:textId="77777777" w:rsidR="002D4EC0" w:rsidRPr="0029160A" w:rsidRDefault="002D4EC0">
      <w:pPr>
        <w:widowControl/>
        <w:spacing w:line="360" w:lineRule="auto"/>
        <w:ind w:firstLine="1440"/>
        <w:rPr>
          <w:color w:val="000000" w:themeColor="text1"/>
          <w:szCs w:val="26"/>
        </w:rPr>
      </w:pPr>
    </w:p>
    <w:p w14:paraId="67D297A7" w14:textId="73F9BF2C" w:rsidR="00D72D1C" w:rsidRPr="0029160A" w:rsidRDefault="009049D7">
      <w:pPr>
        <w:widowControl/>
        <w:tabs>
          <w:tab w:val="left" w:pos="1305"/>
        </w:tabs>
        <w:spacing w:line="360" w:lineRule="auto"/>
        <w:ind w:firstLine="1440"/>
        <w:rPr>
          <w:color w:val="000000" w:themeColor="text1"/>
          <w:szCs w:val="26"/>
        </w:rPr>
      </w:pPr>
      <w:r w:rsidRPr="0029160A">
        <w:rPr>
          <w:color w:val="000000" w:themeColor="text1"/>
          <w:szCs w:val="26"/>
        </w:rPr>
        <w:t xml:space="preserve">In the OCA’s Replies to Wellsboro Exception No. 10, the OCA submits the ALJs correctly rejected Wellsboro’s proposal to include a demand component in the customer charge.  The OCA submits that the Company’s proposal does not align with the goals in the </w:t>
      </w:r>
      <w:r w:rsidRPr="0029160A">
        <w:rPr>
          <w:i/>
          <w:iCs/>
          <w:color w:val="000000" w:themeColor="text1"/>
          <w:szCs w:val="26"/>
        </w:rPr>
        <w:t>Final Policy Statement</w:t>
      </w:r>
      <w:r w:rsidRPr="0029160A">
        <w:rPr>
          <w:color w:val="000000" w:themeColor="text1"/>
          <w:szCs w:val="26"/>
        </w:rPr>
        <w:t xml:space="preserve">, does not retain price signals, and is not consistent with cost-causation principles.  The OCA contends that Wellsboro is incorrect in its argument that energy efficiency is not a goal of the </w:t>
      </w:r>
      <w:r w:rsidRPr="0029160A">
        <w:rPr>
          <w:i/>
          <w:iCs/>
          <w:color w:val="000000" w:themeColor="text1"/>
          <w:szCs w:val="26"/>
        </w:rPr>
        <w:t>Final Policy Statement</w:t>
      </w:r>
      <w:r w:rsidRPr="0029160A">
        <w:rPr>
          <w:color w:val="000000" w:themeColor="text1"/>
          <w:szCs w:val="26"/>
        </w:rPr>
        <w:t>.  The OCA provides that the proposal would mute the Company’s price signals by including demand charges as part of the customer charge, unduly prejudicing low usage customers, and would not provide a price signal to encourage customer conservation.  OCA R. Exc. at</w:t>
      </w:r>
      <w:r w:rsidR="00D23B4E" w:rsidRPr="0029160A">
        <w:rPr>
          <w:color w:val="000000" w:themeColor="text1"/>
          <w:szCs w:val="26"/>
        </w:rPr>
        <w:t> </w:t>
      </w:r>
      <w:r w:rsidRPr="0029160A">
        <w:rPr>
          <w:color w:val="000000" w:themeColor="text1"/>
          <w:szCs w:val="26"/>
        </w:rPr>
        <w:t>18-21 (citing R.D. at 106-125; OCA M.B. at 83-92; OCA R.B. at 42-44).</w:t>
      </w:r>
    </w:p>
    <w:p w14:paraId="1510D237" w14:textId="77777777" w:rsidR="009049D7" w:rsidRPr="0029160A" w:rsidRDefault="009049D7">
      <w:pPr>
        <w:widowControl/>
        <w:tabs>
          <w:tab w:val="left" w:pos="1305"/>
        </w:tabs>
        <w:spacing w:line="360" w:lineRule="auto"/>
        <w:ind w:firstLine="1440"/>
        <w:rPr>
          <w:color w:val="000000" w:themeColor="text1"/>
          <w:szCs w:val="26"/>
        </w:rPr>
      </w:pPr>
    </w:p>
    <w:p w14:paraId="415D34B7" w14:textId="6D889BC8" w:rsidR="009049D7" w:rsidRPr="0029160A" w:rsidRDefault="009049D7">
      <w:pPr>
        <w:widowControl/>
        <w:tabs>
          <w:tab w:val="left" w:pos="1305"/>
        </w:tabs>
        <w:spacing w:line="360" w:lineRule="auto"/>
        <w:ind w:firstLine="1440"/>
        <w:rPr>
          <w:color w:val="000000" w:themeColor="text1"/>
          <w:szCs w:val="26"/>
        </w:rPr>
      </w:pPr>
      <w:r w:rsidRPr="0029160A">
        <w:rPr>
          <w:color w:val="000000" w:themeColor="text1"/>
          <w:szCs w:val="26"/>
        </w:rPr>
        <w:t>In the OSBA’s Replies to Wellsboro Exception No. 10, the OSBA provides that Wellsboro’s proposal to recover demand costs with the customer charge must be rejected.  According to the OSBA, the basis for Wellsboro’s proposed NRS/NRH and CSH customer charges are inconsistent with its own customer cost analysis.  Since none of such customer classes pay a demand charge, demand costs are properly recovered in class energy charges.  As for rate class CS, there is no valid reason for the Company’s proposal to recover demand costs in the customer charge since such customers currently pay a demand charge.  OSBA R. Exc. at 5-6 (citing OSBA M.B. at 9; OSBA St. 1-S</w:t>
      </w:r>
      <w:r w:rsidR="00ED3A7E">
        <w:rPr>
          <w:color w:val="000000" w:themeColor="text1"/>
          <w:szCs w:val="26"/>
        </w:rPr>
        <w:t xml:space="preserve"> </w:t>
      </w:r>
      <w:r w:rsidRPr="0029160A">
        <w:rPr>
          <w:color w:val="000000" w:themeColor="text1"/>
          <w:szCs w:val="26"/>
        </w:rPr>
        <w:t>(W) at 11).</w:t>
      </w:r>
    </w:p>
    <w:p w14:paraId="2FBC14D1" w14:textId="77777777" w:rsidR="00D72D1C" w:rsidRPr="0029160A" w:rsidRDefault="00D72D1C">
      <w:pPr>
        <w:widowControl/>
        <w:rPr>
          <w:color w:val="000000" w:themeColor="text1"/>
          <w:szCs w:val="26"/>
        </w:rPr>
      </w:pPr>
    </w:p>
    <w:p w14:paraId="5D776293" w14:textId="77777777" w:rsidR="00D72D1C" w:rsidRPr="0029160A" w:rsidRDefault="00D72D1C" w:rsidP="00CB0B2E">
      <w:pPr>
        <w:pStyle w:val="Heading4"/>
        <w:keepNext/>
        <w:ind w:hanging="720"/>
        <w:rPr>
          <w:color w:val="000000" w:themeColor="text1"/>
        </w:rPr>
      </w:pPr>
      <w:bookmarkStart w:id="177" w:name="_Toc38951823"/>
      <w:r w:rsidRPr="0029160A">
        <w:rPr>
          <w:color w:val="000000" w:themeColor="text1"/>
        </w:rPr>
        <w:lastRenderedPageBreak/>
        <w:t>Disposition</w:t>
      </w:r>
      <w:bookmarkEnd w:id="177"/>
    </w:p>
    <w:p w14:paraId="480D9AA3" w14:textId="77777777" w:rsidR="00D72D1C" w:rsidRPr="0029160A" w:rsidRDefault="00D72D1C" w:rsidP="004D586D">
      <w:pPr>
        <w:keepNext/>
        <w:widowControl/>
        <w:spacing w:line="360" w:lineRule="auto"/>
        <w:rPr>
          <w:color w:val="000000" w:themeColor="text1"/>
          <w:szCs w:val="26"/>
        </w:rPr>
      </w:pPr>
    </w:p>
    <w:p w14:paraId="4CF23502" w14:textId="4C1F7C7C" w:rsidR="00807A49" w:rsidRPr="0029160A" w:rsidRDefault="00807A49" w:rsidP="004D586D">
      <w:pPr>
        <w:keepNext/>
        <w:widowControl/>
        <w:spacing w:line="360" w:lineRule="auto"/>
        <w:ind w:firstLine="1440"/>
        <w:rPr>
          <w:color w:val="000000" w:themeColor="text1"/>
          <w:szCs w:val="26"/>
        </w:rPr>
      </w:pPr>
      <w:r w:rsidRPr="0029160A">
        <w:rPr>
          <w:color w:val="000000" w:themeColor="text1"/>
          <w:szCs w:val="26"/>
        </w:rPr>
        <w:t>In considering the record evidence and arguments before us, along with the Exceptions and Reply Exceptions of the Parties, we are not persuaded by Wellsboro’s arguments.</w:t>
      </w:r>
      <w:r w:rsidR="0053297F" w:rsidRPr="0029160A">
        <w:rPr>
          <w:color w:val="000000" w:themeColor="text1"/>
          <w:szCs w:val="26"/>
        </w:rPr>
        <w:t xml:space="preserve">  </w:t>
      </w:r>
      <w:r w:rsidRPr="0029160A">
        <w:rPr>
          <w:color w:val="000000" w:themeColor="text1"/>
          <w:szCs w:val="26"/>
        </w:rPr>
        <w:t xml:space="preserve">Accordingly, we shall adopt the ALJs’ R.D. on this issue and deny Wellsboro’s Exception No. 10. </w:t>
      </w:r>
    </w:p>
    <w:p w14:paraId="02E866BF" w14:textId="77777777" w:rsidR="00807A49" w:rsidRPr="0029160A" w:rsidRDefault="00807A49">
      <w:pPr>
        <w:widowControl/>
        <w:spacing w:line="360" w:lineRule="auto"/>
        <w:ind w:firstLine="1440"/>
        <w:rPr>
          <w:color w:val="000000" w:themeColor="text1"/>
          <w:szCs w:val="26"/>
        </w:rPr>
      </w:pPr>
    </w:p>
    <w:p w14:paraId="28BA58C6" w14:textId="6EF7714B" w:rsidR="00807A49" w:rsidRPr="0029160A" w:rsidRDefault="00807A49">
      <w:pPr>
        <w:widowControl/>
        <w:spacing w:line="360" w:lineRule="auto"/>
        <w:ind w:firstLine="1440"/>
        <w:rPr>
          <w:color w:val="000000" w:themeColor="text1"/>
          <w:szCs w:val="26"/>
        </w:rPr>
      </w:pPr>
      <w:r w:rsidRPr="0029160A">
        <w:rPr>
          <w:color w:val="000000" w:themeColor="text1"/>
          <w:szCs w:val="26"/>
        </w:rPr>
        <w:t>Wellsboro seeks to include a demand-based (</w:t>
      </w:r>
      <w:r w:rsidRPr="0029160A">
        <w:rPr>
          <w:i/>
          <w:iCs/>
          <w:color w:val="000000" w:themeColor="text1"/>
          <w:szCs w:val="26"/>
        </w:rPr>
        <w:t>i.e</w:t>
      </w:r>
      <w:r w:rsidRPr="0029160A">
        <w:rPr>
          <w:color w:val="000000" w:themeColor="text1"/>
          <w:szCs w:val="26"/>
        </w:rPr>
        <w:t xml:space="preserve">., capacity-based) component within its customer charges. </w:t>
      </w:r>
      <w:r w:rsidR="006B3020" w:rsidRPr="0029160A">
        <w:rPr>
          <w:color w:val="000000" w:themeColor="text1"/>
          <w:szCs w:val="26"/>
        </w:rPr>
        <w:t xml:space="preserve"> </w:t>
      </w:r>
      <w:r w:rsidRPr="0029160A">
        <w:rPr>
          <w:color w:val="000000" w:themeColor="text1"/>
          <w:szCs w:val="26"/>
        </w:rPr>
        <w:t xml:space="preserve">For residential customers, the proposed charge would be comprised of $11.92 in fixed customer costs and $1.48 in demand related costs.  We agree with the ALJs’ recommendation to reject Wellsboro’s proposal to assign a portion of demand-based costs to the customer charges because Wellsboro’s proposal is not supported by the customer cost analysis. </w:t>
      </w:r>
      <w:r w:rsidR="00B866B0" w:rsidRPr="0029160A">
        <w:rPr>
          <w:color w:val="000000" w:themeColor="text1"/>
          <w:szCs w:val="26"/>
        </w:rPr>
        <w:t xml:space="preserve"> </w:t>
      </w:r>
      <w:r w:rsidRPr="0029160A">
        <w:rPr>
          <w:color w:val="000000" w:themeColor="text1"/>
          <w:szCs w:val="26"/>
        </w:rPr>
        <w:t xml:space="preserve">R.D. at 123. </w:t>
      </w:r>
      <w:r w:rsidR="00B866B0" w:rsidRPr="0029160A">
        <w:rPr>
          <w:color w:val="000000" w:themeColor="text1"/>
          <w:szCs w:val="26"/>
        </w:rPr>
        <w:t xml:space="preserve"> </w:t>
      </w:r>
      <w:r w:rsidRPr="0029160A">
        <w:rPr>
          <w:color w:val="000000" w:themeColor="text1"/>
          <w:szCs w:val="26"/>
        </w:rPr>
        <w:t>In our opinion, we concur with the ALJs that Wellsboro’s proposed rate design does not align revenues with cost causation principles because it improperly counts demand costs as fixed costs and because it fails to reduce intraclass cost-shifting.</w:t>
      </w:r>
      <w:r w:rsidR="0053297F" w:rsidRPr="0029160A">
        <w:rPr>
          <w:color w:val="000000" w:themeColor="text1"/>
          <w:szCs w:val="26"/>
        </w:rPr>
        <w:t xml:space="preserve">  </w:t>
      </w:r>
      <w:r w:rsidRPr="0029160A">
        <w:rPr>
          <w:color w:val="000000" w:themeColor="text1"/>
          <w:szCs w:val="26"/>
        </w:rPr>
        <w:t xml:space="preserve">R.D. at 124. </w:t>
      </w:r>
    </w:p>
    <w:p w14:paraId="0FEC5DEE" w14:textId="77777777" w:rsidR="00807A49" w:rsidRPr="0029160A" w:rsidRDefault="00807A49">
      <w:pPr>
        <w:widowControl/>
        <w:spacing w:line="360" w:lineRule="auto"/>
        <w:ind w:firstLine="1440"/>
        <w:rPr>
          <w:color w:val="000000" w:themeColor="text1"/>
          <w:szCs w:val="26"/>
        </w:rPr>
      </w:pPr>
    </w:p>
    <w:p w14:paraId="79DC2E34" w14:textId="7B19FE6F" w:rsidR="00807A49" w:rsidRPr="0029160A" w:rsidRDefault="0053297F">
      <w:pPr>
        <w:widowControl/>
        <w:spacing w:line="360" w:lineRule="auto"/>
        <w:ind w:firstLine="1440"/>
        <w:rPr>
          <w:color w:val="000000" w:themeColor="text1"/>
          <w:szCs w:val="26"/>
        </w:rPr>
      </w:pPr>
      <w:r w:rsidRPr="0029160A">
        <w:rPr>
          <w:color w:val="000000" w:themeColor="text1"/>
          <w:szCs w:val="26"/>
        </w:rPr>
        <w:t>We are persuaded by t</w:t>
      </w:r>
      <w:r w:rsidR="00807A49" w:rsidRPr="0029160A">
        <w:rPr>
          <w:color w:val="000000" w:themeColor="text1"/>
          <w:szCs w:val="26"/>
        </w:rPr>
        <w:t>he OCA</w:t>
      </w:r>
      <w:r w:rsidRPr="0029160A">
        <w:rPr>
          <w:color w:val="000000" w:themeColor="text1"/>
          <w:szCs w:val="26"/>
        </w:rPr>
        <w:t>’s</w:t>
      </w:r>
      <w:r w:rsidR="00807A49" w:rsidRPr="0029160A">
        <w:rPr>
          <w:color w:val="000000" w:themeColor="text1"/>
          <w:szCs w:val="26"/>
        </w:rPr>
        <w:t xml:space="preserve"> and I&amp;E</w:t>
      </w:r>
      <w:r w:rsidRPr="0029160A">
        <w:rPr>
          <w:color w:val="000000" w:themeColor="text1"/>
          <w:szCs w:val="26"/>
        </w:rPr>
        <w:t>’s arguments</w:t>
      </w:r>
      <w:r w:rsidR="00807A49" w:rsidRPr="0029160A">
        <w:rPr>
          <w:color w:val="000000" w:themeColor="text1"/>
          <w:szCs w:val="26"/>
        </w:rPr>
        <w:t xml:space="preserve"> in this proceeding that including a portion of demand-based costs in the fixed customer charges will prevent customers from seeing price signals and thus have a detrimental effect on customer incentives to employ efficiency measures and distributed energy resources.  R.D. at</w:t>
      </w:r>
      <w:r w:rsidR="000E102F" w:rsidRPr="0029160A">
        <w:rPr>
          <w:color w:val="000000" w:themeColor="text1"/>
          <w:szCs w:val="26"/>
        </w:rPr>
        <w:t> </w:t>
      </w:r>
      <w:r w:rsidR="00807A49" w:rsidRPr="0029160A">
        <w:rPr>
          <w:color w:val="000000" w:themeColor="text1"/>
          <w:szCs w:val="26"/>
        </w:rPr>
        <w:t>123</w:t>
      </w:r>
      <w:r w:rsidR="000E102F" w:rsidRPr="0029160A">
        <w:rPr>
          <w:color w:val="000000" w:themeColor="text1"/>
          <w:szCs w:val="26"/>
        </w:rPr>
        <w:noBreakHyphen/>
      </w:r>
      <w:r w:rsidR="00807A49" w:rsidRPr="0029160A">
        <w:rPr>
          <w:color w:val="000000" w:themeColor="text1"/>
          <w:szCs w:val="26"/>
        </w:rPr>
        <w:t xml:space="preserve">124. </w:t>
      </w:r>
      <w:r w:rsidR="00B866B0" w:rsidRPr="0029160A">
        <w:rPr>
          <w:color w:val="000000" w:themeColor="text1"/>
          <w:szCs w:val="26"/>
        </w:rPr>
        <w:t xml:space="preserve"> </w:t>
      </w:r>
      <w:r w:rsidRPr="0029160A">
        <w:rPr>
          <w:color w:val="000000" w:themeColor="text1"/>
          <w:szCs w:val="26"/>
        </w:rPr>
        <w:t xml:space="preserve">We are also persuaded by </w:t>
      </w:r>
      <w:r w:rsidR="00807A49" w:rsidRPr="0029160A">
        <w:rPr>
          <w:color w:val="000000" w:themeColor="text1"/>
          <w:szCs w:val="26"/>
        </w:rPr>
        <w:t xml:space="preserve">I&amp;E that low-income customers who are also low usage customers would experience a higher percentage increase to their bill under Wellsboro’s proposal compared to a rate established under traditional ratemaking design.  </w:t>
      </w:r>
      <w:r w:rsidR="00807A49" w:rsidRPr="0029160A">
        <w:rPr>
          <w:bCs/>
          <w:color w:val="000000" w:themeColor="text1"/>
          <w:szCs w:val="26"/>
        </w:rPr>
        <w:t xml:space="preserve">While we recognize that Wellsboro primarily justified its proposal by reference to revenue stability and reliability, the multiple concerns cited by I&amp;E and the OCA outweigh these considerations, in our opinion. </w:t>
      </w:r>
      <w:r w:rsidR="00B866B0" w:rsidRPr="0029160A">
        <w:rPr>
          <w:bCs/>
          <w:color w:val="000000" w:themeColor="text1"/>
          <w:szCs w:val="26"/>
        </w:rPr>
        <w:t xml:space="preserve"> </w:t>
      </w:r>
      <w:r w:rsidR="00807A49" w:rsidRPr="0029160A">
        <w:rPr>
          <w:color w:val="000000" w:themeColor="text1"/>
          <w:szCs w:val="26"/>
        </w:rPr>
        <w:t>Accordingly, we agree with the ALJs that Wellsboro’s proposal would not constitute alternative ratemaking under 52 Pa. Code §</w:t>
      </w:r>
      <w:r w:rsidR="002C063B" w:rsidRPr="0029160A">
        <w:rPr>
          <w:color w:val="000000" w:themeColor="text1"/>
          <w:szCs w:val="26"/>
        </w:rPr>
        <w:t> </w:t>
      </w:r>
      <w:r w:rsidR="00807A49" w:rsidRPr="0029160A">
        <w:rPr>
          <w:color w:val="000000" w:themeColor="text1"/>
          <w:szCs w:val="26"/>
        </w:rPr>
        <w:t xml:space="preserve">69.3301 because the proposal fails to promote efficient use of energy sources and </w:t>
      </w:r>
      <w:r w:rsidR="00807A49" w:rsidRPr="0029160A">
        <w:rPr>
          <w:color w:val="000000" w:themeColor="text1"/>
          <w:szCs w:val="26"/>
        </w:rPr>
        <w:lastRenderedPageBreak/>
        <w:t xml:space="preserve">reflect the sound application of cost of service principles. </w:t>
      </w:r>
      <w:r w:rsidR="00B866B0" w:rsidRPr="0029160A">
        <w:rPr>
          <w:color w:val="000000" w:themeColor="text1"/>
          <w:szCs w:val="26"/>
        </w:rPr>
        <w:t xml:space="preserve"> </w:t>
      </w:r>
      <w:r w:rsidR="00807A49" w:rsidRPr="0029160A">
        <w:rPr>
          <w:color w:val="000000" w:themeColor="text1"/>
          <w:szCs w:val="26"/>
        </w:rPr>
        <w:t xml:space="preserve">R.D. at 123, 125. </w:t>
      </w:r>
      <w:r w:rsidR="00B866B0" w:rsidRPr="0029160A">
        <w:rPr>
          <w:color w:val="000000" w:themeColor="text1"/>
          <w:szCs w:val="26"/>
        </w:rPr>
        <w:t xml:space="preserve"> </w:t>
      </w:r>
      <w:r w:rsidR="00807A49" w:rsidRPr="0029160A">
        <w:rPr>
          <w:color w:val="000000" w:themeColor="text1"/>
          <w:szCs w:val="26"/>
        </w:rPr>
        <w:t xml:space="preserve">The Commission’s </w:t>
      </w:r>
      <w:r w:rsidR="008367A3" w:rsidRPr="0029160A">
        <w:rPr>
          <w:color w:val="000000" w:themeColor="text1"/>
          <w:szCs w:val="26"/>
        </w:rPr>
        <w:t>R</w:t>
      </w:r>
      <w:r w:rsidR="00807A49" w:rsidRPr="0029160A">
        <w:rPr>
          <w:color w:val="000000" w:themeColor="text1"/>
          <w:szCs w:val="26"/>
        </w:rPr>
        <w:t xml:space="preserve">egulations promulgated by the </w:t>
      </w:r>
      <w:r w:rsidR="00807A49" w:rsidRPr="0029160A">
        <w:rPr>
          <w:i/>
          <w:iCs/>
          <w:color w:val="000000" w:themeColor="text1"/>
          <w:szCs w:val="26"/>
        </w:rPr>
        <w:t xml:space="preserve">Final Policy Statement Order </w:t>
      </w:r>
      <w:r w:rsidR="00807A49" w:rsidRPr="0029160A">
        <w:rPr>
          <w:color w:val="000000" w:themeColor="text1"/>
          <w:szCs w:val="26"/>
        </w:rPr>
        <w:t xml:space="preserve">state that the Commission’s policy regarding alternative ratemaking is to promote efficient use of electricity, </w:t>
      </w:r>
      <w:r w:rsidR="00807A49" w:rsidRPr="0029160A">
        <w:rPr>
          <w:bCs/>
          <w:color w:val="000000" w:themeColor="text1"/>
        </w:rPr>
        <w:t xml:space="preserve">avoid unnecessary future capital investments, reflect the sound application of cost of service principles, establish a rate structure that is just and reasonable, and consider customer impacts.  52 Pa. Code § 69.3301.  </w:t>
      </w:r>
    </w:p>
    <w:p w14:paraId="0EE56A51" w14:textId="77777777" w:rsidR="00807A49" w:rsidRPr="0029160A" w:rsidRDefault="00807A49">
      <w:pPr>
        <w:widowControl/>
        <w:spacing w:line="360" w:lineRule="auto"/>
        <w:ind w:firstLine="1440"/>
        <w:rPr>
          <w:color w:val="000000" w:themeColor="text1"/>
          <w:szCs w:val="26"/>
        </w:rPr>
      </w:pPr>
    </w:p>
    <w:p w14:paraId="122C6EC9" w14:textId="3D890533" w:rsidR="00807A49" w:rsidRPr="0029160A" w:rsidRDefault="00522119">
      <w:pPr>
        <w:widowControl/>
        <w:spacing w:line="360" w:lineRule="auto"/>
        <w:ind w:firstLine="1440"/>
        <w:rPr>
          <w:color w:val="000000" w:themeColor="text1"/>
        </w:rPr>
      </w:pPr>
      <w:r w:rsidRPr="0029160A">
        <w:rPr>
          <w:color w:val="000000" w:themeColor="text1"/>
          <w:szCs w:val="26"/>
        </w:rPr>
        <w:t xml:space="preserve">While we commend Wellsboro’s effort to comply with the goals of the </w:t>
      </w:r>
      <w:r w:rsidRPr="0029160A">
        <w:rPr>
          <w:i/>
          <w:iCs/>
          <w:color w:val="000000" w:themeColor="text1"/>
          <w:szCs w:val="26"/>
        </w:rPr>
        <w:t>Final Policy Statement</w:t>
      </w:r>
      <w:r w:rsidRPr="0029160A">
        <w:rPr>
          <w:color w:val="000000" w:themeColor="text1"/>
          <w:szCs w:val="26"/>
        </w:rPr>
        <w:t xml:space="preserve">, in reviewing changes in rate design, it is important that we balance the interests of utilities and consumers.  </w:t>
      </w:r>
      <w:r w:rsidR="00A740F1" w:rsidRPr="0029160A">
        <w:rPr>
          <w:color w:val="000000" w:themeColor="text1"/>
          <w:szCs w:val="26"/>
        </w:rPr>
        <w:t xml:space="preserve">Here, </w:t>
      </w:r>
      <w:r w:rsidR="00A740F1" w:rsidRPr="0029160A">
        <w:rPr>
          <w:bCs/>
          <w:color w:val="000000" w:themeColor="text1"/>
        </w:rPr>
        <w:t>w</w:t>
      </w:r>
      <w:r w:rsidR="00807A49" w:rsidRPr="0029160A">
        <w:rPr>
          <w:bCs/>
          <w:color w:val="000000" w:themeColor="text1"/>
        </w:rPr>
        <w:t>e agree with the ALJs</w:t>
      </w:r>
      <w:r w:rsidR="000B47BD" w:rsidRPr="0029160A">
        <w:rPr>
          <w:bCs/>
          <w:color w:val="000000" w:themeColor="text1"/>
        </w:rPr>
        <w:t>’</w:t>
      </w:r>
      <w:r w:rsidR="00807A49" w:rsidRPr="0029160A">
        <w:rPr>
          <w:bCs/>
          <w:color w:val="000000" w:themeColor="text1"/>
        </w:rPr>
        <w:t xml:space="preserve"> analysis and I&amp;E’s position that rate design is based on the revenue allocations determined through the use of the cost of service study and that rates individually have no impact on intraclass cost-shifting as long as the demand portion of the rate is allocated to each class appropriately.  R.D. at 124.  Accordingly, w</w:t>
      </w:r>
      <w:r w:rsidR="00807A49" w:rsidRPr="0029160A">
        <w:rPr>
          <w:color w:val="000000" w:themeColor="text1"/>
          <w:szCs w:val="26"/>
        </w:rPr>
        <w:t>e shall adopt the ALJs’ recommendation to adopt I&amp;E’s proposed customer charges.  R.D. at 125.</w:t>
      </w:r>
      <w:r w:rsidRPr="0029160A">
        <w:rPr>
          <w:color w:val="000000" w:themeColor="text1"/>
          <w:szCs w:val="26"/>
        </w:rPr>
        <w:t xml:space="preserve">  </w:t>
      </w:r>
      <w:r w:rsidR="00807A49" w:rsidRPr="0029160A">
        <w:rPr>
          <w:color w:val="000000" w:themeColor="text1"/>
        </w:rPr>
        <w:t>I&amp;E proposed that the customer charges be limited to what can be supported by Wellsboro’s customer cost analysis, as follows:</w:t>
      </w:r>
    </w:p>
    <w:p w14:paraId="4C995A9B" w14:textId="77777777" w:rsidR="00B72F22" w:rsidRPr="0029160A" w:rsidRDefault="00B72F22" w:rsidP="00B72F22">
      <w:pPr>
        <w:widowControl/>
        <w:ind w:firstLine="1440"/>
        <w:rPr>
          <w:color w:val="000000" w:themeColor="text1"/>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980"/>
        <w:gridCol w:w="2070"/>
        <w:gridCol w:w="2250"/>
        <w:gridCol w:w="1890"/>
      </w:tblGrid>
      <w:tr w:rsidR="00274E2D" w:rsidRPr="0029160A" w14:paraId="5B601F30" w14:textId="77777777" w:rsidTr="00CE40EC">
        <w:tc>
          <w:tcPr>
            <w:tcW w:w="9355" w:type="dxa"/>
            <w:gridSpan w:val="5"/>
          </w:tcPr>
          <w:p w14:paraId="6D4FDA30" w14:textId="77777777" w:rsidR="00274E2D" w:rsidRPr="0029160A" w:rsidRDefault="00274E2D" w:rsidP="00274E2D">
            <w:pPr>
              <w:keepNext/>
              <w:keepLines/>
              <w:widowControl/>
              <w:jc w:val="center"/>
              <w:rPr>
                <w:b/>
                <w:bCs/>
                <w:color w:val="000000" w:themeColor="text1"/>
                <w:szCs w:val="26"/>
              </w:rPr>
            </w:pPr>
            <w:r w:rsidRPr="0029160A">
              <w:rPr>
                <w:b/>
                <w:bCs/>
                <w:color w:val="000000" w:themeColor="text1"/>
                <w:szCs w:val="26"/>
              </w:rPr>
              <w:t>I&amp;E Proposed Class Customer Charges</w:t>
            </w:r>
          </w:p>
          <w:p w14:paraId="2B724F7C" w14:textId="77777777" w:rsidR="00274E2D" w:rsidRPr="0029160A" w:rsidRDefault="00274E2D" w:rsidP="00274E2D">
            <w:pPr>
              <w:keepNext/>
              <w:keepLines/>
              <w:widowControl/>
              <w:jc w:val="center"/>
              <w:rPr>
                <w:color w:val="000000" w:themeColor="text1"/>
                <w:szCs w:val="26"/>
              </w:rPr>
            </w:pPr>
          </w:p>
        </w:tc>
      </w:tr>
      <w:tr w:rsidR="00274E2D" w:rsidRPr="0029160A" w14:paraId="63C2C200" w14:textId="77777777" w:rsidTr="00274E2D">
        <w:tc>
          <w:tcPr>
            <w:tcW w:w="1165" w:type="dxa"/>
          </w:tcPr>
          <w:p w14:paraId="119957CC" w14:textId="77777777" w:rsidR="00274E2D" w:rsidRPr="0029160A" w:rsidRDefault="00274E2D" w:rsidP="00274E2D">
            <w:pPr>
              <w:keepNext/>
              <w:keepLines/>
              <w:widowControl/>
              <w:rPr>
                <w:b/>
                <w:bCs/>
                <w:color w:val="000000" w:themeColor="text1"/>
                <w:szCs w:val="26"/>
              </w:rPr>
            </w:pPr>
            <w:r w:rsidRPr="0029160A">
              <w:rPr>
                <w:b/>
                <w:bCs/>
                <w:color w:val="000000" w:themeColor="text1"/>
                <w:szCs w:val="26"/>
              </w:rPr>
              <w:t>Rate</w:t>
            </w:r>
          </w:p>
        </w:tc>
        <w:tc>
          <w:tcPr>
            <w:tcW w:w="1980" w:type="dxa"/>
          </w:tcPr>
          <w:p w14:paraId="42C9DB0A" w14:textId="77777777" w:rsidR="00274E2D" w:rsidRPr="0029160A" w:rsidRDefault="00274E2D" w:rsidP="00274E2D">
            <w:pPr>
              <w:keepNext/>
              <w:keepLines/>
              <w:widowControl/>
              <w:jc w:val="center"/>
              <w:rPr>
                <w:b/>
                <w:bCs/>
                <w:color w:val="000000" w:themeColor="text1"/>
                <w:szCs w:val="26"/>
              </w:rPr>
            </w:pPr>
            <w:r w:rsidRPr="0029160A">
              <w:rPr>
                <w:b/>
                <w:bCs/>
                <w:color w:val="000000" w:themeColor="text1"/>
                <w:szCs w:val="26"/>
              </w:rPr>
              <w:t>Pres Cust Chrg</w:t>
            </w:r>
          </w:p>
        </w:tc>
        <w:tc>
          <w:tcPr>
            <w:tcW w:w="2070" w:type="dxa"/>
          </w:tcPr>
          <w:p w14:paraId="54E4F5BC" w14:textId="77777777" w:rsidR="00274E2D" w:rsidRPr="0029160A" w:rsidRDefault="00274E2D" w:rsidP="00274E2D">
            <w:pPr>
              <w:keepNext/>
              <w:keepLines/>
              <w:widowControl/>
              <w:jc w:val="center"/>
              <w:rPr>
                <w:b/>
                <w:bCs/>
                <w:color w:val="000000" w:themeColor="text1"/>
                <w:szCs w:val="26"/>
              </w:rPr>
            </w:pPr>
            <w:r w:rsidRPr="0029160A">
              <w:rPr>
                <w:b/>
                <w:bCs/>
                <w:color w:val="000000" w:themeColor="text1"/>
                <w:szCs w:val="26"/>
              </w:rPr>
              <w:t>Cust Cost Analy</w:t>
            </w:r>
          </w:p>
        </w:tc>
        <w:tc>
          <w:tcPr>
            <w:tcW w:w="2250" w:type="dxa"/>
          </w:tcPr>
          <w:p w14:paraId="6EB404BC" w14:textId="77777777" w:rsidR="00274E2D" w:rsidRPr="0029160A" w:rsidRDefault="00274E2D" w:rsidP="00274E2D">
            <w:pPr>
              <w:keepNext/>
              <w:keepLines/>
              <w:widowControl/>
              <w:jc w:val="center"/>
              <w:rPr>
                <w:b/>
                <w:bCs/>
                <w:color w:val="000000" w:themeColor="text1"/>
                <w:szCs w:val="26"/>
              </w:rPr>
            </w:pPr>
            <w:r w:rsidRPr="0029160A">
              <w:rPr>
                <w:b/>
                <w:bCs/>
                <w:color w:val="000000" w:themeColor="text1"/>
                <w:szCs w:val="26"/>
              </w:rPr>
              <w:t>Prop’d Cust Chrg</w:t>
            </w:r>
          </w:p>
        </w:tc>
        <w:tc>
          <w:tcPr>
            <w:tcW w:w="1890" w:type="dxa"/>
          </w:tcPr>
          <w:p w14:paraId="0B269F87" w14:textId="77777777" w:rsidR="00274E2D" w:rsidRPr="0029160A" w:rsidRDefault="00274E2D" w:rsidP="00274E2D">
            <w:pPr>
              <w:keepNext/>
              <w:keepLines/>
              <w:widowControl/>
              <w:jc w:val="center"/>
              <w:rPr>
                <w:b/>
                <w:bCs/>
                <w:color w:val="000000" w:themeColor="text1"/>
                <w:szCs w:val="26"/>
              </w:rPr>
            </w:pPr>
            <w:r w:rsidRPr="0029160A">
              <w:rPr>
                <w:b/>
                <w:bCs/>
                <w:color w:val="000000" w:themeColor="text1"/>
                <w:szCs w:val="26"/>
              </w:rPr>
              <w:t>I&amp;E Proposed</w:t>
            </w:r>
          </w:p>
        </w:tc>
      </w:tr>
      <w:tr w:rsidR="00274E2D" w:rsidRPr="0029160A" w14:paraId="16009038" w14:textId="77777777" w:rsidTr="00274E2D">
        <w:tc>
          <w:tcPr>
            <w:tcW w:w="1165" w:type="dxa"/>
          </w:tcPr>
          <w:p w14:paraId="41997089" w14:textId="77777777" w:rsidR="00274E2D" w:rsidRPr="0029160A" w:rsidRDefault="00274E2D" w:rsidP="00274E2D">
            <w:pPr>
              <w:keepNext/>
              <w:keepLines/>
              <w:widowControl/>
              <w:rPr>
                <w:color w:val="000000" w:themeColor="text1"/>
                <w:szCs w:val="26"/>
              </w:rPr>
            </w:pPr>
            <w:r w:rsidRPr="0029160A">
              <w:rPr>
                <w:color w:val="000000" w:themeColor="text1"/>
                <w:szCs w:val="26"/>
              </w:rPr>
              <w:t>RS</w:t>
            </w:r>
          </w:p>
        </w:tc>
        <w:tc>
          <w:tcPr>
            <w:tcW w:w="1980" w:type="dxa"/>
          </w:tcPr>
          <w:p w14:paraId="367F1F3F"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$10.79</w:t>
            </w:r>
          </w:p>
        </w:tc>
        <w:tc>
          <w:tcPr>
            <w:tcW w:w="2070" w:type="dxa"/>
          </w:tcPr>
          <w:p w14:paraId="45DE87CE"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$11.92</w:t>
            </w:r>
          </w:p>
        </w:tc>
        <w:tc>
          <w:tcPr>
            <w:tcW w:w="2250" w:type="dxa"/>
          </w:tcPr>
          <w:p w14:paraId="050CD476"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$13.40</w:t>
            </w:r>
          </w:p>
        </w:tc>
        <w:tc>
          <w:tcPr>
            <w:tcW w:w="1890" w:type="dxa"/>
          </w:tcPr>
          <w:p w14:paraId="583F788D"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$12.00</w:t>
            </w:r>
          </w:p>
        </w:tc>
      </w:tr>
      <w:tr w:rsidR="00274E2D" w:rsidRPr="0029160A" w14:paraId="2B99DEF1" w14:textId="77777777" w:rsidTr="00274E2D">
        <w:tc>
          <w:tcPr>
            <w:tcW w:w="1165" w:type="dxa"/>
          </w:tcPr>
          <w:p w14:paraId="2EA96366" w14:textId="77777777" w:rsidR="00274E2D" w:rsidRPr="0029160A" w:rsidRDefault="00274E2D" w:rsidP="00274E2D">
            <w:pPr>
              <w:keepNext/>
              <w:keepLines/>
              <w:widowControl/>
              <w:rPr>
                <w:color w:val="000000" w:themeColor="text1"/>
                <w:szCs w:val="26"/>
              </w:rPr>
            </w:pPr>
            <w:r w:rsidRPr="0029160A">
              <w:rPr>
                <w:color w:val="000000" w:themeColor="text1"/>
                <w:szCs w:val="26"/>
              </w:rPr>
              <w:t>RSAE</w:t>
            </w:r>
          </w:p>
        </w:tc>
        <w:tc>
          <w:tcPr>
            <w:tcW w:w="1980" w:type="dxa"/>
          </w:tcPr>
          <w:p w14:paraId="33571C98"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$10.79</w:t>
            </w:r>
          </w:p>
        </w:tc>
        <w:tc>
          <w:tcPr>
            <w:tcW w:w="2070" w:type="dxa"/>
          </w:tcPr>
          <w:p w14:paraId="2FF0B335"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$11.92</w:t>
            </w:r>
          </w:p>
        </w:tc>
        <w:tc>
          <w:tcPr>
            <w:tcW w:w="2250" w:type="dxa"/>
          </w:tcPr>
          <w:p w14:paraId="4017D6BD"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$13.40</w:t>
            </w:r>
          </w:p>
        </w:tc>
        <w:tc>
          <w:tcPr>
            <w:tcW w:w="1890" w:type="dxa"/>
          </w:tcPr>
          <w:p w14:paraId="6D95EC5F"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$12.00</w:t>
            </w:r>
          </w:p>
        </w:tc>
      </w:tr>
      <w:tr w:rsidR="00274E2D" w:rsidRPr="0029160A" w14:paraId="77880FE3" w14:textId="77777777" w:rsidTr="00274E2D">
        <w:tc>
          <w:tcPr>
            <w:tcW w:w="1165" w:type="dxa"/>
          </w:tcPr>
          <w:p w14:paraId="490A82B7" w14:textId="77777777" w:rsidR="00274E2D" w:rsidRPr="0029160A" w:rsidRDefault="00274E2D" w:rsidP="00274E2D">
            <w:pPr>
              <w:keepNext/>
              <w:keepLines/>
              <w:widowControl/>
              <w:rPr>
                <w:color w:val="000000" w:themeColor="text1"/>
                <w:szCs w:val="26"/>
              </w:rPr>
            </w:pPr>
            <w:r w:rsidRPr="0029160A">
              <w:rPr>
                <w:color w:val="000000" w:themeColor="text1"/>
                <w:szCs w:val="26"/>
              </w:rPr>
              <w:t>NRS</w:t>
            </w:r>
          </w:p>
        </w:tc>
        <w:tc>
          <w:tcPr>
            <w:tcW w:w="1980" w:type="dxa"/>
          </w:tcPr>
          <w:p w14:paraId="3345850B"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$12.22</w:t>
            </w:r>
          </w:p>
        </w:tc>
        <w:tc>
          <w:tcPr>
            <w:tcW w:w="2070" w:type="dxa"/>
          </w:tcPr>
          <w:p w14:paraId="0D0DB351"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$11.92</w:t>
            </w:r>
          </w:p>
        </w:tc>
        <w:tc>
          <w:tcPr>
            <w:tcW w:w="2250" w:type="dxa"/>
          </w:tcPr>
          <w:p w14:paraId="61A4E65E"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$13.40</w:t>
            </w:r>
          </w:p>
        </w:tc>
        <w:tc>
          <w:tcPr>
            <w:tcW w:w="1890" w:type="dxa"/>
          </w:tcPr>
          <w:p w14:paraId="0E2689FB"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$12.22</w:t>
            </w:r>
          </w:p>
        </w:tc>
      </w:tr>
      <w:tr w:rsidR="00274E2D" w:rsidRPr="0029160A" w14:paraId="57E68139" w14:textId="77777777" w:rsidTr="00274E2D">
        <w:tc>
          <w:tcPr>
            <w:tcW w:w="1165" w:type="dxa"/>
          </w:tcPr>
          <w:p w14:paraId="39D67006" w14:textId="77777777" w:rsidR="00274E2D" w:rsidRPr="0029160A" w:rsidRDefault="00274E2D" w:rsidP="00274E2D">
            <w:pPr>
              <w:keepNext/>
              <w:keepLines/>
              <w:widowControl/>
              <w:rPr>
                <w:color w:val="000000" w:themeColor="text1"/>
                <w:szCs w:val="26"/>
              </w:rPr>
            </w:pPr>
            <w:r w:rsidRPr="0029160A">
              <w:rPr>
                <w:color w:val="000000" w:themeColor="text1"/>
                <w:szCs w:val="26"/>
              </w:rPr>
              <w:t>NRH</w:t>
            </w:r>
          </w:p>
        </w:tc>
        <w:tc>
          <w:tcPr>
            <w:tcW w:w="1980" w:type="dxa"/>
          </w:tcPr>
          <w:p w14:paraId="72947A0E"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$12.22</w:t>
            </w:r>
          </w:p>
        </w:tc>
        <w:tc>
          <w:tcPr>
            <w:tcW w:w="2070" w:type="dxa"/>
          </w:tcPr>
          <w:p w14:paraId="451B7029"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$11.92</w:t>
            </w:r>
          </w:p>
        </w:tc>
        <w:tc>
          <w:tcPr>
            <w:tcW w:w="2250" w:type="dxa"/>
          </w:tcPr>
          <w:p w14:paraId="48AA9F26"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$13.40</w:t>
            </w:r>
          </w:p>
        </w:tc>
        <w:tc>
          <w:tcPr>
            <w:tcW w:w="1890" w:type="dxa"/>
          </w:tcPr>
          <w:p w14:paraId="54A84EDE"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$12.22</w:t>
            </w:r>
          </w:p>
        </w:tc>
      </w:tr>
      <w:tr w:rsidR="00274E2D" w:rsidRPr="0029160A" w14:paraId="5CB292B5" w14:textId="77777777" w:rsidTr="00274E2D">
        <w:tc>
          <w:tcPr>
            <w:tcW w:w="1165" w:type="dxa"/>
          </w:tcPr>
          <w:p w14:paraId="40F85B19" w14:textId="77777777" w:rsidR="00274E2D" w:rsidRPr="0029160A" w:rsidRDefault="00274E2D" w:rsidP="00274E2D">
            <w:pPr>
              <w:keepNext/>
              <w:keepLines/>
              <w:widowControl/>
              <w:rPr>
                <w:color w:val="000000" w:themeColor="text1"/>
                <w:szCs w:val="26"/>
              </w:rPr>
            </w:pPr>
            <w:r w:rsidRPr="0029160A">
              <w:rPr>
                <w:color w:val="000000" w:themeColor="text1"/>
                <w:szCs w:val="26"/>
              </w:rPr>
              <w:t>CS</w:t>
            </w:r>
          </w:p>
        </w:tc>
        <w:tc>
          <w:tcPr>
            <w:tcW w:w="1980" w:type="dxa"/>
          </w:tcPr>
          <w:p w14:paraId="12CB9D6F"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$32.03</w:t>
            </w:r>
          </w:p>
        </w:tc>
        <w:tc>
          <w:tcPr>
            <w:tcW w:w="2070" w:type="dxa"/>
          </w:tcPr>
          <w:p w14:paraId="28636C83"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$20.71</w:t>
            </w:r>
          </w:p>
        </w:tc>
        <w:tc>
          <w:tcPr>
            <w:tcW w:w="2250" w:type="dxa"/>
          </w:tcPr>
          <w:p w14:paraId="0946B87B"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$35.00</w:t>
            </w:r>
          </w:p>
        </w:tc>
        <w:tc>
          <w:tcPr>
            <w:tcW w:w="1890" w:type="dxa"/>
          </w:tcPr>
          <w:p w14:paraId="792006D2"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$32.03</w:t>
            </w:r>
          </w:p>
        </w:tc>
      </w:tr>
      <w:tr w:rsidR="00274E2D" w:rsidRPr="0029160A" w14:paraId="11482E93" w14:textId="77777777" w:rsidTr="00CE40EC">
        <w:tc>
          <w:tcPr>
            <w:tcW w:w="1165" w:type="dxa"/>
          </w:tcPr>
          <w:p w14:paraId="49B323A9" w14:textId="77777777" w:rsidR="00274E2D" w:rsidRPr="0029160A" w:rsidRDefault="00274E2D" w:rsidP="00274E2D">
            <w:pPr>
              <w:keepNext/>
              <w:keepLines/>
              <w:widowControl/>
              <w:rPr>
                <w:color w:val="000000" w:themeColor="text1"/>
                <w:szCs w:val="26"/>
              </w:rPr>
            </w:pPr>
            <w:r w:rsidRPr="0029160A">
              <w:rPr>
                <w:color w:val="000000" w:themeColor="text1"/>
                <w:szCs w:val="26"/>
              </w:rPr>
              <w:t>CSH</w:t>
            </w:r>
          </w:p>
        </w:tc>
        <w:tc>
          <w:tcPr>
            <w:tcW w:w="1980" w:type="dxa"/>
          </w:tcPr>
          <w:p w14:paraId="786BF889"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$45.81</w:t>
            </w:r>
          </w:p>
        </w:tc>
        <w:tc>
          <w:tcPr>
            <w:tcW w:w="2070" w:type="dxa"/>
          </w:tcPr>
          <w:p w14:paraId="612AA06B"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$20.71</w:t>
            </w:r>
          </w:p>
        </w:tc>
        <w:tc>
          <w:tcPr>
            <w:tcW w:w="2250" w:type="dxa"/>
          </w:tcPr>
          <w:p w14:paraId="3B59246E"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$58.00</w:t>
            </w:r>
          </w:p>
        </w:tc>
        <w:tc>
          <w:tcPr>
            <w:tcW w:w="1890" w:type="dxa"/>
          </w:tcPr>
          <w:p w14:paraId="65D75797"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$45.81</w:t>
            </w:r>
          </w:p>
        </w:tc>
      </w:tr>
      <w:tr w:rsidR="00274E2D" w:rsidRPr="0029160A" w14:paraId="29E3D9C8" w14:textId="77777777" w:rsidTr="00CE40EC">
        <w:tc>
          <w:tcPr>
            <w:tcW w:w="1165" w:type="dxa"/>
          </w:tcPr>
          <w:p w14:paraId="192F7467" w14:textId="77777777" w:rsidR="00274E2D" w:rsidRPr="0029160A" w:rsidRDefault="00274E2D" w:rsidP="00274E2D">
            <w:pPr>
              <w:keepNext/>
              <w:keepLines/>
              <w:widowControl/>
              <w:rPr>
                <w:color w:val="000000" w:themeColor="text1"/>
                <w:szCs w:val="26"/>
              </w:rPr>
            </w:pPr>
            <w:r w:rsidRPr="0029160A">
              <w:rPr>
                <w:color w:val="000000" w:themeColor="text1"/>
                <w:szCs w:val="26"/>
              </w:rPr>
              <w:t>IS</w:t>
            </w:r>
          </w:p>
        </w:tc>
        <w:tc>
          <w:tcPr>
            <w:tcW w:w="1980" w:type="dxa"/>
          </w:tcPr>
          <w:p w14:paraId="4C915355"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$67.98</w:t>
            </w:r>
          </w:p>
        </w:tc>
        <w:tc>
          <w:tcPr>
            <w:tcW w:w="2070" w:type="dxa"/>
          </w:tcPr>
          <w:p w14:paraId="7E36BB64"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$97.55</w:t>
            </w:r>
          </w:p>
        </w:tc>
        <w:tc>
          <w:tcPr>
            <w:tcW w:w="2250" w:type="dxa"/>
          </w:tcPr>
          <w:p w14:paraId="14BFF187"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$85.00</w:t>
            </w:r>
          </w:p>
        </w:tc>
        <w:tc>
          <w:tcPr>
            <w:tcW w:w="1890" w:type="dxa"/>
          </w:tcPr>
          <w:p w14:paraId="22A187CF" w14:textId="77777777" w:rsidR="00274E2D" w:rsidRPr="0029160A" w:rsidRDefault="00274E2D" w:rsidP="00274E2D">
            <w:pPr>
              <w:keepNext/>
              <w:keepLines/>
              <w:widowControl/>
              <w:jc w:val="center"/>
              <w:rPr>
                <w:color w:val="000000" w:themeColor="text1"/>
                <w:szCs w:val="26"/>
              </w:rPr>
            </w:pPr>
            <w:r w:rsidRPr="0029160A">
              <w:rPr>
                <w:color w:val="000000" w:themeColor="text1"/>
                <w:szCs w:val="26"/>
              </w:rPr>
              <w:t>$85.00</w:t>
            </w:r>
          </w:p>
        </w:tc>
      </w:tr>
    </w:tbl>
    <w:p w14:paraId="4DA2C1D3" w14:textId="77777777" w:rsidR="00807A49" w:rsidRPr="0029160A" w:rsidRDefault="00807A49" w:rsidP="00274E2D">
      <w:pPr>
        <w:widowControl/>
        <w:spacing w:line="360" w:lineRule="auto"/>
        <w:rPr>
          <w:color w:val="000000" w:themeColor="text1"/>
        </w:rPr>
      </w:pPr>
    </w:p>
    <w:p w14:paraId="34BA0BEF" w14:textId="7CAA3A8B" w:rsidR="00D72D1C" w:rsidRPr="0029160A" w:rsidRDefault="00807A49" w:rsidP="00CB0B2E">
      <w:pPr>
        <w:widowControl/>
        <w:spacing w:line="360" w:lineRule="auto"/>
        <w:rPr>
          <w:color w:val="000000" w:themeColor="text1"/>
        </w:rPr>
      </w:pPr>
      <w:r w:rsidRPr="0029160A">
        <w:rPr>
          <w:color w:val="000000" w:themeColor="text1"/>
        </w:rPr>
        <w:t xml:space="preserve">I&amp;E </w:t>
      </w:r>
      <w:r w:rsidR="00351DCC" w:rsidRPr="0029160A">
        <w:rPr>
          <w:color w:val="000000" w:themeColor="text1"/>
        </w:rPr>
        <w:t xml:space="preserve">St. </w:t>
      </w:r>
      <w:r w:rsidRPr="0029160A">
        <w:rPr>
          <w:color w:val="000000" w:themeColor="text1"/>
        </w:rPr>
        <w:t>3 at 37.</w:t>
      </w:r>
      <w:r w:rsidR="00F302FC" w:rsidRPr="0029160A">
        <w:rPr>
          <w:color w:val="000000" w:themeColor="text1"/>
        </w:rPr>
        <w:t xml:space="preserve">  </w:t>
      </w:r>
      <w:r w:rsidRPr="0029160A">
        <w:rPr>
          <w:color w:val="000000" w:themeColor="text1"/>
        </w:rPr>
        <w:t xml:space="preserve">I&amp;E’s recommendation is based on Wellsboro’s customer cost analysis which shows </w:t>
      </w:r>
      <w:r w:rsidRPr="0029160A">
        <w:rPr>
          <w:rFonts w:eastAsiaTheme="minorHAnsi"/>
          <w:color w:val="000000" w:themeColor="text1"/>
          <w:szCs w:val="26"/>
        </w:rPr>
        <w:t xml:space="preserve">that the RS and RSAE class customer charges should only be increased to $12.00 and that there is no cost basis for increasing the NRS, NRH, </w:t>
      </w:r>
      <w:r w:rsidRPr="0029160A">
        <w:rPr>
          <w:rFonts w:eastAsiaTheme="minorHAnsi"/>
          <w:bCs/>
          <w:color w:val="000000" w:themeColor="text1"/>
          <w:szCs w:val="26"/>
        </w:rPr>
        <w:t>CS, and CSH</w:t>
      </w:r>
      <w:r w:rsidRPr="0029160A">
        <w:rPr>
          <w:rFonts w:eastAsiaTheme="minorHAnsi"/>
          <w:color w:val="000000" w:themeColor="text1"/>
          <w:szCs w:val="26"/>
        </w:rPr>
        <w:t xml:space="preserve"> classes </w:t>
      </w:r>
      <w:r w:rsidRPr="0029160A">
        <w:rPr>
          <w:rFonts w:eastAsiaTheme="minorHAnsi"/>
          <w:color w:val="000000" w:themeColor="text1"/>
          <w:szCs w:val="26"/>
        </w:rPr>
        <w:lastRenderedPageBreak/>
        <w:t xml:space="preserve">from their existing customer charges.  </w:t>
      </w:r>
      <w:r w:rsidRPr="0029160A">
        <w:rPr>
          <w:rFonts w:eastAsia="Calibri"/>
          <w:color w:val="000000" w:themeColor="text1"/>
          <w:szCs w:val="26"/>
        </w:rPr>
        <w:t xml:space="preserve">I&amp;E St. 3 at 37. </w:t>
      </w:r>
      <w:r w:rsidR="00B866B0" w:rsidRPr="0029160A">
        <w:rPr>
          <w:rFonts w:eastAsia="Calibri"/>
          <w:color w:val="000000" w:themeColor="text1"/>
          <w:szCs w:val="26"/>
        </w:rPr>
        <w:t xml:space="preserve"> </w:t>
      </w:r>
      <w:r w:rsidRPr="0029160A">
        <w:rPr>
          <w:color w:val="000000" w:themeColor="text1"/>
          <w:szCs w:val="26"/>
        </w:rPr>
        <w:t>In our opinion, I&amp;E’s proposed customer charges are supported by Wellsboro’s customer cost analysis.</w:t>
      </w:r>
      <w:r w:rsidR="00F302FC" w:rsidRPr="0029160A">
        <w:rPr>
          <w:color w:val="000000" w:themeColor="text1"/>
          <w:szCs w:val="26"/>
        </w:rPr>
        <w:t xml:space="preserve">  </w:t>
      </w:r>
      <w:r w:rsidRPr="0029160A">
        <w:rPr>
          <w:color w:val="000000" w:themeColor="text1"/>
          <w:szCs w:val="26"/>
        </w:rPr>
        <w:t>R.D. at 125.</w:t>
      </w:r>
      <w:r w:rsidR="00F302FC" w:rsidRPr="0029160A">
        <w:rPr>
          <w:color w:val="000000" w:themeColor="text1"/>
          <w:szCs w:val="26"/>
        </w:rPr>
        <w:t xml:space="preserve">  </w:t>
      </w:r>
      <w:r w:rsidRPr="0029160A">
        <w:rPr>
          <w:color w:val="000000" w:themeColor="text1"/>
          <w:szCs w:val="26"/>
        </w:rPr>
        <w:t xml:space="preserve">We shall adopt the I&amp;E’s proposed customer charges, as may be modified as necessary to be consistent with the decisions in this Opinion and Order.  </w:t>
      </w:r>
    </w:p>
    <w:p w14:paraId="6068A7F0" w14:textId="77777777" w:rsidR="00461A7E" w:rsidRPr="0029160A" w:rsidRDefault="00461A7E" w:rsidP="004D586D">
      <w:pPr>
        <w:widowControl/>
        <w:spacing w:line="360" w:lineRule="auto"/>
        <w:rPr>
          <w:color w:val="000000" w:themeColor="text1"/>
        </w:rPr>
      </w:pPr>
    </w:p>
    <w:p w14:paraId="29FF9368" w14:textId="2994DB9C" w:rsidR="003D6F0A" w:rsidRPr="0029160A" w:rsidRDefault="00AD0CEA" w:rsidP="000E102F">
      <w:pPr>
        <w:pStyle w:val="Heading3"/>
        <w:ind w:left="1440" w:hanging="720"/>
        <w:rPr>
          <w:color w:val="000000" w:themeColor="text1"/>
        </w:rPr>
      </w:pPr>
      <w:bookmarkStart w:id="178" w:name="_Toc36552368"/>
      <w:bookmarkStart w:id="179" w:name="_Toc38951824"/>
      <w:r w:rsidRPr="0029160A">
        <w:rPr>
          <w:color w:val="000000" w:themeColor="text1"/>
        </w:rPr>
        <w:t xml:space="preserve">Miscellaneous:  </w:t>
      </w:r>
      <w:r w:rsidR="00461A7E" w:rsidRPr="0029160A">
        <w:rPr>
          <w:color w:val="000000" w:themeColor="text1"/>
        </w:rPr>
        <w:t>Reporting Requirements</w:t>
      </w:r>
      <w:bookmarkEnd w:id="178"/>
      <w:bookmarkEnd w:id="179"/>
      <w:r w:rsidR="00461A7E" w:rsidRPr="0029160A">
        <w:rPr>
          <w:color w:val="000000" w:themeColor="text1"/>
        </w:rPr>
        <w:t xml:space="preserve"> </w:t>
      </w:r>
    </w:p>
    <w:p w14:paraId="4CC6C1DD" w14:textId="77777777" w:rsidR="00F22E7B" w:rsidRPr="0029160A" w:rsidRDefault="00F22E7B" w:rsidP="000E102F">
      <w:pPr>
        <w:widowControl/>
        <w:spacing w:line="360" w:lineRule="auto"/>
        <w:rPr>
          <w:color w:val="000000" w:themeColor="text1"/>
          <w:szCs w:val="26"/>
        </w:rPr>
      </w:pPr>
    </w:p>
    <w:p w14:paraId="00082743" w14:textId="3368B644" w:rsidR="00A368C0" w:rsidRPr="0029160A" w:rsidRDefault="00A368C0" w:rsidP="000E102F">
      <w:pPr>
        <w:pStyle w:val="Heading4"/>
        <w:numPr>
          <w:ilvl w:val="0"/>
          <w:numId w:val="28"/>
        </w:numPr>
        <w:ind w:hanging="720"/>
        <w:rPr>
          <w:color w:val="000000" w:themeColor="text1"/>
        </w:rPr>
      </w:pPr>
      <w:bookmarkStart w:id="180" w:name="_Toc38951825"/>
      <w:bookmarkStart w:id="181" w:name="_Hlk35618390"/>
      <w:r w:rsidRPr="0029160A">
        <w:rPr>
          <w:color w:val="000000" w:themeColor="text1"/>
        </w:rPr>
        <w:t>Position</w:t>
      </w:r>
      <w:r w:rsidR="009D7A24" w:rsidRPr="0029160A">
        <w:rPr>
          <w:color w:val="000000" w:themeColor="text1"/>
        </w:rPr>
        <w:t>s</w:t>
      </w:r>
      <w:r w:rsidRPr="0029160A">
        <w:rPr>
          <w:color w:val="000000" w:themeColor="text1"/>
        </w:rPr>
        <w:t xml:space="preserve"> of the Parties</w:t>
      </w:r>
      <w:bookmarkEnd w:id="180"/>
    </w:p>
    <w:p w14:paraId="53D6DF00" w14:textId="77777777" w:rsidR="002C3E93" w:rsidRPr="0029160A" w:rsidRDefault="002C3E93" w:rsidP="000E102F">
      <w:pPr>
        <w:widowControl/>
        <w:spacing w:line="360" w:lineRule="auto"/>
        <w:rPr>
          <w:color w:val="000000" w:themeColor="text1"/>
        </w:rPr>
      </w:pPr>
    </w:p>
    <w:p w14:paraId="2E5A83EF" w14:textId="165C49D1" w:rsidR="00EA1B7B" w:rsidRPr="0029160A" w:rsidRDefault="00EA1B7B" w:rsidP="000E102F">
      <w:pPr>
        <w:widowControl/>
        <w:spacing w:line="360" w:lineRule="auto"/>
        <w:ind w:firstLine="1440"/>
        <w:rPr>
          <w:rFonts w:eastAsia="Calibri"/>
          <w:color w:val="000000" w:themeColor="text1"/>
          <w:szCs w:val="26"/>
        </w:rPr>
      </w:pPr>
      <w:r w:rsidRPr="0029160A">
        <w:rPr>
          <w:rFonts w:eastAsia="Calibri"/>
          <w:color w:val="000000" w:themeColor="text1"/>
          <w:szCs w:val="26"/>
        </w:rPr>
        <w:t>I&amp;E recommended that Wellsboro provide the Commission’s Bureaus of Technical Utility Service</w:t>
      </w:r>
      <w:r w:rsidR="0061166C" w:rsidRPr="0029160A">
        <w:rPr>
          <w:rFonts w:eastAsia="Calibri"/>
          <w:color w:val="000000" w:themeColor="text1"/>
          <w:szCs w:val="26"/>
        </w:rPr>
        <w:t xml:space="preserve"> (TUS)</w:t>
      </w:r>
      <w:r w:rsidRPr="0029160A">
        <w:rPr>
          <w:rFonts w:eastAsia="Calibri"/>
          <w:color w:val="000000" w:themeColor="text1"/>
          <w:szCs w:val="26"/>
        </w:rPr>
        <w:t xml:space="preserve"> and I&amp;E with an update to Wellsboro Exh</w:t>
      </w:r>
      <w:r w:rsidR="00203AB5" w:rsidRPr="0029160A">
        <w:rPr>
          <w:rFonts w:eastAsia="Calibri"/>
          <w:color w:val="000000" w:themeColor="text1"/>
          <w:szCs w:val="26"/>
        </w:rPr>
        <w:t>ibit</w:t>
      </w:r>
      <w:r w:rsidRPr="0029160A">
        <w:rPr>
          <w:rFonts w:eastAsia="Calibri"/>
          <w:color w:val="000000" w:themeColor="text1"/>
          <w:szCs w:val="26"/>
        </w:rPr>
        <w:t>_(HSG-1), Schedule C3</w:t>
      </w:r>
      <w:r w:rsidR="00ED3A7E">
        <w:rPr>
          <w:rFonts w:eastAsia="Calibri"/>
          <w:color w:val="000000" w:themeColor="text1"/>
          <w:szCs w:val="26"/>
        </w:rPr>
        <w:t xml:space="preserve"> </w:t>
      </w:r>
      <w:r w:rsidRPr="0029160A">
        <w:rPr>
          <w:rFonts w:eastAsia="Calibri"/>
          <w:color w:val="000000" w:themeColor="text1"/>
          <w:szCs w:val="26"/>
        </w:rPr>
        <w:t>(W) no later than April 1, 2020, which should include actual capital expenditures, plant additions, and retirements by month for the twelve months e</w:t>
      </w:r>
      <w:r w:rsidR="00A10C67" w:rsidRPr="0029160A">
        <w:rPr>
          <w:rFonts w:eastAsia="Calibri"/>
          <w:color w:val="000000" w:themeColor="text1"/>
          <w:szCs w:val="26"/>
        </w:rPr>
        <w:t>n</w:t>
      </w:r>
      <w:r w:rsidRPr="0029160A">
        <w:rPr>
          <w:rFonts w:eastAsia="Calibri"/>
          <w:color w:val="000000" w:themeColor="text1"/>
          <w:szCs w:val="26"/>
        </w:rPr>
        <w:t xml:space="preserve">ding December 31, 2019.  I&amp;E stated that an additional update should be provided for actuals through December 31, 2020, no later than April 1, 2020.  I&amp;E witness Cline testified that these reports would “provide the Commission with actual data to gauge the accuracy of Wellsboro’s projected investments in future proceedings as has become common practice among Pennsylvania utilities as the use of the FPFTY has gained prevalence.”  I&amp;E M.B. at 69-70 (citing I&amp;E St. 3 at 13).  </w:t>
      </w:r>
    </w:p>
    <w:p w14:paraId="61842D95" w14:textId="77777777" w:rsidR="00EA1B7B" w:rsidRPr="0029160A" w:rsidRDefault="00EA1B7B">
      <w:pPr>
        <w:widowControl/>
        <w:spacing w:after="160" w:line="360" w:lineRule="auto"/>
        <w:ind w:firstLine="1440"/>
        <w:rPr>
          <w:rFonts w:eastAsia="Calibri"/>
          <w:color w:val="000000" w:themeColor="text1"/>
          <w:szCs w:val="26"/>
        </w:rPr>
      </w:pPr>
    </w:p>
    <w:p w14:paraId="26D58B17" w14:textId="77777777" w:rsidR="00191E24" w:rsidRPr="0029160A" w:rsidRDefault="00EA1B7B">
      <w:pPr>
        <w:widowControl/>
        <w:spacing w:after="160" w:line="360" w:lineRule="auto"/>
        <w:ind w:firstLine="1440"/>
        <w:rPr>
          <w:rFonts w:eastAsia="Calibri"/>
          <w:color w:val="000000" w:themeColor="text1"/>
          <w:szCs w:val="26"/>
        </w:rPr>
      </w:pPr>
      <w:r w:rsidRPr="0029160A">
        <w:rPr>
          <w:rFonts w:eastAsia="Calibri"/>
          <w:color w:val="000000" w:themeColor="text1"/>
          <w:szCs w:val="26"/>
        </w:rPr>
        <w:t xml:space="preserve">Wellsboro opposed the imposition of additional requirements not required by statute or regulation.  The Company noted that it submits numerous filings to the Commission each year, including the Annual Reports required by the Commission’s </w:t>
      </w:r>
      <w:r w:rsidR="00F70A45" w:rsidRPr="0029160A">
        <w:rPr>
          <w:rFonts w:eastAsia="Calibri"/>
          <w:color w:val="000000" w:themeColor="text1"/>
          <w:szCs w:val="26"/>
        </w:rPr>
        <w:t>R</w:t>
      </w:r>
      <w:r w:rsidRPr="0029160A">
        <w:rPr>
          <w:rFonts w:eastAsia="Calibri"/>
          <w:color w:val="000000" w:themeColor="text1"/>
          <w:szCs w:val="26"/>
        </w:rPr>
        <w:t xml:space="preserve">egulations.  Wellsboro M.B. at 112 (citing 52 Pa. Code § 57.47).  Wellsboro explained that these annual Reports include detailed plant, expense, and sales data that the Commission and I&amp;E can review.  Wellsboro requested that the Commission mitigate the regulatory burden on small utilities of this reporting requirement by denying I&amp;E’s request.  Wellsboro M.B. at 112-113.  </w:t>
      </w:r>
    </w:p>
    <w:p w14:paraId="34495D95" w14:textId="77777777" w:rsidR="008E3C37" w:rsidRPr="0029160A" w:rsidRDefault="008E3C37" w:rsidP="00CB0B2E">
      <w:pPr>
        <w:pStyle w:val="Heading4"/>
        <w:ind w:hanging="720"/>
        <w:rPr>
          <w:color w:val="000000" w:themeColor="text1"/>
        </w:rPr>
      </w:pPr>
      <w:bookmarkStart w:id="182" w:name="_Toc38951826"/>
      <w:r w:rsidRPr="0029160A">
        <w:rPr>
          <w:color w:val="000000" w:themeColor="text1"/>
        </w:rPr>
        <w:lastRenderedPageBreak/>
        <w:t>Recommended Decision</w:t>
      </w:r>
      <w:bookmarkEnd w:id="182"/>
    </w:p>
    <w:p w14:paraId="7D97D998" w14:textId="77777777" w:rsidR="0036457F" w:rsidRPr="0029160A" w:rsidRDefault="0036457F" w:rsidP="004D586D">
      <w:pPr>
        <w:widowControl/>
        <w:spacing w:line="360" w:lineRule="auto"/>
        <w:rPr>
          <w:color w:val="000000" w:themeColor="text1"/>
          <w:szCs w:val="26"/>
        </w:rPr>
      </w:pPr>
    </w:p>
    <w:p w14:paraId="45838C76" w14:textId="77777777" w:rsidR="00C53837" w:rsidRPr="0029160A" w:rsidRDefault="00C53837" w:rsidP="00CB0B2E">
      <w:pPr>
        <w:widowControl/>
        <w:spacing w:line="360" w:lineRule="auto"/>
        <w:ind w:firstLine="1440"/>
        <w:contextualSpacing/>
        <w:rPr>
          <w:color w:val="000000" w:themeColor="text1"/>
          <w:szCs w:val="26"/>
        </w:rPr>
      </w:pPr>
      <w:r w:rsidRPr="0029160A">
        <w:rPr>
          <w:color w:val="000000" w:themeColor="text1"/>
          <w:szCs w:val="26"/>
        </w:rPr>
        <w:t>The ALJs disagreed with I&amp;E’s recommendation that the Commission require Wellsboro to provide updated filings related to its plant</w:t>
      </w:r>
      <w:r w:rsidR="00AB1662" w:rsidRPr="0029160A">
        <w:rPr>
          <w:color w:val="000000" w:themeColor="text1"/>
          <w:szCs w:val="26"/>
        </w:rPr>
        <w:t>-</w:t>
      </w:r>
      <w:r w:rsidRPr="0029160A">
        <w:rPr>
          <w:color w:val="000000" w:themeColor="text1"/>
          <w:szCs w:val="26"/>
        </w:rPr>
        <w:t>in</w:t>
      </w:r>
      <w:r w:rsidR="00AB1662" w:rsidRPr="0029160A">
        <w:rPr>
          <w:color w:val="000000" w:themeColor="text1"/>
          <w:szCs w:val="26"/>
        </w:rPr>
        <w:t>-</w:t>
      </w:r>
      <w:r w:rsidRPr="0029160A">
        <w:rPr>
          <w:color w:val="000000" w:themeColor="text1"/>
          <w:szCs w:val="26"/>
        </w:rPr>
        <w:t xml:space="preserve">service projections.  </w:t>
      </w:r>
    </w:p>
    <w:p w14:paraId="62B0689A" w14:textId="77777777" w:rsidR="0036457F" w:rsidRPr="0029160A" w:rsidRDefault="00C53837" w:rsidP="00CB0B2E">
      <w:pPr>
        <w:widowControl/>
        <w:spacing w:line="360" w:lineRule="auto"/>
        <w:rPr>
          <w:color w:val="000000" w:themeColor="text1"/>
          <w:szCs w:val="26"/>
        </w:rPr>
      </w:pPr>
      <w:r w:rsidRPr="0029160A">
        <w:rPr>
          <w:color w:val="000000" w:themeColor="text1"/>
          <w:szCs w:val="26"/>
        </w:rPr>
        <w:t>The ALJs noted that the Commission may include such requirements at such time as it adopts comprehensive FPFTY regulations but the ALJs will not require the reporting by Wellsboro in this proceeding.  The ALJs provided that the proceedings cited by I&amp;E in support of its request were settled and the utilities voluntarily agreed to the requested reporting.  R.D. at 130.</w:t>
      </w:r>
    </w:p>
    <w:p w14:paraId="24A9BEB4" w14:textId="77777777" w:rsidR="0036457F" w:rsidRPr="0029160A" w:rsidRDefault="0036457F" w:rsidP="004D586D">
      <w:pPr>
        <w:widowControl/>
        <w:spacing w:line="360" w:lineRule="auto"/>
        <w:rPr>
          <w:color w:val="000000" w:themeColor="text1"/>
          <w:szCs w:val="26"/>
        </w:rPr>
      </w:pPr>
    </w:p>
    <w:p w14:paraId="1F05C24E" w14:textId="77777777" w:rsidR="008E3C37" w:rsidRPr="0029160A" w:rsidRDefault="00312B42" w:rsidP="00CB0B2E">
      <w:pPr>
        <w:pStyle w:val="Heading4"/>
        <w:keepNext/>
        <w:keepLines/>
        <w:ind w:hanging="720"/>
        <w:contextualSpacing w:val="0"/>
        <w:rPr>
          <w:color w:val="000000" w:themeColor="text1"/>
        </w:rPr>
      </w:pPr>
      <w:bookmarkStart w:id="183" w:name="_Toc38951827"/>
      <w:r w:rsidRPr="0029160A">
        <w:rPr>
          <w:color w:val="000000" w:themeColor="text1"/>
        </w:rPr>
        <w:t>I&amp;E Exception No. 8</w:t>
      </w:r>
      <w:r w:rsidR="008E3C37" w:rsidRPr="0029160A">
        <w:rPr>
          <w:color w:val="000000" w:themeColor="text1"/>
        </w:rPr>
        <w:t xml:space="preserve"> and Replies</w:t>
      </w:r>
      <w:bookmarkEnd w:id="183"/>
    </w:p>
    <w:p w14:paraId="3AFBE5AE" w14:textId="77777777" w:rsidR="0036457F" w:rsidRPr="0029160A" w:rsidRDefault="0036457F" w:rsidP="004D586D">
      <w:pPr>
        <w:keepNext/>
        <w:keepLines/>
        <w:widowControl/>
        <w:spacing w:line="360" w:lineRule="auto"/>
        <w:rPr>
          <w:color w:val="000000" w:themeColor="text1"/>
          <w:szCs w:val="26"/>
        </w:rPr>
      </w:pPr>
    </w:p>
    <w:p w14:paraId="6CA718A7" w14:textId="12670CA1"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In I&amp;E Exception No. 8, I&amp;E submits the ALJs erred by denying I&amp;E’s recommendation that Wellsboro be required to provide certain accounting reports – specifically an update to Wellsboro Exhibit</w:t>
      </w:r>
      <w:r w:rsidR="004D586D" w:rsidRPr="0029160A">
        <w:rPr>
          <w:color w:val="000000" w:themeColor="text1"/>
          <w:szCs w:val="26"/>
        </w:rPr>
        <w:t>_</w:t>
      </w:r>
      <w:r w:rsidRPr="0029160A">
        <w:rPr>
          <w:color w:val="000000" w:themeColor="text1"/>
          <w:szCs w:val="26"/>
        </w:rPr>
        <w:t>(HSG-1), Schedule C3</w:t>
      </w:r>
      <w:r w:rsidR="00ED3A7E">
        <w:rPr>
          <w:color w:val="000000" w:themeColor="text1"/>
          <w:szCs w:val="26"/>
        </w:rPr>
        <w:t xml:space="preserve"> </w:t>
      </w:r>
      <w:r w:rsidRPr="0029160A">
        <w:rPr>
          <w:color w:val="000000" w:themeColor="text1"/>
          <w:szCs w:val="26"/>
        </w:rPr>
        <w:t>(W) no later than April 1, 2020, including actual capital expenditures, plant additions, and retirements by month for the twelve months ending December 31, 2019, followed by an additional update for actuals through December 31, 2020, no later than April 1, 2021.  I&amp;E argues that this type of reporting is needed and in the public interest until FPFTY regulations are implemented.  I&amp;E provides that this reporting will be an apples-to-apples comparison in a form directly corresponding to a schedule provided in the rate filing of what the Company is projecting and what actually will be in plant, allowing TUS and I&amp;E to review the accuracy of the Company’s projections.  This reporting will provide TUS and I&amp;E with the information and opportunity required to review the accuracy of the Company’s projections.  I&amp;E Exc. at 14-15; I&amp;E M.B. at 69-72</w:t>
      </w:r>
      <w:r w:rsidR="00835BF8" w:rsidRPr="0029160A">
        <w:rPr>
          <w:color w:val="000000" w:themeColor="text1"/>
          <w:szCs w:val="26"/>
        </w:rPr>
        <w:t>;</w:t>
      </w:r>
      <w:r w:rsidRPr="0029160A">
        <w:rPr>
          <w:color w:val="000000" w:themeColor="text1"/>
          <w:szCs w:val="26"/>
        </w:rPr>
        <w:t xml:space="preserve"> I&amp;E R.B. at 29-30.</w:t>
      </w:r>
    </w:p>
    <w:p w14:paraId="6169B3B4" w14:textId="77777777" w:rsidR="00C53837" w:rsidRPr="0029160A" w:rsidRDefault="00C53837" w:rsidP="00CB0B2E">
      <w:pPr>
        <w:widowControl/>
        <w:spacing w:line="360" w:lineRule="auto"/>
        <w:ind w:firstLine="1440"/>
        <w:rPr>
          <w:color w:val="000000" w:themeColor="text1"/>
          <w:szCs w:val="26"/>
        </w:rPr>
      </w:pPr>
    </w:p>
    <w:p w14:paraId="2F1FF61B" w14:textId="7109AE3F" w:rsidR="00C53837" w:rsidRPr="0029160A" w:rsidRDefault="00C53837" w:rsidP="00CB0B2E">
      <w:pPr>
        <w:widowControl/>
        <w:spacing w:line="360" w:lineRule="auto"/>
        <w:ind w:firstLine="1440"/>
        <w:rPr>
          <w:color w:val="000000" w:themeColor="text1"/>
          <w:szCs w:val="26"/>
        </w:rPr>
      </w:pPr>
      <w:r w:rsidRPr="0029160A">
        <w:rPr>
          <w:color w:val="000000" w:themeColor="text1"/>
          <w:szCs w:val="26"/>
        </w:rPr>
        <w:t xml:space="preserve">In Replies to I&amp;E Exception No. 8, Wellsboro states that I&amp;E’s Exception should be denied as the R.D. correctly rejected I&amp;E’s recommendation that Wellsboro be required to provide certain accounting reports.  The Company must already submit </w:t>
      </w:r>
      <w:r w:rsidRPr="0029160A">
        <w:rPr>
          <w:color w:val="000000" w:themeColor="text1"/>
          <w:szCs w:val="26"/>
        </w:rPr>
        <w:lastRenderedPageBreak/>
        <w:t xml:space="preserve">numerous filings to the Commission including Annual Reports, which entail detailed year-end plant, expense, and sales data, and the Company provided quarterly updates following the initial rate filing in this proceeding.  Additional reporting requirements would impose an unfair regulatory burden on small utilities such as Wellsboro.  Lastly, in light of the fact that the Commission has not adopted regulations that comprehensively address requirements for public utilities utilizing the FPFTY, the Company requests that it not be singled out for compliance with unique and additional reporting requirements that are not applicable to all </w:t>
      </w:r>
      <w:r w:rsidR="00DF7E62" w:rsidRPr="0029160A">
        <w:rPr>
          <w:color w:val="000000" w:themeColor="text1"/>
          <w:szCs w:val="26"/>
        </w:rPr>
        <w:t>EDCs</w:t>
      </w:r>
      <w:r w:rsidRPr="0029160A">
        <w:rPr>
          <w:color w:val="000000" w:themeColor="text1"/>
          <w:szCs w:val="26"/>
        </w:rPr>
        <w:t>.  The Company, therefore, requests that the Commission approve the ALJs</w:t>
      </w:r>
      <w:r w:rsidR="004D586D" w:rsidRPr="0029160A">
        <w:rPr>
          <w:color w:val="000000" w:themeColor="text1"/>
          <w:szCs w:val="26"/>
        </w:rPr>
        <w:t>’</w:t>
      </w:r>
      <w:r w:rsidRPr="0029160A">
        <w:rPr>
          <w:color w:val="000000" w:themeColor="text1"/>
          <w:szCs w:val="26"/>
        </w:rPr>
        <w:t xml:space="preserve"> recommendation and deny I&amp;E</w:t>
      </w:r>
      <w:r w:rsidR="00274E2D" w:rsidRPr="0029160A">
        <w:rPr>
          <w:color w:val="000000" w:themeColor="text1"/>
          <w:szCs w:val="26"/>
        </w:rPr>
        <w:t>’</w:t>
      </w:r>
      <w:r w:rsidRPr="0029160A">
        <w:rPr>
          <w:color w:val="000000" w:themeColor="text1"/>
          <w:szCs w:val="26"/>
        </w:rPr>
        <w:t>s request for additional reporting requirements.  Wellsboro R. Exc. at 25-26; Wellsboro M.B. at 112-113.</w:t>
      </w:r>
    </w:p>
    <w:p w14:paraId="78312AFE" w14:textId="77777777" w:rsidR="0036457F" w:rsidRPr="0029160A" w:rsidRDefault="0036457F" w:rsidP="004D586D">
      <w:pPr>
        <w:widowControl/>
        <w:spacing w:line="360" w:lineRule="auto"/>
        <w:rPr>
          <w:color w:val="000000" w:themeColor="text1"/>
          <w:szCs w:val="26"/>
        </w:rPr>
      </w:pPr>
    </w:p>
    <w:p w14:paraId="114B5387" w14:textId="77777777" w:rsidR="00A368C0" w:rsidRPr="0029160A" w:rsidRDefault="008E3C37" w:rsidP="00CB0B2E">
      <w:pPr>
        <w:pStyle w:val="Heading4"/>
        <w:ind w:hanging="720"/>
        <w:rPr>
          <w:color w:val="000000" w:themeColor="text1"/>
        </w:rPr>
      </w:pPr>
      <w:bookmarkStart w:id="184" w:name="_Toc38951828"/>
      <w:r w:rsidRPr="0029160A">
        <w:rPr>
          <w:color w:val="000000" w:themeColor="text1"/>
        </w:rPr>
        <w:t>Disposition</w:t>
      </w:r>
      <w:bookmarkEnd w:id="184"/>
    </w:p>
    <w:p w14:paraId="11D02242" w14:textId="77777777" w:rsidR="0036457F" w:rsidRPr="0029160A" w:rsidRDefault="0036457F" w:rsidP="004D586D">
      <w:pPr>
        <w:widowControl/>
        <w:spacing w:line="360" w:lineRule="auto"/>
        <w:rPr>
          <w:color w:val="000000" w:themeColor="text1"/>
          <w:szCs w:val="26"/>
        </w:rPr>
      </w:pPr>
    </w:p>
    <w:bookmarkEnd w:id="181"/>
    <w:p w14:paraId="78BF0B00" w14:textId="4372A7C6" w:rsidR="00A2230F" w:rsidRPr="0029160A" w:rsidRDefault="00A2230F" w:rsidP="00CB0B2E">
      <w:pPr>
        <w:widowControl/>
        <w:spacing w:line="360" w:lineRule="auto"/>
        <w:ind w:firstLine="1440"/>
        <w:contextualSpacing/>
        <w:rPr>
          <w:color w:val="000000" w:themeColor="text1"/>
          <w:szCs w:val="26"/>
        </w:rPr>
      </w:pPr>
      <w:r w:rsidRPr="0029160A">
        <w:rPr>
          <w:color w:val="000000" w:themeColor="text1"/>
          <w:szCs w:val="26"/>
        </w:rPr>
        <w:t>We find that, on balance, and because reporting requirements are not uniform to all EDCs, we agree with the ALJs that requiring additional reporting by Wellsboro as requested by I&amp;E, is unnecessary in this case.</w:t>
      </w:r>
      <w:r w:rsidR="00275117" w:rsidRPr="0029160A">
        <w:rPr>
          <w:color w:val="000000" w:themeColor="text1"/>
          <w:szCs w:val="26"/>
        </w:rPr>
        <w:t xml:space="preserve">  </w:t>
      </w:r>
      <w:r w:rsidRPr="0029160A">
        <w:rPr>
          <w:color w:val="000000" w:themeColor="text1"/>
          <w:szCs w:val="26"/>
        </w:rPr>
        <w:t>While we acknowledge I&amp;E’</w:t>
      </w:r>
      <w:r w:rsidR="00275117" w:rsidRPr="0029160A">
        <w:rPr>
          <w:color w:val="000000" w:themeColor="text1"/>
          <w:szCs w:val="26"/>
        </w:rPr>
        <w:t>s</w:t>
      </w:r>
      <w:r w:rsidRPr="0029160A">
        <w:rPr>
          <w:color w:val="000000" w:themeColor="text1"/>
          <w:szCs w:val="26"/>
        </w:rPr>
        <w:t xml:space="preserve"> position that the Code provides the Commission broad power to require informational filings from utilities and that the Commission has accepted a reporting requirement such as that requested by I&amp;E in other rate proceedings, the additional reporting requirements proposed by I&amp;E is not required by statute or regulation.  The ALJs noted that the Commission may include such requirements at such time as it adopts comprehensive FPFTY regulations, but the ALJs recommended not adopting I&amp;E’s proposed reporting requirements for Wellsboro in this proceeding.</w:t>
      </w:r>
      <w:r w:rsidR="00275117" w:rsidRPr="0029160A">
        <w:rPr>
          <w:color w:val="000000" w:themeColor="text1"/>
          <w:szCs w:val="26"/>
        </w:rPr>
        <w:t xml:space="preserve">  R.D. at 130.</w:t>
      </w:r>
    </w:p>
    <w:p w14:paraId="5415F4B6" w14:textId="77777777" w:rsidR="00A2230F" w:rsidRPr="0029160A" w:rsidRDefault="00A2230F" w:rsidP="00CB0B2E">
      <w:pPr>
        <w:widowControl/>
        <w:spacing w:line="360" w:lineRule="auto"/>
        <w:ind w:firstLine="1440"/>
        <w:contextualSpacing/>
        <w:rPr>
          <w:color w:val="000000" w:themeColor="text1"/>
          <w:szCs w:val="26"/>
        </w:rPr>
      </w:pPr>
    </w:p>
    <w:p w14:paraId="6959D1BE" w14:textId="7C57F56F" w:rsidR="00A2230F" w:rsidRPr="0029160A" w:rsidRDefault="00A2230F" w:rsidP="002E0E3A">
      <w:pPr>
        <w:widowControl/>
        <w:spacing w:line="360" w:lineRule="auto"/>
        <w:ind w:firstLine="1440"/>
        <w:contextualSpacing/>
        <w:rPr>
          <w:color w:val="000000" w:themeColor="text1"/>
          <w:szCs w:val="26"/>
        </w:rPr>
      </w:pPr>
      <w:r w:rsidRPr="0029160A">
        <w:rPr>
          <w:color w:val="000000" w:themeColor="text1"/>
          <w:szCs w:val="26"/>
        </w:rPr>
        <w:t>A careful review of each case is advisable when considering the imposition of reporting beyond that required in the already heavily regulated utility industry.</w:t>
      </w:r>
      <w:r w:rsidR="00D16F07" w:rsidRPr="0029160A">
        <w:rPr>
          <w:color w:val="000000" w:themeColor="text1"/>
          <w:szCs w:val="26"/>
        </w:rPr>
        <w:t xml:space="preserve">  </w:t>
      </w:r>
      <w:r w:rsidRPr="0029160A">
        <w:rPr>
          <w:color w:val="000000" w:themeColor="text1"/>
          <w:szCs w:val="26"/>
        </w:rPr>
        <w:t xml:space="preserve">The instant case is distinguishable from I&amp;E’s cited cases, in that there is no agreement by the utilities in the context of a negotiated settlement.  Indeed, the ALJs emphasized that the proceedings cited by I&amp;E in support of its request involved negotiated settlements where </w:t>
      </w:r>
      <w:r w:rsidRPr="0029160A">
        <w:rPr>
          <w:color w:val="000000" w:themeColor="text1"/>
          <w:szCs w:val="26"/>
        </w:rPr>
        <w:lastRenderedPageBreak/>
        <w:t xml:space="preserve">the utilities voluntarily agreed to the requested reporting.  </w:t>
      </w:r>
      <w:r w:rsidR="00807013" w:rsidRPr="0029160A">
        <w:rPr>
          <w:color w:val="000000" w:themeColor="text1"/>
          <w:szCs w:val="26"/>
        </w:rPr>
        <w:t xml:space="preserve">R.D. at 130.  </w:t>
      </w:r>
      <w:r w:rsidRPr="0029160A">
        <w:rPr>
          <w:color w:val="000000" w:themeColor="text1"/>
          <w:szCs w:val="26"/>
        </w:rPr>
        <w:t>Further, we find that requiring such augmented reporting is not in the public interest, because we have not adopted comprehensive FPFT</w:t>
      </w:r>
      <w:r w:rsidR="008C5144" w:rsidRPr="0029160A">
        <w:rPr>
          <w:color w:val="000000" w:themeColor="text1"/>
          <w:szCs w:val="26"/>
        </w:rPr>
        <w:t>Y</w:t>
      </w:r>
      <w:r w:rsidRPr="0029160A">
        <w:rPr>
          <w:color w:val="000000" w:themeColor="text1"/>
          <w:szCs w:val="26"/>
        </w:rPr>
        <w:t xml:space="preserve"> regulations defining reporting parameters.  Finally, we find persuasive Wellsboro’s argument that requiring increased reporting would impose an unfair regulatory burden on a small utility.  R.D. at </w:t>
      </w:r>
      <w:r w:rsidR="00807013" w:rsidRPr="0029160A">
        <w:rPr>
          <w:color w:val="000000" w:themeColor="text1"/>
          <w:szCs w:val="26"/>
        </w:rPr>
        <w:t>130</w:t>
      </w:r>
      <w:r w:rsidRPr="0029160A">
        <w:rPr>
          <w:color w:val="000000" w:themeColor="text1"/>
          <w:szCs w:val="26"/>
        </w:rPr>
        <w:t xml:space="preserve">; </w:t>
      </w:r>
      <w:r w:rsidR="00807013" w:rsidRPr="0029160A">
        <w:rPr>
          <w:color w:val="000000" w:themeColor="text1"/>
          <w:szCs w:val="26"/>
        </w:rPr>
        <w:t>Wellsboro R. Exc. at 25-26.</w:t>
      </w:r>
    </w:p>
    <w:p w14:paraId="02D5DEE1" w14:textId="77777777" w:rsidR="002D4EC0" w:rsidRPr="0029160A" w:rsidRDefault="002D4EC0" w:rsidP="00CB0B2E">
      <w:pPr>
        <w:widowControl/>
        <w:spacing w:line="360" w:lineRule="auto"/>
        <w:ind w:firstLine="1440"/>
        <w:contextualSpacing/>
        <w:rPr>
          <w:color w:val="000000" w:themeColor="text1"/>
          <w:szCs w:val="26"/>
        </w:rPr>
      </w:pPr>
    </w:p>
    <w:p w14:paraId="1262651F" w14:textId="20C80EDC" w:rsidR="00A2230F" w:rsidRPr="0029160A" w:rsidRDefault="00A2230F" w:rsidP="00CB0B2E">
      <w:pPr>
        <w:widowControl/>
        <w:spacing w:line="360" w:lineRule="auto"/>
        <w:ind w:firstLine="1440"/>
        <w:contextualSpacing/>
        <w:rPr>
          <w:color w:val="000000" w:themeColor="text1"/>
        </w:rPr>
      </w:pPr>
      <w:r w:rsidRPr="0029160A">
        <w:rPr>
          <w:color w:val="000000" w:themeColor="text1"/>
          <w:szCs w:val="26"/>
        </w:rPr>
        <w:t xml:space="preserve">We observe that, consistent with the regulatory requirements for EDCs, </w:t>
      </w:r>
      <w:r w:rsidR="00DA62DB" w:rsidRPr="0029160A">
        <w:rPr>
          <w:color w:val="000000" w:themeColor="text1"/>
          <w:szCs w:val="26"/>
        </w:rPr>
        <w:t>Wellsboro</w:t>
      </w:r>
      <w:r w:rsidRPr="0029160A">
        <w:rPr>
          <w:color w:val="000000" w:themeColor="text1"/>
          <w:szCs w:val="26"/>
        </w:rPr>
        <w:t xml:space="preserve"> already submits numerous filings to the Commission each year, providing much of the information that I&amp;E seeks.</w:t>
      </w:r>
      <w:r w:rsidR="00DA62DB" w:rsidRPr="0029160A">
        <w:rPr>
          <w:color w:val="000000" w:themeColor="text1"/>
          <w:szCs w:val="26"/>
        </w:rPr>
        <w:t xml:space="preserve">  </w:t>
      </w:r>
      <w:r w:rsidR="00807013" w:rsidRPr="0029160A">
        <w:rPr>
          <w:color w:val="000000" w:themeColor="text1"/>
          <w:szCs w:val="26"/>
        </w:rPr>
        <w:t>Wellsboro R. Exc. at 25-26; Wellsboro M.B. at</w:t>
      </w:r>
      <w:r w:rsidR="004D586D" w:rsidRPr="0029160A">
        <w:rPr>
          <w:color w:val="000000" w:themeColor="text1"/>
          <w:szCs w:val="26"/>
        </w:rPr>
        <w:t> </w:t>
      </w:r>
      <w:r w:rsidR="00807013" w:rsidRPr="0029160A">
        <w:rPr>
          <w:color w:val="000000" w:themeColor="text1"/>
          <w:szCs w:val="26"/>
        </w:rPr>
        <w:t>112-113.</w:t>
      </w:r>
      <w:r w:rsidR="007B41AB" w:rsidRPr="0029160A">
        <w:rPr>
          <w:color w:val="000000" w:themeColor="text1"/>
          <w:szCs w:val="26"/>
        </w:rPr>
        <w:t xml:space="preserve">  </w:t>
      </w:r>
      <w:r w:rsidRPr="0029160A">
        <w:rPr>
          <w:color w:val="000000" w:themeColor="text1"/>
          <w:szCs w:val="26"/>
        </w:rPr>
        <w:t xml:space="preserve">Therefore, we </w:t>
      </w:r>
      <w:r w:rsidR="007B41AB" w:rsidRPr="0029160A">
        <w:rPr>
          <w:color w:val="000000" w:themeColor="text1"/>
          <w:szCs w:val="26"/>
        </w:rPr>
        <w:t xml:space="preserve">shall deny I&amp;E Exception No. 8 and </w:t>
      </w:r>
      <w:r w:rsidRPr="0029160A">
        <w:rPr>
          <w:color w:val="000000" w:themeColor="text1"/>
          <w:szCs w:val="26"/>
        </w:rPr>
        <w:t xml:space="preserve">adopt the ALJs’ recommendation on this reporting issue. </w:t>
      </w:r>
    </w:p>
    <w:p w14:paraId="63CE1CB1" w14:textId="77777777" w:rsidR="00E71A47" w:rsidRPr="0029160A" w:rsidRDefault="00E71A47" w:rsidP="004D586D">
      <w:pPr>
        <w:keepNext/>
        <w:keepLines/>
        <w:widowControl/>
        <w:spacing w:line="360" w:lineRule="auto"/>
        <w:rPr>
          <w:color w:val="000000" w:themeColor="text1"/>
          <w:szCs w:val="26"/>
        </w:rPr>
      </w:pPr>
    </w:p>
    <w:p w14:paraId="752FA89C" w14:textId="77777777" w:rsidR="006423A2" w:rsidRPr="0029160A" w:rsidRDefault="006423A2" w:rsidP="004D586D">
      <w:pPr>
        <w:pStyle w:val="Heading2"/>
        <w:keepNext/>
        <w:keepLines/>
        <w:suppressAutoHyphens w:val="0"/>
        <w:contextualSpacing w:val="0"/>
        <w:rPr>
          <w:color w:val="000000" w:themeColor="text1"/>
        </w:rPr>
      </w:pPr>
      <w:bookmarkStart w:id="185" w:name="_Toc38951829"/>
      <w:r w:rsidRPr="0029160A">
        <w:rPr>
          <w:color w:val="000000" w:themeColor="text1"/>
        </w:rPr>
        <w:t>Final Disposition</w:t>
      </w:r>
      <w:bookmarkEnd w:id="185"/>
      <w:r w:rsidRPr="0029160A">
        <w:rPr>
          <w:color w:val="000000" w:themeColor="text1"/>
        </w:rPr>
        <w:t xml:space="preserve"> </w:t>
      </w:r>
    </w:p>
    <w:p w14:paraId="4064619B" w14:textId="77777777" w:rsidR="006423A2" w:rsidRPr="0029160A" w:rsidRDefault="006423A2" w:rsidP="004D586D">
      <w:pPr>
        <w:keepNext/>
        <w:keepLines/>
        <w:widowControl/>
        <w:spacing w:line="360" w:lineRule="auto"/>
        <w:rPr>
          <w:color w:val="000000" w:themeColor="text1"/>
        </w:rPr>
      </w:pPr>
    </w:p>
    <w:p w14:paraId="660157BD" w14:textId="2D0095D1" w:rsidR="00622B61" w:rsidRPr="0029160A" w:rsidRDefault="006423A2" w:rsidP="004D586D">
      <w:pPr>
        <w:widowControl/>
        <w:spacing w:line="360" w:lineRule="auto"/>
        <w:ind w:firstLine="1440"/>
        <w:rPr>
          <w:color w:val="000000" w:themeColor="text1"/>
          <w:szCs w:val="26"/>
        </w:rPr>
      </w:pPr>
      <w:r w:rsidRPr="0029160A">
        <w:rPr>
          <w:color w:val="000000" w:themeColor="text1"/>
          <w:szCs w:val="26"/>
        </w:rPr>
        <w:t>Upon review of the ALJs</w:t>
      </w:r>
      <w:r w:rsidR="003E7787" w:rsidRPr="0029160A">
        <w:rPr>
          <w:color w:val="000000" w:themeColor="text1"/>
          <w:szCs w:val="26"/>
        </w:rPr>
        <w:t>’</w:t>
      </w:r>
      <w:r w:rsidRPr="0029160A">
        <w:rPr>
          <w:color w:val="000000" w:themeColor="text1"/>
          <w:szCs w:val="26"/>
        </w:rPr>
        <w:t xml:space="preserve"> uncontested recommendations, we conclude that the ALJs</w:t>
      </w:r>
      <w:r w:rsidR="003E7787" w:rsidRPr="0029160A">
        <w:rPr>
          <w:color w:val="000000" w:themeColor="text1"/>
          <w:szCs w:val="26"/>
        </w:rPr>
        <w:t>’</w:t>
      </w:r>
      <w:r w:rsidRPr="0029160A">
        <w:rPr>
          <w:color w:val="000000" w:themeColor="text1"/>
          <w:szCs w:val="26"/>
        </w:rPr>
        <w:t xml:space="preserve"> uncontested recommendations and the underlying </w:t>
      </w:r>
      <w:r w:rsidR="00825A3D" w:rsidRPr="0029160A">
        <w:rPr>
          <w:color w:val="000000" w:themeColor="text1"/>
          <w:szCs w:val="26"/>
        </w:rPr>
        <w:t xml:space="preserve">discussion, rationale, </w:t>
      </w:r>
      <w:r w:rsidRPr="0029160A">
        <w:rPr>
          <w:color w:val="000000" w:themeColor="text1"/>
          <w:szCs w:val="26"/>
        </w:rPr>
        <w:t xml:space="preserve">Findings of Fact and Conclusions of Law are supported by substantial evidence and establish just and reasonable rates. </w:t>
      </w:r>
      <w:r w:rsidR="007F268E" w:rsidRPr="0029160A">
        <w:rPr>
          <w:color w:val="000000" w:themeColor="text1"/>
          <w:szCs w:val="26"/>
        </w:rPr>
        <w:t xml:space="preserve"> </w:t>
      </w:r>
      <w:r w:rsidRPr="0029160A">
        <w:rPr>
          <w:color w:val="000000" w:themeColor="text1"/>
          <w:szCs w:val="26"/>
        </w:rPr>
        <w:t>Accordingly, we shall adopt and approve, without modification, the ALJs</w:t>
      </w:r>
      <w:r w:rsidR="003E7787" w:rsidRPr="0029160A">
        <w:rPr>
          <w:color w:val="000000" w:themeColor="text1"/>
          <w:szCs w:val="26"/>
        </w:rPr>
        <w:t>’</w:t>
      </w:r>
      <w:r w:rsidRPr="0029160A">
        <w:rPr>
          <w:color w:val="000000" w:themeColor="text1"/>
          <w:szCs w:val="26"/>
        </w:rPr>
        <w:t xml:space="preserve"> </w:t>
      </w:r>
      <w:r w:rsidR="00825A3D" w:rsidRPr="0029160A">
        <w:rPr>
          <w:color w:val="000000" w:themeColor="text1"/>
          <w:szCs w:val="26"/>
        </w:rPr>
        <w:t>R.D.</w:t>
      </w:r>
      <w:r w:rsidRPr="0029160A">
        <w:rPr>
          <w:color w:val="000000" w:themeColor="text1"/>
          <w:szCs w:val="26"/>
        </w:rPr>
        <w:t xml:space="preserve">, </w:t>
      </w:r>
      <w:r w:rsidR="00622B61" w:rsidRPr="0029160A">
        <w:rPr>
          <w:color w:val="000000" w:themeColor="text1"/>
          <w:szCs w:val="26"/>
        </w:rPr>
        <w:t xml:space="preserve">as just and reasonable and in the public interest, </w:t>
      </w:r>
      <w:r w:rsidRPr="0029160A">
        <w:rPr>
          <w:color w:val="000000" w:themeColor="text1"/>
          <w:szCs w:val="26"/>
        </w:rPr>
        <w:t>as set forth and discussed above, regarding</w:t>
      </w:r>
      <w:r w:rsidR="00825A3D" w:rsidRPr="0029160A">
        <w:rPr>
          <w:color w:val="000000" w:themeColor="text1"/>
          <w:szCs w:val="26"/>
        </w:rPr>
        <w:t xml:space="preserve"> the following issues</w:t>
      </w:r>
      <w:r w:rsidRPr="0029160A">
        <w:rPr>
          <w:color w:val="000000" w:themeColor="text1"/>
          <w:szCs w:val="26"/>
        </w:rPr>
        <w:t xml:space="preserve">: </w:t>
      </w:r>
      <w:r w:rsidR="00622B61" w:rsidRPr="0029160A">
        <w:rPr>
          <w:noProof/>
          <w:color w:val="000000" w:themeColor="text1"/>
        </w:rPr>
        <w:t>(1) Rate Base:</w:t>
      </w:r>
      <w:r w:rsidR="00622B61" w:rsidRPr="0029160A">
        <w:rPr>
          <w:rFonts w:eastAsiaTheme="minorHAnsi"/>
          <w:noProof/>
          <w:color w:val="000000" w:themeColor="text1"/>
        </w:rPr>
        <w:t xml:space="preserve"> </w:t>
      </w:r>
      <w:r w:rsidR="00622B61" w:rsidRPr="0029160A">
        <w:rPr>
          <w:noProof/>
          <w:color w:val="000000" w:themeColor="text1"/>
        </w:rPr>
        <w:t>Materials and Supplies; ADIT; EDIT; Customer Deposits; CWIP; Accrued Pension/OPEB Liability; CWC</w:t>
      </w:r>
      <w:r w:rsidR="00622B61" w:rsidRPr="0029160A">
        <w:rPr>
          <w:noProof/>
          <w:webHidden/>
          <w:color w:val="000000" w:themeColor="text1"/>
        </w:rPr>
        <w:t xml:space="preserve">; (2) </w:t>
      </w:r>
      <w:r w:rsidR="00622B61" w:rsidRPr="0029160A">
        <w:rPr>
          <w:noProof/>
          <w:color w:val="000000" w:themeColor="text1"/>
        </w:rPr>
        <w:t>Revenue: Forfeited Discounts</w:t>
      </w:r>
      <w:r w:rsidR="00622B61" w:rsidRPr="0029160A">
        <w:rPr>
          <w:noProof/>
          <w:webHidden/>
          <w:color w:val="000000" w:themeColor="text1"/>
        </w:rPr>
        <w:t xml:space="preserve">; (3) </w:t>
      </w:r>
      <w:r w:rsidR="00622B61" w:rsidRPr="0029160A">
        <w:rPr>
          <w:noProof/>
          <w:color w:val="000000" w:themeColor="text1"/>
        </w:rPr>
        <w:t>Expenses: Regulatory Commission Expense (Account 928) and CWC</w:t>
      </w:r>
      <w:r w:rsidR="00622B61" w:rsidRPr="0029160A">
        <w:rPr>
          <w:noProof/>
          <w:webHidden/>
          <w:color w:val="000000" w:themeColor="text1"/>
        </w:rPr>
        <w:t xml:space="preserve">; (4) </w:t>
      </w:r>
      <w:r w:rsidR="00622B61" w:rsidRPr="0029160A">
        <w:rPr>
          <w:noProof/>
          <w:color w:val="000000" w:themeColor="text1"/>
        </w:rPr>
        <w:t>Rate of Return: Capital Structure and Cost of Long-Term Debt</w:t>
      </w:r>
      <w:r w:rsidR="00622B61" w:rsidRPr="0029160A">
        <w:rPr>
          <w:noProof/>
          <w:webHidden/>
          <w:color w:val="000000" w:themeColor="text1"/>
        </w:rPr>
        <w:t xml:space="preserve">; (5) </w:t>
      </w:r>
      <w:r w:rsidR="00622B61" w:rsidRPr="0029160A">
        <w:rPr>
          <w:noProof/>
          <w:color w:val="000000" w:themeColor="text1"/>
        </w:rPr>
        <w:t xml:space="preserve">Taxes: </w:t>
      </w:r>
      <w:r w:rsidR="00622B61" w:rsidRPr="0029160A">
        <w:rPr>
          <w:rFonts w:eastAsiaTheme="minorHAnsi"/>
          <w:noProof/>
          <w:color w:val="000000" w:themeColor="text1"/>
        </w:rPr>
        <w:t>EDIT and Deferred Regulatory Liability</w:t>
      </w:r>
      <w:r w:rsidR="00622B61" w:rsidRPr="0029160A">
        <w:rPr>
          <w:noProof/>
          <w:webHidden/>
          <w:color w:val="000000" w:themeColor="text1"/>
        </w:rPr>
        <w:t xml:space="preserve">; and (6) </w:t>
      </w:r>
      <w:r w:rsidR="00622B61" w:rsidRPr="0029160A">
        <w:rPr>
          <w:noProof/>
          <w:color w:val="000000" w:themeColor="text1"/>
        </w:rPr>
        <w:t>Rate Structure: Scale Back.</w:t>
      </w:r>
    </w:p>
    <w:p w14:paraId="5C8FE518" w14:textId="77777777" w:rsidR="00590F63" w:rsidRPr="0029160A" w:rsidRDefault="00590F63">
      <w:pPr>
        <w:widowControl/>
        <w:spacing w:line="360" w:lineRule="auto"/>
        <w:ind w:firstLine="1440"/>
        <w:rPr>
          <w:color w:val="000000" w:themeColor="text1"/>
          <w:szCs w:val="26"/>
        </w:rPr>
      </w:pPr>
    </w:p>
    <w:p w14:paraId="1754B817" w14:textId="058B9AC7" w:rsidR="00622B61" w:rsidRPr="0029160A" w:rsidRDefault="00622B61">
      <w:pPr>
        <w:widowControl/>
        <w:spacing w:line="360" w:lineRule="auto"/>
        <w:ind w:firstLine="1440"/>
        <w:rPr>
          <w:color w:val="000000" w:themeColor="text1"/>
          <w:szCs w:val="26"/>
        </w:rPr>
      </w:pPr>
      <w:r w:rsidRPr="0029160A">
        <w:rPr>
          <w:color w:val="000000" w:themeColor="text1"/>
          <w:szCs w:val="26"/>
        </w:rPr>
        <w:t>Upon review of the ALJs</w:t>
      </w:r>
      <w:r w:rsidR="003E7787" w:rsidRPr="0029160A">
        <w:rPr>
          <w:color w:val="000000" w:themeColor="text1"/>
          <w:szCs w:val="26"/>
        </w:rPr>
        <w:t>’</w:t>
      </w:r>
      <w:r w:rsidRPr="0029160A">
        <w:rPr>
          <w:color w:val="000000" w:themeColor="text1"/>
          <w:szCs w:val="26"/>
        </w:rPr>
        <w:t xml:space="preserve"> contested recommendations, for the reasons discuss</w:t>
      </w:r>
      <w:r w:rsidR="00B866B0" w:rsidRPr="0029160A">
        <w:rPr>
          <w:color w:val="000000" w:themeColor="text1"/>
          <w:szCs w:val="26"/>
        </w:rPr>
        <w:t>ed</w:t>
      </w:r>
      <w:r w:rsidRPr="0029160A">
        <w:rPr>
          <w:color w:val="000000" w:themeColor="text1"/>
          <w:szCs w:val="26"/>
        </w:rPr>
        <w:t xml:space="preserve"> above, we shall grant, in part, and deny, in part, the Exceptions filed by </w:t>
      </w:r>
      <w:r w:rsidRPr="0029160A">
        <w:rPr>
          <w:color w:val="000000" w:themeColor="text1"/>
          <w:szCs w:val="26"/>
        </w:rPr>
        <w:lastRenderedPageBreak/>
        <w:t>Wellsboro</w:t>
      </w:r>
      <w:r w:rsidR="003E7787" w:rsidRPr="0029160A">
        <w:rPr>
          <w:color w:val="000000" w:themeColor="text1"/>
          <w:szCs w:val="26"/>
        </w:rPr>
        <w:t>,</w:t>
      </w:r>
      <w:r w:rsidRPr="0029160A">
        <w:rPr>
          <w:color w:val="000000" w:themeColor="text1"/>
          <w:szCs w:val="26"/>
        </w:rPr>
        <w:t xml:space="preserve"> the OCA </w:t>
      </w:r>
      <w:r w:rsidR="003E7787" w:rsidRPr="0029160A">
        <w:rPr>
          <w:color w:val="000000" w:themeColor="text1"/>
          <w:szCs w:val="26"/>
        </w:rPr>
        <w:t xml:space="preserve">and </w:t>
      </w:r>
      <w:r w:rsidRPr="0029160A">
        <w:rPr>
          <w:color w:val="000000" w:themeColor="text1"/>
          <w:szCs w:val="26"/>
        </w:rPr>
        <w:t>I&amp;E</w:t>
      </w:r>
      <w:r w:rsidR="00B866B0" w:rsidRPr="0029160A">
        <w:rPr>
          <w:color w:val="000000" w:themeColor="text1"/>
          <w:szCs w:val="26"/>
        </w:rPr>
        <w:t>;</w:t>
      </w:r>
      <w:r w:rsidRPr="0029160A">
        <w:rPr>
          <w:color w:val="000000" w:themeColor="text1"/>
          <w:szCs w:val="26"/>
        </w:rPr>
        <w:t xml:space="preserve"> and</w:t>
      </w:r>
      <w:r w:rsidR="00B866B0" w:rsidRPr="0029160A">
        <w:rPr>
          <w:color w:val="000000" w:themeColor="text1"/>
          <w:szCs w:val="26"/>
        </w:rPr>
        <w:t>,</w:t>
      </w:r>
      <w:r w:rsidRPr="0029160A">
        <w:rPr>
          <w:color w:val="000000" w:themeColor="text1"/>
          <w:szCs w:val="26"/>
        </w:rPr>
        <w:t xml:space="preserve"> we shall adopt the ALJs’ Recommended Decision, as modified, consistent with this Opinion and Order.</w:t>
      </w:r>
    </w:p>
    <w:p w14:paraId="28271330" w14:textId="77777777" w:rsidR="00590F63" w:rsidRPr="0029160A" w:rsidRDefault="00590F63">
      <w:pPr>
        <w:widowControl/>
        <w:spacing w:line="360" w:lineRule="auto"/>
        <w:ind w:firstLine="1440"/>
        <w:rPr>
          <w:color w:val="000000" w:themeColor="text1"/>
          <w:szCs w:val="26"/>
        </w:rPr>
      </w:pPr>
    </w:p>
    <w:p w14:paraId="7E17E130" w14:textId="73EBCF75" w:rsidR="00590F63" w:rsidRPr="0029160A" w:rsidRDefault="00590F63" w:rsidP="004D586D">
      <w:pPr>
        <w:widowControl/>
        <w:spacing w:line="360" w:lineRule="auto"/>
        <w:ind w:firstLine="1440"/>
        <w:rPr>
          <w:color w:val="000000" w:themeColor="text1"/>
          <w:szCs w:val="26"/>
        </w:rPr>
      </w:pPr>
      <w:r w:rsidRPr="0029160A">
        <w:rPr>
          <w:color w:val="000000" w:themeColor="text1"/>
          <w:szCs w:val="26"/>
        </w:rPr>
        <w:t>Based on the foregoing discussion, Wellsboro proposed a</w:t>
      </w:r>
      <w:r w:rsidR="00B866B0" w:rsidRPr="0029160A">
        <w:rPr>
          <w:color w:val="000000" w:themeColor="text1"/>
          <w:szCs w:val="26"/>
        </w:rPr>
        <w:t>n increase to its</w:t>
      </w:r>
      <w:r w:rsidRPr="0029160A">
        <w:rPr>
          <w:color w:val="000000" w:themeColor="text1"/>
          <w:szCs w:val="26"/>
        </w:rPr>
        <w:t xml:space="preserve"> base</w:t>
      </w:r>
      <w:r w:rsidR="00B866B0" w:rsidRPr="0029160A">
        <w:rPr>
          <w:color w:val="000000" w:themeColor="text1"/>
          <w:szCs w:val="26"/>
        </w:rPr>
        <w:t xml:space="preserve"> rates</w:t>
      </w:r>
      <w:r w:rsidRPr="0029160A">
        <w:rPr>
          <w:color w:val="000000" w:themeColor="text1"/>
          <w:szCs w:val="26"/>
        </w:rPr>
        <w:t xml:space="preserve"> that would have increased its annual revenues by $999,967, or approximately 19.5%, based on a FPFTY ending December 30, 2020.  In this Opinion and Order, we shall approve an annual revenue increase of $95</w:t>
      </w:r>
      <w:r w:rsidR="00873444" w:rsidRPr="0029160A">
        <w:rPr>
          <w:color w:val="000000" w:themeColor="text1"/>
          <w:szCs w:val="26"/>
        </w:rPr>
        <w:t>0</w:t>
      </w:r>
      <w:r w:rsidRPr="0029160A">
        <w:rPr>
          <w:color w:val="000000" w:themeColor="text1"/>
          <w:szCs w:val="26"/>
        </w:rPr>
        <w:t>,</w:t>
      </w:r>
      <w:r w:rsidR="00873444" w:rsidRPr="0029160A">
        <w:rPr>
          <w:color w:val="000000" w:themeColor="text1"/>
          <w:szCs w:val="26"/>
        </w:rPr>
        <w:t>243</w:t>
      </w:r>
      <w:r w:rsidRPr="0029160A">
        <w:rPr>
          <w:color w:val="000000" w:themeColor="text1"/>
          <w:szCs w:val="26"/>
        </w:rPr>
        <w:t xml:space="preserve">, or </w:t>
      </w:r>
      <w:r w:rsidR="00B866B0" w:rsidRPr="0029160A">
        <w:rPr>
          <w:color w:val="000000" w:themeColor="text1"/>
          <w:szCs w:val="26"/>
        </w:rPr>
        <w:t xml:space="preserve">approximately </w:t>
      </w:r>
      <w:r w:rsidRPr="0029160A">
        <w:rPr>
          <w:color w:val="000000" w:themeColor="text1"/>
          <w:szCs w:val="26"/>
        </w:rPr>
        <w:t>18.</w:t>
      </w:r>
      <w:r w:rsidR="00873444" w:rsidRPr="0029160A">
        <w:rPr>
          <w:color w:val="000000" w:themeColor="text1"/>
          <w:szCs w:val="26"/>
        </w:rPr>
        <w:t>15</w:t>
      </w:r>
      <w:r w:rsidRPr="0029160A">
        <w:rPr>
          <w:color w:val="000000" w:themeColor="text1"/>
          <w:szCs w:val="26"/>
        </w:rPr>
        <w:t>%.</w:t>
      </w:r>
    </w:p>
    <w:p w14:paraId="7526FCF3" w14:textId="77777777" w:rsidR="006423A2" w:rsidRPr="0029160A" w:rsidRDefault="006423A2" w:rsidP="00CB0B2E">
      <w:pPr>
        <w:widowControl/>
        <w:spacing w:line="360" w:lineRule="auto"/>
        <w:rPr>
          <w:color w:val="000000" w:themeColor="text1"/>
        </w:rPr>
      </w:pPr>
    </w:p>
    <w:p w14:paraId="73C2E2B2" w14:textId="77777777" w:rsidR="00B216C8" w:rsidRPr="0029160A" w:rsidRDefault="00B216C8" w:rsidP="00CB0B2E">
      <w:pPr>
        <w:pStyle w:val="Heading1"/>
        <w:widowControl/>
        <w:spacing w:before="0" w:line="360" w:lineRule="auto"/>
        <w:ind w:left="0" w:firstLine="0"/>
        <w:rPr>
          <w:rFonts w:cs="Times New Roman"/>
          <w:color w:val="000000" w:themeColor="text1"/>
          <w:szCs w:val="26"/>
        </w:rPr>
      </w:pPr>
      <w:bookmarkStart w:id="186" w:name="_Toc10812960"/>
      <w:bookmarkStart w:id="187" w:name="_Toc36552369"/>
      <w:bookmarkStart w:id="188" w:name="_Toc38951830"/>
      <w:r w:rsidRPr="0029160A">
        <w:rPr>
          <w:rFonts w:cs="Times New Roman"/>
          <w:color w:val="000000" w:themeColor="text1"/>
          <w:szCs w:val="26"/>
        </w:rPr>
        <w:t>Conclusion</w:t>
      </w:r>
      <w:bookmarkEnd w:id="186"/>
      <w:bookmarkEnd w:id="187"/>
      <w:bookmarkEnd w:id="188"/>
    </w:p>
    <w:p w14:paraId="167FC093" w14:textId="77777777" w:rsidR="00B216C8" w:rsidRPr="0029160A" w:rsidRDefault="00B216C8" w:rsidP="004D586D">
      <w:pPr>
        <w:keepNext/>
        <w:keepLines/>
        <w:widowControl/>
        <w:tabs>
          <w:tab w:val="left" w:pos="-720"/>
        </w:tabs>
        <w:spacing w:line="360" w:lineRule="auto"/>
        <w:rPr>
          <w:color w:val="000000" w:themeColor="text1"/>
          <w:szCs w:val="26"/>
        </w:rPr>
      </w:pPr>
    </w:p>
    <w:p w14:paraId="3E0B8F42" w14:textId="5401BA23" w:rsidR="0093788B" w:rsidRPr="0029160A" w:rsidRDefault="00C53837" w:rsidP="004D586D">
      <w:pPr>
        <w:widowControl/>
        <w:tabs>
          <w:tab w:val="left" w:pos="-720"/>
        </w:tabs>
        <w:spacing w:line="360" w:lineRule="auto"/>
        <w:ind w:firstLine="1440"/>
        <w:rPr>
          <w:b/>
          <w:color w:val="000000" w:themeColor="text1"/>
          <w:szCs w:val="26"/>
        </w:rPr>
      </w:pPr>
      <w:r w:rsidRPr="0029160A">
        <w:rPr>
          <w:color w:val="000000" w:themeColor="text1"/>
          <w:szCs w:val="26"/>
        </w:rPr>
        <w:t xml:space="preserve">Based upon our review of the fully-developed record in this proceeding, the ALJs’ Recommended Decision, the Exceptions and Replies filed thereto, we shall </w:t>
      </w:r>
      <w:r w:rsidR="00622B61" w:rsidRPr="0029160A">
        <w:rPr>
          <w:color w:val="000000" w:themeColor="text1"/>
          <w:szCs w:val="26"/>
        </w:rPr>
        <w:t xml:space="preserve">modify </w:t>
      </w:r>
      <w:r w:rsidRPr="0029160A">
        <w:rPr>
          <w:color w:val="000000" w:themeColor="text1"/>
          <w:szCs w:val="26"/>
        </w:rPr>
        <w:t>the ALJs’ Recommended Decision</w:t>
      </w:r>
      <w:r w:rsidR="002C3E93" w:rsidRPr="0029160A">
        <w:rPr>
          <w:color w:val="000000" w:themeColor="text1"/>
          <w:szCs w:val="26"/>
        </w:rPr>
        <w:t xml:space="preserve">; and </w:t>
      </w:r>
      <w:r w:rsidR="00622B61" w:rsidRPr="0029160A">
        <w:rPr>
          <w:color w:val="000000" w:themeColor="text1"/>
          <w:szCs w:val="26"/>
        </w:rPr>
        <w:t xml:space="preserve">deny, in part, and grant, in part, </w:t>
      </w:r>
      <w:r w:rsidRPr="0029160A">
        <w:rPr>
          <w:color w:val="000000" w:themeColor="text1"/>
          <w:szCs w:val="26"/>
        </w:rPr>
        <w:t xml:space="preserve">the Exceptions filed by </w:t>
      </w:r>
      <w:r w:rsidR="00AD0CEA" w:rsidRPr="0029160A">
        <w:rPr>
          <w:color w:val="000000" w:themeColor="text1"/>
          <w:szCs w:val="26"/>
        </w:rPr>
        <w:t>Wellsboro</w:t>
      </w:r>
      <w:r w:rsidR="002F3E90" w:rsidRPr="0029160A">
        <w:rPr>
          <w:color w:val="000000" w:themeColor="text1"/>
          <w:szCs w:val="26"/>
        </w:rPr>
        <w:t>,</w:t>
      </w:r>
      <w:r w:rsidR="00622B61" w:rsidRPr="0029160A">
        <w:rPr>
          <w:color w:val="000000" w:themeColor="text1"/>
          <w:szCs w:val="26"/>
        </w:rPr>
        <w:t xml:space="preserve"> the OCA, and </w:t>
      </w:r>
      <w:r w:rsidRPr="0029160A">
        <w:rPr>
          <w:color w:val="000000" w:themeColor="text1"/>
          <w:szCs w:val="26"/>
        </w:rPr>
        <w:t>I&amp;E, consistent with this Opinion and Order;</w:t>
      </w:r>
      <w:r w:rsidR="00B216C8" w:rsidRPr="0029160A">
        <w:rPr>
          <w:color w:val="000000" w:themeColor="text1"/>
          <w:szCs w:val="26"/>
        </w:rPr>
        <w:t xml:space="preserve"> </w:t>
      </w:r>
      <w:r w:rsidR="00B216C8" w:rsidRPr="0029160A">
        <w:rPr>
          <w:b/>
          <w:color w:val="000000" w:themeColor="text1"/>
          <w:szCs w:val="26"/>
        </w:rPr>
        <w:t>THEREFORE,</w:t>
      </w:r>
    </w:p>
    <w:p w14:paraId="2F02F460" w14:textId="77777777" w:rsidR="007F1FF5" w:rsidRPr="0029160A" w:rsidRDefault="007F1FF5">
      <w:pPr>
        <w:widowControl/>
        <w:tabs>
          <w:tab w:val="left" w:pos="-720"/>
        </w:tabs>
        <w:spacing w:line="360" w:lineRule="auto"/>
        <w:ind w:firstLine="1440"/>
        <w:rPr>
          <w:b/>
          <w:color w:val="000000" w:themeColor="text1"/>
          <w:szCs w:val="26"/>
        </w:rPr>
      </w:pPr>
    </w:p>
    <w:p w14:paraId="443FA6CB" w14:textId="7FFEA6BD" w:rsidR="00B216C8" w:rsidRPr="0029160A" w:rsidRDefault="00E47965" w:rsidP="004A4E2A">
      <w:pPr>
        <w:keepNext/>
        <w:widowControl/>
        <w:spacing w:line="360" w:lineRule="auto"/>
        <w:rPr>
          <w:b/>
          <w:color w:val="000000" w:themeColor="text1"/>
          <w:szCs w:val="26"/>
        </w:rPr>
      </w:pPr>
      <w:r w:rsidRPr="0029160A">
        <w:rPr>
          <w:b/>
          <w:color w:val="000000" w:themeColor="text1"/>
          <w:szCs w:val="26"/>
        </w:rPr>
        <w:tab/>
      </w:r>
      <w:r w:rsidRPr="0029160A">
        <w:rPr>
          <w:b/>
          <w:color w:val="000000" w:themeColor="text1"/>
          <w:szCs w:val="26"/>
        </w:rPr>
        <w:tab/>
      </w:r>
      <w:r w:rsidR="00B216C8" w:rsidRPr="0029160A">
        <w:rPr>
          <w:b/>
          <w:color w:val="000000" w:themeColor="text1"/>
          <w:szCs w:val="26"/>
        </w:rPr>
        <w:t>IT IS ORDERED:</w:t>
      </w:r>
    </w:p>
    <w:p w14:paraId="674FA91A" w14:textId="77777777" w:rsidR="004A4E2A" w:rsidRPr="0029160A" w:rsidRDefault="004A4E2A" w:rsidP="004A4E2A">
      <w:pPr>
        <w:keepNext/>
        <w:widowControl/>
        <w:spacing w:line="360" w:lineRule="auto"/>
        <w:rPr>
          <w:b/>
          <w:color w:val="000000" w:themeColor="text1"/>
          <w:szCs w:val="26"/>
        </w:rPr>
      </w:pPr>
    </w:p>
    <w:p w14:paraId="58EEA125" w14:textId="614EA349" w:rsidR="009F5E05" w:rsidRPr="0029160A" w:rsidRDefault="009F5E05" w:rsidP="004A4E2A">
      <w:pPr>
        <w:keepNext/>
        <w:widowControl/>
        <w:spacing w:line="360" w:lineRule="auto"/>
        <w:ind w:firstLine="1440"/>
        <w:contextualSpacing/>
        <w:rPr>
          <w:rFonts w:eastAsiaTheme="minorHAnsi"/>
          <w:color w:val="000000" w:themeColor="text1"/>
          <w:szCs w:val="26"/>
        </w:rPr>
      </w:pPr>
      <w:r w:rsidRPr="0029160A">
        <w:rPr>
          <w:color w:val="000000" w:themeColor="text1"/>
          <w:szCs w:val="26"/>
        </w:rPr>
        <w:t>1.</w:t>
      </w:r>
      <w:r w:rsidRPr="0029160A">
        <w:rPr>
          <w:color w:val="000000" w:themeColor="text1"/>
          <w:szCs w:val="26"/>
        </w:rPr>
        <w:tab/>
      </w:r>
      <w:bookmarkStart w:id="189" w:name="_Hlk527442937"/>
      <w:r w:rsidRPr="0029160A">
        <w:rPr>
          <w:rFonts w:eastAsiaTheme="minorHAnsi"/>
          <w:color w:val="000000" w:themeColor="text1"/>
          <w:szCs w:val="26"/>
        </w:rPr>
        <w:t>That the Exceptions of Wellsboro Electric Company, filed on March</w:t>
      </w:r>
      <w:r w:rsidR="004D586D" w:rsidRPr="0029160A">
        <w:rPr>
          <w:rFonts w:eastAsiaTheme="minorHAnsi"/>
          <w:color w:val="000000" w:themeColor="text1"/>
          <w:szCs w:val="26"/>
        </w:rPr>
        <w:t> </w:t>
      </w:r>
      <w:r w:rsidRPr="0029160A">
        <w:rPr>
          <w:rFonts w:eastAsiaTheme="minorHAnsi"/>
          <w:color w:val="000000" w:themeColor="text1"/>
          <w:szCs w:val="26"/>
        </w:rPr>
        <w:t>13, 2020, are granted, in part, and denied, in part consistent with this Opinion and Order.</w:t>
      </w:r>
    </w:p>
    <w:bookmarkEnd w:id="189"/>
    <w:p w14:paraId="55A8FBC1" w14:textId="77777777" w:rsidR="009F5E05" w:rsidRPr="0029160A" w:rsidRDefault="009F5E05" w:rsidP="004A4E2A">
      <w:pPr>
        <w:widowControl/>
        <w:spacing w:line="360" w:lineRule="auto"/>
        <w:ind w:firstLine="1440"/>
        <w:contextualSpacing/>
        <w:rPr>
          <w:rFonts w:eastAsiaTheme="minorHAnsi"/>
          <w:color w:val="000000" w:themeColor="text1"/>
          <w:szCs w:val="26"/>
        </w:rPr>
      </w:pPr>
    </w:p>
    <w:p w14:paraId="4ECF09DB" w14:textId="77777777" w:rsidR="009F5E05" w:rsidRPr="0029160A" w:rsidRDefault="009F5E05"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2.</w:t>
      </w:r>
      <w:r w:rsidRPr="0029160A">
        <w:rPr>
          <w:rFonts w:eastAsiaTheme="minorHAnsi"/>
          <w:color w:val="000000" w:themeColor="text1"/>
          <w:szCs w:val="26"/>
        </w:rPr>
        <w:tab/>
      </w:r>
      <w:bookmarkStart w:id="190" w:name="_Hlk527442965"/>
      <w:r w:rsidRPr="0029160A">
        <w:rPr>
          <w:rFonts w:eastAsiaTheme="minorHAnsi"/>
          <w:color w:val="000000" w:themeColor="text1"/>
          <w:szCs w:val="26"/>
        </w:rPr>
        <w:t>That the Exceptions of the Office of Consumer Advocate, filed on March 13, 2020, are granted, in part, and denied, in part,</w:t>
      </w:r>
      <w:r w:rsidR="00622B61" w:rsidRPr="0029160A">
        <w:rPr>
          <w:rFonts w:eastAsiaTheme="minorHAnsi"/>
          <w:color w:val="000000" w:themeColor="text1"/>
          <w:szCs w:val="26"/>
        </w:rPr>
        <w:t xml:space="preserve"> </w:t>
      </w:r>
      <w:r w:rsidRPr="0029160A">
        <w:rPr>
          <w:rFonts w:eastAsiaTheme="minorHAnsi"/>
          <w:color w:val="000000" w:themeColor="text1"/>
          <w:szCs w:val="26"/>
        </w:rPr>
        <w:t>consistent with this Opinion and Order.</w:t>
      </w:r>
    </w:p>
    <w:bookmarkEnd w:id="190"/>
    <w:p w14:paraId="77BA023A" w14:textId="77777777" w:rsidR="009F5E05" w:rsidRPr="0029160A" w:rsidRDefault="009F5E05" w:rsidP="004A4E2A">
      <w:pPr>
        <w:widowControl/>
        <w:spacing w:line="360" w:lineRule="auto"/>
        <w:ind w:firstLine="1440"/>
        <w:contextualSpacing/>
        <w:rPr>
          <w:rFonts w:eastAsiaTheme="minorHAnsi"/>
          <w:color w:val="000000" w:themeColor="text1"/>
          <w:szCs w:val="26"/>
        </w:rPr>
      </w:pPr>
    </w:p>
    <w:p w14:paraId="35F46BF3" w14:textId="77777777" w:rsidR="009F5E05" w:rsidRPr="0029160A" w:rsidRDefault="00390634"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3</w:t>
      </w:r>
      <w:r w:rsidR="009F5E05" w:rsidRPr="0029160A">
        <w:rPr>
          <w:rFonts w:eastAsiaTheme="minorHAnsi"/>
          <w:color w:val="000000" w:themeColor="text1"/>
          <w:szCs w:val="26"/>
        </w:rPr>
        <w:t>.</w:t>
      </w:r>
      <w:r w:rsidR="009F5E05" w:rsidRPr="0029160A">
        <w:rPr>
          <w:rFonts w:eastAsiaTheme="minorHAnsi"/>
          <w:color w:val="000000" w:themeColor="text1"/>
          <w:szCs w:val="26"/>
        </w:rPr>
        <w:tab/>
        <w:t xml:space="preserve">That the Exceptions of the Bureau of Investigation and Enforcement, filed on March 12, 2020, are </w:t>
      </w:r>
      <w:r w:rsidR="002F3E90" w:rsidRPr="0029160A">
        <w:rPr>
          <w:rFonts w:eastAsiaTheme="minorHAnsi"/>
          <w:color w:val="000000" w:themeColor="text1"/>
          <w:szCs w:val="26"/>
        </w:rPr>
        <w:t xml:space="preserve">granted, in part, and </w:t>
      </w:r>
      <w:r w:rsidR="009F5E05" w:rsidRPr="0029160A">
        <w:rPr>
          <w:rFonts w:eastAsiaTheme="minorHAnsi"/>
          <w:color w:val="000000" w:themeColor="text1"/>
          <w:szCs w:val="26"/>
        </w:rPr>
        <w:t xml:space="preserve">denied, </w:t>
      </w:r>
      <w:r w:rsidR="002F3E90" w:rsidRPr="0029160A">
        <w:rPr>
          <w:rFonts w:eastAsiaTheme="minorHAnsi"/>
          <w:color w:val="000000" w:themeColor="text1"/>
          <w:szCs w:val="26"/>
        </w:rPr>
        <w:t xml:space="preserve">in part, </w:t>
      </w:r>
      <w:r w:rsidR="009F5E05" w:rsidRPr="0029160A">
        <w:rPr>
          <w:rFonts w:eastAsiaTheme="minorHAnsi"/>
          <w:color w:val="000000" w:themeColor="text1"/>
          <w:szCs w:val="26"/>
        </w:rPr>
        <w:t>consistent with this Opinion and Order.</w:t>
      </w:r>
    </w:p>
    <w:p w14:paraId="6DA32DD9" w14:textId="20DB07CE" w:rsidR="009F5E05" w:rsidRPr="0029160A" w:rsidRDefault="00390634"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lastRenderedPageBreak/>
        <w:t>4</w:t>
      </w:r>
      <w:r w:rsidR="009F5E05" w:rsidRPr="0029160A">
        <w:rPr>
          <w:rFonts w:eastAsiaTheme="minorHAnsi"/>
          <w:color w:val="000000" w:themeColor="text1"/>
          <w:szCs w:val="26"/>
        </w:rPr>
        <w:t>.</w:t>
      </w:r>
      <w:r w:rsidR="009F5E05" w:rsidRPr="0029160A">
        <w:rPr>
          <w:rFonts w:eastAsiaTheme="minorHAnsi"/>
          <w:color w:val="000000" w:themeColor="text1"/>
          <w:szCs w:val="26"/>
        </w:rPr>
        <w:tab/>
        <w:t>That the Recommended Decision of Administrative Law Judges, Steven K. Haas and Benjamin J. Myers, issued on February</w:t>
      </w:r>
      <w:r w:rsidR="004D586D" w:rsidRPr="0029160A">
        <w:rPr>
          <w:rFonts w:eastAsiaTheme="minorHAnsi"/>
          <w:color w:val="000000" w:themeColor="text1"/>
          <w:szCs w:val="26"/>
        </w:rPr>
        <w:t> </w:t>
      </w:r>
      <w:r w:rsidR="009F5E05" w:rsidRPr="0029160A">
        <w:rPr>
          <w:rFonts w:eastAsiaTheme="minorHAnsi"/>
          <w:color w:val="000000" w:themeColor="text1"/>
          <w:szCs w:val="26"/>
        </w:rPr>
        <w:t>28,</w:t>
      </w:r>
      <w:r w:rsidR="004D586D" w:rsidRPr="0029160A">
        <w:rPr>
          <w:rFonts w:eastAsiaTheme="minorHAnsi"/>
          <w:color w:val="000000" w:themeColor="text1"/>
          <w:szCs w:val="26"/>
        </w:rPr>
        <w:t> </w:t>
      </w:r>
      <w:r w:rsidR="009F5E05" w:rsidRPr="0029160A">
        <w:rPr>
          <w:rFonts w:eastAsiaTheme="minorHAnsi"/>
          <w:color w:val="000000" w:themeColor="text1"/>
          <w:szCs w:val="26"/>
        </w:rPr>
        <w:t>2020, is adopted as modified</w:t>
      </w:r>
      <w:r w:rsidR="00857CAD" w:rsidRPr="0029160A">
        <w:rPr>
          <w:rFonts w:eastAsiaTheme="minorHAnsi"/>
          <w:color w:val="000000" w:themeColor="text1"/>
          <w:szCs w:val="26"/>
        </w:rPr>
        <w:t xml:space="preserve"> </w:t>
      </w:r>
      <w:r w:rsidR="009F5E05" w:rsidRPr="0029160A">
        <w:rPr>
          <w:rFonts w:eastAsiaTheme="minorHAnsi"/>
          <w:color w:val="000000" w:themeColor="text1"/>
          <w:szCs w:val="26"/>
        </w:rPr>
        <w:t>by this Opinion and Order.</w:t>
      </w:r>
    </w:p>
    <w:p w14:paraId="2822D5F2" w14:textId="77777777" w:rsidR="009F5E05" w:rsidRPr="0029160A" w:rsidRDefault="009F5E05" w:rsidP="004A4E2A">
      <w:pPr>
        <w:widowControl/>
        <w:spacing w:line="360" w:lineRule="auto"/>
        <w:contextualSpacing/>
        <w:rPr>
          <w:rFonts w:eastAsiaTheme="minorHAnsi"/>
          <w:color w:val="000000" w:themeColor="text1"/>
          <w:szCs w:val="26"/>
        </w:rPr>
      </w:pPr>
    </w:p>
    <w:p w14:paraId="5B765EFB" w14:textId="77777777" w:rsidR="009F5E05" w:rsidRPr="0029160A" w:rsidRDefault="00390634"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5</w:t>
      </w:r>
      <w:r w:rsidR="009F5E05" w:rsidRPr="0029160A">
        <w:rPr>
          <w:rFonts w:eastAsiaTheme="minorHAnsi"/>
          <w:color w:val="000000" w:themeColor="text1"/>
          <w:szCs w:val="26"/>
        </w:rPr>
        <w:t>.</w:t>
      </w:r>
      <w:r w:rsidR="009F5E05" w:rsidRPr="0029160A">
        <w:rPr>
          <w:rFonts w:eastAsiaTheme="minorHAnsi"/>
          <w:color w:val="000000" w:themeColor="text1"/>
          <w:szCs w:val="26"/>
        </w:rPr>
        <w:tab/>
        <w:t xml:space="preserve">That </w:t>
      </w:r>
      <w:bookmarkStart w:id="191" w:name="_Hlk527443567"/>
      <w:r w:rsidR="009F5E05" w:rsidRPr="0029160A">
        <w:rPr>
          <w:rFonts w:eastAsiaTheme="minorHAnsi"/>
          <w:color w:val="000000" w:themeColor="text1"/>
          <w:szCs w:val="26"/>
        </w:rPr>
        <w:t xml:space="preserve">Wellsboro Electric Company </w:t>
      </w:r>
      <w:bookmarkEnd w:id="191"/>
      <w:r w:rsidR="009F5E05" w:rsidRPr="0029160A">
        <w:rPr>
          <w:rFonts w:eastAsiaTheme="minorHAnsi"/>
          <w:color w:val="000000" w:themeColor="text1"/>
          <w:szCs w:val="26"/>
        </w:rPr>
        <w:t xml:space="preserve">shall not place into effect the rates, rules, and regulations contained in </w:t>
      </w:r>
      <w:r w:rsidRPr="0029160A">
        <w:rPr>
          <w:rFonts w:eastAsiaTheme="minorHAnsi"/>
          <w:color w:val="000000" w:themeColor="text1"/>
          <w:szCs w:val="26"/>
        </w:rPr>
        <w:t>Supplement No. 125 to Tariff Electric</w:t>
      </w:r>
      <w:r w:rsidR="009F5E05" w:rsidRPr="0029160A">
        <w:rPr>
          <w:rFonts w:eastAsiaTheme="minorHAnsi"/>
          <w:color w:val="000000" w:themeColor="text1"/>
          <w:szCs w:val="26"/>
        </w:rPr>
        <w:t xml:space="preserve"> P</w:t>
      </w:r>
      <w:r w:rsidRPr="0029160A">
        <w:rPr>
          <w:rFonts w:eastAsiaTheme="minorHAnsi"/>
          <w:color w:val="000000" w:themeColor="text1"/>
          <w:szCs w:val="26"/>
        </w:rPr>
        <w:t>a</w:t>
      </w:r>
      <w:r w:rsidR="009F5E05" w:rsidRPr="0029160A">
        <w:rPr>
          <w:rFonts w:eastAsiaTheme="minorHAnsi"/>
          <w:color w:val="000000" w:themeColor="text1"/>
          <w:szCs w:val="26"/>
        </w:rPr>
        <w:t xml:space="preserve">. P.U.C. No. </w:t>
      </w:r>
      <w:r w:rsidRPr="0029160A">
        <w:rPr>
          <w:rFonts w:eastAsiaTheme="minorHAnsi"/>
          <w:color w:val="000000" w:themeColor="text1"/>
          <w:szCs w:val="26"/>
        </w:rPr>
        <w:t>8</w:t>
      </w:r>
      <w:r w:rsidR="009F5E05" w:rsidRPr="0029160A">
        <w:rPr>
          <w:rFonts w:eastAsiaTheme="minorHAnsi"/>
          <w:color w:val="000000" w:themeColor="text1"/>
          <w:szCs w:val="26"/>
        </w:rPr>
        <w:t>, as filed.</w:t>
      </w:r>
    </w:p>
    <w:p w14:paraId="6726BA9E" w14:textId="77777777" w:rsidR="009F5E05" w:rsidRPr="0029160A" w:rsidRDefault="009F5E05" w:rsidP="004A4E2A">
      <w:pPr>
        <w:widowControl/>
        <w:spacing w:line="360" w:lineRule="auto"/>
        <w:ind w:firstLine="1440"/>
        <w:contextualSpacing/>
        <w:rPr>
          <w:rFonts w:eastAsiaTheme="minorHAnsi"/>
          <w:color w:val="000000" w:themeColor="text1"/>
          <w:szCs w:val="26"/>
        </w:rPr>
      </w:pPr>
    </w:p>
    <w:p w14:paraId="53D22DC4" w14:textId="77777777" w:rsidR="009F5E05" w:rsidRPr="0029160A" w:rsidRDefault="00390634"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6</w:t>
      </w:r>
      <w:r w:rsidR="009F5E05" w:rsidRPr="0029160A">
        <w:rPr>
          <w:rFonts w:eastAsiaTheme="minorHAnsi"/>
          <w:color w:val="000000" w:themeColor="text1"/>
          <w:szCs w:val="26"/>
        </w:rPr>
        <w:t>.</w:t>
      </w:r>
      <w:r w:rsidR="009F5E05" w:rsidRPr="0029160A">
        <w:rPr>
          <w:rFonts w:eastAsiaTheme="minorHAnsi"/>
          <w:color w:val="000000" w:themeColor="text1"/>
          <w:szCs w:val="26"/>
        </w:rPr>
        <w:tab/>
        <w:t xml:space="preserve">That </w:t>
      </w:r>
      <w:r w:rsidRPr="0029160A">
        <w:rPr>
          <w:rFonts w:eastAsiaTheme="minorHAnsi"/>
          <w:color w:val="000000" w:themeColor="text1"/>
          <w:szCs w:val="26"/>
        </w:rPr>
        <w:t xml:space="preserve">Wellsboro Electric Company </w:t>
      </w:r>
      <w:r w:rsidR="009F5E05" w:rsidRPr="0029160A">
        <w:rPr>
          <w:rFonts w:eastAsiaTheme="minorHAnsi"/>
          <w:color w:val="000000" w:themeColor="text1"/>
          <w:szCs w:val="26"/>
        </w:rPr>
        <w:t xml:space="preserve">is authorized to file tariffs, tariff supplements and/or tariff revisions, on at least one day’s notice, and pursuant to the provisions of 52 Pa. Code §§ 53.1, </w:t>
      </w:r>
      <w:r w:rsidR="009F5E05" w:rsidRPr="0029160A">
        <w:rPr>
          <w:rFonts w:eastAsiaTheme="minorHAnsi"/>
          <w:i/>
          <w:color w:val="000000" w:themeColor="text1"/>
          <w:szCs w:val="26"/>
        </w:rPr>
        <w:t>et seq.</w:t>
      </w:r>
      <w:r w:rsidR="009F5E05" w:rsidRPr="0029160A">
        <w:rPr>
          <w:rFonts w:eastAsiaTheme="minorHAnsi"/>
          <w:iCs/>
          <w:color w:val="000000" w:themeColor="text1"/>
          <w:szCs w:val="26"/>
        </w:rPr>
        <w:t xml:space="preserve">, </w:t>
      </w:r>
      <w:r w:rsidR="009F5E05" w:rsidRPr="0029160A">
        <w:rPr>
          <w:rFonts w:eastAsiaTheme="minorHAnsi"/>
          <w:color w:val="000000" w:themeColor="text1"/>
          <w:szCs w:val="26"/>
        </w:rPr>
        <w:t>and 53.101, designed to produce an annual distribution rate revenue increase of approximately $</w:t>
      </w:r>
      <w:r w:rsidRPr="0029160A">
        <w:rPr>
          <w:rFonts w:eastAsiaTheme="minorHAnsi"/>
          <w:color w:val="000000" w:themeColor="text1"/>
          <w:szCs w:val="26"/>
        </w:rPr>
        <w:t>9</w:t>
      </w:r>
      <w:r w:rsidR="00873444" w:rsidRPr="0029160A">
        <w:rPr>
          <w:rFonts w:eastAsiaTheme="minorHAnsi"/>
          <w:color w:val="000000" w:themeColor="text1"/>
          <w:szCs w:val="26"/>
        </w:rPr>
        <w:t>50,243</w:t>
      </w:r>
      <w:r w:rsidR="009F5E05" w:rsidRPr="0029160A">
        <w:rPr>
          <w:rFonts w:eastAsiaTheme="minorHAnsi"/>
          <w:color w:val="000000" w:themeColor="text1"/>
          <w:szCs w:val="26"/>
        </w:rPr>
        <w:t xml:space="preserve"> to become effective for service rendered on and after </w:t>
      </w:r>
      <w:r w:rsidRPr="0029160A">
        <w:rPr>
          <w:rFonts w:eastAsiaTheme="minorHAnsi"/>
          <w:color w:val="000000" w:themeColor="text1"/>
          <w:szCs w:val="26"/>
        </w:rPr>
        <w:t>May 1, 2020</w:t>
      </w:r>
      <w:r w:rsidR="009F5E05" w:rsidRPr="0029160A">
        <w:rPr>
          <w:rFonts w:eastAsiaTheme="minorHAnsi"/>
          <w:color w:val="000000" w:themeColor="text1"/>
          <w:szCs w:val="26"/>
        </w:rPr>
        <w:t>.</w:t>
      </w:r>
    </w:p>
    <w:p w14:paraId="4132A766" w14:textId="77777777" w:rsidR="009F5E05" w:rsidRPr="0029160A" w:rsidRDefault="009F5E05" w:rsidP="004A4E2A">
      <w:pPr>
        <w:widowControl/>
        <w:spacing w:line="360" w:lineRule="auto"/>
        <w:ind w:firstLine="1440"/>
        <w:contextualSpacing/>
        <w:rPr>
          <w:rFonts w:eastAsiaTheme="minorHAnsi"/>
          <w:color w:val="000000" w:themeColor="text1"/>
          <w:szCs w:val="26"/>
        </w:rPr>
      </w:pPr>
    </w:p>
    <w:p w14:paraId="4F4CBCCF" w14:textId="77777777" w:rsidR="009F5E05" w:rsidRPr="0029160A" w:rsidRDefault="00390634"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7</w:t>
      </w:r>
      <w:r w:rsidR="009F5E05" w:rsidRPr="0029160A">
        <w:rPr>
          <w:rFonts w:eastAsiaTheme="minorHAnsi"/>
          <w:color w:val="000000" w:themeColor="text1"/>
          <w:szCs w:val="26"/>
        </w:rPr>
        <w:t>.</w:t>
      </w:r>
      <w:r w:rsidR="009F5E05" w:rsidRPr="0029160A">
        <w:rPr>
          <w:rFonts w:eastAsiaTheme="minorHAnsi"/>
          <w:color w:val="000000" w:themeColor="text1"/>
          <w:szCs w:val="26"/>
        </w:rPr>
        <w:tab/>
        <w:t xml:space="preserve">That </w:t>
      </w:r>
      <w:r w:rsidRPr="0029160A">
        <w:rPr>
          <w:rFonts w:eastAsiaTheme="minorHAnsi"/>
          <w:color w:val="000000" w:themeColor="text1"/>
          <w:szCs w:val="26"/>
        </w:rPr>
        <w:t>Wellsboro Electric Company</w:t>
      </w:r>
      <w:r w:rsidR="009F5E05" w:rsidRPr="0029160A">
        <w:rPr>
          <w:rFonts w:eastAsiaTheme="minorHAnsi"/>
          <w:color w:val="000000" w:themeColor="text1"/>
          <w:szCs w:val="26"/>
        </w:rPr>
        <w:t xml:space="preserve"> shall file detailed calculations with its tariff filing, which shall demonstrate to the Commission’s satisfaction that the filed tariff adjustments comply with the provisions of this final Opinion and Order.</w:t>
      </w:r>
    </w:p>
    <w:p w14:paraId="4DF43959" w14:textId="77777777" w:rsidR="009F5E05" w:rsidRPr="0029160A" w:rsidRDefault="009F5E05" w:rsidP="004A4E2A">
      <w:pPr>
        <w:widowControl/>
        <w:spacing w:line="360" w:lineRule="auto"/>
        <w:ind w:firstLine="1440"/>
        <w:contextualSpacing/>
        <w:rPr>
          <w:rFonts w:eastAsiaTheme="minorHAnsi"/>
          <w:color w:val="000000" w:themeColor="text1"/>
          <w:szCs w:val="26"/>
        </w:rPr>
      </w:pPr>
    </w:p>
    <w:p w14:paraId="2D48F79B" w14:textId="77777777" w:rsidR="009F5E05" w:rsidRPr="0029160A" w:rsidRDefault="00390634"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8</w:t>
      </w:r>
      <w:r w:rsidR="009F5E05" w:rsidRPr="0029160A">
        <w:rPr>
          <w:rFonts w:eastAsiaTheme="minorHAnsi"/>
          <w:color w:val="000000" w:themeColor="text1"/>
          <w:szCs w:val="26"/>
        </w:rPr>
        <w:t>.</w:t>
      </w:r>
      <w:r w:rsidR="009F5E05" w:rsidRPr="0029160A">
        <w:rPr>
          <w:rFonts w:eastAsiaTheme="minorHAnsi"/>
          <w:color w:val="000000" w:themeColor="text1"/>
          <w:szCs w:val="26"/>
        </w:rPr>
        <w:tab/>
        <w:t xml:space="preserve">That </w:t>
      </w:r>
      <w:r w:rsidRPr="0029160A">
        <w:rPr>
          <w:rFonts w:eastAsiaTheme="minorHAnsi"/>
          <w:color w:val="000000" w:themeColor="text1"/>
          <w:szCs w:val="26"/>
        </w:rPr>
        <w:t>Wellsboro Electric Company</w:t>
      </w:r>
      <w:r w:rsidR="009F5E05" w:rsidRPr="0029160A">
        <w:rPr>
          <w:rFonts w:eastAsiaTheme="minorHAnsi"/>
          <w:color w:val="000000" w:themeColor="text1"/>
          <w:szCs w:val="26"/>
        </w:rPr>
        <w:t xml:space="preserve"> shall allocate the authorized increase in operating distribution revenue to each customer class, and rate schedule within each customer class, in the manner prescribed in this Opinion and Order.</w:t>
      </w:r>
    </w:p>
    <w:p w14:paraId="634FBAD7" w14:textId="77777777" w:rsidR="009F5E05" w:rsidRPr="0029160A" w:rsidRDefault="009F5E05" w:rsidP="004A4E2A">
      <w:pPr>
        <w:widowControl/>
        <w:spacing w:line="360" w:lineRule="auto"/>
        <w:ind w:firstLine="1440"/>
        <w:contextualSpacing/>
        <w:rPr>
          <w:rFonts w:eastAsiaTheme="minorHAnsi"/>
          <w:color w:val="000000" w:themeColor="text1"/>
          <w:szCs w:val="26"/>
        </w:rPr>
      </w:pPr>
    </w:p>
    <w:p w14:paraId="04BFB987" w14:textId="77777777" w:rsidR="009F5E05" w:rsidRPr="0029160A" w:rsidRDefault="00390634"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9</w:t>
      </w:r>
      <w:r w:rsidR="009F5E05" w:rsidRPr="0029160A">
        <w:rPr>
          <w:rFonts w:eastAsiaTheme="minorHAnsi"/>
          <w:color w:val="000000" w:themeColor="text1"/>
          <w:szCs w:val="26"/>
        </w:rPr>
        <w:t>.</w:t>
      </w:r>
      <w:r w:rsidR="009F5E05" w:rsidRPr="0029160A">
        <w:rPr>
          <w:rFonts w:eastAsiaTheme="minorHAnsi"/>
          <w:color w:val="000000" w:themeColor="text1"/>
          <w:szCs w:val="26"/>
        </w:rPr>
        <w:tab/>
        <w:t xml:space="preserve">That, upon acceptance and approval by the Commission of the tariff supplements filed by </w:t>
      </w:r>
      <w:r w:rsidRPr="0029160A">
        <w:rPr>
          <w:rFonts w:eastAsiaTheme="minorHAnsi"/>
          <w:color w:val="000000" w:themeColor="text1"/>
          <w:szCs w:val="26"/>
        </w:rPr>
        <w:t>Wellsboro Electric Company</w:t>
      </w:r>
      <w:r w:rsidR="009F5E05" w:rsidRPr="0029160A">
        <w:rPr>
          <w:rFonts w:eastAsiaTheme="minorHAnsi"/>
          <w:color w:val="000000" w:themeColor="text1"/>
          <w:szCs w:val="26"/>
        </w:rPr>
        <w:t>, consistent with its Final Order, the investigation at Docket R-201</w:t>
      </w:r>
      <w:r w:rsidRPr="0029160A">
        <w:rPr>
          <w:rFonts w:eastAsiaTheme="minorHAnsi"/>
          <w:color w:val="000000" w:themeColor="text1"/>
          <w:szCs w:val="26"/>
        </w:rPr>
        <w:t>9</w:t>
      </w:r>
      <w:r w:rsidR="009F5E05" w:rsidRPr="0029160A">
        <w:rPr>
          <w:rFonts w:eastAsiaTheme="minorHAnsi"/>
          <w:color w:val="000000" w:themeColor="text1"/>
          <w:szCs w:val="26"/>
        </w:rPr>
        <w:t>-</w:t>
      </w:r>
      <w:r w:rsidRPr="0029160A">
        <w:rPr>
          <w:rFonts w:eastAsiaTheme="minorHAnsi"/>
          <w:color w:val="000000" w:themeColor="text1"/>
          <w:szCs w:val="26"/>
        </w:rPr>
        <w:t>3008208</w:t>
      </w:r>
      <w:r w:rsidR="009F5E05" w:rsidRPr="0029160A">
        <w:rPr>
          <w:rFonts w:eastAsiaTheme="minorHAnsi"/>
          <w:color w:val="000000" w:themeColor="text1"/>
          <w:szCs w:val="26"/>
        </w:rPr>
        <w:t xml:space="preserve"> be marked closed.</w:t>
      </w:r>
    </w:p>
    <w:p w14:paraId="4A3D2757" w14:textId="77777777" w:rsidR="009F5E05" w:rsidRPr="0029160A" w:rsidRDefault="009F5E05" w:rsidP="004A4E2A">
      <w:pPr>
        <w:widowControl/>
        <w:spacing w:line="360" w:lineRule="auto"/>
        <w:ind w:firstLine="1440"/>
        <w:contextualSpacing/>
        <w:rPr>
          <w:rFonts w:eastAsiaTheme="minorHAnsi"/>
          <w:color w:val="000000" w:themeColor="text1"/>
          <w:szCs w:val="26"/>
        </w:rPr>
      </w:pPr>
    </w:p>
    <w:p w14:paraId="271B1065" w14:textId="77777777" w:rsidR="009F5E05" w:rsidRPr="0029160A" w:rsidRDefault="009F5E05"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1</w:t>
      </w:r>
      <w:r w:rsidR="00390634" w:rsidRPr="0029160A">
        <w:rPr>
          <w:rFonts w:eastAsiaTheme="minorHAnsi"/>
          <w:color w:val="000000" w:themeColor="text1"/>
          <w:szCs w:val="26"/>
        </w:rPr>
        <w:t>0</w:t>
      </w:r>
      <w:r w:rsidRPr="0029160A">
        <w:rPr>
          <w:rFonts w:eastAsiaTheme="minorHAnsi"/>
          <w:color w:val="000000" w:themeColor="text1"/>
          <w:szCs w:val="26"/>
        </w:rPr>
        <w:t>.</w:t>
      </w:r>
      <w:r w:rsidRPr="0029160A">
        <w:rPr>
          <w:rFonts w:eastAsiaTheme="minorHAnsi"/>
          <w:color w:val="000000" w:themeColor="text1"/>
          <w:szCs w:val="26"/>
        </w:rPr>
        <w:tab/>
        <w:t xml:space="preserve">That </w:t>
      </w:r>
      <w:r w:rsidR="00390634" w:rsidRPr="0029160A">
        <w:rPr>
          <w:rFonts w:eastAsiaTheme="minorHAnsi"/>
          <w:color w:val="000000" w:themeColor="text1"/>
          <w:szCs w:val="26"/>
        </w:rPr>
        <w:t xml:space="preserve">Wellsboro Electric Company </w:t>
      </w:r>
      <w:r w:rsidRPr="0029160A">
        <w:rPr>
          <w:rFonts w:eastAsiaTheme="minorHAnsi"/>
          <w:color w:val="000000" w:themeColor="text1"/>
          <w:szCs w:val="26"/>
        </w:rPr>
        <w:t xml:space="preserve">shall comply with all directives, conclusions, and recommendations contained in the body of this Opinion and Order, </w:t>
      </w:r>
      <w:r w:rsidRPr="0029160A">
        <w:rPr>
          <w:rFonts w:eastAsiaTheme="minorHAnsi"/>
          <w:color w:val="000000" w:themeColor="text1"/>
          <w:szCs w:val="26"/>
        </w:rPr>
        <w:lastRenderedPageBreak/>
        <w:t>which are not the subject of an individual directive in these ordering paragraphs, as fully as if they were the subject of a specific ordering paragraph.</w:t>
      </w:r>
    </w:p>
    <w:p w14:paraId="5450B9B9" w14:textId="77777777" w:rsidR="009F5E05" w:rsidRPr="0029160A" w:rsidRDefault="009F5E05" w:rsidP="004A4E2A">
      <w:pPr>
        <w:widowControl/>
        <w:spacing w:line="360" w:lineRule="auto"/>
        <w:ind w:firstLine="1440"/>
        <w:contextualSpacing/>
        <w:rPr>
          <w:rFonts w:eastAsiaTheme="minorHAnsi"/>
          <w:color w:val="000000" w:themeColor="text1"/>
          <w:szCs w:val="26"/>
        </w:rPr>
      </w:pPr>
    </w:p>
    <w:p w14:paraId="37F1CF8A" w14:textId="556FA10E" w:rsidR="009F5E05" w:rsidRPr="0029160A" w:rsidRDefault="009F5E05"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1</w:t>
      </w:r>
      <w:r w:rsidR="00390634" w:rsidRPr="0029160A">
        <w:rPr>
          <w:rFonts w:eastAsiaTheme="minorHAnsi"/>
          <w:color w:val="000000" w:themeColor="text1"/>
          <w:szCs w:val="26"/>
        </w:rPr>
        <w:t>1</w:t>
      </w:r>
      <w:r w:rsidRPr="0029160A">
        <w:rPr>
          <w:rFonts w:eastAsiaTheme="minorHAnsi"/>
          <w:color w:val="000000" w:themeColor="text1"/>
          <w:szCs w:val="26"/>
        </w:rPr>
        <w:t>.</w:t>
      </w:r>
      <w:r w:rsidRPr="0029160A">
        <w:rPr>
          <w:rFonts w:eastAsiaTheme="minorHAnsi"/>
          <w:color w:val="000000" w:themeColor="text1"/>
          <w:szCs w:val="26"/>
        </w:rPr>
        <w:tab/>
        <w:t xml:space="preserve">That the </w:t>
      </w:r>
      <w:r w:rsidR="007F76CE" w:rsidRPr="0029160A">
        <w:rPr>
          <w:rFonts w:eastAsiaTheme="minorHAnsi"/>
          <w:color w:val="000000" w:themeColor="text1"/>
          <w:szCs w:val="26"/>
        </w:rPr>
        <w:t>C</w:t>
      </w:r>
      <w:r w:rsidRPr="0029160A">
        <w:rPr>
          <w:rFonts w:eastAsiaTheme="minorHAnsi"/>
          <w:color w:val="000000" w:themeColor="text1"/>
          <w:szCs w:val="26"/>
        </w:rPr>
        <w:t>omplaint filed by the Office of Consumer Advocate in this proceeding at Docket Number C-201</w:t>
      </w:r>
      <w:r w:rsidR="00390634" w:rsidRPr="0029160A">
        <w:rPr>
          <w:rFonts w:eastAsiaTheme="minorHAnsi"/>
          <w:color w:val="000000" w:themeColor="text1"/>
          <w:szCs w:val="26"/>
        </w:rPr>
        <w:t>9-3011959</w:t>
      </w:r>
      <w:r w:rsidRPr="0029160A">
        <w:rPr>
          <w:rFonts w:eastAsiaTheme="minorHAnsi"/>
          <w:color w:val="000000" w:themeColor="text1"/>
          <w:szCs w:val="26"/>
        </w:rPr>
        <w:t xml:space="preserve"> be dismissed and marked closed. </w:t>
      </w:r>
    </w:p>
    <w:p w14:paraId="52B3B919" w14:textId="77777777" w:rsidR="009F5E05" w:rsidRPr="0029160A" w:rsidRDefault="009F5E05" w:rsidP="004A4E2A">
      <w:pPr>
        <w:widowControl/>
        <w:spacing w:line="360" w:lineRule="auto"/>
        <w:ind w:firstLine="1440"/>
        <w:contextualSpacing/>
        <w:rPr>
          <w:rFonts w:eastAsiaTheme="minorHAnsi"/>
          <w:color w:val="000000" w:themeColor="text1"/>
          <w:szCs w:val="26"/>
        </w:rPr>
      </w:pPr>
      <w:r w:rsidRPr="0029160A">
        <w:rPr>
          <w:rFonts w:eastAsiaTheme="minorHAnsi"/>
          <w:color w:val="000000" w:themeColor="text1"/>
          <w:szCs w:val="26"/>
        </w:rPr>
        <w:t xml:space="preserve"> </w:t>
      </w:r>
    </w:p>
    <w:p w14:paraId="53D0D75C" w14:textId="36826822" w:rsidR="00857CAD" w:rsidRPr="0029160A" w:rsidRDefault="009F5E05" w:rsidP="004A4E2A">
      <w:pPr>
        <w:widowControl/>
        <w:spacing w:line="360" w:lineRule="auto"/>
        <w:ind w:firstLine="1440"/>
        <w:rPr>
          <w:rFonts w:eastAsiaTheme="minorHAnsi"/>
          <w:color w:val="000000" w:themeColor="text1"/>
          <w:szCs w:val="26"/>
        </w:rPr>
      </w:pPr>
      <w:r w:rsidRPr="0029160A">
        <w:rPr>
          <w:rFonts w:eastAsiaTheme="minorHAnsi"/>
          <w:color w:val="000000" w:themeColor="text1"/>
          <w:szCs w:val="26"/>
        </w:rPr>
        <w:t>1</w:t>
      </w:r>
      <w:r w:rsidR="00390634" w:rsidRPr="0029160A">
        <w:rPr>
          <w:rFonts w:eastAsiaTheme="minorHAnsi"/>
          <w:color w:val="000000" w:themeColor="text1"/>
          <w:szCs w:val="26"/>
        </w:rPr>
        <w:t>2</w:t>
      </w:r>
      <w:r w:rsidRPr="0029160A">
        <w:rPr>
          <w:rFonts w:eastAsiaTheme="minorHAnsi"/>
          <w:color w:val="000000" w:themeColor="text1"/>
          <w:szCs w:val="26"/>
        </w:rPr>
        <w:t>.</w:t>
      </w:r>
      <w:r w:rsidRPr="0029160A">
        <w:rPr>
          <w:rFonts w:eastAsiaTheme="minorHAnsi"/>
          <w:color w:val="000000" w:themeColor="text1"/>
          <w:szCs w:val="26"/>
        </w:rPr>
        <w:tab/>
        <w:t xml:space="preserve">That the </w:t>
      </w:r>
      <w:r w:rsidR="007F76CE" w:rsidRPr="0029160A">
        <w:rPr>
          <w:rFonts w:eastAsiaTheme="minorHAnsi"/>
          <w:color w:val="000000" w:themeColor="text1"/>
          <w:szCs w:val="26"/>
        </w:rPr>
        <w:t>C</w:t>
      </w:r>
      <w:r w:rsidRPr="0029160A">
        <w:rPr>
          <w:rFonts w:eastAsiaTheme="minorHAnsi"/>
          <w:color w:val="000000" w:themeColor="text1"/>
          <w:szCs w:val="26"/>
        </w:rPr>
        <w:t>omplaint filed by the Office of Small Business Advocate in this proceeding at Docket No. C-201</w:t>
      </w:r>
      <w:r w:rsidR="00390634" w:rsidRPr="0029160A">
        <w:rPr>
          <w:rFonts w:eastAsiaTheme="minorHAnsi"/>
          <w:color w:val="000000" w:themeColor="text1"/>
          <w:szCs w:val="26"/>
        </w:rPr>
        <w:t>9-3012589</w:t>
      </w:r>
      <w:r w:rsidRPr="0029160A">
        <w:rPr>
          <w:rFonts w:eastAsiaTheme="minorHAnsi"/>
          <w:color w:val="000000" w:themeColor="text1"/>
          <w:szCs w:val="26"/>
        </w:rPr>
        <w:t xml:space="preserve"> be dismissed and marked closed.</w:t>
      </w:r>
      <w:r w:rsidR="00153B3B" w:rsidRPr="0029160A">
        <w:rPr>
          <w:rFonts w:eastAsiaTheme="minorHAnsi"/>
          <w:color w:val="000000" w:themeColor="text1"/>
          <w:szCs w:val="26"/>
        </w:rPr>
        <w:t xml:space="preserve">  </w:t>
      </w:r>
    </w:p>
    <w:p w14:paraId="0DE2D81D" w14:textId="77777777" w:rsidR="00857CAD" w:rsidRPr="0029160A" w:rsidRDefault="00857CAD" w:rsidP="004A4E2A">
      <w:pPr>
        <w:widowControl/>
        <w:spacing w:line="360" w:lineRule="auto"/>
        <w:ind w:firstLine="1440"/>
        <w:rPr>
          <w:rFonts w:eastAsiaTheme="minorHAnsi"/>
          <w:color w:val="000000" w:themeColor="text1"/>
          <w:szCs w:val="26"/>
        </w:rPr>
      </w:pPr>
    </w:p>
    <w:p w14:paraId="52899565" w14:textId="282D3269" w:rsidR="00303773" w:rsidRPr="0029160A" w:rsidRDefault="00390634" w:rsidP="004A4E2A">
      <w:pPr>
        <w:keepNext/>
        <w:keepLines/>
        <w:widowControl/>
        <w:spacing w:line="360" w:lineRule="auto"/>
        <w:ind w:firstLine="1440"/>
        <w:rPr>
          <w:color w:val="000000" w:themeColor="text1"/>
        </w:rPr>
      </w:pPr>
      <w:r w:rsidRPr="0029160A">
        <w:rPr>
          <w:color w:val="000000" w:themeColor="text1"/>
          <w:szCs w:val="26"/>
        </w:rPr>
        <w:t>1</w:t>
      </w:r>
      <w:r w:rsidR="005B71BD" w:rsidRPr="0029160A">
        <w:rPr>
          <w:color w:val="000000" w:themeColor="text1"/>
          <w:szCs w:val="26"/>
        </w:rPr>
        <w:t>3</w:t>
      </w:r>
      <w:r w:rsidR="00420F43" w:rsidRPr="0029160A">
        <w:rPr>
          <w:color w:val="000000" w:themeColor="text1"/>
          <w:szCs w:val="26"/>
        </w:rPr>
        <w:t xml:space="preserve">. </w:t>
      </w:r>
      <w:r w:rsidR="00420F43" w:rsidRPr="0029160A">
        <w:rPr>
          <w:color w:val="000000" w:themeColor="text1"/>
          <w:szCs w:val="26"/>
        </w:rPr>
        <w:tab/>
      </w:r>
      <w:r w:rsidRPr="0029160A">
        <w:rPr>
          <w:color w:val="000000" w:themeColor="text1"/>
          <w:szCs w:val="26"/>
        </w:rPr>
        <w:t>That w</w:t>
      </w:r>
      <w:r w:rsidR="00B93B93" w:rsidRPr="0029160A">
        <w:rPr>
          <w:color w:val="000000" w:themeColor="text1"/>
          <w:szCs w:val="26"/>
        </w:rPr>
        <w:t xml:space="preserve">ithin 120 days after new rates take effect, </w:t>
      </w:r>
      <w:r w:rsidR="00303773" w:rsidRPr="0029160A">
        <w:rPr>
          <w:color w:val="000000" w:themeColor="text1"/>
        </w:rPr>
        <w:t xml:space="preserve">Wellsboro shall provide a final reconciliation of the </w:t>
      </w:r>
      <w:r w:rsidR="00E85254" w:rsidRPr="0029160A">
        <w:rPr>
          <w:color w:val="000000" w:themeColor="text1"/>
          <w:szCs w:val="26"/>
        </w:rPr>
        <w:t>Tax Cuts and Job</w:t>
      </w:r>
      <w:r w:rsidR="00406E9F" w:rsidRPr="0029160A">
        <w:rPr>
          <w:color w:val="000000" w:themeColor="text1"/>
          <w:szCs w:val="26"/>
        </w:rPr>
        <w:t>s</w:t>
      </w:r>
      <w:r w:rsidR="00E85254" w:rsidRPr="0029160A">
        <w:rPr>
          <w:color w:val="000000" w:themeColor="text1"/>
          <w:szCs w:val="26"/>
        </w:rPr>
        <w:t xml:space="preserve"> Act of </w:t>
      </w:r>
      <w:r w:rsidR="00200331" w:rsidRPr="0029160A">
        <w:rPr>
          <w:color w:val="000000" w:themeColor="text1"/>
          <w:szCs w:val="26"/>
        </w:rPr>
        <w:t xml:space="preserve">2017 </w:t>
      </w:r>
      <w:r w:rsidR="00200331" w:rsidRPr="0029160A">
        <w:rPr>
          <w:color w:val="000000" w:themeColor="text1"/>
        </w:rPr>
        <w:t>Voluntary</w:t>
      </w:r>
      <w:r w:rsidR="00303773" w:rsidRPr="0029160A">
        <w:rPr>
          <w:color w:val="000000" w:themeColor="text1"/>
        </w:rPr>
        <w:t xml:space="preserve"> Surcharge</w:t>
      </w:r>
      <w:r w:rsidR="00B93B93" w:rsidRPr="0029160A">
        <w:rPr>
          <w:color w:val="000000" w:themeColor="text1"/>
        </w:rPr>
        <w:t xml:space="preserve">.  </w:t>
      </w:r>
    </w:p>
    <w:p w14:paraId="03351AC3" w14:textId="77777777" w:rsidR="001D0B40" w:rsidRPr="0029160A" w:rsidRDefault="001D0B40" w:rsidP="004A4E2A">
      <w:pPr>
        <w:keepNext/>
        <w:keepLines/>
        <w:widowControl/>
        <w:tabs>
          <w:tab w:val="left" w:pos="-720"/>
        </w:tabs>
        <w:spacing w:line="360" w:lineRule="auto"/>
        <w:ind w:firstLine="1440"/>
        <w:rPr>
          <w:color w:val="000000" w:themeColor="text1"/>
          <w:szCs w:val="26"/>
        </w:rPr>
      </w:pPr>
    </w:p>
    <w:p w14:paraId="22598EC2" w14:textId="670B56D0" w:rsidR="00B216C8" w:rsidRPr="0029160A" w:rsidRDefault="00327C0C" w:rsidP="004A4E2A">
      <w:pPr>
        <w:keepNext/>
        <w:keepLines/>
        <w:widowControl/>
        <w:tabs>
          <w:tab w:val="left" w:pos="-720"/>
        </w:tabs>
        <w:ind w:left="5040"/>
        <w:rPr>
          <w:b/>
          <w:color w:val="000000" w:themeColor="text1"/>
          <w:szCs w:val="26"/>
        </w:rPr>
      </w:pPr>
      <w:r>
        <w:rPr>
          <w:rFonts w:ascii="Arial" w:hAnsi="Arial" w:cs="Arial"/>
          <w:noProof/>
          <w:sz w:val="24"/>
          <w:szCs w:val="24"/>
        </w:rPr>
        <w:drawing>
          <wp:anchor distT="0" distB="0" distL="114300" distR="114300" simplePos="0" relativeHeight="251659264" behindDoc="1" locked="0" layoutInCell="1" allowOverlap="1" wp14:anchorId="12E3D6ED" wp14:editId="4208210E">
            <wp:simplePos x="0" y="0"/>
            <wp:positionH relativeFrom="column">
              <wp:posOffset>3111500</wp:posOffset>
            </wp:positionH>
            <wp:positionV relativeFrom="paragraph">
              <wp:posOffset>182245</wp:posOffset>
            </wp:positionV>
            <wp:extent cx="1837944" cy="704088"/>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r w:rsidR="00B216C8" w:rsidRPr="0029160A">
        <w:rPr>
          <w:b/>
          <w:color w:val="000000" w:themeColor="text1"/>
          <w:szCs w:val="26"/>
        </w:rPr>
        <w:t>BY THE COMMISSION,</w:t>
      </w:r>
    </w:p>
    <w:p w14:paraId="60C67A5F" w14:textId="71C78C10" w:rsidR="00B216C8" w:rsidRPr="0029160A" w:rsidRDefault="00B216C8" w:rsidP="004A4E2A">
      <w:pPr>
        <w:keepNext/>
        <w:keepLines/>
        <w:widowControl/>
        <w:tabs>
          <w:tab w:val="left" w:pos="-720"/>
        </w:tabs>
        <w:ind w:left="5040"/>
        <w:rPr>
          <w:color w:val="000000" w:themeColor="text1"/>
          <w:szCs w:val="26"/>
        </w:rPr>
      </w:pPr>
    </w:p>
    <w:p w14:paraId="39517CCF" w14:textId="01E5C6E1" w:rsidR="00A52624" w:rsidRPr="0029160A" w:rsidRDefault="00A52624" w:rsidP="004A4E2A">
      <w:pPr>
        <w:keepNext/>
        <w:keepLines/>
        <w:widowControl/>
        <w:tabs>
          <w:tab w:val="left" w:pos="-720"/>
        </w:tabs>
        <w:ind w:left="5040"/>
        <w:rPr>
          <w:color w:val="000000" w:themeColor="text1"/>
          <w:szCs w:val="26"/>
        </w:rPr>
      </w:pPr>
    </w:p>
    <w:p w14:paraId="2706D9B1" w14:textId="77777777" w:rsidR="00D41547" w:rsidRPr="0029160A" w:rsidRDefault="00D41547" w:rsidP="004A4E2A">
      <w:pPr>
        <w:keepNext/>
        <w:keepLines/>
        <w:widowControl/>
        <w:tabs>
          <w:tab w:val="left" w:pos="-720"/>
        </w:tabs>
        <w:rPr>
          <w:color w:val="000000" w:themeColor="text1"/>
          <w:szCs w:val="26"/>
        </w:rPr>
      </w:pPr>
    </w:p>
    <w:p w14:paraId="4CDA1CB6" w14:textId="77777777" w:rsidR="00B216C8" w:rsidRPr="0029160A" w:rsidRDefault="00B216C8" w:rsidP="004A4E2A">
      <w:pPr>
        <w:keepNext/>
        <w:keepLines/>
        <w:widowControl/>
        <w:tabs>
          <w:tab w:val="left" w:pos="-720"/>
        </w:tabs>
        <w:ind w:left="5040"/>
        <w:rPr>
          <w:color w:val="000000" w:themeColor="text1"/>
          <w:szCs w:val="26"/>
        </w:rPr>
      </w:pPr>
      <w:bookmarkStart w:id="192" w:name="_GoBack"/>
      <w:bookmarkEnd w:id="192"/>
      <w:r w:rsidRPr="0029160A">
        <w:rPr>
          <w:color w:val="000000" w:themeColor="text1"/>
          <w:szCs w:val="26"/>
        </w:rPr>
        <w:t>Rosemary Chiavetta</w:t>
      </w:r>
    </w:p>
    <w:p w14:paraId="668C61E8" w14:textId="77777777" w:rsidR="00B216C8" w:rsidRPr="0029160A" w:rsidRDefault="00B216C8" w:rsidP="004A4E2A">
      <w:pPr>
        <w:keepNext/>
        <w:keepLines/>
        <w:widowControl/>
        <w:tabs>
          <w:tab w:val="left" w:pos="-720"/>
        </w:tabs>
        <w:ind w:left="5040"/>
        <w:rPr>
          <w:color w:val="000000" w:themeColor="text1"/>
          <w:szCs w:val="26"/>
        </w:rPr>
      </w:pPr>
      <w:r w:rsidRPr="0029160A">
        <w:rPr>
          <w:color w:val="000000" w:themeColor="text1"/>
          <w:szCs w:val="26"/>
        </w:rPr>
        <w:t>Secretary</w:t>
      </w:r>
    </w:p>
    <w:p w14:paraId="329501C9" w14:textId="77777777" w:rsidR="001A1361" w:rsidRPr="0029160A" w:rsidRDefault="001A1361" w:rsidP="00274E2D">
      <w:pPr>
        <w:keepNext/>
        <w:keepLines/>
        <w:widowControl/>
        <w:tabs>
          <w:tab w:val="left" w:pos="-720"/>
        </w:tabs>
        <w:rPr>
          <w:color w:val="000000" w:themeColor="text1"/>
          <w:szCs w:val="26"/>
        </w:rPr>
      </w:pPr>
    </w:p>
    <w:p w14:paraId="0A39A745" w14:textId="77777777" w:rsidR="004D586D" w:rsidRPr="0029160A" w:rsidRDefault="004D586D" w:rsidP="00274E2D">
      <w:pPr>
        <w:keepNext/>
        <w:keepLines/>
        <w:widowControl/>
        <w:tabs>
          <w:tab w:val="left" w:pos="-720"/>
        </w:tabs>
        <w:rPr>
          <w:color w:val="000000" w:themeColor="text1"/>
          <w:szCs w:val="26"/>
        </w:rPr>
      </w:pPr>
    </w:p>
    <w:p w14:paraId="19724334" w14:textId="69FF8261" w:rsidR="00B216C8" w:rsidRPr="0029160A" w:rsidRDefault="00B216C8" w:rsidP="00274E2D">
      <w:pPr>
        <w:keepNext/>
        <w:keepLines/>
        <w:widowControl/>
        <w:tabs>
          <w:tab w:val="left" w:pos="-720"/>
        </w:tabs>
        <w:rPr>
          <w:color w:val="000000" w:themeColor="text1"/>
          <w:szCs w:val="26"/>
        </w:rPr>
      </w:pPr>
      <w:r w:rsidRPr="0029160A">
        <w:rPr>
          <w:color w:val="000000" w:themeColor="text1"/>
          <w:szCs w:val="26"/>
        </w:rPr>
        <w:t>(SEAL)</w:t>
      </w:r>
    </w:p>
    <w:p w14:paraId="52A463D5" w14:textId="77777777" w:rsidR="00274506" w:rsidRPr="0029160A" w:rsidRDefault="00274506" w:rsidP="00274E2D">
      <w:pPr>
        <w:keepNext/>
        <w:keepLines/>
        <w:widowControl/>
        <w:tabs>
          <w:tab w:val="left" w:pos="-720"/>
        </w:tabs>
        <w:rPr>
          <w:color w:val="000000" w:themeColor="text1"/>
          <w:szCs w:val="26"/>
        </w:rPr>
      </w:pPr>
    </w:p>
    <w:p w14:paraId="0796C669" w14:textId="77777777" w:rsidR="009D56CE" w:rsidRPr="0029160A" w:rsidRDefault="00B216C8" w:rsidP="00274E2D">
      <w:pPr>
        <w:keepNext/>
        <w:keepLines/>
        <w:widowControl/>
        <w:tabs>
          <w:tab w:val="left" w:pos="-720"/>
        </w:tabs>
        <w:rPr>
          <w:color w:val="000000" w:themeColor="text1"/>
          <w:szCs w:val="26"/>
        </w:rPr>
      </w:pPr>
      <w:r w:rsidRPr="0029160A">
        <w:rPr>
          <w:color w:val="000000" w:themeColor="text1"/>
          <w:szCs w:val="26"/>
        </w:rPr>
        <w:t xml:space="preserve">ORDER ADOPTED:  </w:t>
      </w:r>
      <w:r w:rsidR="00897558" w:rsidRPr="0029160A">
        <w:rPr>
          <w:color w:val="000000" w:themeColor="text1"/>
          <w:szCs w:val="26"/>
        </w:rPr>
        <w:t>April 16</w:t>
      </w:r>
      <w:r w:rsidR="00F808B9" w:rsidRPr="0029160A">
        <w:rPr>
          <w:color w:val="000000" w:themeColor="text1"/>
          <w:szCs w:val="26"/>
        </w:rPr>
        <w:t>,</w:t>
      </w:r>
      <w:r w:rsidR="00E41F42" w:rsidRPr="0029160A">
        <w:rPr>
          <w:color w:val="000000" w:themeColor="text1"/>
          <w:szCs w:val="26"/>
        </w:rPr>
        <w:t xml:space="preserve"> 20</w:t>
      </w:r>
      <w:r w:rsidR="00D232D2" w:rsidRPr="0029160A">
        <w:rPr>
          <w:color w:val="000000" w:themeColor="text1"/>
          <w:szCs w:val="26"/>
        </w:rPr>
        <w:t>20</w:t>
      </w:r>
    </w:p>
    <w:p w14:paraId="3E46706D" w14:textId="77777777" w:rsidR="00274506" w:rsidRPr="0029160A" w:rsidRDefault="00274506" w:rsidP="00274E2D">
      <w:pPr>
        <w:keepNext/>
        <w:keepLines/>
        <w:widowControl/>
        <w:tabs>
          <w:tab w:val="left" w:pos="-720"/>
        </w:tabs>
        <w:rPr>
          <w:color w:val="000000" w:themeColor="text1"/>
          <w:szCs w:val="26"/>
        </w:rPr>
      </w:pPr>
    </w:p>
    <w:p w14:paraId="3AD0305D" w14:textId="466233C4" w:rsidR="009E0FD8" w:rsidRDefault="00B216C8">
      <w:pPr>
        <w:widowControl/>
        <w:tabs>
          <w:tab w:val="left" w:pos="-720"/>
        </w:tabs>
        <w:rPr>
          <w:szCs w:val="26"/>
        </w:rPr>
        <w:sectPr w:rsidR="009E0FD8" w:rsidSect="004149A2">
          <w:footerReference w:type="first" r:id="rId18"/>
          <w:pgSz w:w="12240" w:h="15840"/>
          <w:pgMar w:top="1440" w:right="1440" w:bottom="1440" w:left="1440" w:header="720" w:footer="720" w:gutter="0"/>
          <w:pgNumType w:start="1"/>
          <w:cols w:space="720"/>
          <w:titlePg/>
          <w:docGrid w:linePitch="360"/>
        </w:sectPr>
      </w:pPr>
      <w:r w:rsidRPr="0029160A">
        <w:rPr>
          <w:color w:val="000000" w:themeColor="text1"/>
          <w:szCs w:val="26"/>
        </w:rPr>
        <w:t xml:space="preserve">ORDER ENTERED: </w:t>
      </w:r>
      <w:r w:rsidRPr="00C015CB">
        <w:rPr>
          <w:szCs w:val="26"/>
        </w:rPr>
        <w:t xml:space="preserve"> </w:t>
      </w:r>
      <w:r w:rsidR="00327C0C">
        <w:rPr>
          <w:szCs w:val="26"/>
        </w:rPr>
        <w:t xml:space="preserve"> April 29, 2020</w:t>
      </w:r>
    </w:p>
    <w:p w14:paraId="1414B032" w14:textId="5FDC42EA" w:rsidR="00E5474A" w:rsidRDefault="00E5474A" w:rsidP="00E5474A"/>
    <w:p w14:paraId="1FFFF0C3" w14:textId="38C435F1" w:rsidR="009E0FD8" w:rsidRDefault="009E0FD8" w:rsidP="00E5474A"/>
    <w:p w14:paraId="5A5634DE" w14:textId="77777777" w:rsidR="009E0FD8" w:rsidRDefault="009E0FD8" w:rsidP="00E5474A"/>
    <w:p w14:paraId="4AAA655A" w14:textId="05FF1D6B" w:rsidR="00E5474A" w:rsidRDefault="00E5474A" w:rsidP="00E5474A"/>
    <w:p w14:paraId="27183EAE" w14:textId="68296483" w:rsidR="00E5474A" w:rsidRDefault="00E5474A" w:rsidP="00E5474A"/>
    <w:p w14:paraId="1701E47D" w14:textId="3EA73C4B" w:rsidR="00E5474A" w:rsidRDefault="00E5474A" w:rsidP="00E5474A"/>
    <w:p w14:paraId="30C0DB85" w14:textId="3E4019EA" w:rsidR="00E5474A" w:rsidRDefault="00E5474A" w:rsidP="00E5474A">
      <w:pPr>
        <w:jc w:val="center"/>
        <w:rPr>
          <w:b/>
          <w:bCs/>
        </w:rPr>
      </w:pPr>
      <w:bookmarkStart w:id="193" w:name="_Hlk38458267"/>
      <w:r w:rsidRPr="00E5474A">
        <w:rPr>
          <w:b/>
          <w:bCs/>
        </w:rPr>
        <w:t>Pennsylvania Public Utility Commission</w:t>
      </w:r>
    </w:p>
    <w:p w14:paraId="3C2EF5A8" w14:textId="5CD1EB3C" w:rsidR="00E5474A" w:rsidRDefault="00E5474A" w:rsidP="00E5474A">
      <w:pPr>
        <w:jc w:val="center"/>
        <w:rPr>
          <w:b/>
          <w:bCs/>
        </w:rPr>
      </w:pPr>
    </w:p>
    <w:p w14:paraId="7C3A3296" w14:textId="77777777" w:rsidR="00E5474A" w:rsidRDefault="00E5474A" w:rsidP="00E5474A">
      <w:pPr>
        <w:jc w:val="center"/>
        <w:rPr>
          <w:b/>
          <w:bCs/>
        </w:rPr>
      </w:pPr>
    </w:p>
    <w:p w14:paraId="541D621F" w14:textId="0F330B84" w:rsidR="00E5474A" w:rsidRDefault="00E5474A" w:rsidP="00E5474A">
      <w:pPr>
        <w:jc w:val="center"/>
        <w:rPr>
          <w:b/>
          <w:bCs/>
        </w:rPr>
      </w:pPr>
      <w:r>
        <w:rPr>
          <w:b/>
          <w:bCs/>
        </w:rPr>
        <w:t>v.</w:t>
      </w:r>
    </w:p>
    <w:p w14:paraId="344D8FA2" w14:textId="1E8C1B09" w:rsidR="00E5474A" w:rsidRDefault="00E5474A" w:rsidP="00E5474A">
      <w:pPr>
        <w:jc w:val="center"/>
        <w:rPr>
          <w:b/>
          <w:bCs/>
        </w:rPr>
      </w:pPr>
    </w:p>
    <w:p w14:paraId="7FF5F24C" w14:textId="195D3922" w:rsidR="00E5474A" w:rsidRDefault="00E5474A" w:rsidP="00E5474A">
      <w:pPr>
        <w:jc w:val="center"/>
        <w:rPr>
          <w:b/>
          <w:bCs/>
        </w:rPr>
      </w:pPr>
    </w:p>
    <w:p w14:paraId="28659A01" w14:textId="2B6850CB" w:rsidR="00E5474A" w:rsidRDefault="00E5474A" w:rsidP="00E5474A">
      <w:pPr>
        <w:jc w:val="center"/>
        <w:rPr>
          <w:b/>
          <w:bCs/>
        </w:rPr>
      </w:pPr>
      <w:r>
        <w:rPr>
          <w:b/>
          <w:bCs/>
        </w:rPr>
        <w:t>Wellsboro Electric Company</w:t>
      </w:r>
    </w:p>
    <w:p w14:paraId="5BF03F25" w14:textId="7A543A1B" w:rsidR="00E5474A" w:rsidRDefault="00E5474A" w:rsidP="00E5474A">
      <w:pPr>
        <w:jc w:val="center"/>
        <w:rPr>
          <w:b/>
          <w:bCs/>
        </w:rPr>
      </w:pPr>
      <w:r>
        <w:rPr>
          <w:b/>
          <w:bCs/>
        </w:rPr>
        <w:t>Docket No. R-2019-3008208</w:t>
      </w:r>
    </w:p>
    <w:p w14:paraId="0C4628BB" w14:textId="7A95386A" w:rsidR="00E5474A" w:rsidRDefault="00E5474A" w:rsidP="00E5474A">
      <w:pPr>
        <w:jc w:val="center"/>
        <w:rPr>
          <w:b/>
          <w:bCs/>
        </w:rPr>
      </w:pPr>
    </w:p>
    <w:p w14:paraId="49A23A56" w14:textId="77777777" w:rsidR="00E5474A" w:rsidRPr="00E5474A" w:rsidRDefault="00E5474A" w:rsidP="00E5474A">
      <w:pPr>
        <w:jc w:val="center"/>
        <w:rPr>
          <w:b/>
          <w:bCs/>
        </w:rPr>
      </w:pPr>
    </w:p>
    <w:p w14:paraId="3284E020" w14:textId="34341A69" w:rsidR="0065512A" w:rsidRPr="00033600" w:rsidRDefault="00E5474A" w:rsidP="00E5474A">
      <w:pPr>
        <w:pStyle w:val="Heading1"/>
        <w:widowControl/>
        <w:numPr>
          <w:ilvl w:val="0"/>
          <w:numId w:val="0"/>
        </w:numPr>
        <w:spacing w:line="360" w:lineRule="auto"/>
        <w:rPr>
          <w:bCs/>
          <w:u w:val="single"/>
        </w:rPr>
      </w:pPr>
      <w:bookmarkStart w:id="194" w:name="_Toc38951831"/>
      <w:r w:rsidRPr="00033600">
        <w:rPr>
          <w:bCs/>
          <w:u w:val="single"/>
        </w:rPr>
        <w:t>Commission Tables Calculating Allowed Revenue Increase</w:t>
      </w:r>
      <w:bookmarkEnd w:id="194"/>
    </w:p>
    <w:p w14:paraId="2E96FEB9" w14:textId="77777777" w:rsidR="0065512A" w:rsidRPr="00033600" w:rsidRDefault="0065512A" w:rsidP="00E5474A">
      <w:pPr>
        <w:widowControl/>
        <w:tabs>
          <w:tab w:val="left" w:pos="-720"/>
        </w:tabs>
        <w:spacing w:line="276" w:lineRule="auto"/>
        <w:rPr>
          <w:b/>
          <w:bCs/>
          <w:szCs w:val="26"/>
        </w:rPr>
      </w:pPr>
    </w:p>
    <w:p w14:paraId="0B787827" w14:textId="2F23AD72" w:rsidR="0065512A" w:rsidRPr="00033600" w:rsidRDefault="0065512A" w:rsidP="00033600">
      <w:pPr>
        <w:widowControl/>
        <w:tabs>
          <w:tab w:val="left" w:pos="-720"/>
          <w:tab w:val="left" w:pos="3060"/>
        </w:tabs>
        <w:spacing w:line="276" w:lineRule="auto"/>
        <w:ind w:left="1620"/>
        <w:rPr>
          <w:b/>
          <w:bCs/>
          <w:szCs w:val="26"/>
        </w:rPr>
      </w:pPr>
      <w:r w:rsidRPr="00033600">
        <w:rPr>
          <w:b/>
          <w:bCs/>
          <w:szCs w:val="26"/>
        </w:rPr>
        <w:t>Table</w:t>
      </w:r>
      <w:r w:rsidR="004E25B9" w:rsidRPr="00033600">
        <w:rPr>
          <w:b/>
          <w:bCs/>
          <w:szCs w:val="26"/>
        </w:rPr>
        <w:t xml:space="preserve"> I</w:t>
      </w:r>
      <w:r w:rsidR="00E5474A" w:rsidRPr="00033600">
        <w:rPr>
          <w:b/>
          <w:bCs/>
          <w:szCs w:val="26"/>
        </w:rPr>
        <w:tab/>
      </w:r>
      <w:r w:rsidRPr="00033600">
        <w:rPr>
          <w:b/>
          <w:bCs/>
          <w:szCs w:val="26"/>
        </w:rPr>
        <w:t>Income Summary</w:t>
      </w:r>
    </w:p>
    <w:p w14:paraId="27A61CC1" w14:textId="3E96F6EC" w:rsidR="0065512A" w:rsidRPr="00033600" w:rsidRDefault="0065512A" w:rsidP="00033600">
      <w:pPr>
        <w:widowControl/>
        <w:tabs>
          <w:tab w:val="left" w:pos="-720"/>
          <w:tab w:val="left" w:pos="3060"/>
        </w:tabs>
        <w:spacing w:line="276" w:lineRule="auto"/>
        <w:ind w:left="1620"/>
        <w:rPr>
          <w:b/>
          <w:bCs/>
          <w:szCs w:val="26"/>
        </w:rPr>
      </w:pPr>
      <w:r w:rsidRPr="00033600">
        <w:rPr>
          <w:b/>
          <w:bCs/>
          <w:szCs w:val="26"/>
        </w:rPr>
        <w:t xml:space="preserve">Table </w:t>
      </w:r>
      <w:r w:rsidR="004E25B9" w:rsidRPr="00033600">
        <w:rPr>
          <w:b/>
          <w:bCs/>
          <w:szCs w:val="26"/>
        </w:rPr>
        <w:t>I(A)</w:t>
      </w:r>
      <w:r w:rsidR="00E5474A" w:rsidRPr="00033600">
        <w:rPr>
          <w:b/>
          <w:bCs/>
          <w:szCs w:val="26"/>
        </w:rPr>
        <w:tab/>
      </w:r>
      <w:r w:rsidR="004E25B9" w:rsidRPr="00033600">
        <w:rPr>
          <w:b/>
          <w:bCs/>
          <w:szCs w:val="26"/>
        </w:rPr>
        <w:t>Rate of Return</w:t>
      </w:r>
    </w:p>
    <w:p w14:paraId="2AA9CE83" w14:textId="4E156EAA" w:rsidR="004E25B9" w:rsidRPr="00033600" w:rsidRDefault="004E25B9" w:rsidP="00033600">
      <w:pPr>
        <w:widowControl/>
        <w:tabs>
          <w:tab w:val="left" w:pos="-720"/>
          <w:tab w:val="left" w:pos="3060"/>
        </w:tabs>
        <w:spacing w:line="276" w:lineRule="auto"/>
        <w:ind w:left="1620"/>
        <w:rPr>
          <w:b/>
          <w:bCs/>
          <w:szCs w:val="26"/>
        </w:rPr>
      </w:pPr>
      <w:r w:rsidRPr="00033600">
        <w:rPr>
          <w:b/>
          <w:bCs/>
          <w:szCs w:val="26"/>
        </w:rPr>
        <w:t>Table I(B)</w:t>
      </w:r>
      <w:r w:rsidR="00E5474A" w:rsidRPr="00033600">
        <w:rPr>
          <w:b/>
          <w:bCs/>
          <w:szCs w:val="26"/>
        </w:rPr>
        <w:tab/>
      </w:r>
      <w:r w:rsidRPr="00033600">
        <w:rPr>
          <w:b/>
          <w:bCs/>
          <w:szCs w:val="26"/>
        </w:rPr>
        <w:t>Revenue Factor</w:t>
      </w:r>
    </w:p>
    <w:p w14:paraId="4F644C7C" w14:textId="02EF5DF1" w:rsidR="004E25B9" w:rsidRPr="00033600" w:rsidRDefault="004E25B9" w:rsidP="00033600">
      <w:pPr>
        <w:widowControl/>
        <w:tabs>
          <w:tab w:val="left" w:pos="-720"/>
          <w:tab w:val="left" w:pos="3060"/>
        </w:tabs>
        <w:spacing w:line="276" w:lineRule="auto"/>
        <w:ind w:left="1620"/>
        <w:rPr>
          <w:b/>
          <w:bCs/>
          <w:szCs w:val="26"/>
        </w:rPr>
      </w:pPr>
      <w:r w:rsidRPr="00033600">
        <w:rPr>
          <w:b/>
          <w:bCs/>
          <w:szCs w:val="26"/>
        </w:rPr>
        <w:t>Table II</w:t>
      </w:r>
      <w:r w:rsidR="00E5474A" w:rsidRPr="00033600">
        <w:rPr>
          <w:b/>
          <w:bCs/>
          <w:szCs w:val="26"/>
        </w:rPr>
        <w:tab/>
      </w:r>
      <w:r w:rsidRPr="00033600">
        <w:rPr>
          <w:b/>
          <w:bCs/>
          <w:szCs w:val="26"/>
        </w:rPr>
        <w:t>Summary of Adjustments</w:t>
      </w:r>
    </w:p>
    <w:p w14:paraId="55D7032B" w14:textId="6B6A4EFE" w:rsidR="004E25B9" w:rsidRPr="00033600" w:rsidRDefault="004E25B9" w:rsidP="00033600">
      <w:pPr>
        <w:widowControl/>
        <w:tabs>
          <w:tab w:val="left" w:pos="-720"/>
          <w:tab w:val="left" w:pos="3060"/>
        </w:tabs>
        <w:spacing w:line="276" w:lineRule="auto"/>
        <w:ind w:left="1620"/>
        <w:rPr>
          <w:b/>
          <w:bCs/>
          <w:szCs w:val="26"/>
        </w:rPr>
      </w:pPr>
      <w:r w:rsidRPr="00033600">
        <w:rPr>
          <w:b/>
          <w:bCs/>
          <w:szCs w:val="26"/>
        </w:rPr>
        <w:t>Table III</w:t>
      </w:r>
      <w:r w:rsidR="00E5474A" w:rsidRPr="00033600">
        <w:rPr>
          <w:b/>
          <w:bCs/>
          <w:szCs w:val="26"/>
        </w:rPr>
        <w:tab/>
      </w:r>
      <w:r w:rsidRPr="00033600">
        <w:rPr>
          <w:b/>
          <w:bCs/>
          <w:szCs w:val="26"/>
        </w:rPr>
        <w:t>Interest Synchronization</w:t>
      </w:r>
    </w:p>
    <w:p w14:paraId="34A16575" w14:textId="23CFF3D6" w:rsidR="004E25B9" w:rsidRPr="00033600" w:rsidRDefault="004E25B9" w:rsidP="00033600">
      <w:pPr>
        <w:widowControl/>
        <w:tabs>
          <w:tab w:val="left" w:pos="-720"/>
          <w:tab w:val="left" w:pos="3060"/>
        </w:tabs>
        <w:spacing w:line="276" w:lineRule="auto"/>
        <w:ind w:left="1620"/>
        <w:rPr>
          <w:b/>
          <w:bCs/>
          <w:szCs w:val="26"/>
        </w:rPr>
      </w:pPr>
      <w:r w:rsidRPr="00033600">
        <w:rPr>
          <w:b/>
          <w:bCs/>
          <w:szCs w:val="26"/>
        </w:rPr>
        <w:t>Table I</w:t>
      </w:r>
      <w:r w:rsidR="00E5474A" w:rsidRPr="00033600">
        <w:rPr>
          <w:b/>
          <w:bCs/>
          <w:szCs w:val="26"/>
        </w:rPr>
        <w:t>V</w:t>
      </w:r>
      <w:r w:rsidR="00E5474A" w:rsidRPr="00033600">
        <w:rPr>
          <w:b/>
          <w:bCs/>
          <w:szCs w:val="26"/>
        </w:rPr>
        <w:tab/>
      </w:r>
      <w:r w:rsidRPr="00033600">
        <w:rPr>
          <w:b/>
          <w:bCs/>
          <w:szCs w:val="26"/>
        </w:rPr>
        <w:t>Cash Working Capital – Interest and Dividends</w:t>
      </w:r>
    </w:p>
    <w:p w14:paraId="2EBE155E" w14:textId="1976F98D" w:rsidR="004E25B9" w:rsidRPr="00033600" w:rsidRDefault="004E25B9" w:rsidP="00033600">
      <w:pPr>
        <w:widowControl/>
        <w:tabs>
          <w:tab w:val="left" w:pos="-720"/>
          <w:tab w:val="left" w:pos="3060"/>
        </w:tabs>
        <w:spacing w:line="276" w:lineRule="auto"/>
        <w:ind w:left="1620"/>
        <w:rPr>
          <w:b/>
          <w:bCs/>
          <w:szCs w:val="26"/>
        </w:rPr>
      </w:pPr>
      <w:r w:rsidRPr="00033600">
        <w:rPr>
          <w:b/>
          <w:bCs/>
          <w:szCs w:val="26"/>
        </w:rPr>
        <w:t>Table V</w:t>
      </w:r>
      <w:r w:rsidR="00E5474A" w:rsidRPr="00033600">
        <w:rPr>
          <w:b/>
          <w:bCs/>
          <w:szCs w:val="26"/>
        </w:rPr>
        <w:tab/>
      </w:r>
      <w:r w:rsidRPr="00033600">
        <w:rPr>
          <w:b/>
          <w:bCs/>
          <w:szCs w:val="26"/>
        </w:rPr>
        <w:t>Cash Working Capital – Taxes</w:t>
      </w:r>
    </w:p>
    <w:p w14:paraId="4D468526" w14:textId="03282495" w:rsidR="004E25B9" w:rsidRPr="00033600" w:rsidRDefault="004E25B9" w:rsidP="00033600">
      <w:pPr>
        <w:widowControl/>
        <w:tabs>
          <w:tab w:val="left" w:pos="-720"/>
          <w:tab w:val="left" w:pos="3060"/>
        </w:tabs>
        <w:spacing w:line="276" w:lineRule="auto"/>
        <w:ind w:left="1620"/>
        <w:rPr>
          <w:b/>
          <w:bCs/>
          <w:szCs w:val="26"/>
        </w:rPr>
      </w:pPr>
      <w:r w:rsidRPr="00033600">
        <w:rPr>
          <w:b/>
          <w:bCs/>
          <w:szCs w:val="26"/>
        </w:rPr>
        <w:t>Table VI</w:t>
      </w:r>
      <w:r w:rsidR="00E5474A" w:rsidRPr="00033600">
        <w:rPr>
          <w:b/>
          <w:bCs/>
          <w:szCs w:val="26"/>
        </w:rPr>
        <w:tab/>
      </w:r>
      <w:r w:rsidRPr="00033600">
        <w:rPr>
          <w:b/>
          <w:bCs/>
          <w:szCs w:val="26"/>
        </w:rPr>
        <w:t>Cash Working Capital – O&amp;M Expense</w:t>
      </w:r>
    </w:p>
    <w:bookmarkEnd w:id="193"/>
    <w:p w14:paraId="256EE004" w14:textId="77777777" w:rsidR="00F3266D" w:rsidRDefault="00F3266D">
      <w:pPr>
        <w:widowControl/>
        <w:tabs>
          <w:tab w:val="left" w:pos="-720"/>
        </w:tabs>
        <w:spacing w:line="360" w:lineRule="auto"/>
        <w:rPr>
          <w:szCs w:val="26"/>
        </w:rPr>
      </w:pPr>
    </w:p>
    <w:p w14:paraId="71689CA2" w14:textId="77777777" w:rsidR="00416DD1" w:rsidRDefault="00416DD1">
      <w:pPr>
        <w:widowControl/>
        <w:spacing w:after="200" w:line="276" w:lineRule="auto"/>
        <w:rPr>
          <w:szCs w:val="26"/>
        </w:rPr>
        <w:sectPr w:rsidR="00416DD1" w:rsidSect="00416DD1">
          <w:footerReference w:type="first" r:id="rId19"/>
          <w:pgSz w:w="12240" w:h="15840"/>
          <w:pgMar w:top="1440" w:right="1440" w:bottom="1440" w:left="1440" w:header="720" w:footer="720" w:gutter="0"/>
          <w:pgNumType w:start="1"/>
          <w:cols w:space="720"/>
          <w:titlePg/>
          <w:docGrid w:linePitch="360"/>
        </w:sectPr>
      </w:pPr>
    </w:p>
    <w:p w14:paraId="2994D1CC" w14:textId="392C3E8E" w:rsidR="00F3266D" w:rsidRDefault="00F3266D">
      <w:pPr>
        <w:widowControl/>
        <w:spacing w:after="200" w:line="276" w:lineRule="auto"/>
        <w:rPr>
          <w:szCs w:val="26"/>
        </w:rPr>
      </w:pPr>
    </w:p>
    <w:p w14:paraId="4D413881" w14:textId="77777777" w:rsidR="00F3266D" w:rsidRDefault="00A03CD6">
      <w:pPr>
        <w:widowControl/>
        <w:tabs>
          <w:tab w:val="left" w:pos="-720"/>
        </w:tabs>
        <w:spacing w:line="360" w:lineRule="auto"/>
        <w:rPr>
          <w:szCs w:val="26"/>
        </w:rPr>
      </w:pPr>
      <w:r w:rsidRPr="00A03CD6">
        <w:rPr>
          <w:noProof/>
        </w:rPr>
        <w:drawing>
          <wp:inline distT="0" distB="0" distL="0" distR="0" wp14:anchorId="2A956560" wp14:editId="405EDA02">
            <wp:extent cx="5943600" cy="5113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113020"/>
                    </a:xfrm>
                    <a:prstGeom prst="rect">
                      <a:avLst/>
                    </a:prstGeom>
                    <a:noFill/>
                    <a:ln>
                      <a:noFill/>
                    </a:ln>
                  </pic:spPr>
                </pic:pic>
              </a:graphicData>
            </a:graphic>
          </wp:inline>
        </w:drawing>
      </w:r>
    </w:p>
    <w:p w14:paraId="5A218BF2" w14:textId="77777777" w:rsidR="00A03CD6" w:rsidRDefault="00A03CD6">
      <w:pPr>
        <w:widowControl/>
        <w:tabs>
          <w:tab w:val="left" w:pos="-720"/>
        </w:tabs>
        <w:spacing w:line="360" w:lineRule="auto"/>
        <w:rPr>
          <w:szCs w:val="26"/>
        </w:rPr>
      </w:pPr>
    </w:p>
    <w:p w14:paraId="5402B002" w14:textId="77777777" w:rsidR="00A03CD6" w:rsidRDefault="00A03CD6">
      <w:pPr>
        <w:widowControl/>
        <w:spacing w:after="200" w:line="276" w:lineRule="auto"/>
        <w:rPr>
          <w:szCs w:val="26"/>
        </w:rPr>
      </w:pPr>
      <w:r>
        <w:rPr>
          <w:szCs w:val="26"/>
        </w:rPr>
        <w:br w:type="page"/>
      </w:r>
    </w:p>
    <w:p w14:paraId="0627288D" w14:textId="1D9D3A83" w:rsidR="00A03CD6" w:rsidRDefault="00200331">
      <w:pPr>
        <w:widowControl/>
        <w:tabs>
          <w:tab w:val="left" w:pos="-720"/>
        </w:tabs>
        <w:spacing w:line="360" w:lineRule="auto"/>
        <w:rPr>
          <w:szCs w:val="26"/>
        </w:rPr>
      </w:pPr>
      <w:r w:rsidRPr="00200331">
        <w:rPr>
          <w:noProof/>
        </w:rPr>
        <w:lastRenderedPageBreak/>
        <w:drawing>
          <wp:inline distT="0" distB="0" distL="0" distR="0" wp14:anchorId="0D449539" wp14:editId="008D8F75">
            <wp:extent cx="5943600" cy="3569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69335"/>
                    </a:xfrm>
                    <a:prstGeom prst="rect">
                      <a:avLst/>
                    </a:prstGeom>
                    <a:noFill/>
                    <a:ln>
                      <a:noFill/>
                    </a:ln>
                  </pic:spPr>
                </pic:pic>
              </a:graphicData>
            </a:graphic>
          </wp:inline>
        </w:drawing>
      </w:r>
    </w:p>
    <w:p w14:paraId="274B6B50" w14:textId="77777777" w:rsidR="00A03CD6" w:rsidRDefault="00A03CD6">
      <w:pPr>
        <w:widowControl/>
        <w:tabs>
          <w:tab w:val="left" w:pos="-720"/>
        </w:tabs>
        <w:spacing w:line="360" w:lineRule="auto"/>
        <w:rPr>
          <w:szCs w:val="26"/>
        </w:rPr>
      </w:pPr>
    </w:p>
    <w:p w14:paraId="1360977C" w14:textId="77777777" w:rsidR="00A03CD6" w:rsidRDefault="00A03CD6">
      <w:pPr>
        <w:widowControl/>
        <w:spacing w:after="200" w:line="276" w:lineRule="auto"/>
        <w:rPr>
          <w:szCs w:val="26"/>
        </w:rPr>
      </w:pPr>
      <w:r>
        <w:rPr>
          <w:szCs w:val="26"/>
        </w:rPr>
        <w:br w:type="page"/>
      </w:r>
    </w:p>
    <w:p w14:paraId="7BA02518" w14:textId="77777777" w:rsidR="00A03CD6" w:rsidRDefault="00A03CD6">
      <w:pPr>
        <w:widowControl/>
        <w:tabs>
          <w:tab w:val="left" w:pos="-720"/>
        </w:tabs>
        <w:spacing w:line="360" w:lineRule="auto"/>
        <w:rPr>
          <w:szCs w:val="26"/>
        </w:rPr>
      </w:pPr>
      <w:r w:rsidRPr="00A03CD6">
        <w:rPr>
          <w:noProof/>
        </w:rPr>
        <w:lastRenderedPageBreak/>
        <w:drawing>
          <wp:inline distT="0" distB="0" distL="0" distR="0" wp14:anchorId="602D72D8" wp14:editId="4A9BC00E">
            <wp:extent cx="5943600" cy="46221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622165"/>
                    </a:xfrm>
                    <a:prstGeom prst="rect">
                      <a:avLst/>
                    </a:prstGeom>
                    <a:noFill/>
                    <a:ln>
                      <a:noFill/>
                    </a:ln>
                  </pic:spPr>
                </pic:pic>
              </a:graphicData>
            </a:graphic>
          </wp:inline>
        </w:drawing>
      </w:r>
    </w:p>
    <w:p w14:paraId="49BBFAA3" w14:textId="77777777" w:rsidR="00A03CD6" w:rsidRDefault="00A03CD6">
      <w:pPr>
        <w:widowControl/>
        <w:tabs>
          <w:tab w:val="left" w:pos="-720"/>
        </w:tabs>
        <w:spacing w:line="360" w:lineRule="auto"/>
        <w:rPr>
          <w:szCs w:val="26"/>
        </w:rPr>
      </w:pPr>
    </w:p>
    <w:p w14:paraId="4B8B0EDD" w14:textId="77777777" w:rsidR="00A03CD6" w:rsidRDefault="00A03CD6">
      <w:pPr>
        <w:widowControl/>
        <w:spacing w:after="200" w:line="276" w:lineRule="auto"/>
        <w:rPr>
          <w:szCs w:val="26"/>
        </w:rPr>
      </w:pPr>
      <w:r>
        <w:rPr>
          <w:szCs w:val="26"/>
        </w:rPr>
        <w:br w:type="page"/>
      </w:r>
    </w:p>
    <w:p w14:paraId="30C61159" w14:textId="77777777" w:rsidR="00A03CD6" w:rsidRDefault="00A03CD6">
      <w:pPr>
        <w:widowControl/>
        <w:tabs>
          <w:tab w:val="left" w:pos="-720"/>
        </w:tabs>
        <w:spacing w:line="360" w:lineRule="auto"/>
        <w:rPr>
          <w:szCs w:val="26"/>
        </w:rPr>
      </w:pPr>
      <w:r w:rsidRPr="00A03CD6">
        <w:rPr>
          <w:noProof/>
        </w:rPr>
        <w:lastRenderedPageBreak/>
        <w:drawing>
          <wp:inline distT="0" distB="0" distL="0" distR="0" wp14:anchorId="5423AF07" wp14:editId="77FE867E">
            <wp:extent cx="5943600" cy="46786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4678680"/>
                    </a:xfrm>
                    <a:prstGeom prst="rect">
                      <a:avLst/>
                    </a:prstGeom>
                    <a:noFill/>
                    <a:ln>
                      <a:noFill/>
                    </a:ln>
                  </pic:spPr>
                </pic:pic>
              </a:graphicData>
            </a:graphic>
          </wp:inline>
        </w:drawing>
      </w:r>
    </w:p>
    <w:p w14:paraId="39944DBD" w14:textId="77777777" w:rsidR="00A03CD6" w:rsidRDefault="00A03CD6">
      <w:pPr>
        <w:widowControl/>
        <w:tabs>
          <w:tab w:val="left" w:pos="-720"/>
        </w:tabs>
        <w:spacing w:line="360" w:lineRule="auto"/>
        <w:rPr>
          <w:szCs w:val="26"/>
        </w:rPr>
      </w:pPr>
    </w:p>
    <w:p w14:paraId="09770D4D" w14:textId="77777777" w:rsidR="00A03CD6" w:rsidRDefault="00A03CD6">
      <w:pPr>
        <w:widowControl/>
        <w:spacing w:after="200" w:line="276" w:lineRule="auto"/>
        <w:rPr>
          <w:szCs w:val="26"/>
        </w:rPr>
      </w:pPr>
      <w:r>
        <w:rPr>
          <w:szCs w:val="26"/>
        </w:rPr>
        <w:br w:type="page"/>
      </w:r>
    </w:p>
    <w:p w14:paraId="3745FAF2" w14:textId="77777777" w:rsidR="00A03CD6" w:rsidRDefault="00A03CD6">
      <w:pPr>
        <w:widowControl/>
        <w:tabs>
          <w:tab w:val="left" w:pos="-720"/>
        </w:tabs>
        <w:spacing w:line="360" w:lineRule="auto"/>
        <w:rPr>
          <w:szCs w:val="26"/>
        </w:rPr>
      </w:pPr>
      <w:r w:rsidRPr="00A03CD6">
        <w:rPr>
          <w:noProof/>
        </w:rPr>
        <w:lastRenderedPageBreak/>
        <w:drawing>
          <wp:inline distT="0" distB="0" distL="0" distR="0" wp14:anchorId="7A7A7FA3" wp14:editId="487F97C3">
            <wp:extent cx="5868035" cy="6750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68035" cy="6750685"/>
                    </a:xfrm>
                    <a:prstGeom prst="rect">
                      <a:avLst/>
                    </a:prstGeom>
                    <a:noFill/>
                    <a:ln>
                      <a:noFill/>
                    </a:ln>
                  </pic:spPr>
                </pic:pic>
              </a:graphicData>
            </a:graphic>
          </wp:inline>
        </w:drawing>
      </w:r>
    </w:p>
    <w:p w14:paraId="12B8E3B1" w14:textId="77777777" w:rsidR="00A03CD6" w:rsidRDefault="00A03CD6">
      <w:pPr>
        <w:widowControl/>
        <w:tabs>
          <w:tab w:val="left" w:pos="-720"/>
        </w:tabs>
        <w:spacing w:line="360" w:lineRule="auto"/>
        <w:rPr>
          <w:szCs w:val="26"/>
        </w:rPr>
      </w:pPr>
    </w:p>
    <w:p w14:paraId="5A03C59B" w14:textId="77777777" w:rsidR="00A03CD6" w:rsidRDefault="00A03CD6">
      <w:pPr>
        <w:widowControl/>
        <w:spacing w:after="200" w:line="276" w:lineRule="auto"/>
        <w:rPr>
          <w:szCs w:val="26"/>
        </w:rPr>
      </w:pPr>
      <w:r>
        <w:rPr>
          <w:szCs w:val="26"/>
        </w:rPr>
        <w:br w:type="page"/>
      </w:r>
    </w:p>
    <w:p w14:paraId="5DC0B003" w14:textId="77777777" w:rsidR="00A03CD6" w:rsidRDefault="0044201E">
      <w:pPr>
        <w:widowControl/>
        <w:tabs>
          <w:tab w:val="left" w:pos="-720"/>
        </w:tabs>
        <w:spacing w:line="360" w:lineRule="auto"/>
        <w:rPr>
          <w:szCs w:val="26"/>
        </w:rPr>
      </w:pPr>
      <w:r w:rsidRPr="0044201E">
        <w:rPr>
          <w:noProof/>
        </w:rPr>
        <w:lastRenderedPageBreak/>
        <w:drawing>
          <wp:inline distT="0" distB="0" distL="0" distR="0" wp14:anchorId="61EDDDF1" wp14:editId="7D68590A">
            <wp:extent cx="5943600" cy="42868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4286885"/>
                    </a:xfrm>
                    <a:prstGeom prst="rect">
                      <a:avLst/>
                    </a:prstGeom>
                    <a:noFill/>
                    <a:ln>
                      <a:noFill/>
                    </a:ln>
                  </pic:spPr>
                </pic:pic>
              </a:graphicData>
            </a:graphic>
          </wp:inline>
        </w:drawing>
      </w:r>
    </w:p>
    <w:p w14:paraId="442D41B9" w14:textId="77777777" w:rsidR="0044201E" w:rsidRDefault="0044201E">
      <w:pPr>
        <w:widowControl/>
        <w:tabs>
          <w:tab w:val="left" w:pos="-720"/>
        </w:tabs>
        <w:spacing w:line="360" w:lineRule="auto"/>
        <w:rPr>
          <w:szCs w:val="26"/>
        </w:rPr>
      </w:pPr>
    </w:p>
    <w:p w14:paraId="173F3FDC" w14:textId="77777777" w:rsidR="0044201E" w:rsidRDefault="0044201E">
      <w:pPr>
        <w:widowControl/>
        <w:spacing w:after="200" w:line="276" w:lineRule="auto"/>
        <w:rPr>
          <w:szCs w:val="26"/>
        </w:rPr>
      </w:pPr>
      <w:r>
        <w:rPr>
          <w:szCs w:val="26"/>
        </w:rPr>
        <w:br w:type="page"/>
      </w:r>
    </w:p>
    <w:p w14:paraId="708192BE" w14:textId="77777777" w:rsidR="0044201E" w:rsidRDefault="0044201E">
      <w:pPr>
        <w:widowControl/>
        <w:tabs>
          <w:tab w:val="left" w:pos="-720"/>
        </w:tabs>
        <w:spacing w:line="360" w:lineRule="auto"/>
        <w:rPr>
          <w:szCs w:val="26"/>
        </w:rPr>
      </w:pPr>
      <w:r w:rsidRPr="0044201E">
        <w:rPr>
          <w:noProof/>
        </w:rPr>
        <w:lastRenderedPageBreak/>
        <w:drawing>
          <wp:inline distT="0" distB="0" distL="0" distR="0" wp14:anchorId="272CC374" wp14:editId="7B53057D">
            <wp:extent cx="5943600" cy="26619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943600" cy="2661920"/>
                    </a:xfrm>
                    <a:prstGeom prst="rect">
                      <a:avLst/>
                    </a:prstGeom>
                    <a:noFill/>
                    <a:ln>
                      <a:noFill/>
                    </a:ln>
                  </pic:spPr>
                </pic:pic>
              </a:graphicData>
            </a:graphic>
          </wp:inline>
        </w:drawing>
      </w:r>
    </w:p>
    <w:p w14:paraId="35E7693A" w14:textId="77777777" w:rsidR="0044201E" w:rsidRDefault="0044201E">
      <w:pPr>
        <w:widowControl/>
        <w:tabs>
          <w:tab w:val="left" w:pos="-720"/>
        </w:tabs>
        <w:spacing w:line="360" w:lineRule="auto"/>
        <w:rPr>
          <w:szCs w:val="26"/>
        </w:rPr>
      </w:pPr>
    </w:p>
    <w:p w14:paraId="09BCA69F" w14:textId="77777777" w:rsidR="0044201E" w:rsidRDefault="0044201E">
      <w:pPr>
        <w:widowControl/>
        <w:spacing w:after="200" w:line="276" w:lineRule="auto"/>
        <w:rPr>
          <w:szCs w:val="26"/>
        </w:rPr>
      </w:pPr>
      <w:r>
        <w:rPr>
          <w:szCs w:val="26"/>
        </w:rPr>
        <w:br w:type="page"/>
      </w:r>
    </w:p>
    <w:p w14:paraId="2550DF5B" w14:textId="77777777" w:rsidR="0044201E" w:rsidRPr="00C015CB" w:rsidRDefault="0044201E">
      <w:pPr>
        <w:widowControl/>
        <w:tabs>
          <w:tab w:val="left" w:pos="-720"/>
        </w:tabs>
        <w:spacing w:line="360" w:lineRule="auto"/>
        <w:rPr>
          <w:szCs w:val="26"/>
        </w:rPr>
      </w:pPr>
      <w:r w:rsidRPr="0044201E">
        <w:rPr>
          <w:noProof/>
        </w:rPr>
        <w:lastRenderedPageBreak/>
        <w:drawing>
          <wp:inline distT="0" distB="0" distL="0" distR="0" wp14:anchorId="3B069022" wp14:editId="05D44EC8">
            <wp:extent cx="5943600" cy="52806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280660"/>
                    </a:xfrm>
                    <a:prstGeom prst="rect">
                      <a:avLst/>
                    </a:prstGeom>
                    <a:noFill/>
                    <a:ln>
                      <a:noFill/>
                    </a:ln>
                  </pic:spPr>
                </pic:pic>
              </a:graphicData>
            </a:graphic>
          </wp:inline>
        </w:drawing>
      </w:r>
    </w:p>
    <w:sectPr w:rsidR="0044201E" w:rsidRPr="00C015CB" w:rsidSect="004149A2">
      <w:footerReference w:type="first" r:id="rId28"/>
      <w:pgSz w:w="12240" w:h="15840"/>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83E0A" w16cex:dateUtc="2020-04-20T19:28:00Z"/>
  <w16cex:commentExtensible w16cex:durableId="22483E17" w16cex:dateUtc="2020-04-20T19:28:00Z"/>
  <w16cex:commentExtensible w16cex:durableId="22483AA2" w16cex:dateUtc="2020-04-20T19:13:00Z"/>
  <w16cex:commentExtensible w16cex:durableId="22483969" w16cex:dateUtc="2020-04-20T19:08:00Z"/>
  <w16cex:commentExtensible w16cex:durableId="224838D3" w16cex:dateUtc="2020-04-20T19:05:00Z"/>
  <w16cex:commentExtensible w16cex:durableId="224839DC" w16cex:dateUtc="2020-04-20T19:10:00Z"/>
  <w16cex:commentExtensible w16cex:durableId="22483A94" w16cex:dateUtc="2020-04-20T19: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D9F6E" w14:textId="77777777" w:rsidR="00822091" w:rsidRDefault="00822091" w:rsidP="00DA6369">
      <w:r>
        <w:separator/>
      </w:r>
    </w:p>
  </w:endnote>
  <w:endnote w:type="continuationSeparator" w:id="0">
    <w:p w14:paraId="1C1D7D2D" w14:textId="77777777" w:rsidR="00822091" w:rsidRDefault="00822091" w:rsidP="00DA6369">
      <w:r>
        <w:continuationSeparator/>
      </w:r>
    </w:p>
  </w:endnote>
  <w:endnote w:type="continuationNotice" w:id="1">
    <w:p w14:paraId="71F96539" w14:textId="77777777" w:rsidR="00822091" w:rsidRDefault="00822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608858"/>
      <w:docPartObj>
        <w:docPartGallery w:val="Page Numbers (Bottom of Page)"/>
        <w:docPartUnique/>
      </w:docPartObj>
    </w:sdtPr>
    <w:sdtEndPr>
      <w:rPr>
        <w:noProof/>
      </w:rPr>
    </w:sdtEndPr>
    <w:sdtContent>
      <w:p w14:paraId="5C6196D9" w14:textId="77777777" w:rsidR="00926AD4" w:rsidRDefault="00926AD4" w:rsidP="00564E6A">
        <w:pPr>
          <w:pStyle w:val="Footer"/>
          <w:jc w:val="center"/>
        </w:pPr>
        <w:r>
          <w:fldChar w:fldCharType="begin"/>
        </w:r>
        <w:r>
          <w:instrText xml:space="preserve"> PAGE   \* MERGEFORMAT </w:instrText>
        </w:r>
        <w:r>
          <w:fldChar w:fldCharType="separate"/>
        </w:r>
        <w:r>
          <w:rPr>
            <w:noProof/>
          </w:rPr>
          <w:t>92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1510B" w14:textId="77777777" w:rsidR="00926AD4" w:rsidRDefault="00926AD4">
    <w:pPr>
      <w:pStyle w:val="Footer"/>
      <w:jc w:val="center"/>
    </w:pPr>
  </w:p>
  <w:p w14:paraId="484EE830" w14:textId="77777777" w:rsidR="00926AD4" w:rsidRDefault="00926A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468088"/>
      <w:docPartObj>
        <w:docPartGallery w:val="Page Numbers (Bottom of Page)"/>
        <w:docPartUnique/>
      </w:docPartObj>
    </w:sdtPr>
    <w:sdtEndPr>
      <w:rPr>
        <w:noProof/>
      </w:rPr>
    </w:sdtEndPr>
    <w:sdtContent>
      <w:p w14:paraId="27ECF8E9" w14:textId="58A2291F" w:rsidR="00926AD4" w:rsidRDefault="00926AD4" w:rsidP="004149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966057"/>
      <w:docPartObj>
        <w:docPartGallery w:val="Page Numbers (Bottom of Page)"/>
        <w:docPartUnique/>
      </w:docPartObj>
    </w:sdtPr>
    <w:sdtEndPr>
      <w:rPr>
        <w:noProof/>
      </w:rPr>
    </w:sdtEndPr>
    <w:sdtContent>
      <w:p w14:paraId="0D691A92" w14:textId="77777777" w:rsidR="00926AD4" w:rsidRDefault="00926AD4" w:rsidP="004149A2">
        <w:pPr>
          <w:pStyle w:val="Footer"/>
          <w:jc w:val="center"/>
        </w:pPr>
        <w:r w:rsidRPr="004149A2">
          <w:rPr>
            <w:color w:val="FFFFFF" w:themeColor="background1"/>
          </w:rPr>
          <w:fldChar w:fldCharType="begin"/>
        </w:r>
        <w:r w:rsidRPr="004149A2">
          <w:rPr>
            <w:color w:val="FFFFFF" w:themeColor="background1"/>
          </w:rPr>
          <w:instrText xml:space="preserve"> PAGE   \* MERGEFORMAT </w:instrText>
        </w:r>
        <w:r w:rsidRPr="004149A2">
          <w:rPr>
            <w:color w:val="FFFFFF" w:themeColor="background1"/>
          </w:rPr>
          <w:fldChar w:fldCharType="separate"/>
        </w:r>
        <w:r w:rsidRPr="004149A2">
          <w:rPr>
            <w:noProof/>
            <w:color w:val="FFFFFF" w:themeColor="background1"/>
          </w:rPr>
          <w:t>2</w:t>
        </w:r>
        <w:r w:rsidRPr="004149A2">
          <w:rPr>
            <w:noProof/>
            <w:color w:val="FFFFFF" w:themeColor="background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A46F2" w14:textId="3D896BD4" w:rsidR="00926AD4" w:rsidRPr="00416DD1" w:rsidRDefault="00926AD4" w:rsidP="00416DD1">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1922879"/>
      <w:docPartObj>
        <w:docPartGallery w:val="Page Numbers (Bottom of Page)"/>
        <w:docPartUnique/>
      </w:docPartObj>
    </w:sdtPr>
    <w:sdtEndPr>
      <w:rPr>
        <w:noProof/>
      </w:rPr>
    </w:sdtEndPr>
    <w:sdtContent>
      <w:p w14:paraId="04B49478" w14:textId="77777777" w:rsidR="00926AD4" w:rsidRPr="00416DD1" w:rsidRDefault="00926AD4" w:rsidP="00416D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5D0C0" w14:textId="77777777" w:rsidR="00822091" w:rsidRDefault="00822091" w:rsidP="00DA6369">
      <w:r>
        <w:separator/>
      </w:r>
    </w:p>
  </w:footnote>
  <w:footnote w:type="continuationSeparator" w:id="0">
    <w:p w14:paraId="109876FD" w14:textId="77777777" w:rsidR="00822091" w:rsidRDefault="00822091" w:rsidP="00DA6369">
      <w:r>
        <w:continuationSeparator/>
      </w:r>
    </w:p>
  </w:footnote>
  <w:footnote w:type="continuationNotice" w:id="1">
    <w:p w14:paraId="2370D62E" w14:textId="77777777" w:rsidR="00822091" w:rsidRDefault="00822091"/>
  </w:footnote>
  <w:footnote w:id="2">
    <w:p w14:paraId="58A59F35" w14:textId="22224A56" w:rsidR="00926AD4" w:rsidRPr="00803CAE" w:rsidRDefault="00926AD4" w:rsidP="00DD05A9">
      <w:pPr>
        <w:pStyle w:val="FootnoteText"/>
        <w:spacing w:after="120"/>
        <w:ind w:firstLine="720"/>
        <w:rPr>
          <w:rFonts w:ascii="Times New Roman" w:hAnsi="Times New Roman" w:cs="Times New Roman"/>
        </w:rPr>
      </w:pPr>
      <w:r w:rsidRPr="00803CAE">
        <w:rPr>
          <w:rStyle w:val="FootnoteReference"/>
          <w:rFonts w:ascii="Times New Roman" w:hAnsi="Times New Roman" w:cs="Times New Roman"/>
        </w:rPr>
        <w:footnoteRef/>
      </w:r>
      <w:r w:rsidRPr="00803CAE">
        <w:rPr>
          <w:rFonts w:ascii="Times New Roman" w:hAnsi="Times New Roman" w:cs="Times New Roman"/>
        </w:rPr>
        <w:t xml:space="preserve"> </w:t>
      </w:r>
      <w:r w:rsidRPr="00803CAE">
        <w:rPr>
          <w:rFonts w:ascii="Times New Roman" w:hAnsi="Times New Roman" w:cs="Times New Roman"/>
        </w:rPr>
        <w:tab/>
      </w:r>
      <w:r w:rsidRPr="00803CAE">
        <w:rPr>
          <w:rFonts w:ascii="Times New Roman" w:hAnsi="Times New Roman" w:cs="Times New Roman"/>
          <w:bCs/>
          <w:color w:val="000000"/>
          <w:szCs w:val="26"/>
        </w:rPr>
        <w:t>Concurrent with the Company’s base rate case filing, Wellsboro filed a Joint Petition for Waiver (Joint Petition for Waiver) seeking a waiver from informational requirements for general rate increase requests in excess of $1 million as set forth in 52</w:t>
      </w:r>
      <w:r>
        <w:rPr>
          <w:rFonts w:ascii="Times New Roman" w:hAnsi="Times New Roman" w:cs="Times New Roman"/>
          <w:bCs/>
          <w:color w:val="000000"/>
          <w:szCs w:val="26"/>
        </w:rPr>
        <w:t> </w:t>
      </w:r>
      <w:r w:rsidRPr="00803CAE">
        <w:rPr>
          <w:rFonts w:ascii="Times New Roman" w:hAnsi="Times New Roman" w:cs="Times New Roman"/>
          <w:bCs/>
          <w:color w:val="000000"/>
          <w:szCs w:val="26"/>
        </w:rPr>
        <w:t>Pa. Code § 53.53 of the Commission</w:t>
      </w:r>
      <w:r>
        <w:rPr>
          <w:rFonts w:ascii="Times New Roman" w:hAnsi="Times New Roman" w:cs="Times New Roman"/>
          <w:bCs/>
          <w:color w:val="000000"/>
          <w:szCs w:val="26"/>
        </w:rPr>
        <w:t>’</w:t>
      </w:r>
      <w:r w:rsidRPr="00803CAE">
        <w:rPr>
          <w:rFonts w:ascii="Times New Roman" w:hAnsi="Times New Roman" w:cs="Times New Roman"/>
          <w:bCs/>
          <w:color w:val="000000"/>
          <w:szCs w:val="26"/>
        </w:rPr>
        <w:t xml:space="preserve">s </w:t>
      </w:r>
      <w:r>
        <w:rPr>
          <w:rFonts w:ascii="Times New Roman" w:hAnsi="Times New Roman" w:cs="Times New Roman"/>
          <w:bCs/>
          <w:color w:val="000000"/>
          <w:szCs w:val="26"/>
        </w:rPr>
        <w:t>R</w:t>
      </w:r>
      <w:r w:rsidRPr="00803CAE">
        <w:rPr>
          <w:rFonts w:ascii="Times New Roman" w:hAnsi="Times New Roman" w:cs="Times New Roman"/>
          <w:bCs/>
          <w:color w:val="000000"/>
          <w:szCs w:val="26"/>
        </w:rPr>
        <w:t>egulations.  Wellsboro withdrew the Joint Petition for Waiver on July 29, 201</w:t>
      </w:r>
      <w:r>
        <w:rPr>
          <w:rFonts w:ascii="Times New Roman" w:hAnsi="Times New Roman" w:cs="Times New Roman"/>
          <w:bCs/>
          <w:color w:val="000000"/>
          <w:szCs w:val="26"/>
        </w:rPr>
        <w:t>9</w:t>
      </w:r>
      <w:r w:rsidRPr="00803CAE">
        <w:rPr>
          <w:rFonts w:ascii="Times New Roman" w:hAnsi="Times New Roman" w:cs="Times New Roman"/>
          <w:bCs/>
          <w:color w:val="000000"/>
          <w:szCs w:val="26"/>
        </w:rPr>
        <w:t xml:space="preserve">.  </w:t>
      </w:r>
      <w:r>
        <w:rPr>
          <w:rFonts w:ascii="Times New Roman" w:hAnsi="Times New Roman" w:cs="Times New Roman"/>
          <w:bCs/>
          <w:color w:val="000000"/>
          <w:szCs w:val="26"/>
        </w:rPr>
        <w:t xml:space="preserve">The August 8, 2019 Secretarial Letter denied Wellsboro’s </w:t>
      </w:r>
      <w:r w:rsidRPr="00803CAE">
        <w:rPr>
          <w:rFonts w:ascii="Times New Roman" w:hAnsi="Times New Roman" w:cs="Times New Roman"/>
          <w:bCs/>
          <w:color w:val="000000"/>
          <w:szCs w:val="26"/>
        </w:rPr>
        <w:t xml:space="preserve">request. </w:t>
      </w:r>
    </w:p>
  </w:footnote>
  <w:footnote w:id="3">
    <w:p w14:paraId="64D99A87" w14:textId="0355D59F" w:rsidR="00926AD4" w:rsidRDefault="00926AD4" w:rsidP="00803CAE">
      <w:pPr>
        <w:pStyle w:val="FootnoteText"/>
        <w:ind w:firstLine="720"/>
      </w:pPr>
      <w:r w:rsidRPr="00803CAE">
        <w:rPr>
          <w:rStyle w:val="FootnoteReference"/>
          <w:rFonts w:ascii="Times New Roman" w:hAnsi="Times New Roman" w:cs="Times New Roman"/>
        </w:rPr>
        <w:footnoteRef/>
      </w:r>
      <w:r w:rsidRPr="00803CAE">
        <w:rPr>
          <w:rFonts w:ascii="Times New Roman" w:hAnsi="Times New Roman" w:cs="Times New Roman"/>
        </w:rPr>
        <w:t xml:space="preserve"> </w:t>
      </w:r>
      <w:r w:rsidRPr="00803CAE">
        <w:rPr>
          <w:rFonts w:ascii="Times New Roman" w:hAnsi="Times New Roman" w:cs="Times New Roman"/>
        </w:rPr>
        <w:tab/>
      </w:r>
      <w:r w:rsidRPr="00803CAE">
        <w:rPr>
          <w:rFonts w:ascii="Times New Roman" w:hAnsi="Times New Roman" w:cs="Times New Roman"/>
          <w:color w:val="000000"/>
          <w:szCs w:val="26"/>
        </w:rPr>
        <w:t>The evidentiary hearings were held jointly for the Wellsboro, Citizens</w:t>
      </w:r>
      <w:r>
        <w:rPr>
          <w:rFonts w:ascii="Times New Roman" w:hAnsi="Times New Roman" w:cs="Times New Roman"/>
          <w:color w:val="000000"/>
          <w:szCs w:val="26"/>
        </w:rPr>
        <w:t>’</w:t>
      </w:r>
      <w:r w:rsidRPr="00803CAE">
        <w:rPr>
          <w:rFonts w:ascii="Times New Roman" w:hAnsi="Times New Roman" w:cs="Times New Roman"/>
          <w:color w:val="000000"/>
          <w:szCs w:val="26"/>
        </w:rPr>
        <w:t xml:space="preserve"> and Valley rate proceedings.</w:t>
      </w:r>
      <w:r w:rsidRPr="00E67719">
        <w:rPr>
          <w:color w:val="000000"/>
          <w:szCs w:val="26"/>
        </w:rPr>
        <w:t xml:space="preserve">  </w:t>
      </w:r>
    </w:p>
  </w:footnote>
  <w:footnote w:id="4">
    <w:p w14:paraId="0B0A2AED" w14:textId="77777777" w:rsidR="00926AD4" w:rsidRPr="007600A8" w:rsidRDefault="00926AD4" w:rsidP="00214740">
      <w:pPr>
        <w:pStyle w:val="FootnoteText"/>
        <w:ind w:firstLine="720"/>
        <w:rPr>
          <w:rFonts w:ascii="Times New Roman" w:hAnsi="Times New Roman" w:cs="Times New Roman"/>
        </w:rPr>
      </w:pPr>
      <w:r w:rsidRPr="007600A8">
        <w:rPr>
          <w:rStyle w:val="FootnoteReference"/>
          <w:rFonts w:ascii="Times New Roman" w:hAnsi="Times New Roman" w:cs="Times New Roman"/>
        </w:rPr>
        <w:footnoteRef/>
      </w:r>
      <w:r w:rsidRPr="007600A8">
        <w:rPr>
          <w:rFonts w:ascii="Times New Roman" w:hAnsi="Times New Roman" w:cs="Times New Roman"/>
        </w:rPr>
        <w:t xml:space="preserve"> </w:t>
      </w:r>
      <w:r w:rsidRPr="007600A8">
        <w:rPr>
          <w:rFonts w:ascii="Times New Roman" w:hAnsi="Times New Roman" w:cs="Times New Roman"/>
        </w:rPr>
        <w:tab/>
      </w:r>
      <w:r w:rsidRPr="007600A8">
        <w:rPr>
          <w:rFonts w:ascii="Times New Roman" w:hAnsi="Times New Roman" w:cs="Times New Roman"/>
          <w:color w:val="000000"/>
          <w:szCs w:val="26"/>
        </w:rPr>
        <w:t>By Secretarial Letter dated February 28, 2020, the Commission set the Exceptions due date as March 11, 2020 and the Reply Exceptions due date as March 18, 2020.  On March 2, 2020, I&amp;E filed a Petition for Extension of Time to File Exceptions and Reply Exceptions</w:t>
      </w:r>
      <w:r>
        <w:rPr>
          <w:rFonts w:ascii="Times New Roman" w:hAnsi="Times New Roman" w:cs="Times New Roman"/>
          <w:color w:val="000000"/>
          <w:szCs w:val="26"/>
        </w:rPr>
        <w:t xml:space="preserve"> (Petition)</w:t>
      </w:r>
      <w:r w:rsidRPr="007600A8">
        <w:rPr>
          <w:rFonts w:ascii="Times New Roman" w:hAnsi="Times New Roman" w:cs="Times New Roman"/>
          <w:color w:val="000000"/>
          <w:szCs w:val="26"/>
        </w:rPr>
        <w:t xml:space="preserve">.  By Secretarial Letter dated March 6, 2020, the Commission granted I&amp;E’s </w:t>
      </w:r>
      <w:r>
        <w:rPr>
          <w:rFonts w:ascii="Times New Roman" w:hAnsi="Times New Roman" w:cs="Times New Roman"/>
          <w:color w:val="000000"/>
          <w:szCs w:val="26"/>
        </w:rPr>
        <w:t>P</w:t>
      </w:r>
      <w:r w:rsidRPr="007600A8">
        <w:rPr>
          <w:rFonts w:ascii="Times New Roman" w:hAnsi="Times New Roman" w:cs="Times New Roman"/>
          <w:color w:val="000000"/>
          <w:szCs w:val="26"/>
        </w:rPr>
        <w:t>etition and extended the due date</w:t>
      </w:r>
      <w:r>
        <w:rPr>
          <w:rFonts w:ascii="Times New Roman" w:hAnsi="Times New Roman" w:cs="Times New Roman"/>
          <w:color w:val="000000"/>
          <w:szCs w:val="26"/>
        </w:rPr>
        <w:t>s</w:t>
      </w:r>
      <w:r w:rsidRPr="007600A8">
        <w:rPr>
          <w:rFonts w:ascii="Times New Roman" w:hAnsi="Times New Roman" w:cs="Times New Roman"/>
          <w:color w:val="000000"/>
          <w:szCs w:val="26"/>
        </w:rPr>
        <w:t xml:space="preserve"> </w:t>
      </w:r>
      <w:r>
        <w:rPr>
          <w:rFonts w:ascii="Times New Roman" w:hAnsi="Times New Roman" w:cs="Times New Roman"/>
          <w:color w:val="000000"/>
          <w:szCs w:val="26"/>
        </w:rPr>
        <w:t xml:space="preserve">for filing </w:t>
      </w:r>
      <w:r w:rsidRPr="007600A8">
        <w:rPr>
          <w:rFonts w:ascii="Times New Roman" w:hAnsi="Times New Roman" w:cs="Times New Roman"/>
          <w:color w:val="000000"/>
          <w:szCs w:val="26"/>
        </w:rPr>
        <w:t xml:space="preserve">Exceptions to March 13, 2020 and Reply Exceptions to March 23, 2020.  </w:t>
      </w:r>
    </w:p>
  </w:footnote>
  <w:footnote w:id="5">
    <w:p w14:paraId="26B3C3BB" w14:textId="5D6CDE02" w:rsidR="00926AD4" w:rsidRPr="0067382A" w:rsidRDefault="00926AD4" w:rsidP="0067382A">
      <w:pPr>
        <w:widowControl/>
        <w:ind w:firstLine="720"/>
        <w:rPr>
          <w:szCs w:val="26"/>
        </w:rPr>
      </w:pPr>
      <w:r>
        <w:rPr>
          <w:rStyle w:val="FootnoteReference"/>
          <w:szCs w:val="26"/>
        </w:rPr>
        <w:footnoteRef/>
      </w:r>
      <w:r>
        <w:rPr>
          <w:szCs w:val="26"/>
        </w:rPr>
        <w:t xml:space="preserve"> </w:t>
      </w:r>
      <w:r>
        <w:rPr>
          <w:szCs w:val="26"/>
        </w:rPr>
        <w:tab/>
        <w:t xml:space="preserve">Among other things, Section 1308(d) of the Code requires the Commission to render a final decision granting or denying, in whole or in part, the general rate increase requested by a public utility, within a general time frame not to exceed seven months from the proposed effective date of the utility’s proposed tariff supplement.  </w:t>
      </w:r>
      <w:r>
        <w:rPr>
          <w:i/>
          <w:szCs w:val="26"/>
        </w:rPr>
        <w:t xml:space="preserve">See </w:t>
      </w:r>
      <w:r>
        <w:rPr>
          <w:szCs w:val="26"/>
        </w:rPr>
        <w:t xml:space="preserve">66 Pa. C.S. § 1308(d); </w:t>
      </w:r>
      <w:r>
        <w:rPr>
          <w:i/>
          <w:szCs w:val="26"/>
        </w:rPr>
        <w:t>see also</w:t>
      </w:r>
      <w:r>
        <w:rPr>
          <w:szCs w:val="26"/>
        </w:rPr>
        <w:t xml:space="preserve"> 52 Pa. Code § 53.31 (requiring a tariff proposing rate increase to be effective upon sixty days’ advance notice).  Unless the utility voluntarily extends the suspension period, the Commission’s non-action within this timeframe means, by operation of law, the utility’s proposed general rate increase will go into effect, as proposed, at the end of such period.  </w:t>
      </w:r>
      <w:r>
        <w:rPr>
          <w:i/>
          <w:szCs w:val="26"/>
        </w:rPr>
        <w:t>See</w:t>
      </w:r>
      <w:r>
        <w:rPr>
          <w:szCs w:val="26"/>
        </w:rPr>
        <w:t xml:space="preserve"> 66 Pa. C.S. § 1308(d).</w:t>
      </w:r>
    </w:p>
  </w:footnote>
  <w:footnote w:id="6">
    <w:p w14:paraId="1DBD83B2" w14:textId="0EA47081" w:rsidR="00926AD4" w:rsidRPr="00FC4B01" w:rsidRDefault="00926AD4" w:rsidP="00FC4B01">
      <w:pPr>
        <w:keepLines/>
        <w:widowControl/>
        <w:ind w:firstLine="720"/>
        <w:rPr>
          <w:rFonts w:eastAsiaTheme="minorHAnsi"/>
          <w:szCs w:val="26"/>
        </w:rPr>
      </w:pPr>
      <w:r>
        <w:rPr>
          <w:rStyle w:val="FootnoteReference"/>
        </w:rPr>
        <w:footnoteRef/>
      </w:r>
      <w:r>
        <w:t xml:space="preserve"> </w:t>
      </w:r>
      <w:r>
        <w:tab/>
      </w:r>
      <w:r w:rsidRPr="00536A0A">
        <w:rPr>
          <w:rFonts w:eastAsiaTheme="minorHAnsi"/>
          <w:szCs w:val="26"/>
        </w:rPr>
        <w:t xml:space="preserve">The OCA’s </w:t>
      </w:r>
      <w:r>
        <w:rPr>
          <w:rFonts w:eastAsiaTheme="minorHAnsi"/>
          <w:szCs w:val="26"/>
        </w:rPr>
        <w:t>Exceptions excepted to the ALJs’ recommendations related to</w:t>
      </w:r>
      <w:r w:rsidRPr="00536A0A">
        <w:rPr>
          <w:rFonts w:eastAsiaTheme="minorHAnsi"/>
          <w:szCs w:val="26"/>
        </w:rPr>
        <w:t xml:space="preserve"> plant</w:t>
      </w:r>
      <w:r>
        <w:rPr>
          <w:rFonts w:eastAsiaTheme="minorHAnsi"/>
          <w:szCs w:val="26"/>
        </w:rPr>
        <w:t>-</w:t>
      </w:r>
      <w:r w:rsidRPr="00536A0A">
        <w:rPr>
          <w:rFonts w:eastAsiaTheme="minorHAnsi"/>
          <w:szCs w:val="26"/>
        </w:rPr>
        <w:t>in</w:t>
      </w:r>
      <w:r>
        <w:rPr>
          <w:rFonts w:eastAsiaTheme="minorHAnsi"/>
          <w:szCs w:val="26"/>
        </w:rPr>
        <w:t>-</w:t>
      </w:r>
      <w:r w:rsidRPr="00536A0A">
        <w:rPr>
          <w:rFonts w:eastAsiaTheme="minorHAnsi"/>
          <w:szCs w:val="26"/>
        </w:rPr>
        <w:t xml:space="preserve">service </w:t>
      </w:r>
      <w:r>
        <w:rPr>
          <w:rFonts w:eastAsiaTheme="minorHAnsi"/>
          <w:szCs w:val="26"/>
        </w:rPr>
        <w:t xml:space="preserve">and related adjustments to accumulated depreciation and depreciation expense.  R.D. at 7-12; 45-46.  The OCA’s proposed adjustments </w:t>
      </w:r>
      <w:r w:rsidRPr="00536A0A">
        <w:rPr>
          <w:rFonts w:eastAsiaTheme="minorHAnsi"/>
          <w:szCs w:val="26"/>
        </w:rPr>
        <w:t xml:space="preserve">are discussed </w:t>
      </w:r>
      <w:r>
        <w:rPr>
          <w:rFonts w:eastAsiaTheme="minorHAnsi"/>
          <w:szCs w:val="26"/>
        </w:rPr>
        <w:t xml:space="preserve">further </w:t>
      </w:r>
      <w:r w:rsidRPr="00536A0A">
        <w:rPr>
          <w:rFonts w:eastAsiaTheme="minorHAnsi"/>
          <w:szCs w:val="26"/>
        </w:rPr>
        <w:t>below</w:t>
      </w:r>
      <w:r>
        <w:rPr>
          <w:rFonts w:eastAsiaTheme="minorHAnsi"/>
          <w:szCs w:val="26"/>
        </w:rPr>
        <w:t xml:space="preserve"> in this Order</w:t>
      </w:r>
      <w:r w:rsidRPr="00536A0A">
        <w:rPr>
          <w:rFonts w:eastAsiaTheme="minorHAnsi"/>
          <w:szCs w:val="26"/>
        </w:rPr>
        <w:t xml:space="preserve"> </w:t>
      </w:r>
      <w:r>
        <w:rPr>
          <w:rFonts w:eastAsiaTheme="minorHAnsi"/>
          <w:szCs w:val="26"/>
        </w:rPr>
        <w:t xml:space="preserve">under review of the OCA Exception Nos. 1 and 2. </w:t>
      </w:r>
    </w:p>
  </w:footnote>
  <w:footnote w:id="7">
    <w:p w14:paraId="0A72023C" w14:textId="77777777" w:rsidR="00926AD4" w:rsidRPr="0032039B" w:rsidRDefault="00926AD4" w:rsidP="0032039B">
      <w:pPr>
        <w:pStyle w:val="FootnoteText"/>
        <w:ind w:firstLine="720"/>
        <w:rPr>
          <w:rFonts w:ascii="Times New Roman" w:hAnsi="Times New Roman" w:cs="Times New Roman"/>
        </w:rPr>
      </w:pPr>
      <w:r w:rsidRPr="0032039B">
        <w:rPr>
          <w:rStyle w:val="FootnoteReference"/>
          <w:rFonts w:ascii="Times New Roman" w:hAnsi="Times New Roman" w:cs="Times New Roman"/>
        </w:rPr>
        <w:footnoteRef/>
      </w:r>
      <w:r w:rsidRPr="0032039B">
        <w:rPr>
          <w:rFonts w:ascii="Times New Roman" w:hAnsi="Times New Roman" w:cs="Times New Roman"/>
        </w:rPr>
        <w:t xml:space="preserve"> </w:t>
      </w:r>
      <w:r w:rsidRPr="0032039B">
        <w:rPr>
          <w:rFonts w:ascii="Times New Roman" w:hAnsi="Times New Roman" w:cs="Times New Roman"/>
        </w:rPr>
        <w:tab/>
        <w:t xml:space="preserve">In Exceptions, no Party raised directly or by implication any issue related to </w:t>
      </w:r>
      <w:r>
        <w:rPr>
          <w:rFonts w:ascii="Times New Roman" w:hAnsi="Times New Roman" w:cs="Times New Roman"/>
        </w:rPr>
        <w:t xml:space="preserve">the </w:t>
      </w:r>
      <w:r w:rsidRPr="0032039B">
        <w:rPr>
          <w:rFonts w:ascii="Times New Roman" w:hAnsi="Times New Roman" w:cs="Times New Roman"/>
        </w:rPr>
        <w:t>Forfeited Discounts Revenue, as addressed in the ALJs’ R.D.</w:t>
      </w:r>
    </w:p>
  </w:footnote>
  <w:footnote w:id="8">
    <w:p w14:paraId="055663F6" w14:textId="1F9246BB" w:rsidR="00926AD4" w:rsidRPr="004475CA" w:rsidRDefault="00926AD4" w:rsidP="004475CA">
      <w:pPr>
        <w:ind w:firstLine="720"/>
        <w:rPr>
          <w:szCs w:val="26"/>
        </w:rPr>
      </w:pPr>
      <w:r>
        <w:rPr>
          <w:rStyle w:val="FootnoteReference"/>
        </w:rPr>
        <w:footnoteRef/>
      </w:r>
      <w:r>
        <w:t xml:space="preserve"> </w:t>
      </w:r>
      <w:r>
        <w:tab/>
      </w:r>
      <w:r w:rsidRPr="007A0D23">
        <w:rPr>
          <w:szCs w:val="26"/>
        </w:rPr>
        <w:t xml:space="preserve">Most of the issues pertaining to </w:t>
      </w:r>
      <w:r>
        <w:rPr>
          <w:szCs w:val="26"/>
        </w:rPr>
        <w:t xml:space="preserve">the </w:t>
      </w:r>
      <w:r w:rsidRPr="007A0D23">
        <w:rPr>
          <w:szCs w:val="26"/>
        </w:rPr>
        <w:t>O&amp;M expenses</w:t>
      </w:r>
      <w:r>
        <w:rPr>
          <w:szCs w:val="26"/>
        </w:rPr>
        <w:t>, as addressed in the R.D., are raised directly in the Parties’ Exceptions.  S</w:t>
      </w:r>
      <w:r w:rsidRPr="007A0D23">
        <w:rPr>
          <w:szCs w:val="26"/>
        </w:rPr>
        <w:t>pecifically</w:t>
      </w:r>
      <w:r>
        <w:rPr>
          <w:szCs w:val="26"/>
        </w:rPr>
        <w:t>,</w:t>
      </w:r>
      <w:r w:rsidRPr="007A0D23">
        <w:rPr>
          <w:szCs w:val="26"/>
        </w:rPr>
        <w:t xml:space="preserve"> the </w:t>
      </w:r>
      <w:r>
        <w:rPr>
          <w:szCs w:val="26"/>
        </w:rPr>
        <w:t xml:space="preserve">following issues are the subject of Exceptions: (1) </w:t>
      </w:r>
      <w:r w:rsidRPr="007A0D23">
        <w:rPr>
          <w:szCs w:val="26"/>
        </w:rPr>
        <w:t xml:space="preserve">the Company’s proposed </w:t>
      </w:r>
      <w:r>
        <w:rPr>
          <w:szCs w:val="26"/>
        </w:rPr>
        <w:t>three percent</w:t>
      </w:r>
      <w:r w:rsidRPr="007A0D23">
        <w:rPr>
          <w:szCs w:val="26"/>
        </w:rPr>
        <w:t xml:space="preserve"> inflation adjustment to FPFTY expenses, R.D. at 19-23</w:t>
      </w:r>
      <w:r>
        <w:rPr>
          <w:szCs w:val="26"/>
        </w:rPr>
        <w:t xml:space="preserve">; and (2) </w:t>
      </w:r>
      <w:r w:rsidRPr="007A0D23">
        <w:rPr>
          <w:szCs w:val="26"/>
        </w:rPr>
        <w:t>individual adjustments to expense claims, including expense claims in Accounts 593, 580, 588, 590, 908-9013, 921, 932 and rate case expense, R.D. at 23-39, 40-45.</w:t>
      </w:r>
      <w:r>
        <w:rPr>
          <w:szCs w:val="26"/>
        </w:rPr>
        <w:t xml:space="preserve">  T</w:t>
      </w:r>
      <w:r w:rsidRPr="007A0D23">
        <w:rPr>
          <w:szCs w:val="26"/>
        </w:rPr>
        <w:t>he</w:t>
      </w:r>
      <w:r>
        <w:rPr>
          <w:szCs w:val="26"/>
        </w:rPr>
        <w:t xml:space="preserve">se issues </w:t>
      </w:r>
      <w:r w:rsidRPr="007A0D23">
        <w:rPr>
          <w:szCs w:val="26"/>
        </w:rPr>
        <w:t xml:space="preserve">are discussed below under the Review of Exceptions and Replies section of this Opinion and Order.  </w:t>
      </w:r>
      <w:r>
        <w:rPr>
          <w:szCs w:val="26"/>
        </w:rPr>
        <w:t xml:space="preserve">Additionally, the issue of depreciation expense adjustments for plant-in-service in the FPFTY is implicated in OCA Exception No.1 and expressly addressed in OCA Exception No. 2. </w:t>
      </w:r>
    </w:p>
  </w:footnote>
  <w:footnote w:id="9">
    <w:p w14:paraId="5E458D50" w14:textId="5DB612EA" w:rsidR="00926AD4" w:rsidRPr="00FA7C9D" w:rsidRDefault="00926AD4" w:rsidP="00FA7C9D">
      <w:pPr>
        <w:pStyle w:val="FootnoteText"/>
        <w:ind w:firstLine="720"/>
        <w:rPr>
          <w:rFonts w:ascii="Times New Roman" w:hAnsi="Times New Roman" w:cs="Times New Roman"/>
        </w:rPr>
      </w:pPr>
      <w:r w:rsidRPr="00FA7C9D">
        <w:rPr>
          <w:rStyle w:val="FootnoteReference"/>
          <w:rFonts w:ascii="Times New Roman" w:hAnsi="Times New Roman" w:cs="Times New Roman"/>
        </w:rPr>
        <w:footnoteRef/>
      </w:r>
      <w:r w:rsidRPr="00FA7C9D">
        <w:rPr>
          <w:rFonts w:ascii="Times New Roman" w:hAnsi="Times New Roman" w:cs="Times New Roman"/>
        </w:rPr>
        <w:tab/>
        <w:t>The disputed issue</w:t>
      </w:r>
      <w:r>
        <w:rPr>
          <w:rFonts w:ascii="Times New Roman" w:hAnsi="Times New Roman" w:cs="Times New Roman"/>
        </w:rPr>
        <w:t xml:space="preserve"> in Exceptions</w:t>
      </w:r>
      <w:r w:rsidRPr="00FA7C9D">
        <w:rPr>
          <w:rFonts w:ascii="Times New Roman" w:hAnsi="Times New Roman" w:cs="Times New Roman"/>
        </w:rPr>
        <w:t xml:space="preserve"> pertaining to rate of return is the cost of common equity, specifically the sub-issues of:</w:t>
      </w:r>
      <w:r>
        <w:rPr>
          <w:rFonts w:ascii="Times New Roman" w:hAnsi="Times New Roman" w:cs="Times New Roman"/>
        </w:rPr>
        <w:t xml:space="preserve"> (1) </w:t>
      </w:r>
      <w:r w:rsidRPr="00FA7C9D">
        <w:rPr>
          <w:rFonts w:ascii="Times New Roman" w:hAnsi="Times New Roman" w:cs="Times New Roman"/>
        </w:rPr>
        <w:t xml:space="preserve">the primary methodology for determining the cost of common equity; </w:t>
      </w:r>
      <w:r>
        <w:rPr>
          <w:rFonts w:ascii="Times New Roman" w:hAnsi="Times New Roman" w:cs="Times New Roman"/>
        </w:rPr>
        <w:t xml:space="preserve">(2) </w:t>
      </w:r>
      <w:r w:rsidRPr="00FA7C9D">
        <w:rPr>
          <w:rFonts w:ascii="Times New Roman" w:hAnsi="Times New Roman" w:cs="Times New Roman"/>
        </w:rPr>
        <w:t xml:space="preserve">whether the return on equity should be adjusted to reflect size risk and management effectiveness; and </w:t>
      </w:r>
      <w:r>
        <w:rPr>
          <w:rFonts w:ascii="Times New Roman" w:hAnsi="Times New Roman" w:cs="Times New Roman"/>
        </w:rPr>
        <w:t xml:space="preserve">(3) </w:t>
      </w:r>
      <w:r w:rsidRPr="00FA7C9D">
        <w:rPr>
          <w:rFonts w:ascii="Times New Roman" w:hAnsi="Times New Roman" w:cs="Times New Roman"/>
        </w:rPr>
        <w:t xml:space="preserve">if the answer is yes to either of the former adjustments, what the proper adjustment amount should be.  These issues are discussed </w:t>
      </w:r>
      <w:r>
        <w:rPr>
          <w:rFonts w:ascii="Times New Roman" w:hAnsi="Times New Roman" w:cs="Times New Roman"/>
        </w:rPr>
        <w:t xml:space="preserve">further below in this Order </w:t>
      </w:r>
      <w:r w:rsidRPr="00FA7C9D">
        <w:rPr>
          <w:rFonts w:ascii="Times New Roman" w:hAnsi="Times New Roman" w:cs="Times New Roman"/>
        </w:rPr>
        <w:t>under review of Wellsboro Exception Nos. 7 and 8, I&amp;E Exception Nos. 6 and 7, and OCA Exception Nos. 7 and 8.</w:t>
      </w:r>
    </w:p>
  </w:footnote>
  <w:footnote w:id="10">
    <w:p w14:paraId="2D4B11B4" w14:textId="77777777" w:rsidR="00926AD4" w:rsidRPr="002D10C5" w:rsidRDefault="00926AD4" w:rsidP="0032039B">
      <w:pPr>
        <w:pStyle w:val="FootnoteText"/>
        <w:ind w:firstLine="720"/>
        <w:rPr>
          <w:rFonts w:ascii="Times New Roman" w:hAnsi="Times New Roman" w:cs="Times New Roman"/>
        </w:rPr>
      </w:pPr>
      <w:r w:rsidRPr="002D10C5">
        <w:rPr>
          <w:rStyle w:val="FootnoteReference"/>
          <w:rFonts w:ascii="Times New Roman" w:hAnsi="Times New Roman" w:cs="Times New Roman"/>
        </w:rPr>
        <w:footnoteRef/>
      </w:r>
      <w:r w:rsidRPr="002D10C5">
        <w:rPr>
          <w:rFonts w:ascii="Times New Roman" w:hAnsi="Times New Roman" w:cs="Times New Roman"/>
        </w:rPr>
        <w:t xml:space="preserve">  </w:t>
      </w:r>
      <w:r>
        <w:rPr>
          <w:rFonts w:ascii="Times New Roman" w:hAnsi="Times New Roman" w:cs="Times New Roman"/>
        </w:rPr>
        <w:tab/>
        <w:t xml:space="preserve">In Exceptions, no Party </w:t>
      </w:r>
      <w:r w:rsidRPr="002D10C5">
        <w:rPr>
          <w:rFonts w:ascii="Times New Roman" w:hAnsi="Times New Roman" w:cs="Times New Roman"/>
        </w:rPr>
        <w:t>raised directly or by implication any issue related to Taxes</w:t>
      </w:r>
      <w:r>
        <w:rPr>
          <w:rFonts w:ascii="Times New Roman" w:hAnsi="Times New Roman" w:cs="Times New Roman"/>
        </w:rPr>
        <w:t xml:space="preserve"> as addressed in the ALJs’ R.D. </w:t>
      </w:r>
    </w:p>
  </w:footnote>
  <w:footnote w:id="11">
    <w:p w14:paraId="33F2DF7D" w14:textId="4E1E129C" w:rsidR="00926AD4" w:rsidRDefault="00926AD4" w:rsidP="00C02573">
      <w:pPr>
        <w:pStyle w:val="FootnoteText"/>
        <w:ind w:firstLine="720"/>
      </w:pPr>
      <w:r w:rsidRPr="0032039B">
        <w:rPr>
          <w:rStyle w:val="FootnoteReference"/>
          <w:rFonts w:ascii="Times New Roman" w:hAnsi="Times New Roman" w:cs="Times New Roman"/>
        </w:rPr>
        <w:footnoteRef/>
      </w:r>
      <w:r w:rsidRPr="0032039B">
        <w:rPr>
          <w:rFonts w:ascii="Times New Roman" w:hAnsi="Times New Roman" w:cs="Times New Roman"/>
        </w:rPr>
        <w:t xml:space="preserve"> </w:t>
      </w:r>
      <w:r w:rsidRPr="0032039B">
        <w:rPr>
          <w:rFonts w:ascii="Times New Roman" w:hAnsi="Times New Roman" w:cs="Times New Roman"/>
        </w:rPr>
        <w:tab/>
      </w:r>
      <w:r w:rsidRPr="00FA7C9D">
        <w:rPr>
          <w:rFonts w:ascii="Times New Roman" w:hAnsi="Times New Roman" w:cs="Times New Roman"/>
        </w:rPr>
        <w:t>The disputed issue</w:t>
      </w:r>
      <w:r>
        <w:rPr>
          <w:rFonts w:ascii="Times New Roman" w:hAnsi="Times New Roman" w:cs="Times New Roman"/>
        </w:rPr>
        <w:t>s in Exceptions</w:t>
      </w:r>
      <w:r w:rsidRPr="00FA7C9D">
        <w:rPr>
          <w:rFonts w:ascii="Times New Roman" w:hAnsi="Times New Roman" w:cs="Times New Roman"/>
        </w:rPr>
        <w:t xml:space="preserve"> pertaining to rate </w:t>
      </w:r>
      <w:r>
        <w:rPr>
          <w:rFonts w:ascii="Times New Roman" w:hAnsi="Times New Roman" w:cs="Times New Roman"/>
        </w:rPr>
        <w:t>structure involve the Allocated Class Cost of Service Study, Revenue Allocation and Rate Design.  R.D.</w:t>
      </w:r>
      <w:r w:rsidR="00841A40">
        <w:rPr>
          <w:rFonts w:ascii="Times New Roman" w:hAnsi="Times New Roman" w:cs="Times New Roman"/>
        </w:rPr>
        <w:t> </w:t>
      </w:r>
      <w:r>
        <w:rPr>
          <w:rFonts w:ascii="Times New Roman" w:hAnsi="Times New Roman" w:cs="Times New Roman"/>
        </w:rPr>
        <w:t>at 87</w:t>
      </w:r>
      <w:r>
        <w:rPr>
          <w:rFonts w:ascii="Times New Roman" w:hAnsi="Times New Roman" w:cs="Times New Roman"/>
        </w:rPr>
        <w:noBreakHyphen/>
        <w:t xml:space="preserve">125.  </w:t>
      </w:r>
      <w:r w:rsidRPr="00FA7C9D">
        <w:rPr>
          <w:rFonts w:ascii="Times New Roman" w:hAnsi="Times New Roman" w:cs="Times New Roman"/>
        </w:rPr>
        <w:t xml:space="preserve">These issues are discussed </w:t>
      </w:r>
      <w:r>
        <w:rPr>
          <w:rFonts w:ascii="Times New Roman" w:hAnsi="Times New Roman" w:cs="Times New Roman"/>
        </w:rPr>
        <w:t xml:space="preserve">further below in this Order </w:t>
      </w:r>
      <w:r w:rsidRPr="00FA7C9D">
        <w:rPr>
          <w:rFonts w:ascii="Times New Roman" w:hAnsi="Times New Roman" w:cs="Times New Roman"/>
        </w:rPr>
        <w:t>under review of Wellsboro Exception No</w:t>
      </w:r>
      <w:r>
        <w:rPr>
          <w:rFonts w:ascii="Times New Roman" w:hAnsi="Times New Roman" w:cs="Times New Roman"/>
        </w:rPr>
        <w:t>s. 9 and 10</w:t>
      </w:r>
      <w:r w:rsidRPr="00FA7C9D">
        <w:rPr>
          <w:rFonts w:ascii="Times New Roman" w:hAnsi="Times New Roman" w:cs="Times New Roman"/>
        </w:rPr>
        <w:t>, and OCA Exception No</w:t>
      </w:r>
      <w:r>
        <w:rPr>
          <w:rFonts w:ascii="Times New Roman" w:hAnsi="Times New Roman" w:cs="Times New Roman"/>
        </w:rPr>
        <w:t>s</w:t>
      </w:r>
      <w:r w:rsidRPr="00FA7C9D">
        <w:rPr>
          <w:rFonts w:ascii="Times New Roman" w:hAnsi="Times New Roman" w:cs="Times New Roman"/>
        </w:rPr>
        <w:t xml:space="preserve">. </w:t>
      </w:r>
      <w:r>
        <w:rPr>
          <w:rFonts w:ascii="Times New Roman" w:hAnsi="Times New Roman" w:cs="Times New Roman"/>
        </w:rPr>
        <w:t>9 and 10</w:t>
      </w:r>
      <w:r w:rsidRPr="00FA7C9D">
        <w:rPr>
          <w:rFonts w:ascii="Times New Roman" w:hAnsi="Times New Roman" w:cs="Times New Roman"/>
        </w:rPr>
        <w:t>.</w:t>
      </w:r>
    </w:p>
  </w:footnote>
  <w:footnote w:id="12">
    <w:p w14:paraId="077481A0" w14:textId="77777777" w:rsidR="00926AD4" w:rsidRPr="00EA7557" w:rsidRDefault="00926AD4" w:rsidP="00056BF8">
      <w:pPr>
        <w:pStyle w:val="FootnoteText"/>
        <w:ind w:firstLine="720"/>
        <w:rPr>
          <w:rFonts w:ascii="Times New Roman" w:hAnsi="Times New Roman" w:cs="Times New Roman"/>
        </w:rPr>
      </w:pPr>
      <w:r w:rsidRPr="00186DEF">
        <w:rPr>
          <w:rStyle w:val="FootnoteReference"/>
          <w:rFonts w:ascii="Times New Roman" w:hAnsi="Times New Roman" w:cs="Times New Roman"/>
          <w:color w:val="000000" w:themeColor="text1"/>
        </w:rPr>
        <w:footnoteRef/>
      </w:r>
      <w:r w:rsidRPr="00186DEF">
        <w:rPr>
          <w:rFonts w:ascii="Times New Roman" w:hAnsi="Times New Roman" w:cs="Times New Roman"/>
          <w:color w:val="000000" w:themeColor="text1"/>
        </w:rPr>
        <w:t xml:space="preserve"> </w:t>
      </w:r>
      <w:r w:rsidRPr="00186DEF">
        <w:rPr>
          <w:rFonts w:ascii="Times New Roman" w:hAnsi="Times New Roman" w:cs="Times New Roman"/>
          <w:color w:val="000000" w:themeColor="text1"/>
        </w:rPr>
        <w:tab/>
      </w:r>
      <w:r w:rsidRPr="00186DEF">
        <w:rPr>
          <w:rFonts w:ascii="Times New Roman" w:hAnsi="Times New Roman" w:cs="Times New Roman"/>
          <w:color w:val="000000" w:themeColor="text1"/>
          <w:szCs w:val="26"/>
        </w:rPr>
        <w:t xml:space="preserve">Citing </w:t>
      </w:r>
      <w:r w:rsidRPr="00186DEF">
        <w:rPr>
          <w:rFonts w:ascii="Times New Roman" w:hAnsi="Times New Roman" w:cs="Times New Roman"/>
          <w:i/>
          <w:color w:val="000000" w:themeColor="text1"/>
          <w:spacing w:val="-3"/>
        </w:rPr>
        <w:t>Joint Petition of Metropolitan Edison Company, Pennsylvania Electric Company, Pennsylvania Power Company and West Penn Power Company</w:t>
      </w:r>
      <w:r w:rsidRPr="00186DEF">
        <w:rPr>
          <w:rFonts w:ascii="Times New Roman" w:hAnsi="Times New Roman" w:cs="Times New Roman"/>
          <w:i/>
          <w:color w:val="000000" w:themeColor="text1"/>
          <w:spacing w:val="2"/>
        </w:rPr>
        <w:t xml:space="preserve"> for Approval of</w:t>
      </w:r>
      <w:r w:rsidRPr="00186DEF">
        <w:rPr>
          <w:rFonts w:ascii="Times New Roman" w:hAnsi="Times New Roman"/>
          <w:i/>
          <w:color w:val="000000" w:themeColor="text1"/>
          <w:spacing w:val="2"/>
        </w:rPr>
        <w:t xml:space="preserve"> their Default Service Programs</w:t>
      </w:r>
      <w:r w:rsidRPr="00EA75F1">
        <w:rPr>
          <w:rFonts w:ascii="Times New Roman" w:hAnsi="Times New Roman"/>
          <w:iCs/>
          <w:color w:val="000000" w:themeColor="text1"/>
          <w:spacing w:val="2"/>
        </w:rPr>
        <w:t>,</w:t>
      </w:r>
      <w:r w:rsidRPr="00186DEF">
        <w:rPr>
          <w:rFonts w:ascii="Times New Roman" w:hAnsi="Times New Roman"/>
          <w:i/>
          <w:color w:val="000000" w:themeColor="text1"/>
          <w:spacing w:val="2"/>
        </w:rPr>
        <w:t xml:space="preserve"> </w:t>
      </w:r>
      <w:r w:rsidRPr="00186DEF">
        <w:rPr>
          <w:rFonts w:ascii="Times New Roman" w:hAnsi="Times New Roman"/>
          <w:color w:val="000000" w:themeColor="text1"/>
          <w:spacing w:val="2"/>
        </w:rPr>
        <w:t xml:space="preserve">2014 Pa. PUC LEXIS 552, *85 (Pa. P.U.C. July 24, 2014); </w:t>
      </w:r>
      <w:r w:rsidRPr="00186DEF">
        <w:rPr>
          <w:rFonts w:ascii="Times New Roman" w:hAnsi="Times New Roman"/>
          <w:i/>
          <w:color w:val="000000" w:themeColor="text1"/>
          <w:spacing w:val="2"/>
        </w:rPr>
        <w:t>Bell Atlantic -- Pennsylvania, Inc. v</w:t>
      </w:r>
      <w:r w:rsidRPr="00841A40">
        <w:rPr>
          <w:rFonts w:ascii="Times New Roman" w:hAnsi="Times New Roman"/>
          <w:i/>
          <w:color w:val="000000" w:themeColor="text1"/>
          <w:spacing w:val="2"/>
        </w:rPr>
        <w:t>. Pa. PUC</w:t>
      </w:r>
      <w:r w:rsidRPr="00186DEF">
        <w:rPr>
          <w:rFonts w:ascii="Times New Roman" w:hAnsi="Times New Roman"/>
          <w:color w:val="000000" w:themeColor="text1"/>
          <w:spacing w:val="2"/>
        </w:rPr>
        <w:t xml:space="preserve">, 672 A.2d 352, 354 (Pa. Cmwlth. 1995).  </w:t>
      </w:r>
    </w:p>
  </w:footnote>
  <w:footnote w:id="13">
    <w:p w14:paraId="1B9D87FB" w14:textId="77777777" w:rsidR="00926AD4" w:rsidRPr="0039166D" w:rsidRDefault="00926AD4" w:rsidP="0039166D">
      <w:pPr>
        <w:pStyle w:val="FootnoteText"/>
        <w:spacing w:after="120"/>
        <w:ind w:firstLine="720"/>
        <w:rPr>
          <w:rFonts w:ascii="Times New Roman" w:hAnsi="Times New Roman" w:cs="Times New Roman"/>
        </w:rPr>
      </w:pPr>
      <w:r w:rsidRPr="0039166D">
        <w:rPr>
          <w:rStyle w:val="FootnoteReference"/>
          <w:rFonts w:ascii="Times New Roman" w:hAnsi="Times New Roman" w:cs="Times New Roman"/>
        </w:rPr>
        <w:footnoteRef/>
      </w:r>
      <w:r w:rsidRPr="0039166D">
        <w:rPr>
          <w:rFonts w:ascii="Times New Roman" w:hAnsi="Times New Roman" w:cs="Times New Roman"/>
        </w:rPr>
        <w:t xml:space="preserve"> </w:t>
      </w:r>
      <w:r w:rsidRPr="0039166D">
        <w:rPr>
          <w:rFonts w:ascii="Times New Roman" w:hAnsi="Times New Roman" w:cs="Times New Roman"/>
        </w:rPr>
        <w:tab/>
        <w:t>POL stands for Private Outdoor Lighting</w:t>
      </w:r>
      <w:r>
        <w:rPr>
          <w:rFonts w:ascii="Times New Roman" w:hAnsi="Times New Roman" w:cs="Times New Roman"/>
        </w:rPr>
        <w:t>.</w:t>
      </w:r>
    </w:p>
  </w:footnote>
  <w:footnote w:id="14">
    <w:p w14:paraId="05766C26" w14:textId="77777777" w:rsidR="00926AD4" w:rsidRPr="0039166D" w:rsidRDefault="00926AD4" w:rsidP="0039166D">
      <w:pPr>
        <w:pStyle w:val="FootnoteText"/>
        <w:ind w:firstLine="720"/>
        <w:rPr>
          <w:rFonts w:ascii="Times New Roman" w:hAnsi="Times New Roman" w:cs="Times New Roman"/>
        </w:rPr>
      </w:pPr>
      <w:r w:rsidRPr="0039166D">
        <w:rPr>
          <w:rStyle w:val="FootnoteReference"/>
          <w:rFonts w:ascii="Times New Roman" w:hAnsi="Times New Roman" w:cs="Times New Roman"/>
        </w:rPr>
        <w:footnoteRef/>
      </w:r>
      <w:r w:rsidRPr="0039166D">
        <w:rPr>
          <w:rFonts w:ascii="Times New Roman" w:hAnsi="Times New Roman" w:cs="Times New Roman"/>
        </w:rPr>
        <w:t xml:space="preserve"> </w:t>
      </w:r>
      <w:r w:rsidRPr="0039166D">
        <w:rPr>
          <w:rFonts w:ascii="Times New Roman" w:hAnsi="Times New Roman" w:cs="Times New Roman"/>
        </w:rPr>
        <w:tab/>
        <w:t>MSL stands for Municipal Street Lighting.</w:t>
      </w:r>
    </w:p>
  </w:footnote>
  <w:footnote w:id="15">
    <w:p w14:paraId="2B1F979E" w14:textId="77777777" w:rsidR="00926AD4" w:rsidRPr="0039166D" w:rsidRDefault="00926AD4" w:rsidP="0039166D">
      <w:pPr>
        <w:pStyle w:val="FootnoteText"/>
        <w:ind w:firstLine="720"/>
        <w:rPr>
          <w:rFonts w:ascii="Times New Roman" w:hAnsi="Times New Roman" w:cs="Times New Roman"/>
        </w:rPr>
      </w:pPr>
      <w:r w:rsidRPr="0039166D">
        <w:rPr>
          <w:rStyle w:val="FootnoteReference"/>
          <w:rFonts w:ascii="Times New Roman" w:hAnsi="Times New Roman" w:cs="Times New Roman"/>
        </w:rPr>
        <w:footnoteRef/>
      </w:r>
      <w:r w:rsidRPr="0039166D">
        <w:rPr>
          <w:rFonts w:ascii="Times New Roman" w:hAnsi="Times New Roman" w:cs="Times New Roman"/>
        </w:rPr>
        <w:t xml:space="preserve"> </w:t>
      </w:r>
      <w:r w:rsidRPr="0039166D">
        <w:rPr>
          <w:rFonts w:ascii="Times New Roman" w:hAnsi="Times New Roman" w:cs="Times New Roman"/>
        </w:rPr>
        <w:tab/>
        <w:t>RS stands for Residential Services while IS stands for Industrial Services.</w:t>
      </w:r>
    </w:p>
  </w:footnote>
  <w:footnote w:id="16">
    <w:p w14:paraId="76084982" w14:textId="77777777" w:rsidR="00926AD4" w:rsidRPr="002F3B4E" w:rsidRDefault="00926AD4" w:rsidP="002F3B4E">
      <w:pPr>
        <w:pStyle w:val="FootnoteText"/>
        <w:ind w:firstLine="720"/>
        <w:rPr>
          <w:rFonts w:ascii="Times New Roman" w:hAnsi="Times New Roman" w:cs="Times New Roman"/>
          <w:szCs w:val="26"/>
        </w:rPr>
      </w:pPr>
      <w:r w:rsidRPr="002F3B4E">
        <w:rPr>
          <w:rStyle w:val="FootnoteReference"/>
          <w:rFonts w:ascii="Times New Roman" w:hAnsi="Times New Roman" w:cs="Times New Roman"/>
          <w:szCs w:val="26"/>
        </w:rPr>
        <w:footnoteRef/>
      </w:r>
      <w:r w:rsidRPr="002F3B4E">
        <w:rPr>
          <w:rFonts w:ascii="Times New Roman" w:hAnsi="Times New Roman" w:cs="Times New Roman"/>
          <w:szCs w:val="26"/>
        </w:rPr>
        <w:t xml:space="preserve"> </w:t>
      </w:r>
      <w:r w:rsidRPr="002F3B4E">
        <w:rPr>
          <w:rFonts w:ascii="Times New Roman" w:hAnsi="Times New Roman" w:cs="Times New Roman"/>
          <w:szCs w:val="26"/>
        </w:rPr>
        <w:tab/>
        <w:t>UGI Rate Schedule GS-4 includes General Service (5 kW minimum).</w:t>
      </w:r>
    </w:p>
  </w:footnote>
  <w:footnote w:id="17">
    <w:p w14:paraId="36F8FA83" w14:textId="6A24142E" w:rsidR="00926AD4" w:rsidRPr="00182666" w:rsidRDefault="00926AD4" w:rsidP="00182666">
      <w:pPr>
        <w:pStyle w:val="FootnoteText"/>
        <w:tabs>
          <w:tab w:val="left" w:pos="720"/>
        </w:tabs>
        <w:rPr>
          <w:rFonts w:ascii="Times New Roman" w:hAnsi="Times New Roman" w:cs="Times New Roman"/>
          <w:bCs/>
          <w:szCs w:val="26"/>
        </w:rPr>
      </w:pPr>
      <w:r>
        <w:tab/>
      </w:r>
      <w:r w:rsidRPr="00182666">
        <w:rPr>
          <w:rStyle w:val="FootnoteReference"/>
          <w:rFonts w:ascii="Times New Roman" w:hAnsi="Times New Roman" w:cs="Times New Roman"/>
          <w:szCs w:val="26"/>
        </w:rPr>
        <w:footnoteRef/>
      </w:r>
      <w:r w:rsidRPr="00182666">
        <w:rPr>
          <w:rFonts w:ascii="Times New Roman" w:hAnsi="Times New Roman" w:cs="Times New Roman"/>
          <w:szCs w:val="26"/>
        </w:rPr>
        <w:t xml:space="preserve"> </w:t>
      </w:r>
      <w:r w:rsidRPr="00182666">
        <w:rPr>
          <w:rFonts w:ascii="Times New Roman" w:hAnsi="Times New Roman" w:cs="Times New Roman"/>
          <w:szCs w:val="26"/>
        </w:rPr>
        <w:tab/>
      </w:r>
      <w:r w:rsidRPr="00182666">
        <w:rPr>
          <w:rFonts w:ascii="Times New Roman" w:hAnsi="Times New Roman" w:cs="Times New Roman"/>
          <w:bCs/>
          <w:szCs w:val="26"/>
        </w:rPr>
        <w:t>52 Pa. Code § 69.3301.  The 14 factors considered by I&amp;E witness Cline and Wellsboro witness Gorman are now found at 52 Pa. Code § 69.3302.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8C047" w14:textId="77777777" w:rsidR="00926AD4" w:rsidRDefault="00926AD4" w:rsidP="00913BD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E872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7724C7"/>
    <w:multiLevelType w:val="hybridMultilevel"/>
    <w:tmpl w:val="350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B31957"/>
    <w:multiLevelType w:val="hybridMultilevel"/>
    <w:tmpl w:val="ACEA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075ED"/>
    <w:multiLevelType w:val="hybridMultilevel"/>
    <w:tmpl w:val="CCD48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C4A06"/>
    <w:multiLevelType w:val="hybridMultilevel"/>
    <w:tmpl w:val="28627A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0B72D4"/>
    <w:multiLevelType w:val="hybridMultilevel"/>
    <w:tmpl w:val="3300F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7AB21CF"/>
    <w:multiLevelType w:val="hybridMultilevel"/>
    <w:tmpl w:val="80D00CB2"/>
    <w:lvl w:ilvl="0" w:tplc="85AEF348">
      <w:start w:val="1"/>
      <w:numFmt w:val="lowerLetter"/>
      <w:pStyle w:val="Heading4"/>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B554DB1"/>
    <w:multiLevelType w:val="hybridMultilevel"/>
    <w:tmpl w:val="8DC663B2"/>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0650857"/>
    <w:multiLevelType w:val="hybridMultilevel"/>
    <w:tmpl w:val="66C869F8"/>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BD5415"/>
    <w:multiLevelType w:val="hybridMultilevel"/>
    <w:tmpl w:val="F55E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2" w15:restartNumberingAfterBreak="0">
    <w:nsid w:val="5D597063"/>
    <w:multiLevelType w:val="hybridMultilevel"/>
    <w:tmpl w:val="1076D83E"/>
    <w:lvl w:ilvl="0" w:tplc="65DAEA30">
      <w:start w:val="1"/>
      <w:numFmt w:val="decimal"/>
      <w:pStyle w:val="Heading5"/>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F4B1148"/>
    <w:multiLevelType w:val="hybridMultilevel"/>
    <w:tmpl w:val="6CF0C758"/>
    <w:lvl w:ilvl="0" w:tplc="16DEBE98">
      <w:start w:val="1"/>
      <w:numFmt w:val="bullet"/>
      <w:lvlText w:val=""/>
      <w:lvlJc w:val="left"/>
      <w:pPr>
        <w:ind w:left="1080" w:hanging="360"/>
      </w:pPr>
      <w:rPr>
        <w:rFonts w:ascii="Symbol" w:hAnsi="Symbol" w:hint="default"/>
      </w:rPr>
    </w:lvl>
    <w:lvl w:ilvl="1" w:tplc="7876C632">
      <w:start w:val="1"/>
      <w:numFmt w:val="bullet"/>
      <w:lvlText w:val="o"/>
      <w:lvlJc w:val="left"/>
      <w:pPr>
        <w:ind w:left="1800" w:hanging="360"/>
      </w:pPr>
      <w:rPr>
        <w:rFonts w:ascii="Courier New" w:hAnsi="Courier New" w:cs="Courier New" w:hint="default"/>
      </w:rPr>
    </w:lvl>
    <w:lvl w:ilvl="2" w:tplc="E6ACF96C">
      <w:start w:val="1"/>
      <w:numFmt w:val="bullet"/>
      <w:lvlText w:val=""/>
      <w:lvlJc w:val="left"/>
      <w:pPr>
        <w:ind w:left="2520" w:hanging="360"/>
      </w:pPr>
      <w:rPr>
        <w:rFonts w:ascii="Wingdings" w:hAnsi="Wingdings" w:hint="default"/>
      </w:rPr>
    </w:lvl>
    <w:lvl w:ilvl="3" w:tplc="519672B8">
      <w:start w:val="1"/>
      <w:numFmt w:val="bullet"/>
      <w:lvlText w:val=""/>
      <w:lvlJc w:val="left"/>
      <w:pPr>
        <w:ind w:left="3240" w:hanging="360"/>
      </w:pPr>
      <w:rPr>
        <w:rFonts w:ascii="Symbol" w:hAnsi="Symbol" w:hint="default"/>
      </w:rPr>
    </w:lvl>
    <w:lvl w:ilvl="4" w:tplc="87C4DA96">
      <w:start w:val="1"/>
      <w:numFmt w:val="bullet"/>
      <w:lvlText w:val="o"/>
      <w:lvlJc w:val="left"/>
      <w:pPr>
        <w:ind w:left="3960" w:hanging="360"/>
      </w:pPr>
      <w:rPr>
        <w:rFonts w:ascii="Courier New" w:hAnsi="Courier New" w:cs="Courier New" w:hint="default"/>
      </w:rPr>
    </w:lvl>
    <w:lvl w:ilvl="5" w:tplc="45FC407E">
      <w:start w:val="1"/>
      <w:numFmt w:val="bullet"/>
      <w:lvlText w:val=""/>
      <w:lvlJc w:val="left"/>
      <w:pPr>
        <w:ind w:left="4680" w:hanging="360"/>
      </w:pPr>
      <w:rPr>
        <w:rFonts w:ascii="Wingdings" w:hAnsi="Wingdings" w:hint="default"/>
      </w:rPr>
    </w:lvl>
    <w:lvl w:ilvl="6" w:tplc="B12EB7E8">
      <w:start w:val="1"/>
      <w:numFmt w:val="bullet"/>
      <w:lvlText w:val=""/>
      <w:lvlJc w:val="left"/>
      <w:pPr>
        <w:ind w:left="5400" w:hanging="360"/>
      </w:pPr>
      <w:rPr>
        <w:rFonts w:ascii="Symbol" w:hAnsi="Symbol" w:hint="default"/>
      </w:rPr>
    </w:lvl>
    <w:lvl w:ilvl="7" w:tplc="EEDC2872">
      <w:start w:val="1"/>
      <w:numFmt w:val="bullet"/>
      <w:lvlText w:val="o"/>
      <w:lvlJc w:val="left"/>
      <w:pPr>
        <w:ind w:left="6120" w:hanging="360"/>
      </w:pPr>
      <w:rPr>
        <w:rFonts w:ascii="Courier New" w:hAnsi="Courier New" w:cs="Courier New" w:hint="default"/>
      </w:rPr>
    </w:lvl>
    <w:lvl w:ilvl="8" w:tplc="FA7632F8">
      <w:start w:val="1"/>
      <w:numFmt w:val="bullet"/>
      <w:lvlText w:val=""/>
      <w:lvlJc w:val="left"/>
      <w:pPr>
        <w:ind w:left="6840" w:hanging="360"/>
      </w:pPr>
      <w:rPr>
        <w:rFonts w:ascii="Wingdings" w:hAnsi="Wingdings" w:hint="default"/>
      </w:rPr>
    </w:lvl>
  </w:abstractNum>
  <w:abstractNum w:abstractNumId="14" w15:restartNumberingAfterBreak="0">
    <w:nsid w:val="607416F3"/>
    <w:multiLevelType w:val="hybridMultilevel"/>
    <w:tmpl w:val="1E46D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75123"/>
    <w:multiLevelType w:val="hybridMultilevel"/>
    <w:tmpl w:val="31D8749C"/>
    <w:lvl w:ilvl="0" w:tplc="BC00C6EE">
      <w:start w:val="1"/>
      <w:numFmt w:val="upperLetter"/>
      <w:pStyle w:val="Heading2"/>
      <w:lvlText w:val="%1."/>
      <w:lvlJc w:val="left"/>
      <w:pPr>
        <w:ind w:left="720" w:hanging="360"/>
      </w:pPr>
      <w:rPr>
        <w:rFonts w:hint="default"/>
        <w:b/>
      </w:rPr>
    </w:lvl>
    <w:lvl w:ilvl="1" w:tplc="EEACF49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012D61"/>
    <w:multiLevelType w:val="hybridMultilevel"/>
    <w:tmpl w:val="7D56A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D152C1"/>
    <w:multiLevelType w:val="hybridMultilevel"/>
    <w:tmpl w:val="065A2560"/>
    <w:lvl w:ilvl="0" w:tplc="10CEF51E">
      <w:start w:val="1"/>
      <w:numFmt w:val="lowerLetter"/>
      <w:lvlText w:val="%1."/>
      <w:lvlJc w:val="left"/>
      <w:pPr>
        <w:ind w:left="1397" w:hanging="360"/>
      </w:pPr>
      <w:rPr>
        <w:rFonts w:hint="default"/>
      </w:rPr>
    </w:lvl>
    <w:lvl w:ilvl="1" w:tplc="04090019" w:tentative="1">
      <w:start w:val="1"/>
      <w:numFmt w:val="lowerLetter"/>
      <w:lvlText w:val="%2."/>
      <w:lvlJc w:val="left"/>
      <w:pPr>
        <w:ind w:left="2117" w:hanging="360"/>
      </w:pPr>
    </w:lvl>
    <w:lvl w:ilvl="2" w:tplc="0409001B" w:tentative="1">
      <w:start w:val="1"/>
      <w:numFmt w:val="lowerRoman"/>
      <w:lvlText w:val="%3."/>
      <w:lvlJc w:val="right"/>
      <w:pPr>
        <w:ind w:left="2837" w:hanging="180"/>
      </w:pPr>
    </w:lvl>
    <w:lvl w:ilvl="3" w:tplc="0409000F" w:tentative="1">
      <w:start w:val="1"/>
      <w:numFmt w:val="decimal"/>
      <w:lvlText w:val="%4."/>
      <w:lvlJc w:val="left"/>
      <w:pPr>
        <w:ind w:left="3557" w:hanging="360"/>
      </w:pPr>
    </w:lvl>
    <w:lvl w:ilvl="4" w:tplc="04090019" w:tentative="1">
      <w:start w:val="1"/>
      <w:numFmt w:val="lowerLetter"/>
      <w:lvlText w:val="%5."/>
      <w:lvlJc w:val="left"/>
      <w:pPr>
        <w:ind w:left="4277" w:hanging="360"/>
      </w:pPr>
    </w:lvl>
    <w:lvl w:ilvl="5" w:tplc="0409001B" w:tentative="1">
      <w:start w:val="1"/>
      <w:numFmt w:val="lowerRoman"/>
      <w:lvlText w:val="%6."/>
      <w:lvlJc w:val="right"/>
      <w:pPr>
        <w:ind w:left="4997" w:hanging="180"/>
      </w:pPr>
    </w:lvl>
    <w:lvl w:ilvl="6" w:tplc="0409000F" w:tentative="1">
      <w:start w:val="1"/>
      <w:numFmt w:val="decimal"/>
      <w:lvlText w:val="%7."/>
      <w:lvlJc w:val="left"/>
      <w:pPr>
        <w:ind w:left="5717" w:hanging="360"/>
      </w:pPr>
    </w:lvl>
    <w:lvl w:ilvl="7" w:tplc="04090019" w:tentative="1">
      <w:start w:val="1"/>
      <w:numFmt w:val="lowerLetter"/>
      <w:lvlText w:val="%8."/>
      <w:lvlJc w:val="left"/>
      <w:pPr>
        <w:ind w:left="6437" w:hanging="360"/>
      </w:pPr>
    </w:lvl>
    <w:lvl w:ilvl="8" w:tplc="0409001B" w:tentative="1">
      <w:start w:val="1"/>
      <w:numFmt w:val="lowerRoman"/>
      <w:lvlText w:val="%9."/>
      <w:lvlJc w:val="right"/>
      <w:pPr>
        <w:ind w:left="7157" w:hanging="180"/>
      </w:pPr>
    </w:lvl>
  </w:abstractNum>
  <w:num w:numId="1">
    <w:abstractNumId w:val="11"/>
  </w:num>
  <w:num w:numId="2">
    <w:abstractNumId w:val="15"/>
  </w:num>
  <w:num w:numId="3">
    <w:abstractNumId w:val="8"/>
  </w:num>
  <w:num w:numId="4">
    <w:abstractNumId w:val="11"/>
    <w:lvlOverride w:ilvl="0">
      <w:startOverride w:val="1"/>
    </w:lvlOverride>
  </w:num>
  <w:num w:numId="5">
    <w:abstractNumId w:val="7"/>
  </w:num>
  <w:num w:numId="6">
    <w:abstractNumId w:val="12"/>
  </w:num>
  <w:num w:numId="7">
    <w:abstractNumId w:val="0"/>
  </w:num>
  <w:num w:numId="8">
    <w:abstractNumId w:val="15"/>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 w:numId="20">
    <w:abstractNumId w:val="7"/>
    <w:lvlOverride w:ilvl="0">
      <w:startOverride w:val="1"/>
    </w:lvlOverride>
  </w:num>
  <w:num w:numId="21">
    <w:abstractNumId w:val="7"/>
    <w:lvlOverride w:ilvl="0">
      <w:startOverride w:val="1"/>
    </w:lvlOverride>
  </w:num>
  <w:num w:numId="22">
    <w:abstractNumId w:val="7"/>
    <w:lvlOverride w:ilvl="0">
      <w:startOverride w:val="1"/>
    </w:lvlOverride>
  </w:num>
  <w:num w:numId="23">
    <w:abstractNumId w:val="7"/>
    <w:lvlOverride w:ilvl="0">
      <w:startOverride w:val="1"/>
    </w:lvlOverride>
  </w:num>
  <w:num w:numId="24">
    <w:abstractNumId w:val="7"/>
    <w:lvlOverride w:ilvl="0">
      <w:startOverride w:val="1"/>
    </w:lvlOverride>
  </w:num>
  <w:num w:numId="25">
    <w:abstractNumId w:val="7"/>
    <w:lvlOverride w:ilvl="0">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8"/>
    <w:lvlOverride w:ilvl="0">
      <w:startOverride w:val="1"/>
    </w:lvlOverride>
  </w:num>
  <w:num w:numId="31">
    <w:abstractNumId w:val="4"/>
  </w:num>
  <w:num w:numId="32">
    <w:abstractNumId w:val="13"/>
  </w:num>
  <w:num w:numId="33">
    <w:abstractNumId w:val="3"/>
  </w:num>
  <w:num w:numId="34">
    <w:abstractNumId w:val="14"/>
  </w:num>
  <w:num w:numId="35">
    <w:abstractNumId w:val="2"/>
  </w:num>
  <w:num w:numId="36">
    <w:abstractNumId w:val="9"/>
  </w:num>
  <w:num w:numId="37">
    <w:abstractNumId w:val="10"/>
  </w:num>
  <w:num w:numId="38">
    <w:abstractNumId w:val="16"/>
  </w:num>
  <w:num w:numId="39">
    <w:abstractNumId w:val="5"/>
  </w:num>
  <w:num w:numId="40">
    <w:abstractNumId w:val="6"/>
  </w:num>
  <w:num w:numId="41">
    <w:abstractNumId w:val="1"/>
  </w:num>
  <w:num w:numId="42">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C5B"/>
    <w:rsid w:val="0000115D"/>
    <w:rsid w:val="000017DC"/>
    <w:rsid w:val="00002743"/>
    <w:rsid w:val="00002EFB"/>
    <w:rsid w:val="0000318C"/>
    <w:rsid w:val="000035BE"/>
    <w:rsid w:val="00003601"/>
    <w:rsid w:val="00003D73"/>
    <w:rsid w:val="00003E24"/>
    <w:rsid w:val="00004464"/>
    <w:rsid w:val="00004506"/>
    <w:rsid w:val="00004839"/>
    <w:rsid w:val="00004CA8"/>
    <w:rsid w:val="00005AA5"/>
    <w:rsid w:val="00005B75"/>
    <w:rsid w:val="00005CA1"/>
    <w:rsid w:val="00006803"/>
    <w:rsid w:val="00006DEF"/>
    <w:rsid w:val="00007658"/>
    <w:rsid w:val="0000790B"/>
    <w:rsid w:val="00007A89"/>
    <w:rsid w:val="00007B66"/>
    <w:rsid w:val="00010D2D"/>
    <w:rsid w:val="00011A32"/>
    <w:rsid w:val="00011E88"/>
    <w:rsid w:val="00012089"/>
    <w:rsid w:val="000127FD"/>
    <w:rsid w:val="00012A09"/>
    <w:rsid w:val="00012C65"/>
    <w:rsid w:val="00013007"/>
    <w:rsid w:val="00014378"/>
    <w:rsid w:val="00014995"/>
    <w:rsid w:val="00014C5D"/>
    <w:rsid w:val="00016268"/>
    <w:rsid w:val="0001707A"/>
    <w:rsid w:val="00017265"/>
    <w:rsid w:val="0001727E"/>
    <w:rsid w:val="000174D3"/>
    <w:rsid w:val="000176E8"/>
    <w:rsid w:val="00017999"/>
    <w:rsid w:val="00020498"/>
    <w:rsid w:val="00020816"/>
    <w:rsid w:val="00020BC7"/>
    <w:rsid w:val="00021FB8"/>
    <w:rsid w:val="0002247F"/>
    <w:rsid w:val="000226F6"/>
    <w:rsid w:val="00022750"/>
    <w:rsid w:val="00022E84"/>
    <w:rsid w:val="00022E87"/>
    <w:rsid w:val="00023321"/>
    <w:rsid w:val="000236EA"/>
    <w:rsid w:val="0002376B"/>
    <w:rsid w:val="00023818"/>
    <w:rsid w:val="00023B06"/>
    <w:rsid w:val="00023F99"/>
    <w:rsid w:val="00024078"/>
    <w:rsid w:val="00024EE0"/>
    <w:rsid w:val="00025ABB"/>
    <w:rsid w:val="00025EB3"/>
    <w:rsid w:val="00026DAE"/>
    <w:rsid w:val="00026E4D"/>
    <w:rsid w:val="00026F0F"/>
    <w:rsid w:val="00027D64"/>
    <w:rsid w:val="00030456"/>
    <w:rsid w:val="00030D5E"/>
    <w:rsid w:val="00031565"/>
    <w:rsid w:val="000321F4"/>
    <w:rsid w:val="000327F7"/>
    <w:rsid w:val="00032A3C"/>
    <w:rsid w:val="00033600"/>
    <w:rsid w:val="00033F07"/>
    <w:rsid w:val="00034BA3"/>
    <w:rsid w:val="00034BA4"/>
    <w:rsid w:val="0003535F"/>
    <w:rsid w:val="00035B62"/>
    <w:rsid w:val="0003629B"/>
    <w:rsid w:val="000363FD"/>
    <w:rsid w:val="0003694E"/>
    <w:rsid w:val="00037CFD"/>
    <w:rsid w:val="000402E0"/>
    <w:rsid w:val="00040583"/>
    <w:rsid w:val="0004082D"/>
    <w:rsid w:val="00040B2E"/>
    <w:rsid w:val="00040B8C"/>
    <w:rsid w:val="00041953"/>
    <w:rsid w:val="00041C17"/>
    <w:rsid w:val="00042939"/>
    <w:rsid w:val="00042B8B"/>
    <w:rsid w:val="00042BF8"/>
    <w:rsid w:val="00042F20"/>
    <w:rsid w:val="0004321E"/>
    <w:rsid w:val="0004351F"/>
    <w:rsid w:val="00043568"/>
    <w:rsid w:val="00043EEF"/>
    <w:rsid w:val="00047127"/>
    <w:rsid w:val="00047806"/>
    <w:rsid w:val="00047A36"/>
    <w:rsid w:val="00047AF6"/>
    <w:rsid w:val="00050094"/>
    <w:rsid w:val="00050157"/>
    <w:rsid w:val="00051035"/>
    <w:rsid w:val="00051312"/>
    <w:rsid w:val="00051952"/>
    <w:rsid w:val="00051BC0"/>
    <w:rsid w:val="00051F2F"/>
    <w:rsid w:val="00052422"/>
    <w:rsid w:val="00052D5F"/>
    <w:rsid w:val="00053A24"/>
    <w:rsid w:val="00054CA3"/>
    <w:rsid w:val="000550C2"/>
    <w:rsid w:val="000554E8"/>
    <w:rsid w:val="00055ABA"/>
    <w:rsid w:val="00055FE6"/>
    <w:rsid w:val="0005609E"/>
    <w:rsid w:val="00056470"/>
    <w:rsid w:val="000564FA"/>
    <w:rsid w:val="000565CE"/>
    <w:rsid w:val="00056BF8"/>
    <w:rsid w:val="00056CC1"/>
    <w:rsid w:val="0005712F"/>
    <w:rsid w:val="0006003E"/>
    <w:rsid w:val="00060289"/>
    <w:rsid w:val="00061A4E"/>
    <w:rsid w:val="000633B9"/>
    <w:rsid w:val="000644BE"/>
    <w:rsid w:val="00064C39"/>
    <w:rsid w:val="00065ADE"/>
    <w:rsid w:val="00065E75"/>
    <w:rsid w:val="00065EA5"/>
    <w:rsid w:val="00067242"/>
    <w:rsid w:val="000672AB"/>
    <w:rsid w:val="00067549"/>
    <w:rsid w:val="00067C95"/>
    <w:rsid w:val="00070CAE"/>
    <w:rsid w:val="00070DEF"/>
    <w:rsid w:val="00072227"/>
    <w:rsid w:val="00072E00"/>
    <w:rsid w:val="00072EBE"/>
    <w:rsid w:val="00073426"/>
    <w:rsid w:val="00073742"/>
    <w:rsid w:val="00073B9E"/>
    <w:rsid w:val="00074289"/>
    <w:rsid w:val="000744E0"/>
    <w:rsid w:val="00074A4F"/>
    <w:rsid w:val="00074D14"/>
    <w:rsid w:val="00074FCD"/>
    <w:rsid w:val="00075281"/>
    <w:rsid w:val="000754A8"/>
    <w:rsid w:val="00076693"/>
    <w:rsid w:val="000769D6"/>
    <w:rsid w:val="00076B93"/>
    <w:rsid w:val="0007708E"/>
    <w:rsid w:val="0007725D"/>
    <w:rsid w:val="00080063"/>
    <w:rsid w:val="00080151"/>
    <w:rsid w:val="00080FB6"/>
    <w:rsid w:val="00081CA9"/>
    <w:rsid w:val="00081E6D"/>
    <w:rsid w:val="0008208E"/>
    <w:rsid w:val="00082208"/>
    <w:rsid w:val="0008356A"/>
    <w:rsid w:val="00083DFE"/>
    <w:rsid w:val="00083F1D"/>
    <w:rsid w:val="0008461E"/>
    <w:rsid w:val="00084E79"/>
    <w:rsid w:val="000855B1"/>
    <w:rsid w:val="000857C5"/>
    <w:rsid w:val="00085EF8"/>
    <w:rsid w:val="0008618F"/>
    <w:rsid w:val="0008644C"/>
    <w:rsid w:val="00086A36"/>
    <w:rsid w:val="00087185"/>
    <w:rsid w:val="000878A6"/>
    <w:rsid w:val="000900C1"/>
    <w:rsid w:val="0009032A"/>
    <w:rsid w:val="000904AA"/>
    <w:rsid w:val="0009088A"/>
    <w:rsid w:val="00090E99"/>
    <w:rsid w:val="00091C38"/>
    <w:rsid w:val="00092163"/>
    <w:rsid w:val="000924A7"/>
    <w:rsid w:val="0009257B"/>
    <w:rsid w:val="00092741"/>
    <w:rsid w:val="000927D3"/>
    <w:rsid w:val="00092DD3"/>
    <w:rsid w:val="00093BC1"/>
    <w:rsid w:val="00093F3A"/>
    <w:rsid w:val="000943CD"/>
    <w:rsid w:val="00094C8D"/>
    <w:rsid w:val="00094EE2"/>
    <w:rsid w:val="00095079"/>
    <w:rsid w:val="00095A25"/>
    <w:rsid w:val="00095CE4"/>
    <w:rsid w:val="00095D81"/>
    <w:rsid w:val="00096B9A"/>
    <w:rsid w:val="000A0129"/>
    <w:rsid w:val="000A0626"/>
    <w:rsid w:val="000A1731"/>
    <w:rsid w:val="000A1F6A"/>
    <w:rsid w:val="000A237B"/>
    <w:rsid w:val="000A2948"/>
    <w:rsid w:val="000A2958"/>
    <w:rsid w:val="000A2F17"/>
    <w:rsid w:val="000A2F98"/>
    <w:rsid w:val="000A4149"/>
    <w:rsid w:val="000A48FB"/>
    <w:rsid w:val="000A4A8B"/>
    <w:rsid w:val="000A4ED7"/>
    <w:rsid w:val="000A51B9"/>
    <w:rsid w:val="000A5302"/>
    <w:rsid w:val="000A5458"/>
    <w:rsid w:val="000A5756"/>
    <w:rsid w:val="000A6260"/>
    <w:rsid w:val="000A6C0B"/>
    <w:rsid w:val="000A6CA0"/>
    <w:rsid w:val="000A6F64"/>
    <w:rsid w:val="000A7723"/>
    <w:rsid w:val="000A7AB2"/>
    <w:rsid w:val="000B0008"/>
    <w:rsid w:val="000B0588"/>
    <w:rsid w:val="000B0BF1"/>
    <w:rsid w:val="000B14CB"/>
    <w:rsid w:val="000B1AD6"/>
    <w:rsid w:val="000B25CD"/>
    <w:rsid w:val="000B2B73"/>
    <w:rsid w:val="000B3B89"/>
    <w:rsid w:val="000B4679"/>
    <w:rsid w:val="000B47BD"/>
    <w:rsid w:val="000B504C"/>
    <w:rsid w:val="000B518D"/>
    <w:rsid w:val="000B5D51"/>
    <w:rsid w:val="000B5FC6"/>
    <w:rsid w:val="000B6143"/>
    <w:rsid w:val="000B66C6"/>
    <w:rsid w:val="000B703B"/>
    <w:rsid w:val="000B7868"/>
    <w:rsid w:val="000B7F87"/>
    <w:rsid w:val="000C02F6"/>
    <w:rsid w:val="000C0832"/>
    <w:rsid w:val="000C0AD7"/>
    <w:rsid w:val="000C1305"/>
    <w:rsid w:val="000C163B"/>
    <w:rsid w:val="000C20C4"/>
    <w:rsid w:val="000C26A3"/>
    <w:rsid w:val="000C2C61"/>
    <w:rsid w:val="000C315D"/>
    <w:rsid w:val="000C432D"/>
    <w:rsid w:val="000C439F"/>
    <w:rsid w:val="000C5E51"/>
    <w:rsid w:val="000C7CC1"/>
    <w:rsid w:val="000D08A5"/>
    <w:rsid w:val="000D0D31"/>
    <w:rsid w:val="000D0E6F"/>
    <w:rsid w:val="000D1A49"/>
    <w:rsid w:val="000D2315"/>
    <w:rsid w:val="000D245C"/>
    <w:rsid w:val="000D2B4C"/>
    <w:rsid w:val="000D2E60"/>
    <w:rsid w:val="000D3A25"/>
    <w:rsid w:val="000D3D8F"/>
    <w:rsid w:val="000D41E2"/>
    <w:rsid w:val="000D4C89"/>
    <w:rsid w:val="000D5A91"/>
    <w:rsid w:val="000D5C75"/>
    <w:rsid w:val="000D6D00"/>
    <w:rsid w:val="000D7F79"/>
    <w:rsid w:val="000E078E"/>
    <w:rsid w:val="000E0EE2"/>
    <w:rsid w:val="000E102F"/>
    <w:rsid w:val="000E12B1"/>
    <w:rsid w:val="000E12DE"/>
    <w:rsid w:val="000E15A7"/>
    <w:rsid w:val="000E163B"/>
    <w:rsid w:val="000E16EB"/>
    <w:rsid w:val="000E22BC"/>
    <w:rsid w:val="000E240A"/>
    <w:rsid w:val="000E2440"/>
    <w:rsid w:val="000E2791"/>
    <w:rsid w:val="000E2863"/>
    <w:rsid w:val="000E2F40"/>
    <w:rsid w:val="000E34E0"/>
    <w:rsid w:val="000E4093"/>
    <w:rsid w:val="000E4444"/>
    <w:rsid w:val="000E45F8"/>
    <w:rsid w:val="000E7153"/>
    <w:rsid w:val="000F03C8"/>
    <w:rsid w:val="000F138D"/>
    <w:rsid w:val="000F160A"/>
    <w:rsid w:val="000F1611"/>
    <w:rsid w:val="000F394B"/>
    <w:rsid w:val="000F3DA6"/>
    <w:rsid w:val="000F437B"/>
    <w:rsid w:val="000F559C"/>
    <w:rsid w:val="000F5AAC"/>
    <w:rsid w:val="000F6106"/>
    <w:rsid w:val="000F6BFF"/>
    <w:rsid w:val="000F6E9B"/>
    <w:rsid w:val="000F7739"/>
    <w:rsid w:val="000F79A1"/>
    <w:rsid w:val="001006F2"/>
    <w:rsid w:val="001007F3"/>
    <w:rsid w:val="00101838"/>
    <w:rsid w:val="00101EA5"/>
    <w:rsid w:val="00102234"/>
    <w:rsid w:val="001029C2"/>
    <w:rsid w:val="00102B9C"/>
    <w:rsid w:val="00102CB2"/>
    <w:rsid w:val="001033A1"/>
    <w:rsid w:val="00103924"/>
    <w:rsid w:val="0010402D"/>
    <w:rsid w:val="001041EB"/>
    <w:rsid w:val="0010477B"/>
    <w:rsid w:val="00104F79"/>
    <w:rsid w:val="0010672E"/>
    <w:rsid w:val="00110068"/>
    <w:rsid w:val="001111CB"/>
    <w:rsid w:val="001116D7"/>
    <w:rsid w:val="00111CDD"/>
    <w:rsid w:val="00111E59"/>
    <w:rsid w:val="001122A8"/>
    <w:rsid w:val="001127F1"/>
    <w:rsid w:val="0011327D"/>
    <w:rsid w:val="00113778"/>
    <w:rsid w:val="001138B6"/>
    <w:rsid w:val="00113A8D"/>
    <w:rsid w:val="0011430C"/>
    <w:rsid w:val="00114B40"/>
    <w:rsid w:val="00114C36"/>
    <w:rsid w:val="001155B8"/>
    <w:rsid w:val="001160BA"/>
    <w:rsid w:val="00116367"/>
    <w:rsid w:val="00116380"/>
    <w:rsid w:val="00116509"/>
    <w:rsid w:val="00116A80"/>
    <w:rsid w:val="00117247"/>
    <w:rsid w:val="00117827"/>
    <w:rsid w:val="00117D30"/>
    <w:rsid w:val="00120221"/>
    <w:rsid w:val="00120821"/>
    <w:rsid w:val="00121BC0"/>
    <w:rsid w:val="00121F82"/>
    <w:rsid w:val="00122EC9"/>
    <w:rsid w:val="00123142"/>
    <w:rsid w:val="00123BF1"/>
    <w:rsid w:val="00123D7D"/>
    <w:rsid w:val="0012416C"/>
    <w:rsid w:val="001245AA"/>
    <w:rsid w:val="00124830"/>
    <w:rsid w:val="00124A98"/>
    <w:rsid w:val="00124CFC"/>
    <w:rsid w:val="001251DD"/>
    <w:rsid w:val="001300F3"/>
    <w:rsid w:val="00130299"/>
    <w:rsid w:val="001312AD"/>
    <w:rsid w:val="0013139E"/>
    <w:rsid w:val="0013199A"/>
    <w:rsid w:val="00131A87"/>
    <w:rsid w:val="00133608"/>
    <w:rsid w:val="00133C11"/>
    <w:rsid w:val="00133E9C"/>
    <w:rsid w:val="0013427F"/>
    <w:rsid w:val="00135262"/>
    <w:rsid w:val="00136001"/>
    <w:rsid w:val="0013631B"/>
    <w:rsid w:val="00136462"/>
    <w:rsid w:val="00137032"/>
    <w:rsid w:val="001373CC"/>
    <w:rsid w:val="0013759B"/>
    <w:rsid w:val="00137B2B"/>
    <w:rsid w:val="0014028B"/>
    <w:rsid w:val="00140401"/>
    <w:rsid w:val="001409C3"/>
    <w:rsid w:val="00140B3E"/>
    <w:rsid w:val="0014158F"/>
    <w:rsid w:val="001419D8"/>
    <w:rsid w:val="00141BDE"/>
    <w:rsid w:val="0014297F"/>
    <w:rsid w:val="00143091"/>
    <w:rsid w:val="001430BF"/>
    <w:rsid w:val="00143A01"/>
    <w:rsid w:val="0014449D"/>
    <w:rsid w:val="00145130"/>
    <w:rsid w:val="0014544A"/>
    <w:rsid w:val="00145763"/>
    <w:rsid w:val="00145B8C"/>
    <w:rsid w:val="001460A5"/>
    <w:rsid w:val="001467F2"/>
    <w:rsid w:val="00146A97"/>
    <w:rsid w:val="00146DE5"/>
    <w:rsid w:val="00146E3C"/>
    <w:rsid w:val="00146F7D"/>
    <w:rsid w:val="00147516"/>
    <w:rsid w:val="001476E5"/>
    <w:rsid w:val="0014799B"/>
    <w:rsid w:val="00150107"/>
    <w:rsid w:val="0015017C"/>
    <w:rsid w:val="001510A0"/>
    <w:rsid w:val="00151E97"/>
    <w:rsid w:val="00152031"/>
    <w:rsid w:val="00152391"/>
    <w:rsid w:val="00152B90"/>
    <w:rsid w:val="00153B3B"/>
    <w:rsid w:val="001540A3"/>
    <w:rsid w:val="001540BD"/>
    <w:rsid w:val="001540C5"/>
    <w:rsid w:val="001555FE"/>
    <w:rsid w:val="0015563D"/>
    <w:rsid w:val="00155950"/>
    <w:rsid w:val="00155D8B"/>
    <w:rsid w:val="00156E65"/>
    <w:rsid w:val="0015711D"/>
    <w:rsid w:val="001574AB"/>
    <w:rsid w:val="00157E0C"/>
    <w:rsid w:val="00160F16"/>
    <w:rsid w:val="001613CA"/>
    <w:rsid w:val="00161554"/>
    <w:rsid w:val="00161648"/>
    <w:rsid w:val="00161F76"/>
    <w:rsid w:val="00162E70"/>
    <w:rsid w:val="00162EC0"/>
    <w:rsid w:val="001633F9"/>
    <w:rsid w:val="001636E2"/>
    <w:rsid w:val="001639E1"/>
    <w:rsid w:val="00164C09"/>
    <w:rsid w:val="00165204"/>
    <w:rsid w:val="001658B8"/>
    <w:rsid w:val="00165948"/>
    <w:rsid w:val="0016712C"/>
    <w:rsid w:val="001675FB"/>
    <w:rsid w:val="001678BA"/>
    <w:rsid w:val="00167B97"/>
    <w:rsid w:val="00167D4D"/>
    <w:rsid w:val="00167E02"/>
    <w:rsid w:val="00170523"/>
    <w:rsid w:val="00170CA6"/>
    <w:rsid w:val="0017181B"/>
    <w:rsid w:val="00171ED7"/>
    <w:rsid w:val="001725BD"/>
    <w:rsid w:val="001726E3"/>
    <w:rsid w:val="00172E7F"/>
    <w:rsid w:val="00172F07"/>
    <w:rsid w:val="001734E9"/>
    <w:rsid w:val="00173894"/>
    <w:rsid w:val="00173CD2"/>
    <w:rsid w:val="00174626"/>
    <w:rsid w:val="00174D41"/>
    <w:rsid w:val="00174E28"/>
    <w:rsid w:val="00175044"/>
    <w:rsid w:val="00175AEB"/>
    <w:rsid w:val="00176D94"/>
    <w:rsid w:val="00176FAA"/>
    <w:rsid w:val="001807B2"/>
    <w:rsid w:val="001807DD"/>
    <w:rsid w:val="00180F5C"/>
    <w:rsid w:val="00181171"/>
    <w:rsid w:val="0018153E"/>
    <w:rsid w:val="0018195F"/>
    <w:rsid w:val="001819F9"/>
    <w:rsid w:val="00181B79"/>
    <w:rsid w:val="001825A8"/>
    <w:rsid w:val="0018261F"/>
    <w:rsid w:val="00182666"/>
    <w:rsid w:val="00182E68"/>
    <w:rsid w:val="00182F67"/>
    <w:rsid w:val="0018388D"/>
    <w:rsid w:val="00183F47"/>
    <w:rsid w:val="00183F5C"/>
    <w:rsid w:val="00184C45"/>
    <w:rsid w:val="00185052"/>
    <w:rsid w:val="001850FF"/>
    <w:rsid w:val="00185907"/>
    <w:rsid w:val="00185CE0"/>
    <w:rsid w:val="00186603"/>
    <w:rsid w:val="00186780"/>
    <w:rsid w:val="00186DEF"/>
    <w:rsid w:val="0018704B"/>
    <w:rsid w:val="0018783B"/>
    <w:rsid w:val="00187A30"/>
    <w:rsid w:val="001913ED"/>
    <w:rsid w:val="00191537"/>
    <w:rsid w:val="001916BE"/>
    <w:rsid w:val="00191E24"/>
    <w:rsid w:val="00191F66"/>
    <w:rsid w:val="001926F5"/>
    <w:rsid w:val="00192837"/>
    <w:rsid w:val="0019298C"/>
    <w:rsid w:val="0019343D"/>
    <w:rsid w:val="00193632"/>
    <w:rsid w:val="001938BE"/>
    <w:rsid w:val="00194394"/>
    <w:rsid w:val="00195A55"/>
    <w:rsid w:val="00195C60"/>
    <w:rsid w:val="00195FE4"/>
    <w:rsid w:val="00196213"/>
    <w:rsid w:val="001965AB"/>
    <w:rsid w:val="0019665E"/>
    <w:rsid w:val="001968AA"/>
    <w:rsid w:val="0019743F"/>
    <w:rsid w:val="00197F27"/>
    <w:rsid w:val="001A0386"/>
    <w:rsid w:val="001A03D8"/>
    <w:rsid w:val="001A0D6F"/>
    <w:rsid w:val="001A1361"/>
    <w:rsid w:val="001A21C5"/>
    <w:rsid w:val="001A25F4"/>
    <w:rsid w:val="001A2AF7"/>
    <w:rsid w:val="001A326D"/>
    <w:rsid w:val="001A3553"/>
    <w:rsid w:val="001A39DA"/>
    <w:rsid w:val="001A46E1"/>
    <w:rsid w:val="001A49FC"/>
    <w:rsid w:val="001A4A12"/>
    <w:rsid w:val="001A4D72"/>
    <w:rsid w:val="001A4E32"/>
    <w:rsid w:val="001A5109"/>
    <w:rsid w:val="001A5195"/>
    <w:rsid w:val="001A5EB1"/>
    <w:rsid w:val="001A6129"/>
    <w:rsid w:val="001A6960"/>
    <w:rsid w:val="001A6FA5"/>
    <w:rsid w:val="001A7B64"/>
    <w:rsid w:val="001B0245"/>
    <w:rsid w:val="001B04DB"/>
    <w:rsid w:val="001B086B"/>
    <w:rsid w:val="001B09B5"/>
    <w:rsid w:val="001B0D2D"/>
    <w:rsid w:val="001B0D4A"/>
    <w:rsid w:val="001B1001"/>
    <w:rsid w:val="001B1A3D"/>
    <w:rsid w:val="001B1AEA"/>
    <w:rsid w:val="001B1EA9"/>
    <w:rsid w:val="001B2874"/>
    <w:rsid w:val="001B3167"/>
    <w:rsid w:val="001B3CD8"/>
    <w:rsid w:val="001B4025"/>
    <w:rsid w:val="001B5A09"/>
    <w:rsid w:val="001B5A43"/>
    <w:rsid w:val="001B5B88"/>
    <w:rsid w:val="001B6838"/>
    <w:rsid w:val="001B699F"/>
    <w:rsid w:val="001B6A65"/>
    <w:rsid w:val="001B711A"/>
    <w:rsid w:val="001B722C"/>
    <w:rsid w:val="001B7356"/>
    <w:rsid w:val="001B747A"/>
    <w:rsid w:val="001C01C3"/>
    <w:rsid w:val="001C030A"/>
    <w:rsid w:val="001C0530"/>
    <w:rsid w:val="001C07E0"/>
    <w:rsid w:val="001C0B40"/>
    <w:rsid w:val="001C1316"/>
    <w:rsid w:val="001C18D3"/>
    <w:rsid w:val="001C1914"/>
    <w:rsid w:val="001C21ED"/>
    <w:rsid w:val="001C260E"/>
    <w:rsid w:val="001C2C26"/>
    <w:rsid w:val="001C356A"/>
    <w:rsid w:val="001C3B7C"/>
    <w:rsid w:val="001C3BE8"/>
    <w:rsid w:val="001C3D36"/>
    <w:rsid w:val="001C45AA"/>
    <w:rsid w:val="001C45D6"/>
    <w:rsid w:val="001C4786"/>
    <w:rsid w:val="001C49CF"/>
    <w:rsid w:val="001C5CC9"/>
    <w:rsid w:val="001C6259"/>
    <w:rsid w:val="001C6E15"/>
    <w:rsid w:val="001C799F"/>
    <w:rsid w:val="001C79AC"/>
    <w:rsid w:val="001D00F2"/>
    <w:rsid w:val="001D09E4"/>
    <w:rsid w:val="001D0B40"/>
    <w:rsid w:val="001D0E9B"/>
    <w:rsid w:val="001D134E"/>
    <w:rsid w:val="001D1F29"/>
    <w:rsid w:val="001D22B0"/>
    <w:rsid w:val="001D2370"/>
    <w:rsid w:val="001D269C"/>
    <w:rsid w:val="001D2793"/>
    <w:rsid w:val="001D2EBD"/>
    <w:rsid w:val="001D3507"/>
    <w:rsid w:val="001D3887"/>
    <w:rsid w:val="001D3B05"/>
    <w:rsid w:val="001D4B58"/>
    <w:rsid w:val="001D5580"/>
    <w:rsid w:val="001D590A"/>
    <w:rsid w:val="001D6B3E"/>
    <w:rsid w:val="001D6BE3"/>
    <w:rsid w:val="001E01DE"/>
    <w:rsid w:val="001E02FB"/>
    <w:rsid w:val="001E0426"/>
    <w:rsid w:val="001E0D71"/>
    <w:rsid w:val="001E110E"/>
    <w:rsid w:val="001E1299"/>
    <w:rsid w:val="001E15E8"/>
    <w:rsid w:val="001E1C22"/>
    <w:rsid w:val="001E24B7"/>
    <w:rsid w:val="001E2DF9"/>
    <w:rsid w:val="001E39D5"/>
    <w:rsid w:val="001E4FF0"/>
    <w:rsid w:val="001E557A"/>
    <w:rsid w:val="001E57A6"/>
    <w:rsid w:val="001E6100"/>
    <w:rsid w:val="001E648B"/>
    <w:rsid w:val="001E665F"/>
    <w:rsid w:val="001E6E56"/>
    <w:rsid w:val="001E7534"/>
    <w:rsid w:val="001E761A"/>
    <w:rsid w:val="001E76BA"/>
    <w:rsid w:val="001E771F"/>
    <w:rsid w:val="001F02AA"/>
    <w:rsid w:val="001F05C3"/>
    <w:rsid w:val="001F0675"/>
    <w:rsid w:val="001F07DD"/>
    <w:rsid w:val="001F0AF2"/>
    <w:rsid w:val="001F0F73"/>
    <w:rsid w:val="001F124C"/>
    <w:rsid w:val="001F1863"/>
    <w:rsid w:val="001F1D1B"/>
    <w:rsid w:val="001F220D"/>
    <w:rsid w:val="001F278B"/>
    <w:rsid w:val="001F4290"/>
    <w:rsid w:val="001F465C"/>
    <w:rsid w:val="001F4764"/>
    <w:rsid w:val="001F47BF"/>
    <w:rsid w:val="001F55C2"/>
    <w:rsid w:val="001F57B5"/>
    <w:rsid w:val="001F58BF"/>
    <w:rsid w:val="001F58F6"/>
    <w:rsid w:val="001F5DCB"/>
    <w:rsid w:val="001F6018"/>
    <w:rsid w:val="001F7073"/>
    <w:rsid w:val="001F74AF"/>
    <w:rsid w:val="001F7F49"/>
    <w:rsid w:val="00200331"/>
    <w:rsid w:val="002008AD"/>
    <w:rsid w:val="00200E4A"/>
    <w:rsid w:val="00200EB0"/>
    <w:rsid w:val="0020183B"/>
    <w:rsid w:val="00201B1C"/>
    <w:rsid w:val="0020289C"/>
    <w:rsid w:val="00202BDA"/>
    <w:rsid w:val="00203AB5"/>
    <w:rsid w:val="00203B0F"/>
    <w:rsid w:val="00203B6D"/>
    <w:rsid w:val="00203D9F"/>
    <w:rsid w:val="00204244"/>
    <w:rsid w:val="002043DF"/>
    <w:rsid w:val="002044F8"/>
    <w:rsid w:val="0020483F"/>
    <w:rsid w:val="00204902"/>
    <w:rsid w:val="00204AD7"/>
    <w:rsid w:val="00205AEE"/>
    <w:rsid w:val="00206864"/>
    <w:rsid w:val="0020698A"/>
    <w:rsid w:val="00207FAB"/>
    <w:rsid w:val="002100D3"/>
    <w:rsid w:val="002106C7"/>
    <w:rsid w:val="00210B61"/>
    <w:rsid w:val="002110E7"/>
    <w:rsid w:val="00211AD9"/>
    <w:rsid w:val="00211B4E"/>
    <w:rsid w:val="0021215A"/>
    <w:rsid w:val="002122D5"/>
    <w:rsid w:val="00212CAE"/>
    <w:rsid w:val="00212FC6"/>
    <w:rsid w:val="002135D6"/>
    <w:rsid w:val="00213DE3"/>
    <w:rsid w:val="0021411A"/>
    <w:rsid w:val="002141DA"/>
    <w:rsid w:val="002142F9"/>
    <w:rsid w:val="00214740"/>
    <w:rsid w:val="0021595B"/>
    <w:rsid w:val="002161DE"/>
    <w:rsid w:val="002166FB"/>
    <w:rsid w:val="00216B5E"/>
    <w:rsid w:val="00216E3C"/>
    <w:rsid w:val="002173DA"/>
    <w:rsid w:val="0021748F"/>
    <w:rsid w:val="002175E0"/>
    <w:rsid w:val="00220062"/>
    <w:rsid w:val="00220278"/>
    <w:rsid w:val="0022049A"/>
    <w:rsid w:val="00220653"/>
    <w:rsid w:val="002211C5"/>
    <w:rsid w:val="002214F7"/>
    <w:rsid w:val="0022151C"/>
    <w:rsid w:val="0022177F"/>
    <w:rsid w:val="00222DB2"/>
    <w:rsid w:val="0022322C"/>
    <w:rsid w:val="002243EA"/>
    <w:rsid w:val="0022461E"/>
    <w:rsid w:val="00224A10"/>
    <w:rsid w:val="00224AA0"/>
    <w:rsid w:val="00224B3C"/>
    <w:rsid w:val="0022503D"/>
    <w:rsid w:val="00225E0C"/>
    <w:rsid w:val="002261B3"/>
    <w:rsid w:val="00226F4C"/>
    <w:rsid w:val="00227818"/>
    <w:rsid w:val="00230440"/>
    <w:rsid w:val="00230E2C"/>
    <w:rsid w:val="00231010"/>
    <w:rsid w:val="00231498"/>
    <w:rsid w:val="002314CF"/>
    <w:rsid w:val="0023185E"/>
    <w:rsid w:val="00231A47"/>
    <w:rsid w:val="00232044"/>
    <w:rsid w:val="00232BCA"/>
    <w:rsid w:val="00232C96"/>
    <w:rsid w:val="00233086"/>
    <w:rsid w:val="0023317F"/>
    <w:rsid w:val="00233AE0"/>
    <w:rsid w:val="00233B73"/>
    <w:rsid w:val="002340AC"/>
    <w:rsid w:val="00234FA8"/>
    <w:rsid w:val="0023511F"/>
    <w:rsid w:val="0023526D"/>
    <w:rsid w:val="00235460"/>
    <w:rsid w:val="002355EA"/>
    <w:rsid w:val="002356D5"/>
    <w:rsid w:val="002358DF"/>
    <w:rsid w:val="0023596C"/>
    <w:rsid w:val="0023655E"/>
    <w:rsid w:val="002369D2"/>
    <w:rsid w:val="00240072"/>
    <w:rsid w:val="00240246"/>
    <w:rsid w:val="00240345"/>
    <w:rsid w:val="00240F57"/>
    <w:rsid w:val="00241408"/>
    <w:rsid w:val="002418B0"/>
    <w:rsid w:val="00241DD4"/>
    <w:rsid w:val="0024229D"/>
    <w:rsid w:val="002422CE"/>
    <w:rsid w:val="0024328F"/>
    <w:rsid w:val="00243325"/>
    <w:rsid w:val="00243EA7"/>
    <w:rsid w:val="00244B81"/>
    <w:rsid w:val="00245492"/>
    <w:rsid w:val="002455FF"/>
    <w:rsid w:val="00245FA0"/>
    <w:rsid w:val="00246509"/>
    <w:rsid w:val="00246A70"/>
    <w:rsid w:val="00246C01"/>
    <w:rsid w:val="00246E73"/>
    <w:rsid w:val="002478EE"/>
    <w:rsid w:val="00247E51"/>
    <w:rsid w:val="0025004E"/>
    <w:rsid w:val="00250327"/>
    <w:rsid w:val="00250397"/>
    <w:rsid w:val="002511DF"/>
    <w:rsid w:val="0025140B"/>
    <w:rsid w:val="002515D5"/>
    <w:rsid w:val="002517EE"/>
    <w:rsid w:val="00251D66"/>
    <w:rsid w:val="00251ECC"/>
    <w:rsid w:val="002534A1"/>
    <w:rsid w:val="00253920"/>
    <w:rsid w:val="00253A52"/>
    <w:rsid w:val="00254655"/>
    <w:rsid w:val="00254A44"/>
    <w:rsid w:val="0025575D"/>
    <w:rsid w:val="002558D9"/>
    <w:rsid w:val="00255EFC"/>
    <w:rsid w:val="00256ECC"/>
    <w:rsid w:val="0025718C"/>
    <w:rsid w:val="002574B7"/>
    <w:rsid w:val="00257BC9"/>
    <w:rsid w:val="00257EAF"/>
    <w:rsid w:val="0026138B"/>
    <w:rsid w:val="00261528"/>
    <w:rsid w:val="00261FF4"/>
    <w:rsid w:val="00262764"/>
    <w:rsid w:val="00262858"/>
    <w:rsid w:val="002628BD"/>
    <w:rsid w:val="00262A88"/>
    <w:rsid w:val="00262ABC"/>
    <w:rsid w:val="00263144"/>
    <w:rsid w:val="002638BA"/>
    <w:rsid w:val="00263D58"/>
    <w:rsid w:val="0026466E"/>
    <w:rsid w:val="00264721"/>
    <w:rsid w:val="0026554C"/>
    <w:rsid w:val="00266720"/>
    <w:rsid w:val="00266787"/>
    <w:rsid w:val="00266CDE"/>
    <w:rsid w:val="002673BD"/>
    <w:rsid w:val="002674AB"/>
    <w:rsid w:val="00267D0D"/>
    <w:rsid w:val="002701E2"/>
    <w:rsid w:val="002704ED"/>
    <w:rsid w:val="00270CAC"/>
    <w:rsid w:val="00271732"/>
    <w:rsid w:val="00272194"/>
    <w:rsid w:val="00272317"/>
    <w:rsid w:val="00272610"/>
    <w:rsid w:val="00272932"/>
    <w:rsid w:val="00272F01"/>
    <w:rsid w:val="0027314E"/>
    <w:rsid w:val="0027330D"/>
    <w:rsid w:val="002734CE"/>
    <w:rsid w:val="00274506"/>
    <w:rsid w:val="00274547"/>
    <w:rsid w:val="00274E2D"/>
    <w:rsid w:val="00275117"/>
    <w:rsid w:val="00275A8F"/>
    <w:rsid w:val="00276245"/>
    <w:rsid w:val="0027632E"/>
    <w:rsid w:val="00276966"/>
    <w:rsid w:val="00276CDC"/>
    <w:rsid w:val="002773CF"/>
    <w:rsid w:val="00277679"/>
    <w:rsid w:val="002778AC"/>
    <w:rsid w:val="00280923"/>
    <w:rsid w:val="002809E6"/>
    <w:rsid w:val="0028123E"/>
    <w:rsid w:val="00281284"/>
    <w:rsid w:val="0028212C"/>
    <w:rsid w:val="00282771"/>
    <w:rsid w:val="00282A93"/>
    <w:rsid w:val="00282CE3"/>
    <w:rsid w:val="00282E8C"/>
    <w:rsid w:val="002830F9"/>
    <w:rsid w:val="0028388A"/>
    <w:rsid w:val="002838E6"/>
    <w:rsid w:val="0028423F"/>
    <w:rsid w:val="00284474"/>
    <w:rsid w:val="002855A7"/>
    <w:rsid w:val="00285692"/>
    <w:rsid w:val="0028585F"/>
    <w:rsid w:val="0028639A"/>
    <w:rsid w:val="00286D48"/>
    <w:rsid w:val="00286E78"/>
    <w:rsid w:val="00287520"/>
    <w:rsid w:val="00287A77"/>
    <w:rsid w:val="00287AFC"/>
    <w:rsid w:val="00287BFD"/>
    <w:rsid w:val="00287FC5"/>
    <w:rsid w:val="002900BF"/>
    <w:rsid w:val="00290AC9"/>
    <w:rsid w:val="00290B6E"/>
    <w:rsid w:val="00290EA1"/>
    <w:rsid w:val="0029111A"/>
    <w:rsid w:val="0029160A"/>
    <w:rsid w:val="00291864"/>
    <w:rsid w:val="00291C34"/>
    <w:rsid w:val="00291D30"/>
    <w:rsid w:val="0029236C"/>
    <w:rsid w:val="00292E8C"/>
    <w:rsid w:val="00293AD1"/>
    <w:rsid w:val="00294625"/>
    <w:rsid w:val="0029546E"/>
    <w:rsid w:val="002962FF"/>
    <w:rsid w:val="00296311"/>
    <w:rsid w:val="0029735E"/>
    <w:rsid w:val="0029779D"/>
    <w:rsid w:val="00297BA2"/>
    <w:rsid w:val="002A077E"/>
    <w:rsid w:val="002A14CB"/>
    <w:rsid w:val="002A163C"/>
    <w:rsid w:val="002A165C"/>
    <w:rsid w:val="002A1B5E"/>
    <w:rsid w:val="002A1E2B"/>
    <w:rsid w:val="002A2044"/>
    <w:rsid w:val="002A2E01"/>
    <w:rsid w:val="002A4875"/>
    <w:rsid w:val="002A4950"/>
    <w:rsid w:val="002A496C"/>
    <w:rsid w:val="002A49B2"/>
    <w:rsid w:val="002A4F21"/>
    <w:rsid w:val="002A53FD"/>
    <w:rsid w:val="002A6063"/>
    <w:rsid w:val="002A624D"/>
    <w:rsid w:val="002A6422"/>
    <w:rsid w:val="002A6541"/>
    <w:rsid w:val="002A6AE6"/>
    <w:rsid w:val="002A6D40"/>
    <w:rsid w:val="002A7653"/>
    <w:rsid w:val="002A7AA9"/>
    <w:rsid w:val="002A7E33"/>
    <w:rsid w:val="002B0469"/>
    <w:rsid w:val="002B059B"/>
    <w:rsid w:val="002B07D9"/>
    <w:rsid w:val="002B0E33"/>
    <w:rsid w:val="002B0EB7"/>
    <w:rsid w:val="002B157F"/>
    <w:rsid w:val="002B17DF"/>
    <w:rsid w:val="002B1828"/>
    <w:rsid w:val="002B1A7C"/>
    <w:rsid w:val="002B1CF9"/>
    <w:rsid w:val="002B2640"/>
    <w:rsid w:val="002B2A46"/>
    <w:rsid w:val="002B2C94"/>
    <w:rsid w:val="002B2CB7"/>
    <w:rsid w:val="002B3133"/>
    <w:rsid w:val="002B3343"/>
    <w:rsid w:val="002B339F"/>
    <w:rsid w:val="002B369A"/>
    <w:rsid w:val="002B4084"/>
    <w:rsid w:val="002B441E"/>
    <w:rsid w:val="002B44A0"/>
    <w:rsid w:val="002B49D9"/>
    <w:rsid w:val="002B4E64"/>
    <w:rsid w:val="002B4FE0"/>
    <w:rsid w:val="002B5E37"/>
    <w:rsid w:val="002B62BE"/>
    <w:rsid w:val="002B796A"/>
    <w:rsid w:val="002C05C1"/>
    <w:rsid w:val="002C063B"/>
    <w:rsid w:val="002C06F5"/>
    <w:rsid w:val="002C0C02"/>
    <w:rsid w:val="002C1665"/>
    <w:rsid w:val="002C1CF5"/>
    <w:rsid w:val="002C1FD2"/>
    <w:rsid w:val="002C20A8"/>
    <w:rsid w:val="002C23D7"/>
    <w:rsid w:val="002C2517"/>
    <w:rsid w:val="002C303A"/>
    <w:rsid w:val="002C36B6"/>
    <w:rsid w:val="002C3C36"/>
    <w:rsid w:val="002C3E93"/>
    <w:rsid w:val="002C4050"/>
    <w:rsid w:val="002C4088"/>
    <w:rsid w:val="002C4810"/>
    <w:rsid w:val="002C52BB"/>
    <w:rsid w:val="002C57FC"/>
    <w:rsid w:val="002C5D55"/>
    <w:rsid w:val="002C5FB5"/>
    <w:rsid w:val="002C61A5"/>
    <w:rsid w:val="002C6AB7"/>
    <w:rsid w:val="002C7232"/>
    <w:rsid w:val="002C764D"/>
    <w:rsid w:val="002D0B84"/>
    <w:rsid w:val="002D0CD8"/>
    <w:rsid w:val="002D0D4C"/>
    <w:rsid w:val="002D10C5"/>
    <w:rsid w:val="002D1339"/>
    <w:rsid w:val="002D1606"/>
    <w:rsid w:val="002D1B99"/>
    <w:rsid w:val="002D1DA5"/>
    <w:rsid w:val="002D1E75"/>
    <w:rsid w:val="002D22F4"/>
    <w:rsid w:val="002D251E"/>
    <w:rsid w:val="002D3411"/>
    <w:rsid w:val="002D3533"/>
    <w:rsid w:val="002D3ACE"/>
    <w:rsid w:val="002D3B54"/>
    <w:rsid w:val="002D3BF3"/>
    <w:rsid w:val="002D4033"/>
    <w:rsid w:val="002D443C"/>
    <w:rsid w:val="002D4A13"/>
    <w:rsid w:val="002D4EC0"/>
    <w:rsid w:val="002D52DA"/>
    <w:rsid w:val="002D57F2"/>
    <w:rsid w:val="002D5DFF"/>
    <w:rsid w:val="002D60E0"/>
    <w:rsid w:val="002D60EE"/>
    <w:rsid w:val="002D6102"/>
    <w:rsid w:val="002D689C"/>
    <w:rsid w:val="002D6DBE"/>
    <w:rsid w:val="002D76C7"/>
    <w:rsid w:val="002E04A4"/>
    <w:rsid w:val="002E09FD"/>
    <w:rsid w:val="002E0C3F"/>
    <w:rsid w:val="002E0E3A"/>
    <w:rsid w:val="002E0E46"/>
    <w:rsid w:val="002E1076"/>
    <w:rsid w:val="002E10A5"/>
    <w:rsid w:val="002E176F"/>
    <w:rsid w:val="002E246F"/>
    <w:rsid w:val="002E2762"/>
    <w:rsid w:val="002E2C8B"/>
    <w:rsid w:val="002E2E6E"/>
    <w:rsid w:val="002E33BE"/>
    <w:rsid w:val="002E392A"/>
    <w:rsid w:val="002E3D4B"/>
    <w:rsid w:val="002E3DB6"/>
    <w:rsid w:val="002E3E8E"/>
    <w:rsid w:val="002E40A6"/>
    <w:rsid w:val="002E4411"/>
    <w:rsid w:val="002E56FD"/>
    <w:rsid w:val="002E6CA4"/>
    <w:rsid w:val="002E6EAC"/>
    <w:rsid w:val="002E721D"/>
    <w:rsid w:val="002E723D"/>
    <w:rsid w:val="002E7467"/>
    <w:rsid w:val="002F003C"/>
    <w:rsid w:val="002F0EBD"/>
    <w:rsid w:val="002F1828"/>
    <w:rsid w:val="002F1939"/>
    <w:rsid w:val="002F1FD6"/>
    <w:rsid w:val="002F247D"/>
    <w:rsid w:val="002F3537"/>
    <w:rsid w:val="002F3B4E"/>
    <w:rsid w:val="002F3D1C"/>
    <w:rsid w:val="002F3E90"/>
    <w:rsid w:val="002F41BE"/>
    <w:rsid w:val="002F43FA"/>
    <w:rsid w:val="002F4875"/>
    <w:rsid w:val="002F49A5"/>
    <w:rsid w:val="002F5D0F"/>
    <w:rsid w:val="002F6320"/>
    <w:rsid w:val="002F78E0"/>
    <w:rsid w:val="00300088"/>
    <w:rsid w:val="0030011B"/>
    <w:rsid w:val="00300555"/>
    <w:rsid w:val="00300623"/>
    <w:rsid w:val="003008EF"/>
    <w:rsid w:val="00300A8E"/>
    <w:rsid w:val="00300B2F"/>
    <w:rsid w:val="00301601"/>
    <w:rsid w:val="003018FE"/>
    <w:rsid w:val="00301F59"/>
    <w:rsid w:val="0030226E"/>
    <w:rsid w:val="003029E7"/>
    <w:rsid w:val="00302C3A"/>
    <w:rsid w:val="00302EC1"/>
    <w:rsid w:val="0030308D"/>
    <w:rsid w:val="00303773"/>
    <w:rsid w:val="00303B4B"/>
    <w:rsid w:val="00303D11"/>
    <w:rsid w:val="00304162"/>
    <w:rsid w:val="0030460A"/>
    <w:rsid w:val="00304988"/>
    <w:rsid w:val="00305174"/>
    <w:rsid w:val="00305593"/>
    <w:rsid w:val="00305B8E"/>
    <w:rsid w:val="00306E01"/>
    <w:rsid w:val="003073C0"/>
    <w:rsid w:val="00307500"/>
    <w:rsid w:val="00307A6D"/>
    <w:rsid w:val="00307F24"/>
    <w:rsid w:val="00310411"/>
    <w:rsid w:val="003106B0"/>
    <w:rsid w:val="00310771"/>
    <w:rsid w:val="00310C92"/>
    <w:rsid w:val="00311A52"/>
    <w:rsid w:val="003124FB"/>
    <w:rsid w:val="003125D8"/>
    <w:rsid w:val="003128E9"/>
    <w:rsid w:val="00312980"/>
    <w:rsid w:val="00312B42"/>
    <w:rsid w:val="003136A0"/>
    <w:rsid w:val="00313905"/>
    <w:rsid w:val="00313A2E"/>
    <w:rsid w:val="00313C86"/>
    <w:rsid w:val="00313D59"/>
    <w:rsid w:val="003140AF"/>
    <w:rsid w:val="00314666"/>
    <w:rsid w:val="00314C66"/>
    <w:rsid w:val="00314FD1"/>
    <w:rsid w:val="0031503F"/>
    <w:rsid w:val="003173A4"/>
    <w:rsid w:val="003175A6"/>
    <w:rsid w:val="00317C14"/>
    <w:rsid w:val="003200DF"/>
    <w:rsid w:val="0032039B"/>
    <w:rsid w:val="003204D3"/>
    <w:rsid w:val="003205BD"/>
    <w:rsid w:val="0032092F"/>
    <w:rsid w:val="00320BDD"/>
    <w:rsid w:val="00320C27"/>
    <w:rsid w:val="00321991"/>
    <w:rsid w:val="00321A0F"/>
    <w:rsid w:val="0032202A"/>
    <w:rsid w:val="00322384"/>
    <w:rsid w:val="003224A2"/>
    <w:rsid w:val="00322E2D"/>
    <w:rsid w:val="00322F02"/>
    <w:rsid w:val="00323068"/>
    <w:rsid w:val="003234C5"/>
    <w:rsid w:val="003237D3"/>
    <w:rsid w:val="003237F0"/>
    <w:rsid w:val="00323899"/>
    <w:rsid w:val="00323BB1"/>
    <w:rsid w:val="00323BCE"/>
    <w:rsid w:val="00323D54"/>
    <w:rsid w:val="0032442C"/>
    <w:rsid w:val="0032489B"/>
    <w:rsid w:val="003258A2"/>
    <w:rsid w:val="00325E19"/>
    <w:rsid w:val="003263CC"/>
    <w:rsid w:val="003268AA"/>
    <w:rsid w:val="00326908"/>
    <w:rsid w:val="00326CD1"/>
    <w:rsid w:val="00326E69"/>
    <w:rsid w:val="00327075"/>
    <w:rsid w:val="00327C0C"/>
    <w:rsid w:val="00330212"/>
    <w:rsid w:val="0033047F"/>
    <w:rsid w:val="003309F1"/>
    <w:rsid w:val="00331529"/>
    <w:rsid w:val="003317B3"/>
    <w:rsid w:val="00332D14"/>
    <w:rsid w:val="00332F66"/>
    <w:rsid w:val="00333A70"/>
    <w:rsid w:val="0033465D"/>
    <w:rsid w:val="003348C2"/>
    <w:rsid w:val="0033547C"/>
    <w:rsid w:val="0033557E"/>
    <w:rsid w:val="003356C1"/>
    <w:rsid w:val="00335B6E"/>
    <w:rsid w:val="00336447"/>
    <w:rsid w:val="00336715"/>
    <w:rsid w:val="003368E9"/>
    <w:rsid w:val="00336EA2"/>
    <w:rsid w:val="0033745B"/>
    <w:rsid w:val="003378DC"/>
    <w:rsid w:val="00337C0A"/>
    <w:rsid w:val="00340485"/>
    <w:rsid w:val="003406EA"/>
    <w:rsid w:val="0034077F"/>
    <w:rsid w:val="00340781"/>
    <w:rsid w:val="00340B76"/>
    <w:rsid w:val="00340CE8"/>
    <w:rsid w:val="00341683"/>
    <w:rsid w:val="0034173A"/>
    <w:rsid w:val="00341F17"/>
    <w:rsid w:val="00342218"/>
    <w:rsid w:val="003425AA"/>
    <w:rsid w:val="00342719"/>
    <w:rsid w:val="00342FF3"/>
    <w:rsid w:val="0034326D"/>
    <w:rsid w:val="00343544"/>
    <w:rsid w:val="00343954"/>
    <w:rsid w:val="003441DB"/>
    <w:rsid w:val="00344335"/>
    <w:rsid w:val="00345751"/>
    <w:rsid w:val="003463A9"/>
    <w:rsid w:val="003468EB"/>
    <w:rsid w:val="00346EDB"/>
    <w:rsid w:val="00347B1A"/>
    <w:rsid w:val="00347EFB"/>
    <w:rsid w:val="003505B8"/>
    <w:rsid w:val="00350876"/>
    <w:rsid w:val="00350921"/>
    <w:rsid w:val="00351655"/>
    <w:rsid w:val="00351B3F"/>
    <w:rsid w:val="00351DCC"/>
    <w:rsid w:val="00351E01"/>
    <w:rsid w:val="00352078"/>
    <w:rsid w:val="00352161"/>
    <w:rsid w:val="003522B8"/>
    <w:rsid w:val="00352894"/>
    <w:rsid w:val="00352B60"/>
    <w:rsid w:val="00353004"/>
    <w:rsid w:val="003537C9"/>
    <w:rsid w:val="0035383B"/>
    <w:rsid w:val="00353B0F"/>
    <w:rsid w:val="003546CE"/>
    <w:rsid w:val="00355361"/>
    <w:rsid w:val="003561BB"/>
    <w:rsid w:val="00356213"/>
    <w:rsid w:val="00356A33"/>
    <w:rsid w:val="00356D76"/>
    <w:rsid w:val="003573A0"/>
    <w:rsid w:val="0035797C"/>
    <w:rsid w:val="003613E0"/>
    <w:rsid w:val="00361514"/>
    <w:rsid w:val="003616CB"/>
    <w:rsid w:val="00361A75"/>
    <w:rsid w:val="00361CE8"/>
    <w:rsid w:val="00362369"/>
    <w:rsid w:val="003625FF"/>
    <w:rsid w:val="00362A47"/>
    <w:rsid w:val="003630EC"/>
    <w:rsid w:val="00363D4B"/>
    <w:rsid w:val="00364174"/>
    <w:rsid w:val="003641CE"/>
    <w:rsid w:val="0036448F"/>
    <w:rsid w:val="0036457F"/>
    <w:rsid w:val="00364DFD"/>
    <w:rsid w:val="00365B7B"/>
    <w:rsid w:val="00365D97"/>
    <w:rsid w:val="00366A8A"/>
    <w:rsid w:val="00367013"/>
    <w:rsid w:val="003674C4"/>
    <w:rsid w:val="003679FD"/>
    <w:rsid w:val="00367E20"/>
    <w:rsid w:val="0037003D"/>
    <w:rsid w:val="0037021A"/>
    <w:rsid w:val="00370522"/>
    <w:rsid w:val="0037159D"/>
    <w:rsid w:val="003718D0"/>
    <w:rsid w:val="00371A62"/>
    <w:rsid w:val="00372A7B"/>
    <w:rsid w:val="00372F34"/>
    <w:rsid w:val="0037310F"/>
    <w:rsid w:val="0037338C"/>
    <w:rsid w:val="003741F2"/>
    <w:rsid w:val="003742FE"/>
    <w:rsid w:val="00374C63"/>
    <w:rsid w:val="00374FC4"/>
    <w:rsid w:val="00375154"/>
    <w:rsid w:val="00375231"/>
    <w:rsid w:val="003754EB"/>
    <w:rsid w:val="00375CF5"/>
    <w:rsid w:val="00375EE3"/>
    <w:rsid w:val="0037676B"/>
    <w:rsid w:val="003767C1"/>
    <w:rsid w:val="003779FF"/>
    <w:rsid w:val="00377B21"/>
    <w:rsid w:val="0038069C"/>
    <w:rsid w:val="00380885"/>
    <w:rsid w:val="00380EB8"/>
    <w:rsid w:val="003817E6"/>
    <w:rsid w:val="00381AFA"/>
    <w:rsid w:val="003825C0"/>
    <w:rsid w:val="00382A7A"/>
    <w:rsid w:val="00382FDA"/>
    <w:rsid w:val="00383321"/>
    <w:rsid w:val="003835D7"/>
    <w:rsid w:val="00383B5C"/>
    <w:rsid w:val="00384017"/>
    <w:rsid w:val="003841FB"/>
    <w:rsid w:val="003849D1"/>
    <w:rsid w:val="00384D7B"/>
    <w:rsid w:val="003863B1"/>
    <w:rsid w:val="00386B49"/>
    <w:rsid w:val="00386D26"/>
    <w:rsid w:val="003873A1"/>
    <w:rsid w:val="00387ABC"/>
    <w:rsid w:val="00387D00"/>
    <w:rsid w:val="00387F0E"/>
    <w:rsid w:val="0039032E"/>
    <w:rsid w:val="003903EA"/>
    <w:rsid w:val="00390634"/>
    <w:rsid w:val="00391211"/>
    <w:rsid w:val="0039138B"/>
    <w:rsid w:val="0039166D"/>
    <w:rsid w:val="00392274"/>
    <w:rsid w:val="00392B0E"/>
    <w:rsid w:val="00393CC6"/>
    <w:rsid w:val="00393EFC"/>
    <w:rsid w:val="00395755"/>
    <w:rsid w:val="00395840"/>
    <w:rsid w:val="0039587A"/>
    <w:rsid w:val="00395940"/>
    <w:rsid w:val="00396318"/>
    <w:rsid w:val="00396E6F"/>
    <w:rsid w:val="00397541"/>
    <w:rsid w:val="00397EF1"/>
    <w:rsid w:val="003A0043"/>
    <w:rsid w:val="003A045E"/>
    <w:rsid w:val="003A0500"/>
    <w:rsid w:val="003A07D9"/>
    <w:rsid w:val="003A0DE8"/>
    <w:rsid w:val="003A15A0"/>
    <w:rsid w:val="003A1640"/>
    <w:rsid w:val="003A1EE2"/>
    <w:rsid w:val="003A227D"/>
    <w:rsid w:val="003A2530"/>
    <w:rsid w:val="003A2537"/>
    <w:rsid w:val="003A25E6"/>
    <w:rsid w:val="003A3499"/>
    <w:rsid w:val="003A40FF"/>
    <w:rsid w:val="003A4BD5"/>
    <w:rsid w:val="003A4FC8"/>
    <w:rsid w:val="003A5FF0"/>
    <w:rsid w:val="003A618E"/>
    <w:rsid w:val="003A629E"/>
    <w:rsid w:val="003A632F"/>
    <w:rsid w:val="003A6495"/>
    <w:rsid w:val="003A6A81"/>
    <w:rsid w:val="003A6BB3"/>
    <w:rsid w:val="003A765E"/>
    <w:rsid w:val="003A771C"/>
    <w:rsid w:val="003A7B28"/>
    <w:rsid w:val="003B0037"/>
    <w:rsid w:val="003B0715"/>
    <w:rsid w:val="003B09FA"/>
    <w:rsid w:val="003B140B"/>
    <w:rsid w:val="003B217E"/>
    <w:rsid w:val="003B22EC"/>
    <w:rsid w:val="003B2351"/>
    <w:rsid w:val="003B2ECA"/>
    <w:rsid w:val="003B3B01"/>
    <w:rsid w:val="003B3FF1"/>
    <w:rsid w:val="003B46EA"/>
    <w:rsid w:val="003B4818"/>
    <w:rsid w:val="003B4952"/>
    <w:rsid w:val="003B4D6F"/>
    <w:rsid w:val="003B53C8"/>
    <w:rsid w:val="003B55C3"/>
    <w:rsid w:val="003B567B"/>
    <w:rsid w:val="003B5755"/>
    <w:rsid w:val="003B5E91"/>
    <w:rsid w:val="003B62A3"/>
    <w:rsid w:val="003B6A6A"/>
    <w:rsid w:val="003B72D4"/>
    <w:rsid w:val="003B7547"/>
    <w:rsid w:val="003B76B1"/>
    <w:rsid w:val="003B7815"/>
    <w:rsid w:val="003B7CFB"/>
    <w:rsid w:val="003C0273"/>
    <w:rsid w:val="003C083A"/>
    <w:rsid w:val="003C10C2"/>
    <w:rsid w:val="003C1485"/>
    <w:rsid w:val="003C1556"/>
    <w:rsid w:val="003C169A"/>
    <w:rsid w:val="003C179A"/>
    <w:rsid w:val="003C2270"/>
    <w:rsid w:val="003C22E2"/>
    <w:rsid w:val="003C36DA"/>
    <w:rsid w:val="003C3C8A"/>
    <w:rsid w:val="003C4D9E"/>
    <w:rsid w:val="003C5355"/>
    <w:rsid w:val="003C54F1"/>
    <w:rsid w:val="003C586A"/>
    <w:rsid w:val="003C5940"/>
    <w:rsid w:val="003C5BF3"/>
    <w:rsid w:val="003C7149"/>
    <w:rsid w:val="003C717B"/>
    <w:rsid w:val="003C72CF"/>
    <w:rsid w:val="003C762D"/>
    <w:rsid w:val="003C78F8"/>
    <w:rsid w:val="003C7D57"/>
    <w:rsid w:val="003C7E78"/>
    <w:rsid w:val="003C7E95"/>
    <w:rsid w:val="003D07DC"/>
    <w:rsid w:val="003D0CA9"/>
    <w:rsid w:val="003D0ECD"/>
    <w:rsid w:val="003D11F7"/>
    <w:rsid w:val="003D2532"/>
    <w:rsid w:val="003D27BC"/>
    <w:rsid w:val="003D2890"/>
    <w:rsid w:val="003D3136"/>
    <w:rsid w:val="003D324C"/>
    <w:rsid w:val="003D3470"/>
    <w:rsid w:val="003D3863"/>
    <w:rsid w:val="003D3B9D"/>
    <w:rsid w:val="003D4136"/>
    <w:rsid w:val="003D41B7"/>
    <w:rsid w:val="003D5127"/>
    <w:rsid w:val="003D5517"/>
    <w:rsid w:val="003D5570"/>
    <w:rsid w:val="003D563A"/>
    <w:rsid w:val="003D5F22"/>
    <w:rsid w:val="003D5FAC"/>
    <w:rsid w:val="003D671D"/>
    <w:rsid w:val="003D6970"/>
    <w:rsid w:val="003D6F0A"/>
    <w:rsid w:val="003D734D"/>
    <w:rsid w:val="003D73E5"/>
    <w:rsid w:val="003D7D51"/>
    <w:rsid w:val="003E0300"/>
    <w:rsid w:val="003E04E4"/>
    <w:rsid w:val="003E0A11"/>
    <w:rsid w:val="003E1920"/>
    <w:rsid w:val="003E1B8D"/>
    <w:rsid w:val="003E1E6B"/>
    <w:rsid w:val="003E2448"/>
    <w:rsid w:val="003E26C6"/>
    <w:rsid w:val="003E2AB5"/>
    <w:rsid w:val="003E2C05"/>
    <w:rsid w:val="003E3087"/>
    <w:rsid w:val="003E3AF8"/>
    <w:rsid w:val="003E442A"/>
    <w:rsid w:val="003E47B6"/>
    <w:rsid w:val="003E502C"/>
    <w:rsid w:val="003E63B1"/>
    <w:rsid w:val="003E6730"/>
    <w:rsid w:val="003E6C98"/>
    <w:rsid w:val="003E70DF"/>
    <w:rsid w:val="003E751C"/>
    <w:rsid w:val="003E7787"/>
    <w:rsid w:val="003E7978"/>
    <w:rsid w:val="003E7AAE"/>
    <w:rsid w:val="003F0E7C"/>
    <w:rsid w:val="003F0FD3"/>
    <w:rsid w:val="003F15F1"/>
    <w:rsid w:val="003F1922"/>
    <w:rsid w:val="003F2696"/>
    <w:rsid w:val="003F28E9"/>
    <w:rsid w:val="003F3B54"/>
    <w:rsid w:val="003F41B7"/>
    <w:rsid w:val="003F4535"/>
    <w:rsid w:val="003F52ED"/>
    <w:rsid w:val="003F542B"/>
    <w:rsid w:val="003F54EB"/>
    <w:rsid w:val="003F59EE"/>
    <w:rsid w:val="003F5CFF"/>
    <w:rsid w:val="003F5F5F"/>
    <w:rsid w:val="003F6783"/>
    <w:rsid w:val="003F7503"/>
    <w:rsid w:val="003F760E"/>
    <w:rsid w:val="003F7A36"/>
    <w:rsid w:val="003F7C4E"/>
    <w:rsid w:val="003F7FB8"/>
    <w:rsid w:val="00400941"/>
    <w:rsid w:val="00400949"/>
    <w:rsid w:val="0040130F"/>
    <w:rsid w:val="00401A60"/>
    <w:rsid w:val="00401E62"/>
    <w:rsid w:val="00402028"/>
    <w:rsid w:val="00402723"/>
    <w:rsid w:val="00402F96"/>
    <w:rsid w:val="004031AD"/>
    <w:rsid w:val="004043ED"/>
    <w:rsid w:val="0040452A"/>
    <w:rsid w:val="00404597"/>
    <w:rsid w:val="00405316"/>
    <w:rsid w:val="0040586D"/>
    <w:rsid w:val="00406604"/>
    <w:rsid w:val="00406E9F"/>
    <w:rsid w:val="004116E1"/>
    <w:rsid w:val="00411831"/>
    <w:rsid w:val="00411D0E"/>
    <w:rsid w:val="00411DAA"/>
    <w:rsid w:val="004120B6"/>
    <w:rsid w:val="00413F13"/>
    <w:rsid w:val="004142A4"/>
    <w:rsid w:val="004143DD"/>
    <w:rsid w:val="004146DB"/>
    <w:rsid w:val="00414783"/>
    <w:rsid w:val="004148AE"/>
    <w:rsid w:val="004149A2"/>
    <w:rsid w:val="00414D49"/>
    <w:rsid w:val="00414E1C"/>
    <w:rsid w:val="00414EB7"/>
    <w:rsid w:val="00415C01"/>
    <w:rsid w:val="00416DD1"/>
    <w:rsid w:val="0041763E"/>
    <w:rsid w:val="00417925"/>
    <w:rsid w:val="00417DF1"/>
    <w:rsid w:val="00420312"/>
    <w:rsid w:val="00420F43"/>
    <w:rsid w:val="00421108"/>
    <w:rsid w:val="0042168B"/>
    <w:rsid w:val="00421BD0"/>
    <w:rsid w:val="00422A21"/>
    <w:rsid w:val="00422CD9"/>
    <w:rsid w:val="00423A47"/>
    <w:rsid w:val="004241F7"/>
    <w:rsid w:val="0042437D"/>
    <w:rsid w:val="00424576"/>
    <w:rsid w:val="0042470E"/>
    <w:rsid w:val="00424D70"/>
    <w:rsid w:val="00425345"/>
    <w:rsid w:val="0042586E"/>
    <w:rsid w:val="0043055C"/>
    <w:rsid w:val="004318AC"/>
    <w:rsid w:val="00431BFF"/>
    <w:rsid w:val="00432073"/>
    <w:rsid w:val="004326E0"/>
    <w:rsid w:val="00432D73"/>
    <w:rsid w:val="00432EF5"/>
    <w:rsid w:val="00434089"/>
    <w:rsid w:val="004346F2"/>
    <w:rsid w:val="0043492C"/>
    <w:rsid w:val="00435955"/>
    <w:rsid w:val="0043664E"/>
    <w:rsid w:val="0043685F"/>
    <w:rsid w:val="00436DB0"/>
    <w:rsid w:val="0043708A"/>
    <w:rsid w:val="0043739B"/>
    <w:rsid w:val="00437A0C"/>
    <w:rsid w:val="00437E60"/>
    <w:rsid w:val="004400AA"/>
    <w:rsid w:val="0044036A"/>
    <w:rsid w:val="0044089D"/>
    <w:rsid w:val="00440D38"/>
    <w:rsid w:val="004414F5"/>
    <w:rsid w:val="0044201E"/>
    <w:rsid w:val="0044222D"/>
    <w:rsid w:val="00443B98"/>
    <w:rsid w:val="00445BA0"/>
    <w:rsid w:val="004462CC"/>
    <w:rsid w:val="00446EBB"/>
    <w:rsid w:val="00447293"/>
    <w:rsid w:val="0044751D"/>
    <w:rsid w:val="004475CA"/>
    <w:rsid w:val="004477D8"/>
    <w:rsid w:val="00447C87"/>
    <w:rsid w:val="00447C9C"/>
    <w:rsid w:val="0045023F"/>
    <w:rsid w:val="004504AE"/>
    <w:rsid w:val="0045098C"/>
    <w:rsid w:val="004509BE"/>
    <w:rsid w:val="004525C8"/>
    <w:rsid w:val="00452744"/>
    <w:rsid w:val="00452940"/>
    <w:rsid w:val="00452A1F"/>
    <w:rsid w:val="00452D20"/>
    <w:rsid w:val="00452E34"/>
    <w:rsid w:val="00453321"/>
    <w:rsid w:val="004541D9"/>
    <w:rsid w:val="004547DD"/>
    <w:rsid w:val="00454B1E"/>
    <w:rsid w:val="00454D88"/>
    <w:rsid w:val="00455122"/>
    <w:rsid w:val="004553D1"/>
    <w:rsid w:val="00455905"/>
    <w:rsid w:val="00455D90"/>
    <w:rsid w:val="00455DDF"/>
    <w:rsid w:val="00456664"/>
    <w:rsid w:val="004568C3"/>
    <w:rsid w:val="00457476"/>
    <w:rsid w:val="00457559"/>
    <w:rsid w:val="00457F03"/>
    <w:rsid w:val="00461167"/>
    <w:rsid w:val="004618CC"/>
    <w:rsid w:val="004618D9"/>
    <w:rsid w:val="0046194B"/>
    <w:rsid w:val="00461A7E"/>
    <w:rsid w:val="00461C3F"/>
    <w:rsid w:val="00463768"/>
    <w:rsid w:val="00463F76"/>
    <w:rsid w:val="00463FE5"/>
    <w:rsid w:val="00464203"/>
    <w:rsid w:val="004649D5"/>
    <w:rsid w:val="00464BBD"/>
    <w:rsid w:val="00464C79"/>
    <w:rsid w:val="00464E0F"/>
    <w:rsid w:val="00465343"/>
    <w:rsid w:val="00465E4B"/>
    <w:rsid w:val="004662AE"/>
    <w:rsid w:val="004664FB"/>
    <w:rsid w:val="004667B9"/>
    <w:rsid w:val="004669C0"/>
    <w:rsid w:val="004674CA"/>
    <w:rsid w:val="00467A3B"/>
    <w:rsid w:val="00467DD5"/>
    <w:rsid w:val="00467EC1"/>
    <w:rsid w:val="0047029D"/>
    <w:rsid w:val="00470391"/>
    <w:rsid w:val="00470945"/>
    <w:rsid w:val="0047099D"/>
    <w:rsid w:val="00470ACB"/>
    <w:rsid w:val="00470B5E"/>
    <w:rsid w:val="004714C5"/>
    <w:rsid w:val="00471E95"/>
    <w:rsid w:val="0047202E"/>
    <w:rsid w:val="00472638"/>
    <w:rsid w:val="00472702"/>
    <w:rsid w:val="00472A4F"/>
    <w:rsid w:val="0047360B"/>
    <w:rsid w:val="00473DCC"/>
    <w:rsid w:val="00475474"/>
    <w:rsid w:val="00475586"/>
    <w:rsid w:val="004758E9"/>
    <w:rsid w:val="00475A02"/>
    <w:rsid w:val="00475FF0"/>
    <w:rsid w:val="004761DE"/>
    <w:rsid w:val="00476EBE"/>
    <w:rsid w:val="004775F0"/>
    <w:rsid w:val="00477FDB"/>
    <w:rsid w:val="00480477"/>
    <w:rsid w:val="00480646"/>
    <w:rsid w:val="0048141E"/>
    <w:rsid w:val="00481695"/>
    <w:rsid w:val="00481783"/>
    <w:rsid w:val="00482D32"/>
    <w:rsid w:val="0048338E"/>
    <w:rsid w:val="004834D2"/>
    <w:rsid w:val="004844EA"/>
    <w:rsid w:val="004846F7"/>
    <w:rsid w:val="00484CC7"/>
    <w:rsid w:val="00485BBC"/>
    <w:rsid w:val="004862CC"/>
    <w:rsid w:val="0048632D"/>
    <w:rsid w:val="00486CAA"/>
    <w:rsid w:val="0048728E"/>
    <w:rsid w:val="00487CE7"/>
    <w:rsid w:val="00487F71"/>
    <w:rsid w:val="0049012C"/>
    <w:rsid w:val="00490C7F"/>
    <w:rsid w:val="00490D6E"/>
    <w:rsid w:val="00491482"/>
    <w:rsid w:val="0049179C"/>
    <w:rsid w:val="004917A9"/>
    <w:rsid w:val="004928EA"/>
    <w:rsid w:val="004929C1"/>
    <w:rsid w:val="004929DD"/>
    <w:rsid w:val="00492D8E"/>
    <w:rsid w:val="00492DA9"/>
    <w:rsid w:val="0049322D"/>
    <w:rsid w:val="00493A57"/>
    <w:rsid w:val="00494604"/>
    <w:rsid w:val="00494F1D"/>
    <w:rsid w:val="004953DD"/>
    <w:rsid w:val="0049594A"/>
    <w:rsid w:val="00495AF2"/>
    <w:rsid w:val="00495B01"/>
    <w:rsid w:val="004961AB"/>
    <w:rsid w:val="00496775"/>
    <w:rsid w:val="004973AD"/>
    <w:rsid w:val="004973D4"/>
    <w:rsid w:val="00497927"/>
    <w:rsid w:val="00497D91"/>
    <w:rsid w:val="00497E79"/>
    <w:rsid w:val="004A0730"/>
    <w:rsid w:val="004A088C"/>
    <w:rsid w:val="004A09ED"/>
    <w:rsid w:val="004A0AFF"/>
    <w:rsid w:val="004A0F70"/>
    <w:rsid w:val="004A0FE9"/>
    <w:rsid w:val="004A26A6"/>
    <w:rsid w:val="004A355C"/>
    <w:rsid w:val="004A37E0"/>
    <w:rsid w:val="004A3920"/>
    <w:rsid w:val="004A3FFF"/>
    <w:rsid w:val="004A48B9"/>
    <w:rsid w:val="004A493F"/>
    <w:rsid w:val="004A4B32"/>
    <w:rsid w:val="004A4DE6"/>
    <w:rsid w:val="004A4E2A"/>
    <w:rsid w:val="004A4F4A"/>
    <w:rsid w:val="004A57A5"/>
    <w:rsid w:val="004A5FB6"/>
    <w:rsid w:val="004A6808"/>
    <w:rsid w:val="004A6B9E"/>
    <w:rsid w:val="004A71EB"/>
    <w:rsid w:val="004A7210"/>
    <w:rsid w:val="004A730E"/>
    <w:rsid w:val="004A7B3E"/>
    <w:rsid w:val="004A7D45"/>
    <w:rsid w:val="004B051E"/>
    <w:rsid w:val="004B0716"/>
    <w:rsid w:val="004B1DBB"/>
    <w:rsid w:val="004B1DEA"/>
    <w:rsid w:val="004B1E7B"/>
    <w:rsid w:val="004B3B15"/>
    <w:rsid w:val="004B3BAA"/>
    <w:rsid w:val="004B439D"/>
    <w:rsid w:val="004B43A1"/>
    <w:rsid w:val="004B4AC4"/>
    <w:rsid w:val="004B50A4"/>
    <w:rsid w:val="004B5342"/>
    <w:rsid w:val="004B5874"/>
    <w:rsid w:val="004B58FF"/>
    <w:rsid w:val="004B6E30"/>
    <w:rsid w:val="004B6EE4"/>
    <w:rsid w:val="004B78A7"/>
    <w:rsid w:val="004B7AB5"/>
    <w:rsid w:val="004C00EE"/>
    <w:rsid w:val="004C0159"/>
    <w:rsid w:val="004C058A"/>
    <w:rsid w:val="004C073E"/>
    <w:rsid w:val="004C10E3"/>
    <w:rsid w:val="004C142F"/>
    <w:rsid w:val="004C17E6"/>
    <w:rsid w:val="004C20E9"/>
    <w:rsid w:val="004C215F"/>
    <w:rsid w:val="004C28A7"/>
    <w:rsid w:val="004C29EF"/>
    <w:rsid w:val="004C2E46"/>
    <w:rsid w:val="004C3EFA"/>
    <w:rsid w:val="004C3FA3"/>
    <w:rsid w:val="004C4539"/>
    <w:rsid w:val="004C48FE"/>
    <w:rsid w:val="004C494B"/>
    <w:rsid w:val="004C5211"/>
    <w:rsid w:val="004C52CF"/>
    <w:rsid w:val="004C551C"/>
    <w:rsid w:val="004C5C31"/>
    <w:rsid w:val="004C6C49"/>
    <w:rsid w:val="004C7497"/>
    <w:rsid w:val="004C7998"/>
    <w:rsid w:val="004D0D67"/>
    <w:rsid w:val="004D0F76"/>
    <w:rsid w:val="004D118D"/>
    <w:rsid w:val="004D1CF6"/>
    <w:rsid w:val="004D24E1"/>
    <w:rsid w:val="004D2EA1"/>
    <w:rsid w:val="004D3B66"/>
    <w:rsid w:val="004D3EB4"/>
    <w:rsid w:val="004D4AAF"/>
    <w:rsid w:val="004D5583"/>
    <w:rsid w:val="004D586D"/>
    <w:rsid w:val="004D591D"/>
    <w:rsid w:val="004D5938"/>
    <w:rsid w:val="004D5C3F"/>
    <w:rsid w:val="004D5D3C"/>
    <w:rsid w:val="004D6075"/>
    <w:rsid w:val="004D6895"/>
    <w:rsid w:val="004D7108"/>
    <w:rsid w:val="004D7C78"/>
    <w:rsid w:val="004D7E38"/>
    <w:rsid w:val="004E01B5"/>
    <w:rsid w:val="004E05F2"/>
    <w:rsid w:val="004E0A39"/>
    <w:rsid w:val="004E11FB"/>
    <w:rsid w:val="004E1836"/>
    <w:rsid w:val="004E20F0"/>
    <w:rsid w:val="004E25B9"/>
    <w:rsid w:val="004E2B2C"/>
    <w:rsid w:val="004E2DDA"/>
    <w:rsid w:val="004E3AA3"/>
    <w:rsid w:val="004E3E86"/>
    <w:rsid w:val="004E42D4"/>
    <w:rsid w:val="004E444B"/>
    <w:rsid w:val="004E4595"/>
    <w:rsid w:val="004E4BCF"/>
    <w:rsid w:val="004E505C"/>
    <w:rsid w:val="004E69F7"/>
    <w:rsid w:val="004E6F3C"/>
    <w:rsid w:val="004E72E8"/>
    <w:rsid w:val="004E7489"/>
    <w:rsid w:val="004F00C6"/>
    <w:rsid w:val="004F01E6"/>
    <w:rsid w:val="004F03A3"/>
    <w:rsid w:val="004F0458"/>
    <w:rsid w:val="004F06B1"/>
    <w:rsid w:val="004F1959"/>
    <w:rsid w:val="004F26EC"/>
    <w:rsid w:val="004F2DDD"/>
    <w:rsid w:val="004F3281"/>
    <w:rsid w:val="004F3888"/>
    <w:rsid w:val="004F3AC8"/>
    <w:rsid w:val="004F3FBB"/>
    <w:rsid w:val="004F4FCB"/>
    <w:rsid w:val="004F509C"/>
    <w:rsid w:val="004F5CB8"/>
    <w:rsid w:val="004F6686"/>
    <w:rsid w:val="004F6C8D"/>
    <w:rsid w:val="004F770A"/>
    <w:rsid w:val="004F7E25"/>
    <w:rsid w:val="00500038"/>
    <w:rsid w:val="00500107"/>
    <w:rsid w:val="00500DC0"/>
    <w:rsid w:val="00502A86"/>
    <w:rsid w:val="00502C73"/>
    <w:rsid w:val="00502CED"/>
    <w:rsid w:val="00502DD4"/>
    <w:rsid w:val="00502E0E"/>
    <w:rsid w:val="005032FD"/>
    <w:rsid w:val="005041EA"/>
    <w:rsid w:val="00504C1A"/>
    <w:rsid w:val="0050504A"/>
    <w:rsid w:val="00505890"/>
    <w:rsid w:val="00506642"/>
    <w:rsid w:val="005066AA"/>
    <w:rsid w:val="00506C2A"/>
    <w:rsid w:val="0050761C"/>
    <w:rsid w:val="00507FCF"/>
    <w:rsid w:val="00511388"/>
    <w:rsid w:val="00511B08"/>
    <w:rsid w:val="00511CDB"/>
    <w:rsid w:val="00511D95"/>
    <w:rsid w:val="005131F6"/>
    <w:rsid w:val="00513641"/>
    <w:rsid w:val="0051427F"/>
    <w:rsid w:val="005142E3"/>
    <w:rsid w:val="00514519"/>
    <w:rsid w:val="0051458E"/>
    <w:rsid w:val="00514641"/>
    <w:rsid w:val="005150F4"/>
    <w:rsid w:val="0051566C"/>
    <w:rsid w:val="00515F06"/>
    <w:rsid w:val="005162BF"/>
    <w:rsid w:val="00516689"/>
    <w:rsid w:val="00516D12"/>
    <w:rsid w:val="00516E01"/>
    <w:rsid w:val="005173FF"/>
    <w:rsid w:val="0051798E"/>
    <w:rsid w:val="0052091F"/>
    <w:rsid w:val="00520C33"/>
    <w:rsid w:val="00521167"/>
    <w:rsid w:val="00521C3C"/>
    <w:rsid w:val="00521E4E"/>
    <w:rsid w:val="00522119"/>
    <w:rsid w:val="005223E5"/>
    <w:rsid w:val="00522405"/>
    <w:rsid w:val="005224FE"/>
    <w:rsid w:val="005231BE"/>
    <w:rsid w:val="00523768"/>
    <w:rsid w:val="00523898"/>
    <w:rsid w:val="00523AC1"/>
    <w:rsid w:val="0052404E"/>
    <w:rsid w:val="005245C9"/>
    <w:rsid w:val="005245EA"/>
    <w:rsid w:val="00524E0F"/>
    <w:rsid w:val="005250C9"/>
    <w:rsid w:val="00525AB4"/>
    <w:rsid w:val="00525DF0"/>
    <w:rsid w:val="00525DF5"/>
    <w:rsid w:val="00525FE8"/>
    <w:rsid w:val="005270A6"/>
    <w:rsid w:val="005270B9"/>
    <w:rsid w:val="005273BB"/>
    <w:rsid w:val="00527790"/>
    <w:rsid w:val="0052786D"/>
    <w:rsid w:val="00527B20"/>
    <w:rsid w:val="00527DEE"/>
    <w:rsid w:val="00530281"/>
    <w:rsid w:val="0053113A"/>
    <w:rsid w:val="00532848"/>
    <w:rsid w:val="0053291F"/>
    <w:rsid w:val="0053297F"/>
    <w:rsid w:val="005331EB"/>
    <w:rsid w:val="00533220"/>
    <w:rsid w:val="00533C46"/>
    <w:rsid w:val="005342F1"/>
    <w:rsid w:val="00534ADA"/>
    <w:rsid w:val="00534BDB"/>
    <w:rsid w:val="00534CA7"/>
    <w:rsid w:val="00535057"/>
    <w:rsid w:val="005351CA"/>
    <w:rsid w:val="0053531F"/>
    <w:rsid w:val="005353CD"/>
    <w:rsid w:val="005356A6"/>
    <w:rsid w:val="00536A0A"/>
    <w:rsid w:val="005377FF"/>
    <w:rsid w:val="00537CAA"/>
    <w:rsid w:val="00537F93"/>
    <w:rsid w:val="00540415"/>
    <w:rsid w:val="005408CF"/>
    <w:rsid w:val="00540EF7"/>
    <w:rsid w:val="0054151C"/>
    <w:rsid w:val="00542D59"/>
    <w:rsid w:val="005445AB"/>
    <w:rsid w:val="005451C3"/>
    <w:rsid w:val="00545441"/>
    <w:rsid w:val="0054674C"/>
    <w:rsid w:val="00547068"/>
    <w:rsid w:val="0054721A"/>
    <w:rsid w:val="00547423"/>
    <w:rsid w:val="00547AB9"/>
    <w:rsid w:val="005508F3"/>
    <w:rsid w:val="005517C7"/>
    <w:rsid w:val="00551896"/>
    <w:rsid w:val="0055225D"/>
    <w:rsid w:val="00552325"/>
    <w:rsid w:val="005523BB"/>
    <w:rsid w:val="0055255B"/>
    <w:rsid w:val="00552889"/>
    <w:rsid w:val="00552CC5"/>
    <w:rsid w:val="0055309E"/>
    <w:rsid w:val="0055434F"/>
    <w:rsid w:val="005559E3"/>
    <w:rsid w:val="00555FC7"/>
    <w:rsid w:val="00557B2F"/>
    <w:rsid w:val="00557C26"/>
    <w:rsid w:val="00560358"/>
    <w:rsid w:val="0056044C"/>
    <w:rsid w:val="0056135C"/>
    <w:rsid w:val="00561764"/>
    <w:rsid w:val="00561767"/>
    <w:rsid w:val="00561908"/>
    <w:rsid w:val="00562402"/>
    <w:rsid w:val="005628E8"/>
    <w:rsid w:val="0056350E"/>
    <w:rsid w:val="005637E2"/>
    <w:rsid w:val="005643B2"/>
    <w:rsid w:val="00564BF9"/>
    <w:rsid w:val="00564E6A"/>
    <w:rsid w:val="00565586"/>
    <w:rsid w:val="00565E48"/>
    <w:rsid w:val="00566321"/>
    <w:rsid w:val="0056656B"/>
    <w:rsid w:val="00566F04"/>
    <w:rsid w:val="005671E4"/>
    <w:rsid w:val="00567785"/>
    <w:rsid w:val="00567AB6"/>
    <w:rsid w:val="00567C49"/>
    <w:rsid w:val="00570219"/>
    <w:rsid w:val="0057030A"/>
    <w:rsid w:val="0057085B"/>
    <w:rsid w:val="0057131F"/>
    <w:rsid w:val="00571BC3"/>
    <w:rsid w:val="00572139"/>
    <w:rsid w:val="00572171"/>
    <w:rsid w:val="00572200"/>
    <w:rsid w:val="005729F6"/>
    <w:rsid w:val="005731A4"/>
    <w:rsid w:val="00573B6D"/>
    <w:rsid w:val="00573B72"/>
    <w:rsid w:val="00574866"/>
    <w:rsid w:val="005749DB"/>
    <w:rsid w:val="00574FB7"/>
    <w:rsid w:val="00575163"/>
    <w:rsid w:val="00575295"/>
    <w:rsid w:val="00575730"/>
    <w:rsid w:val="00575854"/>
    <w:rsid w:val="00576C38"/>
    <w:rsid w:val="005773BD"/>
    <w:rsid w:val="00577400"/>
    <w:rsid w:val="0057754C"/>
    <w:rsid w:val="00577BFA"/>
    <w:rsid w:val="00577BFE"/>
    <w:rsid w:val="00577D73"/>
    <w:rsid w:val="00580798"/>
    <w:rsid w:val="00580D4E"/>
    <w:rsid w:val="00580E29"/>
    <w:rsid w:val="00582BAC"/>
    <w:rsid w:val="00582F39"/>
    <w:rsid w:val="00584327"/>
    <w:rsid w:val="00584857"/>
    <w:rsid w:val="005857EC"/>
    <w:rsid w:val="00585FD6"/>
    <w:rsid w:val="00586A2F"/>
    <w:rsid w:val="00586C69"/>
    <w:rsid w:val="00586DE8"/>
    <w:rsid w:val="00587443"/>
    <w:rsid w:val="005874F0"/>
    <w:rsid w:val="005877D2"/>
    <w:rsid w:val="00587910"/>
    <w:rsid w:val="0059054D"/>
    <w:rsid w:val="00590C77"/>
    <w:rsid w:val="00590F63"/>
    <w:rsid w:val="00591713"/>
    <w:rsid w:val="00591D59"/>
    <w:rsid w:val="005920CA"/>
    <w:rsid w:val="0059217B"/>
    <w:rsid w:val="005922AF"/>
    <w:rsid w:val="00592490"/>
    <w:rsid w:val="005926D7"/>
    <w:rsid w:val="005929DA"/>
    <w:rsid w:val="00592E97"/>
    <w:rsid w:val="0059300F"/>
    <w:rsid w:val="00593072"/>
    <w:rsid w:val="00593516"/>
    <w:rsid w:val="00593AB5"/>
    <w:rsid w:val="0059406A"/>
    <w:rsid w:val="00594892"/>
    <w:rsid w:val="00594985"/>
    <w:rsid w:val="005958EE"/>
    <w:rsid w:val="00596363"/>
    <w:rsid w:val="00596523"/>
    <w:rsid w:val="0059665E"/>
    <w:rsid w:val="005969B8"/>
    <w:rsid w:val="00596D6E"/>
    <w:rsid w:val="005A11C7"/>
    <w:rsid w:val="005A13EE"/>
    <w:rsid w:val="005A16FA"/>
    <w:rsid w:val="005A19B0"/>
    <w:rsid w:val="005A24EA"/>
    <w:rsid w:val="005A278D"/>
    <w:rsid w:val="005A3B28"/>
    <w:rsid w:val="005A4382"/>
    <w:rsid w:val="005A4661"/>
    <w:rsid w:val="005A4A94"/>
    <w:rsid w:val="005A5CEC"/>
    <w:rsid w:val="005A5FE5"/>
    <w:rsid w:val="005A6836"/>
    <w:rsid w:val="005A74C4"/>
    <w:rsid w:val="005B01D4"/>
    <w:rsid w:val="005B0A3C"/>
    <w:rsid w:val="005B13EE"/>
    <w:rsid w:val="005B21E3"/>
    <w:rsid w:val="005B27B9"/>
    <w:rsid w:val="005B2802"/>
    <w:rsid w:val="005B2A99"/>
    <w:rsid w:val="005B2CE1"/>
    <w:rsid w:val="005B2F18"/>
    <w:rsid w:val="005B2FC4"/>
    <w:rsid w:val="005B39E8"/>
    <w:rsid w:val="005B3AAE"/>
    <w:rsid w:val="005B4547"/>
    <w:rsid w:val="005B46D9"/>
    <w:rsid w:val="005B4BA7"/>
    <w:rsid w:val="005B5D57"/>
    <w:rsid w:val="005B6163"/>
    <w:rsid w:val="005B66B1"/>
    <w:rsid w:val="005B6EC6"/>
    <w:rsid w:val="005B7096"/>
    <w:rsid w:val="005B71BD"/>
    <w:rsid w:val="005B7646"/>
    <w:rsid w:val="005B7B17"/>
    <w:rsid w:val="005B7D9D"/>
    <w:rsid w:val="005B7F12"/>
    <w:rsid w:val="005C040A"/>
    <w:rsid w:val="005C075F"/>
    <w:rsid w:val="005C0CDE"/>
    <w:rsid w:val="005C0F54"/>
    <w:rsid w:val="005C16B6"/>
    <w:rsid w:val="005C2387"/>
    <w:rsid w:val="005C2598"/>
    <w:rsid w:val="005C27D7"/>
    <w:rsid w:val="005C285E"/>
    <w:rsid w:val="005C2AEF"/>
    <w:rsid w:val="005C2E1B"/>
    <w:rsid w:val="005C37C6"/>
    <w:rsid w:val="005C3A00"/>
    <w:rsid w:val="005C3CD9"/>
    <w:rsid w:val="005C3DB2"/>
    <w:rsid w:val="005C45D4"/>
    <w:rsid w:val="005C5040"/>
    <w:rsid w:val="005C6261"/>
    <w:rsid w:val="005C6D88"/>
    <w:rsid w:val="005C6DAD"/>
    <w:rsid w:val="005C717E"/>
    <w:rsid w:val="005C7218"/>
    <w:rsid w:val="005C7C91"/>
    <w:rsid w:val="005C7E5E"/>
    <w:rsid w:val="005C7E72"/>
    <w:rsid w:val="005D0AA3"/>
    <w:rsid w:val="005D239D"/>
    <w:rsid w:val="005D297D"/>
    <w:rsid w:val="005D2CF1"/>
    <w:rsid w:val="005D2F77"/>
    <w:rsid w:val="005D4C70"/>
    <w:rsid w:val="005D51D0"/>
    <w:rsid w:val="005D5404"/>
    <w:rsid w:val="005D54AE"/>
    <w:rsid w:val="005D623E"/>
    <w:rsid w:val="005D6B6C"/>
    <w:rsid w:val="005D6B95"/>
    <w:rsid w:val="005D7228"/>
    <w:rsid w:val="005D7522"/>
    <w:rsid w:val="005D7AF7"/>
    <w:rsid w:val="005E0454"/>
    <w:rsid w:val="005E1334"/>
    <w:rsid w:val="005E1806"/>
    <w:rsid w:val="005E2164"/>
    <w:rsid w:val="005E278E"/>
    <w:rsid w:val="005E32C2"/>
    <w:rsid w:val="005E4306"/>
    <w:rsid w:val="005E516A"/>
    <w:rsid w:val="005E51E5"/>
    <w:rsid w:val="005E53C0"/>
    <w:rsid w:val="005E560B"/>
    <w:rsid w:val="005E5EEF"/>
    <w:rsid w:val="005E61A0"/>
    <w:rsid w:val="005E63A9"/>
    <w:rsid w:val="005E6E10"/>
    <w:rsid w:val="005E7570"/>
    <w:rsid w:val="005E7858"/>
    <w:rsid w:val="005F168E"/>
    <w:rsid w:val="005F2681"/>
    <w:rsid w:val="005F3746"/>
    <w:rsid w:val="005F4C46"/>
    <w:rsid w:val="005F62D3"/>
    <w:rsid w:val="005F65D1"/>
    <w:rsid w:val="005F6ED6"/>
    <w:rsid w:val="005F71EF"/>
    <w:rsid w:val="005F73BA"/>
    <w:rsid w:val="005F76DB"/>
    <w:rsid w:val="005F76DC"/>
    <w:rsid w:val="0060010A"/>
    <w:rsid w:val="00600DFD"/>
    <w:rsid w:val="00601513"/>
    <w:rsid w:val="00601A4B"/>
    <w:rsid w:val="006021D2"/>
    <w:rsid w:val="006023E4"/>
    <w:rsid w:val="00602529"/>
    <w:rsid w:val="00602649"/>
    <w:rsid w:val="00602CE7"/>
    <w:rsid w:val="0060351E"/>
    <w:rsid w:val="00603FFD"/>
    <w:rsid w:val="006044FD"/>
    <w:rsid w:val="00604A16"/>
    <w:rsid w:val="00604AE0"/>
    <w:rsid w:val="00604DE9"/>
    <w:rsid w:val="00605762"/>
    <w:rsid w:val="006074E2"/>
    <w:rsid w:val="00607F8D"/>
    <w:rsid w:val="00607F90"/>
    <w:rsid w:val="00610077"/>
    <w:rsid w:val="0061021E"/>
    <w:rsid w:val="0061166C"/>
    <w:rsid w:val="00611BC0"/>
    <w:rsid w:val="00611C08"/>
    <w:rsid w:val="00611C11"/>
    <w:rsid w:val="00611FB8"/>
    <w:rsid w:val="006124D5"/>
    <w:rsid w:val="00612C67"/>
    <w:rsid w:val="00614267"/>
    <w:rsid w:val="00614BDD"/>
    <w:rsid w:val="00615041"/>
    <w:rsid w:val="00616367"/>
    <w:rsid w:val="00616DD7"/>
    <w:rsid w:val="00617066"/>
    <w:rsid w:val="00617326"/>
    <w:rsid w:val="0061741B"/>
    <w:rsid w:val="006176BB"/>
    <w:rsid w:val="006177AA"/>
    <w:rsid w:val="00617BDC"/>
    <w:rsid w:val="006207EC"/>
    <w:rsid w:val="006208C1"/>
    <w:rsid w:val="00620AF2"/>
    <w:rsid w:val="00621BD7"/>
    <w:rsid w:val="006225D0"/>
    <w:rsid w:val="00622B43"/>
    <w:rsid w:val="00622B61"/>
    <w:rsid w:val="00622E6E"/>
    <w:rsid w:val="0062301A"/>
    <w:rsid w:val="0062386D"/>
    <w:rsid w:val="006238C5"/>
    <w:rsid w:val="006249DF"/>
    <w:rsid w:val="00624FD6"/>
    <w:rsid w:val="00625989"/>
    <w:rsid w:val="00625C7B"/>
    <w:rsid w:val="0062614E"/>
    <w:rsid w:val="00626245"/>
    <w:rsid w:val="00626285"/>
    <w:rsid w:val="006265B4"/>
    <w:rsid w:val="00627378"/>
    <w:rsid w:val="00627403"/>
    <w:rsid w:val="00627BED"/>
    <w:rsid w:val="00630225"/>
    <w:rsid w:val="006302E3"/>
    <w:rsid w:val="00630624"/>
    <w:rsid w:val="00630E3B"/>
    <w:rsid w:val="00630F2D"/>
    <w:rsid w:val="00631DAE"/>
    <w:rsid w:val="006325D7"/>
    <w:rsid w:val="0063262B"/>
    <w:rsid w:val="00632775"/>
    <w:rsid w:val="00632C62"/>
    <w:rsid w:val="00633070"/>
    <w:rsid w:val="00633B38"/>
    <w:rsid w:val="00634B06"/>
    <w:rsid w:val="00635862"/>
    <w:rsid w:val="006359E8"/>
    <w:rsid w:val="00635B03"/>
    <w:rsid w:val="00635C99"/>
    <w:rsid w:val="00635CC1"/>
    <w:rsid w:val="00637FE5"/>
    <w:rsid w:val="006402D7"/>
    <w:rsid w:val="00640A8A"/>
    <w:rsid w:val="00641948"/>
    <w:rsid w:val="00641CE6"/>
    <w:rsid w:val="006422F2"/>
    <w:rsid w:val="006423A2"/>
    <w:rsid w:val="0064275E"/>
    <w:rsid w:val="0064281A"/>
    <w:rsid w:val="006429D8"/>
    <w:rsid w:val="00643097"/>
    <w:rsid w:val="00643D0A"/>
    <w:rsid w:val="00643FC7"/>
    <w:rsid w:val="00644121"/>
    <w:rsid w:val="00644A66"/>
    <w:rsid w:val="0064507D"/>
    <w:rsid w:val="0064552A"/>
    <w:rsid w:val="006459B3"/>
    <w:rsid w:val="00645AFB"/>
    <w:rsid w:val="00646E68"/>
    <w:rsid w:val="00646F4D"/>
    <w:rsid w:val="0064721F"/>
    <w:rsid w:val="00647FE4"/>
    <w:rsid w:val="006504FE"/>
    <w:rsid w:val="00650607"/>
    <w:rsid w:val="0065064D"/>
    <w:rsid w:val="00650B1A"/>
    <w:rsid w:val="00651332"/>
    <w:rsid w:val="006514EC"/>
    <w:rsid w:val="00653028"/>
    <w:rsid w:val="00653510"/>
    <w:rsid w:val="00653640"/>
    <w:rsid w:val="0065375B"/>
    <w:rsid w:val="00653A7F"/>
    <w:rsid w:val="0065407E"/>
    <w:rsid w:val="006541EE"/>
    <w:rsid w:val="0065424F"/>
    <w:rsid w:val="0065512A"/>
    <w:rsid w:val="0065543E"/>
    <w:rsid w:val="00655770"/>
    <w:rsid w:val="006557CE"/>
    <w:rsid w:val="0065587C"/>
    <w:rsid w:val="00655892"/>
    <w:rsid w:val="0065634F"/>
    <w:rsid w:val="00657C55"/>
    <w:rsid w:val="00661651"/>
    <w:rsid w:val="00661D69"/>
    <w:rsid w:val="0066277A"/>
    <w:rsid w:val="0066290C"/>
    <w:rsid w:val="0066305E"/>
    <w:rsid w:val="0066333C"/>
    <w:rsid w:val="00663B1C"/>
    <w:rsid w:val="006654F6"/>
    <w:rsid w:val="00665CB1"/>
    <w:rsid w:val="00666239"/>
    <w:rsid w:val="00666C7F"/>
    <w:rsid w:val="006675B0"/>
    <w:rsid w:val="0066762F"/>
    <w:rsid w:val="006677E1"/>
    <w:rsid w:val="0067005C"/>
    <w:rsid w:val="006702B9"/>
    <w:rsid w:val="00670541"/>
    <w:rsid w:val="006711F7"/>
    <w:rsid w:val="00671367"/>
    <w:rsid w:val="00672660"/>
    <w:rsid w:val="00672D4F"/>
    <w:rsid w:val="006734F3"/>
    <w:rsid w:val="006734FC"/>
    <w:rsid w:val="006736C9"/>
    <w:rsid w:val="0067382A"/>
    <w:rsid w:val="00673C6E"/>
    <w:rsid w:val="00674C4C"/>
    <w:rsid w:val="00674F70"/>
    <w:rsid w:val="0067559D"/>
    <w:rsid w:val="006759D8"/>
    <w:rsid w:val="00675A71"/>
    <w:rsid w:val="00675EAB"/>
    <w:rsid w:val="0067610C"/>
    <w:rsid w:val="006764A9"/>
    <w:rsid w:val="006764BD"/>
    <w:rsid w:val="00676958"/>
    <w:rsid w:val="00677E26"/>
    <w:rsid w:val="00680DC5"/>
    <w:rsid w:val="006816F3"/>
    <w:rsid w:val="00681D9A"/>
    <w:rsid w:val="00681E4D"/>
    <w:rsid w:val="00682643"/>
    <w:rsid w:val="00682A10"/>
    <w:rsid w:val="00683252"/>
    <w:rsid w:val="00683B85"/>
    <w:rsid w:val="006848EA"/>
    <w:rsid w:val="006849D3"/>
    <w:rsid w:val="0068507C"/>
    <w:rsid w:val="006850E0"/>
    <w:rsid w:val="006857CC"/>
    <w:rsid w:val="00685C17"/>
    <w:rsid w:val="00686368"/>
    <w:rsid w:val="00686682"/>
    <w:rsid w:val="00686832"/>
    <w:rsid w:val="00687800"/>
    <w:rsid w:val="00687C2C"/>
    <w:rsid w:val="00690302"/>
    <w:rsid w:val="006909FA"/>
    <w:rsid w:val="00690B9B"/>
    <w:rsid w:val="00690ECC"/>
    <w:rsid w:val="006911A2"/>
    <w:rsid w:val="00691781"/>
    <w:rsid w:val="00691C3D"/>
    <w:rsid w:val="0069216B"/>
    <w:rsid w:val="006924AF"/>
    <w:rsid w:val="00693237"/>
    <w:rsid w:val="00693285"/>
    <w:rsid w:val="006932ED"/>
    <w:rsid w:val="00693B23"/>
    <w:rsid w:val="00693C15"/>
    <w:rsid w:val="0069414C"/>
    <w:rsid w:val="00694B85"/>
    <w:rsid w:val="00694E23"/>
    <w:rsid w:val="00694FD9"/>
    <w:rsid w:val="00695B7E"/>
    <w:rsid w:val="00696089"/>
    <w:rsid w:val="00696C5D"/>
    <w:rsid w:val="00696D9D"/>
    <w:rsid w:val="0069751F"/>
    <w:rsid w:val="00697568"/>
    <w:rsid w:val="00697A59"/>
    <w:rsid w:val="00697C2C"/>
    <w:rsid w:val="00697DC5"/>
    <w:rsid w:val="006A03AB"/>
    <w:rsid w:val="006A0542"/>
    <w:rsid w:val="006A0ED2"/>
    <w:rsid w:val="006A12B7"/>
    <w:rsid w:val="006A14AC"/>
    <w:rsid w:val="006A18BF"/>
    <w:rsid w:val="006A1A11"/>
    <w:rsid w:val="006A1C29"/>
    <w:rsid w:val="006A1CE2"/>
    <w:rsid w:val="006A2211"/>
    <w:rsid w:val="006A23EE"/>
    <w:rsid w:val="006A43C4"/>
    <w:rsid w:val="006A48B6"/>
    <w:rsid w:val="006A4C6F"/>
    <w:rsid w:val="006A526E"/>
    <w:rsid w:val="006A5BE1"/>
    <w:rsid w:val="006A613E"/>
    <w:rsid w:val="006A61F6"/>
    <w:rsid w:val="006B014A"/>
    <w:rsid w:val="006B0217"/>
    <w:rsid w:val="006B024C"/>
    <w:rsid w:val="006B05C1"/>
    <w:rsid w:val="006B07EA"/>
    <w:rsid w:val="006B07EF"/>
    <w:rsid w:val="006B07F1"/>
    <w:rsid w:val="006B1006"/>
    <w:rsid w:val="006B1174"/>
    <w:rsid w:val="006B1E8D"/>
    <w:rsid w:val="006B2983"/>
    <w:rsid w:val="006B3020"/>
    <w:rsid w:val="006B32F0"/>
    <w:rsid w:val="006B3936"/>
    <w:rsid w:val="006B4FF6"/>
    <w:rsid w:val="006B606A"/>
    <w:rsid w:val="006B648E"/>
    <w:rsid w:val="006B6AF5"/>
    <w:rsid w:val="006C00D7"/>
    <w:rsid w:val="006C02C6"/>
    <w:rsid w:val="006C041A"/>
    <w:rsid w:val="006C055E"/>
    <w:rsid w:val="006C2A34"/>
    <w:rsid w:val="006C2C0C"/>
    <w:rsid w:val="006C2D23"/>
    <w:rsid w:val="006C33EB"/>
    <w:rsid w:val="006C3987"/>
    <w:rsid w:val="006C46F1"/>
    <w:rsid w:val="006C50F3"/>
    <w:rsid w:val="006C5BBA"/>
    <w:rsid w:val="006C5CDD"/>
    <w:rsid w:val="006C5E3B"/>
    <w:rsid w:val="006C6A4D"/>
    <w:rsid w:val="006C6D0D"/>
    <w:rsid w:val="006C7175"/>
    <w:rsid w:val="006C748F"/>
    <w:rsid w:val="006D0AE5"/>
    <w:rsid w:val="006D19E2"/>
    <w:rsid w:val="006D1DCB"/>
    <w:rsid w:val="006D1F0B"/>
    <w:rsid w:val="006D2093"/>
    <w:rsid w:val="006D20C1"/>
    <w:rsid w:val="006D25CA"/>
    <w:rsid w:val="006D2612"/>
    <w:rsid w:val="006D2862"/>
    <w:rsid w:val="006D2AE6"/>
    <w:rsid w:val="006D2D2C"/>
    <w:rsid w:val="006D2FFF"/>
    <w:rsid w:val="006D3D24"/>
    <w:rsid w:val="006D4497"/>
    <w:rsid w:val="006D4860"/>
    <w:rsid w:val="006D4BFD"/>
    <w:rsid w:val="006D4BFE"/>
    <w:rsid w:val="006D523E"/>
    <w:rsid w:val="006D563A"/>
    <w:rsid w:val="006D5E3D"/>
    <w:rsid w:val="006D5F31"/>
    <w:rsid w:val="006D672F"/>
    <w:rsid w:val="006D699B"/>
    <w:rsid w:val="006D7C1E"/>
    <w:rsid w:val="006D7E3F"/>
    <w:rsid w:val="006E0040"/>
    <w:rsid w:val="006E016B"/>
    <w:rsid w:val="006E0229"/>
    <w:rsid w:val="006E02D0"/>
    <w:rsid w:val="006E06A8"/>
    <w:rsid w:val="006E0BD4"/>
    <w:rsid w:val="006E0DE4"/>
    <w:rsid w:val="006E1003"/>
    <w:rsid w:val="006E1108"/>
    <w:rsid w:val="006E174A"/>
    <w:rsid w:val="006E1C91"/>
    <w:rsid w:val="006E1EAF"/>
    <w:rsid w:val="006E1EB3"/>
    <w:rsid w:val="006E2B1A"/>
    <w:rsid w:val="006E2E3C"/>
    <w:rsid w:val="006E3542"/>
    <w:rsid w:val="006E39B0"/>
    <w:rsid w:val="006E4263"/>
    <w:rsid w:val="006E4C3C"/>
    <w:rsid w:val="006E5211"/>
    <w:rsid w:val="006E5939"/>
    <w:rsid w:val="006E63E2"/>
    <w:rsid w:val="006E7951"/>
    <w:rsid w:val="006E7FA9"/>
    <w:rsid w:val="006F09D0"/>
    <w:rsid w:val="006F1176"/>
    <w:rsid w:val="006F2599"/>
    <w:rsid w:val="006F28FA"/>
    <w:rsid w:val="006F2AA0"/>
    <w:rsid w:val="006F35E8"/>
    <w:rsid w:val="006F3745"/>
    <w:rsid w:val="006F4514"/>
    <w:rsid w:val="006F500F"/>
    <w:rsid w:val="006F60B6"/>
    <w:rsid w:val="006F60E0"/>
    <w:rsid w:val="006F683F"/>
    <w:rsid w:val="006F709D"/>
    <w:rsid w:val="006F76B3"/>
    <w:rsid w:val="006F7CE7"/>
    <w:rsid w:val="007000E8"/>
    <w:rsid w:val="007008DC"/>
    <w:rsid w:val="00700BF2"/>
    <w:rsid w:val="00701655"/>
    <w:rsid w:val="00701844"/>
    <w:rsid w:val="00701A53"/>
    <w:rsid w:val="007024F2"/>
    <w:rsid w:val="00702C01"/>
    <w:rsid w:val="00703A04"/>
    <w:rsid w:val="0070482F"/>
    <w:rsid w:val="0070493C"/>
    <w:rsid w:val="00705A7B"/>
    <w:rsid w:val="0070690E"/>
    <w:rsid w:val="007072A6"/>
    <w:rsid w:val="00710215"/>
    <w:rsid w:val="007104FF"/>
    <w:rsid w:val="0071128B"/>
    <w:rsid w:val="0071290C"/>
    <w:rsid w:val="007134DD"/>
    <w:rsid w:val="00713DB1"/>
    <w:rsid w:val="00713E18"/>
    <w:rsid w:val="00714923"/>
    <w:rsid w:val="00714D6F"/>
    <w:rsid w:val="00715110"/>
    <w:rsid w:val="0071652D"/>
    <w:rsid w:val="00716984"/>
    <w:rsid w:val="00716E78"/>
    <w:rsid w:val="00716F2E"/>
    <w:rsid w:val="0072015F"/>
    <w:rsid w:val="00720B74"/>
    <w:rsid w:val="0072104F"/>
    <w:rsid w:val="00721342"/>
    <w:rsid w:val="00721750"/>
    <w:rsid w:val="00721A1C"/>
    <w:rsid w:val="007220FC"/>
    <w:rsid w:val="00722176"/>
    <w:rsid w:val="0072264D"/>
    <w:rsid w:val="007228EB"/>
    <w:rsid w:val="007231BE"/>
    <w:rsid w:val="00723261"/>
    <w:rsid w:val="00723562"/>
    <w:rsid w:val="00723B21"/>
    <w:rsid w:val="00723BF8"/>
    <w:rsid w:val="007240AC"/>
    <w:rsid w:val="007245C0"/>
    <w:rsid w:val="007249D0"/>
    <w:rsid w:val="00724CAA"/>
    <w:rsid w:val="00724D30"/>
    <w:rsid w:val="00724EBC"/>
    <w:rsid w:val="00725AE7"/>
    <w:rsid w:val="00725EEC"/>
    <w:rsid w:val="00726947"/>
    <w:rsid w:val="00726A4B"/>
    <w:rsid w:val="00726BBD"/>
    <w:rsid w:val="0072733C"/>
    <w:rsid w:val="007301AE"/>
    <w:rsid w:val="00731039"/>
    <w:rsid w:val="00731529"/>
    <w:rsid w:val="007315AB"/>
    <w:rsid w:val="00731B34"/>
    <w:rsid w:val="007336C4"/>
    <w:rsid w:val="007344A7"/>
    <w:rsid w:val="00734CD3"/>
    <w:rsid w:val="00735D3F"/>
    <w:rsid w:val="00735FC9"/>
    <w:rsid w:val="00735FF8"/>
    <w:rsid w:val="00736284"/>
    <w:rsid w:val="00736910"/>
    <w:rsid w:val="00737255"/>
    <w:rsid w:val="0073764D"/>
    <w:rsid w:val="00737ED1"/>
    <w:rsid w:val="0074062F"/>
    <w:rsid w:val="007406F5"/>
    <w:rsid w:val="007407D7"/>
    <w:rsid w:val="00740AA7"/>
    <w:rsid w:val="00741A41"/>
    <w:rsid w:val="00742A9C"/>
    <w:rsid w:val="00742EDD"/>
    <w:rsid w:val="00743AF4"/>
    <w:rsid w:val="00743B79"/>
    <w:rsid w:val="0074416D"/>
    <w:rsid w:val="0074532F"/>
    <w:rsid w:val="00745C0A"/>
    <w:rsid w:val="00745EDD"/>
    <w:rsid w:val="0074621B"/>
    <w:rsid w:val="00746ED5"/>
    <w:rsid w:val="00751B3F"/>
    <w:rsid w:val="00751BE4"/>
    <w:rsid w:val="00752C6A"/>
    <w:rsid w:val="00752DB1"/>
    <w:rsid w:val="00753B6D"/>
    <w:rsid w:val="00753E5B"/>
    <w:rsid w:val="00753FAC"/>
    <w:rsid w:val="007541EA"/>
    <w:rsid w:val="00755DE4"/>
    <w:rsid w:val="00756527"/>
    <w:rsid w:val="00756A37"/>
    <w:rsid w:val="00756D04"/>
    <w:rsid w:val="00756E55"/>
    <w:rsid w:val="00756EB0"/>
    <w:rsid w:val="0075718F"/>
    <w:rsid w:val="007572CD"/>
    <w:rsid w:val="007600A8"/>
    <w:rsid w:val="0076073D"/>
    <w:rsid w:val="0076086B"/>
    <w:rsid w:val="007608A1"/>
    <w:rsid w:val="007608D9"/>
    <w:rsid w:val="0076092F"/>
    <w:rsid w:val="0076100E"/>
    <w:rsid w:val="00761613"/>
    <w:rsid w:val="00761999"/>
    <w:rsid w:val="0076327C"/>
    <w:rsid w:val="007635D4"/>
    <w:rsid w:val="00763630"/>
    <w:rsid w:val="007642AA"/>
    <w:rsid w:val="00764664"/>
    <w:rsid w:val="0076476D"/>
    <w:rsid w:val="00764E80"/>
    <w:rsid w:val="00764EC6"/>
    <w:rsid w:val="0076546A"/>
    <w:rsid w:val="007658BA"/>
    <w:rsid w:val="00765AFE"/>
    <w:rsid w:val="00766FA4"/>
    <w:rsid w:val="007701F2"/>
    <w:rsid w:val="0077042A"/>
    <w:rsid w:val="0077059E"/>
    <w:rsid w:val="00770A7C"/>
    <w:rsid w:val="0077126E"/>
    <w:rsid w:val="00771505"/>
    <w:rsid w:val="00771538"/>
    <w:rsid w:val="007716C1"/>
    <w:rsid w:val="00771BCD"/>
    <w:rsid w:val="00772A9B"/>
    <w:rsid w:val="00772DF1"/>
    <w:rsid w:val="0077323A"/>
    <w:rsid w:val="00773E33"/>
    <w:rsid w:val="00774233"/>
    <w:rsid w:val="00774DB4"/>
    <w:rsid w:val="00775158"/>
    <w:rsid w:val="00775D6F"/>
    <w:rsid w:val="00776813"/>
    <w:rsid w:val="00776C2B"/>
    <w:rsid w:val="00777022"/>
    <w:rsid w:val="00777F18"/>
    <w:rsid w:val="00780B2A"/>
    <w:rsid w:val="00781142"/>
    <w:rsid w:val="007815C8"/>
    <w:rsid w:val="00781666"/>
    <w:rsid w:val="00781DCD"/>
    <w:rsid w:val="007823AA"/>
    <w:rsid w:val="00782DC2"/>
    <w:rsid w:val="00783213"/>
    <w:rsid w:val="007848E1"/>
    <w:rsid w:val="0078495E"/>
    <w:rsid w:val="007849E5"/>
    <w:rsid w:val="00784CB9"/>
    <w:rsid w:val="007854DD"/>
    <w:rsid w:val="00785539"/>
    <w:rsid w:val="00785C96"/>
    <w:rsid w:val="00785F1D"/>
    <w:rsid w:val="007868BC"/>
    <w:rsid w:val="00786DB5"/>
    <w:rsid w:val="00787331"/>
    <w:rsid w:val="00787C5A"/>
    <w:rsid w:val="00790832"/>
    <w:rsid w:val="00790925"/>
    <w:rsid w:val="00790C4D"/>
    <w:rsid w:val="00790C77"/>
    <w:rsid w:val="00791D60"/>
    <w:rsid w:val="00791DC7"/>
    <w:rsid w:val="00792B22"/>
    <w:rsid w:val="007936A4"/>
    <w:rsid w:val="00794C9D"/>
    <w:rsid w:val="007950EC"/>
    <w:rsid w:val="0079524A"/>
    <w:rsid w:val="00795D07"/>
    <w:rsid w:val="007965C1"/>
    <w:rsid w:val="0079721D"/>
    <w:rsid w:val="00797F8A"/>
    <w:rsid w:val="007A00AA"/>
    <w:rsid w:val="007A00D2"/>
    <w:rsid w:val="007A0D23"/>
    <w:rsid w:val="007A0E40"/>
    <w:rsid w:val="007A0EE6"/>
    <w:rsid w:val="007A1083"/>
    <w:rsid w:val="007A1171"/>
    <w:rsid w:val="007A1931"/>
    <w:rsid w:val="007A19D8"/>
    <w:rsid w:val="007A20C9"/>
    <w:rsid w:val="007A2E09"/>
    <w:rsid w:val="007A342A"/>
    <w:rsid w:val="007A3F57"/>
    <w:rsid w:val="007A463B"/>
    <w:rsid w:val="007A4F0C"/>
    <w:rsid w:val="007A50C7"/>
    <w:rsid w:val="007A543D"/>
    <w:rsid w:val="007A6DB8"/>
    <w:rsid w:val="007A7483"/>
    <w:rsid w:val="007A7ED5"/>
    <w:rsid w:val="007A7F13"/>
    <w:rsid w:val="007B07F5"/>
    <w:rsid w:val="007B08AD"/>
    <w:rsid w:val="007B0E51"/>
    <w:rsid w:val="007B170D"/>
    <w:rsid w:val="007B18C7"/>
    <w:rsid w:val="007B1C61"/>
    <w:rsid w:val="007B1CBC"/>
    <w:rsid w:val="007B1FB9"/>
    <w:rsid w:val="007B2373"/>
    <w:rsid w:val="007B2BDB"/>
    <w:rsid w:val="007B345D"/>
    <w:rsid w:val="007B3A6F"/>
    <w:rsid w:val="007B3AD4"/>
    <w:rsid w:val="007B3B1F"/>
    <w:rsid w:val="007B3F71"/>
    <w:rsid w:val="007B4097"/>
    <w:rsid w:val="007B41AB"/>
    <w:rsid w:val="007B42D3"/>
    <w:rsid w:val="007B5087"/>
    <w:rsid w:val="007B61FD"/>
    <w:rsid w:val="007B64A3"/>
    <w:rsid w:val="007B7A8D"/>
    <w:rsid w:val="007C0889"/>
    <w:rsid w:val="007C0C10"/>
    <w:rsid w:val="007C0C7B"/>
    <w:rsid w:val="007C0F86"/>
    <w:rsid w:val="007C1929"/>
    <w:rsid w:val="007C1A03"/>
    <w:rsid w:val="007C1D41"/>
    <w:rsid w:val="007C273F"/>
    <w:rsid w:val="007C27FF"/>
    <w:rsid w:val="007C3247"/>
    <w:rsid w:val="007C32F3"/>
    <w:rsid w:val="007C43D3"/>
    <w:rsid w:val="007C4974"/>
    <w:rsid w:val="007C4DB7"/>
    <w:rsid w:val="007C5AE5"/>
    <w:rsid w:val="007C5E92"/>
    <w:rsid w:val="007C67F3"/>
    <w:rsid w:val="007C6F61"/>
    <w:rsid w:val="007C7206"/>
    <w:rsid w:val="007C7736"/>
    <w:rsid w:val="007C7796"/>
    <w:rsid w:val="007D1A7A"/>
    <w:rsid w:val="007D21AB"/>
    <w:rsid w:val="007D2429"/>
    <w:rsid w:val="007D25D2"/>
    <w:rsid w:val="007D289B"/>
    <w:rsid w:val="007D2E06"/>
    <w:rsid w:val="007D3B6A"/>
    <w:rsid w:val="007D452B"/>
    <w:rsid w:val="007D4BE8"/>
    <w:rsid w:val="007D4C43"/>
    <w:rsid w:val="007D4D4D"/>
    <w:rsid w:val="007D569A"/>
    <w:rsid w:val="007D5859"/>
    <w:rsid w:val="007D59B7"/>
    <w:rsid w:val="007D6B21"/>
    <w:rsid w:val="007D6B46"/>
    <w:rsid w:val="007D7F4A"/>
    <w:rsid w:val="007E04E1"/>
    <w:rsid w:val="007E0A22"/>
    <w:rsid w:val="007E0E0D"/>
    <w:rsid w:val="007E215E"/>
    <w:rsid w:val="007E268D"/>
    <w:rsid w:val="007E2CAA"/>
    <w:rsid w:val="007E2F2B"/>
    <w:rsid w:val="007E3354"/>
    <w:rsid w:val="007E36B1"/>
    <w:rsid w:val="007E36E7"/>
    <w:rsid w:val="007E3A11"/>
    <w:rsid w:val="007E3A76"/>
    <w:rsid w:val="007E41A6"/>
    <w:rsid w:val="007E4767"/>
    <w:rsid w:val="007E49AB"/>
    <w:rsid w:val="007E4E2F"/>
    <w:rsid w:val="007E53A2"/>
    <w:rsid w:val="007E54DF"/>
    <w:rsid w:val="007E56CF"/>
    <w:rsid w:val="007E5875"/>
    <w:rsid w:val="007E633F"/>
    <w:rsid w:val="007E6483"/>
    <w:rsid w:val="007E6570"/>
    <w:rsid w:val="007E73BE"/>
    <w:rsid w:val="007E7687"/>
    <w:rsid w:val="007E76B2"/>
    <w:rsid w:val="007E7B77"/>
    <w:rsid w:val="007F0125"/>
    <w:rsid w:val="007F10A5"/>
    <w:rsid w:val="007F1E07"/>
    <w:rsid w:val="007F1FF5"/>
    <w:rsid w:val="007F268E"/>
    <w:rsid w:val="007F3111"/>
    <w:rsid w:val="007F3A8F"/>
    <w:rsid w:val="007F3D98"/>
    <w:rsid w:val="007F4165"/>
    <w:rsid w:val="007F438B"/>
    <w:rsid w:val="007F4623"/>
    <w:rsid w:val="007F4812"/>
    <w:rsid w:val="007F4E99"/>
    <w:rsid w:val="007F5294"/>
    <w:rsid w:val="007F5839"/>
    <w:rsid w:val="007F6076"/>
    <w:rsid w:val="007F6548"/>
    <w:rsid w:val="007F6726"/>
    <w:rsid w:val="007F6B4D"/>
    <w:rsid w:val="007F7349"/>
    <w:rsid w:val="007F76CE"/>
    <w:rsid w:val="007F79CE"/>
    <w:rsid w:val="007F7F5F"/>
    <w:rsid w:val="00800223"/>
    <w:rsid w:val="00800581"/>
    <w:rsid w:val="00800682"/>
    <w:rsid w:val="00800F41"/>
    <w:rsid w:val="008017CD"/>
    <w:rsid w:val="00801938"/>
    <w:rsid w:val="0080224C"/>
    <w:rsid w:val="008024BC"/>
    <w:rsid w:val="00802BBD"/>
    <w:rsid w:val="00803CAE"/>
    <w:rsid w:val="00803F70"/>
    <w:rsid w:val="008044D5"/>
    <w:rsid w:val="008045EE"/>
    <w:rsid w:val="0080460A"/>
    <w:rsid w:val="00804D9F"/>
    <w:rsid w:val="00804DA8"/>
    <w:rsid w:val="00804E32"/>
    <w:rsid w:val="008057B0"/>
    <w:rsid w:val="00806EBD"/>
    <w:rsid w:val="00807013"/>
    <w:rsid w:val="00807A49"/>
    <w:rsid w:val="00807C0C"/>
    <w:rsid w:val="00807C99"/>
    <w:rsid w:val="00810238"/>
    <w:rsid w:val="008107E8"/>
    <w:rsid w:val="00810B3C"/>
    <w:rsid w:val="00811570"/>
    <w:rsid w:val="00811706"/>
    <w:rsid w:val="00811C44"/>
    <w:rsid w:val="00811EEF"/>
    <w:rsid w:val="00812058"/>
    <w:rsid w:val="008122F3"/>
    <w:rsid w:val="0081277B"/>
    <w:rsid w:val="0081290D"/>
    <w:rsid w:val="00812E0E"/>
    <w:rsid w:val="008133D3"/>
    <w:rsid w:val="008139A6"/>
    <w:rsid w:val="00813B4E"/>
    <w:rsid w:val="008157E6"/>
    <w:rsid w:val="008159AF"/>
    <w:rsid w:val="00816595"/>
    <w:rsid w:val="00817705"/>
    <w:rsid w:val="00817C94"/>
    <w:rsid w:val="00821B9B"/>
    <w:rsid w:val="00821C61"/>
    <w:rsid w:val="00822005"/>
    <w:rsid w:val="00822091"/>
    <w:rsid w:val="00822A5E"/>
    <w:rsid w:val="0082313C"/>
    <w:rsid w:val="00823AF8"/>
    <w:rsid w:val="00823E77"/>
    <w:rsid w:val="008248D1"/>
    <w:rsid w:val="00825985"/>
    <w:rsid w:val="008259B2"/>
    <w:rsid w:val="00825A3D"/>
    <w:rsid w:val="00825E71"/>
    <w:rsid w:val="00825FF6"/>
    <w:rsid w:val="008264D9"/>
    <w:rsid w:val="0082707F"/>
    <w:rsid w:val="0082741F"/>
    <w:rsid w:val="008274C7"/>
    <w:rsid w:val="00827695"/>
    <w:rsid w:val="00830554"/>
    <w:rsid w:val="008305A8"/>
    <w:rsid w:val="008306ED"/>
    <w:rsid w:val="008308C6"/>
    <w:rsid w:val="008309CB"/>
    <w:rsid w:val="00832223"/>
    <w:rsid w:val="0083268B"/>
    <w:rsid w:val="008327AA"/>
    <w:rsid w:val="0083308F"/>
    <w:rsid w:val="00833C22"/>
    <w:rsid w:val="00833F8A"/>
    <w:rsid w:val="00835034"/>
    <w:rsid w:val="00835340"/>
    <w:rsid w:val="008359F4"/>
    <w:rsid w:val="00835AA9"/>
    <w:rsid w:val="00835AD6"/>
    <w:rsid w:val="00835BF8"/>
    <w:rsid w:val="00836103"/>
    <w:rsid w:val="008367A3"/>
    <w:rsid w:val="00836E12"/>
    <w:rsid w:val="00837018"/>
    <w:rsid w:val="00837103"/>
    <w:rsid w:val="0083748F"/>
    <w:rsid w:val="0083789B"/>
    <w:rsid w:val="008378E3"/>
    <w:rsid w:val="00837D39"/>
    <w:rsid w:val="00837D71"/>
    <w:rsid w:val="00837EF3"/>
    <w:rsid w:val="00840015"/>
    <w:rsid w:val="008401C6"/>
    <w:rsid w:val="008403E2"/>
    <w:rsid w:val="008408D8"/>
    <w:rsid w:val="00840B6F"/>
    <w:rsid w:val="00840EC2"/>
    <w:rsid w:val="00840F61"/>
    <w:rsid w:val="00841051"/>
    <w:rsid w:val="00841A40"/>
    <w:rsid w:val="00841ABC"/>
    <w:rsid w:val="008422C4"/>
    <w:rsid w:val="008423C8"/>
    <w:rsid w:val="008424D2"/>
    <w:rsid w:val="0084262B"/>
    <w:rsid w:val="00842EF1"/>
    <w:rsid w:val="008431F1"/>
    <w:rsid w:val="00843848"/>
    <w:rsid w:val="00843863"/>
    <w:rsid w:val="00844A12"/>
    <w:rsid w:val="008463A0"/>
    <w:rsid w:val="00846435"/>
    <w:rsid w:val="00846753"/>
    <w:rsid w:val="008467B1"/>
    <w:rsid w:val="00846B32"/>
    <w:rsid w:val="00846BE8"/>
    <w:rsid w:val="00847359"/>
    <w:rsid w:val="008478A6"/>
    <w:rsid w:val="0085013D"/>
    <w:rsid w:val="00850201"/>
    <w:rsid w:val="0085038E"/>
    <w:rsid w:val="00850518"/>
    <w:rsid w:val="00851161"/>
    <w:rsid w:val="00851466"/>
    <w:rsid w:val="008515E5"/>
    <w:rsid w:val="008520A8"/>
    <w:rsid w:val="008523F6"/>
    <w:rsid w:val="00852466"/>
    <w:rsid w:val="00853343"/>
    <w:rsid w:val="008536EB"/>
    <w:rsid w:val="0085408A"/>
    <w:rsid w:val="00854138"/>
    <w:rsid w:val="00854190"/>
    <w:rsid w:val="008545A8"/>
    <w:rsid w:val="00855093"/>
    <w:rsid w:val="0085611E"/>
    <w:rsid w:val="008561A9"/>
    <w:rsid w:val="00856A91"/>
    <w:rsid w:val="00856C64"/>
    <w:rsid w:val="00856D37"/>
    <w:rsid w:val="00856F85"/>
    <w:rsid w:val="0085730B"/>
    <w:rsid w:val="00857CAD"/>
    <w:rsid w:val="00857E08"/>
    <w:rsid w:val="00857F1A"/>
    <w:rsid w:val="00860921"/>
    <w:rsid w:val="00860FCE"/>
    <w:rsid w:val="00861298"/>
    <w:rsid w:val="0086145E"/>
    <w:rsid w:val="00862218"/>
    <w:rsid w:val="008623FD"/>
    <w:rsid w:val="00862672"/>
    <w:rsid w:val="00862768"/>
    <w:rsid w:val="00863367"/>
    <w:rsid w:val="00863380"/>
    <w:rsid w:val="00863CC5"/>
    <w:rsid w:val="00864F58"/>
    <w:rsid w:val="00865243"/>
    <w:rsid w:val="00866389"/>
    <w:rsid w:val="008664CD"/>
    <w:rsid w:val="00866DAE"/>
    <w:rsid w:val="00866DC5"/>
    <w:rsid w:val="0086780A"/>
    <w:rsid w:val="00867E57"/>
    <w:rsid w:val="008709DB"/>
    <w:rsid w:val="00872242"/>
    <w:rsid w:val="008731DE"/>
    <w:rsid w:val="00873444"/>
    <w:rsid w:val="008735AB"/>
    <w:rsid w:val="00873F61"/>
    <w:rsid w:val="0087426B"/>
    <w:rsid w:val="008746EF"/>
    <w:rsid w:val="00874ADA"/>
    <w:rsid w:val="008752FA"/>
    <w:rsid w:val="008755ED"/>
    <w:rsid w:val="00875DAF"/>
    <w:rsid w:val="008769E7"/>
    <w:rsid w:val="00876AC1"/>
    <w:rsid w:val="00876C5E"/>
    <w:rsid w:val="00876CC6"/>
    <w:rsid w:val="00876D02"/>
    <w:rsid w:val="00876E4C"/>
    <w:rsid w:val="00877831"/>
    <w:rsid w:val="00877906"/>
    <w:rsid w:val="008779A1"/>
    <w:rsid w:val="00877A70"/>
    <w:rsid w:val="00877A86"/>
    <w:rsid w:val="00877C77"/>
    <w:rsid w:val="00877D6B"/>
    <w:rsid w:val="00877D80"/>
    <w:rsid w:val="0088030C"/>
    <w:rsid w:val="008803AB"/>
    <w:rsid w:val="00880A87"/>
    <w:rsid w:val="0088195E"/>
    <w:rsid w:val="00881C32"/>
    <w:rsid w:val="00881D2F"/>
    <w:rsid w:val="0088247A"/>
    <w:rsid w:val="008828CA"/>
    <w:rsid w:val="008835EE"/>
    <w:rsid w:val="00883614"/>
    <w:rsid w:val="00883B55"/>
    <w:rsid w:val="00884504"/>
    <w:rsid w:val="00884D7A"/>
    <w:rsid w:val="00884E60"/>
    <w:rsid w:val="00884FE6"/>
    <w:rsid w:val="008857A1"/>
    <w:rsid w:val="00885855"/>
    <w:rsid w:val="00885AD5"/>
    <w:rsid w:val="00886DE6"/>
    <w:rsid w:val="00886E5C"/>
    <w:rsid w:val="008875B3"/>
    <w:rsid w:val="008877AD"/>
    <w:rsid w:val="008878E9"/>
    <w:rsid w:val="00887E50"/>
    <w:rsid w:val="00890A62"/>
    <w:rsid w:val="00890B17"/>
    <w:rsid w:val="00891663"/>
    <w:rsid w:val="008917B0"/>
    <w:rsid w:val="00891832"/>
    <w:rsid w:val="008918E6"/>
    <w:rsid w:val="00891B30"/>
    <w:rsid w:val="00891D6D"/>
    <w:rsid w:val="0089240A"/>
    <w:rsid w:val="00892812"/>
    <w:rsid w:val="00892D6A"/>
    <w:rsid w:val="00892F33"/>
    <w:rsid w:val="00893010"/>
    <w:rsid w:val="008930EC"/>
    <w:rsid w:val="00893771"/>
    <w:rsid w:val="00893840"/>
    <w:rsid w:val="00893967"/>
    <w:rsid w:val="00893E82"/>
    <w:rsid w:val="00893FA1"/>
    <w:rsid w:val="00894A48"/>
    <w:rsid w:val="008951E3"/>
    <w:rsid w:val="00895307"/>
    <w:rsid w:val="008953DF"/>
    <w:rsid w:val="00895BC0"/>
    <w:rsid w:val="00895C56"/>
    <w:rsid w:val="00895DCD"/>
    <w:rsid w:val="00896706"/>
    <w:rsid w:val="00897439"/>
    <w:rsid w:val="00897558"/>
    <w:rsid w:val="00897E4A"/>
    <w:rsid w:val="00897E66"/>
    <w:rsid w:val="008A030F"/>
    <w:rsid w:val="008A0455"/>
    <w:rsid w:val="008A050F"/>
    <w:rsid w:val="008A05C9"/>
    <w:rsid w:val="008A0755"/>
    <w:rsid w:val="008A0CD7"/>
    <w:rsid w:val="008A0DD8"/>
    <w:rsid w:val="008A12FD"/>
    <w:rsid w:val="008A13FC"/>
    <w:rsid w:val="008A2033"/>
    <w:rsid w:val="008A258A"/>
    <w:rsid w:val="008A28DD"/>
    <w:rsid w:val="008A29EB"/>
    <w:rsid w:val="008A2A01"/>
    <w:rsid w:val="008A3154"/>
    <w:rsid w:val="008A3E1B"/>
    <w:rsid w:val="008A4B8E"/>
    <w:rsid w:val="008A5276"/>
    <w:rsid w:val="008A5A0A"/>
    <w:rsid w:val="008A5B31"/>
    <w:rsid w:val="008A6119"/>
    <w:rsid w:val="008A6340"/>
    <w:rsid w:val="008A6350"/>
    <w:rsid w:val="008A6A7E"/>
    <w:rsid w:val="008A702F"/>
    <w:rsid w:val="008A7B3C"/>
    <w:rsid w:val="008A7F0C"/>
    <w:rsid w:val="008B04C1"/>
    <w:rsid w:val="008B0A47"/>
    <w:rsid w:val="008B0F5D"/>
    <w:rsid w:val="008B14AB"/>
    <w:rsid w:val="008B160D"/>
    <w:rsid w:val="008B1B5B"/>
    <w:rsid w:val="008B1B5C"/>
    <w:rsid w:val="008B2050"/>
    <w:rsid w:val="008B29B5"/>
    <w:rsid w:val="008B3584"/>
    <w:rsid w:val="008B374F"/>
    <w:rsid w:val="008B421D"/>
    <w:rsid w:val="008B42F6"/>
    <w:rsid w:val="008B4850"/>
    <w:rsid w:val="008B4AC9"/>
    <w:rsid w:val="008B4C4F"/>
    <w:rsid w:val="008B51FA"/>
    <w:rsid w:val="008B6626"/>
    <w:rsid w:val="008B683F"/>
    <w:rsid w:val="008B7095"/>
    <w:rsid w:val="008B7135"/>
    <w:rsid w:val="008B726F"/>
    <w:rsid w:val="008B72A3"/>
    <w:rsid w:val="008B7463"/>
    <w:rsid w:val="008B7B0C"/>
    <w:rsid w:val="008B7BDF"/>
    <w:rsid w:val="008C0794"/>
    <w:rsid w:val="008C07BA"/>
    <w:rsid w:val="008C0809"/>
    <w:rsid w:val="008C0A7E"/>
    <w:rsid w:val="008C134E"/>
    <w:rsid w:val="008C2187"/>
    <w:rsid w:val="008C2AB2"/>
    <w:rsid w:val="008C2D1D"/>
    <w:rsid w:val="008C38DE"/>
    <w:rsid w:val="008C3EDC"/>
    <w:rsid w:val="008C4258"/>
    <w:rsid w:val="008C4DDA"/>
    <w:rsid w:val="008C5144"/>
    <w:rsid w:val="008C5288"/>
    <w:rsid w:val="008C559C"/>
    <w:rsid w:val="008C59E0"/>
    <w:rsid w:val="008C5CC5"/>
    <w:rsid w:val="008C5EA9"/>
    <w:rsid w:val="008C64DF"/>
    <w:rsid w:val="008C670C"/>
    <w:rsid w:val="008C72CF"/>
    <w:rsid w:val="008C7457"/>
    <w:rsid w:val="008C7872"/>
    <w:rsid w:val="008C7C8A"/>
    <w:rsid w:val="008D0314"/>
    <w:rsid w:val="008D0A71"/>
    <w:rsid w:val="008D0F68"/>
    <w:rsid w:val="008D0F6C"/>
    <w:rsid w:val="008D1615"/>
    <w:rsid w:val="008D17B0"/>
    <w:rsid w:val="008D1B83"/>
    <w:rsid w:val="008D1FDA"/>
    <w:rsid w:val="008D2306"/>
    <w:rsid w:val="008D2676"/>
    <w:rsid w:val="008D2D18"/>
    <w:rsid w:val="008D32FD"/>
    <w:rsid w:val="008D37EE"/>
    <w:rsid w:val="008D401D"/>
    <w:rsid w:val="008D47DF"/>
    <w:rsid w:val="008D49F9"/>
    <w:rsid w:val="008D53BE"/>
    <w:rsid w:val="008D551E"/>
    <w:rsid w:val="008D5849"/>
    <w:rsid w:val="008D64D3"/>
    <w:rsid w:val="008D692A"/>
    <w:rsid w:val="008D6E43"/>
    <w:rsid w:val="008D706C"/>
    <w:rsid w:val="008D7CC0"/>
    <w:rsid w:val="008D7F29"/>
    <w:rsid w:val="008E0534"/>
    <w:rsid w:val="008E089F"/>
    <w:rsid w:val="008E0B60"/>
    <w:rsid w:val="008E139F"/>
    <w:rsid w:val="008E16FB"/>
    <w:rsid w:val="008E21C5"/>
    <w:rsid w:val="008E2221"/>
    <w:rsid w:val="008E32D3"/>
    <w:rsid w:val="008E3A28"/>
    <w:rsid w:val="008E3B26"/>
    <w:rsid w:val="008E3C37"/>
    <w:rsid w:val="008E3D90"/>
    <w:rsid w:val="008E4351"/>
    <w:rsid w:val="008E4589"/>
    <w:rsid w:val="008E4842"/>
    <w:rsid w:val="008E5488"/>
    <w:rsid w:val="008E5C88"/>
    <w:rsid w:val="008E6242"/>
    <w:rsid w:val="008E796C"/>
    <w:rsid w:val="008E797D"/>
    <w:rsid w:val="008F0652"/>
    <w:rsid w:val="008F081C"/>
    <w:rsid w:val="008F0CFF"/>
    <w:rsid w:val="008F0E64"/>
    <w:rsid w:val="008F11D3"/>
    <w:rsid w:val="008F1619"/>
    <w:rsid w:val="008F1BF5"/>
    <w:rsid w:val="008F23B8"/>
    <w:rsid w:val="008F265F"/>
    <w:rsid w:val="008F33AA"/>
    <w:rsid w:val="008F3511"/>
    <w:rsid w:val="008F3545"/>
    <w:rsid w:val="008F3ECF"/>
    <w:rsid w:val="008F40A1"/>
    <w:rsid w:val="008F4A5D"/>
    <w:rsid w:val="008F4ED4"/>
    <w:rsid w:val="008F62B8"/>
    <w:rsid w:val="008F66BF"/>
    <w:rsid w:val="008F779B"/>
    <w:rsid w:val="008F7973"/>
    <w:rsid w:val="009007AB"/>
    <w:rsid w:val="00900C4C"/>
    <w:rsid w:val="00900CDF"/>
    <w:rsid w:val="00901439"/>
    <w:rsid w:val="00901A79"/>
    <w:rsid w:val="00901B2D"/>
    <w:rsid w:val="00901D44"/>
    <w:rsid w:val="0090260F"/>
    <w:rsid w:val="009026FA"/>
    <w:rsid w:val="00902CA1"/>
    <w:rsid w:val="00902E47"/>
    <w:rsid w:val="00903070"/>
    <w:rsid w:val="00903F8A"/>
    <w:rsid w:val="00904130"/>
    <w:rsid w:val="009041BF"/>
    <w:rsid w:val="009044C4"/>
    <w:rsid w:val="009049D7"/>
    <w:rsid w:val="009050A1"/>
    <w:rsid w:val="009051C6"/>
    <w:rsid w:val="00905365"/>
    <w:rsid w:val="00905712"/>
    <w:rsid w:val="00905F4A"/>
    <w:rsid w:val="00906247"/>
    <w:rsid w:val="00906BDD"/>
    <w:rsid w:val="00906FDE"/>
    <w:rsid w:val="00907576"/>
    <w:rsid w:val="009077F4"/>
    <w:rsid w:val="00907E37"/>
    <w:rsid w:val="00907E40"/>
    <w:rsid w:val="00910A01"/>
    <w:rsid w:val="00910B97"/>
    <w:rsid w:val="00910C3A"/>
    <w:rsid w:val="00910C3E"/>
    <w:rsid w:val="00910C7D"/>
    <w:rsid w:val="00911556"/>
    <w:rsid w:val="009119D9"/>
    <w:rsid w:val="00911DC3"/>
    <w:rsid w:val="0091258C"/>
    <w:rsid w:val="00912B8A"/>
    <w:rsid w:val="00912E41"/>
    <w:rsid w:val="0091305C"/>
    <w:rsid w:val="00913BDB"/>
    <w:rsid w:val="00913C04"/>
    <w:rsid w:val="009143DE"/>
    <w:rsid w:val="00915475"/>
    <w:rsid w:val="00915787"/>
    <w:rsid w:val="00915CBC"/>
    <w:rsid w:val="00915EA1"/>
    <w:rsid w:val="009163D3"/>
    <w:rsid w:val="0091642A"/>
    <w:rsid w:val="0091643F"/>
    <w:rsid w:val="00916B09"/>
    <w:rsid w:val="00916BAD"/>
    <w:rsid w:val="00916FC4"/>
    <w:rsid w:val="0091760B"/>
    <w:rsid w:val="00917A73"/>
    <w:rsid w:val="00917B7E"/>
    <w:rsid w:val="00917F9B"/>
    <w:rsid w:val="009207A8"/>
    <w:rsid w:val="00920BD2"/>
    <w:rsid w:val="009214CE"/>
    <w:rsid w:val="009215C9"/>
    <w:rsid w:val="009216D2"/>
    <w:rsid w:val="009222E1"/>
    <w:rsid w:val="009222F8"/>
    <w:rsid w:val="009226DE"/>
    <w:rsid w:val="0092278F"/>
    <w:rsid w:val="00922E95"/>
    <w:rsid w:val="009232F1"/>
    <w:rsid w:val="00923F35"/>
    <w:rsid w:val="00924288"/>
    <w:rsid w:val="009242ED"/>
    <w:rsid w:val="00925AA3"/>
    <w:rsid w:val="009260F0"/>
    <w:rsid w:val="00926504"/>
    <w:rsid w:val="00926AD4"/>
    <w:rsid w:val="00927034"/>
    <w:rsid w:val="00927522"/>
    <w:rsid w:val="00927B67"/>
    <w:rsid w:val="00930B6E"/>
    <w:rsid w:val="0093174F"/>
    <w:rsid w:val="009320AC"/>
    <w:rsid w:val="00932298"/>
    <w:rsid w:val="009326EA"/>
    <w:rsid w:val="009326F7"/>
    <w:rsid w:val="00933293"/>
    <w:rsid w:val="009334D5"/>
    <w:rsid w:val="0093377A"/>
    <w:rsid w:val="00933D88"/>
    <w:rsid w:val="009340AD"/>
    <w:rsid w:val="0093449B"/>
    <w:rsid w:val="009345A5"/>
    <w:rsid w:val="0093488A"/>
    <w:rsid w:val="0093530C"/>
    <w:rsid w:val="009357B5"/>
    <w:rsid w:val="00935A68"/>
    <w:rsid w:val="00935FD1"/>
    <w:rsid w:val="00935FDC"/>
    <w:rsid w:val="009362CA"/>
    <w:rsid w:val="0093788B"/>
    <w:rsid w:val="00937BC6"/>
    <w:rsid w:val="009401F6"/>
    <w:rsid w:val="00940609"/>
    <w:rsid w:val="009407D3"/>
    <w:rsid w:val="00940F07"/>
    <w:rsid w:val="00941694"/>
    <w:rsid w:val="0094273F"/>
    <w:rsid w:val="00942A7B"/>
    <w:rsid w:val="00942FB1"/>
    <w:rsid w:val="0094308F"/>
    <w:rsid w:val="00943B0D"/>
    <w:rsid w:val="00944032"/>
    <w:rsid w:val="009440BA"/>
    <w:rsid w:val="00944E73"/>
    <w:rsid w:val="00945626"/>
    <w:rsid w:val="009459E5"/>
    <w:rsid w:val="00946FB7"/>
    <w:rsid w:val="00946FBC"/>
    <w:rsid w:val="009472D5"/>
    <w:rsid w:val="0094759B"/>
    <w:rsid w:val="00947B13"/>
    <w:rsid w:val="009500D5"/>
    <w:rsid w:val="0095017D"/>
    <w:rsid w:val="0095063C"/>
    <w:rsid w:val="009506CB"/>
    <w:rsid w:val="00950736"/>
    <w:rsid w:val="00950B4E"/>
    <w:rsid w:val="00950D34"/>
    <w:rsid w:val="009513DA"/>
    <w:rsid w:val="00951FF0"/>
    <w:rsid w:val="00952236"/>
    <w:rsid w:val="00952239"/>
    <w:rsid w:val="00952277"/>
    <w:rsid w:val="00952471"/>
    <w:rsid w:val="00952E3F"/>
    <w:rsid w:val="00952F81"/>
    <w:rsid w:val="00952FE6"/>
    <w:rsid w:val="009537F2"/>
    <w:rsid w:val="0095396C"/>
    <w:rsid w:val="00953B32"/>
    <w:rsid w:val="0095457E"/>
    <w:rsid w:val="0095581B"/>
    <w:rsid w:val="00955E12"/>
    <w:rsid w:val="0095648F"/>
    <w:rsid w:val="009566F7"/>
    <w:rsid w:val="00957386"/>
    <w:rsid w:val="00957B68"/>
    <w:rsid w:val="009604A6"/>
    <w:rsid w:val="00960AD2"/>
    <w:rsid w:val="00960B1C"/>
    <w:rsid w:val="00960C95"/>
    <w:rsid w:val="00960EF5"/>
    <w:rsid w:val="0096164F"/>
    <w:rsid w:val="00962682"/>
    <w:rsid w:val="00962A56"/>
    <w:rsid w:val="00962B36"/>
    <w:rsid w:val="009639B0"/>
    <w:rsid w:val="00963CED"/>
    <w:rsid w:val="00963D84"/>
    <w:rsid w:val="00963E6E"/>
    <w:rsid w:val="0096496A"/>
    <w:rsid w:val="00964ACC"/>
    <w:rsid w:val="0096540F"/>
    <w:rsid w:val="00965415"/>
    <w:rsid w:val="00965C6E"/>
    <w:rsid w:val="00965E00"/>
    <w:rsid w:val="009676A9"/>
    <w:rsid w:val="00967B91"/>
    <w:rsid w:val="00967F9A"/>
    <w:rsid w:val="00970007"/>
    <w:rsid w:val="00970526"/>
    <w:rsid w:val="00971571"/>
    <w:rsid w:val="009718C4"/>
    <w:rsid w:val="00971B92"/>
    <w:rsid w:val="00971D80"/>
    <w:rsid w:val="0097200F"/>
    <w:rsid w:val="00972229"/>
    <w:rsid w:val="0097298F"/>
    <w:rsid w:val="009729DA"/>
    <w:rsid w:val="00972F13"/>
    <w:rsid w:val="00972F90"/>
    <w:rsid w:val="00972F99"/>
    <w:rsid w:val="009730D6"/>
    <w:rsid w:val="00973230"/>
    <w:rsid w:val="0097370B"/>
    <w:rsid w:val="009737C0"/>
    <w:rsid w:val="00973AB5"/>
    <w:rsid w:val="00973AEB"/>
    <w:rsid w:val="009740CC"/>
    <w:rsid w:val="009749B6"/>
    <w:rsid w:val="0097538A"/>
    <w:rsid w:val="0097541C"/>
    <w:rsid w:val="00975849"/>
    <w:rsid w:val="009764BF"/>
    <w:rsid w:val="009766DA"/>
    <w:rsid w:val="0097792A"/>
    <w:rsid w:val="00977944"/>
    <w:rsid w:val="00977ED8"/>
    <w:rsid w:val="00980025"/>
    <w:rsid w:val="0098012C"/>
    <w:rsid w:val="0098014A"/>
    <w:rsid w:val="00980880"/>
    <w:rsid w:val="00981D13"/>
    <w:rsid w:val="00982737"/>
    <w:rsid w:val="0098321B"/>
    <w:rsid w:val="009835FA"/>
    <w:rsid w:val="00983C8E"/>
    <w:rsid w:val="00984331"/>
    <w:rsid w:val="00984356"/>
    <w:rsid w:val="00984505"/>
    <w:rsid w:val="009848C1"/>
    <w:rsid w:val="00985097"/>
    <w:rsid w:val="00985598"/>
    <w:rsid w:val="009862C8"/>
    <w:rsid w:val="00986A5E"/>
    <w:rsid w:val="00986B27"/>
    <w:rsid w:val="00986B6C"/>
    <w:rsid w:val="00986CBF"/>
    <w:rsid w:val="00986D40"/>
    <w:rsid w:val="00987375"/>
    <w:rsid w:val="00987503"/>
    <w:rsid w:val="009875B1"/>
    <w:rsid w:val="009905D5"/>
    <w:rsid w:val="00991592"/>
    <w:rsid w:val="00991621"/>
    <w:rsid w:val="009917CE"/>
    <w:rsid w:val="009918AA"/>
    <w:rsid w:val="00991EF3"/>
    <w:rsid w:val="0099257C"/>
    <w:rsid w:val="00992BE1"/>
    <w:rsid w:val="00992EE4"/>
    <w:rsid w:val="00993682"/>
    <w:rsid w:val="009939B2"/>
    <w:rsid w:val="0099400D"/>
    <w:rsid w:val="00994429"/>
    <w:rsid w:val="00994994"/>
    <w:rsid w:val="00994B58"/>
    <w:rsid w:val="00995116"/>
    <w:rsid w:val="00995468"/>
    <w:rsid w:val="009957BD"/>
    <w:rsid w:val="009959B0"/>
    <w:rsid w:val="00995ABB"/>
    <w:rsid w:val="009961D7"/>
    <w:rsid w:val="00996E20"/>
    <w:rsid w:val="00996FD6"/>
    <w:rsid w:val="00997613"/>
    <w:rsid w:val="00997FA1"/>
    <w:rsid w:val="009A0329"/>
    <w:rsid w:val="009A0920"/>
    <w:rsid w:val="009A0BEA"/>
    <w:rsid w:val="009A0D09"/>
    <w:rsid w:val="009A1C8D"/>
    <w:rsid w:val="009A1DB1"/>
    <w:rsid w:val="009A1F16"/>
    <w:rsid w:val="009A2283"/>
    <w:rsid w:val="009A29A7"/>
    <w:rsid w:val="009A2A38"/>
    <w:rsid w:val="009A2CAD"/>
    <w:rsid w:val="009A3217"/>
    <w:rsid w:val="009A3BD5"/>
    <w:rsid w:val="009A44FB"/>
    <w:rsid w:val="009A4570"/>
    <w:rsid w:val="009A46B7"/>
    <w:rsid w:val="009A4754"/>
    <w:rsid w:val="009A53D1"/>
    <w:rsid w:val="009A544C"/>
    <w:rsid w:val="009A56C6"/>
    <w:rsid w:val="009A571D"/>
    <w:rsid w:val="009A5A7A"/>
    <w:rsid w:val="009A5DFE"/>
    <w:rsid w:val="009A5E0D"/>
    <w:rsid w:val="009A6FE8"/>
    <w:rsid w:val="009B0383"/>
    <w:rsid w:val="009B1CCA"/>
    <w:rsid w:val="009B2682"/>
    <w:rsid w:val="009B2A02"/>
    <w:rsid w:val="009B4031"/>
    <w:rsid w:val="009B4CA6"/>
    <w:rsid w:val="009B5469"/>
    <w:rsid w:val="009B5B4D"/>
    <w:rsid w:val="009B652A"/>
    <w:rsid w:val="009B7BF1"/>
    <w:rsid w:val="009B7D26"/>
    <w:rsid w:val="009C0018"/>
    <w:rsid w:val="009C003E"/>
    <w:rsid w:val="009C0B00"/>
    <w:rsid w:val="009C0EC8"/>
    <w:rsid w:val="009C16FB"/>
    <w:rsid w:val="009C194C"/>
    <w:rsid w:val="009C1987"/>
    <w:rsid w:val="009C1B74"/>
    <w:rsid w:val="009C1FD9"/>
    <w:rsid w:val="009C21B6"/>
    <w:rsid w:val="009C261F"/>
    <w:rsid w:val="009C2810"/>
    <w:rsid w:val="009C33D8"/>
    <w:rsid w:val="009C4BD1"/>
    <w:rsid w:val="009C529E"/>
    <w:rsid w:val="009C541D"/>
    <w:rsid w:val="009C5E1C"/>
    <w:rsid w:val="009C65F8"/>
    <w:rsid w:val="009C6F08"/>
    <w:rsid w:val="009C77BD"/>
    <w:rsid w:val="009C7B74"/>
    <w:rsid w:val="009C7C37"/>
    <w:rsid w:val="009D00F4"/>
    <w:rsid w:val="009D0451"/>
    <w:rsid w:val="009D0830"/>
    <w:rsid w:val="009D0F1C"/>
    <w:rsid w:val="009D11AD"/>
    <w:rsid w:val="009D12C0"/>
    <w:rsid w:val="009D15FF"/>
    <w:rsid w:val="009D176F"/>
    <w:rsid w:val="009D1898"/>
    <w:rsid w:val="009D28FB"/>
    <w:rsid w:val="009D2ACB"/>
    <w:rsid w:val="009D320E"/>
    <w:rsid w:val="009D3DFD"/>
    <w:rsid w:val="009D412A"/>
    <w:rsid w:val="009D45DC"/>
    <w:rsid w:val="009D47CE"/>
    <w:rsid w:val="009D49A4"/>
    <w:rsid w:val="009D4D43"/>
    <w:rsid w:val="009D4D60"/>
    <w:rsid w:val="009D516B"/>
    <w:rsid w:val="009D5220"/>
    <w:rsid w:val="009D56CE"/>
    <w:rsid w:val="009D5727"/>
    <w:rsid w:val="009D6F28"/>
    <w:rsid w:val="009D72DC"/>
    <w:rsid w:val="009D731E"/>
    <w:rsid w:val="009D733A"/>
    <w:rsid w:val="009D75C0"/>
    <w:rsid w:val="009D7A24"/>
    <w:rsid w:val="009E042D"/>
    <w:rsid w:val="009E0F12"/>
    <w:rsid w:val="009E0FD8"/>
    <w:rsid w:val="009E10C2"/>
    <w:rsid w:val="009E1C96"/>
    <w:rsid w:val="009E2291"/>
    <w:rsid w:val="009E3022"/>
    <w:rsid w:val="009E3469"/>
    <w:rsid w:val="009E3878"/>
    <w:rsid w:val="009E4607"/>
    <w:rsid w:val="009E49AA"/>
    <w:rsid w:val="009E6696"/>
    <w:rsid w:val="009E6941"/>
    <w:rsid w:val="009E69A6"/>
    <w:rsid w:val="009E6D6E"/>
    <w:rsid w:val="009E7FCA"/>
    <w:rsid w:val="009F02E3"/>
    <w:rsid w:val="009F1661"/>
    <w:rsid w:val="009F20D5"/>
    <w:rsid w:val="009F2461"/>
    <w:rsid w:val="009F2689"/>
    <w:rsid w:val="009F2E04"/>
    <w:rsid w:val="009F3233"/>
    <w:rsid w:val="009F3692"/>
    <w:rsid w:val="009F3CDB"/>
    <w:rsid w:val="009F4AD0"/>
    <w:rsid w:val="009F4F61"/>
    <w:rsid w:val="009F58F4"/>
    <w:rsid w:val="009F5AC8"/>
    <w:rsid w:val="009F5C96"/>
    <w:rsid w:val="009F5E05"/>
    <w:rsid w:val="009F64D6"/>
    <w:rsid w:val="009F6AD9"/>
    <w:rsid w:val="009F7492"/>
    <w:rsid w:val="009F755C"/>
    <w:rsid w:val="009F7A76"/>
    <w:rsid w:val="009F7C45"/>
    <w:rsid w:val="00A00067"/>
    <w:rsid w:val="00A0007F"/>
    <w:rsid w:val="00A00534"/>
    <w:rsid w:val="00A00711"/>
    <w:rsid w:val="00A00A9F"/>
    <w:rsid w:val="00A01B9E"/>
    <w:rsid w:val="00A01D0E"/>
    <w:rsid w:val="00A01D8A"/>
    <w:rsid w:val="00A0214C"/>
    <w:rsid w:val="00A0229D"/>
    <w:rsid w:val="00A023A2"/>
    <w:rsid w:val="00A027FF"/>
    <w:rsid w:val="00A02FF0"/>
    <w:rsid w:val="00A0314A"/>
    <w:rsid w:val="00A03760"/>
    <w:rsid w:val="00A03CD6"/>
    <w:rsid w:val="00A04992"/>
    <w:rsid w:val="00A04AC8"/>
    <w:rsid w:val="00A04B20"/>
    <w:rsid w:val="00A05529"/>
    <w:rsid w:val="00A057C4"/>
    <w:rsid w:val="00A05B80"/>
    <w:rsid w:val="00A05C69"/>
    <w:rsid w:val="00A0670B"/>
    <w:rsid w:val="00A07C8C"/>
    <w:rsid w:val="00A1094B"/>
    <w:rsid w:val="00A10A9F"/>
    <w:rsid w:val="00A10C67"/>
    <w:rsid w:val="00A11297"/>
    <w:rsid w:val="00A115E0"/>
    <w:rsid w:val="00A119EE"/>
    <w:rsid w:val="00A11DE1"/>
    <w:rsid w:val="00A12544"/>
    <w:rsid w:val="00A12A8F"/>
    <w:rsid w:val="00A12CD7"/>
    <w:rsid w:val="00A12FB6"/>
    <w:rsid w:val="00A13079"/>
    <w:rsid w:val="00A146A7"/>
    <w:rsid w:val="00A14DBB"/>
    <w:rsid w:val="00A159C1"/>
    <w:rsid w:val="00A15E3B"/>
    <w:rsid w:val="00A16295"/>
    <w:rsid w:val="00A17F24"/>
    <w:rsid w:val="00A201BE"/>
    <w:rsid w:val="00A20CAA"/>
    <w:rsid w:val="00A212B9"/>
    <w:rsid w:val="00A2136A"/>
    <w:rsid w:val="00A2167D"/>
    <w:rsid w:val="00A21A14"/>
    <w:rsid w:val="00A21C96"/>
    <w:rsid w:val="00A21EF9"/>
    <w:rsid w:val="00A2230F"/>
    <w:rsid w:val="00A22328"/>
    <w:rsid w:val="00A22694"/>
    <w:rsid w:val="00A23160"/>
    <w:rsid w:val="00A23291"/>
    <w:rsid w:val="00A23758"/>
    <w:rsid w:val="00A237B2"/>
    <w:rsid w:val="00A23E26"/>
    <w:rsid w:val="00A24337"/>
    <w:rsid w:val="00A2517A"/>
    <w:rsid w:val="00A257DC"/>
    <w:rsid w:val="00A2598B"/>
    <w:rsid w:val="00A259BA"/>
    <w:rsid w:val="00A25B5E"/>
    <w:rsid w:val="00A26571"/>
    <w:rsid w:val="00A265A1"/>
    <w:rsid w:val="00A267B4"/>
    <w:rsid w:val="00A269D7"/>
    <w:rsid w:val="00A26AB5"/>
    <w:rsid w:val="00A2718A"/>
    <w:rsid w:val="00A27463"/>
    <w:rsid w:val="00A30174"/>
    <w:rsid w:val="00A302BE"/>
    <w:rsid w:val="00A30C7F"/>
    <w:rsid w:val="00A30CAC"/>
    <w:rsid w:val="00A31761"/>
    <w:rsid w:val="00A32081"/>
    <w:rsid w:val="00A321F6"/>
    <w:rsid w:val="00A33410"/>
    <w:rsid w:val="00A34541"/>
    <w:rsid w:val="00A34A25"/>
    <w:rsid w:val="00A3578E"/>
    <w:rsid w:val="00A3664D"/>
    <w:rsid w:val="00A368C0"/>
    <w:rsid w:val="00A36B24"/>
    <w:rsid w:val="00A36D83"/>
    <w:rsid w:val="00A36E95"/>
    <w:rsid w:val="00A37283"/>
    <w:rsid w:val="00A37342"/>
    <w:rsid w:val="00A379B3"/>
    <w:rsid w:val="00A37BF6"/>
    <w:rsid w:val="00A37D9B"/>
    <w:rsid w:val="00A37FF5"/>
    <w:rsid w:val="00A4022F"/>
    <w:rsid w:val="00A40619"/>
    <w:rsid w:val="00A4082F"/>
    <w:rsid w:val="00A40B3F"/>
    <w:rsid w:val="00A40C05"/>
    <w:rsid w:val="00A4131D"/>
    <w:rsid w:val="00A414DA"/>
    <w:rsid w:val="00A417C8"/>
    <w:rsid w:val="00A41AED"/>
    <w:rsid w:val="00A4219F"/>
    <w:rsid w:val="00A42588"/>
    <w:rsid w:val="00A4277C"/>
    <w:rsid w:val="00A431F1"/>
    <w:rsid w:val="00A4372A"/>
    <w:rsid w:val="00A43E9C"/>
    <w:rsid w:val="00A446D3"/>
    <w:rsid w:val="00A448FB"/>
    <w:rsid w:val="00A455AB"/>
    <w:rsid w:val="00A45810"/>
    <w:rsid w:val="00A46245"/>
    <w:rsid w:val="00A47500"/>
    <w:rsid w:val="00A47FAC"/>
    <w:rsid w:val="00A50BAD"/>
    <w:rsid w:val="00A511DE"/>
    <w:rsid w:val="00A51888"/>
    <w:rsid w:val="00A51E54"/>
    <w:rsid w:val="00A5211F"/>
    <w:rsid w:val="00A52321"/>
    <w:rsid w:val="00A52624"/>
    <w:rsid w:val="00A52648"/>
    <w:rsid w:val="00A52D1F"/>
    <w:rsid w:val="00A53685"/>
    <w:rsid w:val="00A538BF"/>
    <w:rsid w:val="00A53BF3"/>
    <w:rsid w:val="00A53E34"/>
    <w:rsid w:val="00A5409E"/>
    <w:rsid w:val="00A541A5"/>
    <w:rsid w:val="00A541DA"/>
    <w:rsid w:val="00A54670"/>
    <w:rsid w:val="00A54E5D"/>
    <w:rsid w:val="00A550BF"/>
    <w:rsid w:val="00A55F25"/>
    <w:rsid w:val="00A56652"/>
    <w:rsid w:val="00A56B7B"/>
    <w:rsid w:val="00A5704E"/>
    <w:rsid w:val="00A57162"/>
    <w:rsid w:val="00A5726E"/>
    <w:rsid w:val="00A60108"/>
    <w:rsid w:val="00A61233"/>
    <w:rsid w:val="00A6161D"/>
    <w:rsid w:val="00A621E8"/>
    <w:rsid w:val="00A62FA6"/>
    <w:rsid w:val="00A63DF1"/>
    <w:rsid w:val="00A64C7A"/>
    <w:rsid w:val="00A64C86"/>
    <w:rsid w:val="00A6545D"/>
    <w:rsid w:val="00A6562F"/>
    <w:rsid w:val="00A65E8D"/>
    <w:rsid w:val="00A6608F"/>
    <w:rsid w:val="00A667DE"/>
    <w:rsid w:val="00A67213"/>
    <w:rsid w:val="00A672C8"/>
    <w:rsid w:val="00A6742B"/>
    <w:rsid w:val="00A70769"/>
    <w:rsid w:val="00A70A45"/>
    <w:rsid w:val="00A712D2"/>
    <w:rsid w:val="00A71748"/>
    <w:rsid w:val="00A71A8E"/>
    <w:rsid w:val="00A72ABF"/>
    <w:rsid w:val="00A72D11"/>
    <w:rsid w:val="00A738A7"/>
    <w:rsid w:val="00A7399D"/>
    <w:rsid w:val="00A73DB8"/>
    <w:rsid w:val="00A73EF8"/>
    <w:rsid w:val="00A740F1"/>
    <w:rsid w:val="00A744A5"/>
    <w:rsid w:val="00A74FB3"/>
    <w:rsid w:val="00A759CB"/>
    <w:rsid w:val="00A75DA0"/>
    <w:rsid w:val="00A75EE9"/>
    <w:rsid w:val="00A77562"/>
    <w:rsid w:val="00A77677"/>
    <w:rsid w:val="00A776FF"/>
    <w:rsid w:val="00A77C75"/>
    <w:rsid w:val="00A77E8E"/>
    <w:rsid w:val="00A8026C"/>
    <w:rsid w:val="00A803E9"/>
    <w:rsid w:val="00A80A6B"/>
    <w:rsid w:val="00A80BA3"/>
    <w:rsid w:val="00A8156E"/>
    <w:rsid w:val="00A81C45"/>
    <w:rsid w:val="00A8296B"/>
    <w:rsid w:val="00A82D70"/>
    <w:rsid w:val="00A83113"/>
    <w:rsid w:val="00A83352"/>
    <w:rsid w:val="00A83AA1"/>
    <w:rsid w:val="00A8417C"/>
    <w:rsid w:val="00A841E0"/>
    <w:rsid w:val="00A84924"/>
    <w:rsid w:val="00A84997"/>
    <w:rsid w:val="00A8534C"/>
    <w:rsid w:val="00A85A64"/>
    <w:rsid w:val="00A862BE"/>
    <w:rsid w:val="00A90F33"/>
    <w:rsid w:val="00A91271"/>
    <w:rsid w:val="00A913E5"/>
    <w:rsid w:val="00A9159F"/>
    <w:rsid w:val="00A918C3"/>
    <w:rsid w:val="00A92097"/>
    <w:rsid w:val="00A939E5"/>
    <w:rsid w:val="00A93A97"/>
    <w:rsid w:val="00A94133"/>
    <w:rsid w:val="00A942EB"/>
    <w:rsid w:val="00A948A7"/>
    <w:rsid w:val="00A96275"/>
    <w:rsid w:val="00A963CF"/>
    <w:rsid w:val="00A96634"/>
    <w:rsid w:val="00A967C1"/>
    <w:rsid w:val="00A97455"/>
    <w:rsid w:val="00A97581"/>
    <w:rsid w:val="00A97B44"/>
    <w:rsid w:val="00AA04E3"/>
    <w:rsid w:val="00AA05B0"/>
    <w:rsid w:val="00AA1292"/>
    <w:rsid w:val="00AA1300"/>
    <w:rsid w:val="00AA1332"/>
    <w:rsid w:val="00AA13EA"/>
    <w:rsid w:val="00AA1B10"/>
    <w:rsid w:val="00AA201A"/>
    <w:rsid w:val="00AA24B2"/>
    <w:rsid w:val="00AA295B"/>
    <w:rsid w:val="00AA2F2D"/>
    <w:rsid w:val="00AA326C"/>
    <w:rsid w:val="00AA3C3D"/>
    <w:rsid w:val="00AA4DA6"/>
    <w:rsid w:val="00AA5209"/>
    <w:rsid w:val="00AA55FB"/>
    <w:rsid w:val="00AA5A2A"/>
    <w:rsid w:val="00AA65CD"/>
    <w:rsid w:val="00AA68EA"/>
    <w:rsid w:val="00AA6AA9"/>
    <w:rsid w:val="00AA6C07"/>
    <w:rsid w:val="00AA7339"/>
    <w:rsid w:val="00AA75BA"/>
    <w:rsid w:val="00AA7776"/>
    <w:rsid w:val="00AB043B"/>
    <w:rsid w:val="00AB05EC"/>
    <w:rsid w:val="00AB0EFB"/>
    <w:rsid w:val="00AB1240"/>
    <w:rsid w:val="00AB1662"/>
    <w:rsid w:val="00AB20B0"/>
    <w:rsid w:val="00AB23E4"/>
    <w:rsid w:val="00AB2A8B"/>
    <w:rsid w:val="00AB313A"/>
    <w:rsid w:val="00AB4174"/>
    <w:rsid w:val="00AB4A18"/>
    <w:rsid w:val="00AB50B6"/>
    <w:rsid w:val="00AB5347"/>
    <w:rsid w:val="00AB5B5D"/>
    <w:rsid w:val="00AB69AE"/>
    <w:rsid w:val="00AB6C53"/>
    <w:rsid w:val="00AB6C8E"/>
    <w:rsid w:val="00AB72D9"/>
    <w:rsid w:val="00AC0E47"/>
    <w:rsid w:val="00AC1635"/>
    <w:rsid w:val="00AC1F0C"/>
    <w:rsid w:val="00AC2183"/>
    <w:rsid w:val="00AC2BE6"/>
    <w:rsid w:val="00AC3D47"/>
    <w:rsid w:val="00AC442E"/>
    <w:rsid w:val="00AC4A09"/>
    <w:rsid w:val="00AC4E5C"/>
    <w:rsid w:val="00AC52A7"/>
    <w:rsid w:val="00AD0284"/>
    <w:rsid w:val="00AD0B2D"/>
    <w:rsid w:val="00AD0CEA"/>
    <w:rsid w:val="00AD15BB"/>
    <w:rsid w:val="00AD183B"/>
    <w:rsid w:val="00AD2667"/>
    <w:rsid w:val="00AD267F"/>
    <w:rsid w:val="00AD276F"/>
    <w:rsid w:val="00AD30B5"/>
    <w:rsid w:val="00AD3144"/>
    <w:rsid w:val="00AD51A7"/>
    <w:rsid w:val="00AD52FE"/>
    <w:rsid w:val="00AD56AF"/>
    <w:rsid w:val="00AD57C9"/>
    <w:rsid w:val="00AD58DA"/>
    <w:rsid w:val="00AD598F"/>
    <w:rsid w:val="00AD5F69"/>
    <w:rsid w:val="00AD63AA"/>
    <w:rsid w:val="00AD6A2B"/>
    <w:rsid w:val="00AD6B30"/>
    <w:rsid w:val="00AD6CDF"/>
    <w:rsid w:val="00AD6FD1"/>
    <w:rsid w:val="00AD7A59"/>
    <w:rsid w:val="00AE00F5"/>
    <w:rsid w:val="00AE0676"/>
    <w:rsid w:val="00AE07A6"/>
    <w:rsid w:val="00AE0A65"/>
    <w:rsid w:val="00AE0C95"/>
    <w:rsid w:val="00AE0EF0"/>
    <w:rsid w:val="00AE1138"/>
    <w:rsid w:val="00AE1770"/>
    <w:rsid w:val="00AE216A"/>
    <w:rsid w:val="00AE277F"/>
    <w:rsid w:val="00AE293F"/>
    <w:rsid w:val="00AE2942"/>
    <w:rsid w:val="00AE2CB4"/>
    <w:rsid w:val="00AE3322"/>
    <w:rsid w:val="00AE340F"/>
    <w:rsid w:val="00AE3787"/>
    <w:rsid w:val="00AE3CE6"/>
    <w:rsid w:val="00AE40E4"/>
    <w:rsid w:val="00AE4312"/>
    <w:rsid w:val="00AE4904"/>
    <w:rsid w:val="00AE4B50"/>
    <w:rsid w:val="00AE4BF8"/>
    <w:rsid w:val="00AE4E2C"/>
    <w:rsid w:val="00AE514E"/>
    <w:rsid w:val="00AE51A2"/>
    <w:rsid w:val="00AE5C74"/>
    <w:rsid w:val="00AE5D0C"/>
    <w:rsid w:val="00AE6444"/>
    <w:rsid w:val="00AE6590"/>
    <w:rsid w:val="00AE6794"/>
    <w:rsid w:val="00AF1739"/>
    <w:rsid w:val="00AF1D10"/>
    <w:rsid w:val="00AF1D47"/>
    <w:rsid w:val="00AF1D5A"/>
    <w:rsid w:val="00AF21FC"/>
    <w:rsid w:val="00AF2564"/>
    <w:rsid w:val="00AF2DE3"/>
    <w:rsid w:val="00AF3EFA"/>
    <w:rsid w:val="00AF456E"/>
    <w:rsid w:val="00AF48AF"/>
    <w:rsid w:val="00AF4B93"/>
    <w:rsid w:val="00AF4C1E"/>
    <w:rsid w:val="00AF4F7C"/>
    <w:rsid w:val="00AF5167"/>
    <w:rsid w:val="00AF592F"/>
    <w:rsid w:val="00AF59B1"/>
    <w:rsid w:val="00AF5C60"/>
    <w:rsid w:val="00AF6081"/>
    <w:rsid w:val="00AF749E"/>
    <w:rsid w:val="00AF76E0"/>
    <w:rsid w:val="00AF77D0"/>
    <w:rsid w:val="00B018C2"/>
    <w:rsid w:val="00B01B06"/>
    <w:rsid w:val="00B01C74"/>
    <w:rsid w:val="00B01CEB"/>
    <w:rsid w:val="00B01D00"/>
    <w:rsid w:val="00B020C1"/>
    <w:rsid w:val="00B02BAD"/>
    <w:rsid w:val="00B02D3F"/>
    <w:rsid w:val="00B03816"/>
    <w:rsid w:val="00B039E2"/>
    <w:rsid w:val="00B04856"/>
    <w:rsid w:val="00B04883"/>
    <w:rsid w:val="00B0488A"/>
    <w:rsid w:val="00B0557A"/>
    <w:rsid w:val="00B057A1"/>
    <w:rsid w:val="00B05BF5"/>
    <w:rsid w:val="00B060D4"/>
    <w:rsid w:val="00B06288"/>
    <w:rsid w:val="00B06612"/>
    <w:rsid w:val="00B06AC0"/>
    <w:rsid w:val="00B07275"/>
    <w:rsid w:val="00B07E7D"/>
    <w:rsid w:val="00B1069A"/>
    <w:rsid w:val="00B115CD"/>
    <w:rsid w:val="00B11852"/>
    <w:rsid w:val="00B11A06"/>
    <w:rsid w:val="00B121A0"/>
    <w:rsid w:val="00B122D8"/>
    <w:rsid w:val="00B129DA"/>
    <w:rsid w:val="00B12B9E"/>
    <w:rsid w:val="00B12D3E"/>
    <w:rsid w:val="00B134C6"/>
    <w:rsid w:val="00B13D50"/>
    <w:rsid w:val="00B1400D"/>
    <w:rsid w:val="00B143C3"/>
    <w:rsid w:val="00B14480"/>
    <w:rsid w:val="00B14F98"/>
    <w:rsid w:val="00B151D3"/>
    <w:rsid w:val="00B157BB"/>
    <w:rsid w:val="00B15F22"/>
    <w:rsid w:val="00B1667B"/>
    <w:rsid w:val="00B167C8"/>
    <w:rsid w:val="00B16AE8"/>
    <w:rsid w:val="00B176AA"/>
    <w:rsid w:val="00B17A0E"/>
    <w:rsid w:val="00B17A1A"/>
    <w:rsid w:val="00B20323"/>
    <w:rsid w:val="00B209DE"/>
    <w:rsid w:val="00B2128B"/>
    <w:rsid w:val="00B21517"/>
    <w:rsid w:val="00B216C8"/>
    <w:rsid w:val="00B219E7"/>
    <w:rsid w:val="00B22517"/>
    <w:rsid w:val="00B22554"/>
    <w:rsid w:val="00B2266E"/>
    <w:rsid w:val="00B22FEF"/>
    <w:rsid w:val="00B23065"/>
    <w:rsid w:val="00B232AE"/>
    <w:rsid w:val="00B23E72"/>
    <w:rsid w:val="00B24747"/>
    <w:rsid w:val="00B248EC"/>
    <w:rsid w:val="00B24D06"/>
    <w:rsid w:val="00B25213"/>
    <w:rsid w:val="00B252CF"/>
    <w:rsid w:val="00B25773"/>
    <w:rsid w:val="00B257C2"/>
    <w:rsid w:val="00B25B58"/>
    <w:rsid w:val="00B26817"/>
    <w:rsid w:val="00B2699C"/>
    <w:rsid w:val="00B26C60"/>
    <w:rsid w:val="00B26CA7"/>
    <w:rsid w:val="00B26DBD"/>
    <w:rsid w:val="00B2769E"/>
    <w:rsid w:val="00B27953"/>
    <w:rsid w:val="00B3060D"/>
    <w:rsid w:val="00B308B9"/>
    <w:rsid w:val="00B30E5E"/>
    <w:rsid w:val="00B30EC9"/>
    <w:rsid w:val="00B311CD"/>
    <w:rsid w:val="00B31975"/>
    <w:rsid w:val="00B31B41"/>
    <w:rsid w:val="00B32196"/>
    <w:rsid w:val="00B3231F"/>
    <w:rsid w:val="00B329F2"/>
    <w:rsid w:val="00B33BD2"/>
    <w:rsid w:val="00B34B32"/>
    <w:rsid w:val="00B34C20"/>
    <w:rsid w:val="00B35295"/>
    <w:rsid w:val="00B35B7F"/>
    <w:rsid w:val="00B35C73"/>
    <w:rsid w:val="00B35EE2"/>
    <w:rsid w:val="00B3615D"/>
    <w:rsid w:val="00B3655E"/>
    <w:rsid w:val="00B373A3"/>
    <w:rsid w:val="00B37E7C"/>
    <w:rsid w:val="00B400A1"/>
    <w:rsid w:val="00B40954"/>
    <w:rsid w:val="00B40A3D"/>
    <w:rsid w:val="00B4161E"/>
    <w:rsid w:val="00B41933"/>
    <w:rsid w:val="00B41A1A"/>
    <w:rsid w:val="00B42BE9"/>
    <w:rsid w:val="00B42CEE"/>
    <w:rsid w:val="00B430AA"/>
    <w:rsid w:val="00B43303"/>
    <w:rsid w:val="00B43430"/>
    <w:rsid w:val="00B4347C"/>
    <w:rsid w:val="00B443A3"/>
    <w:rsid w:val="00B447C1"/>
    <w:rsid w:val="00B457F0"/>
    <w:rsid w:val="00B4647C"/>
    <w:rsid w:val="00B46663"/>
    <w:rsid w:val="00B47262"/>
    <w:rsid w:val="00B47B82"/>
    <w:rsid w:val="00B5022B"/>
    <w:rsid w:val="00B502AF"/>
    <w:rsid w:val="00B50359"/>
    <w:rsid w:val="00B50610"/>
    <w:rsid w:val="00B5096B"/>
    <w:rsid w:val="00B50ABC"/>
    <w:rsid w:val="00B50FE2"/>
    <w:rsid w:val="00B51407"/>
    <w:rsid w:val="00B51ED3"/>
    <w:rsid w:val="00B528D2"/>
    <w:rsid w:val="00B5315D"/>
    <w:rsid w:val="00B531A3"/>
    <w:rsid w:val="00B53D46"/>
    <w:rsid w:val="00B53FBC"/>
    <w:rsid w:val="00B540A4"/>
    <w:rsid w:val="00B542E5"/>
    <w:rsid w:val="00B54D3C"/>
    <w:rsid w:val="00B54EAE"/>
    <w:rsid w:val="00B550A2"/>
    <w:rsid w:val="00B56431"/>
    <w:rsid w:val="00B568FE"/>
    <w:rsid w:val="00B576E7"/>
    <w:rsid w:val="00B579CD"/>
    <w:rsid w:val="00B60DDF"/>
    <w:rsid w:val="00B61D65"/>
    <w:rsid w:val="00B620D3"/>
    <w:rsid w:val="00B6223F"/>
    <w:rsid w:val="00B6261C"/>
    <w:rsid w:val="00B62D1F"/>
    <w:rsid w:val="00B63370"/>
    <w:rsid w:val="00B6421B"/>
    <w:rsid w:val="00B64EA6"/>
    <w:rsid w:val="00B65587"/>
    <w:rsid w:val="00B65E28"/>
    <w:rsid w:val="00B663B7"/>
    <w:rsid w:val="00B67EE9"/>
    <w:rsid w:val="00B706E5"/>
    <w:rsid w:val="00B70A1B"/>
    <w:rsid w:val="00B711EA"/>
    <w:rsid w:val="00B72302"/>
    <w:rsid w:val="00B72749"/>
    <w:rsid w:val="00B72BC2"/>
    <w:rsid w:val="00B72CED"/>
    <w:rsid w:val="00B72D82"/>
    <w:rsid w:val="00B72F22"/>
    <w:rsid w:val="00B7362E"/>
    <w:rsid w:val="00B740CF"/>
    <w:rsid w:val="00B74417"/>
    <w:rsid w:val="00B747F3"/>
    <w:rsid w:val="00B7495D"/>
    <w:rsid w:val="00B74E09"/>
    <w:rsid w:val="00B756BF"/>
    <w:rsid w:val="00B7695A"/>
    <w:rsid w:val="00B7741F"/>
    <w:rsid w:val="00B774EE"/>
    <w:rsid w:val="00B777BF"/>
    <w:rsid w:val="00B77E1C"/>
    <w:rsid w:val="00B77FB0"/>
    <w:rsid w:val="00B81AFF"/>
    <w:rsid w:val="00B81BED"/>
    <w:rsid w:val="00B81F81"/>
    <w:rsid w:val="00B8248B"/>
    <w:rsid w:val="00B82DCB"/>
    <w:rsid w:val="00B832B9"/>
    <w:rsid w:val="00B83A1A"/>
    <w:rsid w:val="00B83CDB"/>
    <w:rsid w:val="00B842EC"/>
    <w:rsid w:val="00B847FE"/>
    <w:rsid w:val="00B84C97"/>
    <w:rsid w:val="00B851CD"/>
    <w:rsid w:val="00B85C41"/>
    <w:rsid w:val="00B85EED"/>
    <w:rsid w:val="00B866B0"/>
    <w:rsid w:val="00B86C63"/>
    <w:rsid w:val="00B873B4"/>
    <w:rsid w:val="00B87576"/>
    <w:rsid w:val="00B903D7"/>
    <w:rsid w:val="00B9085C"/>
    <w:rsid w:val="00B917C7"/>
    <w:rsid w:val="00B91ADB"/>
    <w:rsid w:val="00B9241B"/>
    <w:rsid w:val="00B925C4"/>
    <w:rsid w:val="00B926C5"/>
    <w:rsid w:val="00B92874"/>
    <w:rsid w:val="00B929FB"/>
    <w:rsid w:val="00B92C17"/>
    <w:rsid w:val="00B92D75"/>
    <w:rsid w:val="00B93040"/>
    <w:rsid w:val="00B93890"/>
    <w:rsid w:val="00B93950"/>
    <w:rsid w:val="00B93B93"/>
    <w:rsid w:val="00B947D7"/>
    <w:rsid w:val="00B94C15"/>
    <w:rsid w:val="00B94D79"/>
    <w:rsid w:val="00B9506A"/>
    <w:rsid w:val="00B95414"/>
    <w:rsid w:val="00B95CF4"/>
    <w:rsid w:val="00B96529"/>
    <w:rsid w:val="00B97BEB"/>
    <w:rsid w:val="00BA02C7"/>
    <w:rsid w:val="00BA02E7"/>
    <w:rsid w:val="00BA099D"/>
    <w:rsid w:val="00BA1E20"/>
    <w:rsid w:val="00BA223A"/>
    <w:rsid w:val="00BA2289"/>
    <w:rsid w:val="00BA2508"/>
    <w:rsid w:val="00BA2BC0"/>
    <w:rsid w:val="00BA2F08"/>
    <w:rsid w:val="00BA4B00"/>
    <w:rsid w:val="00BA5263"/>
    <w:rsid w:val="00BA53FE"/>
    <w:rsid w:val="00BA5692"/>
    <w:rsid w:val="00BA57F4"/>
    <w:rsid w:val="00BA58F7"/>
    <w:rsid w:val="00BA5C22"/>
    <w:rsid w:val="00BA6825"/>
    <w:rsid w:val="00BA68AA"/>
    <w:rsid w:val="00BA6EAC"/>
    <w:rsid w:val="00BA7058"/>
    <w:rsid w:val="00BA7060"/>
    <w:rsid w:val="00BA7990"/>
    <w:rsid w:val="00BA7A5C"/>
    <w:rsid w:val="00BA7C5A"/>
    <w:rsid w:val="00BA7D6A"/>
    <w:rsid w:val="00BB00DE"/>
    <w:rsid w:val="00BB0322"/>
    <w:rsid w:val="00BB049B"/>
    <w:rsid w:val="00BB07C3"/>
    <w:rsid w:val="00BB0BA2"/>
    <w:rsid w:val="00BB0CD5"/>
    <w:rsid w:val="00BB0ED7"/>
    <w:rsid w:val="00BB120E"/>
    <w:rsid w:val="00BB19C6"/>
    <w:rsid w:val="00BB22B3"/>
    <w:rsid w:val="00BB24BA"/>
    <w:rsid w:val="00BB293A"/>
    <w:rsid w:val="00BB2F1C"/>
    <w:rsid w:val="00BB322C"/>
    <w:rsid w:val="00BB3C65"/>
    <w:rsid w:val="00BB58A6"/>
    <w:rsid w:val="00BB599A"/>
    <w:rsid w:val="00BB5C4B"/>
    <w:rsid w:val="00BB66A4"/>
    <w:rsid w:val="00BB75F2"/>
    <w:rsid w:val="00BB79E9"/>
    <w:rsid w:val="00BB7CDB"/>
    <w:rsid w:val="00BB7D63"/>
    <w:rsid w:val="00BB7F28"/>
    <w:rsid w:val="00BC0207"/>
    <w:rsid w:val="00BC06F4"/>
    <w:rsid w:val="00BC097C"/>
    <w:rsid w:val="00BC0E2B"/>
    <w:rsid w:val="00BC1992"/>
    <w:rsid w:val="00BC19D2"/>
    <w:rsid w:val="00BC3956"/>
    <w:rsid w:val="00BC44C5"/>
    <w:rsid w:val="00BC54C2"/>
    <w:rsid w:val="00BC55CD"/>
    <w:rsid w:val="00BC5832"/>
    <w:rsid w:val="00BC60A2"/>
    <w:rsid w:val="00BC7613"/>
    <w:rsid w:val="00BC7CA5"/>
    <w:rsid w:val="00BC7CC5"/>
    <w:rsid w:val="00BD004E"/>
    <w:rsid w:val="00BD034E"/>
    <w:rsid w:val="00BD0881"/>
    <w:rsid w:val="00BD092D"/>
    <w:rsid w:val="00BD1DE7"/>
    <w:rsid w:val="00BD238A"/>
    <w:rsid w:val="00BD2BCC"/>
    <w:rsid w:val="00BD2E3A"/>
    <w:rsid w:val="00BD2FD9"/>
    <w:rsid w:val="00BD36BC"/>
    <w:rsid w:val="00BD3E2A"/>
    <w:rsid w:val="00BD495C"/>
    <w:rsid w:val="00BD531A"/>
    <w:rsid w:val="00BD553F"/>
    <w:rsid w:val="00BD5B6F"/>
    <w:rsid w:val="00BD6516"/>
    <w:rsid w:val="00BD678A"/>
    <w:rsid w:val="00BD69AB"/>
    <w:rsid w:val="00BD6FFD"/>
    <w:rsid w:val="00BD7086"/>
    <w:rsid w:val="00BD7B8D"/>
    <w:rsid w:val="00BD7C3F"/>
    <w:rsid w:val="00BE0246"/>
    <w:rsid w:val="00BE033B"/>
    <w:rsid w:val="00BE0359"/>
    <w:rsid w:val="00BE0A51"/>
    <w:rsid w:val="00BE10A3"/>
    <w:rsid w:val="00BE1CFA"/>
    <w:rsid w:val="00BE21CB"/>
    <w:rsid w:val="00BE356B"/>
    <w:rsid w:val="00BE5B4E"/>
    <w:rsid w:val="00BE65C9"/>
    <w:rsid w:val="00BE6796"/>
    <w:rsid w:val="00BE75F1"/>
    <w:rsid w:val="00BE7E51"/>
    <w:rsid w:val="00BF014F"/>
    <w:rsid w:val="00BF01A6"/>
    <w:rsid w:val="00BF0A23"/>
    <w:rsid w:val="00BF0B0F"/>
    <w:rsid w:val="00BF1120"/>
    <w:rsid w:val="00BF1290"/>
    <w:rsid w:val="00BF12A2"/>
    <w:rsid w:val="00BF1A42"/>
    <w:rsid w:val="00BF1B80"/>
    <w:rsid w:val="00BF1F1D"/>
    <w:rsid w:val="00BF204B"/>
    <w:rsid w:val="00BF2156"/>
    <w:rsid w:val="00BF2158"/>
    <w:rsid w:val="00BF2A1E"/>
    <w:rsid w:val="00BF358E"/>
    <w:rsid w:val="00BF3731"/>
    <w:rsid w:val="00BF3D1D"/>
    <w:rsid w:val="00BF4213"/>
    <w:rsid w:val="00BF4B3D"/>
    <w:rsid w:val="00BF50C0"/>
    <w:rsid w:val="00BF589B"/>
    <w:rsid w:val="00BF5F1E"/>
    <w:rsid w:val="00BF679B"/>
    <w:rsid w:val="00BF7AE0"/>
    <w:rsid w:val="00BF7F1E"/>
    <w:rsid w:val="00C000C4"/>
    <w:rsid w:val="00C012F0"/>
    <w:rsid w:val="00C013E3"/>
    <w:rsid w:val="00C014DB"/>
    <w:rsid w:val="00C015CB"/>
    <w:rsid w:val="00C016F4"/>
    <w:rsid w:val="00C01F14"/>
    <w:rsid w:val="00C02573"/>
    <w:rsid w:val="00C0303D"/>
    <w:rsid w:val="00C03118"/>
    <w:rsid w:val="00C03409"/>
    <w:rsid w:val="00C03A05"/>
    <w:rsid w:val="00C03E6F"/>
    <w:rsid w:val="00C04AF2"/>
    <w:rsid w:val="00C04C8B"/>
    <w:rsid w:val="00C04FBB"/>
    <w:rsid w:val="00C054C1"/>
    <w:rsid w:val="00C060B2"/>
    <w:rsid w:val="00C06139"/>
    <w:rsid w:val="00C0625C"/>
    <w:rsid w:val="00C065E9"/>
    <w:rsid w:val="00C0685D"/>
    <w:rsid w:val="00C06C85"/>
    <w:rsid w:val="00C075F3"/>
    <w:rsid w:val="00C07C9B"/>
    <w:rsid w:val="00C07E76"/>
    <w:rsid w:val="00C07EA3"/>
    <w:rsid w:val="00C100E2"/>
    <w:rsid w:val="00C10C87"/>
    <w:rsid w:val="00C10E2B"/>
    <w:rsid w:val="00C110F6"/>
    <w:rsid w:val="00C111DC"/>
    <w:rsid w:val="00C11A34"/>
    <w:rsid w:val="00C11EC0"/>
    <w:rsid w:val="00C12947"/>
    <w:rsid w:val="00C13C09"/>
    <w:rsid w:val="00C13C2F"/>
    <w:rsid w:val="00C13F66"/>
    <w:rsid w:val="00C14489"/>
    <w:rsid w:val="00C14F2E"/>
    <w:rsid w:val="00C15D61"/>
    <w:rsid w:val="00C15EFE"/>
    <w:rsid w:val="00C16044"/>
    <w:rsid w:val="00C1684D"/>
    <w:rsid w:val="00C16F67"/>
    <w:rsid w:val="00C17392"/>
    <w:rsid w:val="00C17E26"/>
    <w:rsid w:val="00C20A57"/>
    <w:rsid w:val="00C20CB0"/>
    <w:rsid w:val="00C20EEC"/>
    <w:rsid w:val="00C20FB3"/>
    <w:rsid w:val="00C217E5"/>
    <w:rsid w:val="00C2240B"/>
    <w:rsid w:val="00C227AA"/>
    <w:rsid w:val="00C22CFB"/>
    <w:rsid w:val="00C231BD"/>
    <w:rsid w:val="00C2339D"/>
    <w:rsid w:val="00C2394B"/>
    <w:rsid w:val="00C24253"/>
    <w:rsid w:val="00C24708"/>
    <w:rsid w:val="00C247F2"/>
    <w:rsid w:val="00C24B83"/>
    <w:rsid w:val="00C24C24"/>
    <w:rsid w:val="00C2504F"/>
    <w:rsid w:val="00C25517"/>
    <w:rsid w:val="00C2575D"/>
    <w:rsid w:val="00C257DD"/>
    <w:rsid w:val="00C26BF1"/>
    <w:rsid w:val="00C27366"/>
    <w:rsid w:val="00C27BE8"/>
    <w:rsid w:val="00C304D4"/>
    <w:rsid w:val="00C306AE"/>
    <w:rsid w:val="00C315E0"/>
    <w:rsid w:val="00C317BD"/>
    <w:rsid w:val="00C31A00"/>
    <w:rsid w:val="00C31B92"/>
    <w:rsid w:val="00C31ED5"/>
    <w:rsid w:val="00C31F2F"/>
    <w:rsid w:val="00C327B3"/>
    <w:rsid w:val="00C32DB5"/>
    <w:rsid w:val="00C33121"/>
    <w:rsid w:val="00C334EA"/>
    <w:rsid w:val="00C34BE9"/>
    <w:rsid w:val="00C35314"/>
    <w:rsid w:val="00C356AE"/>
    <w:rsid w:val="00C357AA"/>
    <w:rsid w:val="00C36477"/>
    <w:rsid w:val="00C36664"/>
    <w:rsid w:val="00C36C92"/>
    <w:rsid w:val="00C37BE9"/>
    <w:rsid w:val="00C4011F"/>
    <w:rsid w:val="00C41880"/>
    <w:rsid w:val="00C41C12"/>
    <w:rsid w:val="00C41CB9"/>
    <w:rsid w:val="00C41EB9"/>
    <w:rsid w:val="00C42AA9"/>
    <w:rsid w:val="00C432D4"/>
    <w:rsid w:val="00C43523"/>
    <w:rsid w:val="00C436B2"/>
    <w:rsid w:val="00C438CD"/>
    <w:rsid w:val="00C43E2F"/>
    <w:rsid w:val="00C440B0"/>
    <w:rsid w:val="00C44484"/>
    <w:rsid w:val="00C444F1"/>
    <w:rsid w:val="00C453A5"/>
    <w:rsid w:val="00C4566A"/>
    <w:rsid w:val="00C46701"/>
    <w:rsid w:val="00C46B80"/>
    <w:rsid w:val="00C46BE4"/>
    <w:rsid w:val="00C46BFC"/>
    <w:rsid w:val="00C46E00"/>
    <w:rsid w:val="00C47317"/>
    <w:rsid w:val="00C478C4"/>
    <w:rsid w:val="00C47AD3"/>
    <w:rsid w:val="00C47BB9"/>
    <w:rsid w:val="00C47CD0"/>
    <w:rsid w:val="00C501BD"/>
    <w:rsid w:val="00C527CE"/>
    <w:rsid w:val="00C529DB"/>
    <w:rsid w:val="00C52A61"/>
    <w:rsid w:val="00C52B5E"/>
    <w:rsid w:val="00C53234"/>
    <w:rsid w:val="00C535D1"/>
    <w:rsid w:val="00C537CF"/>
    <w:rsid w:val="00C53837"/>
    <w:rsid w:val="00C53871"/>
    <w:rsid w:val="00C53CB6"/>
    <w:rsid w:val="00C54442"/>
    <w:rsid w:val="00C5498F"/>
    <w:rsid w:val="00C550EE"/>
    <w:rsid w:val="00C55897"/>
    <w:rsid w:val="00C558E6"/>
    <w:rsid w:val="00C55A11"/>
    <w:rsid w:val="00C55BE9"/>
    <w:rsid w:val="00C56025"/>
    <w:rsid w:val="00C56EA0"/>
    <w:rsid w:val="00C576AE"/>
    <w:rsid w:val="00C57919"/>
    <w:rsid w:val="00C57EFE"/>
    <w:rsid w:val="00C57F9F"/>
    <w:rsid w:val="00C600CB"/>
    <w:rsid w:val="00C604AA"/>
    <w:rsid w:val="00C608D7"/>
    <w:rsid w:val="00C609BE"/>
    <w:rsid w:val="00C60A9E"/>
    <w:rsid w:val="00C614AB"/>
    <w:rsid w:val="00C615E9"/>
    <w:rsid w:val="00C61B5A"/>
    <w:rsid w:val="00C622B1"/>
    <w:rsid w:val="00C626CC"/>
    <w:rsid w:val="00C62D28"/>
    <w:rsid w:val="00C632AB"/>
    <w:rsid w:val="00C63396"/>
    <w:rsid w:val="00C6361B"/>
    <w:rsid w:val="00C63841"/>
    <w:rsid w:val="00C63A9B"/>
    <w:rsid w:val="00C63F19"/>
    <w:rsid w:val="00C64073"/>
    <w:rsid w:val="00C64599"/>
    <w:rsid w:val="00C648B5"/>
    <w:rsid w:val="00C6491A"/>
    <w:rsid w:val="00C64AE0"/>
    <w:rsid w:val="00C64FBD"/>
    <w:rsid w:val="00C650F8"/>
    <w:rsid w:val="00C65AA2"/>
    <w:rsid w:val="00C65C7A"/>
    <w:rsid w:val="00C668BF"/>
    <w:rsid w:val="00C6694A"/>
    <w:rsid w:val="00C6720A"/>
    <w:rsid w:val="00C6727C"/>
    <w:rsid w:val="00C67FC5"/>
    <w:rsid w:val="00C70137"/>
    <w:rsid w:val="00C705D7"/>
    <w:rsid w:val="00C70F83"/>
    <w:rsid w:val="00C71416"/>
    <w:rsid w:val="00C7232E"/>
    <w:rsid w:val="00C7325C"/>
    <w:rsid w:val="00C7361D"/>
    <w:rsid w:val="00C73ACB"/>
    <w:rsid w:val="00C74385"/>
    <w:rsid w:val="00C75859"/>
    <w:rsid w:val="00C75E38"/>
    <w:rsid w:val="00C76BA5"/>
    <w:rsid w:val="00C76C4C"/>
    <w:rsid w:val="00C77461"/>
    <w:rsid w:val="00C77C55"/>
    <w:rsid w:val="00C80B0E"/>
    <w:rsid w:val="00C80B37"/>
    <w:rsid w:val="00C80E04"/>
    <w:rsid w:val="00C822FC"/>
    <w:rsid w:val="00C823C9"/>
    <w:rsid w:val="00C830C9"/>
    <w:rsid w:val="00C83BE5"/>
    <w:rsid w:val="00C83C1F"/>
    <w:rsid w:val="00C83D1D"/>
    <w:rsid w:val="00C8546A"/>
    <w:rsid w:val="00C854ED"/>
    <w:rsid w:val="00C85544"/>
    <w:rsid w:val="00C8593E"/>
    <w:rsid w:val="00C85BC7"/>
    <w:rsid w:val="00C85D7C"/>
    <w:rsid w:val="00C86BAD"/>
    <w:rsid w:val="00C86FC9"/>
    <w:rsid w:val="00C8751E"/>
    <w:rsid w:val="00C8755C"/>
    <w:rsid w:val="00C87838"/>
    <w:rsid w:val="00C87EB7"/>
    <w:rsid w:val="00C90046"/>
    <w:rsid w:val="00C900A1"/>
    <w:rsid w:val="00C90244"/>
    <w:rsid w:val="00C909F9"/>
    <w:rsid w:val="00C90BBB"/>
    <w:rsid w:val="00C912F4"/>
    <w:rsid w:val="00C91404"/>
    <w:rsid w:val="00C91B02"/>
    <w:rsid w:val="00C9393A"/>
    <w:rsid w:val="00C93C10"/>
    <w:rsid w:val="00C93DAC"/>
    <w:rsid w:val="00C9486B"/>
    <w:rsid w:val="00C964ED"/>
    <w:rsid w:val="00C9693F"/>
    <w:rsid w:val="00C96FFA"/>
    <w:rsid w:val="00C97354"/>
    <w:rsid w:val="00C97DE6"/>
    <w:rsid w:val="00CA0024"/>
    <w:rsid w:val="00CA0292"/>
    <w:rsid w:val="00CA0C75"/>
    <w:rsid w:val="00CA10AC"/>
    <w:rsid w:val="00CA1157"/>
    <w:rsid w:val="00CA1296"/>
    <w:rsid w:val="00CA1472"/>
    <w:rsid w:val="00CA15C0"/>
    <w:rsid w:val="00CA2259"/>
    <w:rsid w:val="00CA2B6F"/>
    <w:rsid w:val="00CA3018"/>
    <w:rsid w:val="00CA3278"/>
    <w:rsid w:val="00CA33F5"/>
    <w:rsid w:val="00CA3454"/>
    <w:rsid w:val="00CA3480"/>
    <w:rsid w:val="00CA3E8C"/>
    <w:rsid w:val="00CA437D"/>
    <w:rsid w:val="00CA4462"/>
    <w:rsid w:val="00CA49FE"/>
    <w:rsid w:val="00CA4CB9"/>
    <w:rsid w:val="00CA4F8E"/>
    <w:rsid w:val="00CA5150"/>
    <w:rsid w:val="00CA63EF"/>
    <w:rsid w:val="00CA65B4"/>
    <w:rsid w:val="00CA740A"/>
    <w:rsid w:val="00CA7D0B"/>
    <w:rsid w:val="00CB0486"/>
    <w:rsid w:val="00CB0B2E"/>
    <w:rsid w:val="00CB12D0"/>
    <w:rsid w:val="00CB12EA"/>
    <w:rsid w:val="00CB133F"/>
    <w:rsid w:val="00CB19F9"/>
    <w:rsid w:val="00CB1CD0"/>
    <w:rsid w:val="00CB1E0A"/>
    <w:rsid w:val="00CB2391"/>
    <w:rsid w:val="00CB2E95"/>
    <w:rsid w:val="00CB39CA"/>
    <w:rsid w:val="00CB4A2C"/>
    <w:rsid w:val="00CB4A90"/>
    <w:rsid w:val="00CB4DFB"/>
    <w:rsid w:val="00CB50C0"/>
    <w:rsid w:val="00CB57E7"/>
    <w:rsid w:val="00CB5CFE"/>
    <w:rsid w:val="00CB659C"/>
    <w:rsid w:val="00CB66AA"/>
    <w:rsid w:val="00CB69C3"/>
    <w:rsid w:val="00CB69C4"/>
    <w:rsid w:val="00CB6E60"/>
    <w:rsid w:val="00CB6FB8"/>
    <w:rsid w:val="00CB7053"/>
    <w:rsid w:val="00CB71EC"/>
    <w:rsid w:val="00CB722B"/>
    <w:rsid w:val="00CB7AD0"/>
    <w:rsid w:val="00CB7CF6"/>
    <w:rsid w:val="00CC082B"/>
    <w:rsid w:val="00CC0CCE"/>
    <w:rsid w:val="00CC0E05"/>
    <w:rsid w:val="00CC0ED2"/>
    <w:rsid w:val="00CC143A"/>
    <w:rsid w:val="00CC1777"/>
    <w:rsid w:val="00CC203D"/>
    <w:rsid w:val="00CC22C9"/>
    <w:rsid w:val="00CC3280"/>
    <w:rsid w:val="00CC329D"/>
    <w:rsid w:val="00CC35E1"/>
    <w:rsid w:val="00CC3887"/>
    <w:rsid w:val="00CC4006"/>
    <w:rsid w:val="00CC472E"/>
    <w:rsid w:val="00CC50D8"/>
    <w:rsid w:val="00CC5A17"/>
    <w:rsid w:val="00CC5CAF"/>
    <w:rsid w:val="00CC62C8"/>
    <w:rsid w:val="00CC64EA"/>
    <w:rsid w:val="00CD07E6"/>
    <w:rsid w:val="00CD0BF6"/>
    <w:rsid w:val="00CD1870"/>
    <w:rsid w:val="00CD282B"/>
    <w:rsid w:val="00CD29B2"/>
    <w:rsid w:val="00CD2B4F"/>
    <w:rsid w:val="00CD32CE"/>
    <w:rsid w:val="00CD34D0"/>
    <w:rsid w:val="00CD3FBE"/>
    <w:rsid w:val="00CD42E2"/>
    <w:rsid w:val="00CD4445"/>
    <w:rsid w:val="00CD455B"/>
    <w:rsid w:val="00CD46C3"/>
    <w:rsid w:val="00CD4872"/>
    <w:rsid w:val="00CD4A4C"/>
    <w:rsid w:val="00CD50B8"/>
    <w:rsid w:val="00CD62B3"/>
    <w:rsid w:val="00CD631E"/>
    <w:rsid w:val="00CD67CF"/>
    <w:rsid w:val="00CD7043"/>
    <w:rsid w:val="00CD7DAF"/>
    <w:rsid w:val="00CD7E49"/>
    <w:rsid w:val="00CE070A"/>
    <w:rsid w:val="00CE09BE"/>
    <w:rsid w:val="00CE0BEB"/>
    <w:rsid w:val="00CE0E42"/>
    <w:rsid w:val="00CE0E95"/>
    <w:rsid w:val="00CE1070"/>
    <w:rsid w:val="00CE11C8"/>
    <w:rsid w:val="00CE1528"/>
    <w:rsid w:val="00CE2A13"/>
    <w:rsid w:val="00CE3179"/>
    <w:rsid w:val="00CE355A"/>
    <w:rsid w:val="00CE40EC"/>
    <w:rsid w:val="00CE44E2"/>
    <w:rsid w:val="00CE483C"/>
    <w:rsid w:val="00CE4D45"/>
    <w:rsid w:val="00CE5134"/>
    <w:rsid w:val="00CE55E8"/>
    <w:rsid w:val="00CE5F1E"/>
    <w:rsid w:val="00CE6F02"/>
    <w:rsid w:val="00CE7D00"/>
    <w:rsid w:val="00CF0840"/>
    <w:rsid w:val="00CF0847"/>
    <w:rsid w:val="00CF1568"/>
    <w:rsid w:val="00CF1B06"/>
    <w:rsid w:val="00CF2150"/>
    <w:rsid w:val="00CF230A"/>
    <w:rsid w:val="00CF2F74"/>
    <w:rsid w:val="00CF331B"/>
    <w:rsid w:val="00CF3957"/>
    <w:rsid w:val="00CF3E7C"/>
    <w:rsid w:val="00CF3FF5"/>
    <w:rsid w:val="00CF404A"/>
    <w:rsid w:val="00CF438F"/>
    <w:rsid w:val="00CF461D"/>
    <w:rsid w:val="00CF4832"/>
    <w:rsid w:val="00CF4940"/>
    <w:rsid w:val="00CF4F8F"/>
    <w:rsid w:val="00CF513B"/>
    <w:rsid w:val="00CF5FE6"/>
    <w:rsid w:val="00CF612A"/>
    <w:rsid w:val="00CF6AE7"/>
    <w:rsid w:val="00CF6E40"/>
    <w:rsid w:val="00CF6FF6"/>
    <w:rsid w:val="00CF73D6"/>
    <w:rsid w:val="00CF7757"/>
    <w:rsid w:val="00CF796C"/>
    <w:rsid w:val="00D013C9"/>
    <w:rsid w:val="00D01565"/>
    <w:rsid w:val="00D01576"/>
    <w:rsid w:val="00D01D91"/>
    <w:rsid w:val="00D02241"/>
    <w:rsid w:val="00D02273"/>
    <w:rsid w:val="00D022BA"/>
    <w:rsid w:val="00D02609"/>
    <w:rsid w:val="00D02F99"/>
    <w:rsid w:val="00D0329D"/>
    <w:rsid w:val="00D03377"/>
    <w:rsid w:val="00D042AF"/>
    <w:rsid w:val="00D045FD"/>
    <w:rsid w:val="00D0471D"/>
    <w:rsid w:val="00D04B9A"/>
    <w:rsid w:val="00D05331"/>
    <w:rsid w:val="00D054DA"/>
    <w:rsid w:val="00D062F0"/>
    <w:rsid w:val="00D0659D"/>
    <w:rsid w:val="00D06FA0"/>
    <w:rsid w:val="00D07398"/>
    <w:rsid w:val="00D0765E"/>
    <w:rsid w:val="00D077C1"/>
    <w:rsid w:val="00D0792B"/>
    <w:rsid w:val="00D1037D"/>
    <w:rsid w:val="00D10400"/>
    <w:rsid w:val="00D125E3"/>
    <w:rsid w:val="00D12675"/>
    <w:rsid w:val="00D13F36"/>
    <w:rsid w:val="00D13FAD"/>
    <w:rsid w:val="00D144C2"/>
    <w:rsid w:val="00D14550"/>
    <w:rsid w:val="00D1455B"/>
    <w:rsid w:val="00D14693"/>
    <w:rsid w:val="00D14B6F"/>
    <w:rsid w:val="00D14CDB"/>
    <w:rsid w:val="00D15169"/>
    <w:rsid w:val="00D151C3"/>
    <w:rsid w:val="00D155CD"/>
    <w:rsid w:val="00D15AB9"/>
    <w:rsid w:val="00D15F13"/>
    <w:rsid w:val="00D160C0"/>
    <w:rsid w:val="00D16F07"/>
    <w:rsid w:val="00D16F86"/>
    <w:rsid w:val="00D17EBD"/>
    <w:rsid w:val="00D21751"/>
    <w:rsid w:val="00D21EFF"/>
    <w:rsid w:val="00D22323"/>
    <w:rsid w:val="00D2240C"/>
    <w:rsid w:val="00D2243E"/>
    <w:rsid w:val="00D22546"/>
    <w:rsid w:val="00D228EC"/>
    <w:rsid w:val="00D22CCF"/>
    <w:rsid w:val="00D22E7D"/>
    <w:rsid w:val="00D22FC0"/>
    <w:rsid w:val="00D232D2"/>
    <w:rsid w:val="00D2340D"/>
    <w:rsid w:val="00D23B4E"/>
    <w:rsid w:val="00D24F50"/>
    <w:rsid w:val="00D25AF3"/>
    <w:rsid w:val="00D25F25"/>
    <w:rsid w:val="00D2646D"/>
    <w:rsid w:val="00D2657D"/>
    <w:rsid w:val="00D268E2"/>
    <w:rsid w:val="00D26FFD"/>
    <w:rsid w:val="00D2740C"/>
    <w:rsid w:val="00D27660"/>
    <w:rsid w:val="00D278AB"/>
    <w:rsid w:val="00D3055A"/>
    <w:rsid w:val="00D305CB"/>
    <w:rsid w:val="00D305ED"/>
    <w:rsid w:val="00D309F5"/>
    <w:rsid w:val="00D316B4"/>
    <w:rsid w:val="00D31DC0"/>
    <w:rsid w:val="00D31F81"/>
    <w:rsid w:val="00D321EF"/>
    <w:rsid w:val="00D3280F"/>
    <w:rsid w:val="00D33189"/>
    <w:rsid w:val="00D3336F"/>
    <w:rsid w:val="00D3357A"/>
    <w:rsid w:val="00D33804"/>
    <w:rsid w:val="00D3398B"/>
    <w:rsid w:val="00D33A3C"/>
    <w:rsid w:val="00D33AA9"/>
    <w:rsid w:val="00D340D9"/>
    <w:rsid w:val="00D34287"/>
    <w:rsid w:val="00D35225"/>
    <w:rsid w:val="00D354A0"/>
    <w:rsid w:val="00D35A00"/>
    <w:rsid w:val="00D36C83"/>
    <w:rsid w:val="00D370F6"/>
    <w:rsid w:val="00D377C6"/>
    <w:rsid w:val="00D403EF"/>
    <w:rsid w:val="00D404AC"/>
    <w:rsid w:val="00D40AAF"/>
    <w:rsid w:val="00D41547"/>
    <w:rsid w:val="00D41801"/>
    <w:rsid w:val="00D41F45"/>
    <w:rsid w:val="00D42E1E"/>
    <w:rsid w:val="00D43CEF"/>
    <w:rsid w:val="00D44B28"/>
    <w:rsid w:val="00D4564F"/>
    <w:rsid w:val="00D4602C"/>
    <w:rsid w:val="00D46567"/>
    <w:rsid w:val="00D46A47"/>
    <w:rsid w:val="00D46B45"/>
    <w:rsid w:val="00D46BD4"/>
    <w:rsid w:val="00D46D67"/>
    <w:rsid w:val="00D46E8A"/>
    <w:rsid w:val="00D476E5"/>
    <w:rsid w:val="00D50B7E"/>
    <w:rsid w:val="00D50CCA"/>
    <w:rsid w:val="00D50CCC"/>
    <w:rsid w:val="00D50E8B"/>
    <w:rsid w:val="00D5165C"/>
    <w:rsid w:val="00D521C3"/>
    <w:rsid w:val="00D52597"/>
    <w:rsid w:val="00D52617"/>
    <w:rsid w:val="00D52A73"/>
    <w:rsid w:val="00D53867"/>
    <w:rsid w:val="00D53A0F"/>
    <w:rsid w:val="00D549B7"/>
    <w:rsid w:val="00D5540F"/>
    <w:rsid w:val="00D55495"/>
    <w:rsid w:val="00D56269"/>
    <w:rsid w:val="00D569A2"/>
    <w:rsid w:val="00D5768E"/>
    <w:rsid w:val="00D57F7F"/>
    <w:rsid w:val="00D61296"/>
    <w:rsid w:val="00D61921"/>
    <w:rsid w:val="00D6202A"/>
    <w:rsid w:val="00D620ED"/>
    <w:rsid w:val="00D625EE"/>
    <w:rsid w:val="00D62609"/>
    <w:rsid w:val="00D62CF7"/>
    <w:rsid w:val="00D631F1"/>
    <w:rsid w:val="00D63210"/>
    <w:rsid w:val="00D63811"/>
    <w:rsid w:val="00D63F06"/>
    <w:rsid w:val="00D64220"/>
    <w:rsid w:val="00D64304"/>
    <w:rsid w:val="00D64858"/>
    <w:rsid w:val="00D64A14"/>
    <w:rsid w:val="00D65029"/>
    <w:rsid w:val="00D651DB"/>
    <w:rsid w:val="00D65402"/>
    <w:rsid w:val="00D65685"/>
    <w:rsid w:val="00D66533"/>
    <w:rsid w:val="00D6677E"/>
    <w:rsid w:val="00D67142"/>
    <w:rsid w:val="00D671EA"/>
    <w:rsid w:val="00D6727C"/>
    <w:rsid w:val="00D676A4"/>
    <w:rsid w:val="00D67E23"/>
    <w:rsid w:val="00D70057"/>
    <w:rsid w:val="00D705D4"/>
    <w:rsid w:val="00D70681"/>
    <w:rsid w:val="00D711E2"/>
    <w:rsid w:val="00D7186F"/>
    <w:rsid w:val="00D71898"/>
    <w:rsid w:val="00D72729"/>
    <w:rsid w:val="00D72935"/>
    <w:rsid w:val="00D72D1C"/>
    <w:rsid w:val="00D730AE"/>
    <w:rsid w:val="00D73547"/>
    <w:rsid w:val="00D73700"/>
    <w:rsid w:val="00D73798"/>
    <w:rsid w:val="00D7381C"/>
    <w:rsid w:val="00D73B41"/>
    <w:rsid w:val="00D73BFD"/>
    <w:rsid w:val="00D73CE6"/>
    <w:rsid w:val="00D75445"/>
    <w:rsid w:val="00D76715"/>
    <w:rsid w:val="00D76880"/>
    <w:rsid w:val="00D771C4"/>
    <w:rsid w:val="00D7733E"/>
    <w:rsid w:val="00D77852"/>
    <w:rsid w:val="00D7788A"/>
    <w:rsid w:val="00D80143"/>
    <w:rsid w:val="00D801D3"/>
    <w:rsid w:val="00D8069F"/>
    <w:rsid w:val="00D80D16"/>
    <w:rsid w:val="00D80F82"/>
    <w:rsid w:val="00D81802"/>
    <w:rsid w:val="00D8190B"/>
    <w:rsid w:val="00D81DF6"/>
    <w:rsid w:val="00D82143"/>
    <w:rsid w:val="00D82CFD"/>
    <w:rsid w:val="00D82EA2"/>
    <w:rsid w:val="00D83022"/>
    <w:rsid w:val="00D83C38"/>
    <w:rsid w:val="00D84962"/>
    <w:rsid w:val="00D84D83"/>
    <w:rsid w:val="00D84E2E"/>
    <w:rsid w:val="00D84F9A"/>
    <w:rsid w:val="00D85038"/>
    <w:rsid w:val="00D85058"/>
    <w:rsid w:val="00D8522F"/>
    <w:rsid w:val="00D85461"/>
    <w:rsid w:val="00D85E09"/>
    <w:rsid w:val="00D862A3"/>
    <w:rsid w:val="00D86C63"/>
    <w:rsid w:val="00D86C74"/>
    <w:rsid w:val="00D87C38"/>
    <w:rsid w:val="00D9129A"/>
    <w:rsid w:val="00D91408"/>
    <w:rsid w:val="00D92A42"/>
    <w:rsid w:val="00D93DE1"/>
    <w:rsid w:val="00D9411A"/>
    <w:rsid w:val="00D94B7C"/>
    <w:rsid w:val="00D94F28"/>
    <w:rsid w:val="00D9568A"/>
    <w:rsid w:val="00D957C5"/>
    <w:rsid w:val="00D95E0C"/>
    <w:rsid w:val="00D962EB"/>
    <w:rsid w:val="00D97299"/>
    <w:rsid w:val="00D97720"/>
    <w:rsid w:val="00D97A1F"/>
    <w:rsid w:val="00DA035C"/>
    <w:rsid w:val="00DA063B"/>
    <w:rsid w:val="00DA0B28"/>
    <w:rsid w:val="00DA12C7"/>
    <w:rsid w:val="00DA1D93"/>
    <w:rsid w:val="00DA1E70"/>
    <w:rsid w:val="00DA2069"/>
    <w:rsid w:val="00DA2209"/>
    <w:rsid w:val="00DA2B5D"/>
    <w:rsid w:val="00DA2C08"/>
    <w:rsid w:val="00DA3230"/>
    <w:rsid w:val="00DA4897"/>
    <w:rsid w:val="00DA50B8"/>
    <w:rsid w:val="00DA50E2"/>
    <w:rsid w:val="00DA5115"/>
    <w:rsid w:val="00DA55CC"/>
    <w:rsid w:val="00DA5849"/>
    <w:rsid w:val="00DA62DB"/>
    <w:rsid w:val="00DA6369"/>
    <w:rsid w:val="00DA7441"/>
    <w:rsid w:val="00DA7C7B"/>
    <w:rsid w:val="00DA7D3D"/>
    <w:rsid w:val="00DB0041"/>
    <w:rsid w:val="00DB016F"/>
    <w:rsid w:val="00DB1360"/>
    <w:rsid w:val="00DB162F"/>
    <w:rsid w:val="00DB1A4B"/>
    <w:rsid w:val="00DB1CE2"/>
    <w:rsid w:val="00DB204F"/>
    <w:rsid w:val="00DB241A"/>
    <w:rsid w:val="00DB2657"/>
    <w:rsid w:val="00DB28E4"/>
    <w:rsid w:val="00DB36B8"/>
    <w:rsid w:val="00DB3B73"/>
    <w:rsid w:val="00DB4DB6"/>
    <w:rsid w:val="00DB526F"/>
    <w:rsid w:val="00DB52AE"/>
    <w:rsid w:val="00DB55E4"/>
    <w:rsid w:val="00DB55EE"/>
    <w:rsid w:val="00DB5A52"/>
    <w:rsid w:val="00DB5B6B"/>
    <w:rsid w:val="00DB6875"/>
    <w:rsid w:val="00DB6FBC"/>
    <w:rsid w:val="00DB7294"/>
    <w:rsid w:val="00DB7779"/>
    <w:rsid w:val="00DB7ECB"/>
    <w:rsid w:val="00DC02FA"/>
    <w:rsid w:val="00DC09E9"/>
    <w:rsid w:val="00DC0E77"/>
    <w:rsid w:val="00DC10FB"/>
    <w:rsid w:val="00DC1485"/>
    <w:rsid w:val="00DC1F25"/>
    <w:rsid w:val="00DC1FFB"/>
    <w:rsid w:val="00DC265B"/>
    <w:rsid w:val="00DC2967"/>
    <w:rsid w:val="00DC2DA3"/>
    <w:rsid w:val="00DC3019"/>
    <w:rsid w:val="00DC35B0"/>
    <w:rsid w:val="00DC38B8"/>
    <w:rsid w:val="00DC449A"/>
    <w:rsid w:val="00DC466A"/>
    <w:rsid w:val="00DC4C21"/>
    <w:rsid w:val="00DC5D3F"/>
    <w:rsid w:val="00DC66AB"/>
    <w:rsid w:val="00DC66FD"/>
    <w:rsid w:val="00DC6FF5"/>
    <w:rsid w:val="00DC7005"/>
    <w:rsid w:val="00DC797B"/>
    <w:rsid w:val="00DC7C19"/>
    <w:rsid w:val="00DD05A9"/>
    <w:rsid w:val="00DD09E0"/>
    <w:rsid w:val="00DD12A8"/>
    <w:rsid w:val="00DD18F8"/>
    <w:rsid w:val="00DD2552"/>
    <w:rsid w:val="00DD276D"/>
    <w:rsid w:val="00DD288C"/>
    <w:rsid w:val="00DD2DDB"/>
    <w:rsid w:val="00DD2F79"/>
    <w:rsid w:val="00DD31AA"/>
    <w:rsid w:val="00DD4497"/>
    <w:rsid w:val="00DD4587"/>
    <w:rsid w:val="00DD4AD6"/>
    <w:rsid w:val="00DD52E1"/>
    <w:rsid w:val="00DD69EF"/>
    <w:rsid w:val="00DD6A80"/>
    <w:rsid w:val="00DD718D"/>
    <w:rsid w:val="00DD7582"/>
    <w:rsid w:val="00DD7689"/>
    <w:rsid w:val="00DD788E"/>
    <w:rsid w:val="00DE11B0"/>
    <w:rsid w:val="00DE15A7"/>
    <w:rsid w:val="00DE1B57"/>
    <w:rsid w:val="00DE305E"/>
    <w:rsid w:val="00DE334F"/>
    <w:rsid w:val="00DE360E"/>
    <w:rsid w:val="00DE37C7"/>
    <w:rsid w:val="00DE3C9D"/>
    <w:rsid w:val="00DE466B"/>
    <w:rsid w:val="00DE46DC"/>
    <w:rsid w:val="00DE5040"/>
    <w:rsid w:val="00DE50CD"/>
    <w:rsid w:val="00DE5A77"/>
    <w:rsid w:val="00DE5EAA"/>
    <w:rsid w:val="00DE5FC4"/>
    <w:rsid w:val="00DE6230"/>
    <w:rsid w:val="00DE6930"/>
    <w:rsid w:val="00DE7A56"/>
    <w:rsid w:val="00DF010E"/>
    <w:rsid w:val="00DF0230"/>
    <w:rsid w:val="00DF02D1"/>
    <w:rsid w:val="00DF0432"/>
    <w:rsid w:val="00DF06AC"/>
    <w:rsid w:val="00DF1623"/>
    <w:rsid w:val="00DF1B86"/>
    <w:rsid w:val="00DF221B"/>
    <w:rsid w:val="00DF2B96"/>
    <w:rsid w:val="00DF2C14"/>
    <w:rsid w:val="00DF2E45"/>
    <w:rsid w:val="00DF2F8F"/>
    <w:rsid w:val="00DF32A2"/>
    <w:rsid w:val="00DF34EF"/>
    <w:rsid w:val="00DF567F"/>
    <w:rsid w:val="00DF5700"/>
    <w:rsid w:val="00DF586B"/>
    <w:rsid w:val="00DF5EF9"/>
    <w:rsid w:val="00DF609F"/>
    <w:rsid w:val="00DF617B"/>
    <w:rsid w:val="00DF629D"/>
    <w:rsid w:val="00DF63A8"/>
    <w:rsid w:val="00DF662A"/>
    <w:rsid w:val="00DF68B5"/>
    <w:rsid w:val="00DF6D9F"/>
    <w:rsid w:val="00DF7151"/>
    <w:rsid w:val="00DF7447"/>
    <w:rsid w:val="00DF76ED"/>
    <w:rsid w:val="00DF7E62"/>
    <w:rsid w:val="00E01838"/>
    <w:rsid w:val="00E01ABD"/>
    <w:rsid w:val="00E01B96"/>
    <w:rsid w:val="00E01D85"/>
    <w:rsid w:val="00E01EAC"/>
    <w:rsid w:val="00E0202E"/>
    <w:rsid w:val="00E0284D"/>
    <w:rsid w:val="00E033F6"/>
    <w:rsid w:val="00E04416"/>
    <w:rsid w:val="00E0447E"/>
    <w:rsid w:val="00E04991"/>
    <w:rsid w:val="00E04AFC"/>
    <w:rsid w:val="00E04B4B"/>
    <w:rsid w:val="00E04B80"/>
    <w:rsid w:val="00E04CFE"/>
    <w:rsid w:val="00E05450"/>
    <w:rsid w:val="00E0577D"/>
    <w:rsid w:val="00E06062"/>
    <w:rsid w:val="00E06B48"/>
    <w:rsid w:val="00E079A8"/>
    <w:rsid w:val="00E07DF0"/>
    <w:rsid w:val="00E10549"/>
    <w:rsid w:val="00E119D3"/>
    <w:rsid w:val="00E120DA"/>
    <w:rsid w:val="00E12427"/>
    <w:rsid w:val="00E1270E"/>
    <w:rsid w:val="00E127E1"/>
    <w:rsid w:val="00E12B8A"/>
    <w:rsid w:val="00E1308D"/>
    <w:rsid w:val="00E1332C"/>
    <w:rsid w:val="00E13559"/>
    <w:rsid w:val="00E13775"/>
    <w:rsid w:val="00E13BF1"/>
    <w:rsid w:val="00E13FF4"/>
    <w:rsid w:val="00E141B2"/>
    <w:rsid w:val="00E14548"/>
    <w:rsid w:val="00E147D9"/>
    <w:rsid w:val="00E149C8"/>
    <w:rsid w:val="00E15C78"/>
    <w:rsid w:val="00E15DBD"/>
    <w:rsid w:val="00E15EA2"/>
    <w:rsid w:val="00E16897"/>
    <w:rsid w:val="00E168FA"/>
    <w:rsid w:val="00E169AC"/>
    <w:rsid w:val="00E169F0"/>
    <w:rsid w:val="00E17100"/>
    <w:rsid w:val="00E17849"/>
    <w:rsid w:val="00E2043D"/>
    <w:rsid w:val="00E20777"/>
    <w:rsid w:val="00E207A9"/>
    <w:rsid w:val="00E208D3"/>
    <w:rsid w:val="00E21712"/>
    <w:rsid w:val="00E229AB"/>
    <w:rsid w:val="00E22C99"/>
    <w:rsid w:val="00E236F7"/>
    <w:rsid w:val="00E23921"/>
    <w:rsid w:val="00E23C3D"/>
    <w:rsid w:val="00E24356"/>
    <w:rsid w:val="00E244C5"/>
    <w:rsid w:val="00E25F67"/>
    <w:rsid w:val="00E25FBF"/>
    <w:rsid w:val="00E26DE9"/>
    <w:rsid w:val="00E26E6D"/>
    <w:rsid w:val="00E272A0"/>
    <w:rsid w:val="00E274D2"/>
    <w:rsid w:val="00E279AD"/>
    <w:rsid w:val="00E27C5B"/>
    <w:rsid w:val="00E27E3A"/>
    <w:rsid w:val="00E313A2"/>
    <w:rsid w:val="00E31610"/>
    <w:rsid w:val="00E31DD7"/>
    <w:rsid w:val="00E34AFC"/>
    <w:rsid w:val="00E34FBD"/>
    <w:rsid w:val="00E35361"/>
    <w:rsid w:val="00E3540F"/>
    <w:rsid w:val="00E3593A"/>
    <w:rsid w:val="00E359B5"/>
    <w:rsid w:val="00E35D46"/>
    <w:rsid w:val="00E35F49"/>
    <w:rsid w:val="00E361F1"/>
    <w:rsid w:val="00E366AA"/>
    <w:rsid w:val="00E36979"/>
    <w:rsid w:val="00E36F7D"/>
    <w:rsid w:val="00E371DE"/>
    <w:rsid w:val="00E374D3"/>
    <w:rsid w:val="00E374F3"/>
    <w:rsid w:val="00E4008C"/>
    <w:rsid w:val="00E403E3"/>
    <w:rsid w:val="00E403E7"/>
    <w:rsid w:val="00E403FE"/>
    <w:rsid w:val="00E40DE2"/>
    <w:rsid w:val="00E41F42"/>
    <w:rsid w:val="00E43B94"/>
    <w:rsid w:val="00E44079"/>
    <w:rsid w:val="00E44BF2"/>
    <w:rsid w:val="00E457AD"/>
    <w:rsid w:val="00E47965"/>
    <w:rsid w:val="00E47C6A"/>
    <w:rsid w:val="00E50272"/>
    <w:rsid w:val="00E50354"/>
    <w:rsid w:val="00E50ADB"/>
    <w:rsid w:val="00E50F7A"/>
    <w:rsid w:val="00E511E2"/>
    <w:rsid w:val="00E51391"/>
    <w:rsid w:val="00E51DBA"/>
    <w:rsid w:val="00E5214B"/>
    <w:rsid w:val="00E52318"/>
    <w:rsid w:val="00E52675"/>
    <w:rsid w:val="00E52875"/>
    <w:rsid w:val="00E533C4"/>
    <w:rsid w:val="00E53482"/>
    <w:rsid w:val="00E53A0D"/>
    <w:rsid w:val="00E5474A"/>
    <w:rsid w:val="00E5475C"/>
    <w:rsid w:val="00E54E58"/>
    <w:rsid w:val="00E5579A"/>
    <w:rsid w:val="00E560C3"/>
    <w:rsid w:val="00E56279"/>
    <w:rsid w:val="00E571CF"/>
    <w:rsid w:val="00E575B8"/>
    <w:rsid w:val="00E60626"/>
    <w:rsid w:val="00E60A1C"/>
    <w:rsid w:val="00E60AD0"/>
    <w:rsid w:val="00E60C16"/>
    <w:rsid w:val="00E60D82"/>
    <w:rsid w:val="00E60F56"/>
    <w:rsid w:val="00E610E4"/>
    <w:rsid w:val="00E61F3F"/>
    <w:rsid w:val="00E62BD8"/>
    <w:rsid w:val="00E62C0D"/>
    <w:rsid w:val="00E63A69"/>
    <w:rsid w:val="00E63B03"/>
    <w:rsid w:val="00E648B4"/>
    <w:rsid w:val="00E65D0C"/>
    <w:rsid w:val="00E669F3"/>
    <w:rsid w:val="00E66D23"/>
    <w:rsid w:val="00E67059"/>
    <w:rsid w:val="00E67525"/>
    <w:rsid w:val="00E67719"/>
    <w:rsid w:val="00E71110"/>
    <w:rsid w:val="00E7119E"/>
    <w:rsid w:val="00E71A47"/>
    <w:rsid w:val="00E72849"/>
    <w:rsid w:val="00E72A06"/>
    <w:rsid w:val="00E72AAB"/>
    <w:rsid w:val="00E72ECD"/>
    <w:rsid w:val="00E731F8"/>
    <w:rsid w:val="00E73F9B"/>
    <w:rsid w:val="00E747E6"/>
    <w:rsid w:val="00E75E12"/>
    <w:rsid w:val="00E7663A"/>
    <w:rsid w:val="00E766E2"/>
    <w:rsid w:val="00E779E6"/>
    <w:rsid w:val="00E77B2E"/>
    <w:rsid w:val="00E80A72"/>
    <w:rsid w:val="00E80E70"/>
    <w:rsid w:val="00E812E0"/>
    <w:rsid w:val="00E815CC"/>
    <w:rsid w:val="00E81F0C"/>
    <w:rsid w:val="00E82279"/>
    <w:rsid w:val="00E82843"/>
    <w:rsid w:val="00E82D99"/>
    <w:rsid w:val="00E83ED7"/>
    <w:rsid w:val="00E84010"/>
    <w:rsid w:val="00E842C1"/>
    <w:rsid w:val="00E84519"/>
    <w:rsid w:val="00E84A78"/>
    <w:rsid w:val="00E84BC8"/>
    <w:rsid w:val="00E8524B"/>
    <w:rsid w:val="00E85254"/>
    <w:rsid w:val="00E85850"/>
    <w:rsid w:val="00E85994"/>
    <w:rsid w:val="00E85F2E"/>
    <w:rsid w:val="00E86008"/>
    <w:rsid w:val="00E8647D"/>
    <w:rsid w:val="00E8704F"/>
    <w:rsid w:val="00E875B9"/>
    <w:rsid w:val="00E8771F"/>
    <w:rsid w:val="00E90EE7"/>
    <w:rsid w:val="00E90FD4"/>
    <w:rsid w:val="00E929F9"/>
    <w:rsid w:val="00E92B3A"/>
    <w:rsid w:val="00E9418C"/>
    <w:rsid w:val="00E9449F"/>
    <w:rsid w:val="00E9459E"/>
    <w:rsid w:val="00E949F2"/>
    <w:rsid w:val="00E94FA6"/>
    <w:rsid w:val="00E95869"/>
    <w:rsid w:val="00E9605F"/>
    <w:rsid w:val="00E96A8E"/>
    <w:rsid w:val="00E96AE9"/>
    <w:rsid w:val="00E96E6F"/>
    <w:rsid w:val="00EA0529"/>
    <w:rsid w:val="00EA1B7B"/>
    <w:rsid w:val="00EA1BE9"/>
    <w:rsid w:val="00EA22FC"/>
    <w:rsid w:val="00EA27E3"/>
    <w:rsid w:val="00EA3455"/>
    <w:rsid w:val="00EA3ADA"/>
    <w:rsid w:val="00EA3D3D"/>
    <w:rsid w:val="00EA4ACE"/>
    <w:rsid w:val="00EA4AE4"/>
    <w:rsid w:val="00EA514F"/>
    <w:rsid w:val="00EA55CB"/>
    <w:rsid w:val="00EA57D5"/>
    <w:rsid w:val="00EA5D33"/>
    <w:rsid w:val="00EA5FA7"/>
    <w:rsid w:val="00EA625A"/>
    <w:rsid w:val="00EA6EF1"/>
    <w:rsid w:val="00EA701B"/>
    <w:rsid w:val="00EA73CC"/>
    <w:rsid w:val="00EA7557"/>
    <w:rsid w:val="00EA75F1"/>
    <w:rsid w:val="00EA772F"/>
    <w:rsid w:val="00EA7D58"/>
    <w:rsid w:val="00EB000D"/>
    <w:rsid w:val="00EB07F0"/>
    <w:rsid w:val="00EB0CBE"/>
    <w:rsid w:val="00EB0E44"/>
    <w:rsid w:val="00EB1B32"/>
    <w:rsid w:val="00EB243D"/>
    <w:rsid w:val="00EB3756"/>
    <w:rsid w:val="00EB3D23"/>
    <w:rsid w:val="00EB40A7"/>
    <w:rsid w:val="00EB56BC"/>
    <w:rsid w:val="00EB590D"/>
    <w:rsid w:val="00EB5B6A"/>
    <w:rsid w:val="00EB5FF8"/>
    <w:rsid w:val="00EB74EE"/>
    <w:rsid w:val="00EC0793"/>
    <w:rsid w:val="00EC0EC6"/>
    <w:rsid w:val="00EC0FFE"/>
    <w:rsid w:val="00EC2A13"/>
    <w:rsid w:val="00EC2A4A"/>
    <w:rsid w:val="00EC3057"/>
    <w:rsid w:val="00EC3181"/>
    <w:rsid w:val="00EC3487"/>
    <w:rsid w:val="00EC36BF"/>
    <w:rsid w:val="00EC39B6"/>
    <w:rsid w:val="00EC4DFE"/>
    <w:rsid w:val="00EC5EB9"/>
    <w:rsid w:val="00EC61BF"/>
    <w:rsid w:val="00EC6220"/>
    <w:rsid w:val="00EC63D1"/>
    <w:rsid w:val="00EC6789"/>
    <w:rsid w:val="00EC6C8E"/>
    <w:rsid w:val="00EC6F84"/>
    <w:rsid w:val="00EC720D"/>
    <w:rsid w:val="00EC74D2"/>
    <w:rsid w:val="00EC76E2"/>
    <w:rsid w:val="00EC7849"/>
    <w:rsid w:val="00EC7900"/>
    <w:rsid w:val="00EC7E77"/>
    <w:rsid w:val="00ED0A56"/>
    <w:rsid w:val="00ED16D8"/>
    <w:rsid w:val="00ED1F5C"/>
    <w:rsid w:val="00ED2067"/>
    <w:rsid w:val="00ED27F5"/>
    <w:rsid w:val="00ED35FA"/>
    <w:rsid w:val="00ED37A0"/>
    <w:rsid w:val="00ED3A7E"/>
    <w:rsid w:val="00ED3E68"/>
    <w:rsid w:val="00ED3FEC"/>
    <w:rsid w:val="00ED4B51"/>
    <w:rsid w:val="00ED556E"/>
    <w:rsid w:val="00ED5C2D"/>
    <w:rsid w:val="00ED60E6"/>
    <w:rsid w:val="00ED6763"/>
    <w:rsid w:val="00ED74BE"/>
    <w:rsid w:val="00ED765B"/>
    <w:rsid w:val="00ED7846"/>
    <w:rsid w:val="00ED78CC"/>
    <w:rsid w:val="00ED7F39"/>
    <w:rsid w:val="00EE021E"/>
    <w:rsid w:val="00EE0882"/>
    <w:rsid w:val="00EE0AF9"/>
    <w:rsid w:val="00EE0C8D"/>
    <w:rsid w:val="00EE1196"/>
    <w:rsid w:val="00EE13A3"/>
    <w:rsid w:val="00EE162D"/>
    <w:rsid w:val="00EE1633"/>
    <w:rsid w:val="00EE1684"/>
    <w:rsid w:val="00EE2109"/>
    <w:rsid w:val="00EE21CD"/>
    <w:rsid w:val="00EE251F"/>
    <w:rsid w:val="00EE2AAB"/>
    <w:rsid w:val="00EE2C0F"/>
    <w:rsid w:val="00EE3843"/>
    <w:rsid w:val="00EE3ADA"/>
    <w:rsid w:val="00EE3FB2"/>
    <w:rsid w:val="00EE4255"/>
    <w:rsid w:val="00EE54EA"/>
    <w:rsid w:val="00EE5D02"/>
    <w:rsid w:val="00EE5DAB"/>
    <w:rsid w:val="00EE64E7"/>
    <w:rsid w:val="00EE657C"/>
    <w:rsid w:val="00EE6EBA"/>
    <w:rsid w:val="00EE6F41"/>
    <w:rsid w:val="00EE70A8"/>
    <w:rsid w:val="00EE70DC"/>
    <w:rsid w:val="00EE7444"/>
    <w:rsid w:val="00EF069D"/>
    <w:rsid w:val="00EF0AC7"/>
    <w:rsid w:val="00EF0E34"/>
    <w:rsid w:val="00EF0EAC"/>
    <w:rsid w:val="00EF15E4"/>
    <w:rsid w:val="00EF21A3"/>
    <w:rsid w:val="00EF2E65"/>
    <w:rsid w:val="00EF2FAF"/>
    <w:rsid w:val="00EF3631"/>
    <w:rsid w:val="00EF39B2"/>
    <w:rsid w:val="00EF3FA4"/>
    <w:rsid w:val="00EF4E14"/>
    <w:rsid w:val="00EF5199"/>
    <w:rsid w:val="00EF56D5"/>
    <w:rsid w:val="00EF5D31"/>
    <w:rsid w:val="00EF5D7E"/>
    <w:rsid w:val="00EF5DE0"/>
    <w:rsid w:val="00EF60EA"/>
    <w:rsid w:val="00EF620B"/>
    <w:rsid w:val="00EF6571"/>
    <w:rsid w:val="00EF67FB"/>
    <w:rsid w:val="00EF6959"/>
    <w:rsid w:val="00EF71E0"/>
    <w:rsid w:val="00EF78C9"/>
    <w:rsid w:val="00EF792D"/>
    <w:rsid w:val="00EF7E48"/>
    <w:rsid w:val="00F00192"/>
    <w:rsid w:val="00F001EA"/>
    <w:rsid w:val="00F002CE"/>
    <w:rsid w:val="00F00989"/>
    <w:rsid w:val="00F00D9F"/>
    <w:rsid w:val="00F01446"/>
    <w:rsid w:val="00F014A3"/>
    <w:rsid w:val="00F0151A"/>
    <w:rsid w:val="00F01CAF"/>
    <w:rsid w:val="00F01D7C"/>
    <w:rsid w:val="00F02372"/>
    <w:rsid w:val="00F029F0"/>
    <w:rsid w:val="00F033DB"/>
    <w:rsid w:val="00F034EF"/>
    <w:rsid w:val="00F035B6"/>
    <w:rsid w:val="00F03B4C"/>
    <w:rsid w:val="00F04AA0"/>
    <w:rsid w:val="00F04B0C"/>
    <w:rsid w:val="00F04D4E"/>
    <w:rsid w:val="00F058BC"/>
    <w:rsid w:val="00F06872"/>
    <w:rsid w:val="00F07690"/>
    <w:rsid w:val="00F079A7"/>
    <w:rsid w:val="00F07F9B"/>
    <w:rsid w:val="00F10392"/>
    <w:rsid w:val="00F11420"/>
    <w:rsid w:val="00F11A11"/>
    <w:rsid w:val="00F1231D"/>
    <w:rsid w:val="00F13162"/>
    <w:rsid w:val="00F132FA"/>
    <w:rsid w:val="00F1359D"/>
    <w:rsid w:val="00F138FC"/>
    <w:rsid w:val="00F13A95"/>
    <w:rsid w:val="00F13C54"/>
    <w:rsid w:val="00F1482C"/>
    <w:rsid w:val="00F152AD"/>
    <w:rsid w:val="00F1577D"/>
    <w:rsid w:val="00F15E43"/>
    <w:rsid w:val="00F16841"/>
    <w:rsid w:val="00F16DD2"/>
    <w:rsid w:val="00F16DF4"/>
    <w:rsid w:val="00F176FE"/>
    <w:rsid w:val="00F17991"/>
    <w:rsid w:val="00F209A1"/>
    <w:rsid w:val="00F20C16"/>
    <w:rsid w:val="00F211B0"/>
    <w:rsid w:val="00F214E0"/>
    <w:rsid w:val="00F21794"/>
    <w:rsid w:val="00F21B62"/>
    <w:rsid w:val="00F2278E"/>
    <w:rsid w:val="00F22E7B"/>
    <w:rsid w:val="00F230FB"/>
    <w:rsid w:val="00F2377F"/>
    <w:rsid w:val="00F23934"/>
    <w:rsid w:val="00F23F16"/>
    <w:rsid w:val="00F2465F"/>
    <w:rsid w:val="00F24EF6"/>
    <w:rsid w:val="00F25781"/>
    <w:rsid w:val="00F25CDB"/>
    <w:rsid w:val="00F25DAB"/>
    <w:rsid w:val="00F261AC"/>
    <w:rsid w:val="00F262E4"/>
    <w:rsid w:val="00F268E3"/>
    <w:rsid w:val="00F269D4"/>
    <w:rsid w:val="00F26A59"/>
    <w:rsid w:val="00F26FE8"/>
    <w:rsid w:val="00F270CA"/>
    <w:rsid w:val="00F2758C"/>
    <w:rsid w:val="00F302FC"/>
    <w:rsid w:val="00F30399"/>
    <w:rsid w:val="00F30837"/>
    <w:rsid w:val="00F3088C"/>
    <w:rsid w:val="00F308DC"/>
    <w:rsid w:val="00F3098C"/>
    <w:rsid w:val="00F3107F"/>
    <w:rsid w:val="00F318D9"/>
    <w:rsid w:val="00F3221F"/>
    <w:rsid w:val="00F3266D"/>
    <w:rsid w:val="00F32768"/>
    <w:rsid w:val="00F32D06"/>
    <w:rsid w:val="00F32F6D"/>
    <w:rsid w:val="00F34481"/>
    <w:rsid w:val="00F3457F"/>
    <w:rsid w:val="00F345CD"/>
    <w:rsid w:val="00F3477A"/>
    <w:rsid w:val="00F34B46"/>
    <w:rsid w:val="00F355D0"/>
    <w:rsid w:val="00F35C4B"/>
    <w:rsid w:val="00F35E75"/>
    <w:rsid w:val="00F361EC"/>
    <w:rsid w:val="00F362DF"/>
    <w:rsid w:val="00F3703A"/>
    <w:rsid w:val="00F40FC8"/>
    <w:rsid w:val="00F412F4"/>
    <w:rsid w:val="00F41390"/>
    <w:rsid w:val="00F41629"/>
    <w:rsid w:val="00F41A48"/>
    <w:rsid w:val="00F41B7C"/>
    <w:rsid w:val="00F42121"/>
    <w:rsid w:val="00F42193"/>
    <w:rsid w:val="00F42819"/>
    <w:rsid w:val="00F4291D"/>
    <w:rsid w:val="00F42E2F"/>
    <w:rsid w:val="00F42F25"/>
    <w:rsid w:val="00F434FE"/>
    <w:rsid w:val="00F43D57"/>
    <w:rsid w:val="00F43EA1"/>
    <w:rsid w:val="00F4440C"/>
    <w:rsid w:val="00F448F2"/>
    <w:rsid w:val="00F45520"/>
    <w:rsid w:val="00F45717"/>
    <w:rsid w:val="00F45723"/>
    <w:rsid w:val="00F45E74"/>
    <w:rsid w:val="00F47498"/>
    <w:rsid w:val="00F47678"/>
    <w:rsid w:val="00F4774B"/>
    <w:rsid w:val="00F47EE7"/>
    <w:rsid w:val="00F505A6"/>
    <w:rsid w:val="00F50667"/>
    <w:rsid w:val="00F508AC"/>
    <w:rsid w:val="00F50D90"/>
    <w:rsid w:val="00F510C2"/>
    <w:rsid w:val="00F5136E"/>
    <w:rsid w:val="00F52278"/>
    <w:rsid w:val="00F52459"/>
    <w:rsid w:val="00F52AEA"/>
    <w:rsid w:val="00F5300D"/>
    <w:rsid w:val="00F534AC"/>
    <w:rsid w:val="00F53504"/>
    <w:rsid w:val="00F54196"/>
    <w:rsid w:val="00F54343"/>
    <w:rsid w:val="00F5467E"/>
    <w:rsid w:val="00F5475B"/>
    <w:rsid w:val="00F55413"/>
    <w:rsid w:val="00F55424"/>
    <w:rsid w:val="00F55EA0"/>
    <w:rsid w:val="00F56509"/>
    <w:rsid w:val="00F57010"/>
    <w:rsid w:val="00F57767"/>
    <w:rsid w:val="00F57AAF"/>
    <w:rsid w:val="00F60153"/>
    <w:rsid w:val="00F60AC6"/>
    <w:rsid w:val="00F61547"/>
    <w:rsid w:val="00F6179E"/>
    <w:rsid w:val="00F61BA9"/>
    <w:rsid w:val="00F61FB9"/>
    <w:rsid w:val="00F627ED"/>
    <w:rsid w:val="00F63324"/>
    <w:rsid w:val="00F63644"/>
    <w:rsid w:val="00F63710"/>
    <w:rsid w:val="00F63C26"/>
    <w:rsid w:val="00F64114"/>
    <w:rsid w:val="00F643C3"/>
    <w:rsid w:val="00F649AC"/>
    <w:rsid w:val="00F64A4E"/>
    <w:rsid w:val="00F65322"/>
    <w:rsid w:val="00F65930"/>
    <w:rsid w:val="00F65AF0"/>
    <w:rsid w:val="00F65C9F"/>
    <w:rsid w:val="00F66059"/>
    <w:rsid w:val="00F661DF"/>
    <w:rsid w:val="00F664DD"/>
    <w:rsid w:val="00F668FB"/>
    <w:rsid w:val="00F67456"/>
    <w:rsid w:val="00F676AB"/>
    <w:rsid w:val="00F67795"/>
    <w:rsid w:val="00F70A45"/>
    <w:rsid w:val="00F70BF4"/>
    <w:rsid w:val="00F71AA4"/>
    <w:rsid w:val="00F72F93"/>
    <w:rsid w:val="00F72FF6"/>
    <w:rsid w:val="00F7308D"/>
    <w:rsid w:val="00F734F9"/>
    <w:rsid w:val="00F742D3"/>
    <w:rsid w:val="00F75663"/>
    <w:rsid w:val="00F75CFA"/>
    <w:rsid w:val="00F76374"/>
    <w:rsid w:val="00F7698A"/>
    <w:rsid w:val="00F76A91"/>
    <w:rsid w:val="00F76ACB"/>
    <w:rsid w:val="00F76BC5"/>
    <w:rsid w:val="00F77DF2"/>
    <w:rsid w:val="00F77F29"/>
    <w:rsid w:val="00F800BD"/>
    <w:rsid w:val="00F800D3"/>
    <w:rsid w:val="00F808B9"/>
    <w:rsid w:val="00F80AC8"/>
    <w:rsid w:val="00F80F26"/>
    <w:rsid w:val="00F81582"/>
    <w:rsid w:val="00F815C6"/>
    <w:rsid w:val="00F81DA9"/>
    <w:rsid w:val="00F82D26"/>
    <w:rsid w:val="00F82F48"/>
    <w:rsid w:val="00F83709"/>
    <w:rsid w:val="00F83AB9"/>
    <w:rsid w:val="00F83DC6"/>
    <w:rsid w:val="00F83F3B"/>
    <w:rsid w:val="00F84347"/>
    <w:rsid w:val="00F85286"/>
    <w:rsid w:val="00F85644"/>
    <w:rsid w:val="00F8587F"/>
    <w:rsid w:val="00F85E24"/>
    <w:rsid w:val="00F86372"/>
    <w:rsid w:val="00F868A2"/>
    <w:rsid w:val="00F86EDD"/>
    <w:rsid w:val="00F87930"/>
    <w:rsid w:val="00F87A0C"/>
    <w:rsid w:val="00F87A42"/>
    <w:rsid w:val="00F87ABC"/>
    <w:rsid w:val="00F87EF6"/>
    <w:rsid w:val="00F90127"/>
    <w:rsid w:val="00F90B43"/>
    <w:rsid w:val="00F90ED6"/>
    <w:rsid w:val="00F914C1"/>
    <w:rsid w:val="00F9162A"/>
    <w:rsid w:val="00F91FA6"/>
    <w:rsid w:val="00F92175"/>
    <w:rsid w:val="00F924D7"/>
    <w:rsid w:val="00F9300B"/>
    <w:rsid w:val="00F936D0"/>
    <w:rsid w:val="00F93E9A"/>
    <w:rsid w:val="00F949BC"/>
    <w:rsid w:val="00F94B02"/>
    <w:rsid w:val="00F94E01"/>
    <w:rsid w:val="00F951E2"/>
    <w:rsid w:val="00F95267"/>
    <w:rsid w:val="00F95E4D"/>
    <w:rsid w:val="00F95FAC"/>
    <w:rsid w:val="00F9634F"/>
    <w:rsid w:val="00F96406"/>
    <w:rsid w:val="00F9646C"/>
    <w:rsid w:val="00F96712"/>
    <w:rsid w:val="00F97B55"/>
    <w:rsid w:val="00F97F76"/>
    <w:rsid w:val="00FA0036"/>
    <w:rsid w:val="00FA0359"/>
    <w:rsid w:val="00FA0E47"/>
    <w:rsid w:val="00FA11B6"/>
    <w:rsid w:val="00FA1CF6"/>
    <w:rsid w:val="00FA2339"/>
    <w:rsid w:val="00FA30DC"/>
    <w:rsid w:val="00FA327A"/>
    <w:rsid w:val="00FA3421"/>
    <w:rsid w:val="00FA566E"/>
    <w:rsid w:val="00FA58A9"/>
    <w:rsid w:val="00FA59AC"/>
    <w:rsid w:val="00FA5E22"/>
    <w:rsid w:val="00FA6314"/>
    <w:rsid w:val="00FA6ECD"/>
    <w:rsid w:val="00FA76F4"/>
    <w:rsid w:val="00FA7779"/>
    <w:rsid w:val="00FA77CA"/>
    <w:rsid w:val="00FA7C9D"/>
    <w:rsid w:val="00FB06A6"/>
    <w:rsid w:val="00FB0ADA"/>
    <w:rsid w:val="00FB0C51"/>
    <w:rsid w:val="00FB0CDF"/>
    <w:rsid w:val="00FB12D4"/>
    <w:rsid w:val="00FB1479"/>
    <w:rsid w:val="00FB263B"/>
    <w:rsid w:val="00FB2C0B"/>
    <w:rsid w:val="00FB2FAC"/>
    <w:rsid w:val="00FB3264"/>
    <w:rsid w:val="00FB3388"/>
    <w:rsid w:val="00FB36A2"/>
    <w:rsid w:val="00FB36B2"/>
    <w:rsid w:val="00FB3E0C"/>
    <w:rsid w:val="00FB5329"/>
    <w:rsid w:val="00FB55D7"/>
    <w:rsid w:val="00FB5E26"/>
    <w:rsid w:val="00FB6049"/>
    <w:rsid w:val="00FB6548"/>
    <w:rsid w:val="00FB6B7D"/>
    <w:rsid w:val="00FB7CAF"/>
    <w:rsid w:val="00FC0EEB"/>
    <w:rsid w:val="00FC1456"/>
    <w:rsid w:val="00FC1E33"/>
    <w:rsid w:val="00FC1F00"/>
    <w:rsid w:val="00FC2634"/>
    <w:rsid w:val="00FC26DC"/>
    <w:rsid w:val="00FC309F"/>
    <w:rsid w:val="00FC3194"/>
    <w:rsid w:val="00FC4232"/>
    <w:rsid w:val="00FC44CF"/>
    <w:rsid w:val="00FC44D1"/>
    <w:rsid w:val="00FC4B01"/>
    <w:rsid w:val="00FC594C"/>
    <w:rsid w:val="00FC5D88"/>
    <w:rsid w:val="00FC6315"/>
    <w:rsid w:val="00FC6876"/>
    <w:rsid w:val="00FC6DCD"/>
    <w:rsid w:val="00FC70D1"/>
    <w:rsid w:val="00FC7381"/>
    <w:rsid w:val="00FC7826"/>
    <w:rsid w:val="00FD0354"/>
    <w:rsid w:val="00FD1561"/>
    <w:rsid w:val="00FD1731"/>
    <w:rsid w:val="00FD17DE"/>
    <w:rsid w:val="00FD1C9C"/>
    <w:rsid w:val="00FD1E1B"/>
    <w:rsid w:val="00FD20D8"/>
    <w:rsid w:val="00FD2252"/>
    <w:rsid w:val="00FD2380"/>
    <w:rsid w:val="00FD2550"/>
    <w:rsid w:val="00FD26F8"/>
    <w:rsid w:val="00FD2C97"/>
    <w:rsid w:val="00FD3720"/>
    <w:rsid w:val="00FD4437"/>
    <w:rsid w:val="00FD493A"/>
    <w:rsid w:val="00FD4D07"/>
    <w:rsid w:val="00FD559D"/>
    <w:rsid w:val="00FD6138"/>
    <w:rsid w:val="00FD6209"/>
    <w:rsid w:val="00FD6333"/>
    <w:rsid w:val="00FD698D"/>
    <w:rsid w:val="00FD783C"/>
    <w:rsid w:val="00FE04DF"/>
    <w:rsid w:val="00FE0750"/>
    <w:rsid w:val="00FE082C"/>
    <w:rsid w:val="00FE09CF"/>
    <w:rsid w:val="00FE12F1"/>
    <w:rsid w:val="00FE18B2"/>
    <w:rsid w:val="00FE1CF6"/>
    <w:rsid w:val="00FE1F29"/>
    <w:rsid w:val="00FE249E"/>
    <w:rsid w:val="00FE290A"/>
    <w:rsid w:val="00FE2DD8"/>
    <w:rsid w:val="00FE32B0"/>
    <w:rsid w:val="00FE3336"/>
    <w:rsid w:val="00FE35F7"/>
    <w:rsid w:val="00FE397C"/>
    <w:rsid w:val="00FE46FB"/>
    <w:rsid w:val="00FE49B8"/>
    <w:rsid w:val="00FE4FC3"/>
    <w:rsid w:val="00FE5247"/>
    <w:rsid w:val="00FE5F55"/>
    <w:rsid w:val="00FE5FF3"/>
    <w:rsid w:val="00FE632E"/>
    <w:rsid w:val="00FE679C"/>
    <w:rsid w:val="00FE6B72"/>
    <w:rsid w:val="00FE6BB7"/>
    <w:rsid w:val="00FE70DB"/>
    <w:rsid w:val="00FE7D62"/>
    <w:rsid w:val="00FF0228"/>
    <w:rsid w:val="00FF0611"/>
    <w:rsid w:val="00FF072E"/>
    <w:rsid w:val="00FF07DD"/>
    <w:rsid w:val="00FF2032"/>
    <w:rsid w:val="00FF2A07"/>
    <w:rsid w:val="00FF3667"/>
    <w:rsid w:val="00FF3876"/>
    <w:rsid w:val="00FF3FA6"/>
    <w:rsid w:val="00FF40AF"/>
    <w:rsid w:val="00FF4231"/>
    <w:rsid w:val="00FF48D6"/>
    <w:rsid w:val="00FF4A32"/>
    <w:rsid w:val="00FF4B89"/>
    <w:rsid w:val="00FF504C"/>
    <w:rsid w:val="00FF57CB"/>
    <w:rsid w:val="00FF62F2"/>
    <w:rsid w:val="00FF633D"/>
    <w:rsid w:val="00FF67DC"/>
    <w:rsid w:val="00FF6D92"/>
    <w:rsid w:val="00FF6EB0"/>
    <w:rsid w:val="00FF7589"/>
    <w:rsid w:val="00FF762D"/>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8CBA7"/>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457F"/>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2"/>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3"/>
      </w:numPr>
      <w:spacing w:line="360" w:lineRule="auto"/>
      <w:outlineLvl w:val="2"/>
    </w:pPr>
    <w:rPr>
      <w:b/>
      <w:szCs w:val="26"/>
    </w:rPr>
  </w:style>
  <w:style w:type="paragraph" w:styleId="Heading4">
    <w:name w:val="heading 4"/>
    <w:basedOn w:val="ListParagraph"/>
    <w:next w:val="Normal"/>
    <w:link w:val="Heading4Char"/>
    <w:uiPriority w:val="9"/>
    <w:unhideWhenUsed/>
    <w:qFormat/>
    <w:rsid w:val="00731529"/>
    <w:pPr>
      <w:widowControl/>
      <w:numPr>
        <w:numId w:val="5"/>
      </w:numPr>
      <w:spacing w:line="360" w:lineRule="auto"/>
      <w:outlineLvl w:val="3"/>
    </w:pPr>
    <w:rPr>
      <w:b/>
      <w:szCs w:val="26"/>
    </w:rPr>
  </w:style>
  <w:style w:type="paragraph" w:styleId="Heading5">
    <w:name w:val="heading 5"/>
    <w:basedOn w:val="Normal"/>
    <w:next w:val="Normal"/>
    <w:link w:val="Heading5Char"/>
    <w:uiPriority w:val="9"/>
    <w:unhideWhenUsed/>
    <w:qFormat/>
    <w:rsid w:val="009D0F1C"/>
    <w:pPr>
      <w:keepNext/>
      <w:keepLines/>
      <w:numPr>
        <w:numId w:val="6"/>
      </w:numPr>
      <w:spacing w:before="40"/>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ListParagraph">
    <w:name w:val="List Paragraph"/>
    <w:basedOn w:val="Normal"/>
    <w:uiPriority w:val="34"/>
    <w:qFormat/>
    <w:rsid w:val="001B722C"/>
    <w:pPr>
      <w:ind w:left="720"/>
      <w:contextualSpacing/>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731529"/>
    <w:rPr>
      <w:rFonts w:ascii="Times New Roman" w:eastAsia="Times New Roman" w:hAnsi="Times New Roman" w:cs="Times New Roman"/>
      <w:b/>
      <w:sz w:val="26"/>
      <w:szCs w:val="26"/>
    </w:rPr>
  </w:style>
  <w:style w:type="character" w:customStyle="1" w:styleId="Heading5Char">
    <w:name w:val="Heading 5 Char"/>
    <w:basedOn w:val="DefaultParagraphFont"/>
    <w:link w:val="Heading5"/>
    <w:uiPriority w:val="9"/>
    <w:rsid w:val="009D0F1C"/>
    <w:rPr>
      <w:rFonts w:ascii="Times New Roman" w:eastAsiaTheme="majorEastAsia" w:hAnsi="Times New Roman" w:cs="Times New Roman"/>
      <w:b/>
      <w:sz w:val="26"/>
      <w:szCs w:val="20"/>
    </w:r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sz w:val="26"/>
      <w:szCs w:val="20"/>
    </w:rPr>
  </w:style>
  <w:style w:type="table" w:styleId="TableGrid">
    <w:name w:val="Table Grid"/>
    <w:basedOn w:val="TableNormal"/>
    <w:uiPriority w:val="3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Footnote Text Char2,Footnote Text Char1 Char,Footnote Text Char Char Char,Footnote Text Char2 Char Char Char,Footnote Text Char Char1 Char Char Char"/>
    <w:basedOn w:val="Normal"/>
    <w:link w:val="FootnoteTextChar"/>
    <w:uiPriority w:val="99"/>
    <w:unhideWhenUsed/>
    <w:qFormat/>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Footnote Text Char2 Char,Footnote Text Char1 Char Char,Footnote Text Char Char Char Char"/>
    <w:basedOn w:val="DefaultParagraphFont"/>
    <w:link w:val="FootnoteText"/>
    <w:uiPriority w:val="99"/>
    <w:rsid w:val="00DA6369"/>
    <w:rPr>
      <w:sz w:val="20"/>
      <w:szCs w:val="20"/>
    </w:rPr>
  </w:style>
  <w:style w:type="character" w:styleId="FootnoteReference">
    <w:name w:val="footnote reference"/>
    <w:aliases w:val="o,fr,Style 42,Appel note de bas de p,Style 12,(NECG) Footnote Reference,Style 124,Style 3,Style 13,FR,Style 17,Style 6,Footnote Reference/"/>
    <w:basedOn w:val="DefaultParagraphFont"/>
    <w:uiPriority w:val="99"/>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D569A2"/>
    <w:pPr>
      <w:tabs>
        <w:tab w:val="right" w:leader="dot" w:pos="9350"/>
      </w:tabs>
      <w:spacing w:after="100"/>
      <w:ind w:left="1440" w:hanging="720"/>
    </w:pPr>
  </w:style>
  <w:style w:type="paragraph" w:styleId="TOC1">
    <w:name w:val="toc 1"/>
    <w:basedOn w:val="Normal"/>
    <w:next w:val="Normal"/>
    <w:autoRedefine/>
    <w:uiPriority w:val="39"/>
    <w:unhideWhenUsed/>
    <w:rsid w:val="00D569A2"/>
    <w:pPr>
      <w:tabs>
        <w:tab w:val="left" w:pos="720"/>
        <w:tab w:val="right" w:leader="dot" w:pos="9350"/>
      </w:tabs>
      <w:spacing w:after="100"/>
    </w:pPr>
  </w:style>
  <w:style w:type="paragraph" w:styleId="TOC3">
    <w:name w:val="toc 3"/>
    <w:basedOn w:val="Normal"/>
    <w:next w:val="Normal"/>
    <w:autoRedefine/>
    <w:uiPriority w:val="39"/>
    <w:unhideWhenUsed/>
    <w:rsid w:val="008D64D3"/>
    <w:pPr>
      <w:keepNext/>
      <w:widowControl/>
      <w:tabs>
        <w:tab w:val="left" w:pos="2160"/>
        <w:tab w:val="right" w:leader="dot" w:pos="9350"/>
      </w:tabs>
      <w:spacing w:after="100"/>
      <w:ind w:left="2160" w:hanging="720"/>
    </w:p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unhideWhenUsed/>
    <w:rsid w:val="001C2C26"/>
    <w:pPr>
      <w:widowControl/>
      <w:spacing w:after="150"/>
    </w:pPr>
    <w:rPr>
      <w:sz w:val="24"/>
      <w:szCs w:val="24"/>
    </w:rPr>
  </w:style>
  <w:style w:type="paragraph" w:styleId="TOC4">
    <w:name w:val="toc 4"/>
    <w:basedOn w:val="Normal"/>
    <w:next w:val="Normal"/>
    <w:autoRedefine/>
    <w:uiPriority w:val="39"/>
    <w:unhideWhenUsed/>
    <w:rsid w:val="00D569A2"/>
    <w:pPr>
      <w:tabs>
        <w:tab w:val="right" w:leader="dot" w:pos="9350"/>
      </w:tabs>
      <w:spacing w:after="100"/>
      <w:ind w:left="2880" w:hanging="720"/>
    </w:pPr>
  </w:style>
  <w:style w:type="character" w:customStyle="1" w:styleId="UnresolvedMention1">
    <w:name w:val="Unresolved Mention1"/>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rm1">
    <w:name w:val="term1"/>
    <w:basedOn w:val="DefaultParagraphFont"/>
    <w:rsid w:val="00641948"/>
    <w:rPr>
      <w:b/>
      <w:bCs/>
    </w:rPr>
  </w:style>
  <w:style w:type="paragraph" w:styleId="TOC5">
    <w:name w:val="toc 5"/>
    <w:basedOn w:val="Normal"/>
    <w:next w:val="Normal"/>
    <w:autoRedefine/>
    <w:uiPriority w:val="39"/>
    <w:unhideWhenUsed/>
    <w:rsid w:val="008F265F"/>
    <w:pPr>
      <w:spacing w:after="100"/>
      <w:ind w:left="1040"/>
    </w:pPr>
  </w:style>
  <w:style w:type="paragraph" w:styleId="ListBullet">
    <w:name w:val="List Bullet"/>
    <w:basedOn w:val="Normal"/>
    <w:uiPriority w:val="99"/>
    <w:unhideWhenUsed/>
    <w:rsid w:val="0084262B"/>
    <w:pPr>
      <w:widowControl/>
      <w:numPr>
        <w:numId w:val="7"/>
      </w:numPr>
      <w:spacing w:after="160" w:line="259" w:lineRule="auto"/>
      <w:contextualSpacing/>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6C2D23"/>
    <w:pPr>
      <w:widowControl/>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C2D23"/>
    <w:pPr>
      <w:widowControl/>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C2D23"/>
    <w:pPr>
      <w:widowControl/>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C2D23"/>
    <w:pPr>
      <w:widowControl/>
      <w:spacing w:after="100" w:line="259" w:lineRule="auto"/>
      <w:ind w:left="1760"/>
    </w:pPr>
    <w:rPr>
      <w:rFonts w:asciiTheme="minorHAnsi" w:eastAsiaTheme="minorEastAsia" w:hAnsiTheme="minorHAnsi" w:cstheme="minorBidi"/>
      <w:sz w:val="22"/>
      <w:szCs w:val="22"/>
    </w:rPr>
  </w:style>
  <w:style w:type="character" w:customStyle="1" w:styleId="UnresolvedMention2">
    <w:name w:val="Unresolved Mention2"/>
    <w:basedOn w:val="DefaultParagraphFont"/>
    <w:uiPriority w:val="99"/>
    <w:semiHidden/>
    <w:unhideWhenUsed/>
    <w:rsid w:val="006C2D23"/>
    <w:rPr>
      <w:color w:val="605E5C"/>
      <w:shd w:val="clear" w:color="auto" w:fill="E1DFDD"/>
    </w:rPr>
  </w:style>
  <w:style w:type="paragraph" w:customStyle="1" w:styleId="NewNormal">
    <w:name w:val="New Normal"/>
    <w:basedOn w:val="BodyText"/>
    <w:link w:val="NewNormalChar"/>
    <w:qFormat/>
    <w:rsid w:val="008B2050"/>
    <w:pPr>
      <w:widowControl/>
      <w:spacing w:after="0" w:line="480" w:lineRule="auto"/>
      <w:ind w:firstLine="720"/>
      <w:jc w:val="both"/>
    </w:pPr>
    <w:rPr>
      <w:sz w:val="24"/>
      <w:szCs w:val="24"/>
    </w:rPr>
  </w:style>
  <w:style w:type="paragraph" w:styleId="BodyText">
    <w:name w:val="Body Text"/>
    <w:basedOn w:val="Normal"/>
    <w:link w:val="BodyTextChar"/>
    <w:uiPriority w:val="99"/>
    <w:semiHidden/>
    <w:unhideWhenUsed/>
    <w:rsid w:val="008B2050"/>
    <w:pPr>
      <w:spacing w:after="120"/>
    </w:pPr>
  </w:style>
  <w:style w:type="character" w:customStyle="1" w:styleId="BodyTextChar">
    <w:name w:val="Body Text Char"/>
    <w:basedOn w:val="DefaultParagraphFont"/>
    <w:link w:val="BodyText"/>
    <w:uiPriority w:val="99"/>
    <w:semiHidden/>
    <w:rsid w:val="008B2050"/>
    <w:rPr>
      <w:rFonts w:ascii="Times New Roman" w:eastAsia="Times New Roman" w:hAnsi="Times New Roman" w:cs="Times New Roman"/>
      <w:sz w:val="26"/>
      <w:szCs w:val="20"/>
    </w:rPr>
  </w:style>
  <w:style w:type="character" w:customStyle="1" w:styleId="NewNormalChar">
    <w:name w:val="New Normal Char"/>
    <w:link w:val="NewNormal"/>
    <w:rsid w:val="008B2050"/>
    <w:rPr>
      <w:rFonts w:ascii="Times New Roman" w:eastAsia="Times New Roman" w:hAnsi="Times New Roman" w:cs="Times New Roman"/>
      <w:sz w:val="24"/>
      <w:szCs w:val="24"/>
    </w:rPr>
  </w:style>
  <w:style w:type="paragraph" w:customStyle="1" w:styleId="Pleading2L1">
    <w:name w:val="Pleading2_L1"/>
    <w:basedOn w:val="Normal"/>
    <w:next w:val="BodyText"/>
    <w:rsid w:val="00185907"/>
    <w:pPr>
      <w:widowControl/>
      <w:numPr>
        <w:numId w:val="40"/>
      </w:numPr>
      <w:spacing w:after="240"/>
      <w:jc w:val="center"/>
      <w:outlineLvl w:val="0"/>
    </w:pPr>
    <w:rPr>
      <w:b/>
      <w:caps/>
      <w:sz w:val="24"/>
      <w:u w:val="single"/>
    </w:rPr>
  </w:style>
  <w:style w:type="paragraph" w:customStyle="1" w:styleId="Pleading2L2">
    <w:name w:val="Pleading2_L2"/>
    <w:basedOn w:val="Pleading2L1"/>
    <w:rsid w:val="00185907"/>
    <w:pPr>
      <w:numPr>
        <w:ilvl w:val="1"/>
      </w:numPr>
      <w:spacing w:after="0" w:line="480" w:lineRule="auto"/>
      <w:jc w:val="left"/>
      <w:outlineLvl w:val="1"/>
    </w:pPr>
    <w:rPr>
      <w:b w:val="0"/>
      <w:caps w:val="0"/>
      <w:u w:val="none"/>
    </w:rPr>
  </w:style>
  <w:style w:type="paragraph" w:customStyle="1" w:styleId="Pleading2L3">
    <w:name w:val="Pleading2_L3"/>
    <w:basedOn w:val="Pleading2L2"/>
    <w:rsid w:val="00185907"/>
    <w:pPr>
      <w:numPr>
        <w:ilvl w:val="2"/>
      </w:numPr>
      <w:outlineLvl w:val="2"/>
    </w:pPr>
  </w:style>
  <w:style w:type="paragraph" w:customStyle="1" w:styleId="Pleading2L4">
    <w:name w:val="Pleading2_L4"/>
    <w:basedOn w:val="Pleading2L3"/>
    <w:rsid w:val="00185907"/>
    <w:pPr>
      <w:numPr>
        <w:ilvl w:val="3"/>
      </w:numPr>
      <w:outlineLvl w:val="3"/>
    </w:pPr>
  </w:style>
  <w:style w:type="paragraph" w:customStyle="1" w:styleId="Pleading2L5">
    <w:name w:val="Pleading2_L5"/>
    <w:basedOn w:val="Pleading2L4"/>
    <w:rsid w:val="00185907"/>
    <w:pPr>
      <w:keepNext/>
      <w:keepLines/>
      <w:widowControl w:val="0"/>
      <w:numPr>
        <w:ilvl w:val="4"/>
      </w:numPr>
      <w:spacing w:after="240" w:line="240" w:lineRule="auto"/>
      <w:outlineLvl w:val="4"/>
    </w:pPr>
  </w:style>
  <w:style w:type="paragraph" w:customStyle="1" w:styleId="Pleading2L6">
    <w:name w:val="Pleading2_L6"/>
    <w:basedOn w:val="Pleading2L5"/>
    <w:rsid w:val="00185907"/>
    <w:pPr>
      <w:numPr>
        <w:ilvl w:val="5"/>
      </w:numPr>
      <w:outlineLvl w:val="5"/>
    </w:pPr>
  </w:style>
  <w:style w:type="paragraph" w:customStyle="1" w:styleId="Pleading2L7">
    <w:name w:val="Pleading2_L7"/>
    <w:basedOn w:val="Pleading2L6"/>
    <w:rsid w:val="00185907"/>
    <w:pPr>
      <w:numPr>
        <w:ilvl w:val="6"/>
      </w:numPr>
      <w:outlineLvl w:val="6"/>
    </w:pPr>
  </w:style>
  <w:style w:type="paragraph" w:customStyle="1" w:styleId="Pleading2L8">
    <w:name w:val="Pleading2_L8"/>
    <w:basedOn w:val="Pleading2L7"/>
    <w:rsid w:val="00185907"/>
    <w:pPr>
      <w:numPr>
        <w:ilvl w:val="7"/>
      </w:numPr>
      <w:outlineLvl w:val="7"/>
    </w:pPr>
  </w:style>
  <w:style w:type="paragraph" w:customStyle="1" w:styleId="Pleading2L9">
    <w:name w:val="Pleading2_L9"/>
    <w:basedOn w:val="Pleading2L8"/>
    <w:rsid w:val="00185907"/>
    <w:pPr>
      <w:numPr>
        <w:ilvl w:val="8"/>
      </w:numPr>
      <w:outlineLvl w:val="8"/>
    </w:pPr>
  </w:style>
  <w:style w:type="paragraph" w:styleId="BodyText2">
    <w:name w:val="Body Text 2"/>
    <w:basedOn w:val="Normal"/>
    <w:link w:val="BodyText2Char"/>
    <w:uiPriority w:val="99"/>
    <w:unhideWhenUsed/>
    <w:qFormat/>
    <w:rsid w:val="00182666"/>
    <w:pPr>
      <w:widowControl/>
      <w:spacing w:after="120" w:line="480" w:lineRule="auto"/>
    </w:pPr>
    <w:rPr>
      <w:rFonts w:eastAsiaTheme="minorHAnsi" w:cstheme="minorBidi"/>
      <w:sz w:val="24"/>
      <w:szCs w:val="24"/>
    </w:rPr>
  </w:style>
  <w:style w:type="character" w:customStyle="1" w:styleId="BodyText2Char">
    <w:name w:val="Body Text 2 Char"/>
    <w:basedOn w:val="DefaultParagraphFont"/>
    <w:link w:val="BodyText2"/>
    <w:uiPriority w:val="99"/>
    <w:rsid w:val="0018266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8270756">
      <w:bodyDiv w:val="1"/>
      <w:marLeft w:val="0"/>
      <w:marRight w:val="0"/>
      <w:marTop w:val="0"/>
      <w:marBottom w:val="0"/>
      <w:divBdr>
        <w:top w:val="none" w:sz="0" w:space="0" w:color="auto"/>
        <w:left w:val="none" w:sz="0" w:space="0" w:color="auto"/>
        <w:bottom w:val="none" w:sz="0" w:space="0" w:color="auto"/>
        <w:right w:val="none" w:sz="0" w:space="0" w:color="auto"/>
      </w:divBdr>
    </w:div>
    <w:div w:id="686249805">
      <w:bodyDiv w:val="1"/>
      <w:marLeft w:val="0"/>
      <w:marRight w:val="0"/>
      <w:marTop w:val="0"/>
      <w:marBottom w:val="0"/>
      <w:divBdr>
        <w:top w:val="none" w:sz="0" w:space="0" w:color="auto"/>
        <w:left w:val="none" w:sz="0" w:space="0" w:color="auto"/>
        <w:bottom w:val="none" w:sz="0" w:space="0" w:color="auto"/>
        <w:right w:val="none" w:sz="0" w:space="0" w:color="auto"/>
      </w:divBdr>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573469">
      <w:bodyDiv w:val="1"/>
      <w:marLeft w:val="0"/>
      <w:marRight w:val="0"/>
      <w:marTop w:val="0"/>
      <w:marBottom w:val="0"/>
      <w:divBdr>
        <w:top w:val="none" w:sz="0" w:space="0" w:color="auto"/>
        <w:left w:val="none" w:sz="0" w:space="0" w:color="auto"/>
        <w:bottom w:val="none" w:sz="0" w:space="0" w:color="auto"/>
        <w:right w:val="none" w:sz="0" w:space="0" w:color="auto"/>
      </w:divBdr>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636031">
      <w:bodyDiv w:val="1"/>
      <w:marLeft w:val="0"/>
      <w:marRight w:val="0"/>
      <w:marTop w:val="0"/>
      <w:marBottom w:val="0"/>
      <w:divBdr>
        <w:top w:val="none" w:sz="0" w:space="0" w:color="auto"/>
        <w:left w:val="none" w:sz="0" w:space="0" w:color="auto"/>
        <w:bottom w:val="none" w:sz="0" w:space="0" w:color="auto"/>
        <w:right w:val="none" w:sz="0" w:space="0" w:color="auto"/>
      </w:divBdr>
    </w:div>
    <w:div w:id="1172376305">
      <w:bodyDiv w:val="1"/>
      <w:marLeft w:val="0"/>
      <w:marRight w:val="0"/>
      <w:marTop w:val="0"/>
      <w:marBottom w:val="0"/>
      <w:divBdr>
        <w:top w:val="none" w:sz="0" w:space="0" w:color="auto"/>
        <w:left w:val="none" w:sz="0" w:space="0" w:color="auto"/>
        <w:bottom w:val="none" w:sz="0" w:space="0" w:color="auto"/>
        <w:right w:val="none" w:sz="0" w:space="0" w:color="auto"/>
      </w:divBdr>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86402201">
      <w:bodyDiv w:val="1"/>
      <w:marLeft w:val="0"/>
      <w:marRight w:val="0"/>
      <w:marTop w:val="0"/>
      <w:marBottom w:val="0"/>
      <w:divBdr>
        <w:top w:val="none" w:sz="0" w:space="0" w:color="auto"/>
        <w:left w:val="none" w:sz="0" w:space="0" w:color="auto"/>
        <w:bottom w:val="none" w:sz="0" w:space="0" w:color="auto"/>
        <w:right w:val="none" w:sz="0" w:space="0" w:color="auto"/>
      </w:divBdr>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1.png"/><Relationship Id="rId25"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3" Type="http://schemas.openxmlformats.org/officeDocument/2006/relationships/image" Target="media/image5.emf"/><Relationship Id="rId28" Type="http://schemas.openxmlformats.org/officeDocument/2006/relationships/footer" Target="footer6.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BA871BB9E1EC4BAB29F598697AB0C6" ma:contentTypeVersion="7" ma:contentTypeDescription="Create a new document." ma:contentTypeScope="" ma:versionID="b8e2220bbb1c0537104c053dd550c56d">
  <xsd:schema xmlns:xsd="http://www.w3.org/2001/XMLSchema" xmlns:xs="http://www.w3.org/2001/XMLSchema" xmlns:p="http://schemas.microsoft.com/office/2006/metadata/properties" xmlns:ns3="d04a30bb-b2f1-43b2-96cc-abd04a022632" targetNamespace="http://schemas.microsoft.com/office/2006/metadata/properties" ma:root="true" ma:fieldsID="c7307a86fbd82d0cab9ff18c0b6129fc" ns3:_="">
    <xsd:import namespace="d04a30bb-b2f1-43b2-96cc-abd04a0226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a30bb-b2f1-43b2-96cc-abd04a022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63504-C2E7-4717-91AB-9A0063FA8468}">
  <ds:schemaRefs>
    <ds:schemaRef ds:uri="http://schemas.microsoft.com/sharepoint/v3/contenttype/forms"/>
  </ds:schemaRefs>
</ds:datastoreItem>
</file>

<file path=customXml/itemProps2.xml><?xml version="1.0" encoding="utf-8"?>
<ds:datastoreItem xmlns:ds="http://schemas.openxmlformats.org/officeDocument/2006/customXml" ds:itemID="{0E882840-A7DC-40AE-96F5-618782DD63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1792F9-A481-4E91-B350-5D610F5B3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a30bb-b2f1-43b2-96cc-abd04a022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6C0AD8-F919-4210-B208-12BCA841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139</Pages>
  <Words>36941</Words>
  <Characters>210564</Characters>
  <Application>Microsoft Office Word</Application>
  <DocSecurity>0</DocSecurity>
  <Lines>1754</Lines>
  <Paragraphs>494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Reside, Melissa</cp:lastModifiedBy>
  <cp:revision>41</cp:revision>
  <cp:lastPrinted>2020-02-19T12:43:00Z</cp:lastPrinted>
  <dcterms:created xsi:type="dcterms:W3CDTF">2020-04-28T16:49:00Z</dcterms:created>
  <dcterms:modified xsi:type="dcterms:W3CDTF">2020-04-29T15:22:00Z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0x010100C1BA871BB9E1EC4BAB29F598697AB0C6</vt:lpwstr>
  </property>
</Properties>
</file>