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387A1A82" w14:textId="77777777" w:rsidR="008B55D5" w:rsidRPr="00EB37A1" w:rsidRDefault="008B55D5" w:rsidP="008B55D5">
      <w:pPr>
        <w:widowControl w:val="0"/>
        <w:rPr>
          <w:bCs/>
        </w:rPr>
      </w:pPr>
      <w:r w:rsidRPr="00EB37A1">
        <w:rPr>
          <w:bCs/>
        </w:rPr>
        <w:t>The United Telephone Company of Pennsylvania LLC</w:t>
      </w:r>
      <w:r w:rsidRPr="00EB37A1">
        <w:rPr>
          <w:bCs/>
        </w:rPr>
        <w:tab/>
        <w:t xml:space="preserve">: </w:t>
      </w:r>
    </w:p>
    <w:p w14:paraId="3F57BB9A" w14:textId="77777777" w:rsidR="008B55D5" w:rsidRPr="00EB37A1" w:rsidRDefault="008B55D5" w:rsidP="008B55D5">
      <w:pPr>
        <w:widowControl w:val="0"/>
        <w:rPr>
          <w:bCs/>
        </w:rPr>
      </w:pPr>
      <w:r w:rsidRPr="00EB37A1">
        <w:rPr>
          <w:bCs/>
        </w:rPr>
        <w:t>d/b/a CenturyLink 2018 Annual Price Stability</w:t>
      </w:r>
      <w:r w:rsidRPr="00EB37A1">
        <w:rPr>
          <w:bCs/>
        </w:rPr>
        <w:tab/>
      </w:r>
      <w:r w:rsidRPr="00EB37A1">
        <w:rPr>
          <w:bCs/>
        </w:rPr>
        <w:tab/>
        <w:t>:</w:t>
      </w:r>
      <w:r w:rsidRPr="00EB37A1">
        <w:rPr>
          <w:bCs/>
        </w:rPr>
        <w:tab/>
      </w:r>
      <w:bookmarkStart w:id="0" w:name="_Hlk24977241"/>
      <w:r w:rsidRPr="00EB37A1">
        <w:rPr>
          <w:bCs/>
        </w:rPr>
        <w:t>R-2018-3004019</w:t>
      </w:r>
      <w:bookmarkEnd w:id="0"/>
    </w:p>
    <w:p w14:paraId="23C4DCA3" w14:textId="77777777" w:rsidR="008B55D5" w:rsidRPr="00EB37A1" w:rsidRDefault="008B55D5" w:rsidP="008B55D5">
      <w:pPr>
        <w:widowControl w:val="0"/>
        <w:rPr>
          <w:bCs/>
        </w:rPr>
      </w:pPr>
      <w:r w:rsidRPr="00EB37A1">
        <w:rPr>
          <w:bCs/>
        </w:rPr>
        <w:t>Index/Service Price Index Report Filing</w:t>
      </w:r>
      <w:r w:rsidRPr="00EB37A1">
        <w:rPr>
          <w:bCs/>
        </w:rPr>
        <w:tab/>
      </w:r>
      <w:r w:rsidRPr="00EB37A1">
        <w:rPr>
          <w:bCs/>
        </w:rPr>
        <w:tab/>
      </w:r>
      <w:r w:rsidRPr="00EB37A1">
        <w:rPr>
          <w:bCs/>
        </w:rPr>
        <w:tab/>
        <w:t>:</w:t>
      </w:r>
    </w:p>
    <w:p w14:paraId="52511CF3" w14:textId="77777777" w:rsidR="008B55D5" w:rsidRPr="00EB37A1" w:rsidRDefault="008B55D5" w:rsidP="008B55D5">
      <w:pPr>
        <w:widowControl w:val="0"/>
        <w:rPr>
          <w:bCs/>
        </w:rPr>
      </w:pPr>
      <w:r w:rsidRPr="00EB37A1">
        <w:rPr>
          <w:bCs/>
        </w:rPr>
        <w:tab/>
      </w:r>
    </w:p>
    <w:p w14:paraId="0CD077EA" w14:textId="77777777" w:rsidR="008B55D5" w:rsidRPr="00EB37A1" w:rsidRDefault="008B55D5" w:rsidP="008B55D5">
      <w:pPr>
        <w:widowControl w:val="0"/>
        <w:rPr>
          <w:bCs/>
        </w:rPr>
      </w:pPr>
      <w:r w:rsidRPr="00EB37A1">
        <w:rPr>
          <w:bCs/>
        </w:rPr>
        <w:tab/>
      </w:r>
    </w:p>
    <w:p w14:paraId="3494F31F" w14:textId="77777777" w:rsidR="008B55D5" w:rsidRDefault="008B55D5" w:rsidP="008B55D5">
      <w:pPr>
        <w:widowControl w:val="0"/>
        <w:rPr>
          <w:bCs/>
        </w:rPr>
      </w:pPr>
      <w:r w:rsidRPr="00EB37A1">
        <w:rPr>
          <w:bCs/>
        </w:rPr>
        <w:t xml:space="preserve">Office of Consumer Advocate </w:t>
      </w:r>
      <w:r w:rsidRPr="00EB37A1">
        <w:rPr>
          <w:bCs/>
        </w:rPr>
        <w:tab/>
      </w:r>
      <w:r w:rsidRPr="00EB37A1">
        <w:rPr>
          <w:bCs/>
        </w:rPr>
        <w:tab/>
      </w:r>
      <w:r w:rsidRPr="00EB37A1">
        <w:rPr>
          <w:bCs/>
        </w:rPr>
        <w:tab/>
      </w:r>
      <w:r w:rsidRPr="00EB37A1">
        <w:rPr>
          <w:bCs/>
        </w:rPr>
        <w:tab/>
        <w:t>:</w:t>
      </w:r>
    </w:p>
    <w:p w14:paraId="513FBF0F" w14:textId="77777777" w:rsidR="008B55D5" w:rsidRPr="00EB37A1" w:rsidRDefault="008B55D5" w:rsidP="008B55D5">
      <w:pPr>
        <w:widowControl w:val="0"/>
        <w:rPr>
          <w:bCs/>
        </w:rPr>
      </w:pPr>
      <w:r>
        <w:rPr>
          <w:bCs/>
        </w:rPr>
        <w:tab/>
      </w:r>
      <w:r>
        <w:rPr>
          <w:bCs/>
        </w:rPr>
        <w:tab/>
      </w:r>
      <w:r>
        <w:rPr>
          <w:bCs/>
        </w:rPr>
        <w:tab/>
      </w:r>
      <w:r>
        <w:rPr>
          <w:bCs/>
        </w:rPr>
        <w:tab/>
      </w:r>
      <w:r>
        <w:rPr>
          <w:bCs/>
        </w:rPr>
        <w:tab/>
      </w:r>
      <w:r>
        <w:rPr>
          <w:bCs/>
        </w:rPr>
        <w:tab/>
      </w:r>
      <w:r>
        <w:rPr>
          <w:bCs/>
        </w:rPr>
        <w:tab/>
      </w:r>
      <w:r>
        <w:rPr>
          <w:bCs/>
        </w:rPr>
        <w:tab/>
        <w:t>:</w:t>
      </w:r>
      <w:r w:rsidRPr="001E1E25">
        <w:rPr>
          <w:bCs/>
        </w:rPr>
        <w:t xml:space="preserve"> </w:t>
      </w:r>
      <w:r>
        <w:rPr>
          <w:bCs/>
        </w:rPr>
        <w:tab/>
      </w:r>
      <w:r w:rsidRPr="00EB37A1">
        <w:rPr>
          <w:bCs/>
        </w:rPr>
        <w:t>C-2018-3005400</w:t>
      </w:r>
    </w:p>
    <w:p w14:paraId="15917147" w14:textId="77777777" w:rsidR="008B55D5" w:rsidRPr="00EB37A1" w:rsidRDefault="008B55D5" w:rsidP="008B55D5">
      <w:pPr>
        <w:widowControl w:val="0"/>
        <w:rPr>
          <w:bCs/>
        </w:rPr>
      </w:pPr>
      <w:r w:rsidRPr="00EB37A1">
        <w:rPr>
          <w:bCs/>
        </w:rPr>
        <w:tab/>
      </w:r>
      <w:r w:rsidRPr="00EB37A1">
        <w:rPr>
          <w:bCs/>
        </w:rPr>
        <w:tab/>
        <w:t>v.</w:t>
      </w:r>
      <w:r w:rsidRPr="00EB37A1">
        <w:rPr>
          <w:bCs/>
        </w:rPr>
        <w:tab/>
      </w:r>
      <w:r w:rsidRPr="00EB37A1">
        <w:rPr>
          <w:bCs/>
        </w:rPr>
        <w:tab/>
      </w:r>
      <w:r w:rsidRPr="00EB37A1">
        <w:rPr>
          <w:bCs/>
        </w:rPr>
        <w:tab/>
      </w:r>
      <w:r w:rsidRPr="00EB37A1">
        <w:rPr>
          <w:bCs/>
        </w:rPr>
        <w:tab/>
      </w:r>
      <w:r w:rsidRPr="00EB37A1">
        <w:rPr>
          <w:bCs/>
        </w:rPr>
        <w:tab/>
      </w:r>
      <w:r w:rsidRPr="00EB37A1">
        <w:rPr>
          <w:bCs/>
        </w:rPr>
        <w:tab/>
        <w:t>:</w:t>
      </w:r>
    </w:p>
    <w:p w14:paraId="07B36792" w14:textId="77777777" w:rsidR="008B55D5" w:rsidRDefault="008B55D5" w:rsidP="008B55D5">
      <w:pPr>
        <w:widowControl w:val="0"/>
        <w:rPr>
          <w:bCs/>
        </w:rPr>
      </w:pPr>
      <w:r>
        <w:rPr>
          <w:bCs/>
        </w:rPr>
        <w:tab/>
      </w:r>
      <w:r>
        <w:rPr>
          <w:bCs/>
        </w:rPr>
        <w:tab/>
      </w:r>
      <w:r>
        <w:rPr>
          <w:bCs/>
        </w:rPr>
        <w:tab/>
      </w:r>
      <w:r>
        <w:rPr>
          <w:bCs/>
        </w:rPr>
        <w:tab/>
      </w:r>
      <w:r>
        <w:rPr>
          <w:bCs/>
        </w:rPr>
        <w:tab/>
      </w:r>
      <w:r>
        <w:rPr>
          <w:bCs/>
        </w:rPr>
        <w:tab/>
      </w:r>
      <w:r>
        <w:rPr>
          <w:bCs/>
        </w:rPr>
        <w:tab/>
      </w:r>
      <w:r>
        <w:rPr>
          <w:bCs/>
        </w:rPr>
        <w:tab/>
        <w:t>:</w:t>
      </w:r>
    </w:p>
    <w:p w14:paraId="0898F70D" w14:textId="77777777" w:rsidR="008B55D5" w:rsidRPr="00EB37A1" w:rsidRDefault="008B55D5" w:rsidP="008B55D5">
      <w:pPr>
        <w:widowControl w:val="0"/>
        <w:rPr>
          <w:bCs/>
        </w:rPr>
      </w:pPr>
      <w:r w:rsidRPr="00EB37A1">
        <w:rPr>
          <w:bCs/>
        </w:rPr>
        <w:t>The United Telephone Company of Pennsylvania LLC</w:t>
      </w:r>
      <w:r w:rsidRPr="00EB37A1">
        <w:rPr>
          <w:bCs/>
        </w:rPr>
        <w:tab/>
        <w:t>:</w:t>
      </w:r>
      <w:r w:rsidRPr="00EB37A1">
        <w:rPr>
          <w:bCs/>
        </w:rPr>
        <w:tab/>
      </w:r>
    </w:p>
    <w:p w14:paraId="6F4A6B3C" w14:textId="77777777" w:rsidR="008B55D5" w:rsidRPr="00EB37A1" w:rsidRDefault="008B55D5" w:rsidP="008B55D5">
      <w:pPr>
        <w:widowControl w:val="0"/>
        <w:rPr>
          <w:bCs/>
        </w:rPr>
      </w:pPr>
      <w:r w:rsidRPr="00EB37A1">
        <w:rPr>
          <w:bCs/>
        </w:rPr>
        <w:t>d/b/a CenturyLink</w:t>
      </w:r>
      <w:r w:rsidRPr="00EB37A1">
        <w:rPr>
          <w:bCs/>
        </w:rPr>
        <w:tab/>
      </w:r>
      <w:r w:rsidRPr="00EB37A1">
        <w:rPr>
          <w:bCs/>
        </w:rPr>
        <w:tab/>
      </w:r>
      <w:r w:rsidRPr="00EB37A1">
        <w:rPr>
          <w:bCs/>
        </w:rPr>
        <w:tab/>
      </w:r>
      <w:r w:rsidRPr="00EB37A1">
        <w:rPr>
          <w:bCs/>
        </w:rPr>
        <w:tab/>
      </w:r>
      <w:r w:rsidRPr="00EB37A1">
        <w:rPr>
          <w:bCs/>
        </w:rPr>
        <w:tab/>
      </w:r>
      <w:r w:rsidRPr="00EB37A1">
        <w:rPr>
          <w:bCs/>
        </w:rPr>
        <w:tab/>
        <w:t>:</w:t>
      </w:r>
    </w:p>
    <w:p w14:paraId="1500E1DF" w14:textId="77777777" w:rsidR="008B55D5" w:rsidRDefault="008B55D5" w:rsidP="008B55D5">
      <w:pPr>
        <w:widowControl w:val="0"/>
        <w:rPr>
          <w:bCs/>
        </w:rPr>
      </w:pPr>
      <w:r w:rsidRPr="00EB37A1">
        <w:rPr>
          <w:bCs/>
        </w:rPr>
        <w:tab/>
      </w:r>
      <w:r w:rsidRPr="00EB37A1">
        <w:rPr>
          <w:bCs/>
        </w:rPr>
        <w:tab/>
      </w:r>
    </w:p>
    <w:p w14:paraId="5DE5F244" w14:textId="77777777" w:rsidR="008B55D5" w:rsidRDefault="008B55D5" w:rsidP="008B55D5">
      <w:pPr>
        <w:widowControl w:val="0"/>
        <w:rPr>
          <w:bCs/>
        </w:rPr>
      </w:pPr>
    </w:p>
    <w:p w14:paraId="598BF4C4" w14:textId="77777777" w:rsidR="008B55D5" w:rsidRPr="00EB37A1" w:rsidRDefault="008B55D5" w:rsidP="008B55D5">
      <w:pPr>
        <w:widowControl w:val="0"/>
        <w:rPr>
          <w:bCs/>
        </w:rPr>
      </w:pPr>
    </w:p>
    <w:p w14:paraId="6939E9C7" w14:textId="77777777" w:rsidR="008B55D5" w:rsidRPr="00EB37A1" w:rsidRDefault="008B55D5" w:rsidP="008B55D5">
      <w:pPr>
        <w:widowControl w:val="0"/>
        <w:rPr>
          <w:bCs/>
        </w:rPr>
      </w:pPr>
      <w:r w:rsidRPr="00EB37A1">
        <w:rPr>
          <w:bCs/>
        </w:rPr>
        <w:t>The United Telephone Company of Pennsylvania LLC</w:t>
      </w:r>
      <w:r w:rsidRPr="00EB37A1">
        <w:rPr>
          <w:bCs/>
        </w:rPr>
        <w:tab/>
        <w:t>:</w:t>
      </w:r>
    </w:p>
    <w:p w14:paraId="6DCA6AAE" w14:textId="77777777" w:rsidR="008B55D5" w:rsidRPr="00EB37A1" w:rsidRDefault="008B55D5" w:rsidP="008B55D5">
      <w:pPr>
        <w:widowControl w:val="0"/>
        <w:rPr>
          <w:bCs/>
        </w:rPr>
      </w:pPr>
      <w:r w:rsidRPr="00EB37A1">
        <w:rPr>
          <w:bCs/>
        </w:rPr>
        <w:t>d/b/a CenturyLink 2019 Annual Price Stability</w:t>
      </w:r>
      <w:r w:rsidRPr="00EB37A1">
        <w:rPr>
          <w:bCs/>
        </w:rPr>
        <w:tab/>
      </w:r>
      <w:r w:rsidRPr="00EB37A1">
        <w:rPr>
          <w:bCs/>
        </w:rPr>
        <w:tab/>
        <w:t>:</w:t>
      </w:r>
      <w:r w:rsidRPr="00EB37A1">
        <w:rPr>
          <w:bCs/>
        </w:rPr>
        <w:tab/>
      </w:r>
      <w:bookmarkStart w:id="1" w:name="_Hlk24977267"/>
      <w:r w:rsidRPr="00EB37A1">
        <w:rPr>
          <w:bCs/>
        </w:rPr>
        <w:t>R-2019-3012238</w:t>
      </w:r>
      <w:bookmarkEnd w:id="1"/>
    </w:p>
    <w:p w14:paraId="096B8AED" w14:textId="77777777" w:rsidR="008B55D5" w:rsidRPr="00EB37A1" w:rsidRDefault="008B55D5" w:rsidP="008B55D5">
      <w:pPr>
        <w:widowControl w:val="0"/>
        <w:rPr>
          <w:bCs/>
        </w:rPr>
      </w:pPr>
      <w:r w:rsidRPr="00EB37A1">
        <w:rPr>
          <w:bCs/>
        </w:rPr>
        <w:t>Index/Service Price Index Report Filing</w:t>
      </w:r>
      <w:r w:rsidRPr="00EB37A1">
        <w:rPr>
          <w:bCs/>
        </w:rPr>
        <w:tab/>
      </w:r>
      <w:r w:rsidRPr="00EB37A1">
        <w:rPr>
          <w:bCs/>
        </w:rPr>
        <w:tab/>
      </w:r>
      <w:r w:rsidRPr="00EB37A1">
        <w:rPr>
          <w:bCs/>
        </w:rPr>
        <w:tab/>
        <w:t>:</w:t>
      </w:r>
    </w:p>
    <w:p w14:paraId="7DBD675B" w14:textId="77777777" w:rsidR="008B55D5" w:rsidRDefault="008B55D5" w:rsidP="008B55D5">
      <w:pPr>
        <w:widowControl w:val="0"/>
        <w:rPr>
          <w:bCs/>
        </w:rPr>
      </w:pPr>
      <w:r w:rsidRPr="00EB37A1">
        <w:rPr>
          <w:bCs/>
        </w:rPr>
        <w:tab/>
      </w:r>
    </w:p>
    <w:p w14:paraId="66331647" w14:textId="77777777" w:rsidR="008B55D5" w:rsidRPr="00EB37A1" w:rsidRDefault="008B55D5" w:rsidP="008B55D5">
      <w:pPr>
        <w:widowControl w:val="0"/>
        <w:rPr>
          <w:bCs/>
        </w:rPr>
      </w:pPr>
      <w:r w:rsidRPr="00EB37A1">
        <w:rPr>
          <w:bCs/>
        </w:rPr>
        <w:tab/>
      </w:r>
    </w:p>
    <w:p w14:paraId="50EA8453" w14:textId="77777777" w:rsidR="008B55D5" w:rsidRDefault="008B55D5" w:rsidP="008B55D5">
      <w:pPr>
        <w:widowControl w:val="0"/>
        <w:rPr>
          <w:bCs/>
        </w:rPr>
      </w:pPr>
      <w:r w:rsidRPr="00EB37A1">
        <w:rPr>
          <w:bCs/>
        </w:rPr>
        <w:t>Office of Consumer Advocate</w:t>
      </w:r>
      <w:r w:rsidRPr="00EB37A1">
        <w:rPr>
          <w:bCs/>
        </w:rPr>
        <w:tab/>
      </w:r>
      <w:r w:rsidRPr="00EB37A1">
        <w:rPr>
          <w:bCs/>
        </w:rPr>
        <w:tab/>
      </w:r>
      <w:r w:rsidRPr="00EB37A1">
        <w:rPr>
          <w:bCs/>
        </w:rPr>
        <w:tab/>
      </w:r>
      <w:r w:rsidRPr="00EB37A1">
        <w:rPr>
          <w:bCs/>
        </w:rPr>
        <w:tab/>
        <w:t>:</w:t>
      </w:r>
    </w:p>
    <w:p w14:paraId="4FE33885" w14:textId="77777777" w:rsidR="008B55D5" w:rsidRPr="00EB37A1" w:rsidRDefault="008B55D5" w:rsidP="008B55D5">
      <w:pPr>
        <w:widowControl w:val="0"/>
        <w:rPr>
          <w:bCs/>
        </w:rPr>
      </w:pPr>
      <w:r>
        <w:rPr>
          <w:bCs/>
        </w:rPr>
        <w:tab/>
      </w:r>
      <w:r>
        <w:rPr>
          <w:bCs/>
        </w:rPr>
        <w:tab/>
      </w:r>
      <w:r>
        <w:rPr>
          <w:bCs/>
        </w:rPr>
        <w:tab/>
      </w:r>
      <w:r>
        <w:rPr>
          <w:bCs/>
        </w:rPr>
        <w:tab/>
      </w:r>
      <w:r>
        <w:rPr>
          <w:bCs/>
        </w:rPr>
        <w:tab/>
      </w:r>
      <w:r>
        <w:rPr>
          <w:bCs/>
        </w:rPr>
        <w:tab/>
      </w:r>
      <w:r>
        <w:rPr>
          <w:bCs/>
        </w:rPr>
        <w:tab/>
      </w:r>
      <w:r>
        <w:rPr>
          <w:bCs/>
        </w:rPr>
        <w:tab/>
        <w:t>:</w:t>
      </w:r>
      <w:r w:rsidRPr="001E1E25">
        <w:rPr>
          <w:bCs/>
        </w:rPr>
        <w:t xml:space="preserve"> </w:t>
      </w:r>
      <w:r>
        <w:rPr>
          <w:bCs/>
        </w:rPr>
        <w:tab/>
      </w:r>
      <w:r w:rsidRPr="00EB37A1">
        <w:rPr>
          <w:bCs/>
        </w:rPr>
        <w:t>C-2019-3012876</w:t>
      </w:r>
    </w:p>
    <w:p w14:paraId="5AFC3462" w14:textId="77777777" w:rsidR="008B55D5" w:rsidRPr="00EB37A1" w:rsidRDefault="008B55D5" w:rsidP="008B55D5">
      <w:pPr>
        <w:widowControl w:val="0"/>
        <w:rPr>
          <w:bCs/>
        </w:rPr>
      </w:pPr>
      <w:r w:rsidRPr="00EB37A1">
        <w:rPr>
          <w:bCs/>
        </w:rPr>
        <w:tab/>
      </w:r>
      <w:r w:rsidRPr="00EB37A1">
        <w:rPr>
          <w:bCs/>
        </w:rPr>
        <w:tab/>
        <w:t>v.</w:t>
      </w:r>
      <w:r w:rsidRPr="00EB37A1">
        <w:rPr>
          <w:bCs/>
        </w:rPr>
        <w:tab/>
      </w:r>
      <w:r w:rsidRPr="00EB37A1">
        <w:rPr>
          <w:bCs/>
        </w:rPr>
        <w:tab/>
      </w:r>
      <w:r w:rsidRPr="00EB37A1">
        <w:rPr>
          <w:bCs/>
        </w:rPr>
        <w:tab/>
      </w:r>
      <w:r w:rsidRPr="00EB37A1">
        <w:rPr>
          <w:bCs/>
        </w:rPr>
        <w:tab/>
      </w:r>
      <w:r w:rsidRPr="00EB37A1">
        <w:rPr>
          <w:bCs/>
        </w:rPr>
        <w:tab/>
      </w:r>
      <w:r w:rsidRPr="00EB37A1">
        <w:rPr>
          <w:bCs/>
        </w:rPr>
        <w:tab/>
        <w:t>:</w:t>
      </w:r>
    </w:p>
    <w:p w14:paraId="18728D4A" w14:textId="77777777" w:rsidR="008B55D5" w:rsidRDefault="008B55D5" w:rsidP="008B55D5">
      <w:pPr>
        <w:widowControl w:val="0"/>
        <w:rPr>
          <w:bCs/>
        </w:rPr>
      </w:pPr>
      <w:r>
        <w:rPr>
          <w:bCs/>
        </w:rPr>
        <w:tab/>
      </w:r>
      <w:r>
        <w:rPr>
          <w:bCs/>
        </w:rPr>
        <w:tab/>
      </w:r>
      <w:r>
        <w:rPr>
          <w:bCs/>
        </w:rPr>
        <w:tab/>
      </w:r>
      <w:r>
        <w:rPr>
          <w:bCs/>
        </w:rPr>
        <w:tab/>
      </w:r>
      <w:r>
        <w:rPr>
          <w:bCs/>
        </w:rPr>
        <w:tab/>
      </w:r>
      <w:r>
        <w:rPr>
          <w:bCs/>
        </w:rPr>
        <w:tab/>
      </w:r>
      <w:r>
        <w:rPr>
          <w:bCs/>
        </w:rPr>
        <w:tab/>
      </w:r>
      <w:r>
        <w:rPr>
          <w:bCs/>
        </w:rPr>
        <w:tab/>
        <w:t>:</w:t>
      </w:r>
    </w:p>
    <w:p w14:paraId="7DA302C1" w14:textId="77777777" w:rsidR="008B55D5" w:rsidRPr="00EB37A1" w:rsidRDefault="008B55D5" w:rsidP="008B55D5">
      <w:pPr>
        <w:widowControl w:val="0"/>
        <w:rPr>
          <w:bCs/>
        </w:rPr>
      </w:pPr>
      <w:r w:rsidRPr="00EB37A1">
        <w:rPr>
          <w:bCs/>
        </w:rPr>
        <w:t>The United Telephone Company of Pennsylvania LLC</w:t>
      </w:r>
      <w:r w:rsidRPr="00EB37A1">
        <w:rPr>
          <w:bCs/>
        </w:rPr>
        <w:tab/>
        <w:t>:</w:t>
      </w:r>
      <w:r w:rsidRPr="00EB37A1">
        <w:rPr>
          <w:bCs/>
        </w:rPr>
        <w:tab/>
      </w:r>
    </w:p>
    <w:p w14:paraId="1E1BFA19" w14:textId="39F29439" w:rsidR="009E6606" w:rsidRPr="008B55D5" w:rsidRDefault="008B55D5" w:rsidP="008B55D5">
      <w:pPr>
        <w:widowControl w:val="0"/>
        <w:rPr>
          <w:bCs/>
        </w:rPr>
      </w:pPr>
      <w:r w:rsidRPr="00EB37A1">
        <w:rPr>
          <w:bCs/>
        </w:rPr>
        <w:t>d/b/a CenturyLink</w:t>
      </w:r>
      <w:r w:rsidRPr="00EB37A1">
        <w:rPr>
          <w:bCs/>
        </w:rPr>
        <w:tab/>
      </w:r>
      <w:r w:rsidRPr="00EB37A1">
        <w:rPr>
          <w:bCs/>
        </w:rPr>
        <w:tab/>
      </w:r>
      <w:r w:rsidRPr="00EB37A1">
        <w:rPr>
          <w:bCs/>
        </w:rPr>
        <w:tab/>
      </w:r>
      <w:r w:rsidRPr="00EB37A1">
        <w:rPr>
          <w:bCs/>
        </w:rPr>
        <w:tab/>
      </w:r>
      <w:r w:rsidRPr="00EB37A1">
        <w:rPr>
          <w:bCs/>
        </w:rPr>
        <w:tab/>
      </w:r>
      <w:r w:rsidRPr="00EB37A1">
        <w:rPr>
          <w:bCs/>
        </w:rPr>
        <w:tab/>
        <w:t>:</w:t>
      </w:r>
      <w:r w:rsidR="00DD3610" w:rsidRPr="00A52DAF">
        <w:rPr>
          <w:rFonts w:ascii="Times New Roman" w:eastAsiaTheme="minorHAnsi" w:hAnsi="Times New Roman" w:cs="Times New Roman"/>
          <w:spacing w:val="-3"/>
        </w:rPr>
        <w:tab/>
      </w: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62ECCE94"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3B1E14E8" w14:textId="4FEB534A" w:rsidR="00AB18FE" w:rsidRPr="003176BE" w:rsidRDefault="00377B3A"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GRANTING </w:t>
      </w:r>
      <w:r w:rsidR="008B55D5">
        <w:rPr>
          <w:rFonts w:ascii="Times New Roman" w:hAnsi="Times New Roman" w:cs="Times New Roman"/>
          <w:b/>
          <w:bCs/>
          <w:spacing w:val="-3"/>
          <w:u w:val="single"/>
        </w:rPr>
        <w:t xml:space="preserve">PETITION FOR </w:t>
      </w:r>
      <w:r>
        <w:rPr>
          <w:rFonts w:ascii="Times New Roman" w:hAnsi="Times New Roman" w:cs="Times New Roman"/>
          <w:b/>
          <w:bCs/>
          <w:spacing w:val="-3"/>
          <w:u w:val="single"/>
        </w:rPr>
        <w:t>PROTECTIVE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7ACF7B32" w14:textId="5E23053C" w:rsidR="00493FDC" w:rsidRPr="00882A37" w:rsidRDefault="00493FDC" w:rsidP="00882A37">
      <w:pPr>
        <w:widowControl w:val="0"/>
        <w:spacing w:line="360" w:lineRule="auto"/>
        <w:ind w:firstLine="1440"/>
        <w:rPr>
          <w:rFonts w:ascii="Times New Roman" w:hAnsi="Times New Roman" w:cs="Times New Roman"/>
        </w:rPr>
      </w:pPr>
      <w:r w:rsidRPr="00882A37">
        <w:rPr>
          <w:rFonts w:ascii="Times New Roman" w:hAnsi="Times New Roman" w:cs="Times New Roman"/>
        </w:rPr>
        <w:t xml:space="preserve">On August 29, 2018, the </w:t>
      </w:r>
      <w:bookmarkStart w:id="2" w:name="_Hlk24977208"/>
      <w:r w:rsidRPr="00882A37">
        <w:rPr>
          <w:rFonts w:ascii="Times New Roman" w:hAnsi="Times New Roman" w:cs="Times New Roman"/>
          <w:bCs/>
        </w:rPr>
        <w:t>United Telephone Company of Pennsylvania LLC d/b/a CenturyLink</w:t>
      </w:r>
      <w:bookmarkEnd w:id="2"/>
      <w:r w:rsidRPr="00882A37">
        <w:rPr>
          <w:rFonts w:ascii="Times New Roman" w:hAnsi="Times New Roman" w:cs="Times New Roman"/>
          <w:bCs/>
        </w:rPr>
        <w:t xml:space="preserve"> (Company or CenturyLink) filed its 2018 Annual Price Stability Index/Service Price Index Report</w:t>
      </w:r>
      <w:r w:rsidRPr="00882A37">
        <w:rPr>
          <w:rFonts w:ascii="Times New Roman" w:hAnsi="Times New Roman" w:cs="Times New Roman"/>
        </w:rPr>
        <w:t xml:space="preserve"> (PSI/</w:t>
      </w:r>
      <w:smartTag w:uri="urn:schemas-microsoft-com:office:smarttags" w:element="stockticker">
        <w:r w:rsidRPr="00882A37">
          <w:rPr>
            <w:rFonts w:ascii="Times New Roman" w:hAnsi="Times New Roman" w:cs="Times New Roman"/>
          </w:rPr>
          <w:t>SPI</w:t>
        </w:r>
      </w:smartTag>
      <w:r w:rsidRPr="00882A37">
        <w:rPr>
          <w:rFonts w:ascii="Times New Roman" w:hAnsi="Times New Roman" w:cs="Times New Roman"/>
        </w:rPr>
        <w:t xml:space="preserve"> Report) with the Pennsylvania Public Utility Commission (Commission) at Docket No. R-2018-3004019 under the provisions of Act 183 of 2004, P.L. 1398 (66 Pa. C.S. §§ 3011 3019) (Chapter 30) pursuant to the Company’s Amended Alternative Regulation and Network Modernization Plan (Chapter 30 Plan) which was approved by the </w:t>
      </w:r>
      <w:r w:rsidRPr="00882A37">
        <w:rPr>
          <w:rFonts w:ascii="Times New Roman" w:hAnsi="Times New Roman" w:cs="Times New Roman"/>
        </w:rPr>
        <w:lastRenderedPageBreak/>
        <w:t xml:space="preserve">Commission at Docket No. P-00981410F1000.  A copy of its PSI/SPI Report was served on the Office of Small Business Advocate (OSBA), the Office of Consumer Advocate (OCA) and the Commission’s Bureau of Investigation and Enforcement (I&amp;E).  </w:t>
      </w:r>
    </w:p>
    <w:p w14:paraId="04B62787" w14:textId="77777777" w:rsidR="00493FDC" w:rsidRPr="00493FDC" w:rsidRDefault="00493FDC" w:rsidP="00493FDC">
      <w:pPr>
        <w:widowControl w:val="0"/>
        <w:spacing w:line="360" w:lineRule="auto"/>
      </w:pPr>
    </w:p>
    <w:p w14:paraId="5B170AFB" w14:textId="77777777" w:rsidR="00493FDC" w:rsidRPr="00493FDC" w:rsidRDefault="00493FDC" w:rsidP="00493FDC">
      <w:pPr>
        <w:widowControl w:val="0"/>
        <w:spacing w:line="360" w:lineRule="auto"/>
        <w:ind w:firstLine="1440"/>
      </w:pPr>
      <w:r w:rsidRPr="00493FDC">
        <w:t>In the filing, CenturyLink indicated that, using the change in 2017 and 2018 first quarter gross domestic product price index (GDP-PI), the PSI/SPI Report produces a 1.90% increase in the price stability index and that applying this change to noncompetitive revenues yields a maximum allowed noncompetitive revenue increase of $473,890.  The filing, however, did not seek increases, including to its residential or business basic local exchange rates, but banked the entire allowable revenue increase for future use as permitted by its Chapter 30 Plan.</w:t>
      </w:r>
    </w:p>
    <w:p w14:paraId="1E0D2E14" w14:textId="77777777" w:rsidR="00493FDC" w:rsidRPr="00493FDC" w:rsidRDefault="00493FDC" w:rsidP="00493FDC">
      <w:pPr>
        <w:widowControl w:val="0"/>
        <w:spacing w:line="360" w:lineRule="auto"/>
      </w:pPr>
    </w:p>
    <w:p w14:paraId="7AAD8882" w14:textId="4AE170B7" w:rsidR="00493FDC" w:rsidRPr="00493FDC" w:rsidRDefault="00493FDC" w:rsidP="00493FDC">
      <w:pPr>
        <w:widowControl w:val="0"/>
        <w:spacing w:line="360" w:lineRule="auto"/>
      </w:pPr>
      <w:r w:rsidRPr="00493FDC">
        <w:tab/>
      </w:r>
      <w:r w:rsidRPr="00493FDC">
        <w:tab/>
        <w:t xml:space="preserve">On September 12, 2018, the Company, OCA and OSBA filed a Joint Procedural Stipulation regarding CenturyLink’s 2018 PSI/SPI Report.  The parties stipulated, </w:t>
      </w:r>
      <w:r w:rsidRPr="00493FDC">
        <w:rPr>
          <w:i/>
          <w:iCs/>
        </w:rPr>
        <w:t>inter alia</w:t>
      </w:r>
      <w:r w:rsidRPr="00493FDC">
        <w:t>, that the filing of any OCA or OSBA formal complaint regarding CenturyLink’s 2018 PSI/SPI Report would be held in abeyance for a period of 30 days pending Commission action on an August 24, 2018 Petition to Rescind and Discontinue the Temporary Stay (Petition to Rescind) filed by a group of rural Incumbent Local Exchange Carriers (ILECs) following the Commission’s issuance of a Secretarial Letter on August 9, 2018, in its investigation to determine the effects of the federal Tax Cuts and Jobs Act of 2017 (TCJA) on Pennsylvania ILECs for 2018 and future years and/or until such other time as the parties mutually agree.</w:t>
      </w:r>
    </w:p>
    <w:p w14:paraId="6E5ADBDC" w14:textId="77777777" w:rsidR="00493FDC" w:rsidRPr="00493FDC" w:rsidRDefault="00493FDC" w:rsidP="00493FDC">
      <w:pPr>
        <w:widowControl w:val="0"/>
        <w:spacing w:line="360" w:lineRule="auto"/>
      </w:pPr>
    </w:p>
    <w:p w14:paraId="2EB171D9" w14:textId="412E260E" w:rsidR="00493FDC" w:rsidRPr="00493FDC" w:rsidRDefault="00493FDC" w:rsidP="00493FDC">
      <w:pPr>
        <w:widowControl w:val="0"/>
        <w:spacing w:line="360" w:lineRule="auto"/>
      </w:pPr>
      <w:r w:rsidRPr="00493FDC">
        <w:tab/>
      </w:r>
      <w:r w:rsidRPr="00493FDC">
        <w:tab/>
        <w:t>On October 12, 2018, the OSBA filed a Notice of Intervention and Public Statement in this proceeding.  The OSBA stated that its intervention was necessary to protect the interests of the Company’s small business customers.  OSBA requested that the Commission direct the Office of Administrative Law Judge to hold hearings on the Company’s 2018 PSI/SPI Report and prepare an initial decision.</w:t>
      </w:r>
    </w:p>
    <w:p w14:paraId="68694D19" w14:textId="77777777" w:rsidR="00493FDC" w:rsidRPr="00493FDC" w:rsidRDefault="00493FDC" w:rsidP="00493FDC">
      <w:pPr>
        <w:widowControl w:val="0"/>
        <w:spacing w:line="360" w:lineRule="auto"/>
      </w:pPr>
      <w:r w:rsidRPr="00493FDC">
        <w:t xml:space="preserve"> </w:t>
      </w:r>
    </w:p>
    <w:p w14:paraId="2ABFABEC" w14:textId="11B986F5" w:rsidR="00493FDC" w:rsidRPr="00493FDC" w:rsidRDefault="00493FDC" w:rsidP="00493FDC">
      <w:pPr>
        <w:widowControl w:val="0"/>
        <w:spacing w:line="360" w:lineRule="auto"/>
      </w:pPr>
      <w:r w:rsidRPr="00493FDC">
        <w:tab/>
      </w:r>
      <w:r w:rsidRPr="00493FDC">
        <w:tab/>
        <w:t xml:space="preserve">On October 15, 2018, the OCA filed a Formal Complaint and Public Statement at Docket No. C-2018-3005400.  The OCA contended, </w:t>
      </w:r>
      <w:r w:rsidRPr="00493FDC">
        <w:rPr>
          <w:i/>
          <w:iCs/>
        </w:rPr>
        <w:t>inter alia</w:t>
      </w:r>
      <w:r w:rsidRPr="00493FDC">
        <w:t>, that the TCJA may qualify as an exogenous event under the Company’s Chapter 30 Plan requiring an adjustment to the Company’s Price Stability Mechanism formula.</w:t>
      </w:r>
    </w:p>
    <w:p w14:paraId="16334F88" w14:textId="77777777" w:rsidR="00493FDC" w:rsidRPr="00493FDC" w:rsidRDefault="00493FDC" w:rsidP="00493FDC">
      <w:pPr>
        <w:widowControl w:val="0"/>
        <w:spacing w:line="360" w:lineRule="auto"/>
      </w:pPr>
    </w:p>
    <w:p w14:paraId="497EE33B" w14:textId="581D6581" w:rsidR="00493FDC" w:rsidRPr="00493FDC" w:rsidRDefault="00493FDC" w:rsidP="00493FDC">
      <w:pPr>
        <w:widowControl w:val="0"/>
        <w:spacing w:line="360" w:lineRule="auto"/>
      </w:pPr>
      <w:r w:rsidRPr="00493FDC">
        <w:tab/>
      </w:r>
      <w:r w:rsidRPr="00493FDC">
        <w:tab/>
        <w:t xml:space="preserve">On October 19, 2018, the parties filed a Joint Procedural Stipulation for Stay regarding this proceeding and the OCA’s Formal Complaint.  In that filing, the parties stipulated and agreed, </w:t>
      </w:r>
      <w:r w:rsidRPr="00493FDC">
        <w:rPr>
          <w:i/>
          <w:iCs/>
        </w:rPr>
        <w:t>inter alia</w:t>
      </w:r>
      <w:r w:rsidRPr="00493FDC">
        <w:t>, that the adjudication of, and any answer or responsive pleading to, OCA’s Formal Complaint and OSBA’s Notice of Intervention be stayed until the Petition to Rescind or the matters at Docket No. M-2018-2641242 were resolved by the Commission</w:t>
      </w:r>
      <w:r w:rsidR="005B334E">
        <w:t>.</w:t>
      </w:r>
    </w:p>
    <w:p w14:paraId="23E02B92" w14:textId="77777777" w:rsidR="00493FDC" w:rsidRPr="00493FDC" w:rsidRDefault="00493FDC" w:rsidP="00493FDC">
      <w:pPr>
        <w:widowControl w:val="0"/>
        <w:spacing w:line="360" w:lineRule="auto"/>
      </w:pPr>
    </w:p>
    <w:p w14:paraId="69F45169" w14:textId="106F2895" w:rsidR="00493FDC" w:rsidRPr="00493FDC" w:rsidRDefault="00493FDC" w:rsidP="00493FDC">
      <w:pPr>
        <w:widowControl w:val="0"/>
        <w:spacing w:line="360" w:lineRule="auto"/>
      </w:pPr>
      <w:r w:rsidRPr="00493FDC">
        <w:tab/>
      </w:r>
      <w:r w:rsidRPr="00493FDC">
        <w:tab/>
        <w:t xml:space="preserve">By Order entered October 25, 2018, the Commission denied the Petition to Rescind and determined that the pending PSI/SPI filing was the proper forum for the impact of the passage of the TCJA on CenturyLink’s Chapter 30 filing to be investigated and decided.  </w:t>
      </w:r>
    </w:p>
    <w:p w14:paraId="5CE40D06" w14:textId="77777777" w:rsidR="00493FDC" w:rsidRPr="00493FDC" w:rsidRDefault="00493FDC" w:rsidP="00493FDC">
      <w:pPr>
        <w:widowControl w:val="0"/>
        <w:spacing w:line="360" w:lineRule="auto"/>
      </w:pPr>
    </w:p>
    <w:p w14:paraId="33D47DE4" w14:textId="635E0298" w:rsidR="00493FDC" w:rsidRPr="00493FDC" w:rsidRDefault="00493FDC" w:rsidP="00493FDC">
      <w:pPr>
        <w:widowControl w:val="0"/>
        <w:spacing w:line="360" w:lineRule="auto"/>
      </w:pPr>
      <w:r w:rsidRPr="00493FDC">
        <w:tab/>
      </w:r>
      <w:r w:rsidRPr="00493FDC">
        <w:tab/>
        <w:t>On November 6, 2018, CenturyLink filed an answer to the OCA complaint admitting or denying the various averments in the complaint.</w:t>
      </w:r>
    </w:p>
    <w:p w14:paraId="79EE5E14" w14:textId="77777777" w:rsidR="00493FDC" w:rsidRPr="00493FDC" w:rsidRDefault="00493FDC" w:rsidP="00493FDC">
      <w:pPr>
        <w:widowControl w:val="0"/>
        <w:spacing w:line="360" w:lineRule="auto"/>
      </w:pPr>
    </w:p>
    <w:p w14:paraId="005D542F" w14:textId="4383A276" w:rsidR="00493FDC" w:rsidRPr="009B2DBF" w:rsidRDefault="00493FDC" w:rsidP="009B2DBF">
      <w:pPr>
        <w:widowControl w:val="0"/>
        <w:spacing w:line="360" w:lineRule="auto"/>
        <w:ind w:firstLine="1440"/>
      </w:pPr>
      <w:r w:rsidRPr="00493FDC">
        <w:t xml:space="preserve">On November 8, 2018, the Commission entered an order accepting the PSI/SPI filing and directing that this matter be assigned to the Office of Administrative Law Judge for adjudication of the Formal Complaint of the OCA.  </w:t>
      </w:r>
      <w:r w:rsidRPr="00493FDC">
        <w:rPr>
          <w:bCs/>
        </w:rPr>
        <w:t>By Hearing Notice dated November 26, 2018, this matter was scheduled for a prehearing conference on January 24, 2019.  The parties however requested that the prehearing conference be rescheduled as they engaged in discovery and awaited the Company’s various tax filings which would occur later in 2019</w:t>
      </w:r>
      <w:r w:rsidRPr="00493FDC">
        <w:t>.</w:t>
      </w:r>
    </w:p>
    <w:p w14:paraId="17733C8F" w14:textId="77777777" w:rsidR="00493FDC" w:rsidRPr="00493FDC" w:rsidRDefault="00493FDC" w:rsidP="00493FDC">
      <w:pPr>
        <w:widowControl w:val="0"/>
        <w:spacing w:line="360" w:lineRule="auto"/>
        <w:rPr>
          <w:bCs/>
        </w:rPr>
      </w:pPr>
    </w:p>
    <w:p w14:paraId="3AE6F73E" w14:textId="0E99D1F4" w:rsidR="00493FDC" w:rsidRDefault="00493FDC" w:rsidP="00493FDC">
      <w:pPr>
        <w:spacing w:line="360" w:lineRule="auto"/>
        <w:ind w:firstLine="720"/>
      </w:pPr>
      <w:r w:rsidRPr="00493FDC">
        <w:rPr>
          <w:bCs/>
        </w:rPr>
        <w:tab/>
        <w:t xml:space="preserve">During that time, </w:t>
      </w:r>
      <w:r w:rsidRPr="00493FDC">
        <w:t>CenturyLink filed on August 30, 2019 its annual 2019 PSI/</w:t>
      </w:r>
      <w:smartTag w:uri="urn:schemas-microsoft-com:office:smarttags" w:element="stockticker">
        <w:r w:rsidRPr="00493FDC">
          <w:t>SPI</w:t>
        </w:r>
      </w:smartTag>
      <w:r w:rsidRPr="00493FDC">
        <w:t xml:space="preserve"> Report using the change in 2018 and 2019 1</w:t>
      </w:r>
      <w:r w:rsidRPr="00493FDC">
        <w:rPr>
          <w:vertAlign w:val="superscript"/>
        </w:rPr>
        <w:t>st</w:t>
      </w:r>
      <w:r w:rsidRPr="00493FDC">
        <w:t xml:space="preserve"> </w:t>
      </w:r>
      <w:r w:rsidRPr="00493FDC">
        <w:rPr>
          <w:color w:val="000000"/>
        </w:rPr>
        <w:t xml:space="preserve">quarter </w:t>
      </w:r>
      <w:smartTag w:uri="urn:schemas-microsoft-com:office:smarttags" w:element="stockticker">
        <w:r w:rsidRPr="00493FDC">
          <w:rPr>
            <w:color w:val="000000"/>
          </w:rPr>
          <w:t>GDP</w:t>
        </w:r>
      </w:smartTag>
      <w:r w:rsidRPr="00493FDC">
        <w:rPr>
          <w:color w:val="000000"/>
        </w:rPr>
        <w:t xml:space="preserve">-PI which was docketed at </w:t>
      </w:r>
      <w:r w:rsidRPr="00493FDC">
        <w:rPr>
          <w:bCs/>
        </w:rPr>
        <w:t>R-2019-3012238.  Using that change produced a 2.0% increase in the PSI which applied to noncompetitive revenues yielded a maximum allowed noncompetitive revenue increase of $438,621.  As with the 2018 PSI/SPI filing, CenturyLink did not seek in the 2019 filing to increase its residential or business local exchange rates but to bank the entire allowable revenue increase for future use</w:t>
      </w:r>
      <w:r w:rsidR="009B2DBF">
        <w:rPr>
          <w:bCs/>
        </w:rPr>
        <w:t>.</w:t>
      </w:r>
    </w:p>
    <w:p w14:paraId="72E77AD9" w14:textId="3560D802" w:rsidR="00B86CEF" w:rsidRDefault="00B86CEF" w:rsidP="00493FDC">
      <w:pPr>
        <w:spacing w:line="360" w:lineRule="auto"/>
        <w:ind w:firstLine="720"/>
      </w:pPr>
    </w:p>
    <w:p w14:paraId="5F4BA442" w14:textId="3EF1792E" w:rsidR="00B86CEF" w:rsidRPr="00493FDC" w:rsidRDefault="00B86CEF" w:rsidP="00493FDC">
      <w:pPr>
        <w:spacing w:line="360" w:lineRule="auto"/>
        <w:ind w:firstLine="720"/>
      </w:pPr>
      <w:r>
        <w:tab/>
        <w:t xml:space="preserve">Also, on August 30, 2019, CenturyLink filed a petition for a protective order.  In its petition, CenturyLink </w:t>
      </w:r>
      <w:r w:rsidR="00760249">
        <w:t>stated, as discussed further below, that portions of its filings contained non-public, proprietary information and that it would be substantially harmed if data and information marked as confidential were made available without restriction.</w:t>
      </w:r>
    </w:p>
    <w:p w14:paraId="49A7DDB2" w14:textId="77777777" w:rsidR="00493FDC" w:rsidRPr="00493FDC" w:rsidRDefault="00493FDC" w:rsidP="00493FDC">
      <w:pPr>
        <w:spacing w:line="360" w:lineRule="auto"/>
        <w:ind w:firstLine="720"/>
      </w:pPr>
    </w:p>
    <w:p w14:paraId="47F0CF5A" w14:textId="1AF33009" w:rsidR="00493FDC" w:rsidRPr="00493FDC" w:rsidRDefault="00493FDC" w:rsidP="00493FDC">
      <w:pPr>
        <w:spacing w:line="360" w:lineRule="auto"/>
      </w:pPr>
      <w:r w:rsidRPr="00493FDC">
        <w:tab/>
      </w:r>
      <w:r w:rsidRPr="00493FDC">
        <w:tab/>
        <w:t>On September 12, 2019, the OCA filed a Formal Complaint in response to the 2019 PSI/SPI at Docket No. C</w:t>
      </w:r>
      <w:r w:rsidRPr="00493FDC">
        <w:noBreakHyphen/>
        <w:t>2019</w:t>
      </w:r>
      <w:r w:rsidRPr="00493FDC">
        <w:noBreakHyphen/>
        <w:t>3012876.  The OCA again contended</w:t>
      </w:r>
      <w:r w:rsidRPr="00493FDC">
        <w:rPr>
          <w:i/>
        </w:rPr>
        <w:t>, inter alia</w:t>
      </w:r>
      <w:r w:rsidRPr="00493FDC">
        <w:t>, that the federal TCJA may qualify as an exogenous event under the Company’s Chapter 30 Plan requiring an adjustment to the Company’s Price Stability Mechanism formula.</w:t>
      </w:r>
    </w:p>
    <w:p w14:paraId="7C4F99CA" w14:textId="77777777" w:rsidR="00493FDC" w:rsidRPr="00493FDC" w:rsidRDefault="00493FDC" w:rsidP="00493FDC">
      <w:pPr>
        <w:spacing w:line="360" w:lineRule="auto"/>
      </w:pPr>
      <w:r w:rsidRPr="00493FDC">
        <w:t xml:space="preserve"> </w:t>
      </w:r>
    </w:p>
    <w:p w14:paraId="7ACBCF25" w14:textId="4EB829F8" w:rsidR="00493FDC" w:rsidRPr="00493FDC" w:rsidRDefault="00493FDC" w:rsidP="00493FDC">
      <w:pPr>
        <w:spacing w:line="360" w:lineRule="auto"/>
      </w:pPr>
      <w:r w:rsidRPr="00493FDC">
        <w:tab/>
      </w:r>
      <w:r w:rsidRPr="00493FDC">
        <w:tab/>
        <w:t>On September 30, 2019, CenturyLink submitted an Answer to the OCA’s Formal Complaint</w:t>
      </w:r>
      <w:r w:rsidR="002D3C69">
        <w:t xml:space="preserve"> a</w:t>
      </w:r>
      <w:r w:rsidRPr="00493FDC">
        <w:t>gain admitt</w:t>
      </w:r>
      <w:r w:rsidR="002D3C69">
        <w:t xml:space="preserve">ing </w:t>
      </w:r>
      <w:r w:rsidRPr="00493FDC">
        <w:t>or den</w:t>
      </w:r>
      <w:r w:rsidR="002D3C69">
        <w:t xml:space="preserve">ying </w:t>
      </w:r>
      <w:r w:rsidRPr="00493FDC">
        <w:t>the various averments in the OCA’s complaint.</w:t>
      </w:r>
      <w:r w:rsidR="002D3C69">
        <w:t xml:space="preserve">  And, </w:t>
      </w:r>
      <w:r w:rsidR="002D3C69">
        <w:rPr>
          <w:color w:val="000000" w:themeColor="text1"/>
        </w:rPr>
        <w:t>o</w:t>
      </w:r>
      <w:r w:rsidRPr="00493FDC">
        <w:rPr>
          <w:color w:val="000000" w:themeColor="text1"/>
        </w:rPr>
        <w:t xml:space="preserve">n October 2, 2019, the OSBA filed a Notice of Intervention </w:t>
      </w:r>
      <w:r w:rsidR="002D3C69">
        <w:rPr>
          <w:color w:val="000000" w:themeColor="text1"/>
        </w:rPr>
        <w:t xml:space="preserve">in that proceeding </w:t>
      </w:r>
      <w:r w:rsidRPr="00493FDC">
        <w:rPr>
          <w:color w:val="000000" w:themeColor="text1"/>
        </w:rPr>
        <w:t>again stat</w:t>
      </w:r>
      <w:r w:rsidR="002D3C69">
        <w:rPr>
          <w:color w:val="000000" w:themeColor="text1"/>
        </w:rPr>
        <w:t>ing</w:t>
      </w:r>
      <w:r w:rsidRPr="00493FDC">
        <w:rPr>
          <w:color w:val="000000" w:themeColor="text1"/>
        </w:rPr>
        <w:t xml:space="preserve"> that its intervention was necessary to protect the interests of the Company’s small business customers.</w:t>
      </w:r>
    </w:p>
    <w:p w14:paraId="77D6AFA8" w14:textId="77777777" w:rsidR="00493FDC" w:rsidRPr="00493FDC" w:rsidRDefault="00493FDC" w:rsidP="00493FDC">
      <w:pPr>
        <w:widowControl w:val="0"/>
        <w:spacing w:line="360" w:lineRule="auto"/>
        <w:rPr>
          <w:bCs/>
        </w:rPr>
      </w:pPr>
    </w:p>
    <w:p w14:paraId="021DAB8F" w14:textId="3E6D8EED" w:rsidR="00493FDC" w:rsidRPr="00493FDC" w:rsidRDefault="00493FDC" w:rsidP="00493FDC">
      <w:pPr>
        <w:spacing w:line="360" w:lineRule="auto"/>
        <w:ind w:firstLine="1440"/>
      </w:pPr>
      <w:r w:rsidRPr="00493FDC">
        <w:t>On November 14, 2019, the Commission entered an order directing that CenturyLink’s 2019 PSI/SPI filing also be assigned to the Office of Administrative Law Judge for adjudication of the Formal Complaint of the Office of Consumer Advocate</w:t>
      </w:r>
      <w:r w:rsidR="00BA3572">
        <w:t>.</w:t>
      </w:r>
    </w:p>
    <w:p w14:paraId="474B333D" w14:textId="77777777" w:rsidR="00493FDC" w:rsidRPr="00493FDC" w:rsidRDefault="00493FDC" w:rsidP="00493FDC">
      <w:pPr>
        <w:spacing w:line="360" w:lineRule="auto"/>
        <w:ind w:firstLine="1440"/>
      </w:pPr>
    </w:p>
    <w:p w14:paraId="68FF4ECB" w14:textId="1CC92312" w:rsidR="008B55D5" w:rsidRDefault="00493FDC" w:rsidP="00493FDC">
      <w:pPr>
        <w:spacing w:line="360" w:lineRule="auto"/>
        <w:ind w:firstLine="1440"/>
      </w:pPr>
      <w:r w:rsidRPr="00493FDC">
        <w:t>An Order Consolidating Proceedings was issued on November 20, 2019 formally consolidating CenturyLink’s 2018 PSI/SPI filing and CenturyLink’s 2019 PSI/SPI filing, along with the concomitant formal complaints filed by the OCA.</w:t>
      </w:r>
    </w:p>
    <w:p w14:paraId="6B531A04" w14:textId="6E19F94C" w:rsidR="00760249" w:rsidRDefault="00760249" w:rsidP="00493FDC">
      <w:pPr>
        <w:spacing w:line="360" w:lineRule="auto"/>
        <w:ind w:firstLine="1440"/>
      </w:pPr>
    </w:p>
    <w:p w14:paraId="757DBD89" w14:textId="2E8E6D3D" w:rsidR="00760249" w:rsidRDefault="00D87F5F" w:rsidP="00493FDC">
      <w:pPr>
        <w:spacing w:line="360" w:lineRule="auto"/>
        <w:ind w:firstLine="1440"/>
      </w:pPr>
      <w:r>
        <w:t>On January 23, 2020, CenturyLink, the OCA and OSBA submitted a Joint Petition for Approval of Settlement Agreement agreeing to resolve all outstanding issues without further litigation.</w:t>
      </w:r>
    </w:p>
    <w:p w14:paraId="29018FE2" w14:textId="3BF998F5" w:rsidR="00D87F5F" w:rsidRDefault="00D87F5F" w:rsidP="00493FDC">
      <w:pPr>
        <w:spacing w:line="360" w:lineRule="auto"/>
        <w:ind w:firstLine="1440"/>
      </w:pPr>
    </w:p>
    <w:p w14:paraId="716DD042" w14:textId="17E597BD" w:rsidR="00D87F5F" w:rsidRPr="00493FDC" w:rsidRDefault="00D87F5F" w:rsidP="00493FDC">
      <w:pPr>
        <w:spacing w:line="360" w:lineRule="auto"/>
        <w:ind w:firstLine="1440"/>
      </w:pPr>
      <w:r>
        <w:t xml:space="preserve">The purpose of this order is to formally grant the petition for a protective order that was filed by CenturyLink with its 2019 filing on August 30, 2019.  </w:t>
      </w:r>
    </w:p>
    <w:p w14:paraId="3F6913AB" w14:textId="77777777" w:rsidR="00553258" w:rsidRPr="009624B6" w:rsidRDefault="00553258" w:rsidP="009624B6">
      <w:pPr>
        <w:pStyle w:val="Style"/>
        <w:widowControl/>
        <w:spacing w:line="360" w:lineRule="auto"/>
        <w:rPr>
          <w:bCs/>
          <w:color w:val="000000"/>
        </w:rPr>
      </w:pPr>
    </w:p>
    <w:p w14:paraId="11D053F5" w14:textId="1252733C" w:rsidR="00500462" w:rsidRPr="009624B6" w:rsidRDefault="00500462" w:rsidP="00500462">
      <w:pPr>
        <w:tabs>
          <w:tab w:val="left" w:pos="-720"/>
        </w:tabs>
        <w:suppressAutoHyphens/>
        <w:spacing w:line="360" w:lineRule="auto"/>
        <w:ind w:left="90" w:firstLine="1350"/>
      </w:pPr>
      <w:r w:rsidRPr="009624B6">
        <w:t>The Commission’s Rules of Practice and Procedure permit the Commission to issue protective orders limiting the availability of certain proprietary or confidential information. 52 Pa. Code §§ 5.362 and 5.</w:t>
      </w:r>
      <w:r w:rsidR="001B07C4" w:rsidRPr="009624B6">
        <w:t>365</w:t>
      </w:r>
      <w:r w:rsidRPr="009624B6">
        <w:t xml:space="preserve">.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9624B6">
        <w:rPr>
          <w:u w:val="single"/>
        </w:rPr>
        <w:t>Petition for Protective order of GTE North Inc.</w:t>
      </w:r>
      <w:r w:rsidRPr="009624B6">
        <w:t xml:space="preserve">, 1996 Pa PUC LEXIS 95, Docket No. G-00940402, Order (entered August 8, 1996); </w:t>
      </w:r>
      <w:r w:rsidRPr="009624B6">
        <w:rPr>
          <w:u w:val="single"/>
        </w:rPr>
        <w:t>ITT Communications Services’ Petition for a Protective Order</w:t>
      </w:r>
      <w:r w:rsidRPr="009624B6">
        <w:t>, 1991 Pa PUC LEXIS 193, Docket No. R-912017, Order (entered November 5, 1991).  If that burden is satisfied, the least restrictive means of limitation which will provide the necessary protection from disclosure will be applied.  52 Pa. Code § 5.</w:t>
      </w:r>
      <w:r w:rsidR="001B07C4" w:rsidRPr="009624B6">
        <w:t>365</w:t>
      </w:r>
      <w:r w:rsidRPr="009624B6">
        <w:t>(a).</w:t>
      </w:r>
    </w:p>
    <w:p w14:paraId="0031984D" w14:textId="77777777" w:rsidR="00500462" w:rsidRPr="009624B6" w:rsidRDefault="00500462" w:rsidP="00500462">
      <w:pPr>
        <w:tabs>
          <w:tab w:val="left" w:pos="-720"/>
        </w:tabs>
        <w:suppressAutoHyphens/>
        <w:spacing w:line="360" w:lineRule="auto"/>
        <w:ind w:left="90" w:firstLine="1350"/>
      </w:pPr>
    </w:p>
    <w:p w14:paraId="09AC8197" w14:textId="1D8A25F1" w:rsidR="00500462" w:rsidRPr="009624B6" w:rsidRDefault="00500462" w:rsidP="00500462">
      <w:pPr>
        <w:tabs>
          <w:tab w:val="left" w:pos="-720"/>
        </w:tabs>
        <w:suppressAutoHyphens/>
        <w:spacing w:line="360" w:lineRule="auto"/>
        <w:ind w:left="90" w:firstLine="1350"/>
      </w:pPr>
      <w:r w:rsidRPr="009624B6">
        <w:t>In considering whether to issue a protective order, the Commission, pursuant to Section 5.</w:t>
      </w:r>
      <w:r w:rsidR="00643DDE" w:rsidRPr="009624B6">
        <w:t>365</w:t>
      </w:r>
      <w:r w:rsidRPr="009624B6">
        <w:t>(a), should consider the following factors:</w:t>
      </w:r>
    </w:p>
    <w:p w14:paraId="39F43980" w14:textId="77777777" w:rsidR="00500462" w:rsidRPr="009624B6" w:rsidRDefault="00500462" w:rsidP="00500462">
      <w:pPr>
        <w:spacing w:before="100" w:beforeAutospacing="1"/>
        <w:ind w:left="1440" w:right="1530"/>
      </w:pPr>
      <w:bookmarkStart w:id="3" w:name="5.423."/>
      <w:bookmarkEnd w:id="3"/>
      <w:r w:rsidRPr="009624B6">
        <w:t xml:space="preserve">(1)  The extent to which the disclosure would cause unfair economic or competitive damage. </w:t>
      </w:r>
    </w:p>
    <w:p w14:paraId="694EBBD4" w14:textId="77777777" w:rsidR="00500462" w:rsidRPr="009624B6" w:rsidRDefault="00500462" w:rsidP="00500462">
      <w:pPr>
        <w:spacing w:before="100" w:beforeAutospacing="1"/>
        <w:ind w:left="1440" w:right="1530"/>
      </w:pPr>
      <w:r w:rsidRPr="009624B6">
        <w:t xml:space="preserve">(2)  The extent to which the information is known by others and used in similar activities. </w:t>
      </w:r>
    </w:p>
    <w:p w14:paraId="0C88AADB" w14:textId="77777777" w:rsidR="00500462" w:rsidRPr="009624B6" w:rsidRDefault="00500462" w:rsidP="00500462">
      <w:pPr>
        <w:spacing w:before="100" w:beforeAutospacing="1"/>
        <w:ind w:left="1440" w:right="1530"/>
      </w:pPr>
      <w:r w:rsidRPr="009624B6">
        <w:t xml:space="preserve">(3)  The worth or value of the information to the party and to the party’s competitors. </w:t>
      </w:r>
    </w:p>
    <w:p w14:paraId="720F4A2E" w14:textId="77777777" w:rsidR="00500462" w:rsidRPr="009624B6" w:rsidRDefault="00500462" w:rsidP="00500462">
      <w:pPr>
        <w:spacing w:before="100" w:beforeAutospacing="1"/>
        <w:ind w:left="1440" w:right="1530"/>
      </w:pPr>
      <w:r w:rsidRPr="009624B6">
        <w:t xml:space="preserve">(4)  The degree of difficulty and cost of developing the information. </w:t>
      </w:r>
    </w:p>
    <w:p w14:paraId="4F9DB082" w14:textId="77777777" w:rsidR="00500462" w:rsidRPr="009624B6" w:rsidRDefault="00500462" w:rsidP="00500462">
      <w:pPr>
        <w:spacing w:before="100" w:beforeAutospacing="1"/>
        <w:ind w:left="1440" w:right="1530"/>
      </w:pPr>
      <w:r w:rsidRPr="009624B6">
        <w:t xml:space="preserve">(5)  Other statutes or regulations dealing specifically with disclosure of the information. </w:t>
      </w:r>
    </w:p>
    <w:p w14:paraId="6F895758" w14:textId="77777777" w:rsidR="00500462" w:rsidRPr="009624B6" w:rsidRDefault="00500462" w:rsidP="00500462">
      <w:pPr>
        <w:spacing w:before="100" w:beforeAutospacing="1"/>
        <w:ind w:left="1440" w:right="1530"/>
      </w:pPr>
    </w:p>
    <w:p w14:paraId="02E8CF4C" w14:textId="67E8662A" w:rsidR="00500462" w:rsidRPr="009624B6" w:rsidRDefault="00500462" w:rsidP="00500462">
      <w:pPr>
        <w:spacing w:line="360" w:lineRule="auto"/>
      </w:pPr>
      <w:r w:rsidRPr="009624B6">
        <w:t>52 Pa. Code § 5.</w:t>
      </w:r>
      <w:r w:rsidR="001B07C4" w:rsidRPr="009624B6">
        <w:t>365</w:t>
      </w:r>
      <w:r w:rsidRPr="009624B6">
        <w:t>(a).  The Commission’s regulations further provide detail regarding restrictions placed on the proprietary material, access to proprietary material by representatives of parties, special restrictions and the return of proprietary information at the conclusion of the proceeding.  52 Pa. Code §§ 5.</w:t>
      </w:r>
      <w:r w:rsidR="001B07C4" w:rsidRPr="009624B6">
        <w:t>365</w:t>
      </w:r>
      <w:r w:rsidRPr="009624B6">
        <w:t>(c)-(</w:t>
      </w:r>
      <w:r w:rsidR="001B07C4" w:rsidRPr="009624B6">
        <w:t>g</w:t>
      </w:r>
      <w:r w:rsidRPr="009624B6">
        <w:t>).</w:t>
      </w:r>
    </w:p>
    <w:p w14:paraId="386541B2" w14:textId="77777777" w:rsidR="00500462" w:rsidRPr="009624B6" w:rsidRDefault="00500462" w:rsidP="00500462">
      <w:pPr>
        <w:spacing w:line="360" w:lineRule="auto"/>
      </w:pPr>
    </w:p>
    <w:p w14:paraId="1F960E27" w14:textId="0C075527" w:rsidR="00500462" w:rsidRPr="009624B6" w:rsidRDefault="00500462" w:rsidP="00500462">
      <w:pPr>
        <w:spacing w:line="360" w:lineRule="auto"/>
        <w:ind w:firstLine="1440"/>
      </w:pPr>
      <w:r w:rsidRPr="009624B6">
        <w:t>Section 5.</w:t>
      </w:r>
      <w:r w:rsidR="001B07C4" w:rsidRPr="009624B6">
        <w:t>365</w:t>
      </w:r>
      <w:r w:rsidRPr="009624B6">
        <w:t>, however, must be balanced against Commission regulations that also provide that the Commission’s records, including the record of this proceeding, may be accessed by the public pursuant to 52 Pa. Code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the interests of keeping material proprietary or confidential must be viewed in light of the Pennsylvania Right to Know Law.  65 P.S. § 67.102.</w:t>
      </w:r>
    </w:p>
    <w:p w14:paraId="41ED8A7C" w14:textId="21A767C4" w:rsidR="00553258" w:rsidRPr="009624B6" w:rsidRDefault="00553258" w:rsidP="005E23C0">
      <w:pPr>
        <w:tabs>
          <w:tab w:val="left" w:pos="-720"/>
          <w:tab w:val="left" w:pos="2070"/>
        </w:tabs>
        <w:suppressAutoHyphens/>
        <w:spacing w:line="360" w:lineRule="auto"/>
        <w:ind w:firstLine="1440"/>
      </w:pPr>
    </w:p>
    <w:p w14:paraId="5044DDF0" w14:textId="6ABD1BA0" w:rsidR="009624B6" w:rsidRDefault="00500462" w:rsidP="005E23C0">
      <w:pPr>
        <w:tabs>
          <w:tab w:val="left" w:pos="-720"/>
          <w:tab w:val="left" w:pos="2070"/>
        </w:tabs>
        <w:suppressAutoHyphens/>
        <w:spacing w:line="360" w:lineRule="auto"/>
        <w:ind w:firstLine="1440"/>
      </w:pPr>
      <w:r w:rsidRPr="009624B6">
        <w:t xml:space="preserve">In light of this </w:t>
      </w:r>
      <w:r w:rsidR="001B07C4" w:rsidRPr="009624B6">
        <w:t>legal background</w:t>
      </w:r>
      <w:r w:rsidRPr="009624B6">
        <w:t xml:space="preserve">, </w:t>
      </w:r>
      <w:r w:rsidR="00886DA4" w:rsidRPr="009624B6">
        <w:t xml:space="preserve">the proposed </w:t>
      </w:r>
      <w:r w:rsidRPr="009624B6">
        <w:t>protective order will be granted.</w:t>
      </w:r>
      <w:r w:rsidR="005B34D8" w:rsidRPr="009624B6">
        <w:t xml:space="preserve">  </w:t>
      </w:r>
    </w:p>
    <w:p w14:paraId="73D9C3A1" w14:textId="0432F705" w:rsidR="009624B6" w:rsidRDefault="009624B6" w:rsidP="005E23C0">
      <w:pPr>
        <w:tabs>
          <w:tab w:val="left" w:pos="-720"/>
          <w:tab w:val="left" w:pos="2070"/>
        </w:tabs>
        <w:suppressAutoHyphens/>
        <w:spacing w:line="360" w:lineRule="auto"/>
        <w:ind w:firstLine="1440"/>
      </w:pPr>
    </w:p>
    <w:p w14:paraId="70E129EA" w14:textId="77777777" w:rsidR="0016077C" w:rsidRDefault="009624B6" w:rsidP="0016077C">
      <w:pPr>
        <w:tabs>
          <w:tab w:val="left" w:pos="-720"/>
          <w:tab w:val="left" w:pos="2070"/>
        </w:tabs>
        <w:suppressAutoHyphens/>
        <w:spacing w:line="360" w:lineRule="auto"/>
        <w:ind w:firstLine="1440"/>
      </w:pPr>
      <w:r>
        <w:t xml:space="preserve">As noted above, CenturyLink averred in its petition that </w:t>
      </w:r>
      <w:r w:rsidR="001F1275">
        <w:t xml:space="preserve">information contained in its initial filing includes non-public, proprietary information and that the company would be substantially harmed if data and information marked as confidential were made available without restriction or would become public.  CenturyLink added that such information is </w:t>
      </w:r>
      <w:r w:rsidR="00573667">
        <w:t>competitively sensitive</w:t>
      </w:r>
      <w:r w:rsidR="001F1275">
        <w:t xml:space="preserve"> revenue and pricing information</w:t>
      </w:r>
      <w:r w:rsidR="00573667">
        <w:t>,</w:t>
      </w:r>
      <w:r w:rsidR="001F1275">
        <w:t xml:space="preserve"> the release of which would allow competitors to gain knowledge of CenturyLink’s operations, its financial performance and proprietary operating results.  </w:t>
      </w:r>
      <w:r w:rsidR="000F5B7E">
        <w:t>Such information would assist CenturyLink’s competitors with targeting efforts regarding CenturyLink’s marketing, strategic and business plans</w:t>
      </w:r>
      <w:r w:rsidR="00EF7A4B">
        <w:t xml:space="preserve"> which would put CenturyLink at a severe competitive disadvantage or harm CenturyLink’s financial interests</w:t>
      </w:r>
      <w:r w:rsidR="00573667">
        <w:t xml:space="preserve"> if made public</w:t>
      </w:r>
      <w:r w:rsidR="00EF7A4B">
        <w:t xml:space="preserve">.  </w:t>
      </w:r>
    </w:p>
    <w:p w14:paraId="10840E5A" w14:textId="77777777" w:rsidR="0016077C" w:rsidRDefault="0016077C" w:rsidP="0016077C">
      <w:pPr>
        <w:tabs>
          <w:tab w:val="left" w:pos="-720"/>
          <w:tab w:val="left" w:pos="2070"/>
        </w:tabs>
        <w:suppressAutoHyphens/>
        <w:spacing w:line="360" w:lineRule="auto"/>
        <w:ind w:firstLine="1440"/>
      </w:pPr>
    </w:p>
    <w:p w14:paraId="14A8BFD4" w14:textId="0911F22B" w:rsidR="00AF23E1" w:rsidRDefault="003C1A1D" w:rsidP="0016077C">
      <w:pPr>
        <w:tabs>
          <w:tab w:val="left" w:pos="-720"/>
          <w:tab w:val="left" w:pos="2070"/>
        </w:tabs>
        <w:suppressAutoHyphens/>
        <w:spacing w:line="360" w:lineRule="auto"/>
        <w:ind w:firstLine="1440"/>
      </w:pPr>
      <w:r>
        <w:t xml:space="preserve">CenturyLink noted that limiting disclosure of confidential information will not prejudice the rights of any entity, nor will such limitation frustrate the intended purpose of this filing or the prompt and fair resolution of any proceeding that may arise out of this filing.  </w:t>
      </w:r>
      <w:r w:rsidR="00BC730B">
        <w:t>CenturyLink noted other protective orders the Commission has granted and stated that the instant proposed protective order is substantially similar to those that the Commission has approved.</w:t>
      </w:r>
      <w:r w:rsidR="00AF23E1">
        <w:t xml:space="preserve">  CenturyLink attached a </w:t>
      </w:r>
      <w:r w:rsidR="00573667">
        <w:t xml:space="preserve">proposed </w:t>
      </w:r>
      <w:r w:rsidR="00AF23E1">
        <w:t>protective order to its petition</w:t>
      </w:r>
      <w:r w:rsidR="00B05A75">
        <w:t>.</w:t>
      </w:r>
    </w:p>
    <w:p w14:paraId="64AC0A85" w14:textId="77777777" w:rsidR="00AF23E1" w:rsidRDefault="00AF23E1" w:rsidP="005E23C0">
      <w:pPr>
        <w:tabs>
          <w:tab w:val="left" w:pos="-720"/>
          <w:tab w:val="left" w:pos="2070"/>
        </w:tabs>
        <w:suppressAutoHyphens/>
        <w:spacing w:line="360" w:lineRule="auto"/>
        <w:ind w:firstLine="1440"/>
      </w:pPr>
    </w:p>
    <w:p w14:paraId="522B9163" w14:textId="4F01B79B" w:rsidR="00AF23E1" w:rsidRDefault="00AF23E1" w:rsidP="005E23C0">
      <w:pPr>
        <w:tabs>
          <w:tab w:val="left" w:pos="-720"/>
          <w:tab w:val="left" w:pos="2070"/>
        </w:tabs>
        <w:suppressAutoHyphens/>
        <w:spacing w:line="360" w:lineRule="auto"/>
        <w:ind w:firstLine="1440"/>
      </w:pPr>
      <w:r>
        <w:t>No party objected to CenturyLink’s petition for a proposed protective order.</w:t>
      </w:r>
    </w:p>
    <w:p w14:paraId="6E873E9B" w14:textId="77777777" w:rsidR="00AF23E1" w:rsidRDefault="00AF23E1" w:rsidP="005E23C0">
      <w:pPr>
        <w:tabs>
          <w:tab w:val="left" w:pos="-720"/>
          <w:tab w:val="left" w:pos="2070"/>
        </w:tabs>
        <w:suppressAutoHyphens/>
        <w:spacing w:line="360" w:lineRule="auto"/>
        <w:ind w:firstLine="1440"/>
      </w:pPr>
    </w:p>
    <w:p w14:paraId="6C7B0475" w14:textId="25A6BB21" w:rsidR="00950AF7" w:rsidRPr="009624B6" w:rsidRDefault="00950AF7" w:rsidP="00950AF7">
      <w:pPr>
        <w:pStyle w:val="ParaTab1"/>
        <w:tabs>
          <w:tab w:val="left" w:pos="2070"/>
        </w:tabs>
        <w:spacing w:line="360" w:lineRule="auto"/>
        <w:rPr>
          <w:rFonts w:ascii="Times New Roman" w:hAnsi="Times New Roman" w:cs="Times New Roman"/>
        </w:rPr>
      </w:pPr>
      <w:r w:rsidRPr="009624B6">
        <w:rPr>
          <w:rFonts w:ascii="Times New Roman" w:hAnsi="Times New Roman" w:cs="Times New Roman"/>
        </w:rPr>
        <w:t xml:space="preserve">As a result, the </w:t>
      </w:r>
      <w:r w:rsidR="00925CBE" w:rsidRPr="009624B6">
        <w:rPr>
          <w:rFonts w:ascii="Times New Roman" w:hAnsi="Times New Roman" w:cs="Times New Roman"/>
        </w:rPr>
        <w:t>proposed protective order will be adopted for this proceeding</w:t>
      </w:r>
      <w:r w:rsidRPr="009624B6">
        <w:rPr>
          <w:rFonts w:ascii="Times New Roman" w:hAnsi="Times New Roman" w:cs="Times New Roman"/>
        </w:rPr>
        <w:t xml:space="preserve">.  </w:t>
      </w:r>
      <w:r w:rsidR="00B05A75">
        <w:rPr>
          <w:rFonts w:ascii="Times New Roman" w:hAnsi="Times New Roman" w:cs="Times New Roman"/>
        </w:rPr>
        <w:t xml:space="preserve">The proposed protective order is consistent with the Commission’s regulations regarding protective orders. </w:t>
      </w:r>
      <w:r w:rsidR="005F61B4">
        <w:rPr>
          <w:rFonts w:ascii="Times New Roman" w:hAnsi="Times New Roman" w:cs="Times New Roman"/>
        </w:rPr>
        <w:t xml:space="preserve"> CenturyLink has demonstrated that this proceeding involves information that warrants protection.  The information would cause CenturyLink unfair economic or competitive damage, is unknown to others, is valuable to CenturyLink’s competitors, and would be difficult and costly to develop.  Furthermore, the proposed protective order provides </w:t>
      </w:r>
      <w:r w:rsidR="005F61B4" w:rsidRPr="009624B6">
        <w:t>the least restrictive means of limitation which will provide the necessary protection from disclosure</w:t>
      </w:r>
      <w:r w:rsidR="005F61B4">
        <w:t xml:space="preserve">. </w:t>
      </w:r>
      <w:r w:rsidR="00B05A75">
        <w:rPr>
          <w:rFonts w:ascii="Times New Roman" w:hAnsi="Times New Roman" w:cs="Times New Roman"/>
        </w:rPr>
        <w:t xml:space="preserve"> </w:t>
      </w:r>
      <w:r w:rsidRPr="009624B6">
        <w:rPr>
          <w:rFonts w:ascii="Times New Roman" w:hAnsi="Times New Roman" w:cs="Times New Roman"/>
        </w:rPr>
        <w:t>The parties are advised, however, to minimize the amount of information alleged to be proprietary that is admitted into the record to increase the likelihood that the ultimate decision of the Commission in this matter provides the greatest degree of public access, consistent with the Commission’s regulations.</w:t>
      </w:r>
    </w:p>
    <w:p w14:paraId="3C104C57" w14:textId="77777777" w:rsidR="00950AF7" w:rsidRPr="009624B6" w:rsidRDefault="00950AF7" w:rsidP="00950AF7">
      <w:pPr>
        <w:spacing w:line="360" w:lineRule="auto"/>
      </w:pPr>
    </w:p>
    <w:p w14:paraId="584D88BC" w14:textId="77777777" w:rsidR="00950AF7" w:rsidRPr="009624B6" w:rsidRDefault="00950AF7" w:rsidP="00A23B18">
      <w:pPr>
        <w:spacing w:line="360" w:lineRule="auto"/>
        <w:jc w:val="center"/>
        <w:rPr>
          <w:u w:val="single"/>
        </w:rPr>
      </w:pPr>
      <w:r w:rsidRPr="009624B6">
        <w:rPr>
          <w:u w:val="single"/>
        </w:rPr>
        <w:t>ORDER</w:t>
      </w:r>
    </w:p>
    <w:p w14:paraId="31837A0D" w14:textId="77777777" w:rsidR="00950AF7" w:rsidRPr="009624B6" w:rsidRDefault="00950AF7" w:rsidP="00A23B18">
      <w:pPr>
        <w:spacing w:line="360" w:lineRule="auto"/>
        <w:ind w:firstLine="1440"/>
      </w:pPr>
    </w:p>
    <w:p w14:paraId="1BEE11D4" w14:textId="77777777" w:rsidR="00950AF7" w:rsidRPr="009624B6" w:rsidRDefault="00950AF7" w:rsidP="00A23B18">
      <w:pPr>
        <w:spacing w:line="360" w:lineRule="auto"/>
        <w:ind w:firstLine="1440"/>
        <w:rPr>
          <w:bCs/>
        </w:rPr>
      </w:pPr>
      <w:r w:rsidRPr="009624B6">
        <w:rPr>
          <w:bCs/>
        </w:rPr>
        <w:t>THEREFORE,</w:t>
      </w:r>
    </w:p>
    <w:p w14:paraId="172EA1F9" w14:textId="77777777" w:rsidR="00950AF7" w:rsidRPr="009624B6" w:rsidRDefault="00950AF7" w:rsidP="00A23B18">
      <w:pPr>
        <w:spacing w:line="360" w:lineRule="auto"/>
        <w:ind w:firstLine="1440"/>
      </w:pPr>
    </w:p>
    <w:p w14:paraId="076FC7CC" w14:textId="0A0D728D" w:rsidR="004B667C" w:rsidRDefault="00950AF7" w:rsidP="00072F26">
      <w:pPr>
        <w:autoSpaceDE/>
        <w:autoSpaceDN/>
        <w:spacing w:line="360" w:lineRule="auto"/>
        <w:ind w:firstLine="1440"/>
      </w:pPr>
      <w:r w:rsidRPr="009624B6">
        <w:t>IT IS ORDERED:</w:t>
      </w:r>
    </w:p>
    <w:p w14:paraId="6CCDE249" w14:textId="77777777" w:rsidR="00FC2749" w:rsidRDefault="00FC2749" w:rsidP="00641F62">
      <w:pPr>
        <w:ind w:left="1440"/>
        <w:rPr>
          <w:snapToGrid w:val="0"/>
        </w:rPr>
      </w:pPr>
    </w:p>
    <w:p w14:paraId="316F0541" w14:textId="75946D8D" w:rsidR="00FC2749" w:rsidRDefault="00FC2749" w:rsidP="00641F62">
      <w:pPr>
        <w:spacing w:line="360" w:lineRule="auto"/>
        <w:ind w:firstLine="720"/>
        <w:rPr>
          <w:snapToGrid w:val="0"/>
        </w:rPr>
      </w:pPr>
      <w:r>
        <w:rPr>
          <w:snapToGrid w:val="0"/>
        </w:rPr>
        <w:tab/>
      </w:r>
      <w:r w:rsidRPr="00F0026D">
        <w:rPr>
          <w:snapToGrid w:val="0"/>
        </w:rPr>
        <w:t>1.</w:t>
      </w:r>
      <w:r>
        <w:rPr>
          <w:snapToGrid w:val="0"/>
        </w:rPr>
        <w:tab/>
      </w:r>
      <w:r w:rsidR="00B05488">
        <w:rPr>
          <w:snapToGrid w:val="0"/>
        </w:rPr>
        <w:t>That t</w:t>
      </w:r>
      <w:r w:rsidRPr="00F0026D">
        <w:rPr>
          <w:snapToGrid w:val="0"/>
        </w:rPr>
        <w:t xml:space="preserve">his Protective Order, submitted by </w:t>
      </w:r>
      <w:r>
        <w:t xml:space="preserve">The United Telephone Company of Pennsylvania LLC d/b/a CenturyLink </w:t>
      </w:r>
      <w:r w:rsidRPr="00F0026D">
        <w:rPr>
          <w:snapToGrid w:val="0"/>
        </w:rPr>
        <w:t>is hereby established for use in this proceeding with respect to all materials and information identified at Paragraph</w:t>
      </w:r>
      <w:r>
        <w:rPr>
          <w:snapToGrid w:val="0"/>
        </w:rPr>
        <w:t>s</w:t>
      </w:r>
      <w:r w:rsidRPr="00F0026D">
        <w:rPr>
          <w:snapToGrid w:val="0"/>
        </w:rPr>
        <w:t xml:space="preserve"> 2</w:t>
      </w:r>
      <w:r>
        <w:rPr>
          <w:snapToGrid w:val="0"/>
        </w:rPr>
        <w:t xml:space="preserve"> and 3 </w:t>
      </w:r>
      <w:r w:rsidRPr="00F0026D">
        <w:rPr>
          <w:snapToGrid w:val="0"/>
        </w:rPr>
        <w:t xml:space="preserve">of this Protective Order </w:t>
      </w:r>
      <w:r>
        <w:rPr>
          <w:snapToGrid w:val="0"/>
        </w:rPr>
        <w:t xml:space="preserve">as </w:t>
      </w:r>
      <w:r w:rsidRPr="00F0026D">
        <w:rPr>
          <w:snapToGrid w:val="0"/>
        </w:rPr>
        <w:t xml:space="preserve">filed with the </w:t>
      </w:r>
      <w:r>
        <w:rPr>
          <w:snapToGrid w:val="0"/>
        </w:rPr>
        <w:t>Pennsylvania Public Utility Commission (“</w:t>
      </w:r>
      <w:r w:rsidRPr="00F0026D">
        <w:rPr>
          <w:snapToGrid w:val="0"/>
        </w:rPr>
        <w:t>Commission</w:t>
      </w:r>
      <w:r>
        <w:rPr>
          <w:snapToGrid w:val="0"/>
        </w:rPr>
        <w:t>”)</w:t>
      </w:r>
      <w:r w:rsidRPr="00F0026D">
        <w:rPr>
          <w:snapToGrid w:val="0"/>
        </w:rPr>
        <w:t xml:space="preserve">, </w:t>
      </w:r>
      <w:r>
        <w:rPr>
          <w:snapToGrid w:val="0"/>
        </w:rPr>
        <w:t xml:space="preserve">and/or as </w:t>
      </w:r>
      <w:r w:rsidRPr="00F0026D">
        <w:rPr>
          <w:snapToGrid w:val="0"/>
        </w:rPr>
        <w:t xml:space="preserve">produced in discovery, or otherwise </w:t>
      </w:r>
      <w:r>
        <w:rPr>
          <w:snapToGrid w:val="0"/>
        </w:rPr>
        <w:t>provided or available in the context of CenturyLink’s 2019 Annual Price Stability Mechanism (“PSM”) filing.</w:t>
      </w:r>
      <w:r w:rsidRPr="00F0026D">
        <w:rPr>
          <w:snapToGrid w:val="0"/>
        </w:rPr>
        <w:t xml:space="preserve">  All persons now and hereafter granted access to the materials and information identified in Paragraph</w:t>
      </w:r>
      <w:r>
        <w:rPr>
          <w:snapToGrid w:val="0"/>
        </w:rPr>
        <w:t>s</w:t>
      </w:r>
      <w:r w:rsidRPr="00F0026D">
        <w:rPr>
          <w:snapToGrid w:val="0"/>
        </w:rPr>
        <w:t xml:space="preserve"> 2</w:t>
      </w:r>
      <w:r>
        <w:rPr>
          <w:snapToGrid w:val="0"/>
        </w:rPr>
        <w:t xml:space="preserve"> and 3</w:t>
      </w:r>
      <w:r w:rsidRPr="00F0026D">
        <w:rPr>
          <w:snapToGrid w:val="0"/>
        </w:rPr>
        <w:t xml:space="preserve"> of this Protective Order shall use and disclose such information only in accordance with this Order.</w:t>
      </w:r>
    </w:p>
    <w:p w14:paraId="0B295679" w14:textId="77777777" w:rsidR="00FC2749" w:rsidRDefault="00FC2749" w:rsidP="00641F62">
      <w:pPr>
        <w:spacing w:line="360" w:lineRule="auto"/>
        <w:ind w:firstLine="720"/>
        <w:rPr>
          <w:snapToGrid w:val="0"/>
        </w:rPr>
      </w:pPr>
    </w:p>
    <w:p w14:paraId="4BE71ADA" w14:textId="5BF983C7" w:rsidR="00FC2749" w:rsidRDefault="00FC2749" w:rsidP="00641F62">
      <w:pPr>
        <w:spacing w:line="360" w:lineRule="auto"/>
        <w:ind w:firstLine="720"/>
        <w:rPr>
          <w:snapToGrid w:val="0"/>
        </w:rPr>
      </w:pPr>
      <w:r>
        <w:rPr>
          <w:snapToGrid w:val="0"/>
        </w:rPr>
        <w:tab/>
      </w:r>
      <w:r w:rsidRPr="00F0026D">
        <w:rPr>
          <w:snapToGrid w:val="0"/>
        </w:rPr>
        <w:t>2.</w:t>
      </w:r>
      <w:r>
        <w:rPr>
          <w:snapToGrid w:val="0"/>
        </w:rPr>
        <w:tab/>
      </w:r>
      <w:r w:rsidR="00B05488">
        <w:rPr>
          <w:snapToGrid w:val="0"/>
        </w:rPr>
        <w:t>That t</w:t>
      </w:r>
      <w:r w:rsidRPr="00F0026D">
        <w:rPr>
          <w:snapToGrid w:val="0"/>
        </w:rPr>
        <w:t xml:space="preserve">he materials subject to this Order are all </w:t>
      </w:r>
      <w:r>
        <w:rPr>
          <w:snapToGrid w:val="0"/>
        </w:rPr>
        <w:t xml:space="preserve">written, recorded, electronic or graphic material, whether produced or created by a party or another person or entity, including but not limited to, </w:t>
      </w:r>
      <w:r w:rsidRPr="00F0026D">
        <w:rPr>
          <w:snapToGrid w:val="0"/>
        </w:rPr>
        <w:t xml:space="preserve">correspondence, documents, data, information, studies, methodologies and other materials which a party or an affiliate of a party furnishes in this proceeding pursuant to Commission rules and regulations, discovery procedures or cross-examination or provides as a courtesy to a party to this proceeding, which are claimed to be of a proprietary or confidential nature and which are designated </w:t>
      </w:r>
      <w:r>
        <w:rPr>
          <w:snapToGrid w:val="0"/>
        </w:rPr>
        <w:t>“</w:t>
      </w:r>
      <w:r w:rsidRPr="00F0026D">
        <w:rPr>
          <w:snapToGrid w:val="0"/>
        </w:rPr>
        <w:t>PROPRIETARY</w:t>
      </w:r>
      <w:r>
        <w:rPr>
          <w:snapToGrid w:val="0"/>
        </w:rPr>
        <w:t>”</w:t>
      </w:r>
      <w:r w:rsidRPr="00F0026D">
        <w:rPr>
          <w:snapToGrid w:val="0"/>
        </w:rPr>
        <w:t xml:space="preserve"> (hereinaft</w:t>
      </w:r>
      <w:r>
        <w:rPr>
          <w:snapToGrid w:val="0"/>
        </w:rPr>
        <w:t>er collectively referred to as “</w:t>
      </w:r>
      <w:r w:rsidRPr="00F0026D">
        <w:rPr>
          <w:snapToGrid w:val="0"/>
        </w:rPr>
        <w:t>Proprietary Informatio</w:t>
      </w:r>
      <w:r>
        <w:rPr>
          <w:snapToGrid w:val="0"/>
        </w:rPr>
        <w:t>n”</w:t>
      </w:r>
      <w:r w:rsidRPr="00F0026D">
        <w:rPr>
          <w:snapToGrid w:val="0"/>
        </w:rPr>
        <w:t>)</w:t>
      </w:r>
      <w:r>
        <w:rPr>
          <w:snapToGrid w:val="0"/>
        </w:rPr>
        <w:t>.</w:t>
      </w:r>
    </w:p>
    <w:p w14:paraId="7BFDEE31" w14:textId="77777777" w:rsidR="00FC2749" w:rsidRDefault="00FC2749" w:rsidP="00641F62">
      <w:pPr>
        <w:spacing w:line="360" w:lineRule="auto"/>
        <w:ind w:firstLine="720"/>
        <w:rPr>
          <w:snapToGrid w:val="0"/>
        </w:rPr>
      </w:pPr>
    </w:p>
    <w:p w14:paraId="57A7B533" w14:textId="4424FF66" w:rsidR="00FC2749" w:rsidRDefault="00FC2749" w:rsidP="00641F62">
      <w:pPr>
        <w:spacing w:line="360" w:lineRule="auto"/>
        <w:ind w:firstLine="720"/>
        <w:rPr>
          <w:snapToGrid w:val="0"/>
        </w:rPr>
      </w:pPr>
      <w:r>
        <w:rPr>
          <w:snapToGrid w:val="0"/>
        </w:rPr>
        <w:tab/>
        <w:t>3.</w:t>
      </w:r>
      <w:r>
        <w:rPr>
          <w:snapToGrid w:val="0"/>
        </w:rPr>
        <w:tab/>
      </w:r>
      <w:r w:rsidR="00B05488">
        <w:rPr>
          <w:snapToGrid w:val="0"/>
        </w:rPr>
        <w:t xml:space="preserve">That, in </w:t>
      </w:r>
      <w:r w:rsidRPr="00F0026D">
        <w:rPr>
          <w:snapToGrid w:val="0"/>
        </w:rPr>
        <w:t xml:space="preserve">addition, the parties may designate extremely sensitive Proprietary Information as </w:t>
      </w:r>
      <w:r>
        <w:rPr>
          <w:snapToGrid w:val="0"/>
        </w:rPr>
        <w:t>“HIGHLY CONFIDENTIAL”</w:t>
      </w:r>
      <w:r w:rsidRPr="00F0026D">
        <w:rPr>
          <w:snapToGrid w:val="0"/>
        </w:rPr>
        <w:t xml:space="preserve"> (hereinafter referred to as </w:t>
      </w:r>
      <w:r>
        <w:rPr>
          <w:snapToGrid w:val="0"/>
        </w:rPr>
        <w:t>“Highly Confidential Information”</w:t>
      </w:r>
      <w:r w:rsidRPr="00F0026D">
        <w:rPr>
          <w:snapToGrid w:val="0"/>
        </w:rPr>
        <w:t>) and thus secure the additional protections set forth in this Order pertaining to such material.</w:t>
      </w:r>
      <w:r>
        <w:rPr>
          <w:snapToGrid w:val="0"/>
        </w:rPr>
        <w:t xml:space="preserve"> </w:t>
      </w:r>
      <w:r w:rsidRPr="00F0026D">
        <w:rPr>
          <w:snapToGrid w:val="0"/>
        </w:rPr>
        <w:t xml:space="preserve"> Such </w:t>
      </w:r>
      <w:r>
        <w:rPr>
          <w:snapToGrid w:val="0"/>
        </w:rPr>
        <w:t>“HIGHLY CONFIDENTIAL”</w:t>
      </w:r>
      <w:r w:rsidRPr="00F0026D">
        <w:rPr>
          <w:snapToGrid w:val="0"/>
        </w:rPr>
        <w:t xml:space="preserve"> information shall be only such Proprietary Information that constitutes or describes the producing party's marketing plans, </w:t>
      </w:r>
      <w:r>
        <w:rPr>
          <w:snapToGrid w:val="0"/>
        </w:rPr>
        <w:t xml:space="preserve">including, </w:t>
      </w:r>
      <w:r w:rsidRPr="004F6736">
        <w:rPr>
          <w:i/>
          <w:snapToGrid w:val="0"/>
        </w:rPr>
        <w:t>inter alia</w:t>
      </w:r>
      <w:r>
        <w:rPr>
          <w:snapToGrid w:val="0"/>
        </w:rPr>
        <w:t xml:space="preserve">, costing and pricing aspects thereof, </w:t>
      </w:r>
      <w:r w:rsidRPr="00F0026D">
        <w:rPr>
          <w:snapToGrid w:val="0"/>
        </w:rPr>
        <w:t xml:space="preserve">competitive strategies, market share projections, marketing materials that have not yet been used, </w:t>
      </w:r>
      <w:r>
        <w:rPr>
          <w:snapToGrid w:val="0"/>
        </w:rPr>
        <w:t xml:space="preserve">network deployment, </w:t>
      </w:r>
      <w:r w:rsidRPr="00F0026D">
        <w:rPr>
          <w:snapToGrid w:val="0"/>
        </w:rPr>
        <w:t>customer-identifying information, or customer prospects for services that are subject to competition.</w:t>
      </w:r>
    </w:p>
    <w:p w14:paraId="57DF58D7" w14:textId="77777777" w:rsidR="00FC2749" w:rsidRDefault="00FC2749" w:rsidP="00641F62">
      <w:pPr>
        <w:spacing w:line="360" w:lineRule="auto"/>
        <w:ind w:firstLine="720"/>
        <w:rPr>
          <w:snapToGrid w:val="0"/>
        </w:rPr>
      </w:pPr>
    </w:p>
    <w:p w14:paraId="2E601EDA" w14:textId="563EE344" w:rsidR="00FC2749" w:rsidRDefault="00FC2749" w:rsidP="00641F62">
      <w:pPr>
        <w:spacing w:line="360" w:lineRule="auto"/>
        <w:ind w:firstLine="720"/>
        <w:rPr>
          <w:snapToGrid w:val="0"/>
        </w:rPr>
      </w:pPr>
      <w:r>
        <w:rPr>
          <w:snapToGrid w:val="0"/>
        </w:rPr>
        <w:tab/>
        <w:t>4</w:t>
      </w:r>
      <w:r w:rsidRPr="00F0026D">
        <w:rPr>
          <w:snapToGrid w:val="0"/>
        </w:rPr>
        <w:t>.</w:t>
      </w:r>
      <w:r>
        <w:rPr>
          <w:snapToGrid w:val="0"/>
        </w:rPr>
        <w:tab/>
      </w:r>
      <w:r w:rsidR="00B05488">
        <w:rPr>
          <w:snapToGrid w:val="0"/>
        </w:rPr>
        <w:t>That p</w:t>
      </w:r>
      <w:r w:rsidRPr="00F0026D">
        <w:rPr>
          <w:snapToGrid w:val="0"/>
        </w:rPr>
        <w:t xml:space="preserve">roprietary Information and Highly Confidential Information shall be made available to the Commission and its Staff for use in this proceeding.  For purposes of filing, to the extent that Proprietary Information </w:t>
      </w:r>
      <w:r>
        <w:rPr>
          <w:snapToGrid w:val="0"/>
        </w:rPr>
        <w:t xml:space="preserve">and Highly Confidential Information </w:t>
      </w:r>
      <w:r w:rsidRPr="00F0026D">
        <w:rPr>
          <w:snapToGrid w:val="0"/>
        </w:rPr>
        <w:t>is placed in the Commission</w:t>
      </w:r>
      <w:r>
        <w:rPr>
          <w:snapToGrid w:val="0"/>
        </w:rPr>
        <w:t>’</w:t>
      </w:r>
      <w:r w:rsidRPr="00F0026D">
        <w:rPr>
          <w:snapToGrid w:val="0"/>
        </w:rPr>
        <w:t>s report folders, such information shall be handled in accordance with routine Commission procedures inasmuch as the report folders are not subject to public disclosure.  To the extent that Proprietary Information or Highly Confidential Information is placed in the Commission</w:t>
      </w:r>
      <w:r>
        <w:rPr>
          <w:snapToGrid w:val="0"/>
        </w:rPr>
        <w:t>’</w:t>
      </w:r>
      <w:r w:rsidRPr="00F0026D">
        <w:rPr>
          <w:snapToGrid w:val="0"/>
        </w:rPr>
        <w:t>s testimony or document folders, such information shall be separately bound, conspicuously marked</w:t>
      </w:r>
      <w:r>
        <w:rPr>
          <w:snapToGrid w:val="0"/>
        </w:rPr>
        <w:t xml:space="preserve"> and sealed</w:t>
      </w:r>
      <w:r w:rsidRPr="00F0026D">
        <w:rPr>
          <w:snapToGrid w:val="0"/>
        </w:rPr>
        <w:t xml:space="preserve">, and accompanied by a copy of this Order. </w:t>
      </w:r>
      <w:r>
        <w:rPr>
          <w:snapToGrid w:val="0"/>
        </w:rPr>
        <w:t xml:space="preserve"> </w:t>
      </w:r>
      <w:r w:rsidRPr="00F0026D">
        <w:rPr>
          <w:snapToGrid w:val="0"/>
        </w:rPr>
        <w:t>Public inspection of Proprietary Information and Highly Confidential Information shall be permitted only in accordance with this Protective Order.</w:t>
      </w:r>
    </w:p>
    <w:p w14:paraId="388C5681" w14:textId="77777777" w:rsidR="00FC2749" w:rsidRDefault="00FC2749" w:rsidP="00641F62">
      <w:pPr>
        <w:spacing w:line="360" w:lineRule="auto"/>
        <w:ind w:firstLine="720"/>
        <w:rPr>
          <w:snapToGrid w:val="0"/>
        </w:rPr>
      </w:pPr>
    </w:p>
    <w:p w14:paraId="7ADF6D60" w14:textId="66EAD1AF" w:rsidR="00FC2749" w:rsidRDefault="00FC2749" w:rsidP="00641F62">
      <w:pPr>
        <w:spacing w:line="360" w:lineRule="auto"/>
        <w:ind w:firstLine="720"/>
        <w:rPr>
          <w:snapToGrid w:val="0"/>
        </w:rPr>
      </w:pPr>
      <w:r>
        <w:rPr>
          <w:snapToGrid w:val="0"/>
        </w:rPr>
        <w:tab/>
        <w:t>5</w:t>
      </w:r>
      <w:r w:rsidRPr="00F0026D">
        <w:rPr>
          <w:snapToGrid w:val="0"/>
        </w:rPr>
        <w:t>.</w:t>
      </w:r>
      <w:r>
        <w:rPr>
          <w:snapToGrid w:val="0"/>
        </w:rPr>
        <w:tab/>
      </w:r>
      <w:r w:rsidR="00B05488">
        <w:rPr>
          <w:snapToGrid w:val="0"/>
        </w:rPr>
        <w:t>That p</w:t>
      </w:r>
      <w:r w:rsidRPr="00F0026D">
        <w:rPr>
          <w:snapToGrid w:val="0"/>
        </w:rPr>
        <w:t>roprietary Information and Highly Confidential Information shall be made available in this proceeding pursuant to the following procedures.</w:t>
      </w:r>
    </w:p>
    <w:p w14:paraId="6873E5E5" w14:textId="77777777" w:rsidR="00FC2749" w:rsidRDefault="00FC2749" w:rsidP="00641F62">
      <w:pPr>
        <w:spacing w:line="360" w:lineRule="auto"/>
        <w:ind w:firstLine="720"/>
        <w:rPr>
          <w:snapToGrid w:val="0"/>
        </w:rPr>
      </w:pPr>
    </w:p>
    <w:p w14:paraId="4147834B" w14:textId="77777777" w:rsidR="00FC2749" w:rsidRDefault="00FC2749" w:rsidP="00641F62">
      <w:pPr>
        <w:tabs>
          <w:tab w:val="left" w:pos="2160"/>
          <w:tab w:val="left" w:pos="3024"/>
        </w:tabs>
        <w:ind w:left="1440" w:right="1440"/>
        <w:rPr>
          <w:snapToGrid w:val="0"/>
        </w:rPr>
      </w:pPr>
      <w:r w:rsidRPr="00F0026D">
        <w:rPr>
          <w:snapToGrid w:val="0"/>
        </w:rPr>
        <w:t>a.</w:t>
      </w:r>
      <w:r>
        <w:rPr>
          <w:snapToGrid w:val="0"/>
        </w:rPr>
        <w:tab/>
      </w:r>
      <w:r w:rsidRPr="00F0026D">
        <w:rPr>
          <w:snapToGrid w:val="0"/>
          <w:u w:val="single"/>
        </w:rPr>
        <w:t>Proprietary Information</w:t>
      </w:r>
      <w:r>
        <w:rPr>
          <w:snapToGrid w:val="0"/>
          <w:u w:val="single"/>
        </w:rPr>
        <w:t xml:space="preserve"> and </w:t>
      </w:r>
      <w:r w:rsidRPr="00F0026D">
        <w:rPr>
          <w:snapToGrid w:val="0"/>
          <w:u w:val="single"/>
        </w:rPr>
        <w:t>Highly Confidential Information</w:t>
      </w:r>
      <w:r w:rsidRPr="00F0026D">
        <w:rPr>
          <w:snapToGrid w:val="0"/>
        </w:rPr>
        <w:t>.  To the extent required for participation in this proceeding, a party</w:t>
      </w:r>
      <w:r>
        <w:rPr>
          <w:snapToGrid w:val="0"/>
        </w:rPr>
        <w:t>’</w:t>
      </w:r>
      <w:r w:rsidRPr="00F0026D">
        <w:rPr>
          <w:snapToGrid w:val="0"/>
        </w:rPr>
        <w:t>s counsel</w:t>
      </w:r>
      <w:r>
        <w:rPr>
          <w:snapToGrid w:val="0"/>
        </w:rPr>
        <w:t xml:space="preserve"> of record, including in-house counsel and outside counsel who are actively engaged in this proceeding, including partners, associates, secretaries, paralegals and employees of such counsel </w:t>
      </w:r>
      <w:r w:rsidRPr="00F0026D">
        <w:rPr>
          <w:snapToGrid w:val="0"/>
        </w:rPr>
        <w:t xml:space="preserve">may afford access to Proprietary Information </w:t>
      </w:r>
      <w:r>
        <w:rPr>
          <w:snapToGrid w:val="0"/>
        </w:rPr>
        <w:t xml:space="preserve">and Highly Confidential Information </w:t>
      </w:r>
      <w:r w:rsidRPr="00F0026D">
        <w:rPr>
          <w:snapToGrid w:val="0"/>
        </w:rPr>
        <w:t>made available by another party (</w:t>
      </w:r>
      <w:r>
        <w:rPr>
          <w:snapToGrid w:val="0"/>
        </w:rPr>
        <w:t>“</w:t>
      </w:r>
      <w:r w:rsidRPr="00F0026D">
        <w:rPr>
          <w:snapToGrid w:val="0"/>
        </w:rPr>
        <w:t>the pr</w:t>
      </w:r>
      <w:r>
        <w:rPr>
          <w:snapToGrid w:val="0"/>
        </w:rPr>
        <w:t>oducing party”</w:t>
      </w:r>
      <w:r w:rsidRPr="00F0026D">
        <w:rPr>
          <w:snapToGrid w:val="0"/>
        </w:rPr>
        <w:t xml:space="preserve">) </w:t>
      </w:r>
      <w:r>
        <w:rPr>
          <w:snapToGrid w:val="0"/>
        </w:rPr>
        <w:t>pursuant</w:t>
      </w:r>
      <w:r w:rsidRPr="00F0026D">
        <w:rPr>
          <w:snapToGrid w:val="0"/>
        </w:rPr>
        <w:t xml:space="preserve"> to the following </w:t>
      </w:r>
      <w:r>
        <w:rPr>
          <w:snapToGrid w:val="0"/>
        </w:rPr>
        <w:t>procedures</w:t>
      </w:r>
      <w:r w:rsidRPr="00F0026D">
        <w:rPr>
          <w:snapToGrid w:val="0"/>
        </w:rPr>
        <w:t>:</w:t>
      </w:r>
    </w:p>
    <w:p w14:paraId="6F84ACCF" w14:textId="77777777" w:rsidR="00FC2749" w:rsidRDefault="00FC2749" w:rsidP="00641F62">
      <w:pPr>
        <w:tabs>
          <w:tab w:val="left" w:pos="2160"/>
          <w:tab w:val="left" w:pos="3024"/>
        </w:tabs>
        <w:ind w:left="1440" w:right="1440"/>
        <w:rPr>
          <w:snapToGrid w:val="0"/>
        </w:rPr>
      </w:pPr>
    </w:p>
    <w:p w14:paraId="4FE675DD" w14:textId="77777777" w:rsidR="00FC2749" w:rsidRDefault="00FC2749" w:rsidP="00641F62">
      <w:pPr>
        <w:pStyle w:val="BodyTextIndent"/>
        <w:spacing w:line="240" w:lineRule="auto"/>
        <w:ind w:left="1728" w:right="1728" w:firstLine="0"/>
      </w:pPr>
      <w:proofErr w:type="spellStart"/>
      <w:r w:rsidRPr="00F0026D">
        <w:t>i</w:t>
      </w:r>
      <w:proofErr w:type="spellEnd"/>
      <w:r w:rsidRPr="00F0026D">
        <w:t>.</w:t>
      </w:r>
      <w:r>
        <w:tab/>
        <w:t>To the party’s witness(es) or</w:t>
      </w:r>
      <w:r w:rsidRPr="00F0026D">
        <w:t xml:space="preserve"> expert(s)</w:t>
      </w:r>
      <w:r>
        <w:t xml:space="preserve"> subject to the restrictions that such witness(es) or expert(s)</w:t>
      </w:r>
      <w:r w:rsidRPr="00F0026D">
        <w:t xml:space="preserve"> may not hold any of the following positions with any competitor </w:t>
      </w:r>
      <w:r>
        <w:t xml:space="preserve">or affiliate of a competitor </w:t>
      </w:r>
      <w:r w:rsidRPr="00F0026D">
        <w:t xml:space="preserve">of the producing party: an officer, board member, significant stockholder, partner, owner (other than owner of stock) or an employee of any competitor </w:t>
      </w:r>
      <w:r>
        <w:t xml:space="preserve">or affiliate of a competitor </w:t>
      </w:r>
      <w:r w:rsidRPr="00F0026D">
        <w:t>of the producing party wh</w:t>
      </w:r>
      <w:r>
        <w:t>ere such witness or expert</w:t>
      </w:r>
      <w:r w:rsidRPr="00F0026D">
        <w:t xml:space="preserve"> is primarily involved in the pricing, development, and/or marketing of products or services that are offered in competition with those of the producing party; provided, however, that any </w:t>
      </w:r>
      <w:r>
        <w:t xml:space="preserve">witness or </w:t>
      </w:r>
      <w:r w:rsidRPr="00F0026D">
        <w:t>expert shall not be disqualified on account of being a stockholder, partner, or owner unless his/her interest in the business constitutes a significant potential for violation of the limitations of permissible use of the Proprietary Information</w:t>
      </w:r>
      <w:r>
        <w:t xml:space="preserve"> or Highly Confidential Information</w:t>
      </w:r>
      <w:r w:rsidRPr="00F0026D">
        <w:t>.  For purposes of this Order, stocks, partnership, or other ownership interest valued at less than $500,000 and/or constituting less than a 10 % interest in a business does not, in itself, establish a significant potential for violation.</w:t>
      </w:r>
    </w:p>
    <w:p w14:paraId="57447214" w14:textId="77777777" w:rsidR="00FC2749" w:rsidRDefault="00FC2749" w:rsidP="00641F62">
      <w:pPr>
        <w:pStyle w:val="BodyTextIndent2"/>
        <w:spacing w:line="240" w:lineRule="auto"/>
        <w:ind w:left="1728" w:right="1728"/>
      </w:pPr>
    </w:p>
    <w:p w14:paraId="77D95E73" w14:textId="77777777" w:rsidR="00FC2749" w:rsidRDefault="00FC2749" w:rsidP="00641F62">
      <w:pPr>
        <w:pStyle w:val="BodyTextIndent2"/>
        <w:spacing w:line="240" w:lineRule="auto"/>
        <w:ind w:left="1728" w:right="1728"/>
      </w:pPr>
      <w:r w:rsidRPr="00F0026D">
        <w:t>ii.</w:t>
      </w:r>
      <w:r>
        <w:tab/>
        <w:t>To</w:t>
      </w:r>
      <w:r w:rsidRPr="00F0026D">
        <w:t xml:space="preserve"> a party's </w:t>
      </w:r>
      <w:r>
        <w:t xml:space="preserve">independent expert retained to render professional services in this proceeding, subject to the restriction that the </w:t>
      </w:r>
      <w:r w:rsidRPr="00F0026D">
        <w:t>independent expert, another member of the independent expert's firm or the independent expert's firm generally also serves as an expert for, or as a consultant or advisor to a competitor or any affiliate of a competitor of the producing party, said independent expert must: (1) advise the producing party of the competitor's or affiliate's name(s); (2) make reasonable attempts to segregate those personnel assisting in the expert</w:t>
      </w:r>
      <w:r>
        <w:t>’</w:t>
      </w:r>
      <w:r w:rsidRPr="00F0026D">
        <w:t>s participation in this proceeding from those personnel working on behalf of a competitor or any affiliate of a competitor of the producing party; and (3) if segregation of such personnel is impractical, the independent expert shall give to the producing party written assurances that the lack of segregation will in no way jeopardize the interests of the producing party.  The producing party retains the right to challenge the adequacy of the written assurances that its interests will not be jeopardized.</w:t>
      </w:r>
    </w:p>
    <w:p w14:paraId="69096546" w14:textId="77777777" w:rsidR="00FC2749" w:rsidRPr="00F0026D" w:rsidRDefault="00FC2749" w:rsidP="00641F62">
      <w:pPr>
        <w:pStyle w:val="BodyTextIndent2"/>
        <w:spacing w:line="240" w:lineRule="auto"/>
        <w:ind w:left="1728" w:right="1728"/>
      </w:pPr>
    </w:p>
    <w:p w14:paraId="287F263E" w14:textId="77777777" w:rsidR="00FC2749" w:rsidRDefault="00FC2749" w:rsidP="00641F62">
      <w:pPr>
        <w:ind w:left="1440" w:right="1440"/>
        <w:rPr>
          <w:snapToGrid w:val="0"/>
        </w:rPr>
      </w:pPr>
      <w:r w:rsidRPr="00F0026D">
        <w:rPr>
          <w:snapToGrid w:val="0"/>
        </w:rPr>
        <w:t>b.</w:t>
      </w:r>
      <w:r>
        <w:rPr>
          <w:snapToGrid w:val="0"/>
        </w:rPr>
        <w:tab/>
      </w:r>
      <w:r w:rsidRPr="00F0026D">
        <w:rPr>
          <w:snapToGrid w:val="0"/>
          <w:u w:val="single"/>
        </w:rPr>
        <w:t>Highly Confidential Information</w:t>
      </w:r>
      <w:r w:rsidRPr="00F0026D">
        <w:rPr>
          <w:snapToGrid w:val="0"/>
        </w:rPr>
        <w:t xml:space="preserve">.  Proprietary Information or other material designated as </w:t>
      </w:r>
      <w:r>
        <w:rPr>
          <w:snapToGrid w:val="0"/>
        </w:rPr>
        <w:t>“</w:t>
      </w:r>
      <w:r w:rsidRPr="00F0026D">
        <w:rPr>
          <w:snapToGrid w:val="0"/>
        </w:rPr>
        <w:t>Highly Confidential</w:t>
      </w:r>
      <w:r>
        <w:rPr>
          <w:snapToGrid w:val="0"/>
        </w:rPr>
        <w:t>”</w:t>
      </w:r>
      <w:r w:rsidRPr="00F0026D">
        <w:rPr>
          <w:snapToGrid w:val="0"/>
        </w:rPr>
        <w:t xml:space="preserve"> shall be </w:t>
      </w:r>
      <w:r>
        <w:rPr>
          <w:snapToGrid w:val="0"/>
        </w:rPr>
        <w:t xml:space="preserve">provided to a party’s counsel of record </w:t>
      </w:r>
      <w:r w:rsidRPr="00F0026D">
        <w:rPr>
          <w:snapToGrid w:val="0"/>
        </w:rPr>
        <w:t>only</w:t>
      </w:r>
      <w:r>
        <w:rPr>
          <w:snapToGrid w:val="0"/>
        </w:rPr>
        <w:t xml:space="preserve"> including in-house counsel and outside counsel of the reviewing party who are actively engaged in this proceeding, including partners, associates, secretaries, paralegals and other such employees of counsel</w:t>
      </w:r>
      <w:r w:rsidRPr="00F0026D">
        <w:rPr>
          <w:snapToGrid w:val="0"/>
        </w:rPr>
        <w:t xml:space="preserve">.  </w:t>
      </w:r>
      <w:r>
        <w:rPr>
          <w:snapToGrid w:val="0"/>
        </w:rPr>
        <w:t xml:space="preserve">For purposes of this paragraph, non-lawyer experts engaged by the Office of Consumer Advocate, the Office of Small Business Advocate or the Bureau of Investigation and Enforcement who execute Appendix A to this Order shall be provided Highly Confidential Information to the same extent, and under the same conditions and under the same terms as set forth in this Protective Order, as it is provided to counsel of record.  By executing Appendix A, such non-lawyer experts agree to abide by the terms of this Protective Order.  </w:t>
      </w:r>
      <w:r w:rsidRPr="00F0026D">
        <w:rPr>
          <w:snapToGrid w:val="0"/>
        </w:rPr>
        <w:t xml:space="preserve">If the </w:t>
      </w:r>
      <w:r>
        <w:rPr>
          <w:snapToGrid w:val="0"/>
        </w:rPr>
        <w:t>counsel of record</w:t>
      </w:r>
      <w:r w:rsidRPr="00F0026D">
        <w:rPr>
          <w:snapToGrid w:val="0"/>
        </w:rPr>
        <w:t xml:space="preserve"> desires to disclose </w:t>
      </w:r>
      <w:r>
        <w:rPr>
          <w:snapToGrid w:val="0"/>
        </w:rPr>
        <w:t>“</w:t>
      </w:r>
      <w:r w:rsidRPr="00F0026D">
        <w:rPr>
          <w:snapToGrid w:val="0"/>
        </w:rPr>
        <w:t>Highly Confidential</w:t>
      </w:r>
      <w:r>
        <w:rPr>
          <w:snapToGrid w:val="0"/>
        </w:rPr>
        <w:t>”</w:t>
      </w:r>
      <w:r w:rsidRPr="00F0026D">
        <w:rPr>
          <w:snapToGrid w:val="0"/>
        </w:rPr>
        <w:t xml:space="preserve"> </w:t>
      </w:r>
      <w:r>
        <w:rPr>
          <w:snapToGrid w:val="0"/>
        </w:rPr>
        <w:t>material</w:t>
      </w:r>
      <w:r w:rsidRPr="00F0026D">
        <w:rPr>
          <w:snapToGrid w:val="0"/>
        </w:rPr>
        <w:t xml:space="preserve"> to persons other than counsel of record</w:t>
      </w:r>
      <w:r>
        <w:rPr>
          <w:snapToGrid w:val="0"/>
        </w:rPr>
        <w:t xml:space="preserve"> or the party’s outside expert as described above</w:t>
      </w:r>
      <w:r w:rsidRPr="00F0026D">
        <w:rPr>
          <w:snapToGrid w:val="0"/>
        </w:rPr>
        <w:t xml:space="preserve">, she or he shall </w:t>
      </w:r>
      <w:r>
        <w:rPr>
          <w:snapToGrid w:val="0"/>
        </w:rPr>
        <w:t>notify</w:t>
      </w:r>
      <w:r w:rsidRPr="00F0026D">
        <w:rPr>
          <w:snapToGrid w:val="0"/>
        </w:rPr>
        <w:t xml:space="preserve"> the producing party's counsel. </w:t>
      </w:r>
      <w:r>
        <w:rPr>
          <w:snapToGrid w:val="0"/>
        </w:rPr>
        <w:t xml:space="preserve"> An attempt shall be made to resolve in good faith any challenge or objection to the provision of Highly Confidential Information to such non-lawyer experts shall be undertaken by counsel for the producing party and the public agencies identified in this sub-paragraph.  In the event the challenge or objection cannot be mutually resolved, the matter will be promptly taken to the Presiding Administrative Law Judge for resolution, consistent with paragraphs 11 and 12, below.  </w:t>
      </w:r>
      <w:r w:rsidRPr="00F0026D">
        <w:rPr>
          <w:snapToGrid w:val="0"/>
        </w:rPr>
        <w:t xml:space="preserve">  </w:t>
      </w:r>
    </w:p>
    <w:p w14:paraId="30EADD02" w14:textId="77777777" w:rsidR="00FC2749" w:rsidRDefault="00FC2749" w:rsidP="00641F62">
      <w:pPr>
        <w:ind w:left="1440" w:right="1440"/>
        <w:rPr>
          <w:snapToGrid w:val="0"/>
        </w:rPr>
      </w:pPr>
    </w:p>
    <w:p w14:paraId="133A9E0F" w14:textId="7CCFD220" w:rsidR="00FC2749" w:rsidRDefault="00FC2749" w:rsidP="0016077C">
      <w:pPr>
        <w:pStyle w:val="BodyTextIndent3"/>
        <w:ind w:left="1440" w:right="1440"/>
        <w:rPr>
          <w:sz w:val="24"/>
          <w:szCs w:val="24"/>
        </w:rPr>
      </w:pPr>
      <w:r>
        <w:rPr>
          <w:sz w:val="24"/>
          <w:szCs w:val="24"/>
        </w:rPr>
        <w:t>c</w:t>
      </w:r>
      <w:r w:rsidRPr="00F0026D">
        <w:rPr>
          <w:sz w:val="24"/>
          <w:szCs w:val="24"/>
        </w:rPr>
        <w:t>.</w:t>
      </w:r>
      <w:r>
        <w:rPr>
          <w:sz w:val="24"/>
          <w:szCs w:val="24"/>
        </w:rPr>
        <w:tab/>
      </w:r>
      <w:r w:rsidRPr="00F0026D">
        <w:rPr>
          <w:sz w:val="24"/>
          <w:szCs w:val="24"/>
        </w:rPr>
        <w:t xml:space="preserve">No other persons may have access to the Proprietary </w:t>
      </w:r>
      <w:r>
        <w:rPr>
          <w:sz w:val="24"/>
          <w:szCs w:val="24"/>
        </w:rPr>
        <w:t xml:space="preserve">Information </w:t>
      </w:r>
      <w:r w:rsidRPr="00F0026D">
        <w:rPr>
          <w:sz w:val="24"/>
          <w:szCs w:val="24"/>
        </w:rPr>
        <w:t xml:space="preserve">or Highly Confidential Information except as authorized by order of the Commission or of the presiding Administrative Law Judge.  No person who may be entitled to receive, or who is afforded access to any Proprietary </w:t>
      </w:r>
      <w:r>
        <w:rPr>
          <w:sz w:val="24"/>
          <w:szCs w:val="24"/>
        </w:rPr>
        <w:t xml:space="preserve">Information </w:t>
      </w:r>
      <w:r w:rsidRPr="00F0026D">
        <w:rPr>
          <w:sz w:val="24"/>
          <w:szCs w:val="24"/>
        </w:rPr>
        <w:t>or Highly Confidential Information shall use or disclose such information for the purposes of business or competition, or any purpose other than the preparation for and conduct of this proceeding or any administrative or judicial review thereof.</w:t>
      </w:r>
      <w:r w:rsidR="0016077C">
        <w:rPr>
          <w:sz w:val="24"/>
          <w:szCs w:val="24"/>
        </w:rPr>
        <w:tab/>
      </w:r>
    </w:p>
    <w:p w14:paraId="2DC2115F" w14:textId="77777777" w:rsidR="0016077C" w:rsidRDefault="0016077C" w:rsidP="00641F62">
      <w:pPr>
        <w:spacing w:line="360" w:lineRule="auto"/>
        <w:ind w:firstLine="720"/>
        <w:rPr>
          <w:snapToGrid w:val="0"/>
        </w:rPr>
      </w:pPr>
    </w:p>
    <w:p w14:paraId="4ACE55A1" w14:textId="4BBD06FE" w:rsidR="00FC2749" w:rsidRDefault="00FC2749" w:rsidP="00641F62">
      <w:pPr>
        <w:spacing w:line="360" w:lineRule="auto"/>
        <w:ind w:firstLine="720"/>
        <w:rPr>
          <w:snapToGrid w:val="0"/>
        </w:rPr>
      </w:pPr>
      <w:r>
        <w:rPr>
          <w:snapToGrid w:val="0"/>
        </w:rPr>
        <w:tab/>
        <w:t>6</w:t>
      </w:r>
      <w:r w:rsidRPr="00F0026D">
        <w:rPr>
          <w:snapToGrid w:val="0"/>
        </w:rPr>
        <w:t>.</w:t>
      </w:r>
      <w:r>
        <w:rPr>
          <w:snapToGrid w:val="0"/>
        </w:rPr>
        <w:tab/>
      </w:r>
      <w:r w:rsidR="00B05488">
        <w:rPr>
          <w:snapToGrid w:val="0"/>
        </w:rPr>
        <w:t>That p</w:t>
      </w:r>
      <w:r w:rsidRPr="00F0026D">
        <w:rPr>
          <w:snapToGrid w:val="0"/>
        </w:rPr>
        <w:t xml:space="preserve">rior to making Proprietary </w:t>
      </w:r>
      <w:r>
        <w:rPr>
          <w:snapToGrid w:val="0"/>
        </w:rPr>
        <w:t xml:space="preserve">Information </w:t>
      </w:r>
      <w:r w:rsidRPr="00F0026D">
        <w:rPr>
          <w:snapToGrid w:val="0"/>
        </w:rPr>
        <w:t xml:space="preserve">or Highly Confidential Information available to any person as provided in </w:t>
      </w:r>
      <w:r>
        <w:rPr>
          <w:snapToGrid w:val="0"/>
        </w:rPr>
        <w:t>numbered P</w:t>
      </w:r>
      <w:r w:rsidRPr="00F0026D">
        <w:rPr>
          <w:snapToGrid w:val="0"/>
        </w:rPr>
        <w:t xml:space="preserve">aragraph </w:t>
      </w:r>
      <w:r>
        <w:rPr>
          <w:snapToGrid w:val="0"/>
        </w:rPr>
        <w:t>5, above</w:t>
      </w:r>
      <w:r w:rsidRPr="00F0026D">
        <w:rPr>
          <w:snapToGrid w:val="0"/>
        </w:rPr>
        <w:t xml:space="preserve">, counsel shall deliver a copy of this Order to such person and shall receive a written acknowledgment from that person in the form attached to this Order and designated as </w:t>
      </w:r>
      <w:r>
        <w:rPr>
          <w:snapToGrid w:val="0"/>
        </w:rPr>
        <w:t>“</w:t>
      </w:r>
      <w:r w:rsidRPr="00F0026D">
        <w:rPr>
          <w:snapToGrid w:val="0"/>
        </w:rPr>
        <w:t>Appendix A</w:t>
      </w:r>
      <w:r>
        <w:rPr>
          <w:snapToGrid w:val="0"/>
        </w:rPr>
        <w:t>”</w:t>
      </w:r>
      <w:r w:rsidRPr="00F0026D">
        <w:rPr>
          <w:snapToGrid w:val="0"/>
        </w:rPr>
        <w:t>.</w:t>
      </w:r>
      <w:r>
        <w:rPr>
          <w:snapToGrid w:val="0"/>
        </w:rPr>
        <w:t xml:space="preserve"> </w:t>
      </w:r>
      <w:r w:rsidRPr="00F0026D">
        <w:rPr>
          <w:snapToGrid w:val="0"/>
        </w:rPr>
        <w:t xml:space="preserve"> Counsel shall promptly deliver to the producing party a copy of the executed</w:t>
      </w:r>
      <w:r>
        <w:rPr>
          <w:snapToGrid w:val="0"/>
        </w:rPr>
        <w:t xml:space="preserve"> Appendix A</w:t>
      </w:r>
      <w:r w:rsidRPr="00F0026D">
        <w:rPr>
          <w:snapToGrid w:val="0"/>
        </w:rPr>
        <w:t>.</w:t>
      </w:r>
    </w:p>
    <w:p w14:paraId="68B7D375" w14:textId="77777777" w:rsidR="00FC2749" w:rsidRDefault="00FC2749" w:rsidP="00641F62">
      <w:pPr>
        <w:spacing w:line="360" w:lineRule="auto"/>
        <w:ind w:firstLine="720"/>
        <w:rPr>
          <w:snapToGrid w:val="0"/>
        </w:rPr>
      </w:pPr>
    </w:p>
    <w:p w14:paraId="6F3824C4" w14:textId="230A2603" w:rsidR="00FC2749" w:rsidRDefault="00FC2749" w:rsidP="00641F62">
      <w:pPr>
        <w:spacing w:line="360" w:lineRule="auto"/>
        <w:ind w:firstLine="720"/>
        <w:rPr>
          <w:snapToGrid w:val="0"/>
        </w:rPr>
      </w:pPr>
      <w:r>
        <w:rPr>
          <w:snapToGrid w:val="0"/>
        </w:rPr>
        <w:tab/>
        <w:t>7</w:t>
      </w:r>
      <w:r w:rsidRPr="00F0026D">
        <w:rPr>
          <w:snapToGrid w:val="0"/>
        </w:rPr>
        <w:t>.</w:t>
      </w:r>
      <w:r>
        <w:rPr>
          <w:snapToGrid w:val="0"/>
        </w:rPr>
        <w:tab/>
      </w:r>
      <w:r w:rsidR="00B05488">
        <w:rPr>
          <w:snapToGrid w:val="0"/>
        </w:rPr>
        <w:t xml:space="preserve">That a </w:t>
      </w:r>
      <w:r w:rsidRPr="00F0026D">
        <w:rPr>
          <w:snapToGrid w:val="0"/>
        </w:rPr>
        <w:t xml:space="preserve">producing party shall designate data or documents as constituting or containing Proprietary </w:t>
      </w:r>
      <w:r>
        <w:rPr>
          <w:snapToGrid w:val="0"/>
        </w:rPr>
        <w:t xml:space="preserve">Information </w:t>
      </w:r>
      <w:r w:rsidRPr="00F0026D">
        <w:rPr>
          <w:snapToGrid w:val="0"/>
        </w:rPr>
        <w:t xml:space="preserve">or Highly Confidential Information by affixing an appropriate proprietary stamp or typewritten </w:t>
      </w:r>
      <w:r>
        <w:rPr>
          <w:snapToGrid w:val="0"/>
        </w:rPr>
        <w:t xml:space="preserve">or printed </w:t>
      </w:r>
      <w:r w:rsidRPr="00F0026D">
        <w:rPr>
          <w:snapToGrid w:val="0"/>
        </w:rPr>
        <w:t xml:space="preserve">designation on such data or documents.  Where only part of data compilations or multi-page documents constitutes or contains Proprietary </w:t>
      </w:r>
      <w:r>
        <w:rPr>
          <w:snapToGrid w:val="0"/>
        </w:rPr>
        <w:t xml:space="preserve">Information </w:t>
      </w:r>
      <w:r w:rsidRPr="00F0026D">
        <w:rPr>
          <w:snapToGrid w:val="0"/>
        </w:rPr>
        <w:t xml:space="preserve">or Highly Confidential Information, the producing party </w:t>
      </w:r>
      <w:r>
        <w:rPr>
          <w:snapToGrid w:val="0"/>
        </w:rPr>
        <w:t xml:space="preserve">insofar as reasonably practicable within discovery and other time constraints imposed in this proceeding, </w:t>
      </w:r>
      <w:r w:rsidRPr="00F0026D">
        <w:rPr>
          <w:snapToGrid w:val="0"/>
        </w:rPr>
        <w:t xml:space="preserve">shall designate only the specific data or pages of documents which constitute or contain Proprietary </w:t>
      </w:r>
      <w:r>
        <w:rPr>
          <w:snapToGrid w:val="0"/>
        </w:rPr>
        <w:t xml:space="preserve">Information </w:t>
      </w:r>
      <w:r w:rsidRPr="00F0026D">
        <w:rPr>
          <w:snapToGrid w:val="0"/>
        </w:rPr>
        <w:t>or Highly Confidential Information.</w:t>
      </w:r>
    </w:p>
    <w:p w14:paraId="57E7574E" w14:textId="77777777" w:rsidR="00FC2749" w:rsidRDefault="00FC2749" w:rsidP="00641F62">
      <w:pPr>
        <w:spacing w:line="360" w:lineRule="auto"/>
        <w:ind w:firstLine="720"/>
        <w:rPr>
          <w:snapToGrid w:val="0"/>
        </w:rPr>
      </w:pPr>
    </w:p>
    <w:p w14:paraId="610D3EF3" w14:textId="6EFF9736" w:rsidR="00FC2749" w:rsidRDefault="00FC2749" w:rsidP="00641F62">
      <w:pPr>
        <w:spacing w:line="360" w:lineRule="auto"/>
        <w:ind w:firstLine="1440"/>
        <w:rPr>
          <w:snapToGrid w:val="0"/>
        </w:rPr>
      </w:pPr>
      <w:r>
        <w:rPr>
          <w:snapToGrid w:val="0"/>
        </w:rPr>
        <w:t>8.</w:t>
      </w:r>
      <w:r>
        <w:rPr>
          <w:snapToGrid w:val="0"/>
        </w:rPr>
        <w:tab/>
      </w:r>
      <w:r w:rsidR="005B0CF0">
        <w:rPr>
          <w:snapToGrid w:val="0"/>
        </w:rPr>
        <w:t>That a</w:t>
      </w:r>
      <w:r>
        <w:rPr>
          <w:snapToGrid w:val="0"/>
        </w:rPr>
        <w:t>ny federal agency which has access to and/or receives copies of the Proprietary Information or Highly Confidential Information will consider and treat the Proprietary Information or Highly Confidential Information as within the exemption from disclosure provided in the Freedom of Information Act as set forth at 5 U.S.C.A. §552(b)(4) until such time as the information is found to be non-proprietary.</w:t>
      </w:r>
    </w:p>
    <w:p w14:paraId="5434D488" w14:textId="77777777" w:rsidR="00FC2749" w:rsidRDefault="00FC2749" w:rsidP="00641F62">
      <w:pPr>
        <w:spacing w:line="360" w:lineRule="auto"/>
        <w:ind w:firstLine="1440"/>
        <w:rPr>
          <w:snapToGrid w:val="0"/>
        </w:rPr>
      </w:pPr>
    </w:p>
    <w:p w14:paraId="09CA4099" w14:textId="5BA0A247" w:rsidR="00FC2749" w:rsidRDefault="00FC2749" w:rsidP="00641F62">
      <w:pPr>
        <w:spacing w:line="360" w:lineRule="auto"/>
        <w:ind w:firstLine="1440"/>
        <w:rPr>
          <w:snapToGrid w:val="0"/>
        </w:rPr>
      </w:pPr>
      <w:r>
        <w:rPr>
          <w:snapToGrid w:val="0"/>
        </w:rPr>
        <w:t>9.</w:t>
      </w:r>
      <w:r>
        <w:rPr>
          <w:snapToGrid w:val="0"/>
        </w:rPr>
        <w:tab/>
      </w:r>
      <w:r w:rsidR="005B0CF0">
        <w:rPr>
          <w:snapToGrid w:val="0"/>
        </w:rPr>
        <w:t>That a</w:t>
      </w:r>
      <w:r>
        <w:rPr>
          <w:snapToGrid w:val="0"/>
        </w:rPr>
        <w:t xml:space="preserve">ny state agency which has access to and/or receives copies of the Proprietary Information or Highly Confidential Information will consider and treat the Proprietary Information or Highly Confidential Information as exempt from disclosure as provided in the Pennsylvania Right-to-Know Act (65 P.S. 67.100 </w:t>
      </w:r>
      <w:r w:rsidRPr="001E7357">
        <w:rPr>
          <w:i/>
          <w:snapToGrid w:val="0"/>
        </w:rPr>
        <w:t>et seq</w:t>
      </w:r>
      <w:r>
        <w:rPr>
          <w:snapToGrid w:val="0"/>
        </w:rPr>
        <w:t>.) until such time as the information is found to not be proprietary confidential information..</w:t>
      </w:r>
    </w:p>
    <w:p w14:paraId="2F1CE33B" w14:textId="77777777" w:rsidR="00FC2749" w:rsidRDefault="00FC2749" w:rsidP="00641F62">
      <w:pPr>
        <w:spacing w:line="360" w:lineRule="auto"/>
        <w:ind w:firstLine="720"/>
        <w:rPr>
          <w:snapToGrid w:val="0"/>
        </w:rPr>
      </w:pPr>
    </w:p>
    <w:p w14:paraId="02462A60" w14:textId="6EF53B3E" w:rsidR="00FC2749" w:rsidRDefault="00FC2749" w:rsidP="00641F62">
      <w:pPr>
        <w:spacing w:line="360" w:lineRule="auto"/>
        <w:ind w:firstLine="720"/>
        <w:rPr>
          <w:snapToGrid w:val="0"/>
        </w:rPr>
      </w:pPr>
      <w:r>
        <w:rPr>
          <w:snapToGrid w:val="0"/>
        </w:rPr>
        <w:tab/>
        <w:t>10</w:t>
      </w:r>
      <w:r w:rsidRPr="00F0026D">
        <w:rPr>
          <w:snapToGrid w:val="0"/>
        </w:rPr>
        <w:t>.</w:t>
      </w:r>
      <w:r>
        <w:rPr>
          <w:snapToGrid w:val="0"/>
        </w:rPr>
        <w:tab/>
      </w:r>
      <w:r w:rsidR="005B0CF0">
        <w:rPr>
          <w:snapToGrid w:val="0"/>
        </w:rPr>
        <w:t>That a</w:t>
      </w:r>
      <w:r w:rsidRPr="00F0026D">
        <w:rPr>
          <w:snapToGrid w:val="0"/>
        </w:rPr>
        <w:t xml:space="preserve">ny public reference to Proprietary </w:t>
      </w:r>
      <w:r>
        <w:rPr>
          <w:snapToGrid w:val="0"/>
        </w:rPr>
        <w:t xml:space="preserve">Information </w:t>
      </w:r>
      <w:r w:rsidRPr="00F0026D">
        <w:rPr>
          <w:snapToGrid w:val="0"/>
        </w:rPr>
        <w:t xml:space="preserve">or Highly Confidential Information by counsel or persons afforded access thereto shall be to the title or exhibit reference in sufficient detail to permit persons with access to the Proprietary </w:t>
      </w:r>
      <w:r>
        <w:rPr>
          <w:snapToGrid w:val="0"/>
        </w:rPr>
        <w:t xml:space="preserve">Information </w:t>
      </w:r>
      <w:r w:rsidRPr="00F0026D">
        <w:rPr>
          <w:snapToGrid w:val="0"/>
        </w:rPr>
        <w:t xml:space="preserve">or Highly Confidential Information to fully understand the reference and not more. The Proprietary </w:t>
      </w:r>
      <w:r>
        <w:rPr>
          <w:snapToGrid w:val="0"/>
        </w:rPr>
        <w:t xml:space="preserve">Information </w:t>
      </w:r>
      <w:r w:rsidRPr="00F0026D">
        <w:rPr>
          <w:snapToGrid w:val="0"/>
        </w:rPr>
        <w:t>or Highly Confidential Information shall remain a part of the record, to the extent admitted, for all purposes of administrative or judicial review.</w:t>
      </w:r>
    </w:p>
    <w:p w14:paraId="58D4537B" w14:textId="77777777" w:rsidR="00FC2749" w:rsidRDefault="00FC2749" w:rsidP="00641F62">
      <w:pPr>
        <w:spacing w:line="360" w:lineRule="auto"/>
        <w:ind w:firstLine="720"/>
        <w:rPr>
          <w:snapToGrid w:val="0"/>
        </w:rPr>
      </w:pPr>
    </w:p>
    <w:p w14:paraId="64936EC6" w14:textId="736DEACA" w:rsidR="00FC2749" w:rsidRDefault="00FC2749" w:rsidP="00641F62">
      <w:pPr>
        <w:spacing w:line="360" w:lineRule="auto"/>
        <w:ind w:firstLine="720"/>
        <w:rPr>
          <w:snapToGrid w:val="0"/>
        </w:rPr>
      </w:pPr>
      <w:r>
        <w:rPr>
          <w:snapToGrid w:val="0"/>
        </w:rPr>
        <w:tab/>
        <w:t>11</w:t>
      </w:r>
      <w:r w:rsidRPr="00F0026D">
        <w:rPr>
          <w:snapToGrid w:val="0"/>
        </w:rPr>
        <w:t>.</w:t>
      </w:r>
      <w:r>
        <w:rPr>
          <w:snapToGrid w:val="0"/>
        </w:rPr>
        <w:tab/>
      </w:r>
      <w:r w:rsidR="005B0CF0">
        <w:rPr>
          <w:snapToGrid w:val="0"/>
        </w:rPr>
        <w:t>That p</w:t>
      </w:r>
      <w:r w:rsidRPr="00F0026D">
        <w:rPr>
          <w:snapToGrid w:val="0"/>
        </w:rPr>
        <w:t xml:space="preserve">arts of any record in this proceeding containing Proprietary </w:t>
      </w:r>
      <w:r>
        <w:rPr>
          <w:snapToGrid w:val="0"/>
        </w:rPr>
        <w:t xml:space="preserve">Information </w:t>
      </w:r>
      <w:r w:rsidRPr="00F0026D">
        <w:rPr>
          <w:snapToGrid w:val="0"/>
        </w:rPr>
        <w:t>or Highly Confidential Information, including but not limited to all exhibits, writings, testimony, cross</w:t>
      </w:r>
      <w:r>
        <w:rPr>
          <w:snapToGrid w:val="0"/>
        </w:rPr>
        <w:t>-</w:t>
      </w:r>
      <w:r w:rsidRPr="00F0026D">
        <w:rPr>
          <w:snapToGrid w:val="0"/>
        </w:rPr>
        <w:t xml:space="preserve">examination, </w:t>
      </w:r>
      <w:r>
        <w:rPr>
          <w:snapToGrid w:val="0"/>
        </w:rPr>
        <w:t xml:space="preserve">briefs, orders, </w:t>
      </w:r>
      <w:r w:rsidRPr="00F0026D">
        <w:rPr>
          <w:snapToGrid w:val="0"/>
        </w:rPr>
        <w:t xml:space="preserve">argument and responses to discovery, and including reference thereto, shall be sealed for all purposes, including administrative and judicial review, unless such Proprietary </w:t>
      </w:r>
      <w:r>
        <w:rPr>
          <w:snapToGrid w:val="0"/>
        </w:rPr>
        <w:t xml:space="preserve">Information </w:t>
      </w:r>
      <w:r w:rsidRPr="00F0026D">
        <w:rPr>
          <w:snapToGrid w:val="0"/>
        </w:rPr>
        <w:t xml:space="preserve">or Highly Confidential Information is released from the restrictions of this Order, either through the agreement of the parties or pursuant to order of the Administrative Law Judge or the Commission.  Unresolved </w:t>
      </w:r>
      <w:r>
        <w:rPr>
          <w:snapToGrid w:val="0"/>
        </w:rPr>
        <w:t xml:space="preserve">objections or </w:t>
      </w:r>
      <w:r w:rsidRPr="00F0026D">
        <w:rPr>
          <w:snapToGrid w:val="0"/>
        </w:rPr>
        <w:t xml:space="preserve">challenges arising under </w:t>
      </w:r>
      <w:r>
        <w:rPr>
          <w:snapToGrid w:val="0"/>
        </w:rPr>
        <w:t xml:space="preserve">this Protective Order </w:t>
      </w:r>
      <w:r w:rsidRPr="00F0026D">
        <w:rPr>
          <w:snapToGrid w:val="0"/>
        </w:rPr>
        <w:t xml:space="preserve">shall be </w:t>
      </w:r>
      <w:r>
        <w:rPr>
          <w:snapToGrid w:val="0"/>
        </w:rPr>
        <w:t xml:space="preserve">raised on motion or petition first presented to the presiding Administrative Law Judge (either orally or in writing as may be determined by the Judge) and </w:t>
      </w:r>
      <w:r w:rsidRPr="00F0026D">
        <w:rPr>
          <w:snapToGrid w:val="0"/>
        </w:rPr>
        <w:t xml:space="preserve">decided by the presiding officer </w:t>
      </w:r>
      <w:r>
        <w:rPr>
          <w:snapToGrid w:val="0"/>
        </w:rPr>
        <w:t>(</w:t>
      </w:r>
      <w:r w:rsidRPr="00F0026D">
        <w:rPr>
          <w:snapToGrid w:val="0"/>
        </w:rPr>
        <w:t>or the Commission</w:t>
      </w:r>
      <w:r>
        <w:rPr>
          <w:snapToGrid w:val="0"/>
        </w:rPr>
        <w:t>)</w:t>
      </w:r>
      <w:r w:rsidRPr="00F0026D">
        <w:rPr>
          <w:snapToGrid w:val="0"/>
        </w:rPr>
        <w:t xml:space="preserve"> as provided by 52 Pa. Code §5.423(a).  All such challenges will be resolved in conformity with existing rules, regulations, orders, statutes, precedent, etc., to the extent that such guidance is available.</w:t>
      </w:r>
    </w:p>
    <w:p w14:paraId="070D91A7" w14:textId="77777777" w:rsidR="00FC2749" w:rsidRDefault="00FC2749" w:rsidP="00641F62">
      <w:pPr>
        <w:spacing w:line="360" w:lineRule="auto"/>
        <w:ind w:firstLine="720"/>
        <w:rPr>
          <w:snapToGrid w:val="0"/>
        </w:rPr>
      </w:pPr>
    </w:p>
    <w:p w14:paraId="2E99607A" w14:textId="2A99770C" w:rsidR="00FC2749" w:rsidRDefault="00FC2749" w:rsidP="00641F62">
      <w:pPr>
        <w:spacing w:line="360" w:lineRule="auto"/>
        <w:ind w:firstLine="720"/>
        <w:rPr>
          <w:snapToGrid w:val="0"/>
        </w:rPr>
      </w:pPr>
      <w:r>
        <w:rPr>
          <w:snapToGrid w:val="0"/>
        </w:rPr>
        <w:tab/>
        <w:t>12</w:t>
      </w:r>
      <w:r w:rsidRPr="00F0026D">
        <w:rPr>
          <w:snapToGrid w:val="0"/>
        </w:rPr>
        <w:t>.</w:t>
      </w:r>
      <w:r>
        <w:rPr>
          <w:snapToGrid w:val="0"/>
        </w:rPr>
        <w:tab/>
      </w:r>
      <w:r w:rsidR="005B0CF0">
        <w:rPr>
          <w:snapToGrid w:val="0"/>
        </w:rPr>
        <w:t>That t</w:t>
      </w:r>
      <w:r w:rsidRPr="00F0026D">
        <w:rPr>
          <w:snapToGrid w:val="0"/>
        </w:rPr>
        <w:t xml:space="preserve">he parties </w:t>
      </w:r>
      <w:r>
        <w:rPr>
          <w:snapToGrid w:val="0"/>
        </w:rPr>
        <w:t xml:space="preserve">or persons </w:t>
      </w:r>
      <w:r w:rsidRPr="00F0026D">
        <w:rPr>
          <w:snapToGrid w:val="0"/>
        </w:rPr>
        <w:t xml:space="preserve">affected by the terms of this </w:t>
      </w:r>
      <w:r>
        <w:rPr>
          <w:snapToGrid w:val="0"/>
        </w:rPr>
        <w:t xml:space="preserve">Protective </w:t>
      </w:r>
      <w:r w:rsidRPr="00F0026D">
        <w:rPr>
          <w:snapToGrid w:val="0"/>
        </w:rPr>
        <w:t xml:space="preserve">Order shall retain the right to question or challenge the confidential or proprietary nature of Proprietary </w:t>
      </w:r>
      <w:r>
        <w:rPr>
          <w:snapToGrid w:val="0"/>
        </w:rPr>
        <w:t xml:space="preserve">Information </w:t>
      </w:r>
      <w:r w:rsidRPr="00F0026D">
        <w:rPr>
          <w:snapToGrid w:val="0"/>
        </w:rPr>
        <w:t xml:space="preserve">or Highly Confidential </w:t>
      </w:r>
      <w:r>
        <w:rPr>
          <w:snapToGrid w:val="0"/>
        </w:rPr>
        <w:t>I</w:t>
      </w:r>
      <w:r w:rsidRPr="00F0026D">
        <w:rPr>
          <w:snapToGrid w:val="0"/>
        </w:rPr>
        <w:t xml:space="preserve">nformation; to question or challenge the admissibility of Proprietary </w:t>
      </w:r>
      <w:r>
        <w:rPr>
          <w:snapToGrid w:val="0"/>
        </w:rPr>
        <w:t xml:space="preserve">Information </w:t>
      </w:r>
      <w:r w:rsidRPr="00F0026D">
        <w:rPr>
          <w:snapToGrid w:val="0"/>
        </w:rPr>
        <w:t xml:space="preserve">or Highly Confidential Information; to refuse or object to the production of Proprietary </w:t>
      </w:r>
      <w:r>
        <w:rPr>
          <w:snapToGrid w:val="0"/>
        </w:rPr>
        <w:t xml:space="preserve">Information </w:t>
      </w:r>
      <w:r w:rsidRPr="00F0026D">
        <w:rPr>
          <w:snapToGrid w:val="0"/>
        </w:rPr>
        <w:t xml:space="preserve">or Highly Confidential Information on any proper ground, including but not limited to irrelevance, immateriality or undue burden; to seek an order permitting disclosure of Proprietary </w:t>
      </w:r>
      <w:r>
        <w:rPr>
          <w:snapToGrid w:val="0"/>
        </w:rPr>
        <w:t xml:space="preserve">Information </w:t>
      </w:r>
      <w:r w:rsidRPr="00F0026D">
        <w:rPr>
          <w:snapToGrid w:val="0"/>
        </w:rPr>
        <w:t xml:space="preserve">or Highly Confidential Information beyond that allowed in this Order; and to seek additional measures of protection of Proprietary </w:t>
      </w:r>
      <w:r>
        <w:rPr>
          <w:snapToGrid w:val="0"/>
        </w:rPr>
        <w:t xml:space="preserve">Information </w:t>
      </w:r>
      <w:r w:rsidRPr="00F0026D">
        <w:rPr>
          <w:snapToGrid w:val="0"/>
        </w:rPr>
        <w:t xml:space="preserve">or Highly Confidential Information beyond those provided in this Order.  If a challenge is made to the designation of a document or information as Proprietary </w:t>
      </w:r>
      <w:r>
        <w:rPr>
          <w:snapToGrid w:val="0"/>
        </w:rPr>
        <w:t xml:space="preserve">Information </w:t>
      </w:r>
      <w:r w:rsidRPr="00F0026D">
        <w:rPr>
          <w:snapToGrid w:val="0"/>
        </w:rPr>
        <w:t>or Highly Confidential</w:t>
      </w:r>
      <w:r>
        <w:rPr>
          <w:snapToGrid w:val="0"/>
        </w:rPr>
        <w:t xml:space="preserve"> Information</w:t>
      </w:r>
      <w:r w:rsidRPr="00F0026D">
        <w:rPr>
          <w:snapToGrid w:val="0"/>
        </w:rPr>
        <w:t xml:space="preserve">, the party claiming that the information is Proprietary </w:t>
      </w:r>
      <w:r>
        <w:rPr>
          <w:snapToGrid w:val="0"/>
        </w:rPr>
        <w:t xml:space="preserve">Information </w:t>
      </w:r>
      <w:r w:rsidRPr="00F0026D">
        <w:rPr>
          <w:snapToGrid w:val="0"/>
        </w:rPr>
        <w:t xml:space="preserve">or Highly Confidential </w:t>
      </w:r>
      <w:r>
        <w:rPr>
          <w:snapToGrid w:val="0"/>
        </w:rPr>
        <w:t xml:space="preserve">Information </w:t>
      </w:r>
      <w:r w:rsidRPr="00F0026D">
        <w:rPr>
          <w:snapToGrid w:val="0"/>
        </w:rPr>
        <w:t>retains the burden of demonstrating that the designation is necessary and appropriate.</w:t>
      </w:r>
    </w:p>
    <w:p w14:paraId="4D16F39F" w14:textId="77777777" w:rsidR="00FC2749" w:rsidRDefault="00FC2749" w:rsidP="00641F62">
      <w:pPr>
        <w:spacing w:line="360" w:lineRule="auto"/>
        <w:ind w:firstLine="720"/>
        <w:rPr>
          <w:snapToGrid w:val="0"/>
        </w:rPr>
      </w:pPr>
    </w:p>
    <w:p w14:paraId="1FA1B08A" w14:textId="77777777" w:rsidR="009836CE" w:rsidRDefault="00FC2749" w:rsidP="00641F62">
      <w:pPr>
        <w:pStyle w:val="WP9BodyTex"/>
        <w:tabs>
          <w:tab w:val="left" w:pos="0"/>
          <w:tab w:val="left" w:pos="798"/>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napToGrid w:val="0"/>
          <w:szCs w:val="24"/>
        </w:rPr>
      </w:pPr>
      <w:r>
        <w:rPr>
          <w:snapToGrid w:val="0"/>
          <w:szCs w:val="24"/>
        </w:rPr>
        <w:tab/>
      </w:r>
      <w:r>
        <w:rPr>
          <w:snapToGrid w:val="0"/>
          <w:szCs w:val="24"/>
        </w:rPr>
        <w:tab/>
        <w:t>13</w:t>
      </w:r>
      <w:r w:rsidRPr="00F0026D">
        <w:rPr>
          <w:snapToGrid w:val="0"/>
          <w:szCs w:val="24"/>
        </w:rPr>
        <w:t>.</w:t>
      </w:r>
      <w:r>
        <w:rPr>
          <w:snapToGrid w:val="0"/>
          <w:szCs w:val="24"/>
        </w:rPr>
        <w:tab/>
      </w:r>
      <w:r w:rsidR="005B0CF0">
        <w:rPr>
          <w:snapToGrid w:val="0"/>
          <w:szCs w:val="24"/>
        </w:rPr>
        <w:t>That u</w:t>
      </w:r>
      <w:r w:rsidRPr="00F0026D">
        <w:rPr>
          <w:snapToGrid w:val="0"/>
          <w:szCs w:val="24"/>
        </w:rPr>
        <w:t xml:space="preserve">pon completion of this proceeding, including any administrative or judicial review, all copies of all documents and other materials, including notes, which contain any Proprietary </w:t>
      </w:r>
      <w:r>
        <w:rPr>
          <w:snapToGrid w:val="0"/>
          <w:szCs w:val="24"/>
        </w:rPr>
        <w:t xml:space="preserve">Information </w:t>
      </w:r>
      <w:r w:rsidRPr="00F0026D">
        <w:rPr>
          <w:snapToGrid w:val="0"/>
          <w:szCs w:val="24"/>
        </w:rPr>
        <w:t xml:space="preserve">or Highly Confidential </w:t>
      </w:r>
      <w:r>
        <w:rPr>
          <w:snapToGrid w:val="0"/>
          <w:szCs w:val="24"/>
        </w:rPr>
        <w:t>I</w:t>
      </w:r>
      <w:r w:rsidRPr="00F0026D">
        <w:rPr>
          <w:snapToGrid w:val="0"/>
          <w:szCs w:val="24"/>
        </w:rPr>
        <w:t>nformation</w:t>
      </w:r>
      <w:r>
        <w:rPr>
          <w:snapToGrid w:val="0"/>
          <w:szCs w:val="24"/>
        </w:rPr>
        <w:t>,</w:t>
      </w:r>
      <w:r w:rsidRPr="00F0026D">
        <w:rPr>
          <w:snapToGrid w:val="0"/>
          <w:szCs w:val="24"/>
        </w:rPr>
        <w:t xml:space="preserve"> shall be immediately returned upon request to the party furnishing such Proprietary </w:t>
      </w:r>
      <w:r>
        <w:rPr>
          <w:snapToGrid w:val="0"/>
          <w:szCs w:val="24"/>
        </w:rPr>
        <w:t xml:space="preserve">Information </w:t>
      </w:r>
      <w:r w:rsidRPr="00F0026D">
        <w:rPr>
          <w:snapToGrid w:val="0"/>
          <w:szCs w:val="24"/>
        </w:rPr>
        <w:t xml:space="preserve">or Highly Confidential Information.  In the alternative, parties may provide an affidavit of counsel affirming that the materials containing or reflecting Proprietary </w:t>
      </w:r>
      <w:r>
        <w:rPr>
          <w:snapToGrid w:val="0"/>
          <w:szCs w:val="24"/>
        </w:rPr>
        <w:t xml:space="preserve">Information </w:t>
      </w:r>
      <w:r w:rsidRPr="00F0026D">
        <w:rPr>
          <w:snapToGrid w:val="0"/>
          <w:szCs w:val="24"/>
        </w:rPr>
        <w:t>or Highly Confidential Information have been destroyed.</w:t>
      </w:r>
      <w:r w:rsidRPr="001E7357">
        <w:rPr>
          <w:szCs w:val="24"/>
        </w:rPr>
        <w:t xml:space="preserve"> </w:t>
      </w:r>
      <w:r w:rsidRPr="00A97C63">
        <w:rPr>
          <w:szCs w:val="24"/>
        </w:rPr>
        <w:t xml:space="preserve">This provision shall not apply to the Commission, its Staff, the </w:t>
      </w:r>
      <w:r>
        <w:rPr>
          <w:snapToGrid w:val="0"/>
          <w:szCs w:val="24"/>
        </w:rPr>
        <w:t xml:space="preserve">Bureau of </w:t>
      </w:r>
    </w:p>
    <w:p w14:paraId="6F51420F" w14:textId="77777777" w:rsidR="009836CE" w:rsidRDefault="009836CE" w:rsidP="00641F62">
      <w:pPr>
        <w:pStyle w:val="WP9BodyTex"/>
        <w:tabs>
          <w:tab w:val="left" w:pos="0"/>
          <w:tab w:val="left" w:pos="798"/>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napToGrid w:val="0"/>
          <w:szCs w:val="24"/>
        </w:rPr>
      </w:pPr>
    </w:p>
    <w:p w14:paraId="51381F63" w14:textId="77777777" w:rsidR="009836CE" w:rsidRDefault="009836CE" w:rsidP="00641F62">
      <w:pPr>
        <w:pStyle w:val="WP9BodyTex"/>
        <w:tabs>
          <w:tab w:val="left" w:pos="0"/>
          <w:tab w:val="left" w:pos="798"/>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napToGrid w:val="0"/>
          <w:szCs w:val="24"/>
        </w:rPr>
      </w:pPr>
    </w:p>
    <w:p w14:paraId="048D09A9" w14:textId="1B601CA8" w:rsidR="00FC2749" w:rsidRDefault="00FC2749" w:rsidP="00641F62">
      <w:pPr>
        <w:pStyle w:val="WP9BodyTex"/>
        <w:tabs>
          <w:tab w:val="left" w:pos="0"/>
          <w:tab w:val="left" w:pos="798"/>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4"/>
        </w:rPr>
      </w:pPr>
      <w:r>
        <w:rPr>
          <w:snapToGrid w:val="0"/>
          <w:szCs w:val="24"/>
        </w:rPr>
        <w:t xml:space="preserve">and Enforcement, </w:t>
      </w:r>
      <w:r w:rsidRPr="00A97C63">
        <w:rPr>
          <w:szCs w:val="24"/>
        </w:rPr>
        <w:t>the Office of Consumer Advocate, or the Office of Small Business Advocate.</w:t>
      </w:r>
    </w:p>
    <w:p w14:paraId="68609564" w14:textId="77777777" w:rsidR="009836CE" w:rsidRPr="00F0026D" w:rsidRDefault="009836CE" w:rsidP="00FC2749">
      <w:pPr>
        <w:spacing w:line="360" w:lineRule="auto"/>
        <w:ind w:firstLine="720"/>
        <w:rPr>
          <w:snapToGrid w:val="0"/>
        </w:rPr>
      </w:pPr>
    </w:p>
    <w:p w14:paraId="67D6DE2B" w14:textId="77777777" w:rsidR="00E448FD" w:rsidRDefault="00E448FD" w:rsidP="00E448FD">
      <w:pPr>
        <w:tabs>
          <w:tab w:val="left" w:pos="1440"/>
        </w:tabs>
        <w:ind w:firstLine="720"/>
        <w:rPr>
          <w:rFonts w:ascii="Times New Roman" w:hAnsi="Times New Roman" w:cs="Times New Roman"/>
        </w:rPr>
      </w:pPr>
    </w:p>
    <w:p w14:paraId="39160C49" w14:textId="5228A342" w:rsidR="00E448FD" w:rsidRPr="00BB1D42" w:rsidRDefault="00E448FD" w:rsidP="00E448FD">
      <w:pPr>
        <w:tabs>
          <w:tab w:val="left" w:pos="1440"/>
        </w:tabs>
        <w:rPr>
          <w:rFonts w:ascii="Times New Roman" w:hAnsi="Times New Roman" w:cs="Times New Roman"/>
          <w:u w:val="single"/>
        </w:rPr>
      </w:pPr>
      <w:r w:rsidRPr="00BB1D42">
        <w:rPr>
          <w:rFonts w:ascii="Times New Roman" w:hAnsi="Times New Roman" w:cs="Times New Roman"/>
        </w:rPr>
        <w:t xml:space="preserve">Date:  </w:t>
      </w:r>
      <w:r>
        <w:rPr>
          <w:rFonts w:ascii="Times New Roman" w:hAnsi="Times New Roman" w:cs="Times New Roman"/>
          <w:u w:val="single"/>
        </w:rPr>
        <w:t xml:space="preserve">May </w:t>
      </w:r>
      <w:r w:rsidR="00641F62">
        <w:rPr>
          <w:rFonts w:ascii="Times New Roman" w:hAnsi="Times New Roman" w:cs="Times New Roman"/>
          <w:u w:val="single"/>
        </w:rPr>
        <w:t>6</w:t>
      </w:r>
      <w:r>
        <w:rPr>
          <w:rFonts w:ascii="Times New Roman" w:hAnsi="Times New Roman" w:cs="Times New Roman"/>
          <w:u w:val="single"/>
        </w:rPr>
        <w:t>, 2020</w:t>
      </w:r>
      <w:r w:rsidRPr="00BB1D42">
        <w:rPr>
          <w:rFonts w:ascii="Times New Roman" w:hAnsi="Times New Roman" w:cs="Times New Roman"/>
        </w:rPr>
        <w:tab/>
      </w:r>
      <w:r>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Pr>
          <w:rFonts w:ascii="Times New Roman" w:hAnsi="Times New Roman" w:cs="Times New Roman"/>
          <w:u w:val="single"/>
        </w:rPr>
        <w:tab/>
        <w:t>/s/</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DE21F3E" w14:textId="77777777" w:rsidR="00E448FD" w:rsidRPr="00BB1D42" w:rsidRDefault="00E448FD" w:rsidP="00E448FD">
      <w:pPr>
        <w:rPr>
          <w:rFonts w:ascii="Times New Roman" w:hAnsi="Times New Roman" w:cs="Times New Roman"/>
        </w:rPr>
      </w:pP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t>Joel H. Cheskis</w:t>
      </w:r>
    </w:p>
    <w:p w14:paraId="06D55562" w14:textId="77777777" w:rsidR="00E448FD" w:rsidRPr="00BB1D42" w:rsidRDefault="00E448FD" w:rsidP="00E448FD">
      <w:pPr>
        <w:rPr>
          <w:rFonts w:ascii="Times New Roman" w:hAnsi="Times New Roman" w:cs="Times New Roman"/>
        </w:rPr>
      </w:pP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Pr>
          <w:rFonts w:ascii="Times New Roman" w:hAnsi="Times New Roman" w:cs="Times New Roman"/>
        </w:rPr>
        <w:t xml:space="preserve">Deputy Chief </w:t>
      </w:r>
      <w:r w:rsidRPr="00BB1D42">
        <w:rPr>
          <w:rFonts w:ascii="Times New Roman" w:hAnsi="Times New Roman" w:cs="Times New Roman"/>
        </w:rPr>
        <w:t>Administrative Law Judge</w:t>
      </w:r>
    </w:p>
    <w:p w14:paraId="40D0616A" w14:textId="77777777" w:rsidR="00E448FD" w:rsidRDefault="00E448FD" w:rsidP="00E448FD">
      <w:pPr>
        <w:rPr>
          <w:rFonts w:ascii="Times New Roman" w:hAnsi="Times New Roman" w:cs="Times New Roman"/>
        </w:rPr>
      </w:pPr>
    </w:p>
    <w:p w14:paraId="53C83033" w14:textId="77777777" w:rsidR="00E448FD" w:rsidRDefault="00E448FD" w:rsidP="00E448FD">
      <w:pPr>
        <w:rPr>
          <w:rFonts w:ascii="Times New Roman" w:hAnsi="Times New Roman" w:cs="Times New Roman"/>
        </w:rPr>
      </w:pPr>
    </w:p>
    <w:p w14:paraId="2C7A3411" w14:textId="77777777" w:rsidR="00E448FD" w:rsidRPr="00BB1D42" w:rsidRDefault="00E448FD" w:rsidP="00E448FD">
      <w:pPr>
        <w:tabs>
          <w:tab w:val="left" w:pos="1440"/>
        </w:tabs>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Pr>
          <w:rFonts w:ascii="Times New Roman" w:hAnsi="Times New Roman" w:cs="Times New Roman"/>
          <w:u w:val="single"/>
        </w:rPr>
        <w:tab/>
        <w:t>/s/</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72C388E" w14:textId="77777777" w:rsidR="00E448FD" w:rsidRPr="00BB1D42" w:rsidRDefault="00E448FD" w:rsidP="00E448FD">
      <w:pPr>
        <w:rPr>
          <w:rFonts w:ascii="Times New Roman" w:hAnsi="Times New Roman" w:cs="Times New Roman"/>
        </w:rPr>
      </w:pP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Pr>
          <w:rFonts w:ascii="Times New Roman" w:hAnsi="Times New Roman" w:cs="Times New Roman"/>
        </w:rPr>
        <w:t>Benjamin J. Myers</w:t>
      </w:r>
    </w:p>
    <w:p w14:paraId="26828B43" w14:textId="77777777" w:rsidR="00E448FD" w:rsidRPr="00BB1D42" w:rsidRDefault="00E448FD" w:rsidP="00E448FD">
      <w:pPr>
        <w:rPr>
          <w:rFonts w:ascii="Times New Roman" w:hAnsi="Times New Roman" w:cs="Times New Roman"/>
        </w:rPr>
      </w:pP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r>
      <w:r w:rsidRPr="00BB1D42">
        <w:rPr>
          <w:rFonts w:ascii="Times New Roman" w:hAnsi="Times New Roman" w:cs="Times New Roman"/>
        </w:rPr>
        <w:tab/>
        <w:t>Administrative Law Judge</w:t>
      </w:r>
    </w:p>
    <w:p w14:paraId="05468711" w14:textId="12692C58" w:rsidR="00FC2749" w:rsidRPr="00ED3631" w:rsidRDefault="00FC2749" w:rsidP="00FC2749"/>
    <w:p w14:paraId="7DB85B95" w14:textId="77777777" w:rsidR="00FC2749" w:rsidRPr="004D7AFF" w:rsidRDefault="00FC2749" w:rsidP="00FC2749">
      <w:pPr>
        <w:jc w:val="right"/>
        <w:rPr>
          <w:b/>
          <w:snapToGrid w:val="0"/>
          <w:sz w:val="23"/>
          <w:szCs w:val="23"/>
        </w:rPr>
      </w:pPr>
      <w:r w:rsidRPr="00F0026D">
        <w:br w:type="page"/>
      </w:r>
      <w:r w:rsidRPr="004D7AFF">
        <w:rPr>
          <w:b/>
          <w:snapToGrid w:val="0"/>
          <w:sz w:val="23"/>
          <w:szCs w:val="23"/>
        </w:rPr>
        <w:t>APPENDIX A</w:t>
      </w:r>
    </w:p>
    <w:p w14:paraId="249E5D1D" w14:textId="77777777" w:rsidR="00FC2749" w:rsidRPr="00700E51" w:rsidRDefault="00FC2749" w:rsidP="00FC2749">
      <w:pPr>
        <w:jc w:val="center"/>
        <w:rPr>
          <w:b/>
        </w:rPr>
      </w:pPr>
      <w:r w:rsidRPr="00700E51">
        <w:rPr>
          <w:b/>
        </w:rPr>
        <w:t>BEFORE THE</w:t>
      </w:r>
    </w:p>
    <w:p w14:paraId="6A66F048" w14:textId="77777777" w:rsidR="00FC2749" w:rsidRPr="00700E51" w:rsidRDefault="00FC2749" w:rsidP="00FC2749">
      <w:pPr>
        <w:snapToGrid w:val="0"/>
        <w:jc w:val="center"/>
        <w:rPr>
          <w:b/>
        </w:rPr>
      </w:pPr>
      <w:r w:rsidRPr="00700E51">
        <w:rPr>
          <w:b/>
        </w:rPr>
        <w:t>PENNSYLVANIA PUBLIC UTILITY COMMISSION</w:t>
      </w:r>
    </w:p>
    <w:p w14:paraId="0A1CF6B1" w14:textId="77777777" w:rsidR="00FC2749" w:rsidRPr="00700E51" w:rsidRDefault="00FC2749" w:rsidP="00FC2749">
      <w:pPr>
        <w:snapToGrid w:val="0"/>
        <w:jc w:val="center"/>
        <w:rPr>
          <w:b/>
        </w:rPr>
      </w:pPr>
      <w:r w:rsidRPr="00700E51">
        <w:rPr>
          <w:b/>
        </w:rPr>
        <w:tab/>
      </w:r>
      <w:r w:rsidRPr="00700E51">
        <w:rPr>
          <w:b/>
        </w:rPr>
        <w:tab/>
      </w:r>
    </w:p>
    <w:p w14:paraId="1430936F" w14:textId="77777777" w:rsidR="00FC2749" w:rsidRPr="00700E51" w:rsidRDefault="00FC2749" w:rsidP="00FC2749">
      <w:pPr>
        <w:tabs>
          <w:tab w:val="left" w:pos="5400"/>
        </w:tabs>
        <w:snapToGrid w:val="0"/>
      </w:pPr>
      <w:r w:rsidRPr="00700E51">
        <w:t xml:space="preserve">The United Telephone Company of Pennsylvania LLC </w:t>
      </w:r>
      <w:r w:rsidRPr="00700E51">
        <w:tab/>
      </w:r>
      <w:r w:rsidRPr="00700E51">
        <w:tab/>
        <w:t>)</w:t>
      </w:r>
    </w:p>
    <w:p w14:paraId="2694C678" w14:textId="77777777" w:rsidR="00FC2749" w:rsidRDefault="00FC2749" w:rsidP="00FC2749">
      <w:pPr>
        <w:tabs>
          <w:tab w:val="left" w:pos="5400"/>
        </w:tabs>
        <w:snapToGrid w:val="0"/>
      </w:pPr>
      <w:r w:rsidRPr="00700E51">
        <w:t>d/b/a CenturyLink – 201</w:t>
      </w:r>
      <w:r>
        <w:t>9</w:t>
      </w:r>
      <w:r w:rsidRPr="00700E51">
        <w:t xml:space="preserve"> Annual Price</w:t>
      </w:r>
      <w:r>
        <w:tab/>
      </w:r>
      <w:r>
        <w:tab/>
        <w:t>)</w:t>
      </w:r>
      <w:r w:rsidRPr="00700E51">
        <w:t xml:space="preserve"> </w:t>
      </w:r>
    </w:p>
    <w:p w14:paraId="348EA576" w14:textId="77777777" w:rsidR="00FC2749" w:rsidRPr="00700E51" w:rsidRDefault="00FC2749" w:rsidP="00FC2749">
      <w:pPr>
        <w:tabs>
          <w:tab w:val="left" w:pos="5400"/>
        </w:tabs>
        <w:snapToGrid w:val="0"/>
      </w:pPr>
      <w:r>
        <w:t xml:space="preserve">Stability Mechanism </w:t>
      </w:r>
      <w:r w:rsidRPr="00700E51">
        <w:t>Filing</w:t>
      </w:r>
      <w:r w:rsidRPr="00700E51">
        <w:tab/>
      </w:r>
      <w:r w:rsidRPr="00700E51">
        <w:tab/>
        <w:t>)     Docket No. P-00981410</w:t>
      </w:r>
    </w:p>
    <w:p w14:paraId="5F6E7EBA" w14:textId="77777777" w:rsidR="00FC2749" w:rsidRPr="00700E51" w:rsidRDefault="00FC2749" w:rsidP="00FC2749">
      <w:pPr>
        <w:tabs>
          <w:tab w:val="left" w:pos="5400"/>
        </w:tabs>
        <w:snapToGrid w:val="0"/>
        <w:ind w:left="720" w:firstLine="720"/>
        <w:jc w:val="both"/>
      </w:pPr>
      <w:r w:rsidRPr="00700E51">
        <w:tab/>
      </w:r>
      <w:r w:rsidRPr="00700E51">
        <w:tab/>
        <w:t>)</w:t>
      </w:r>
    </w:p>
    <w:p w14:paraId="2D007DC3" w14:textId="77777777" w:rsidR="00FC2749" w:rsidRPr="00700E51" w:rsidRDefault="00FC2749" w:rsidP="00FC2749">
      <w:pPr>
        <w:tabs>
          <w:tab w:val="left" w:pos="1440"/>
          <w:tab w:val="left" w:pos="4500"/>
        </w:tabs>
      </w:pPr>
      <w:r w:rsidRPr="00700E51">
        <w:t xml:space="preserve">Petition for Protective Order for The United Telephone </w:t>
      </w:r>
      <w:r w:rsidRPr="00700E51">
        <w:tab/>
        <w:t xml:space="preserve">)     </w:t>
      </w:r>
    </w:p>
    <w:p w14:paraId="06E573AA" w14:textId="77777777" w:rsidR="00FC2749" w:rsidRPr="00700E51" w:rsidRDefault="00FC2749" w:rsidP="00FC2749">
      <w:pPr>
        <w:tabs>
          <w:tab w:val="left" w:pos="1440"/>
          <w:tab w:val="left" w:pos="4500"/>
        </w:tabs>
      </w:pPr>
      <w:r w:rsidRPr="00700E51">
        <w:t>Company of Pennsylvania LLC d/b/a CenturyLink - 201</w:t>
      </w:r>
      <w:r>
        <w:t>9</w:t>
      </w:r>
      <w:r w:rsidRPr="00700E51">
        <w:t xml:space="preserve">   </w:t>
      </w:r>
      <w:r w:rsidRPr="00700E51">
        <w:tab/>
        <w:t>)      Docket No. P-201</w:t>
      </w:r>
      <w:r>
        <w:t>9</w:t>
      </w:r>
      <w:r w:rsidRPr="00700E51">
        <w:t>-</w:t>
      </w:r>
    </w:p>
    <w:p w14:paraId="2B9301B9" w14:textId="77777777" w:rsidR="00FC2749" w:rsidRPr="00700E51" w:rsidRDefault="00FC2749" w:rsidP="00FC2749">
      <w:pPr>
        <w:tabs>
          <w:tab w:val="left" w:pos="1440"/>
          <w:tab w:val="left" w:pos="4500"/>
        </w:tabs>
      </w:pPr>
      <w:r w:rsidRPr="00700E51">
        <w:t xml:space="preserve">Price </w:t>
      </w:r>
      <w:r>
        <w:t xml:space="preserve">Stability Mechanism </w:t>
      </w:r>
      <w:r w:rsidRPr="00700E51">
        <w:t xml:space="preserve">Filing </w:t>
      </w:r>
      <w:r w:rsidRPr="00700E51">
        <w:tab/>
      </w:r>
      <w:r w:rsidRPr="00700E51">
        <w:tab/>
        <w:t xml:space="preserve">     </w:t>
      </w:r>
      <w:r w:rsidRPr="00700E51">
        <w:tab/>
        <w:t>)</w:t>
      </w:r>
    </w:p>
    <w:p w14:paraId="41B5DC31" w14:textId="77777777" w:rsidR="00FC2749" w:rsidRPr="00700E51" w:rsidRDefault="00FC2749" w:rsidP="00FC2749">
      <w:pPr>
        <w:tabs>
          <w:tab w:val="left" w:pos="1440"/>
          <w:tab w:val="left" w:pos="4500"/>
        </w:tabs>
        <w:rPr>
          <w:i/>
        </w:rPr>
      </w:pPr>
      <w:r w:rsidRPr="00700E51">
        <w:rPr>
          <w:i/>
        </w:rPr>
        <w:t>____________________________________________</w:t>
      </w:r>
      <w:r w:rsidRPr="00700E51">
        <w:t>___</w:t>
      </w:r>
      <w:r w:rsidRPr="00700E51">
        <w:rPr>
          <w:i/>
        </w:rPr>
        <w:tab/>
      </w:r>
      <w:r w:rsidRPr="00700E51">
        <w:t>)</w:t>
      </w:r>
      <w:r w:rsidRPr="00700E51">
        <w:rPr>
          <w:i/>
        </w:rPr>
        <w:tab/>
      </w:r>
    </w:p>
    <w:p w14:paraId="78CD104D" w14:textId="77777777" w:rsidR="00FC2749" w:rsidRPr="004D7AFF" w:rsidRDefault="00FC2749" w:rsidP="00FC2749">
      <w:pPr>
        <w:rPr>
          <w:b/>
          <w:snapToGrid w:val="0"/>
          <w:sz w:val="23"/>
          <w:szCs w:val="23"/>
        </w:rPr>
      </w:pPr>
    </w:p>
    <w:p w14:paraId="6DF74544" w14:textId="77777777" w:rsidR="00FC2749" w:rsidRPr="004D7AFF" w:rsidRDefault="00FC2749" w:rsidP="00FC2749">
      <w:pPr>
        <w:rPr>
          <w:b/>
          <w:snapToGrid w:val="0"/>
          <w:sz w:val="23"/>
          <w:szCs w:val="23"/>
        </w:rPr>
      </w:pPr>
      <w:r w:rsidRPr="004D7AFF">
        <w:rPr>
          <w:b/>
          <w:snapToGrid w:val="0"/>
          <w:sz w:val="23"/>
          <w:szCs w:val="23"/>
        </w:rPr>
        <w:t>TO WHOM IT MAY CONCERN:</w:t>
      </w:r>
    </w:p>
    <w:p w14:paraId="4229461A" w14:textId="77777777" w:rsidR="00FC2749" w:rsidRPr="004D7AFF" w:rsidRDefault="00FC2749" w:rsidP="00FC2749">
      <w:pPr>
        <w:rPr>
          <w:snapToGrid w:val="0"/>
          <w:sz w:val="23"/>
          <w:szCs w:val="23"/>
        </w:rPr>
      </w:pPr>
    </w:p>
    <w:p w14:paraId="44732BC9" w14:textId="77777777" w:rsidR="00FC2749" w:rsidRPr="004D7AFF" w:rsidRDefault="00FC2749" w:rsidP="00FC2749">
      <w:pPr>
        <w:rPr>
          <w:snapToGrid w:val="0"/>
          <w:sz w:val="23"/>
          <w:szCs w:val="23"/>
        </w:rPr>
      </w:pPr>
      <w:r w:rsidRPr="004D7AFF">
        <w:rPr>
          <w:snapToGrid w:val="0"/>
          <w:sz w:val="23"/>
          <w:szCs w:val="23"/>
        </w:rPr>
        <w:t xml:space="preserve">The undersigned is the ______________________________________ of  __________________________(the retaining party) and hereby acknowledges that he/she </w:t>
      </w:r>
      <w:r>
        <w:rPr>
          <w:snapToGrid w:val="0"/>
          <w:sz w:val="23"/>
          <w:szCs w:val="23"/>
        </w:rPr>
        <w:t xml:space="preserve"> </w:t>
      </w:r>
      <w:r w:rsidRPr="004D7AFF">
        <w:rPr>
          <w:snapToGrid w:val="0"/>
          <w:sz w:val="23"/>
          <w:szCs w:val="23"/>
        </w:rPr>
        <w:t xml:space="preserve">does not hold any of the following positions with any competitor or affiliate of a competitor of the producing party (an officer, board member, significant stockholder, partner, owner or an employee) who is primarily involved in the pricing, development, and/or marketing of products or services that are offered in competition with those of the producing party. </w:t>
      </w:r>
    </w:p>
    <w:p w14:paraId="11639DC8" w14:textId="77777777" w:rsidR="00FC2749" w:rsidRPr="004D7AFF" w:rsidRDefault="00FC2749" w:rsidP="00FC2749">
      <w:pPr>
        <w:rPr>
          <w:snapToGrid w:val="0"/>
          <w:sz w:val="23"/>
          <w:szCs w:val="23"/>
        </w:rPr>
      </w:pPr>
    </w:p>
    <w:p w14:paraId="35A8BA61" w14:textId="77777777" w:rsidR="00FC2749" w:rsidRPr="004D7AFF" w:rsidRDefault="00FC2749" w:rsidP="00FC2749">
      <w:pPr>
        <w:rPr>
          <w:snapToGrid w:val="0"/>
          <w:sz w:val="23"/>
          <w:szCs w:val="23"/>
        </w:rPr>
      </w:pPr>
      <w:r w:rsidRPr="004D7AFF">
        <w:rPr>
          <w:snapToGrid w:val="0"/>
          <w:sz w:val="23"/>
          <w:szCs w:val="23"/>
        </w:rPr>
        <w:t xml:space="preserve">The undersigned has read and understands the Protective Order that deals with the treatment of Proprietary Information and Highly Confidential Information.  The undersigned agrees to be bound by, and comply with, the terms and conditions of said Order. </w:t>
      </w:r>
    </w:p>
    <w:p w14:paraId="2502E1F9" w14:textId="77777777" w:rsidR="00FC2749" w:rsidRPr="004D7AFF" w:rsidRDefault="00FC2749" w:rsidP="00FC2749">
      <w:pPr>
        <w:rPr>
          <w:snapToGrid w:val="0"/>
          <w:sz w:val="23"/>
          <w:szCs w:val="23"/>
        </w:rPr>
      </w:pPr>
    </w:p>
    <w:p w14:paraId="7AA3D2EA" w14:textId="77777777" w:rsidR="00FC2749" w:rsidRPr="004D7AFF" w:rsidRDefault="00FC2749" w:rsidP="00FC2749">
      <w:pPr>
        <w:rPr>
          <w:snapToGrid w:val="0"/>
          <w:sz w:val="23"/>
          <w:szCs w:val="23"/>
        </w:rPr>
      </w:pPr>
      <w:r w:rsidRPr="004D7AFF">
        <w:rPr>
          <w:snapToGrid w:val="0"/>
          <w:sz w:val="23"/>
          <w:szCs w:val="23"/>
        </w:rPr>
        <w:t xml:space="preserve">In the case of an independent expert, the undersigned represents that he/she has complied with the provisions of numbered Paragraph 4 (a)(ii) of the Order prior to submitting this Acknowledgement. </w:t>
      </w:r>
    </w:p>
    <w:p w14:paraId="79DF4374" w14:textId="77777777" w:rsidR="00FC2749" w:rsidRPr="004D7AFF" w:rsidRDefault="00FC2749" w:rsidP="00FC2749">
      <w:pPr>
        <w:rPr>
          <w:snapToGrid w:val="0"/>
          <w:sz w:val="23"/>
          <w:szCs w:val="23"/>
        </w:rPr>
      </w:pPr>
    </w:p>
    <w:tbl>
      <w:tblPr>
        <w:tblW w:w="0" w:type="auto"/>
        <w:tblLayout w:type="fixed"/>
        <w:tblLook w:val="0000" w:firstRow="0" w:lastRow="0" w:firstColumn="0" w:lastColumn="0" w:noHBand="0" w:noVBand="0"/>
      </w:tblPr>
      <w:tblGrid>
        <w:gridCol w:w="2448"/>
        <w:gridCol w:w="1980"/>
        <w:gridCol w:w="4428"/>
      </w:tblGrid>
      <w:tr w:rsidR="00FC2749" w:rsidRPr="004D7AFF" w14:paraId="3043C586" w14:textId="77777777" w:rsidTr="0062168A">
        <w:tc>
          <w:tcPr>
            <w:tcW w:w="2448" w:type="dxa"/>
          </w:tcPr>
          <w:p w14:paraId="052BC170" w14:textId="77777777" w:rsidR="00FC2749" w:rsidRPr="004D7AFF" w:rsidRDefault="00FC2749" w:rsidP="0062168A">
            <w:pPr>
              <w:pBdr>
                <w:bottom w:val="single" w:sz="12" w:space="1" w:color="auto"/>
              </w:pBdr>
              <w:rPr>
                <w:snapToGrid w:val="0"/>
                <w:sz w:val="23"/>
                <w:szCs w:val="23"/>
              </w:rPr>
            </w:pPr>
          </w:p>
          <w:p w14:paraId="7AA8A8BF" w14:textId="77777777" w:rsidR="00FC2749" w:rsidRPr="004D7AFF" w:rsidRDefault="00FC2749" w:rsidP="0062168A">
            <w:pPr>
              <w:pBdr>
                <w:bottom w:val="single" w:sz="12" w:space="1" w:color="auto"/>
              </w:pBdr>
              <w:rPr>
                <w:snapToGrid w:val="0"/>
                <w:sz w:val="23"/>
                <w:szCs w:val="23"/>
              </w:rPr>
            </w:pPr>
          </w:p>
          <w:p w14:paraId="335E9708" w14:textId="77777777" w:rsidR="00FC2749" w:rsidRPr="004D7AFF" w:rsidRDefault="00FC2749" w:rsidP="0062168A">
            <w:pPr>
              <w:pBdr>
                <w:bottom w:val="single" w:sz="12" w:space="1" w:color="auto"/>
              </w:pBdr>
              <w:rPr>
                <w:snapToGrid w:val="0"/>
                <w:sz w:val="23"/>
                <w:szCs w:val="23"/>
              </w:rPr>
            </w:pPr>
          </w:p>
          <w:p w14:paraId="4ED4DA42" w14:textId="77777777" w:rsidR="00FC2749" w:rsidRPr="004D7AFF" w:rsidRDefault="00FC2749" w:rsidP="0062168A">
            <w:pPr>
              <w:pBdr>
                <w:bottom w:val="single" w:sz="12" w:space="1" w:color="auto"/>
              </w:pBdr>
              <w:rPr>
                <w:snapToGrid w:val="0"/>
                <w:sz w:val="23"/>
                <w:szCs w:val="23"/>
              </w:rPr>
            </w:pPr>
          </w:p>
          <w:p w14:paraId="56C5F356" w14:textId="77777777" w:rsidR="00FC2749" w:rsidRPr="004D7AFF" w:rsidRDefault="00FC2749" w:rsidP="0062168A">
            <w:pPr>
              <w:pBdr>
                <w:bottom w:val="single" w:sz="12" w:space="1" w:color="auto"/>
              </w:pBdr>
              <w:rPr>
                <w:snapToGrid w:val="0"/>
                <w:sz w:val="23"/>
                <w:szCs w:val="23"/>
              </w:rPr>
            </w:pPr>
          </w:p>
          <w:p w14:paraId="03151086" w14:textId="77777777" w:rsidR="00FC2749" w:rsidRPr="004D7AFF" w:rsidRDefault="00FC2749" w:rsidP="0062168A">
            <w:pPr>
              <w:pBdr>
                <w:bottom w:val="single" w:sz="12" w:space="1" w:color="auto"/>
              </w:pBdr>
              <w:rPr>
                <w:snapToGrid w:val="0"/>
                <w:sz w:val="23"/>
                <w:szCs w:val="23"/>
              </w:rPr>
            </w:pPr>
          </w:p>
          <w:p w14:paraId="5A2795D5" w14:textId="77777777" w:rsidR="00FC2749" w:rsidRPr="004D7AFF" w:rsidRDefault="00FC2749" w:rsidP="0062168A">
            <w:pPr>
              <w:pBdr>
                <w:bottom w:val="single" w:sz="12" w:space="1" w:color="auto"/>
              </w:pBdr>
              <w:rPr>
                <w:snapToGrid w:val="0"/>
                <w:sz w:val="23"/>
                <w:szCs w:val="23"/>
              </w:rPr>
            </w:pPr>
          </w:p>
          <w:p w14:paraId="3BABEC37" w14:textId="77777777" w:rsidR="00FC2749" w:rsidRPr="004D7AFF" w:rsidRDefault="00FC2749" w:rsidP="0062168A">
            <w:pPr>
              <w:pBdr>
                <w:bottom w:val="single" w:sz="12" w:space="1" w:color="auto"/>
              </w:pBdr>
              <w:rPr>
                <w:snapToGrid w:val="0"/>
                <w:sz w:val="23"/>
                <w:szCs w:val="23"/>
              </w:rPr>
            </w:pPr>
          </w:p>
          <w:p w14:paraId="4D91D0AC" w14:textId="77777777" w:rsidR="00FC2749" w:rsidRPr="004D7AFF" w:rsidRDefault="00FC2749" w:rsidP="0062168A">
            <w:pPr>
              <w:rPr>
                <w:snapToGrid w:val="0"/>
                <w:sz w:val="23"/>
                <w:szCs w:val="23"/>
              </w:rPr>
            </w:pPr>
            <w:r w:rsidRPr="004D7AFF">
              <w:rPr>
                <w:snapToGrid w:val="0"/>
                <w:sz w:val="23"/>
                <w:szCs w:val="23"/>
              </w:rPr>
              <w:t>DATE</w:t>
            </w:r>
          </w:p>
        </w:tc>
        <w:tc>
          <w:tcPr>
            <w:tcW w:w="1980" w:type="dxa"/>
          </w:tcPr>
          <w:p w14:paraId="6DFF3664" w14:textId="77777777" w:rsidR="00FC2749" w:rsidRPr="004D7AFF" w:rsidRDefault="00FC2749" w:rsidP="0062168A">
            <w:pPr>
              <w:rPr>
                <w:snapToGrid w:val="0"/>
                <w:sz w:val="23"/>
                <w:szCs w:val="23"/>
              </w:rPr>
            </w:pPr>
          </w:p>
        </w:tc>
        <w:tc>
          <w:tcPr>
            <w:tcW w:w="4428" w:type="dxa"/>
          </w:tcPr>
          <w:p w14:paraId="72D68759" w14:textId="77777777" w:rsidR="00FC2749" w:rsidRPr="004D7AFF" w:rsidRDefault="00FC2749" w:rsidP="0062168A">
            <w:pPr>
              <w:pBdr>
                <w:bottom w:val="single" w:sz="12" w:space="1" w:color="auto"/>
              </w:pBdr>
              <w:rPr>
                <w:snapToGrid w:val="0"/>
                <w:sz w:val="23"/>
                <w:szCs w:val="23"/>
              </w:rPr>
            </w:pPr>
          </w:p>
          <w:p w14:paraId="2B134643" w14:textId="77777777" w:rsidR="00FC2749" w:rsidRPr="004D7AFF" w:rsidRDefault="00FC2749" w:rsidP="0062168A">
            <w:pPr>
              <w:rPr>
                <w:snapToGrid w:val="0"/>
                <w:sz w:val="23"/>
                <w:szCs w:val="23"/>
              </w:rPr>
            </w:pPr>
            <w:r w:rsidRPr="004D7AFF">
              <w:rPr>
                <w:snapToGrid w:val="0"/>
                <w:sz w:val="23"/>
                <w:szCs w:val="23"/>
              </w:rPr>
              <w:t>SIGNATURE</w:t>
            </w:r>
          </w:p>
          <w:p w14:paraId="1D7B4598" w14:textId="77777777" w:rsidR="00FC2749" w:rsidRPr="004D7AFF" w:rsidRDefault="00FC2749" w:rsidP="0062168A">
            <w:pPr>
              <w:pBdr>
                <w:bottom w:val="single" w:sz="12" w:space="1" w:color="auto"/>
              </w:pBdr>
              <w:rPr>
                <w:snapToGrid w:val="0"/>
                <w:sz w:val="23"/>
                <w:szCs w:val="23"/>
              </w:rPr>
            </w:pPr>
          </w:p>
          <w:p w14:paraId="1D29961D" w14:textId="77777777" w:rsidR="00FC2749" w:rsidRPr="004D7AFF" w:rsidRDefault="00FC2749" w:rsidP="0062168A">
            <w:pPr>
              <w:pBdr>
                <w:bottom w:val="single" w:sz="12" w:space="1" w:color="auto"/>
              </w:pBdr>
              <w:rPr>
                <w:snapToGrid w:val="0"/>
                <w:sz w:val="23"/>
                <w:szCs w:val="23"/>
              </w:rPr>
            </w:pPr>
          </w:p>
          <w:p w14:paraId="5F708B5C" w14:textId="77777777" w:rsidR="00FC2749" w:rsidRPr="004D7AFF" w:rsidRDefault="00FC2749" w:rsidP="0062168A">
            <w:pPr>
              <w:rPr>
                <w:snapToGrid w:val="0"/>
                <w:sz w:val="23"/>
                <w:szCs w:val="23"/>
              </w:rPr>
            </w:pPr>
            <w:r w:rsidRPr="004D7AFF">
              <w:rPr>
                <w:snapToGrid w:val="0"/>
                <w:sz w:val="23"/>
                <w:szCs w:val="23"/>
              </w:rPr>
              <w:t>PRINT NAME</w:t>
            </w:r>
          </w:p>
          <w:p w14:paraId="7B9F246E" w14:textId="77777777" w:rsidR="00FC2749" w:rsidRPr="004D7AFF" w:rsidRDefault="00FC2749" w:rsidP="0062168A">
            <w:pPr>
              <w:pBdr>
                <w:bottom w:val="single" w:sz="12" w:space="1" w:color="auto"/>
              </w:pBdr>
              <w:rPr>
                <w:snapToGrid w:val="0"/>
                <w:sz w:val="23"/>
                <w:szCs w:val="23"/>
              </w:rPr>
            </w:pPr>
          </w:p>
          <w:p w14:paraId="23459243" w14:textId="77777777" w:rsidR="00FC2749" w:rsidRPr="004D7AFF" w:rsidRDefault="00FC2749" w:rsidP="0062168A">
            <w:pPr>
              <w:pBdr>
                <w:bottom w:val="single" w:sz="12" w:space="1" w:color="auto"/>
              </w:pBdr>
              <w:rPr>
                <w:snapToGrid w:val="0"/>
                <w:sz w:val="23"/>
                <w:szCs w:val="23"/>
              </w:rPr>
            </w:pPr>
          </w:p>
          <w:p w14:paraId="3F08E962" w14:textId="77777777" w:rsidR="00FC2749" w:rsidRPr="004D7AFF" w:rsidRDefault="00FC2749" w:rsidP="0062168A">
            <w:pPr>
              <w:rPr>
                <w:snapToGrid w:val="0"/>
                <w:sz w:val="23"/>
                <w:szCs w:val="23"/>
              </w:rPr>
            </w:pPr>
            <w:r w:rsidRPr="004D7AFF">
              <w:rPr>
                <w:snapToGrid w:val="0"/>
                <w:sz w:val="23"/>
                <w:szCs w:val="23"/>
              </w:rPr>
              <w:t>ADDRESS</w:t>
            </w:r>
          </w:p>
          <w:p w14:paraId="53EE34A9" w14:textId="77777777" w:rsidR="00FC2749" w:rsidRPr="004D7AFF" w:rsidRDefault="00FC2749" w:rsidP="0062168A">
            <w:pPr>
              <w:pBdr>
                <w:bottom w:val="single" w:sz="12" w:space="1" w:color="auto"/>
              </w:pBdr>
              <w:rPr>
                <w:snapToGrid w:val="0"/>
                <w:sz w:val="23"/>
                <w:szCs w:val="23"/>
              </w:rPr>
            </w:pPr>
          </w:p>
          <w:p w14:paraId="74670BFC" w14:textId="77777777" w:rsidR="00FC2749" w:rsidRPr="004D7AFF" w:rsidRDefault="00FC2749" w:rsidP="0062168A">
            <w:pPr>
              <w:rPr>
                <w:snapToGrid w:val="0"/>
                <w:sz w:val="23"/>
                <w:szCs w:val="23"/>
              </w:rPr>
            </w:pPr>
            <w:r w:rsidRPr="004D7AFF">
              <w:rPr>
                <w:snapToGrid w:val="0"/>
                <w:sz w:val="23"/>
                <w:szCs w:val="23"/>
              </w:rPr>
              <w:t>EMPLOYER</w:t>
            </w:r>
          </w:p>
        </w:tc>
      </w:tr>
    </w:tbl>
    <w:p w14:paraId="32FD6CA3" w14:textId="77777777" w:rsidR="00FC2749" w:rsidRPr="00BE7EDF" w:rsidRDefault="00FC2749" w:rsidP="00FC2749">
      <w:pPr>
        <w:rPr>
          <w:snapToGrid w:val="0"/>
        </w:rPr>
      </w:pPr>
    </w:p>
    <w:p w14:paraId="7E90E6D8" w14:textId="77777777" w:rsidR="006004EE" w:rsidRDefault="006004EE" w:rsidP="00A23B18">
      <w:pPr>
        <w:autoSpaceDE/>
        <w:autoSpaceDN/>
        <w:spacing w:line="360" w:lineRule="auto"/>
        <w:ind w:firstLine="1440"/>
        <w:sectPr w:rsidR="006004EE" w:rsidSect="004B667C">
          <w:footerReference w:type="default" r:id="rId8"/>
          <w:pgSz w:w="12240" w:h="15840" w:code="1"/>
          <w:pgMar w:top="1440" w:right="1440" w:bottom="1440" w:left="1440" w:header="720" w:footer="720" w:gutter="0"/>
          <w:pgNumType w:start="1"/>
          <w:cols w:space="720"/>
          <w:formProt w:val="0"/>
          <w:titlePg/>
          <w:docGrid w:linePitch="360"/>
        </w:sectPr>
      </w:pPr>
    </w:p>
    <w:p w14:paraId="209BCFAE" w14:textId="77777777" w:rsidR="006004EE" w:rsidRDefault="006004EE" w:rsidP="006004E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R-2018-3004019 - et al - PENNSYLVANIA PUBLIC UTILITY COMMISSION v. UNITED TELEPHONE COMPANY OF PENNSYLVANIA d/b/a CENTURYLINK</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br/>
        <w:t>C-2018-3005400 - et al - OFFICE OF CONSUMER ADVOCATE v. UNITED TELEPHONE COMPANY OF PENNSYLVANIA d/b/a CENTURYLINK</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THOMAS A BAILEY ESQUIRE</w:t>
      </w:r>
      <w:r>
        <w:rPr>
          <w:rFonts w:ascii="Microsoft Sans Serif" w:eastAsia="Microsoft Sans Serif" w:hAnsi="Microsoft Sans Serif" w:cs="Microsoft Sans Serif"/>
        </w:rPr>
        <w:br/>
        <w:t xml:space="preserve">ZSUZSANNA E BENEDEK ESQUIRE </w:t>
      </w:r>
      <w:r>
        <w:rPr>
          <w:rFonts w:ascii="Microsoft Sans Serif" w:eastAsia="Microsoft Sans Serif" w:hAnsi="Microsoft Sans Serif" w:cs="Microsoft Sans Serif"/>
        </w:rPr>
        <w:cr/>
        <w:t>CENTURYLINK</w:t>
      </w:r>
      <w:r>
        <w:rPr>
          <w:rFonts w:ascii="Microsoft Sans Serif" w:eastAsia="Microsoft Sans Serif" w:hAnsi="Microsoft Sans Serif" w:cs="Microsoft Sans Serif"/>
        </w:rPr>
        <w:cr/>
        <w:t>240 NORTH THIRD STREET SUITE 300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t>sue.benedek@centurylink.com</w:t>
      </w:r>
    </w:p>
    <w:p w14:paraId="147AF99D" w14:textId="77777777" w:rsidR="006004EE" w:rsidRDefault="006004EE" w:rsidP="006004EE">
      <w:pPr>
        <w:rPr>
          <w:rFonts w:ascii="Microsoft Sans Serif" w:eastAsia="Microsoft Sans Serif" w:hAnsi="Microsoft Sans Serif" w:cs="Microsoft Sans Serif"/>
        </w:rPr>
      </w:pPr>
      <w:r w:rsidRPr="00796B88">
        <w:rPr>
          <w:rFonts w:ascii="Microsoft Sans Serif" w:eastAsia="Microsoft Sans Serif" w:hAnsi="Microsoft Sans Serif" w:cs="Microsoft Sans Serif"/>
          <w:b/>
        </w:rPr>
        <w:t>717.245.7747</w:t>
      </w:r>
      <w:r>
        <w:rPr>
          <w:rFonts w:ascii="Microsoft Sans Serif" w:eastAsia="Microsoft Sans Serif" w:hAnsi="Microsoft Sans Serif" w:cs="Microsoft Sans Serif"/>
          <w:b/>
        </w:rPr>
        <w:br/>
        <w:t>717.245.6346</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STEVEN C GRAY ESQUIRE </w:t>
      </w:r>
      <w:r>
        <w:rPr>
          <w:rFonts w:ascii="Microsoft Sans Serif" w:eastAsia="Microsoft Sans Serif" w:hAnsi="Microsoft Sans Serif" w:cs="Microsoft Sans Serif"/>
        </w:rPr>
        <w:br/>
        <w:t>OFFICE OF SMALL BUSINESS ADVOCATE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br/>
        <w:t>FORUM PLACE, 1</w:t>
      </w:r>
      <w:r w:rsidRPr="000D1375">
        <w:rPr>
          <w:rFonts w:ascii="Microsoft Sans Serif" w:eastAsia="Microsoft Sans Serif" w:hAnsi="Microsoft Sans Serif" w:cs="Microsoft Sans Serif"/>
          <w:vertAlign w:val="superscript"/>
        </w:rPr>
        <w:t>ST</w:t>
      </w:r>
      <w:r>
        <w:rPr>
          <w:rFonts w:ascii="Microsoft Sans Serif" w:eastAsia="Microsoft Sans Serif" w:hAnsi="Microsoft Sans Serif" w:cs="Microsoft Sans Serif"/>
        </w:rPr>
        <w:t xml:space="preserve"> FLOOR </w:t>
      </w:r>
      <w:r>
        <w:rPr>
          <w:rFonts w:ascii="Microsoft Sans Serif" w:eastAsia="Microsoft Sans Serif" w:hAnsi="Microsoft Sans Serif" w:cs="Microsoft Sans Serif"/>
        </w:rPr>
        <w:cr/>
        <w:t>HARRISBURG PA  17101</w:t>
      </w:r>
    </w:p>
    <w:p w14:paraId="4CC6C6BD" w14:textId="77777777" w:rsidR="006004EE" w:rsidRPr="00796B88" w:rsidRDefault="006004EE" w:rsidP="006004EE">
      <w:pPr>
        <w:rPr>
          <w:rFonts w:ascii="Microsoft Sans Serif" w:eastAsia="Microsoft Sans Serif" w:hAnsi="Microsoft Sans Serif" w:cs="Microsoft Sans Serif"/>
        </w:rPr>
      </w:pPr>
      <w:hyperlink r:id="rId9" w:history="1">
        <w:r w:rsidRPr="00395925">
          <w:rPr>
            <w:rStyle w:val="Hyperlink"/>
            <w:rFonts w:ascii="Microsoft Sans Serif" w:eastAsia="Microsoft Sans Serif" w:hAnsi="Microsoft Sans Serif" w:cs="Microsoft Sans Serif"/>
          </w:rPr>
          <w:t>sgray@pa.gov</w:t>
        </w:r>
      </w:hyperlink>
      <w:r>
        <w:rPr>
          <w:rFonts w:ascii="Microsoft Sans Serif" w:eastAsia="Microsoft Sans Serif" w:hAnsi="Microsoft Sans Serif" w:cs="Microsoft Sans Serif"/>
        </w:rPr>
        <w:cr/>
      </w:r>
      <w:r w:rsidRPr="00796B88">
        <w:rPr>
          <w:rFonts w:ascii="Microsoft Sans Serif" w:eastAsia="Microsoft Sans Serif" w:hAnsi="Microsoft Sans Serif" w:cs="Microsoft Sans Serif"/>
          <w:b/>
        </w:rPr>
        <w:t>717.783.2525</w:t>
      </w:r>
      <w:r>
        <w:rPr>
          <w:rFonts w:ascii="Microsoft Sans Serif" w:eastAsia="Microsoft Sans Serif" w:hAnsi="Microsoft Sans Serif" w:cs="Microsoft Sans Serif"/>
        </w:rPr>
        <w:cr/>
      </w:r>
      <w:r>
        <w:rPr>
          <w:rFonts w:ascii="Microsoft Sans Serif" w:eastAsia="Microsoft Sans Serif" w:hAnsi="Microsoft Sans Serif" w:cs="Microsoft Sans Serif"/>
        </w:rPr>
        <w:cr/>
        <w:t>*BARRETT SHERIDAN ESQUIRE</w:t>
      </w:r>
      <w:r>
        <w:rPr>
          <w:rFonts w:ascii="Microsoft Sans Serif" w:eastAsia="Microsoft Sans Serif" w:hAnsi="Microsoft Sans Serif" w:cs="Microsoft Sans Serif"/>
        </w:rPr>
        <w:br/>
        <w:t>TANYA J MCCLOSKEY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 5TH FLOOR 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796B88">
        <w:rPr>
          <w:rFonts w:ascii="Microsoft Sans Serif" w:eastAsia="Microsoft Sans Serif" w:hAnsi="Microsoft Sans Serif" w:cs="Microsoft Sans Serif"/>
          <w:b/>
        </w:rPr>
        <w:t>717.783.5048</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p>
    <w:p w14:paraId="00C31E2D" w14:textId="77777777" w:rsidR="006004EE" w:rsidRDefault="006004EE" w:rsidP="006004EE"/>
    <w:p w14:paraId="3D9F06F4" w14:textId="15126A9E" w:rsidR="004B667C" w:rsidRPr="009624B6" w:rsidRDefault="004B667C" w:rsidP="006004EE">
      <w:pPr>
        <w:autoSpaceDE/>
        <w:autoSpaceDN/>
        <w:spacing w:line="360" w:lineRule="auto"/>
      </w:pPr>
      <w:bookmarkStart w:id="4" w:name="_GoBack"/>
      <w:bookmarkEnd w:id="4"/>
    </w:p>
    <w:sectPr w:rsidR="004B667C" w:rsidRPr="009624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2A1D6" w14:textId="77777777" w:rsidR="003F2C80" w:rsidRDefault="003F2C80">
      <w:r>
        <w:separator/>
      </w:r>
    </w:p>
  </w:endnote>
  <w:endnote w:type="continuationSeparator" w:id="0">
    <w:p w14:paraId="41EE7046" w14:textId="77777777" w:rsidR="003F2C80" w:rsidRDefault="003F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7401A" w14:textId="77777777" w:rsidR="003F2C80" w:rsidRDefault="003F2C80">
      <w:r>
        <w:separator/>
      </w:r>
    </w:p>
  </w:footnote>
  <w:footnote w:type="continuationSeparator" w:id="0">
    <w:p w14:paraId="27EB4F77" w14:textId="77777777" w:rsidR="003F2C80" w:rsidRDefault="003F2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DB5101D"/>
    <w:multiLevelType w:val="hybridMultilevel"/>
    <w:tmpl w:val="563CB7BA"/>
    <w:lvl w:ilvl="0" w:tplc="6EE25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14404"/>
    <w:multiLevelType w:val="hybridMultilevel"/>
    <w:tmpl w:val="656C63E4"/>
    <w:lvl w:ilvl="0" w:tplc="DE5028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A1E61"/>
    <w:multiLevelType w:val="hybridMultilevel"/>
    <w:tmpl w:val="62CE06E2"/>
    <w:lvl w:ilvl="0" w:tplc="42AC4D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224161"/>
    <w:multiLevelType w:val="hybridMultilevel"/>
    <w:tmpl w:val="4F8C394E"/>
    <w:lvl w:ilvl="0" w:tplc="6982F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37C53996"/>
    <w:multiLevelType w:val="hybridMultilevel"/>
    <w:tmpl w:val="67269866"/>
    <w:lvl w:ilvl="0" w:tplc="69A42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7A0920"/>
    <w:multiLevelType w:val="hybridMultilevel"/>
    <w:tmpl w:val="EA903AAC"/>
    <w:lvl w:ilvl="0" w:tplc="AC7ECA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8080D01"/>
    <w:multiLevelType w:val="hybridMultilevel"/>
    <w:tmpl w:val="50AE9E86"/>
    <w:lvl w:ilvl="0" w:tplc="06C2B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4F40D9C"/>
    <w:multiLevelType w:val="hybridMultilevel"/>
    <w:tmpl w:val="40F6AAA6"/>
    <w:lvl w:ilvl="0" w:tplc="9C74A5E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9"/>
  </w:num>
  <w:num w:numId="3">
    <w:abstractNumId w:val="0"/>
    <w:lvlOverride w:ilvl="0">
      <w:startOverride w:val="1"/>
    </w:lvlOverride>
  </w:num>
  <w:num w:numId="4">
    <w:abstractNumId w:val="4"/>
  </w:num>
  <w:num w:numId="5">
    <w:abstractNumId w:val="8"/>
  </w:num>
  <w:num w:numId="6">
    <w:abstractNumId w:val="2"/>
  </w:num>
  <w:num w:numId="7">
    <w:abstractNumId w:val="1"/>
  </w:num>
  <w:num w:numId="8">
    <w:abstractNumId w:val="6"/>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460FA"/>
    <w:rsid w:val="00047023"/>
    <w:rsid w:val="00072F26"/>
    <w:rsid w:val="00085B6B"/>
    <w:rsid w:val="0009055F"/>
    <w:rsid w:val="000A55C9"/>
    <w:rsid w:val="000C4359"/>
    <w:rsid w:val="000C49BB"/>
    <w:rsid w:val="000E28AD"/>
    <w:rsid w:val="000F41F3"/>
    <w:rsid w:val="000F54DC"/>
    <w:rsid w:val="000F5B7E"/>
    <w:rsid w:val="000F7B90"/>
    <w:rsid w:val="0010094A"/>
    <w:rsid w:val="00113EB5"/>
    <w:rsid w:val="001152AF"/>
    <w:rsid w:val="001423CE"/>
    <w:rsid w:val="0016077C"/>
    <w:rsid w:val="00167D1B"/>
    <w:rsid w:val="001708BA"/>
    <w:rsid w:val="00172B9D"/>
    <w:rsid w:val="00195558"/>
    <w:rsid w:val="001959CA"/>
    <w:rsid w:val="001A41E7"/>
    <w:rsid w:val="001A7BA3"/>
    <w:rsid w:val="001B07C4"/>
    <w:rsid w:val="001C2DB7"/>
    <w:rsid w:val="001E2F65"/>
    <w:rsid w:val="001F1275"/>
    <w:rsid w:val="001F792D"/>
    <w:rsid w:val="00232122"/>
    <w:rsid w:val="00237146"/>
    <w:rsid w:val="002428F7"/>
    <w:rsid w:val="00243313"/>
    <w:rsid w:val="00270F60"/>
    <w:rsid w:val="00271BDF"/>
    <w:rsid w:val="002805DB"/>
    <w:rsid w:val="002C4656"/>
    <w:rsid w:val="002D3C69"/>
    <w:rsid w:val="002D683F"/>
    <w:rsid w:val="002D7E51"/>
    <w:rsid w:val="002E0A2C"/>
    <w:rsid w:val="002F58AB"/>
    <w:rsid w:val="00307597"/>
    <w:rsid w:val="003260C5"/>
    <w:rsid w:val="00330BBB"/>
    <w:rsid w:val="00332778"/>
    <w:rsid w:val="0035126D"/>
    <w:rsid w:val="003556DE"/>
    <w:rsid w:val="00364C43"/>
    <w:rsid w:val="00365405"/>
    <w:rsid w:val="003717C9"/>
    <w:rsid w:val="0037613E"/>
    <w:rsid w:val="00376E58"/>
    <w:rsid w:val="00377B3A"/>
    <w:rsid w:val="003838AC"/>
    <w:rsid w:val="00386509"/>
    <w:rsid w:val="00394324"/>
    <w:rsid w:val="00395877"/>
    <w:rsid w:val="003A5C7F"/>
    <w:rsid w:val="003B0971"/>
    <w:rsid w:val="003B2022"/>
    <w:rsid w:val="003B4706"/>
    <w:rsid w:val="003C1A1D"/>
    <w:rsid w:val="003D20EA"/>
    <w:rsid w:val="003D79EA"/>
    <w:rsid w:val="003E620C"/>
    <w:rsid w:val="003F29AA"/>
    <w:rsid w:val="003F2C80"/>
    <w:rsid w:val="00401429"/>
    <w:rsid w:val="00422D50"/>
    <w:rsid w:val="00435282"/>
    <w:rsid w:val="004374B7"/>
    <w:rsid w:val="00440721"/>
    <w:rsid w:val="00444E14"/>
    <w:rsid w:val="00447866"/>
    <w:rsid w:val="00470589"/>
    <w:rsid w:val="00471FC8"/>
    <w:rsid w:val="00486694"/>
    <w:rsid w:val="00493FDC"/>
    <w:rsid w:val="004B667C"/>
    <w:rsid w:val="004C5E5E"/>
    <w:rsid w:val="004D0592"/>
    <w:rsid w:val="004E30A3"/>
    <w:rsid w:val="004E53C3"/>
    <w:rsid w:val="00500462"/>
    <w:rsid w:val="0050118C"/>
    <w:rsid w:val="00510389"/>
    <w:rsid w:val="00521DFF"/>
    <w:rsid w:val="00524EDA"/>
    <w:rsid w:val="00531E92"/>
    <w:rsid w:val="00553258"/>
    <w:rsid w:val="0056543D"/>
    <w:rsid w:val="00573667"/>
    <w:rsid w:val="00577E30"/>
    <w:rsid w:val="00595D44"/>
    <w:rsid w:val="005B0CF0"/>
    <w:rsid w:val="005B334E"/>
    <w:rsid w:val="005B34D8"/>
    <w:rsid w:val="005B5A9F"/>
    <w:rsid w:val="005E20B0"/>
    <w:rsid w:val="005E23C0"/>
    <w:rsid w:val="005E5030"/>
    <w:rsid w:val="005F61B4"/>
    <w:rsid w:val="005F6897"/>
    <w:rsid w:val="005F6E76"/>
    <w:rsid w:val="006004EE"/>
    <w:rsid w:val="00604D39"/>
    <w:rsid w:val="0061092C"/>
    <w:rsid w:val="0061426A"/>
    <w:rsid w:val="00621FDA"/>
    <w:rsid w:val="00622B6E"/>
    <w:rsid w:val="00641F62"/>
    <w:rsid w:val="00643DDE"/>
    <w:rsid w:val="00656151"/>
    <w:rsid w:val="00667D22"/>
    <w:rsid w:val="00672017"/>
    <w:rsid w:val="00680731"/>
    <w:rsid w:val="0069215C"/>
    <w:rsid w:val="00694EFB"/>
    <w:rsid w:val="006967C1"/>
    <w:rsid w:val="006A01CB"/>
    <w:rsid w:val="006B3F9A"/>
    <w:rsid w:val="006B4599"/>
    <w:rsid w:val="006C1F07"/>
    <w:rsid w:val="006C7456"/>
    <w:rsid w:val="006D0DB7"/>
    <w:rsid w:val="006D1F03"/>
    <w:rsid w:val="006E7EB2"/>
    <w:rsid w:val="007168E2"/>
    <w:rsid w:val="00731CFE"/>
    <w:rsid w:val="007511E3"/>
    <w:rsid w:val="00760249"/>
    <w:rsid w:val="007629CE"/>
    <w:rsid w:val="00765206"/>
    <w:rsid w:val="00775EA1"/>
    <w:rsid w:val="00781091"/>
    <w:rsid w:val="00781E24"/>
    <w:rsid w:val="007878CE"/>
    <w:rsid w:val="007D372B"/>
    <w:rsid w:val="007F369F"/>
    <w:rsid w:val="00811F9D"/>
    <w:rsid w:val="0083250A"/>
    <w:rsid w:val="00846B14"/>
    <w:rsid w:val="00861F9F"/>
    <w:rsid w:val="00871B80"/>
    <w:rsid w:val="008768E1"/>
    <w:rsid w:val="00876F9A"/>
    <w:rsid w:val="008825EA"/>
    <w:rsid w:val="00882A37"/>
    <w:rsid w:val="00886DA4"/>
    <w:rsid w:val="008975FD"/>
    <w:rsid w:val="008B55D5"/>
    <w:rsid w:val="008C3B32"/>
    <w:rsid w:val="008C551A"/>
    <w:rsid w:val="008C633A"/>
    <w:rsid w:val="008D0ECB"/>
    <w:rsid w:val="008D5417"/>
    <w:rsid w:val="008E22F4"/>
    <w:rsid w:val="008E29A2"/>
    <w:rsid w:val="008E4A35"/>
    <w:rsid w:val="008E71F1"/>
    <w:rsid w:val="0090621C"/>
    <w:rsid w:val="009134FD"/>
    <w:rsid w:val="00925CBE"/>
    <w:rsid w:val="00940F1B"/>
    <w:rsid w:val="009473ED"/>
    <w:rsid w:val="00950AF7"/>
    <w:rsid w:val="00954CB9"/>
    <w:rsid w:val="009624B6"/>
    <w:rsid w:val="009633B9"/>
    <w:rsid w:val="00964B71"/>
    <w:rsid w:val="009825A8"/>
    <w:rsid w:val="009836CE"/>
    <w:rsid w:val="009851EE"/>
    <w:rsid w:val="009B2DBF"/>
    <w:rsid w:val="009B39EE"/>
    <w:rsid w:val="009B4499"/>
    <w:rsid w:val="009C1AEE"/>
    <w:rsid w:val="009D20E0"/>
    <w:rsid w:val="009E6606"/>
    <w:rsid w:val="00A0190E"/>
    <w:rsid w:val="00A23B18"/>
    <w:rsid w:val="00A24539"/>
    <w:rsid w:val="00A272CB"/>
    <w:rsid w:val="00A33BFB"/>
    <w:rsid w:val="00A40672"/>
    <w:rsid w:val="00A42D79"/>
    <w:rsid w:val="00A552CC"/>
    <w:rsid w:val="00A57F7A"/>
    <w:rsid w:val="00A66F14"/>
    <w:rsid w:val="00A85319"/>
    <w:rsid w:val="00A918C1"/>
    <w:rsid w:val="00A9682C"/>
    <w:rsid w:val="00AA753A"/>
    <w:rsid w:val="00AB009E"/>
    <w:rsid w:val="00AB18FE"/>
    <w:rsid w:val="00AC545F"/>
    <w:rsid w:val="00AD0B64"/>
    <w:rsid w:val="00AD3534"/>
    <w:rsid w:val="00AF23E1"/>
    <w:rsid w:val="00AF336B"/>
    <w:rsid w:val="00AF403A"/>
    <w:rsid w:val="00B05488"/>
    <w:rsid w:val="00B05651"/>
    <w:rsid w:val="00B05A75"/>
    <w:rsid w:val="00B1371E"/>
    <w:rsid w:val="00B13A1D"/>
    <w:rsid w:val="00B20A2A"/>
    <w:rsid w:val="00B45653"/>
    <w:rsid w:val="00B54183"/>
    <w:rsid w:val="00B55F52"/>
    <w:rsid w:val="00B72CAE"/>
    <w:rsid w:val="00B816DD"/>
    <w:rsid w:val="00B86CEF"/>
    <w:rsid w:val="00BA167A"/>
    <w:rsid w:val="00BA3572"/>
    <w:rsid w:val="00BC31FF"/>
    <w:rsid w:val="00BC4C44"/>
    <w:rsid w:val="00BC730B"/>
    <w:rsid w:val="00BD0120"/>
    <w:rsid w:val="00BD3BD1"/>
    <w:rsid w:val="00BD6AF3"/>
    <w:rsid w:val="00BE3426"/>
    <w:rsid w:val="00BE3D2B"/>
    <w:rsid w:val="00BF2D17"/>
    <w:rsid w:val="00C06987"/>
    <w:rsid w:val="00C53692"/>
    <w:rsid w:val="00C56519"/>
    <w:rsid w:val="00C63855"/>
    <w:rsid w:val="00C90730"/>
    <w:rsid w:val="00C9263E"/>
    <w:rsid w:val="00C92E57"/>
    <w:rsid w:val="00CB0A65"/>
    <w:rsid w:val="00CB1779"/>
    <w:rsid w:val="00CC1B61"/>
    <w:rsid w:val="00CC6709"/>
    <w:rsid w:val="00CD5D97"/>
    <w:rsid w:val="00CF4665"/>
    <w:rsid w:val="00CF6544"/>
    <w:rsid w:val="00D05749"/>
    <w:rsid w:val="00D14E3B"/>
    <w:rsid w:val="00D17940"/>
    <w:rsid w:val="00D20483"/>
    <w:rsid w:val="00D43921"/>
    <w:rsid w:val="00D50E27"/>
    <w:rsid w:val="00D71902"/>
    <w:rsid w:val="00D80948"/>
    <w:rsid w:val="00D81ED0"/>
    <w:rsid w:val="00D87F5F"/>
    <w:rsid w:val="00D9382C"/>
    <w:rsid w:val="00D93E90"/>
    <w:rsid w:val="00D972A6"/>
    <w:rsid w:val="00DA336D"/>
    <w:rsid w:val="00DA55B9"/>
    <w:rsid w:val="00DB5142"/>
    <w:rsid w:val="00DB5537"/>
    <w:rsid w:val="00DC4972"/>
    <w:rsid w:val="00DD1E0F"/>
    <w:rsid w:val="00DD3610"/>
    <w:rsid w:val="00DF6C59"/>
    <w:rsid w:val="00E04224"/>
    <w:rsid w:val="00E071A9"/>
    <w:rsid w:val="00E17655"/>
    <w:rsid w:val="00E3151A"/>
    <w:rsid w:val="00E36D62"/>
    <w:rsid w:val="00E37FE2"/>
    <w:rsid w:val="00E4396F"/>
    <w:rsid w:val="00E448FD"/>
    <w:rsid w:val="00E508E2"/>
    <w:rsid w:val="00E54D17"/>
    <w:rsid w:val="00E56E49"/>
    <w:rsid w:val="00E71258"/>
    <w:rsid w:val="00E8011E"/>
    <w:rsid w:val="00E80F78"/>
    <w:rsid w:val="00E8207F"/>
    <w:rsid w:val="00EA0A14"/>
    <w:rsid w:val="00EA4CCC"/>
    <w:rsid w:val="00EA5419"/>
    <w:rsid w:val="00EA5CE9"/>
    <w:rsid w:val="00EA6874"/>
    <w:rsid w:val="00EE4691"/>
    <w:rsid w:val="00EF66ED"/>
    <w:rsid w:val="00EF7A4B"/>
    <w:rsid w:val="00F227FB"/>
    <w:rsid w:val="00F22A54"/>
    <w:rsid w:val="00F25962"/>
    <w:rsid w:val="00F408AA"/>
    <w:rsid w:val="00F57782"/>
    <w:rsid w:val="00F66FE2"/>
    <w:rsid w:val="00F93F0D"/>
    <w:rsid w:val="00FA153F"/>
    <w:rsid w:val="00FA5A31"/>
    <w:rsid w:val="00FC2749"/>
    <w:rsid w:val="00FD1F3A"/>
    <w:rsid w:val="00FE0D5C"/>
    <w:rsid w:val="00FF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9E6606"/>
    <w:pPr>
      <w:tabs>
        <w:tab w:val="center" w:pos="4320"/>
        <w:tab w:val="right" w:pos="8640"/>
      </w:tabs>
    </w:pPr>
  </w:style>
  <w:style w:type="character" w:customStyle="1" w:styleId="FooterChar">
    <w:name w:val="Footer Char"/>
    <w:basedOn w:val="DefaultParagraphFont"/>
    <w:link w:val="Footer"/>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aliases w:val="o,fr"/>
    <w:basedOn w:val="DefaultParagraphFont"/>
    <w:uiPriority w:val="99"/>
    <w:semiHidden/>
    <w:unhideWhenUsed/>
    <w:rsid w:val="0037613E"/>
    <w:rPr>
      <w:vertAlign w:val="superscript"/>
    </w:rPr>
  </w:style>
  <w:style w:type="paragraph" w:customStyle="1" w:styleId="Style">
    <w:name w:val="Style"/>
    <w:rsid w:val="00553258"/>
    <w:pPr>
      <w:widowControl w:val="0"/>
      <w:autoSpaceDE w:val="0"/>
      <w:autoSpaceDN w:val="0"/>
      <w:adjustRightInd w:val="0"/>
      <w:spacing w:after="0"/>
    </w:pPr>
    <w:rPr>
      <w:rFonts w:ascii="Times New Roman" w:eastAsia="Times New Roman" w:hAnsi="Times New Roman" w:cs="Times New Roman"/>
      <w:sz w:val="24"/>
      <w:szCs w:val="24"/>
    </w:rPr>
  </w:style>
  <w:style w:type="paragraph" w:styleId="BodyText2">
    <w:name w:val="Body Text 2"/>
    <w:basedOn w:val="Normal"/>
    <w:link w:val="BodyText2Char"/>
    <w:rsid w:val="0061092C"/>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rsid w:val="0061092C"/>
    <w:rPr>
      <w:rFonts w:ascii="Times New Roman" w:eastAsia="Times New Roman" w:hAnsi="Times New Roman" w:cs="Times New Roman"/>
      <w:sz w:val="20"/>
      <w:szCs w:val="20"/>
    </w:rPr>
  </w:style>
  <w:style w:type="paragraph" w:styleId="ListNumber">
    <w:name w:val="List Number"/>
    <w:basedOn w:val="Normal"/>
    <w:qFormat/>
    <w:rsid w:val="0061092C"/>
    <w:pPr>
      <w:numPr>
        <w:numId w:val="3"/>
      </w:numPr>
      <w:tabs>
        <w:tab w:val="clear" w:pos="1440"/>
        <w:tab w:val="num" w:pos="360"/>
      </w:tabs>
      <w:autoSpaceDE/>
      <w:autoSpaceDN/>
      <w:spacing w:after="240"/>
      <w:ind w:left="0" w:firstLine="0"/>
      <w:jc w:val="both"/>
    </w:pPr>
    <w:rPr>
      <w:rFonts w:ascii="Times New Roman" w:hAnsi="Times New Roman" w:cs="Times New Roman"/>
    </w:rPr>
  </w:style>
  <w:style w:type="paragraph" w:styleId="BalloonText">
    <w:name w:val="Balloon Text"/>
    <w:basedOn w:val="Normal"/>
    <w:link w:val="BalloonTextChar"/>
    <w:uiPriority w:val="99"/>
    <w:semiHidden/>
    <w:unhideWhenUsed/>
    <w:rsid w:val="00AF4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3A"/>
    <w:rPr>
      <w:rFonts w:ascii="Segoe UI" w:eastAsia="Times New Roman" w:hAnsi="Segoe UI" w:cs="Segoe UI"/>
      <w:sz w:val="18"/>
      <w:szCs w:val="18"/>
    </w:rPr>
  </w:style>
  <w:style w:type="table" w:styleId="TableGrid">
    <w:name w:val="Table Grid"/>
    <w:basedOn w:val="TableNormal"/>
    <w:rsid w:val="006E7EB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25CBE"/>
    <w:pPr>
      <w:spacing w:after="120"/>
    </w:pPr>
  </w:style>
  <w:style w:type="character" w:customStyle="1" w:styleId="BodyTextChar">
    <w:name w:val="Body Text Char"/>
    <w:basedOn w:val="DefaultParagraphFont"/>
    <w:link w:val="BodyText"/>
    <w:uiPriority w:val="99"/>
    <w:semiHidden/>
    <w:rsid w:val="00925CBE"/>
    <w:rPr>
      <w:rFonts w:ascii="CG Times" w:eastAsia="Times New Roman" w:hAnsi="CG Times" w:cs="CG Times"/>
      <w:sz w:val="24"/>
      <w:szCs w:val="24"/>
    </w:rPr>
  </w:style>
  <w:style w:type="paragraph" w:customStyle="1" w:styleId="FirmTitleCB">
    <w:name w:val="Firm Title CB"/>
    <w:basedOn w:val="Normal"/>
    <w:rsid w:val="00A23B18"/>
    <w:pPr>
      <w:keepNext/>
      <w:keepLines/>
      <w:autoSpaceDE/>
      <w:autoSpaceDN/>
      <w:spacing w:before="360" w:after="480"/>
      <w:jc w:val="center"/>
    </w:pPr>
    <w:rPr>
      <w:rFonts w:ascii="Times New Roman Bold" w:hAnsi="Times New Roman Bold" w:cs="Times New Roman"/>
      <w:b/>
      <w:caps/>
    </w:rPr>
  </w:style>
  <w:style w:type="character" w:styleId="PageNumber">
    <w:name w:val="page number"/>
    <w:basedOn w:val="DefaultParagraphFont"/>
    <w:rsid w:val="00A23B18"/>
  </w:style>
  <w:style w:type="paragraph" w:styleId="BodyTextIndent2">
    <w:name w:val="Body Text Indent 2"/>
    <w:basedOn w:val="Normal"/>
    <w:link w:val="BodyTextIndent2Char"/>
    <w:uiPriority w:val="99"/>
    <w:semiHidden/>
    <w:unhideWhenUsed/>
    <w:rsid w:val="00FC2749"/>
    <w:pPr>
      <w:autoSpaceDE/>
      <w:autoSpaceDN/>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FC2749"/>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C2749"/>
    <w:pPr>
      <w:autoSpaceDE/>
      <w:autoSpaceDN/>
      <w:spacing w:after="120"/>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FC2749"/>
    <w:rPr>
      <w:rFonts w:ascii="Times New Roman" w:eastAsia="Times New Roman" w:hAnsi="Times New Roman" w:cs="Times New Roman"/>
      <w:sz w:val="16"/>
      <w:szCs w:val="16"/>
    </w:rPr>
  </w:style>
  <w:style w:type="paragraph" w:customStyle="1" w:styleId="WP9BodyTex">
    <w:name w:val="WP9_Body Tex"/>
    <w:basedOn w:val="Normal"/>
    <w:rsid w:val="00FC2749"/>
    <w:pPr>
      <w:autoSpaceDE/>
      <w:autoSpaceDN/>
      <w:spacing w:line="360" w:lineRule="auto"/>
      <w:jc w:val="both"/>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gra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6F61E-0937-493D-975A-618B60DD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4230</Words>
  <Characters>24114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2019-12-23T17:41:00Z</cp:lastPrinted>
  <dcterms:created xsi:type="dcterms:W3CDTF">2020-05-06T18:28:00Z</dcterms:created>
  <dcterms:modified xsi:type="dcterms:W3CDTF">2020-05-06T18:28:00Z</dcterms:modified>
</cp:coreProperties>
</file>