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9F1E0" w14:textId="77777777" w:rsidR="001B0C5E" w:rsidRPr="00476D36" w:rsidRDefault="001F4B02" w:rsidP="002625EC">
      <w:pPr>
        <w:widowControl/>
        <w:tabs>
          <w:tab w:val="center" w:pos="4680"/>
        </w:tabs>
        <w:contextualSpacing/>
        <w:jc w:val="center"/>
        <w:rPr>
          <w:b/>
          <w:sz w:val="26"/>
          <w:szCs w:val="26"/>
        </w:rPr>
      </w:pPr>
      <w:r w:rsidRPr="00476D36">
        <w:rPr>
          <w:b/>
          <w:sz w:val="26"/>
          <w:szCs w:val="26"/>
        </w:rPr>
        <w:t>P</w:t>
      </w:r>
      <w:r w:rsidR="001B0C5E" w:rsidRPr="00476D36">
        <w:rPr>
          <w:b/>
          <w:sz w:val="26"/>
          <w:szCs w:val="26"/>
        </w:rPr>
        <w:t>ENNSYLVANIA</w:t>
      </w:r>
    </w:p>
    <w:p w14:paraId="7140EF25" w14:textId="77777777" w:rsidR="001B0C5E" w:rsidRPr="00476D36" w:rsidRDefault="001B0C5E" w:rsidP="002625EC">
      <w:pPr>
        <w:widowControl/>
        <w:tabs>
          <w:tab w:val="center" w:pos="4680"/>
        </w:tabs>
        <w:contextualSpacing/>
        <w:jc w:val="center"/>
        <w:rPr>
          <w:sz w:val="26"/>
          <w:szCs w:val="26"/>
        </w:rPr>
      </w:pPr>
      <w:r w:rsidRPr="00476D36">
        <w:rPr>
          <w:b/>
          <w:sz w:val="26"/>
          <w:szCs w:val="26"/>
        </w:rPr>
        <w:t>PUBLIC UTILITY COMMISSION</w:t>
      </w:r>
    </w:p>
    <w:p w14:paraId="6323574D" w14:textId="77777777" w:rsidR="001B0C5E" w:rsidRPr="00476D36" w:rsidRDefault="001B0C5E" w:rsidP="002625EC">
      <w:pPr>
        <w:widowControl/>
        <w:tabs>
          <w:tab w:val="center" w:pos="4680"/>
        </w:tabs>
        <w:contextualSpacing/>
        <w:jc w:val="center"/>
        <w:rPr>
          <w:sz w:val="26"/>
          <w:szCs w:val="26"/>
        </w:rPr>
      </w:pPr>
      <w:r w:rsidRPr="00476D36">
        <w:rPr>
          <w:b/>
          <w:sz w:val="26"/>
          <w:szCs w:val="26"/>
        </w:rPr>
        <w:t>Harrisburg, PA 171</w:t>
      </w:r>
      <w:r w:rsidR="00CB7BC2" w:rsidRPr="00476D36">
        <w:rPr>
          <w:b/>
          <w:sz w:val="26"/>
          <w:szCs w:val="26"/>
        </w:rPr>
        <w:t>20</w:t>
      </w:r>
    </w:p>
    <w:p w14:paraId="5DD8FE5C" w14:textId="77777777" w:rsidR="001B0C5E" w:rsidRPr="00476D36" w:rsidRDefault="001B0C5E" w:rsidP="002625EC">
      <w:pPr>
        <w:widowControl/>
        <w:contextualSpacing/>
        <w:rPr>
          <w:sz w:val="26"/>
          <w:szCs w:val="26"/>
        </w:rPr>
      </w:pPr>
    </w:p>
    <w:p w14:paraId="68A30402" w14:textId="77777777" w:rsidR="00D13E44" w:rsidRPr="00476D36"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1B0C5E" w:rsidRPr="00476D36" w14:paraId="273CFA4C" w14:textId="77777777" w:rsidTr="003161E5">
        <w:tc>
          <w:tcPr>
            <w:tcW w:w="4878" w:type="dxa"/>
          </w:tcPr>
          <w:p w14:paraId="50DDB2D7" w14:textId="77777777" w:rsidR="001B0C5E" w:rsidRPr="00476D36" w:rsidRDefault="001B0C5E" w:rsidP="002625EC">
            <w:pPr>
              <w:widowControl/>
              <w:contextualSpacing/>
              <w:rPr>
                <w:sz w:val="26"/>
                <w:szCs w:val="26"/>
              </w:rPr>
            </w:pPr>
          </w:p>
        </w:tc>
        <w:tc>
          <w:tcPr>
            <w:tcW w:w="4608" w:type="dxa"/>
            <w:hideMark/>
          </w:tcPr>
          <w:p w14:paraId="6422D472" w14:textId="77777777" w:rsidR="001B0C5E" w:rsidRPr="00476D36" w:rsidRDefault="003F5257" w:rsidP="002625EC">
            <w:pPr>
              <w:widowControl/>
              <w:contextualSpacing/>
              <w:jc w:val="right"/>
              <w:rPr>
                <w:sz w:val="26"/>
                <w:szCs w:val="26"/>
              </w:rPr>
            </w:pPr>
            <w:r w:rsidRPr="00476D36">
              <w:rPr>
                <w:sz w:val="26"/>
                <w:szCs w:val="26"/>
              </w:rPr>
              <w:t xml:space="preserve">Public Meeting held </w:t>
            </w:r>
            <w:r w:rsidR="0032799C" w:rsidRPr="00476D36">
              <w:rPr>
                <w:sz w:val="26"/>
                <w:szCs w:val="26"/>
              </w:rPr>
              <w:t>May 21, 2020</w:t>
            </w:r>
          </w:p>
        </w:tc>
      </w:tr>
      <w:tr w:rsidR="001B0C5E" w:rsidRPr="00476D36" w14:paraId="7FC8BA97" w14:textId="77777777" w:rsidTr="003161E5">
        <w:tc>
          <w:tcPr>
            <w:tcW w:w="4878" w:type="dxa"/>
          </w:tcPr>
          <w:p w14:paraId="695B0A20" w14:textId="77777777" w:rsidR="001B0C5E" w:rsidRPr="00476D36" w:rsidRDefault="001B0C5E" w:rsidP="002625EC">
            <w:pPr>
              <w:widowControl/>
              <w:contextualSpacing/>
              <w:rPr>
                <w:sz w:val="26"/>
                <w:szCs w:val="26"/>
              </w:rPr>
            </w:pPr>
          </w:p>
          <w:p w14:paraId="64A069A1" w14:textId="77777777" w:rsidR="001B0C5E" w:rsidRPr="00476D36" w:rsidRDefault="001B0C5E" w:rsidP="002625EC">
            <w:pPr>
              <w:widowControl/>
              <w:contextualSpacing/>
              <w:rPr>
                <w:sz w:val="26"/>
                <w:szCs w:val="26"/>
              </w:rPr>
            </w:pPr>
            <w:r w:rsidRPr="00476D36">
              <w:rPr>
                <w:sz w:val="26"/>
                <w:szCs w:val="26"/>
              </w:rPr>
              <w:t>Commissioners Present:</w:t>
            </w:r>
          </w:p>
          <w:p w14:paraId="790136ED" w14:textId="77777777" w:rsidR="001B0C5E" w:rsidRPr="00476D36" w:rsidRDefault="001B0C5E" w:rsidP="002625EC">
            <w:pPr>
              <w:widowControl/>
              <w:contextualSpacing/>
              <w:rPr>
                <w:sz w:val="26"/>
                <w:szCs w:val="26"/>
              </w:rPr>
            </w:pPr>
          </w:p>
          <w:p w14:paraId="3EA52273" w14:textId="77777777" w:rsidR="001B0C5E" w:rsidRPr="00476D36" w:rsidRDefault="001B0C5E" w:rsidP="002625EC">
            <w:pPr>
              <w:widowControl/>
              <w:tabs>
                <w:tab w:val="left" w:pos="-720"/>
              </w:tabs>
              <w:ind w:left="720"/>
              <w:contextualSpacing/>
              <w:rPr>
                <w:sz w:val="26"/>
                <w:szCs w:val="26"/>
              </w:rPr>
            </w:pPr>
            <w:r w:rsidRPr="00476D36">
              <w:rPr>
                <w:sz w:val="26"/>
                <w:szCs w:val="26"/>
              </w:rPr>
              <w:t>Gladys Brown</w:t>
            </w:r>
            <w:r w:rsidR="00F560AF" w:rsidRPr="00476D36">
              <w:rPr>
                <w:sz w:val="26"/>
                <w:szCs w:val="26"/>
              </w:rPr>
              <w:t xml:space="preserve"> </w:t>
            </w:r>
            <w:proofErr w:type="spellStart"/>
            <w:r w:rsidR="00F560AF" w:rsidRPr="00476D36">
              <w:rPr>
                <w:sz w:val="26"/>
                <w:szCs w:val="26"/>
              </w:rPr>
              <w:t>Dutrie</w:t>
            </w:r>
            <w:r w:rsidR="001F39E7" w:rsidRPr="00476D36">
              <w:rPr>
                <w:sz w:val="26"/>
                <w:szCs w:val="26"/>
              </w:rPr>
              <w:t>u</w:t>
            </w:r>
            <w:r w:rsidR="00F560AF" w:rsidRPr="00476D36">
              <w:rPr>
                <w:sz w:val="26"/>
                <w:szCs w:val="26"/>
              </w:rPr>
              <w:t>ille</w:t>
            </w:r>
            <w:proofErr w:type="spellEnd"/>
            <w:r w:rsidRPr="00476D36">
              <w:rPr>
                <w:sz w:val="26"/>
                <w:szCs w:val="26"/>
              </w:rPr>
              <w:t>, Chairman</w:t>
            </w:r>
          </w:p>
          <w:p w14:paraId="60277576" w14:textId="77777777" w:rsidR="001B0C5E" w:rsidRPr="00476D36" w:rsidRDefault="00894660" w:rsidP="002625EC">
            <w:pPr>
              <w:widowControl/>
              <w:tabs>
                <w:tab w:val="left" w:pos="-720"/>
              </w:tabs>
              <w:ind w:left="720"/>
              <w:contextualSpacing/>
              <w:rPr>
                <w:sz w:val="26"/>
                <w:szCs w:val="26"/>
              </w:rPr>
            </w:pPr>
            <w:r w:rsidRPr="00476D36">
              <w:rPr>
                <w:sz w:val="26"/>
                <w:szCs w:val="26"/>
              </w:rPr>
              <w:t>David W. Sweet</w:t>
            </w:r>
            <w:r w:rsidR="001B0C5E" w:rsidRPr="00476D36">
              <w:rPr>
                <w:sz w:val="26"/>
                <w:szCs w:val="26"/>
              </w:rPr>
              <w:t>, Vice Chairman</w:t>
            </w:r>
          </w:p>
          <w:p w14:paraId="64D207FB" w14:textId="77777777" w:rsidR="001B0C5E" w:rsidRPr="00476D36" w:rsidRDefault="001B0C5E" w:rsidP="002625EC">
            <w:pPr>
              <w:widowControl/>
              <w:tabs>
                <w:tab w:val="left" w:pos="-720"/>
              </w:tabs>
              <w:ind w:left="720"/>
              <w:contextualSpacing/>
              <w:rPr>
                <w:sz w:val="26"/>
                <w:szCs w:val="26"/>
              </w:rPr>
            </w:pPr>
            <w:r w:rsidRPr="00476D36">
              <w:rPr>
                <w:sz w:val="26"/>
                <w:szCs w:val="26"/>
              </w:rPr>
              <w:t xml:space="preserve">John F. Coleman, Jr. </w:t>
            </w:r>
          </w:p>
          <w:p w14:paraId="68891966" w14:textId="77777777" w:rsidR="001F39E7" w:rsidRPr="00476D36" w:rsidRDefault="001F39E7" w:rsidP="002625EC">
            <w:pPr>
              <w:widowControl/>
              <w:tabs>
                <w:tab w:val="left" w:pos="-720"/>
              </w:tabs>
              <w:ind w:left="720"/>
              <w:contextualSpacing/>
              <w:rPr>
                <w:sz w:val="26"/>
                <w:szCs w:val="26"/>
              </w:rPr>
            </w:pPr>
            <w:r w:rsidRPr="00476D36">
              <w:rPr>
                <w:sz w:val="26"/>
                <w:szCs w:val="26"/>
              </w:rPr>
              <w:t xml:space="preserve">Ralph V. </w:t>
            </w:r>
            <w:proofErr w:type="spellStart"/>
            <w:r w:rsidRPr="00476D36">
              <w:rPr>
                <w:sz w:val="26"/>
                <w:szCs w:val="26"/>
              </w:rPr>
              <w:t>Yanora</w:t>
            </w:r>
            <w:proofErr w:type="spellEnd"/>
          </w:p>
          <w:p w14:paraId="6EA04980" w14:textId="77777777" w:rsidR="001B0C5E" w:rsidRPr="00476D36" w:rsidRDefault="001B0C5E" w:rsidP="002625EC">
            <w:pPr>
              <w:widowControl/>
              <w:contextualSpacing/>
              <w:rPr>
                <w:sz w:val="26"/>
                <w:szCs w:val="26"/>
              </w:rPr>
            </w:pPr>
          </w:p>
        </w:tc>
        <w:tc>
          <w:tcPr>
            <w:tcW w:w="4608" w:type="dxa"/>
          </w:tcPr>
          <w:p w14:paraId="16309F79" w14:textId="77777777" w:rsidR="001B0C5E" w:rsidRPr="00476D36" w:rsidRDefault="001B0C5E" w:rsidP="002625EC">
            <w:pPr>
              <w:widowControl/>
              <w:contextualSpacing/>
              <w:jc w:val="right"/>
              <w:rPr>
                <w:sz w:val="26"/>
                <w:szCs w:val="26"/>
              </w:rPr>
            </w:pPr>
          </w:p>
          <w:p w14:paraId="6262B50E" w14:textId="77777777" w:rsidR="001B0C5E" w:rsidRPr="00476D36" w:rsidRDefault="001B0C5E" w:rsidP="002625EC">
            <w:pPr>
              <w:widowControl/>
              <w:contextualSpacing/>
              <w:jc w:val="right"/>
              <w:rPr>
                <w:sz w:val="26"/>
                <w:szCs w:val="26"/>
              </w:rPr>
            </w:pPr>
          </w:p>
        </w:tc>
      </w:tr>
      <w:tr w:rsidR="001B0C5E" w:rsidRPr="00476D36" w14:paraId="5F95CF81" w14:textId="77777777" w:rsidTr="003161E5">
        <w:tc>
          <w:tcPr>
            <w:tcW w:w="4878" w:type="dxa"/>
          </w:tcPr>
          <w:p w14:paraId="52AB3142" w14:textId="77777777" w:rsidR="00D13E44" w:rsidRPr="00476D36" w:rsidRDefault="00D13E44" w:rsidP="002625EC">
            <w:pPr>
              <w:widowControl/>
              <w:contextualSpacing/>
              <w:rPr>
                <w:sz w:val="26"/>
                <w:szCs w:val="26"/>
              </w:rPr>
            </w:pPr>
          </w:p>
          <w:p w14:paraId="0C8D9B4E" w14:textId="77777777" w:rsidR="001B0C5E" w:rsidRPr="00476D36" w:rsidRDefault="00E44C4C" w:rsidP="002625EC">
            <w:pPr>
              <w:widowControl/>
              <w:contextualSpacing/>
              <w:rPr>
                <w:sz w:val="26"/>
                <w:szCs w:val="26"/>
              </w:rPr>
            </w:pPr>
            <w:proofErr w:type="spellStart"/>
            <w:r w:rsidRPr="00476D36">
              <w:rPr>
                <w:sz w:val="26"/>
                <w:szCs w:val="26"/>
              </w:rPr>
              <w:t>Dorene</w:t>
            </w:r>
            <w:proofErr w:type="spellEnd"/>
            <w:r w:rsidRPr="00476D36">
              <w:rPr>
                <w:sz w:val="26"/>
                <w:szCs w:val="26"/>
              </w:rPr>
              <w:t xml:space="preserve"> Schutz</w:t>
            </w:r>
          </w:p>
          <w:p w14:paraId="2F8BA926" w14:textId="77777777" w:rsidR="001B0C5E" w:rsidRPr="00476D36" w:rsidRDefault="001B0C5E" w:rsidP="002625EC">
            <w:pPr>
              <w:widowControl/>
              <w:contextualSpacing/>
              <w:rPr>
                <w:sz w:val="26"/>
                <w:szCs w:val="26"/>
              </w:rPr>
            </w:pPr>
          </w:p>
        </w:tc>
        <w:tc>
          <w:tcPr>
            <w:tcW w:w="4608" w:type="dxa"/>
            <w:hideMark/>
          </w:tcPr>
          <w:p w14:paraId="1BE4D7EB" w14:textId="77777777" w:rsidR="001B0C5E" w:rsidRPr="00476D36" w:rsidRDefault="001B0C5E" w:rsidP="002625EC">
            <w:pPr>
              <w:widowControl/>
              <w:contextualSpacing/>
              <w:jc w:val="right"/>
              <w:rPr>
                <w:sz w:val="26"/>
                <w:szCs w:val="26"/>
              </w:rPr>
            </w:pPr>
          </w:p>
          <w:p w14:paraId="353C264B" w14:textId="77777777" w:rsidR="001B0C5E" w:rsidRPr="00476D36" w:rsidRDefault="001B0C5E" w:rsidP="002625EC">
            <w:pPr>
              <w:widowControl/>
              <w:contextualSpacing/>
              <w:jc w:val="right"/>
              <w:rPr>
                <w:sz w:val="26"/>
                <w:szCs w:val="26"/>
              </w:rPr>
            </w:pPr>
            <w:r w:rsidRPr="00476D36">
              <w:rPr>
                <w:sz w:val="26"/>
                <w:szCs w:val="26"/>
              </w:rPr>
              <w:t>C-</w:t>
            </w:r>
            <w:r w:rsidR="004F7ABC" w:rsidRPr="00476D36">
              <w:rPr>
                <w:sz w:val="26"/>
                <w:szCs w:val="26"/>
              </w:rPr>
              <w:t>201</w:t>
            </w:r>
            <w:r w:rsidR="001F39E7" w:rsidRPr="00476D36">
              <w:rPr>
                <w:sz w:val="26"/>
                <w:szCs w:val="26"/>
              </w:rPr>
              <w:t>8</w:t>
            </w:r>
            <w:r w:rsidR="004F7ABC" w:rsidRPr="00476D36">
              <w:rPr>
                <w:sz w:val="26"/>
                <w:szCs w:val="26"/>
              </w:rPr>
              <w:t>-</w:t>
            </w:r>
            <w:r w:rsidR="001F39E7" w:rsidRPr="00476D36">
              <w:rPr>
                <w:sz w:val="26"/>
                <w:szCs w:val="26"/>
              </w:rPr>
              <w:t>3005</w:t>
            </w:r>
            <w:r w:rsidR="0039777C" w:rsidRPr="00476D36">
              <w:rPr>
                <w:sz w:val="26"/>
                <w:szCs w:val="26"/>
              </w:rPr>
              <w:t>659</w:t>
            </w:r>
          </w:p>
        </w:tc>
      </w:tr>
      <w:tr w:rsidR="001B0C5E" w:rsidRPr="00476D36" w14:paraId="41ADE563" w14:textId="77777777" w:rsidTr="003161E5">
        <w:tc>
          <w:tcPr>
            <w:tcW w:w="4878" w:type="dxa"/>
          </w:tcPr>
          <w:p w14:paraId="114673EA" w14:textId="77777777" w:rsidR="001B0C5E" w:rsidRPr="00476D36" w:rsidRDefault="001B0C5E" w:rsidP="002625EC">
            <w:pPr>
              <w:widowControl/>
              <w:ind w:firstLine="720"/>
              <w:contextualSpacing/>
              <w:rPr>
                <w:sz w:val="26"/>
                <w:szCs w:val="26"/>
              </w:rPr>
            </w:pPr>
            <w:r w:rsidRPr="00476D36">
              <w:rPr>
                <w:sz w:val="26"/>
                <w:szCs w:val="26"/>
              </w:rPr>
              <w:t>v.</w:t>
            </w:r>
          </w:p>
          <w:p w14:paraId="56D988A3" w14:textId="77777777" w:rsidR="001B0C5E" w:rsidRPr="00476D36" w:rsidRDefault="001B0C5E" w:rsidP="002625EC">
            <w:pPr>
              <w:widowControl/>
              <w:ind w:firstLine="1440"/>
              <w:contextualSpacing/>
              <w:rPr>
                <w:sz w:val="26"/>
                <w:szCs w:val="26"/>
              </w:rPr>
            </w:pPr>
          </w:p>
        </w:tc>
        <w:tc>
          <w:tcPr>
            <w:tcW w:w="4608" w:type="dxa"/>
          </w:tcPr>
          <w:p w14:paraId="725BAAA1" w14:textId="77777777" w:rsidR="001B0C5E" w:rsidRPr="00476D36" w:rsidRDefault="001B0C5E" w:rsidP="002625EC">
            <w:pPr>
              <w:widowControl/>
              <w:contextualSpacing/>
              <w:rPr>
                <w:sz w:val="26"/>
                <w:szCs w:val="26"/>
              </w:rPr>
            </w:pPr>
          </w:p>
        </w:tc>
      </w:tr>
      <w:tr w:rsidR="001B0C5E" w:rsidRPr="00476D36" w14:paraId="6E0A31B0" w14:textId="77777777" w:rsidTr="003161E5">
        <w:tc>
          <w:tcPr>
            <w:tcW w:w="4878" w:type="dxa"/>
          </w:tcPr>
          <w:p w14:paraId="4745ED64" w14:textId="77777777" w:rsidR="001B0C5E" w:rsidRPr="00476D36" w:rsidRDefault="004F7ABC" w:rsidP="002625EC">
            <w:pPr>
              <w:widowControl/>
              <w:contextualSpacing/>
              <w:rPr>
                <w:sz w:val="26"/>
                <w:szCs w:val="26"/>
              </w:rPr>
            </w:pPr>
            <w:bookmarkStart w:id="0" w:name="_Hlk22554510"/>
            <w:r w:rsidRPr="00476D36">
              <w:rPr>
                <w:sz w:val="26"/>
                <w:szCs w:val="26"/>
              </w:rPr>
              <w:t>P</w:t>
            </w:r>
            <w:r w:rsidR="001F39E7" w:rsidRPr="00476D36">
              <w:rPr>
                <w:sz w:val="26"/>
                <w:szCs w:val="26"/>
              </w:rPr>
              <w:t xml:space="preserve">PL </w:t>
            </w:r>
            <w:r w:rsidRPr="00476D36">
              <w:rPr>
                <w:sz w:val="26"/>
                <w:szCs w:val="26"/>
              </w:rPr>
              <w:t xml:space="preserve">Electric </w:t>
            </w:r>
            <w:r w:rsidR="001F39E7" w:rsidRPr="00476D36">
              <w:rPr>
                <w:sz w:val="26"/>
                <w:szCs w:val="26"/>
              </w:rPr>
              <w:t xml:space="preserve">Utilities </w:t>
            </w:r>
            <w:r w:rsidRPr="00476D36">
              <w:rPr>
                <w:sz w:val="26"/>
                <w:szCs w:val="26"/>
              </w:rPr>
              <w:t>Co</w:t>
            </w:r>
            <w:r w:rsidR="001F39E7" w:rsidRPr="00476D36">
              <w:rPr>
                <w:sz w:val="26"/>
                <w:szCs w:val="26"/>
              </w:rPr>
              <w:t>rporation</w:t>
            </w:r>
          </w:p>
          <w:bookmarkEnd w:id="0"/>
          <w:p w14:paraId="60B0FAC8" w14:textId="77777777" w:rsidR="001B0C5E" w:rsidRPr="00476D36" w:rsidRDefault="001B0C5E" w:rsidP="002625EC">
            <w:pPr>
              <w:widowControl/>
              <w:contextualSpacing/>
              <w:rPr>
                <w:sz w:val="26"/>
                <w:szCs w:val="26"/>
              </w:rPr>
            </w:pPr>
          </w:p>
        </w:tc>
        <w:tc>
          <w:tcPr>
            <w:tcW w:w="4608" w:type="dxa"/>
          </w:tcPr>
          <w:p w14:paraId="0091A240" w14:textId="77777777" w:rsidR="001B0C5E" w:rsidRPr="00476D36" w:rsidRDefault="001B0C5E" w:rsidP="002625EC">
            <w:pPr>
              <w:widowControl/>
              <w:contextualSpacing/>
              <w:rPr>
                <w:sz w:val="26"/>
                <w:szCs w:val="26"/>
              </w:rPr>
            </w:pPr>
          </w:p>
        </w:tc>
      </w:tr>
    </w:tbl>
    <w:p w14:paraId="18210EDF" w14:textId="77777777" w:rsidR="001B0C5E" w:rsidRPr="00476D36" w:rsidRDefault="001B0C5E" w:rsidP="002625EC">
      <w:pPr>
        <w:widowControl/>
        <w:contextualSpacing/>
        <w:rPr>
          <w:sz w:val="26"/>
          <w:szCs w:val="26"/>
        </w:rPr>
      </w:pPr>
    </w:p>
    <w:p w14:paraId="47444F9D" w14:textId="77777777" w:rsidR="00D13E44" w:rsidRPr="00476D36" w:rsidRDefault="00D13E44" w:rsidP="002625EC">
      <w:pPr>
        <w:widowControl/>
        <w:contextualSpacing/>
        <w:rPr>
          <w:sz w:val="26"/>
          <w:szCs w:val="26"/>
        </w:rPr>
      </w:pPr>
    </w:p>
    <w:p w14:paraId="22AF0245" w14:textId="77777777" w:rsidR="001B0C5E" w:rsidRPr="00476D36" w:rsidRDefault="001B0C5E" w:rsidP="002625EC">
      <w:pPr>
        <w:widowControl/>
        <w:contextualSpacing/>
        <w:jc w:val="center"/>
        <w:rPr>
          <w:b/>
          <w:sz w:val="26"/>
          <w:szCs w:val="26"/>
        </w:rPr>
      </w:pPr>
      <w:r w:rsidRPr="00476D36">
        <w:rPr>
          <w:b/>
          <w:sz w:val="26"/>
          <w:szCs w:val="26"/>
        </w:rPr>
        <w:t>OPINION AND ORDER</w:t>
      </w:r>
    </w:p>
    <w:p w14:paraId="2EF6C871" w14:textId="77777777" w:rsidR="008F5FAC" w:rsidRPr="00476D36" w:rsidRDefault="008F5FAC" w:rsidP="002625EC">
      <w:pPr>
        <w:widowControl/>
        <w:contextualSpacing/>
        <w:jc w:val="center"/>
        <w:rPr>
          <w:b/>
          <w:sz w:val="26"/>
          <w:szCs w:val="26"/>
        </w:rPr>
      </w:pPr>
    </w:p>
    <w:p w14:paraId="4C745371" w14:textId="77777777" w:rsidR="001B0C5E" w:rsidRPr="00476D36" w:rsidRDefault="001B0C5E" w:rsidP="002625EC">
      <w:pPr>
        <w:widowControl/>
        <w:contextualSpacing/>
        <w:rPr>
          <w:sz w:val="26"/>
          <w:szCs w:val="26"/>
        </w:rPr>
      </w:pPr>
    </w:p>
    <w:p w14:paraId="25B1FF54" w14:textId="77777777" w:rsidR="001B0C5E" w:rsidRPr="00476D36" w:rsidRDefault="001B0C5E" w:rsidP="002625EC">
      <w:pPr>
        <w:keepNext/>
        <w:widowControl/>
        <w:spacing w:line="360" w:lineRule="auto"/>
        <w:contextualSpacing/>
        <w:rPr>
          <w:b/>
          <w:sz w:val="26"/>
          <w:szCs w:val="26"/>
        </w:rPr>
      </w:pPr>
      <w:r w:rsidRPr="00476D36">
        <w:rPr>
          <w:b/>
          <w:sz w:val="26"/>
          <w:szCs w:val="26"/>
        </w:rPr>
        <w:t>BY THE COMMISSION:</w:t>
      </w:r>
    </w:p>
    <w:p w14:paraId="389CF4DC" w14:textId="77777777" w:rsidR="001B0C5E" w:rsidRPr="00476D36" w:rsidRDefault="001B0C5E" w:rsidP="002625EC">
      <w:pPr>
        <w:widowControl/>
        <w:spacing w:line="360" w:lineRule="auto"/>
        <w:contextualSpacing/>
        <w:rPr>
          <w:b/>
          <w:sz w:val="26"/>
          <w:szCs w:val="26"/>
        </w:rPr>
      </w:pPr>
    </w:p>
    <w:p w14:paraId="786A705D" w14:textId="77777777" w:rsidR="001B0C5E" w:rsidRPr="00476D36" w:rsidRDefault="001B0C5E" w:rsidP="004F7ABC">
      <w:pPr>
        <w:widowControl/>
        <w:spacing w:line="360" w:lineRule="auto"/>
        <w:ind w:firstLine="1440"/>
        <w:rPr>
          <w:sz w:val="26"/>
          <w:szCs w:val="26"/>
        </w:rPr>
      </w:pPr>
      <w:r w:rsidRPr="00476D36">
        <w:rPr>
          <w:sz w:val="26"/>
          <w:szCs w:val="26"/>
        </w:rPr>
        <w:t xml:space="preserve">Before the Pennsylvania Public Utility Commission (Commission) for consideration and disposition </w:t>
      </w:r>
      <w:r w:rsidRPr="00476D36">
        <w:rPr>
          <w:color w:val="000000"/>
          <w:sz w:val="26"/>
        </w:rPr>
        <w:t xml:space="preserve">are the Exceptions of </w:t>
      </w:r>
      <w:proofErr w:type="spellStart"/>
      <w:r w:rsidR="00E44C4C" w:rsidRPr="00476D36">
        <w:rPr>
          <w:color w:val="000000"/>
          <w:sz w:val="26"/>
        </w:rPr>
        <w:t>Dorene</w:t>
      </w:r>
      <w:proofErr w:type="spellEnd"/>
      <w:r w:rsidR="00E44C4C" w:rsidRPr="00476D36">
        <w:rPr>
          <w:color w:val="000000"/>
          <w:sz w:val="26"/>
        </w:rPr>
        <w:t xml:space="preserve"> Schutz</w:t>
      </w:r>
      <w:r w:rsidR="005239D3" w:rsidRPr="00476D36">
        <w:rPr>
          <w:color w:val="000000"/>
          <w:sz w:val="26"/>
        </w:rPr>
        <w:t xml:space="preserve"> </w:t>
      </w:r>
      <w:r w:rsidRPr="00476D36">
        <w:rPr>
          <w:color w:val="000000"/>
          <w:sz w:val="26"/>
        </w:rPr>
        <w:t>(</w:t>
      </w:r>
      <w:r w:rsidR="00B71D2E" w:rsidRPr="00476D36">
        <w:rPr>
          <w:color w:val="000000"/>
          <w:sz w:val="26"/>
        </w:rPr>
        <w:t>Complainant or Ms. Schutz)</w:t>
      </w:r>
      <w:r w:rsidRPr="00476D36">
        <w:rPr>
          <w:color w:val="000000"/>
          <w:sz w:val="26"/>
        </w:rPr>
        <w:t xml:space="preserve"> filed on </w:t>
      </w:r>
      <w:bookmarkStart w:id="1" w:name="_Hlk38523551"/>
      <w:r w:rsidR="0097475A" w:rsidRPr="00476D36">
        <w:rPr>
          <w:color w:val="000000"/>
          <w:sz w:val="26"/>
        </w:rPr>
        <w:t>June 28</w:t>
      </w:r>
      <w:r w:rsidR="00D521E1" w:rsidRPr="00476D36">
        <w:rPr>
          <w:color w:val="000000"/>
          <w:sz w:val="26"/>
        </w:rPr>
        <w:t>, 2019</w:t>
      </w:r>
      <w:bookmarkEnd w:id="1"/>
      <w:r w:rsidR="00217816" w:rsidRPr="00476D36">
        <w:rPr>
          <w:color w:val="000000"/>
          <w:sz w:val="26"/>
        </w:rPr>
        <w:t>,</w:t>
      </w:r>
      <w:r w:rsidRPr="00476D36">
        <w:rPr>
          <w:color w:val="000000"/>
          <w:sz w:val="26"/>
        </w:rPr>
        <w:t xml:space="preserve"> to the Initial Decision (I.D.) of Administrative Law Judge (ALJ) </w:t>
      </w:r>
      <w:r w:rsidR="001F39E7" w:rsidRPr="00476D36">
        <w:rPr>
          <w:color w:val="000000"/>
          <w:sz w:val="26"/>
        </w:rPr>
        <w:t>Elizabeth H. Barnes</w:t>
      </w:r>
      <w:r w:rsidRPr="00476D36">
        <w:rPr>
          <w:color w:val="000000"/>
          <w:sz w:val="26"/>
        </w:rPr>
        <w:t xml:space="preserve">, </w:t>
      </w:r>
      <w:r w:rsidR="0097475A" w:rsidRPr="00476D36">
        <w:rPr>
          <w:color w:val="000000"/>
          <w:sz w:val="26"/>
        </w:rPr>
        <w:t>issued</w:t>
      </w:r>
      <w:r w:rsidRPr="00476D36">
        <w:rPr>
          <w:color w:val="000000"/>
          <w:sz w:val="26"/>
        </w:rPr>
        <w:t xml:space="preserve"> on </w:t>
      </w:r>
      <w:r w:rsidR="00613898" w:rsidRPr="00476D36">
        <w:rPr>
          <w:color w:val="000000"/>
          <w:sz w:val="26"/>
        </w:rPr>
        <w:t>Ju</w:t>
      </w:r>
      <w:r w:rsidR="00EF740C" w:rsidRPr="00476D36">
        <w:rPr>
          <w:color w:val="000000"/>
          <w:sz w:val="26"/>
        </w:rPr>
        <w:t>ne</w:t>
      </w:r>
      <w:r w:rsidR="00613898" w:rsidRPr="00476D36">
        <w:rPr>
          <w:color w:val="000000"/>
          <w:sz w:val="26"/>
        </w:rPr>
        <w:t xml:space="preserve"> 18</w:t>
      </w:r>
      <w:r w:rsidR="00D521E1" w:rsidRPr="00476D36">
        <w:rPr>
          <w:color w:val="000000"/>
          <w:sz w:val="26"/>
        </w:rPr>
        <w:t xml:space="preserve">, 2019, </w:t>
      </w:r>
      <w:r w:rsidRPr="00476D36">
        <w:rPr>
          <w:color w:val="000000"/>
          <w:sz w:val="26"/>
        </w:rPr>
        <w:t>in the above-captioned proceeding</w:t>
      </w:r>
      <w:r w:rsidR="00216A44" w:rsidRPr="00476D36">
        <w:rPr>
          <w:color w:val="000000"/>
          <w:sz w:val="26"/>
        </w:rPr>
        <w:t xml:space="preserve">.  </w:t>
      </w:r>
      <w:r w:rsidR="00217816" w:rsidRPr="00476D36">
        <w:rPr>
          <w:color w:val="000000"/>
          <w:sz w:val="26"/>
        </w:rPr>
        <w:t xml:space="preserve">On </w:t>
      </w:r>
      <w:r w:rsidR="00EF740C" w:rsidRPr="00476D36">
        <w:rPr>
          <w:color w:val="000000"/>
          <w:sz w:val="26"/>
        </w:rPr>
        <w:t>July 18</w:t>
      </w:r>
      <w:r w:rsidR="00D521E1" w:rsidRPr="00476D36">
        <w:rPr>
          <w:color w:val="000000"/>
          <w:sz w:val="26"/>
        </w:rPr>
        <w:t>, 2019</w:t>
      </w:r>
      <w:r w:rsidR="00217816" w:rsidRPr="00476D36">
        <w:rPr>
          <w:color w:val="000000"/>
          <w:sz w:val="26"/>
        </w:rPr>
        <w:t xml:space="preserve">, </w:t>
      </w:r>
      <w:r w:rsidR="004F7ABC" w:rsidRPr="00476D36">
        <w:rPr>
          <w:sz w:val="26"/>
          <w:szCs w:val="26"/>
        </w:rPr>
        <w:t>P</w:t>
      </w:r>
      <w:r w:rsidR="00D521E1" w:rsidRPr="00476D36">
        <w:rPr>
          <w:sz w:val="26"/>
          <w:szCs w:val="26"/>
        </w:rPr>
        <w:t xml:space="preserve">PL </w:t>
      </w:r>
      <w:r w:rsidR="004F7ABC" w:rsidRPr="00476D36">
        <w:rPr>
          <w:sz w:val="26"/>
          <w:szCs w:val="26"/>
        </w:rPr>
        <w:t xml:space="preserve">Electric </w:t>
      </w:r>
      <w:r w:rsidR="00D521E1" w:rsidRPr="00476D36">
        <w:rPr>
          <w:sz w:val="26"/>
          <w:szCs w:val="26"/>
        </w:rPr>
        <w:t xml:space="preserve">Utilities Corporation </w:t>
      </w:r>
      <w:r w:rsidRPr="00476D36">
        <w:rPr>
          <w:color w:val="000000"/>
          <w:sz w:val="26"/>
        </w:rPr>
        <w:t>(P</w:t>
      </w:r>
      <w:r w:rsidR="00D521E1" w:rsidRPr="00476D36">
        <w:rPr>
          <w:color w:val="000000"/>
          <w:sz w:val="26"/>
        </w:rPr>
        <w:t>PL</w:t>
      </w:r>
      <w:r w:rsidRPr="00476D36">
        <w:rPr>
          <w:color w:val="000000"/>
          <w:sz w:val="26"/>
        </w:rPr>
        <w:t xml:space="preserve"> or the </w:t>
      </w:r>
      <w:r w:rsidR="00FA05E1" w:rsidRPr="00476D36">
        <w:rPr>
          <w:color w:val="000000"/>
          <w:sz w:val="26"/>
        </w:rPr>
        <w:t>Company)</w:t>
      </w:r>
      <w:r w:rsidR="007C7EE2" w:rsidRPr="00476D36">
        <w:rPr>
          <w:color w:val="000000"/>
          <w:sz w:val="26"/>
        </w:rPr>
        <w:t xml:space="preserve"> filed </w:t>
      </w:r>
      <w:r w:rsidR="00EF6624" w:rsidRPr="00476D36">
        <w:rPr>
          <w:color w:val="000000"/>
          <w:sz w:val="26"/>
        </w:rPr>
        <w:t xml:space="preserve">Replies to Exceptions.  </w:t>
      </w:r>
      <w:r w:rsidRPr="00476D36">
        <w:rPr>
          <w:sz w:val="26"/>
          <w:szCs w:val="26"/>
        </w:rPr>
        <w:t>For the reasons discussed below, we</w:t>
      </w:r>
      <w:r w:rsidR="00217816" w:rsidRPr="00476D36">
        <w:rPr>
          <w:sz w:val="26"/>
          <w:szCs w:val="26"/>
        </w:rPr>
        <w:t xml:space="preserve"> </w:t>
      </w:r>
      <w:r w:rsidR="00EF6624" w:rsidRPr="00476D36">
        <w:rPr>
          <w:sz w:val="26"/>
          <w:szCs w:val="26"/>
        </w:rPr>
        <w:t xml:space="preserve">shall </w:t>
      </w:r>
      <w:r w:rsidRPr="00476D36">
        <w:rPr>
          <w:sz w:val="26"/>
          <w:szCs w:val="26"/>
        </w:rPr>
        <w:t>deny the</w:t>
      </w:r>
      <w:r w:rsidR="00217816" w:rsidRPr="00476D36">
        <w:rPr>
          <w:sz w:val="26"/>
          <w:szCs w:val="26"/>
        </w:rPr>
        <w:t xml:space="preserve"> Complainant’s</w:t>
      </w:r>
      <w:r w:rsidRPr="00476D36">
        <w:rPr>
          <w:sz w:val="26"/>
          <w:szCs w:val="26"/>
        </w:rPr>
        <w:t xml:space="preserve"> Exceptions</w:t>
      </w:r>
      <w:r w:rsidR="007B2F13" w:rsidRPr="00476D36">
        <w:rPr>
          <w:sz w:val="26"/>
          <w:szCs w:val="26"/>
        </w:rPr>
        <w:t xml:space="preserve"> and</w:t>
      </w:r>
      <w:r w:rsidRPr="00476D36">
        <w:rPr>
          <w:sz w:val="26"/>
          <w:szCs w:val="26"/>
        </w:rPr>
        <w:t xml:space="preserve"> adopt</w:t>
      </w:r>
      <w:r w:rsidR="00FF56AE" w:rsidRPr="00476D36">
        <w:rPr>
          <w:sz w:val="26"/>
          <w:szCs w:val="26"/>
        </w:rPr>
        <w:t xml:space="preserve"> </w:t>
      </w:r>
      <w:r w:rsidRPr="00476D36">
        <w:rPr>
          <w:sz w:val="26"/>
          <w:szCs w:val="26"/>
        </w:rPr>
        <w:t xml:space="preserve">the Initial Decision of ALJ </w:t>
      </w:r>
      <w:r w:rsidR="00D521E1" w:rsidRPr="00476D36">
        <w:rPr>
          <w:sz w:val="26"/>
          <w:szCs w:val="26"/>
        </w:rPr>
        <w:t>B</w:t>
      </w:r>
      <w:r w:rsidR="00B26CD4" w:rsidRPr="00476D36">
        <w:rPr>
          <w:sz w:val="26"/>
          <w:szCs w:val="26"/>
        </w:rPr>
        <w:t>a</w:t>
      </w:r>
      <w:r w:rsidR="00D521E1" w:rsidRPr="00476D36">
        <w:rPr>
          <w:sz w:val="26"/>
          <w:szCs w:val="26"/>
        </w:rPr>
        <w:t>rnes</w:t>
      </w:r>
      <w:r w:rsidR="007177AF" w:rsidRPr="00476D36">
        <w:rPr>
          <w:sz w:val="26"/>
          <w:szCs w:val="26"/>
        </w:rPr>
        <w:t>,</w:t>
      </w:r>
      <w:r w:rsidR="00ED267B" w:rsidRPr="00476D36">
        <w:rPr>
          <w:sz w:val="26"/>
          <w:szCs w:val="26"/>
        </w:rPr>
        <w:t xml:space="preserve"> </w:t>
      </w:r>
      <w:r w:rsidRPr="00476D36">
        <w:rPr>
          <w:sz w:val="26"/>
          <w:szCs w:val="26"/>
        </w:rPr>
        <w:t>consistent with this Opinion and Order.</w:t>
      </w:r>
    </w:p>
    <w:p w14:paraId="266594D3" w14:textId="77777777" w:rsidR="00B73D28" w:rsidRPr="00476D36" w:rsidRDefault="00B73D28" w:rsidP="00B73D28">
      <w:pPr>
        <w:keepNext/>
        <w:widowControl/>
        <w:spacing w:line="360" w:lineRule="auto"/>
        <w:contextualSpacing/>
        <w:jc w:val="center"/>
        <w:rPr>
          <w:b/>
          <w:bCs/>
          <w:sz w:val="26"/>
          <w:szCs w:val="26"/>
        </w:rPr>
      </w:pPr>
      <w:r w:rsidRPr="00476D36">
        <w:rPr>
          <w:b/>
          <w:bCs/>
          <w:sz w:val="26"/>
          <w:szCs w:val="26"/>
        </w:rPr>
        <w:lastRenderedPageBreak/>
        <w:t xml:space="preserve">Background </w:t>
      </w:r>
    </w:p>
    <w:p w14:paraId="220B3201" w14:textId="77777777" w:rsidR="00B73D28" w:rsidRPr="00476D36" w:rsidRDefault="00B73D28" w:rsidP="00B73D28">
      <w:pPr>
        <w:keepNext/>
        <w:widowControl/>
        <w:spacing w:line="360" w:lineRule="auto"/>
        <w:contextualSpacing/>
        <w:jc w:val="center"/>
        <w:rPr>
          <w:b/>
          <w:bCs/>
          <w:sz w:val="26"/>
          <w:szCs w:val="26"/>
        </w:rPr>
      </w:pPr>
    </w:p>
    <w:p w14:paraId="228A118E" w14:textId="54ADF061" w:rsidR="003861FB" w:rsidRPr="00476D36" w:rsidRDefault="003861FB" w:rsidP="00A257BB">
      <w:pPr>
        <w:keepNext/>
        <w:keepLines/>
        <w:spacing w:line="360" w:lineRule="auto"/>
        <w:ind w:firstLine="1440"/>
        <w:rPr>
          <w:sz w:val="26"/>
          <w:szCs w:val="26"/>
        </w:rPr>
      </w:pPr>
      <w:r w:rsidRPr="00476D36">
        <w:rPr>
          <w:color w:val="000000"/>
          <w:sz w:val="26"/>
          <w:szCs w:val="26"/>
        </w:rPr>
        <w:t xml:space="preserve">This case involves </w:t>
      </w:r>
      <w:r w:rsidR="00A257BB" w:rsidRPr="00476D36">
        <w:rPr>
          <w:color w:val="000000"/>
          <w:sz w:val="26"/>
          <w:szCs w:val="26"/>
        </w:rPr>
        <w:t xml:space="preserve">inquiry into whether PPL’s proposed installation and use of </w:t>
      </w:r>
      <w:r w:rsidRPr="00476D36">
        <w:rPr>
          <w:sz w:val="26"/>
          <w:szCs w:val="26"/>
        </w:rPr>
        <w:t>advanced metering infrastructure (AMI),</w:t>
      </w:r>
      <w:r w:rsidRPr="00476D36">
        <w:rPr>
          <w:color w:val="000000"/>
          <w:sz w:val="26"/>
          <w:szCs w:val="26"/>
        </w:rPr>
        <w:t xml:space="preserve"> or </w:t>
      </w:r>
      <w:r w:rsidR="00A257BB" w:rsidRPr="00476D36">
        <w:rPr>
          <w:color w:val="000000"/>
          <w:sz w:val="26"/>
          <w:szCs w:val="26"/>
        </w:rPr>
        <w:t xml:space="preserve">a </w:t>
      </w:r>
      <w:r w:rsidRPr="00476D36">
        <w:rPr>
          <w:color w:val="000000"/>
          <w:sz w:val="26"/>
          <w:szCs w:val="26"/>
        </w:rPr>
        <w:t xml:space="preserve">smart meter, </w:t>
      </w:r>
      <w:r w:rsidR="00A257BB" w:rsidRPr="00476D36">
        <w:rPr>
          <w:color w:val="000000"/>
          <w:sz w:val="26"/>
          <w:szCs w:val="26"/>
        </w:rPr>
        <w:t>at the Complainant’s residence for the purpose of measuring electricity consumption in the ordinary course of business constitutes safe and reasonable service under Section 1501 of the Pub</w:t>
      </w:r>
      <w:r w:rsidR="00A358CC" w:rsidRPr="00476D36">
        <w:rPr>
          <w:color w:val="000000"/>
          <w:sz w:val="26"/>
          <w:szCs w:val="26"/>
        </w:rPr>
        <w:t>lic Utility Code (Code), 66 Pa.</w:t>
      </w:r>
      <w:r w:rsidR="00A53F03" w:rsidRPr="00476D36">
        <w:rPr>
          <w:color w:val="000000"/>
          <w:sz w:val="26"/>
          <w:szCs w:val="26"/>
        </w:rPr>
        <w:t xml:space="preserve"> </w:t>
      </w:r>
      <w:r w:rsidR="00A257BB" w:rsidRPr="00476D36">
        <w:rPr>
          <w:color w:val="000000"/>
          <w:sz w:val="26"/>
          <w:szCs w:val="26"/>
        </w:rPr>
        <w:t xml:space="preserve">C.S. § 1501.  Specifically, it involves allegations of </w:t>
      </w:r>
      <w:r w:rsidR="005A4D79" w:rsidRPr="00476D36">
        <w:rPr>
          <w:color w:val="000000"/>
          <w:sz w:val="26"/>
          <w:szCs w:val="26"/>
        </w:rPr>
        <w:t xml:space="preserve">potential </w:t>
      </w:r>
      <w:r w:rsidR="00A257BB" w:rsidRPr="00476D36">
        <w:rPr>
          <w:color w:val="000000"/>
          <w:sz w:val="26"/>
          <w:szCs w:val="26"/>
        </w:rPr>
        <w:t xml:space="preserve">harm to the Complainant’s health due to exposure to the level of radiofrequency (RF) fields, or electromagnetic fields (EMFs), as well as violations of privacy, relating to the smart meter. </w:t>
      </w:r>
    </w:p>
    <w:p w14:paraId="25D0291D" w14:textId="77777777" w:rsidR="003861FB" w:rsidRPr="00476D36" w:rsidRDefault="003861FB" w:rsidP="003861FB">
      <w:pPr>
        <w:widowControl/>
        <w:autoSpaceDE w:val="0"/>
        <w:autoSpaceDN w:val="0"/>
        <w:adjustRightInd w:val="0"/>
        <w:spacing w:line="360" w:lineRule="auto"/>
        <w:ind w:firstLine="1440"/>
        <w:rPr>
          <w:color w:val="000000"/>
          <w:sz w:val="26"/>
          <w:szCs w:val="26"/>
        </w:rPr>
      </w:pPr>
      <w:r w:rsidRPr="00476D36">
        <w:rPr>
          <w:color w:val="000000"/>
          <w:sz w:val="26"/>
          <w:szCs w:val="26"/>
        </w:rPr>
        <w:t xml:space="preserve"> </w:t>
      </w:r>
    </w:p>
    <w:p w14:paraId="3DC5FDAD" w14:textId="77777777" w:rsidR="002131EC" w:rsidRPr="00476D36" w:rsidRDefault="00D521E1" w:rsidP="003861FB">
      <w:pPr>
        <w:widowControl/>
        <w:autoSpaceDE w:val="0"/>
        <w:autoSpaceDN w:val="0"/>
        <w:adjustRightInd w:val="0"/>
        <w:spacing w:line="360" w:lineRule="auto"/>
        <w:ind w:firstLine="1440"/>
        <w:rPr>
          <w:rFonts w:eastAsiaTheme="minorHAnsi"/>
          <w:color w:val="000000"/>
          <w:sz w:val="26"/>
          <w:szCs w:val="26"/>
        </w:rPr>
      </w:pPr>
      <w:r w:rsidRPr="00476D36">
        <w:rPr>
          <w:sz w:val="26"/>
          <w:szCs w:val="26"/>
        </w:rPr>
        <w:t>PPL</w:t>
      </w:r>
      <w:r w:rsidR="003861FB" w:rsidRPr="00476D36">
        <w:rPr>
          <w:sz w:val="26"/>
          <w:szCs w:val="26"/>
        </w:rPr>
        <w:t xml:space="preserve"> is an </w:t>
      </w:r>
      <w:r w:rsidR="003861FB" w:rsidRPr="00476D36">
        <w:rPr>
          <w:rFonts w:eastAsiaTheme="minorHAnsi"/>
          <w:color w:val="000000"/>
          <w:sz w:val="26"/>
          <w:szCs w:val="26"/>
        </w:rPr>
        <w:t xml:space="preserve">electric distribution company (EDC) subject to the jurisdiction of the Commission.  </w:t>
      </w:r>
    </w:p>
    <w:p w14:paraId="6FA19BE7" w14:textId="77777777" w:rsidR="002131EC" w:rsidRPr="00476D36" w:rsidRDefault="002131EC" w:rsidP="003861FB">
      <w:pPr>
        <w:widowControl/>
        <w:autoSpaceDE w:val="0"/>
        <w:autoSpaceDN w:val="0"/>
        <w:adjustRightInd w:val="0"/>
        <w:spacing w:line="360" w:lineRule="auto"/>
        <w:ind w:firstLine="1440"/>
        <w:rPr>
          <w:rFonts w:eastAsiaTheme="minorHAnsi"/>
          <w:color w:val="000000"/>
          <w:sz w:val="26"/>
          <w:szCs w:val="26"/>
        </w:rPr>
      </w:pPr>
    </w:p>
    <w:p w14:paraId="25E6E6C1" w14:textId="77777777" w:rsidR="003861FB" w:rsidRPr="00476D36" w:rsidRDefault="00A257BB" w:rsidP="003861FB">
      <w:pPr>
        <w:widowControl/>
        <w:autoSpaceDE w:val="0"/>
        <w:autoSpaceDN w:val="0"/>
        <w:adjustRightInd w:val="0"/>
        <w:spacing w:line="360" w:lineRule="auto"/>
        <w:ind w:firstLine="1440"/>
        <w:rPr>
          <w:sz w:val="26"/>
          <w:szCs w:val="26"/>
        </w:rPr>
      </w:pPr>
      <w:r w:rsidRPr="00476D36">
        <w:rPr>
          <w:rFonts w:eastAsiaTheme="minorHAnsi"/>
          <w:color w:val="000000"/>
          <w:sz w:val="26"/>
          <w:szCs w:val="26"/>
        </w:rPr>
        <w:t xml:space="preserve">The </w:t>
      </w:r>
      <w:r w:rsidR="002131EC" w:rsidRPr="00476D36">
        <w:rPr>
          <w:rFonts w:eastAsiaTheme="minorHAnsi"/>
          <w:color w:val="000000"/>
          <w:sz w:val="26"/>
          <w:szCs w:val="26"/>
        </w:rPr>
        <w:t xml:space="preserve">Complainant is a PPL customer who has been notified of PPL’s intent to install a smart meter at </w:t>
      </w:r>
      <w:r w:rsidR="00E851B0" w:rsidRPr="00476D36">
        <w:rPr>
          <w:rFonts w:eastAsiaTheme="minorHAnsi"/>
          <w:color w:val="000000"/>
          <w:sz w:val="26"/>
          <w:szCs w:val="26"/>
        </w:rPr>
        <w:t>her</w:t>
      </w:r>
      <w:r w:rsidR="002131EC" w:rsidRPr="00476D36">
        <w:rPr>
          <w:rFonts w:eastAsiaTheme="minorHAnsi"/>
          <w:color w:val="000000"/>
          <w:sz w:val="26"/>
          <w:szCs w:val="26"/>
        </w:rPr>
        <w:t xml:space="preserve"> residence.</w:t>
      </w:r>
    </w:p>
    <w:p w14:paraId="262F3B14" w14:textId="77777777" w:rsidR="005703B8" w:rsidRPr="00476D36" w:rsidRDefault="005703B8" w:rsidP="003861FB">
      <w:pPr>
        <w:widowControl/>
        <w:autoSpaceDE w:val="0"/>
        <w:autoSpaceDN w:val="0"/>
        <w:adjustRightInd w:val="0"/>
        <w:spacing w:line="360" w:lineRule="auto"/>
        <w:ind w:firstLine="1440"/>
        <w:rPr>
          <w:sz w:val="26"/>
          <w:szCs w:val="26"/>
        </w:rPr>
      </w:pPr>
    </w:p>
    <w:p w14:paraId="7CFA343F" w14:textId="45DC4407" w:rsidR="003861FB" w:rsidRPr="00476D36" w:rsidRDefault="003861FB" w:rsidP="003861FB">
      <w:pPr>
        <w:widowControl/>
        <w:autoSpaceDE w:val="0"/>
        <w:autoSpaceDN w:val="0"/>
        <w:adjustRightInd w:val="0"/>
        <w:spacing w:line="360" w:lineRule="auto"/>
        <w:ind w:firstLine="1440"/>
        <w:rPr>
          <w:rFonts w:eastAsiaTheme="minorHAnsi"/>
          <w:color w:val="000000"/>
          <w:sz w:val="26"/>
          <w:szCs w:val="26"/>
        </w:rPr>
      </w:pPr>
      <w:r w:rsidRPr="00476D36">
        <w:rPr>
          <w:sz w:val="26"/>
          <w:szCs w:val="26"/>
        </w:rPr>
        <w:t xml:space="preserve">Act 129 of 2008 (Act 129 or Act), </w:t>
      </w:r>
      <w:r w:rsidRPr="00476D36">
        <w:rPr>
          <w:i/>
          <w:sz w:val="26"/>
          <w:szCs w:val="26"/>
        </w:rPr>
        <w:t>inter alia</w:t>
      </w:r>
      <w:r w:rsidRPr="00476D36">
        <w:rPr>
          <w:sz w:val="26"/>
          <w:szCs w:val="26"/>
        </w:rPr>
        <w:t xml:space="preserve">, amended Chapter 28 of the Code and required </w:t>
      </w:r>
      <w:r w:rsidRPr="00476D36">
        <w:rPr>
          <w:rFonts w:eastAsiaTheme="minorHAnsi"/>
          <w:color w:val="000000"/>
          <w:sz w:val="26"/>
          <w:szCs w:val="26"/>
        </w:rPr>
        <w:t xml:space="preserve">EDCs with more than 100,000 customers to file smart meter technology procurement and installation plans for Commission approval and to furnish </w:t>
      </w:r>
      <w:r w:rsidRPr="00476D36">
        <w:rPr>
          <w:sz w:val="26"/>
          <w:szCs w:val="26"/>
        </w:rPr>
        <w:t>smart meter technology within its service territory in accordance with the provisions of</w:t>
      </w:r>
      <w:r w:rsidRPr="00476D36">
        <w:rPr>
          <w:rFonts w:eastAsiaTheme="minorHAnsi"/>
          <w:color w:val="000000"/>
          <w:sz w:val="26"/>
          <w:szCs w:val="26"/>
        </w:rPr>
        <w:t xml:space="preserve"> the Act.  Section 2807(f) of the Code provides as follows:</w:t>
      </w:r>
    </w:p>
    <w:p w14:paraId="25B347C1" w14:textId="77777777" w:rsidR="003861FB" w:rsidRPr="00476D36" w:rsidRDefault="003861FB" w:rsidP="003861FB">
      <w:pPr>
        <w:widowControl/>
        <w:autoSpaceDE w:val="0"/>
        <w:autoSpaceDN w:val="0"/>
        <w:adjustRightInd w:val="0"/>
        <w:spacing w:line="360" w:lineRule="auto"/>
        <w:rPr>
          <w:rFonts w:eastAsiaTheme="minorHAnsi"/>
          <w:color w:val="000000"/>
          <w:sz w:val="26"/>
          <w:szCs w:val="26"/>
        </w:rPr>
      </w:pPr>
    </w:p>
    <w:p w14:paraId="69D47C1F" w14:textId="083ED6AD" w:rsidR="003861FB" w:rsidRPr="00476D36" w:rsidRDefault="003861FB" w:rsidP="003861FB">
      <w:pPr>
        <w:keepNext/>
        <w:keepLines/>
        <w:widowControl/>
        <w:autoSpaceDE w:val="0"/>
        <w:autoSpaceDN w:val="0"/>
        <w:adjustRightInd w:val="0"/>
        <w:ind w:left="1440" w:right="1440"/>
        <w:rPr>
          <w:rFonts w:eastAsiaTheme="minorHAnsi"/>
          <w:color w:val="000000"/>
          <w:sz w:val="26"/>
          <w:szCs w:val="26"/>
        </w:rPr>
      </w:pPr>
      <w:r w:rsidRPr="00476D36">
        <w:rPr>
          <w:rFonts w:eastAsiaTheme="minorHAnsi"/>
          <w:color w:val="000000"/>
          <w:sz w:val="26"/>
          <w:szCs w:val="26"/>
        </w:rPr>
        <w:t xml:space="preserve">(f) </w:t>
      </w:r>
      <w:r w:rsidR="00A3138F" w:rsidRPr="00476D36">
        <w:rPr>
          <w:rFonts w:eastAsiaTheme="minorHAnsi"/>
          <w:color w:val="000000"/>
          <w:sz w:val="26"/>
          <w:szCs w:val="26"/>
        </w:rPr>
        <w:tab/>
      </w:r>
      <w:r w:rsidRPr="00476D36">
        <w:rPr>
          <w:rFonts w:eastAsiaTheme="minorHAnsi"/>
          <w:i/>
          <w:iCs/>
          <w:color w:val="000000"/>
          <w:sz w:val="26"/>
          <w:szCs w:val="26"/>
        </w:rPr>
        <w:t xml:space="preserve">Smart Meter technology and time of use rates. </w:t>
      </w:r>
    </w:p>
    <w:p w14:paraId="17AA9645" w14:textId="77777777" w:rsidR="003861FB" w:rsidRPr="00476D36" w:rsidRDefault="003861FB" w:rsidP="003861FB">
      <w:pPr>
        <w:keepNext/>
        <w:keepLines/>
        <w:widowControl/>
        <w:autoSpaceDE w:val="0"/>
        <w:autoSpaceDN w:val="0"/>
        <w:adjustRightInd w:val="0"/>
        <w:ind w:left="1440" w:right="1440"/>
        <w:rPr>
          <w:rFonts w:eastAsiaTheme="minorHAnsi"/>
          <w:color w:val="000000"/>
          <w:sz w:val="26"/>
          <w:szCs w:val="26"/>
        </w:rPr>
      </w:pPr>
    </w:p>
    <w:p w14:paraId="065382DA" w14:textId="6DBE6F2E" w:rsidR="003861FB" w:rsidRPr="00476D36" w:rsidRDefault="003861FB" w:rsidP="003861FB">
      <w:pPr>
        <w:widowControl/>
        <w:autoSpaceDE w:val="0"/>
        <w:autoSpaceDN w:val="0"/>
        <w:adjustRightInd w:val="0"/>
        <w:ind w:left="1440" w:right="1440" w:firstLine="720"/>
        <w:rPr>
          <w:rFonts w:eastAsiaTheme="minorHAnsi"/>
          <w:color w:val="000000"/>
          <w:sz w:val="26"/>
          <w:szCs w:val="26"/>
        </w:rPr>
      </w:pPr>
      <w:r w:rsidRPr="00476D36">
        <w:rPr>
          <w:rFonts w:eastAsiaTheme="minorHAnsi"/>
          <w:color w:val="000000"/>
          <w:sz w:val="26"/>
          <w:szCs w:val="26"/>
        </w:rPr>
        <w:t xml:space="preserve">(1) </w:t>
      </w:r>
      <w:r w:rsidR="00A3138F" w:rsidRPr="00476D36">
        <w:rPr>
          <w:rFonts w:eastAsiaTheme="minorHAnsi"/>
          <w:color w:val="000000"/>
          <w:sz w:val="26"/>
          <w:szCs w:val="26"/>
        </w:rPr>
        <w:tab/>
      </w:r>
      <w:r w:rsidRPr="00476D36">
        <w:rPr>
          <w:rFonts w:eastAsiaTheme="minorHAnsi"/>
          <w:color w:val="000000"/>
          <w:sz w:val="26"/>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4CCF97FF" w14:textId="32C4D728" w:rsidR="003861FB" w:rsidRPr="00476D36" w:rsidRDefault="003861FB" w:rsidP="00A3138F">
      <w:pPr>
        <w:widowControl/>
        <w:autoSpaceDE w:val="0"/>
        <w:autoSpaceDN w:val="0"/>
        <w:adjustRightInd w:val="0"/>
        <w:ind w:left="2160" w:right="1440"/>
        <w:rPr>
          <w:rFonts w:eastAsiaTheme="minorHAnsi"/>
          <w:color w:val="000000"/>
          <w:sz w:val="26"/>
          <w:szCs w:val="26"/>
        </w:rPr>
      </w:pPr>
      <w:r w:rsidRPr="00476D36">
        <w:rPr>
          <w:rFonts w:eastAsiaTheme="minorHAnsi"/>
          <w:color w:val="000000"/>
          <w:sz w:val="26"/>
          <w:szCs w:val="26"/>
        </w:rPr>
        <w:lastRenderedPageBreak/>
        <w:t xml:space="preserve">(2) </w:t>
      </w:r>
      <w:r w:rsidR="00A3138F" w:rsidRPr="00476D36">
        <w:rPr>
          <w:rFonts w:eastAsiaTheme="minorHAnsi"/>
          <w:color w:val="000000"/>
          <w:sz w:val="26"/>
          <w:szCs w:val="26"/>
        </w:rPr>
        <w:tab/>
      </w:r>
      <w:r w:rsidRPr="00476D36">
        <w:rPr>
          <w:rFonts w:eastAsiaTheme="minorHAnsi"/>
          <w:color w:val="000000"/>
          <w:sz w:val="26"/>
          <w:szCs w:val="26"/>
        </w:rPr>
        <w:t xml:space="preserve">Electric distribution companies shall furnish Smart Meter technology as follows: </w:t>
      </w:r>
    </w:p>
    <w:p w14:paraId="5306F152" w14:textId="77777777" w:rsidR="003861FB" w:rsidRPr="00476D36" w:rsidRDefault="003861FB" w:rsidP="003861FB">
      <w:pPr>
        <w:widowControl/>
        <w:autoSpaceDE w:val="0"/>
        <w:autoSpaceDN w:val="0"/>
        <w:adjustRightInd w:val="0"/>
        <w:ind w:left="1440" w:right="1440"/>
        <w:rPr>
          <w:rFonts w:eastAsiaTheme="minorHAnsi"/>
          <w:color w:val="000000"/>
          <w:sz w:val="26"/>
          <w:szCs w:val="26"/>
        </w:rPr>
      </w:pPr>
    </w:p>
    <w:p w14:paraId="4C64AEE8" w14:textId="447EF864" w:rsidR="003861FB" w:rsidRPr="00476D36" w:rsidRDefault="003861FB" w:rsidP="003861FB">
      <w:pPr>
        <w:widowControl/>
        <w:autoSpaceDE w:val="0"/>
        <w:autoSpaceDN w:val="0"/>
        <w:adjustRightInd w:val="0"/>
        <w:ind w:left="2160" w:right="1440"/>
        <w:rPr>
          <w:rFonts w:eastAsiaTheme="minorHAnsi"/>
          <w:color w:val="000000"/>
          <w:sz w:val="26"/>
          <w:szCs w:val="26"/>
        </w:rPr>
      </w:pPr>
      <w:r w:rsidRPr="00476D36">
        <w:rPr>
          <w:rFonts w:eastAsiaTheme="minorHAnsi"/>
          <w:color w:val="000000"/>
          <w:sz w:val="26"/>
          <w:szCs w:val="26"/>
        </w:rPr>
        <w:t>(</w:t>
      </w:r>
      <w:proofErr w:type="spellStart"/>
      <w:r w:rsidRPr="00476D36">
        <w:rPr>
          <w:rFonts w:eastAsiaTheme="minorHAnsi"/>
          <w:color w:val="000000"/>
          <w:sz w:val="26"/>
          <w:szCs w:val="26"/>
        </w:rPr>
        <w:t>i</w:t>
      </w:r>
      <w:proofErr w:type="spellEnd"/>
      <w:r w:rsidRPr="00476D36">
        <w:rPr>
          <w:rFonts w:eastAsiaTheme="minorHAnsi"/>
          <w:color w:val="000000"/>
          <w:sz w:val="26"/>
          <w:szCs w:val="26"/>
        </w:rPr>
        <w:t xml:space="preserve">) </w:t>
      </w:r>
      <w:r w:rsidR="00A3138F" w:rsidRPr="00476D36">
        <w:rPr>
          <w:rFonts w:eastAsiaTheme="minorHAnsi"/>
          <w:color w:val="000000"/>
          <w:sz w:val="26"/>
          <w:szCs w:val="26"/>
        </w:rPr>
        <w:tab/>
      </w:r>
      <w:r w:rsidRPr="00476D36">
        <w:rPr>
          <w:rFonts w:eastAsiaTheme="minorHAnsi"/>
          <w:color w:val="000000"/>
          <w:sz w:val="26"/>
          <w:szCs w:val="26"/>
        </w:rPr>
        <w:t>Upon request from a customer that agrees to pay the cost of the Smart Meter at the time of the request.</w:t>
      </w:r>
    </w:p>
    <w:p w14:paraId="4D96C522" w14:textId="77777777" w:rsidR="005313F9" w:rsidRPr="00476D36" w:rsidRDefault="005313F9" w:rsidP="003861FB">
      <w:pPr>
        <w:widowControl/>
        <w:autoSpaceDE w:val="0"/>
        <w:autoSpaceDN w:val="0"/>
        <w:adjustRightInd w:val="0"/>
        <w:ind w:left="2160" w:right="1440"/>
        <w:rPr>
          <w:rFonts w:eastAsiaTheme="minorHAnsi"/>
          <w:color w:val="000000"/>
          <w:sz w:val="26"/>
          <w:szCs w:val="26"/>
        </w:rPr>
      </w:pPr>
    </w:p>
    <w:p w14:paraId="2C1594CD" w14:textId="560BEC85" w:rsidR="003861FB" w:rsidRPr="00476D36" w:rsidRDefault="003861FB" w:rsidP="003861FB">
      <w:pPr>
        <w:widowControl/>
        <w:ind w:left="1440" w:right="1440" w:firstLine="720"/>
        <w:rPr>
          <w:rFonts w:eastAsiaTheme="minorHAnsi"/>
          <w:color w:val="000000"/>
          <w:sz w:val="26"/>
          <w:szCs w:val="26"/>
        </w:rPr>
      </w:pPr>
      <w:r w:rsidRPr="00476D36">
        <w:rPr>
          <w:rFonts w:eastAsiaTheme="minorHAnsi"/>
          <w:color w:val="000000"/>
          <w:sz w:val="26"/>
          <w:szCs w:val="26"/>
        </w:rPr>
        <w:t xml:space="preserve">(ii) </w:t>
      </w:r>
      <w:r w:rsidR="00A3138F" w:rsidRPr="00476D36">
        <w:rPr>
          <w:rFonts w:eastAsiaTheme="minorHAnsi"/>
          <w:color w:val="000000"/>
          <w:sz w:val="26"/>
          <w:szCs w:val="26"/>
        </w:rPr>
        <w:tab/>
      </w:r>
      <w:r w:rsidRPr="00476D36">
        <w:rPr>
          <w:rFonts w:eastAsiaTheme="minorHAnsi"/>
          <w:color w:val="000000"/>
          <w:sz w:val="26"/>
          <w:szCs w:val="26"/>
        </w:rPr>
        <w:t>In new building construction.</w:t>
      </w:r>
    </w:p>
    <w:p w14:paraId="52FA4215" w14:textId="77777777" w:rsidR="003861FB" w:rsidRPr="00476D36" w:rsidRDefault="003861FB" w:rsidP="003861FB">
      <w:pPr>
        <w:widowControl/>
        <w:autoSpaceDE w:val="0"/>
        <w:autoSpaceDN w:val="0"/>
        <w:adjustRightInd w:val="0"/>
        <w:ind w:left="1440" w:right="1440" w:firstLine="720"/>
        <w:rPr>
          <w:rFonts w:eastAsiaTheme="minorHAnsi"/>
          <w:color w:val="000000"/>
          <w:sz w:val="26"/>
          <w:szCs w:val="26"/>
        </w:rPr>
      </w:pPr>
    </w:p>
    <w:p w14:paraId="65C5EFA6" w14:textId="646859A1" w:rsidR="003861FB" w:rsidRPr="00476D36" w:rsidRDefault="003861FB" w:rsidP="003861FB">
      <w:pPr>
        <w:widowControl/>
        <w:autoSpaceDE w:val="0"/>
        <w:autoSpaceDN w:val="0"/>
        <w:adjustRightInd w:val="0"/>
        <w:ind w:left="2160" w:right="1440"/>
        <w:rPr>
          <w:rFonts w:eastAsiaTheme="minorHAnsi"/>
          <w:color w:val="000000"/>
          <w:sz w:val="26"/>
          <w:szCs w:val="26"/>
        </w:rPr>
      </w:pPr>
      <w:r w:rsidRPr="00476D36">
        <w:rPr>
          <w:rFonts w:eastAsiaTheme="minorHAnsi"/>
          <w:color w:val="000000"/>
          <w:sz w:val="26"/>
          <w:szCs w:val="26"/>
        </w:rPr>
        <w:t xml:space="preserve">(iii) </w:t>
      </w:r>
      <w:r w:rsidR="00D32544" w:rsidRPr="00476D36">
        <w:rPr>
          <w:rFonts w:eastAsiaTheme="minorHAnsi"/>
          <w:color w:val="000000"/>
          <w:sz w:val="26"/>
          <w:szCs w:val="26"/>
        </w:rPr>
        <w:tab/>
      </w:r>
      <w:r w:rsidRPr="00476D36">
        <w:rPr>
          <w:rFonts w:eastAsiaTheme="minorHAnsi"/>
          <w:color w:val="000000"/>
          <w:sz w:val="26"/>
          <w:szCs w:val="26"/>
        </w:rPr>
        <w:t>In accordance with a depreciation schedule not to exceed 15 years.</w:t>
      </w:r>
    </w:p>
    <w:p w14:paraId="7587B334" w14:textId="77777777" w:rsidR="003861FB" w:rsidRPr="00476D36" w:rsidRDefault="003861FB" w:rsidP="003861FB">
      <w:pPr>
        <w:widowControl/>
        <w:autoSpaceDE w:val="0"/>
        <w:autoSpaceDN w:val="0"/>
        <w:adjustRightInd w:val="0"/>
        <w:spacing w:line="360" w:lineRule="auto"/>
        <w:ind w:right="1440"/>
        <w:rPr>
          <w:rFonts w:eastAsiaTheme="minorHAnsi"/>
          <w:color w:val="000000"/>
          <w:sz w:val="26"/>
          <w:szCs w:val="26"/>
        </w:rPr>
      </w:pPr>
    </w:p>
    <w:p w14:paraId="71F2D46A" w14:textId="6122A2C7" w:rsidR="003861FB" w:rsidRPr="00476D36" w:rsidRDefault="003861FB" w:rsidP="003861FB">
      <w:pPr>
        <w:widowControl/>
        <w:tabs>
          <w:tab w:val="left" w:pos="720"/>
        </w:tabs>
        <w:spacing w:line="360" w:lineRule="auto"/>
        <w:rPr>
          <w:sz w:val="26"/>
          <w:szCs w:val="26"/>
        </w:rPr>
      </w:pPr>
      <w:r w:rsidRPr="00476D36">
        <w:rPr>
          <w:rFonts w:eastAsiaTheme="minorHAnsi"/>
          <w:color w:val="000000"/>
          <w:sz w:val="26"/>
          <w:szCs w:val="26"/>
        </w:rPr>
        <w:t xml:space="preserve">66 Pa. C.S. § 2807(f).  </w:t>
      </w:r>
      <w:r w:rsidRPr="00476D36">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476D36">
        <w:rPr>
          <w:i/>
          <w:sz w:val="26"/>
          <w:szCs w:val="26"/>
        </w:rPr>
        <w:t>See</w:t>
      </w:r>
      <w:r w:rsidRPr="00476D36">
        <w:rPr>
          <w:sz w:val="26"/>
          <w:szCs w:val="26"/>
        </w:rPr>
        <w:t xml:space="preserve"> H.B. 2200, 192d Gen. </w:t>
      </w:r>
      <w:proofErr w:type="spellStart"/>
      <w:r w:rsidRPr="00476D36">
        <w:rPr>
          <w:sz w:val="26"/>
          <w:szCs w:val="26"/>
        </w:rPr>
        <w:t>Assemb</w:t>
      </w:r>
      <w:proofErr w:type="spellEnd"/>
      <w:r w:rsidRPr="00476D36">
        <w:rPr>
          <w:sz w:val="26"/>
          <w:szCs w:val="26"/>
        </w:rPr>
        <w:t xml:space="preserve">., Reg. Sess. (Pa. 2008).  </w:t>
      </w:r>
    </w:p>
    <w:p w14:paraId="0BCBD089" w14:textId="77777777" w:rsidR="003861FB" w:rsidRPr="00476D36" w:rsidRDefault="003861FB" w:rsidP="003861FB">
      <w:pPr>
        <w:widowControl/>
        <w:spacing w:line="360" w:lineRule="auto"/>
        <w:contextualSpacing/>
        <w:rPr>
          <w:sz w:val="26"/>
          <w:szCs w:val="26"/>
        </w:rPr>
      </w:pPr>
    </w:p>
    <w:p w14:paraId="250BCC25" w14:textId="14A4A3CA" w:rsidR="00104496" w:rsidRPr="00476D36" w:rsidRDefault="003861FB" w:rsidP="003861FB">
      <w:pPr>
        <w:widowControl/>
        <w:spacing w:line="360" w:lineRule="auto"/>
        <w:ind w:firstLine="1440"/>
        <w:contextualSpacing/>
        <w:rPr>
          <w:sz w:val="26"/>
          <w:szCs w:val="26"/>
        </w:rPr>
      </w:pPr>
      <w:r w:rsidRPr="00476D36">
        <w:rPr>
          <w:sz w:val="26"/>
          <w:szCs w:val="26"/>
        </w:rPr>
        <w:t>By Order entered in 2009, the Commission directed all EDCs subject to Act 129’s smart meter requirements, including P</w:t>
      </w:r>
      <w:r w:rsidR="005703B8" w:rsidRPr="00476D36">
        <w:rPr>
          <w:sz w:val="26"/>
          <w:szCs w:val="26"/>
        </w:rPr>
        <w:t>PL</w:t>
      </w:r>
      <w:r w:rsidRPr="00476D36">
        <w:rPr>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476D36">
        <w:rPr>
          <w:i/>
          <w:iCs/>
          <w:sz w:val="26"/>
          <w:szCs w:val="26"/>
        </w:rPr>
        <w:t>See Smart Meter Procurement and Installation</w:t>
      </w:r>
      <w:r w:rsidRPr="00476D36">
        <w:rPr>
          <w:sz w:val="26"/>
          <w:szCs w:val="26"/>
        </w:rPr>
        <w:t>, Docket No. M-2009-2092655 (Implementation Order entered June 24, 2009) (</w:t>
      </w:r>
      <w:bookmarkStart w:id="2" w:name="_Hlk22627194"/>
      <w:r w:rsidRPr="00476D36">
        <w:rPr>
          <w:i/>
          <w:iCs/>
          <w:sz w:val="26"/>
          <w:szCs w:val="26"/>
        </w:rPr>
        <w:t>Smart Meter Procurement and Installation Order</w:t>
      </w:r>
      <w:bookmarkEnd w:id="2"/>
      <w:r w:rsidRPr="00476D36">
        <w:rPr>
          <w:sz w:val="26"/>
          <w:szCs w:val="26"/>
        </w:rPr>
        <w:t>).</w:t>
      </w:r>
      <w:r w:rsidR="00860AA4" w:rsidRPr="00476D36">
        <w:rPr>
          <w:sz w:val="26"/>
          <w:szCs w:val="26"/>
        </w:rPr>
        <w:t xml:space="preserve">  </w:t>
      </w:r>
    </w:p>
    <w:p w14:paraId="50A38002" w14:textId="77777777" w:rsidR="00104496" w:rsidRPr="00476D36" w:rsidRDefault="00104496" w:rsidP="003861FB">
      <w:pPr>
        <w:widowControl/>
        <w:spacing w:line="360" w:lineRule="auto"/>
        <w:ind w:firstLine="1440"/>
        <w:contextualSpacing/>
        <w:rPr>
          <w:sz w:val="26"/>
          <w:szCs w:val="26"/>
        </w:rPr>
      </w:pPr>
    </w:p>
    <w:p w14:paraId="2B729B07" w14:textId="77777777" w:rsidR="002131EC" w:rsidRPr="00476D36" w:rsidRDefault="005703B8" w:rsidP="003861FB">
      <w:pPr>
        <w:widowControl/>
        <w:spacing w:line="360" w:lineRule="auto"/>
        <w:ind w:firstLine="1440"/>
        <w:contextualSpacing/>
        <w:rPr>
          <w:sz w:val="26"/>
          <w:szCs w:val="26"/>
        </w:rPr>
      </w:pPr>
      <w:r w:rsidRPr="00476D36">
        <w:rPr>
          <w:sz w:val="26"/>
          <w:szCs w:val="26"/>
        </w:rPr>
        <w:t>PPL</w:t>
      </w:r>
      <w:r w:rsidR="002557E0" w:rsidRPr="00476D36">
        <w:rPr>
          <w:sz w:val="26"/>
          <w:szCs w:val="26"/>
        </w:rPr>
        <w:t xml:space="preserve"> </w:t>
      </w:r>
      <w:r w:rsidR="003861FB" w:rsidRPr="00476D36">
        <w:rPr>
          <w:sz w:val="26"/>
          <w:szCs w:val="26"/>
        </w:rPr>
        <w:t>sought and obtained the Commission’s approval</w:t>
      </w:r>
      <w:r w:rsidR="002557E0" w:rsidRPr="00476D36">
        <w:rPr>
          <w:sz w:val="26"/>
          <w:szCs w:val="26"/>
        </w:rPr>
        <w:t xml:space="preserve"> </w:t>
      </w:r>
      <w:r w:rsidR="003861FB" w:rsidRPr="00476D36">
        <w:rPr>
          <w:sz w:val="26"/>
          <w:szCs w:val="26"/>
        </w:rPr>
        <w:t xml:space="preserve">to complete the installation of AMI meters </w:t>
      </w:r>
      <w:r w:rsidR="000203E2" w:rsidRPr="00476D36">
        <w:rPr>
          <w:sz w:val="26"/>
          <w:szCs w:val="26"/>
        </w:rPr>
        <w:t>with s</w:t>
      </w:r>
      <w:r w:rsidR="003861FB" w:rsidRPr="00476D36">
        <w:rPr>
          <w:sz w:val="26"/>
          <w:szCs w:val="26"/>
        </w:rPr>
        <w:t xml:space="preserve">ubstantially all customers </w:t>
      </w:r>
      <w:r w:rsidR="000203E2" w:rsidRPr="00476D36">
        <w:rPr>
          <w:sz w:val="26"/>
          <w:szCs w:val="26"/>
        </w:rPr>
        <w:t xml:space="preserve">to receive an AMI meter by </w:t>
      </w:r>
      <w:r w:rsidR="00A257BB" w:rsidRPr="00476D36">
        <w:rPr>
          <w:sz w:val="26"/>
          <w:szCs w:val="26"/>
        </w:rPr>
        <w:t xml:space="preserve">late 2019.  </w:t>
      </w:r>
      <w:r w:rsidR="004F7ABC" w:rsidRPr="00476D36">
        <w:rPr>
          <w:i/>
          <w:iCs/>
          <w:sz w:val="26"/>
          <w:szCs w:val="26"/>
        </w:rPr>
        <w:t xml:space="preserve">See Petition of </w:t>
      </w:r>
      <w:r w:rsidR="002131EC" w:rsidRPr="00476D36">
        <w:rPr>
          <w:i/>
          <w:iCs/>
          <w:sz w:val="26"/>
          <w:szCs w:val="26"/>
        </w:rPr>
        <w:t xml:space="preserve">PPL Electric Company </w:t>
      </w:r>
      <w:r w:rsidR="002557E0" w:rsidRPr="00476D36">
        <w:rPr>
          <w:i/>
          <w:iCs/>
          <w:sz w:val="26"/>
          <w:szCs w:val="26"/>
        </w:rPr>
        <w:t>f</w:t>
      </w:r>
      <w:r w:rsidR="004F7ABC" w:rsidRPr="00476D36">
        <w:rPr>
          <w:i/>
          <w:iCs/>
          <w:sz w:val="26"/>
          <w:szCs w:val="26"/>
        </w:rPr>
        <w:t xml:space="preserve">or Approval of </w:t>
      </w:r>
      <w:r w:rsidR="002131EC" w:rsidRPr="00476D36">
        <w:rPr>
          <w:i/>
          <w:iCs/>
          <w:sz w:val="26"/>
          <w:szCs w:val="26"/>
        </w:rPr>
        <w:t xml:space="preserve">Its </w:t>
      </w:r>
      <w:r w:rsidR="004F7ABC" w:rsidRPr="00476D36">
        <w:rPr>
          <w:i/>
          <w:iCs/>
          <w:sz w:val="26"/>
          <w:szCs w:val="26"/>
        </w:rPr>
        <w:t>Smart Meter Deployment Plan</w:t>
      </w:r>
      <w:r w:rsidR="004F7ABC" w:rsidRPr="00476D36">
        <w:rPr>
          <w:sz w:val="26"/>
          <w:szCs w:val="26"/>
        </w:rPr>
        <w:t>, Docket Nos. M-</w:t>
      </w:r>
      <w:r w:rsidR="002131EC" w:rsidRPr="00476D36">
        <w:rPr>
          <w:sz w:val="26"/>
          <w:szCs w:val="26"/>
        </w:rPr>
        <w:t xml:space="preserve">2014-2430781 </w:t>
      </w:r>
      <w:r w:rsidR="004F7ABC" w:rsidRPr="00476D36">
        <w:rPr>
          <w:sz w:val="26"/>
          <w:szCs w:val="26"/>
        </w:rPr>
        <w:t xml:space="preserve">(Order entered </w:t>
      </w:r>
      <w:r w:rsidR="002131EC" w:rsidRPr="00476D36">
        <w:rPr>
          <w:sz w:val="26"/>
          <w:szCs w:val="26"/>
        </w:rPr>
        <w:t>September 3, 2015)</w:t>
      </w:r>
      <w:r w:rsidR="00A257BB" w:rsidRPr="00476D36">
        <w:rPr>
          <w:sz w:val="26"/>
          <w:szCs w:val="26"/>
        </w:rPr>
        <w:t xml:space="preserve"> (PPL’s Deployment Plan</w:t>
      </w:r>
      <w:r w:rsidR="000C4245" w:rsidRPr="00476D36">
        <w:rPr>
          <w:sz w:val="26"/>
          <w:szCs w:val="26"/>
        </w:rPr>
        <w:t>, Smart Meter Deployment Plan</w:t>
      </w:r>
      <w:r w:rsidR="00A257BB" w:rsidRPr="00476D36">
        <w:rPr>
          <w:sz w:val="26"/>
          <w:szCs w:val="26"/>
        </w:rPr>
        <w:t xml:space="preserve"> or Plan)</w:t>
      </w:r>
      <w:r w:rsidR="00CB7186" w:rsidRPr="00476D36">
        <w:rPr>
          <w:sz w:val="26"/>
          <w:szCs w:val="26"/>
        </w:rPr>
        <w:t xml:space="preserve"> at 24</w:t>
      </w:r>
      <w:r w:rsidR="004F7ABC" w:rsidRPr="00476D36">
        <w:rPr>
          <w:sz w:val="26"/>
          <w:szCs w:val="26"/>
        </w:rPr>
        <w:t>.</w:t>
      </w:r>
    </w:p>
    <w:p w14:paraId="66B22E43" w14:textId="7FBF7D42" w:rsidR="003861FB" w:rsidRPr="00476D36" w:rsidRDefault="003861FB" w:rsidP="00A3138F">
      <w:pPr>
        <w:widowControl/>
        <w:spacing w:line="360" w:lineRule="auto"/>
        <w:contextualSpacing/>
      </w:pPr>
    </w:p>
    <w:p w14:paraId="5CA5AE8F" w14:textId="77777777" w:rsidR="000B2AC8" w:rsidRPr="00476D36" w:rsidRDefault="00B73D28" w:rsidP="0065514C">
      <w:pPr>
        <w:keepNext/>
        <w:widowControl/>
        <w:spacing w:line="360" w:lineRule="auto"/>
        <w:jc w:val="center"/>
        <w:rPr>
          <w:b/>
          <w:bCs/>
          <w:sz w:val="26"/>
          <w:szCs w:val="26"/>
        </w:rPr>
      </w:pPr>
      <w:r w:rsidRPr="00476D36">
        <w:rPr>
          <w:b/>
          <w:bCs/>
          <w:sz w:val="26"/>
          <w:szCs w:val="26"/>
        </w:rPr>
        <w:lastRenderedPageBreak/>
        <w:t>History of the Proceeding</w:t>
      </w:r>
    </w:p>
    <w:p w14:paraId="5B268534" w14:textId="77777777" w:rsidR="004F7ABC" w:rsidRPr="00476D36" w:rsidRDefault="004F7ABC" w:rsidP="0065514C">
      <w:pPr>
        <w:keepNext/>
        <w:widowControl/>
        <w:autoSpaceDE w:val="0"/>
        <w:autoSpaceDN w:val="0"/>
        <w:adjustRightInd w:val="0"/>
        <w:spacing w:line="360" w:lineRule="auto"/>
        <w:rPr>
          <w:rFonts w:eastAsiaTheme="minorHAnsi"/>
          <w:color w:val="000000"/>
          <w:sz w:val="26"/>
          <w:szCs w:val="26"/>
        </w:rPr>
      </w:pPr>
    </w:p>
    <w:p w14:paraId="6FD11340" w14:textId="08CB9EA3" w:rsidR="005A4D79" w:rsidRPr="00476D36" w:rsidRDefault="005A4D79" w:rsidP="005A4D79">
      <w:pPr>
        <w:spacing w:line="360" w:lineRule="auto"/>
        <w:ind w:firstLine="1440"/>
        <w:textAlignment w:val="baseline"/>
        <w:rPr>
          <w:color w:val="000000"/>
          <w:sz w:val="26"/>
          <w:szCs w:val="26"/>
        </w:rPr>
      </w:pPr>
      <w:r w:rsidRPr="00476D36">
        <w:rPr>
          <w:color w:val="000000"/>
          <w:sz w:val="26"/>
          <w:szCs w:val="26"/>
        </w:rPr>
        <w:t>On October 16, 2018, Ms. Schutz filed the instant Complaint requesting that PPL be prevented from installing an RF meter on her residence for health, safety, and privacy reasons.  On November 19, 2018, the Company filed an Answer, admitting that PPL provides electric service to the Complainant and contending that it is required to install AMI, or smart meters, for all automatic meter reading (AMR) customers.  However, PPL denied that the new AMI meter has caused, contributed to, or exacerbated any illnesses</w:t>
      </w:r>
      <w:r w:rsidR="00C970BB" w:rsidRPr="00476D36">
        <w:rPr>
          <w:color w:val="000000"/>
          <w:sz w:val="26"/>
          <w:szCs w:val="26"/>
        </w:rPr>
        <w:t xml:space="preserve"> and denied that the new AMI meter presents privacy concerns</w:t>
      </w:r>
      <w:r w:rsidRPr="00476D36">
        <w:rPr>
          <w:color w:val="000000"/>
          <w:sz w:val="26"/>
          <w:szCs w:val="26"/>
        </w:rPr>
        <w:t>.</w:t>
      </w:r>
    </w:p>
    <w:p w14:paraId="42DC65A7" w14:textId="77777777" w:rsidR="005A4D79" w:rsidRPr="00476D36" w:rsidRDefault="005A4D79" w:rsidP="005A4D79">
      <w:pPr>
        <w:spacing w:line="360" w:lineRule="auto"/>
        <w:ind w:left="216" w:firstLine="1440"/>
        <w:textAlignment w:val="baseline"/>
        <w:rPr>
          <w:color w:val="000000"/>
          <w:sz w:val="26"/>
          <w:szCs w:val="26"/>
        </w:rPr>
      </w:pPr>
    </w:p>
    <w:p w14:paraId="1C34849F" w14:textId="6A9CD0DB" w:rsidR="005A4D79" w:rsidRPr="00476D36" w:rsidRDefault="005A4D79" w:rsidP="005A4D79">
      <w:pPr>
        <w:spacing w:line="360" w:lineRule="auto"/>
        <w:ind w:left="72" w:right="72" w:firstLine="648"/>
        <w:textAlignment w:val="baseline"/>
        <w:rPr>
          <w:color w:val="000000"/>
          <w:sz w:val="26"/>
          <w:szCs w:val="26"/>
        </w:rPr>
      </w:pPr>
      <w:r w:rsidRPr="00476D36">
        <w:rPr>
          <w:color w:val="000000"/>
          <w:sz w:val="26"/>
          <w:szCs w:val="26"/>
        </w:rPr>
        <w:tab/>
        <w:t xml:space="preserve">An initial hearing was held on May 2, 2019, at which the Complainant appeared </w:t>
      </w:r>
      <w:r w:rsidRPr="00476D36">
        <w:rPr>
          <w:i/>
          <w:color w:val="000000"/>
          <w:sz w:val="26"/>
          <w:szCs w:val="26"/>
        </w:rPr>
        <w:t>pro se</w:t>
      </w:r>
      <w:r w:rsidRPr="00476D36">
        <w:rPr>
          <w:iCs/>
          <w:color w:val="000000"/>
          <w:sz w:val="26"/>
          <w:szCs w:val="26"/>
        </w:rPr>
        <w:t>, testified on her behalf,</w:t>
      </w:r>
      <w:r w:rsidRPr="00476D36">
        <w:rPr>
          <w:i/>
          <w:color w:val="000000"/>
          <w:sz w:val="26"/>
          <w:szCs w:val="26"/>
        </w:rPr>
        <w:t xml:space="preserve"> </w:t>
      </w:r>
      <w:r w:rsidRPr="00476D36">
        <w:rPr>
          <w:iCs/>
          <w:color w:val="000000"/>
          <w:sz w:val="26"/>
          <w:szCs w:val="26"/>
        </w:rPr>
        <w:t>and presented e</w:t>
      </w:r>
      <w:r w:rsidRPr="00476D36">
        <w:rPr>
          <w:color w:val="000000"/>
          <w:sz w:val="26"/>
          <w:szCs w:val="26"/>
        </w:rPr>
        <w:t xml:space="preserve">ight exhibits, which were all admitted into the record.  The Complainant’s Exhibits A through H are:  </w:t>
      </w:r>
      <w:r w:rsidR="005441F7" w:rsidRPr="00476D36">
        <w:rPr>
          <w:color w:val="000000"/>
          <w:sz w:val="26"/>
          <w:szCs w:val="26"/>
        </w:rPr>
        <w:t>(</w:t>
      </w:r>
      <w:r w:rsidRPr="00476D36">
        <w:rPr>
          <w:color w:val="000000"/>
          <w:sz w:val="26"/>
          <w:szCs w:val="26"/>
        </w:rPr>
        <w:t xml:space="preserve">A) the Fourth Amendment; </w:t>
      </w:r>
      <w:r w:rsidR="005441F7" w:rsidRPr="00476D36">
        <w:rPr>
          <w:color w:val="000000"/>
          <w:sz w:val="26"/>
          <w:szCs w:val="26"/>
        </w:rPr>
        <w:t>(</w:t>
      </w:r>
      <w:r w:rsidRPr="00476D36">
        <w:rPr>
          <w:color w:val="000000"/>
          <w:sz w:val="26"/>
          <w:szCs w:val="26"/>
        </w:rPr>
        <w:t xml:space="preserve">B) the Fourteenth Amendment; </w:t>
      </w:r>
      <w:r w:rsidR="005441F7" w:rsidRPr="00476D36">
        <w:rPr>
          <w:color w:val="000000"/>
          <w:sz w:val="26"/>
          <w:szCs w:val="26"/>
        </w:rPr>
        <w:t>(</w:t>
      </w:r>
      <w:r w:rsidRPr="00476D36">
        <w:rPr>
          <w:color w:val="000000"/>
          <w:sz w:val="26"/>
          <w:szCs w:val="26"/>
        </w:rPr>
        <w:t xml:space="preserve">C) 18 U.S.C. § 241; </w:t>
      </w:r>
      <w:r w:rsidR="005441F7" w:rsidRPr="00476D36">
        <w:rPr>
          <w:color w:val="000000"/>
          <w:sz w:val="26"/>
          <w:szCs w:val="26"/>
        </w:rPr>
        <w:t>(</w:t>
      </w:r>
      <w:r w:rsidRPr="00476D36">
        <w:rPr>
          <w:color w:val="000000"/>
          <w:sz w:val="26"/>
          <w:szCs w:val="26"/>
        </w:rPr>
        <w:t>D) 18 U.S.C. §</w:t>
      </w:r>
      <w:r w:rsidR="00476D36">
        <w:rPr>
          <w:color w:val="000000"/>
          <w:sz w:val="26"/>
          <w:szCs w:val="26"/>
        </w:rPr>
        <w:t> </w:t>
      </w:r>
      <w:r w:rsidRPr="00476D36">
        <w:rPr>
          <w:color w:val="000000"/>
          <w:sz w:val="26"/>
          <w:szCs w:val="26"/>
        </w:rPr>
        <w:t xml:space="preserve">242; </w:t>
      </w:r>
      <w:r w:rsidR="005441F7" w:rsidRPr="00476D36">
        <w:rPr>
          <w:color w:val="000000"/>
          <w:sz w:val="26"/>
          <w:szCs w:val="26"/>
        </w:rPr>
        <w:t>(</w:t>
      </w:r>
      <w:r w:rsidRPr="00476D36">
        <w:rPr>
          <w:color w:val="000000"/>
          <w:sz w:val="26"/>
          <w:szCs w:val="26"/>
        </w:rPr>
        <w:t>E) Title 34 of the Code of the District of Columbia, § 34</w:t>
      </w:r>
      <w:r w:rsidRPr="00476D36">
        <w:rPr>
          <w:color w:val="000000"/>
          <w:sz w:val="26"/>
          <w:szCs w:val="26"/>
        </w:rPr>
        <w:softHyphen/>
        <w:t xml:space="preserve">1562 (Authorization of Advanced Metering Infrastructure Implementation (Smart Grid) and cost recovery); </w:t>
      </w:r>
      <w:r w:rsidR="005441F7" w:rsidRPr="00476D36">
        <w:rPr>
          <w:color w:val="000000"/>
          <w:sz w:val="26"/>
          <w:szCs w:val="26"/>
        </w:rPr>
        <w:t>(</w:t>
      </w:r>
      <w:r w:rsidRPr="00476D36">
        <w:rPr>
          <w:color w:val="000000"/>
          <w:sz w:val="26"/>
          <w:szCs w:val="26"/>
        </w:rPr>
        <w:t>F)</w:t>
      </w:r>
      <w:r w:rsidR="005441F7" w:rsidRPr="00476D36">
        <w:rPr>
          <w:color w:val="000000"/>
          <w:sz w:val="26"/>
          <w:szCs w:val="26"/>
        </w:rPr>
        <w:t> </w:t>
      </w:r>
      <w:r w:rsidRPr="00476D36">
        <w:rPr>
          <w:color w:val="000000"/>
          <w:sz w:val="26"/>
          <w:szCs w:val="26"/>
        </w:rPr>
        <w:t xml:space="preserve">18 U.S.C. Chapter 119; </w:t>
      </w:r>
      <w:r w:rsidR="00476D36">
        <w:rPr>
          <w:color w:val="000000"/>
          <w:sz w:val="26"/>
          <w:szCs w:val="26"/>
        </w:rPr>
        <w:t>(</w:t>
      </w:r>
      <w:r w:rsidRPr="00476D36">
        <w:rPr>
          <w:color w:val="000000"/>
          <w:sz w:val="26"/>
          <w:szCs w:val="26"/>
        </w:rPr>
        <w:t xml:space="preserve">G) </w:t>
      </w:r>
      <w:r w:rsidRPr="00476D36">
        <w:rPr>
          <w:i/>
          <w:color w:val="000000"/>
          <w:sz w:val="26"/>
          <w:szCs w:val="26"/>
        </w:rPr>
        <w:t>A Smart Home is No Castle: Privacy Vulnerabilities of Encrypted IoT Traffic</w:t>
      </w:r>
      <w:r w:rsidRPr="00476D36">
        <w:rPr>
          <w:color w:val="000000"/>
          <w:sz w:val="26"/>
          <w:szCs w:val="26"/>
        </w:rPr>
        <w:t xml:space="preserve">; and </w:t>
      </w:r>
      <w:r w:rsidR="005441F7" w:rsidRPr="00476D36">
        <w:rPr>
          <w:color w:val="000000"/>
          <w:sz w:val="26"/>
          <w:szCs w:val="26"/>
        </w:rPr>
        <w:t>(</w:t>
      </w:r>
      <w:r w:rsidRPr="00476D36">
        <w:rPr>
          <w:color w:val="000000"/>
          <w:sz w:val="26"/>
          <w:szCs w:val="26"/>
        </w:rPr>
        <w:t>H) National Institute of Environmental Health Science peer-review study.</w:t>
      </w:r>
    </w:p>
    <w:p w14:paraId="25D09025" w14:textId="77777777" w:rsidR="005A4D79" w:rsidRPr="00476D36" w:rsidRDefault="005A4D79" w:rsidP="005A4D79">
      <w:pPr>
        <w:spacing w:line="360" w:lineRule="auto"/>
        <w:ind w:left="72" w:right="72" w:firstLine="648"/>
        <w:textAlignment w:val="baseline"/>
        <w:rPr>
          <w:color w:val="000000"/>
          <w:sz w:val="26"/>
          <w:szCs w:val="26"/>
        </w:rPr>
      </w:pPr>
    </w:p>
    <w:p w14:paraId="4D36A0C0" w14:textId="3B31A5B4" w:rsidR="00B9344A" w:rsidRPr="00476D36" w:rsidRDefault="005A4D79" w:rsidP="005A4D79">
      <w:pPr>
        <w:pStyle w:val="Default"/>
        <w:spacing w:line="360" w:lineRule="auto"/>
        <w:ind w:firstLine="1440"/>
        <w:rPr>
          <w:sz w:val="26"/>
          <w:szCs w:val="26"/>
        </w:rPr>
      </w:pPr>
      <w:r w:rsidRPr="00476D36">
        <w:rPr>
          <w:rFonts w:eastAsia="Times New Roman"/>
          <w:sz w:val="26"/>
          <w:szCs w:val="26"/>
        </w:rPr>
        <w:t xml:space="preserve">The Company was represented by counsel and presented the testimony of four witnesses: Kevin Durkin, Donald </w:t>
      </w:r>
      <w:proofErr w:type="spellStart"/>
      <w:r w:rsidRPr="00476D36">
        <w:rPr>
          <w:rFonts w:eastAsia="Times New Roman"/>
          <w:sz w:val="26"/>
          <w:szCs w:val="26"/>
        </w:rPr>
        <w:t>Vinciguerra</w:t>
      </w:r>
      <w:proofErr w:type="spellEnd"/>
      <w:r w:rsidRPr="00476D36">
        <w:rPr>
          <w:rFonts w:eastAsia="Times New Roman"/>
          <w:sz w:val="26"/>
          <w:szCs w:val="26"/>
        </w:rPr>
        <w:t>, Christopher Davis, Ph.D., and Mark Israel, M.D.  PPL also offered fifteen exhibits which were admitted into the record as follows: PPL’s Statements 1-4 and Exhibits CD-1 – CD-5; MI-1-MI-3; KD-1-KD-6 and DV-1.</w:t>
      </w:r>
      <w:r w:rsidR="00860AA4" w:rsidRPr="00476D36">
        <w:rPr>
          <w:rFonts w:eastAsia="Times New Roman"/>
          <w:sz w:val="26"/>
          <w:szCs w:val="26"/>
        </w:rPr>
        <w:t xml:space="preserve">  </w:t>
      </w:r>
      <w:r w:rsidRPr="00476D36">
        <w:rPr>
          <w:rFonts w:eastAsia="Times New Roman"/>
          <w:sz w:val="26"/>
          <w:szCs w:val="26"/>
        </w:rPr>
        <w:t xml:space="preserve">The hearing produced a transcript of forty-seven </w:t>
      </w:r>
      <w:r w:rsidR="005D5E32" w:rsidRPr="00476D36">
        <w:rPr>
          <w:rFonts w:eastAsia="Times New Roman"/>
          <w:sz w:val="26"/>
          <w:szCs w:val="26"/>
        </w:rPr>
        <w:t xml:space="preserve">pages </w:t>
      </w:r>
      <w:r w:rsidRPr="00476D36">
        <w:rPr>
          <w:rFonts w:eastAsia="Times New Roman"/>
          <w:sz w:val="26"/>
          <w:szCs w:val="26"/>
        </w:rPr>
        <w:t>and the record was closed on May 23, 2019</w:t>
      </w:r>
      <w:r w:rsidR="005D5E32" w:rsidRPr="00476D36">
        <w:rPr>
          <w:sz w:val="26"/>
          <w:szCs w:val="26"/>
        </w:rPr>
        <w:t>.</w:t>
      </w:r>
      <w:r w:rsidR="00B9344A" w:rsidRPr="00476D36">
        <w:rPr>
          <w:sz w:val="26"/>
          <w:szCs w:val="26"/>
        </w:rPr>
        <w:t xml:space="preserve"> </w:t>
      </w:r>
    </w:p>
    <w:p w14:paraId="43C1C043" w14:textId="77777777" w:rsidR="00B9344A" w:rsidRPr="00476D36" w:rsidRDefault="00B9344A" w:rsidP="00E532DF">
      <w:pPr>
        <w:widowControl/>
        <w:spacing w:line="360" w:lineRule="auto"/>
        <w:ind w:firstLine="1440"/>
        <w:rPr>
          <w:rFonts w:eastAsiaTheme="minorHAnsi"/>
          <w:color w:val="000000"/>
          <w:sz w:val="26"/>
          <w:szCs w:val="26"/>
        </w:rPr>
      </w:pPr>
    </w:p>
    <w:p w14:paraId="7AF9B45C" w14:textId="77777777" w:rsidR="00D13E44" w:rsidRPr="00476D36" w:rsidRDefault="004121F7" w:rsidP="00D704F2">
      <w:pPr>
        <w:widowControl/>
        <w:spacing w:line="360" w:lineRule="auto"/>
        <w:ind w:firstLine="1440"/>
        <w:rPr>
          <w:rFonts w:eastAsiaTheme="minorHAnsi"/>
          <w:color w:val="000000"/>
          <w:sz w:val="26"/>
          <w:szCs w:val="26"/>
        </w:rPr>
      </w:pPr>
      <w:r w:rsidRPr="00476D36">
        <w:rPr>
          <w:rFonts w:eastAsiaTheme="minorHAnsi"/>
          <w:color w:val="000000"/>
          <w:sz w:val="26"/>
          <w:szCs w:val="26"/>
        </w:rPr>
        <w:t xml:space="preserve">In the Initial Decision </w:t>
      </w:r>
      <w:r w:rsidR="001B4898" w:rsidRPr="00476D36">
        <w:rPr>
          <w:rFonts w:eastAsiaTheme="minorHAnsi"/>
          <w:color w:val="000000"/>
          <w:sz w:val="26"/>
          <w:szCs w:val="26"/>
        </w:rPr>
        <w:t xml:space="preserve">issued </w:t>
      </w:r>
      <w:r w:rsidRPr="00476D36">
        <w:rPr>
          <w:rFonts w:eastAsiaTheme="minorHAnsi"/>
          <w:color w:val="000000"/>
          <w:sz w:val="26"/>
          <w:szCs w:val="26"/>
        </w:rPr>
        <w:t xml:space="preserve">on </w:t>
      </w:r>
      <w:r w:rsidRPr="00476D36">
        <w:rPr>
          <w:color w:val="000000"/>
          <w:sz w:val="26"/>
        </w:rPr>
        <w:t>June 18, 2019</w:t>
      </w:r>
      <w:r w:rsidR="00B9344A" w:rsidRPr="00476D36">
        <w:rPr>
          <w:rFonts w:eastAsiaTheme="minorHAnsi"/>
          <w:color w:val="000000"/>
          <w:sz w:val="26"/>
          <w:szCs w:val="26"/>
        </w:rPr>
        <w:t xml:space="preserve">, </w:t>
      </w:r>
      <w:r w:rsidR="00186CEC" w:rsidRPr="00476D36">
        <w:rPr>
          <w:rFonts w:eastAsiaTheme="minorHAnsi"/>
          <w:color w:val="000000"/>
          <w:sz w:val="26"/>
          <w:szCs w:val="26"/>
        </w:rPr>
        <w:t xml:space="preserve">the </w:t>
      </w:r>
      <w:r w:rsidRPr="00476D36">
        <w:rPr>
          <w:rFonts w:eastAsiaTheme="minorHAnsi"/>
          <w:color w:val="000000"/>
          <w:sz w:val="26"/>
          <w:szCs w:val="26"/>
        </w:rPr>
        <w:t xml:space="preserve">ALJ dismissed the Complaint for failing to prove by a preponderance of the evidence that the installation of </w:t>
      </w:r>
      <w:r w:rsidRPr="00476D36">
        <w:rPr>
          <w:rFonts w:eastAsiaTheme="minorHAnsi"/>
          <w:color w:val="000000"/>
          <w:sz w:val="26"/>
          <w:szCs w:val="26"/>
        </w:rPr>
        <w:lastRenderedPageBreak/>
        <w:t xml:space="preserve">the smart meter constitutes unsafe or unreasonable service under Section 1501 of the Code or that it is a violation of the U.S. Constitution, any other statute, or Commission </w:t>
      </w:r>
      <w:r w:rsidR="006D44EF" w:rsidRPr="00476D36">
        <w:rPr>
          <w:rFonts w:eastAsiaTheme="minorHAnsi"/>
          <w:color w:val="000000"/>
          <w:sz w:val="26"/>
          <w:szCs w:val="26"/>
        </w:rPr>
        <w:t>R</w:t>
      </w:r>
      <w:r w:rsidRPr="00476D36">
        <w:rPr>
          <w:rFonts w:eastAsiaTheme="minorHAnsi"/>
          <w:color w:val="000000"/>
          <w:sz w:val="26"/>
          <w:szCs w:val="26"/>
        </w:rPr>
        <w:t xml:space="preserve">egulation or </w:t>
      </w:r>
      <w:r w:rsidR="006D44EF" w:rsidRPr="00476D36">
        <w:rPr>
          <w:rFonts w:eastAsiaTheme="minorHAnsi"/>
          <w:color w:val="000000"/>
          <w:sz w:val="26"/>
          <w:szCs w:val="26"/>
        </w:rPr>
        <w:t>O</w:t>
      </w:r>
      <w:r w:rsidRPr="00476D36">
        <w:rPr>
          <w:rFonts w:eastAsiaTheme="minorHAnsi"/>
          <w:color w:val="000000"/>
          <w:sz w:val="26"/>
          <w:szCs w:val="26"/>
        </w:rPr>
        <w:t>rder</w:t>
      </w:r>
      <w:r w:rsidR="00186CEC" w:rsidRPr="00476D36">
        <w:rPr>
          <w:rFonts w:eastAsiaTheme="minorHAnsi"/>
          <w:color w:val="000000"/>
          <w:sz w:val="26"/>
          <w:szCs w:val="26"/>
        </w:rPr>
        <w:t>.</w:t>
      </w:r>
      <w:r w:rsidR="00E86C6A" w:rsidRPr="00476D36">
        <w:rPr>
          <w:rFonts w:eastAsiaTheme="minorHAnsi"/>
          <w:color w:val="000000"/>
          <w:sz w:val="26"/>
          <w:szCs w:val="26"/>
        </w:rPr>
        <w:t xml:space="preserve">  As previously noted, the Complainant filed Exceptions on </w:t>
      </w:r>
      <w:r w:rsidR="007B707A" w:rsidRPr="00476D36">
        <w:rPr>
          <w:color w:val="000000"/>
          <w:sz w:val="26"/>
        </w:rPr>
        <w:t>June 28, 2019</w:t>
      </w:r>
      <w:r w:rsidR="00E86C6A" w:rsidRPr="00476D36">
        <w:rPr>
          <w:rFonts w:eastAsiaTheme="minorHAnsi"/>
          <w:color w:val="000000"/>
          <w:sz w:val="26"/>
          <w:szCs w:val="26"/>
        </w:rPr>
        <w:t>, and P</w:t>
      </w:r>
      <w:r w:rsidR="00B9344A" w:rsidRPr="00476D36">
        <w:rPr>
          <w:rFonts w:eastAsiaTheme="minorHAnsi"/>
          <w:color w:val="000000"/>
          <w:sz w:val="26"/>
          <w:szCs w:val="26"/>
        </w:rPr>
        <w:t>PL</w:t>
      </w:r>
      <w:r w:rsidR="00E86C6A" w:rsidRPr="00476D36">
        <w:rPr>
          <w:rFonts w:eastAsiaTheme="minorHAnsi"/>
          <w:color w:val="000000"/>
          <w:sz w:val="26"/>
          <w:szCs w:val="26"/>
        </w:rPr>
        <w:t xml:space="preserve"> filed Replies to Exceptions on </w:t>
      </w:r>
      <w:r w:rsidR="007B707A" w:rsidRPr="00476D36">
        <w:rPr>
          <w:rFonts w:eastAsiaTheme="minorHAnsi"/>
          <w:color w:val="000000"/>
          <w:sz w:val="26"/>
          <w:szCs w:val="26"/>
        </w:rPr>
        <w:t>July 18</w:t>
      </w:r>
      <w:r w:rsidR="00B9344A" w:rsidRPr="00476D36">
        <w:rPr>
          <w:rFonts w:eastAsiaTheme="minorHAnsi"/>
          <w:color w:val="000000"/>
          <w:sz w:val="26"/>
          <w:szCs w:val="26"/>
        </w:rPr>
        <w:t>, 2019</w:t>
      </w:r>
      <w:r w:rsidR="00E86C6A" w:rsidRPr="00476D36">
        <w:rPr>
          <w:rFonts w:eastAsiaTheme="minorHAnsi"/>
          <w:color w:val="000000"/>
          <w:sz w:val="26"/>
          <w:szCs w:val="26"/>
        </w:rPr>
        <w:t>.</w:t>
      </w:r>
      <w:r w:rsidR="00DD753F" w:rsidRPr="00476D36">
        <w:rPr>
          <w:rStyle w:val="FootnoteReference"/>
          <w:rFonts w:eastAsiaTheme="minorHAnsi"/>
          <w:color w:val="000000"/>
          <w:sz w:val="26"/>
          <w:szCs w:val="26"/>
        </w:rPr>
        <w:footnoteReference w:id="1"/>
      </w:r>
      <w:r w:rsidR="009133D1" w:rsidRPr="00476D36">
        <w:rPr>
          <w:rFonts w:eastAsiaTheme="minorHAnsi"/>
          <w:color w:val="000000"/>
          <w:sz w:val="26"/>
          <w:szCs w:val="26"/>
        </w:rPr>
        <w:t xml:space="preserve">  </w:t>
      </w:r>
    </w:p>
    <w:p w14:paraId="58892E72" w14:textId="77777777" w:rsidR="001C2D5B" w:rsidRPr="00476D36" w:rsidRDefault="001C2D5B" w:rsidP="00D13E44">
      <w:pPr>
        <w:keepNext/>
        <w:keepLines/>
        <w:widowControl/>
        <w:spacing w:line="360" w:lineRule="auto"/>
        <w:rPr>
          <w:rFonts w:eastAsiaTheme="minorHAnsi"/>
          <w:color w:val="000000"/>
          <w:sz w:val="26"/>
          <w:szCs w:val="26"/>
        </w:rPr>
      </w:pPr>
    </w:p>
    <w:p w14:paraId="21C7C387" w14:textId="77777777" w:rsidR="001B0C5E" w:rsidRPr="00476D36" w:rsidRDefault="00A707C9" w:rsidP="002625EC">
      <w:pPr>
        <w:keepNext/>
        <w:keepLines/>
        <w:widowControl/>
        <w:spacing w:line="360" w:lineRule="auto"/>
        <w:contextualSpacing/>
        <w:jc w:val="center"/>
        <w:rPr>
          <w:b/>
          <w:sz w:val="26"/>
          <w:szCs w:val="26"/>
        </w:rPr>
      </w:pPr>
      <w:r w:rsidRPr="00476D36">
        <w:rPr>
          <w:b/>
          <w:sz w:val="26"/>
          <w:szCs w:val="26"/>
        </w:rPr>
        <w:t>Discussion</w:t>
      </w:r>
    </w:p>
    <w:p w14:paraId="07A4CC0B" w14:textId="77777777" w:rsidR="00A707C9" w:rsidRPr="00476D36" w:rsidRDefault="00A707C9" w:rsidP="002625EC">
      <w:pPr>
        <w:keepNext/>
        <w:keepLines/>
        <w:widowControl/>
        <w:spacing w:line="360" w:lineRule="auto"/>
        <w:ind w:firstLine="1440"/>
        <w:contextualSpacing/>
        <w:rPr>
          <w:sz w:val="26"/>
          <w:szCs w:val="26"/>
        </w:rPr>
      </w:pPr>
    </w:p>
    <w:p w14:paraId="583465BC" w14:textId="77777777" w:rsidR="009644F4" w:rsidRPr="00476D36" w:rsidRDefault="006164CC" w:rsidP="002625EC">
      <w:pPr>
        <w:keepNext/>
        <w:keepLines/>
        <w:widowControl/>
        <w:spacing w:line="360" w:lineRule="auto"/>
        <w:contextualSpacing/>
        <w:rPr>
          <w:b/>
          <w:sz w:val="26"/>
          <w:szCs w:val="26"/>
        </w:rPr>
      </w:pPr>
      <w:r w:rsidRPr="00476D36">
        <w:rPr>
          <w:b/>
          <w:sz w:val="26"/>
          <w:szCs w:val="26"/>
        </w:rPr>
        <w:t xml:space="preserve">Legal </w:t>
      </w:r>
      <w:r w:rsidR="00431FCF" w:rsidRPr="00476D36">
        <w:rPr>
          <w:b/>
          <w:sz w:val="26"/>
          <w:szCs w:val="26"/>
        </w:rPr>
        <w:t>Standards</w:t>
      </w:r>
    </w:p>
    <w:p w14:paraId="6D2FCFC9" w14:textId="77777777" w:rsidR="006164CC" w:rsidRPr="00476D36" w:rsidRDefault="006164CC" w:rsidP="002625EC">
      <w:pPr>
        <w:keepNext/>
        <w:keepLines/>
        <w:widowControl/>
        <w:spacing w:line="360" w:lineRule="auto"/>
        <w:contextualSpacing/>
        <w:rPr>
          <w:sz w:val="26"/>
          <w:szCs w:val="26"/>
        </w:rPr>
      </w:pPr>
    </w:p>
    <w:p w14:paraId="5E4340D6" w14:textId="77777777" w:rsidR="00545BA8" w:rsidRPr="00476D36" w:rsidRDefault="00545BA8" w:rsidP="00545BA8">
      <w:pPr>
        <w:widowControl/>
        <w:spacing w:line="360" w:lineRule="auto"/>
        <w:ind w:firstLine="1440"/>
        <w:contextualSpacing/>
        <w:rPr>
          <w:sz w:val="26"/>
          <w:szCs w:val="26"/>
        </w:rPr>
      </w:pPr>
      <w:r w:rsidRPr="00476D36">
        <w:rPr>
          <w:sz w:val="26"/>
          <w:szCs w:val="26"/>
        </w:rPr>
        <w:t xml:space="preserve">As a matter of law, to establish a legally sufficient claim, a complainant must show that the named utility is responsible or accountable for the problem described in the complaint in order to prevail.  </w:t>
      </w:r>
      <w:r w:rsidRPr="00476D36">
        <w:rPr>
          <w:i/>
          <w:sz w:val="26"/>
          <w:szCs w:val="26"/>
        </w:rPr>
        <w:t>Patterson v. The Bell Telephone Company of Pennsylvania</w:t>
      </w:r>
      <w:r w:rsidRPr="00476D36">
        <w:rPr>
          <w:sz w:val="26"/>
          <w:szCs w:val="26"/>
        </w:rPr>
        <w:t xml:space="preserve">, 72 Pa. P.U.C. 196 (1990).  The offense must be a violation of the Code, a Commission Regulation or Order or a violation of a Commission-approved tariff.  66 Pa. C.S. § 701.  </w:t>
      </w:r>
    </w:p>
    <w:p w14:paraId="551B4475" w14:textId="77777777" w:rsidR="00163A41" w:rsidRPr="00476D36" w:rsidRDefault="00163A41" w:rsidP="00545BA8">
      <w:pPr>
        <w:widowControl/>
        <w:spacing w:line="360" w:lineRule="auto"/>
        <w:ind w:firstLine="1440"/>
        <w:contextualSpacing/>
        <w:rPr>
          <w:sz w:val="26"/>
          <w:szCs w:val="26"/>
        </w:rPr>
      </w:pPr>
    </w:p>
    <w:p w14:paraId="121E19DE" w14:textId="3760685E" w:rsidR="006D10A6" w:rsidRPr="00476D36" w:rsidRDefault="00545BA8" w:rsidP="006D10A6">
      <w:pPr>
        <w:spacing w:line="360" w:lineRule="auto"/>
        <w:ind w:firstLine="1440"/>
        <w:rPr>
          <w:rFonts w:eastAsiaTheme="minorHAnsi"/>
          <w:sz w:val="26"/>
          <w:szCs w:val="26"/>
        </w:rPr>
      </w:pPr>
      <w:r w:rsidRPr="00476D36">
        <w:rPr>
          <w:sz w:val="26"/>
          <w:szCs w:val="26"/>
        </w:rPr>
        <w:t>As the party seeking affirmative relief from the Commission, the complainant in a formal complaint proceeding has the burden of proof.  66 Pa.</w:t>
      </w:r>
      <w:r w:rsidR="00893F26" w:rsidRPr="00476D36">
        <w:rPr>
          <w:sz w:val="26"/>
          <w:szCs w:val="26"/>
        </w:rPr>
        <w:t xml:space="preserve"> </w:t>
      </w:r>
      <w:r w:rsidRPr="00476D36">
        <w:rPr>
          <w:sz w:val="26"/>
          <w:szCs w:val="26"/>
        </w:rPr>
        <w:t xml:space="preserve">C.S. § 332(a).  </w:t>
      </w:r>
      <w:r w:rsidR="006D10A6" w:rsidRPr="00476D36">
        <w:rPr>
          <w:rFonts w:eastAsiaTheme="minorHAnsi"/>
          <w:sz w:val="26"/>
          <w:szCs w:val="26"/>
        </w:rPr>
        <w:t xml:space="preserve">To establish a sufficient case and satisfy the burden of proof, the Complainant </w:t>
      </w:r>
      <w:r w:rsidR="006D10A6" w:rsidRPr="00476D36">
        <w:rPr>
          <w:rFonts w:eastAsiaTheme="minorHAnsi"/>
          <w:sz w:val="26"/>
          <w:szCs w:val="26"/>
        </w:rPr>
        <w:lastRenderedPageBreak/>
        <w:t xml:space="preserve">must show that the respondent utility, PPL, is responsible or accountable for the problem described in the Complaint.  </w:t>
      </w:r>
      <w:r w:rsidR="006D10A6" w:rsidRPr="00476D36">
        <w:rPr>
          <w:rFonts w:eastAsiaTheme="minorHAnsi"/>
          <w:i/>
          <w:sz w:val="26"/>
          <w:szCs w:val="26"/>
        </w:rPr>
        <w:t>Patterson v. The Bell Telephone Company of Pennsylvania</w:t>
      </w:r>
      <w:r w:rsidR="006D10A6" w:rsidRPr="00476D36">
        <w:rPr>
          <w:rFonts w:eastAsiaTheme="minorHAnsi"/>
          <w:sz w:val="26"/>
          <w:szCs w:val="26"/>
        </w:rPr>
        <w:t xml:space="preserve">, 72 Pa. P.U.C. 196 (1990).  Such a showing must be by a preponderance of the evidence.  </w:t>
      </w:r>
      <w:r w:rsidR="006D10A6" w:rsidRPr="00476D36">
        <w:rPr>
          <w:rFonts w:eastAsiaTheme="minorHAnsi"/>
          <w:i/>
          <w:iCs/>
          <w:sz w:val="26"/>
          <w:szCs w:val="26"/>
        </w:rPr>
        <w:t xml:space="preserve">Samuel J. </w:t>
      </w:r>
      <w:proofErr w:type="spellStart"/>
      <w:r w:rsidR="006D10A6" w:rsidRPr="00476D36">
        <w:rPr>
          <w:rFonts w:eastAsiaTheme="minorHAnsi"/>
          <w:i/>
          <w:iCs/>
          <w:sz w:val="26"/>
          <w:szCs w:val="26"/>
        </w:rPr>
        <w:t>Lansberry</w:t>
      </w:r>
      <w:proofErr w:type="spellEnd"/>
      <w:r w:rsidR="006D10A6" w:rsidRPr="00476D36">
        <w:rPr>
          <w:rFonts w:eastAsiaTheme="minorHAnsi"/>
          <w:i/>
          <w:iCs/>
          <w:sz w:val="26"/>
          <w:szCs w:val="26"/>
        </w:rPr>
        <w:t>, Inc. v. Pa. PUC</w:t>
      </w:r>
      <w:r w:rsidR="006D10A6" w:rsidRPr="00476D36">
        <w:rPr>
          <w:rFonts w:eastAsiaTheme="minorHAnsi"/>
          <w:sz w:val="26"/>
          <w:szCs w:val="26"/>
        </w:rPr>
        <w:t xml:space="preserve">, 578 A.2d 600 (Pa. </w:t>
      </w:r>
      <w:proofErr w:type="spellStart"/>
      <w:r w:rsidR="006D10A6" w:rsidRPr="00476D36">
        <w:rPr>
          <w:rFonts w:eastAsiaTheme="minorHAnsi"/>
          <w:sz w:val="26"/>
          <w:szCs w:val="26"/>
        </w:rPr>
        <w:t>Cmwlth</w:t>
      </w:r>
      <w:proofErr w:type="spellEnd"/>
      <w:r w:rsidR="006D10A6" w:rsidRPr="00476D36">
        <w:rPr>
          <w:rFonts w:eastAsiaTheme="minorHAnsi"/>
          <w:sz w:val="26"/>
          <w:szCs w:val="26"/>
        </w:rPr>
        <w:t xml:space="preserve">. 1990), </w:t>
      </w:r>
      <w:proofErr w:type="spellStart"/>
      <w:r w:rsidR="006D10A6" w:rsidRPr="00476D36">
        <w:rPr>
          <w:rFonts w:eastAsiaTheme="minorHAnsi"/>
          <w:i/>
          <w:sz w:val="26"/>
          <w:szCs w:val="26"/>
        </w:rPr>
        <w:t>alloc</w:t>
      </w:r>
      <w:proofErr w:type="spellEnd"/>
      <w:r w:rsidR="006D10A6" w:rsidRPr="00476D36">
        <w:rPr>
          <w:rFonts w:eastAsiaTheme="minorHAnsi"/>
          <w:i/>
          <w:sz w:val="26"/>
          <w:szCs w:val="26"/>
        </w:rPr>
        <w:t>. denied</w:t>
      </w:r>
      <w:r w:rsidR="006D10A6" w:rsidRPr="00476D36">
        <w:rPr>
          <w:rFonts w:eastAsiaTheme="minorHAnsi"/>
          <w:iCs/>
          <w:sz w:val="26"/>
          <w:szCs w:val="26"/>
        </w:rPr>
        <w:t>,</w:t>
      </w:r>
      <w:r w:rsidR="006D10A6" w:rsidRPr="00476D36">
        <w:rPr>
          <w:rFonts w:eastAsiaTheme="minorHAnsi"/>
          <w:sz w:val="26"/>
          <w:szCs w:val="26"/>
        </w:rPr>
        <w:t xml:space="preserve"> </w:t>
      </w:r>
      <w:r w:rsidR="00A358CC" w:rsidRPr="00476D36">
        <w:rPr>
          <w:rFonts w:eastAsiaTheme="minorHAnsi"/>
          <w:sz w:val="26"/>
          <w:szCs w:val="26"/>
        </w:rPr>
        <w:t xml:space="preserve">529 Pa. 654, </w:t>
      </w:r>
      <w:r w:rsidR="006D10A6" w:rsidRPr="00476D36">
        <w:rPr>
          <w:rFonts w:eastAsiaTheme="minorHAnsi"/>
          <w:sz w:val="26"/>
          <w:szCs w:val="26"/>
        </w:rPr>
        <w:t xml:space="preserve">602 A.2d 863 (1992).  That is, the Complainant’s evidence must be more convincing, by even the smallest amount, than that presented by the respondent.  </w:t>
      </w:r>
      <w:r w:rsidR="006D10A6" w:rsidRPr="00476D36">
        <w:rPr>
          <w:rFonts w:eastAsiaTheme="minorHAnsi"/>
          <w:i/>
          <w:sz w:val="26"/>
          <w:szCs w:val="26"/>
        </w:rPr>
        <w:t>Se-Ling Hosiery, Inc. v. Margulies</w:t>
      </w:r>
      <w:r w:rsidR="006D10A6" w:rsidRPr="00476D36">
        <w:rPr>
          <w:rFonts w:eastAsiaTheme="minorHAnsi"/>
          <w:sz w:val="26"/>
          <w:szCs w:val="26"/>
        </w:rPr>
        <w:t xml:space="preserve">, </w:t>
      </w:r>
      <w:r w:rsidR="00A358CC" w:rsidRPr="00476D36">
        <w:rPr>
          <w:rFonts w:eastAsiaTheme="minorHAnsi"/>
          <w:sz w:val="26"/>
          <w:szCs w:val="26"/>
        </w:rPr>
        <w:t xml:space="preserve">364 Pa. 45, </w:t>
      </w:r>
      <w:r w:rsidR="006D10A6" w:rsidRPr="00476D36">
        <w:rPr>
          <w:rFonts w:eastAsiaTheme="minorHAnsi"/>
          <w:sz w:val="26"/>
          <w:szCs w:val="26"/>
        </w:rPr>
        <w:t xml:space="preserve">70 A.2d 854 (1950).  Additionally, this Commission’s decision must be supported by substantial evidence in the record.  More is required than a mere trace of evidence or a suspicion of the existence of a fact sought to be established.  </w:t>
      </w:r>
      <w:r w:rsidR="006D10A6" w:rsidRPr="00476D36">
        <w:rPr>
          <w:rFonts w:eastAsiaTheme="minorHAnsi"/>
          <w:i/>
          <w:sz w:val="26"/>
          <w:szCs w:val="26"/>
        </w:rPr>
        <w:t>Norfolk &amp; Western Ry. Co. v. Pa. PUC</w:t>
      </w:r>
      <w:r w:rsidR="006D10A6" w:rsidRPr="00476D36">
        <w:rPr>
          <w:rFonts w:eastAsiaTheme="minorHAnsi"/>
          <w:iCs/>
          <w:sz w:val="26"/>
          <w:szCs w:val="26"/>
        </w:rPr>
        <w:t>,</w:t>
      </w:r>
      <w:r w:rsidR="006D10A6" w:rsidRPr="00476D36">
        <w:rPr>
          <w:rFonts w:eastAsiaTheme="minorHAnsi"/>
          <w:sz w:val="26"/>
          <w:szCs w:val="26"/>
        </w:rPr>
        <w:t xml:space="preserve"> </w:t>
      </w:r>
      <w:r w:rsidR="00A358CC" w:rsidRPr="00476D36">
        <w:rPr>
          <w:rFonts w:eastAsiaTheme="minorHAnsi"/>
          <w:sz w:val="26"/>
          <w:szCs w:val="26"/>
        </w:rPr>
        <w:t xml:space="preserve">489 Pa.109, </w:t>
      </w:r>
      <w:r w:rsidR="006D10A6" w:rsidRPr="00476D36">
        <w:rPr>
          <w:rFonts w:eastAsiaTheme="minorHAnsi"/>
          <w:sz w:val="26"/>
          <w:szCs w:val="26"/>
        </w:rPr>
        <w:t>413 A.2d 1037 (1980).</w:t>
      </w:r>
    </w:p>
    <w:p w14:paraId="27D31990" w14:textId="77777777" w:rsidR="007C61DF" w:rsidRPr="00476D36" w:rsidRDefault="007C61DF" w:rsidP="006D10A6">
      <w:pPr>
        <w:spacing w:line="360" w:lineRule="auto"/>
        <w:ind w:firstLine="1440"/>
        <w:rPr>
          <w:rFonts w:eastAsiaTheme="minorHAnsi"/>
          <w:sz w:val="26"/>
          <w:szCs w:val="26"/>
        </w:rPr>
      </w:pPr>
    </w:p>
    <w:p w14:paraId="688880D4" w14:textId="37E9FAE8" w:rsidR="006D10A6" w:rsidRPr="00476D36" w:rsidRDefault="006D10A6" w:rsidP="006D10A6">
      <w:pPr>
        <w:widowControl/>
        <w:autoSpaceDE w:val="0"/>
        <w:autoSpaceDN w:val="0"/>
        <w:adjustRightInd w:val="0"/>
        <w:spacing w:line="360" w:lineRule="auto"/>
        <w:ind w:firstLine="1440"/>
        <w:rPr>
          <w:rFonts w:eastAsiaTheme="minorHAnsi"/>
          <w:sz w:val="26"/>
          <w:szCs w:val="26"/>
        </w:rPr>
      </w:pPr>
      <w:r w:rsidRPr="00476D36">
        <w:rPr>
          <w:rFonts w:eastAsiaTheme="minorHAnsi"/>
          <w:sz w:val="26"/>
          <w:szCs w:val="26"/>
        </w:rPr>
        <w:t xml:space="preserve">Upon the presentation by a complainant of evidence sufficient to initially satisfy the burden of proof, the burden of going forward with the evidence, sometimes called the burden of </w:t>
      </w:r>
      <w:r w:rsidR="00767F79" w:rsidRPr="00476D36">
        <w:rPr>
          <w:rFonts w:eastAsiaTheme="minorHAnsi"/>
          <w:sz w:val="26"/>
          <w:szCs w:val="26"/>
        </w:rPr>
        <w:t>production</w:t>
      </w:r>
      <w:r w:rsidRPr="00476D36">
        <w:rPr>
          <w:rFonts w:eastAsiaTheme="minorHAnsi"/>
          <w:sz w:val="26"/>
          <w:szCs w:val="26"/>
        </w:rPr>
        <w:t xml:space="preserv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476D36">
        <w:rPr>
          <w:rFonts w:eastAsiaTheme="minorHAnsi"/>
          <w:iCs/>
          <w:sz w:val="26"/>
          <w:szCs w:val="26"/>
        </w:rPr>
        <w:t xml:space="preserve"> </w:t>
      </w:r>
      <w:hyperlink r:id="rId11" w:history="1">
        <w:r w:rsidRPr="00476D36">
          <w:rPr>
            <w:rFonts w:eastAsiaTheme="minorHAnsi"/>
            <w:i/>
            <w:iCs/>
            <w:sz w:val="26"/>
            <w:szCs w:val="26"/>
          </w:rPr>
          <w:t>Burleson v. Pa. PUC</w:t>
        </w:r>
        <w:r w:rsidRPr="00476D36">
          <w:rPr>
            <w:rFonts w:eastAsiaTheme="minorHAnsi"/>
            <w:sz w:val="26"/>
            <w:szCs w:val="26"/>
          </w:rPr>
          <w:t>,</w:t>
        </w:r>
        <w:r w:rsidRPr="00476D36">
          <w:rPr>
            <w:rFonts w:eastAsiaTheme="minorHAnsi"/>
            <w:iCs/>
            <w:sz w:val="26"/>
            <w:szCs w:val="26"/>
          </w:rPr>
          <w:t xml:space="preserve"> 443 A.2d 1373 (Pa. </w:t>
        </w:r>
        <w:proofErr w:type="spellStart"/>
        <w:r w:rsidRPr="00476D36">
          <w:rPr>
            <w:rFonts w:eastAsiaTheme="minorHAnsi"/>
            <w:iCs/>
            <w:sz w:val="26"/>
            <w:szCs w:val="26"/>
          </w:rPr>
          <w:t>Cmwlth</w:t>
        </w:r>
        <w:proofErr w:type="spellEnd"/>
        <w:r w:rsidRPr="00476D36">
          <w:rPr>
            <w:rFonts w:eastAsiaTheme="minorHAnsi"/>
            <w:iCs/>
            <w:sz w:val="26"/>
            <w:szCs w:val="26"/>
          </w:rPr>
          <w:t xml:space="preserve">. 1982), </w:t>
        </w:r>
        <w:r w:rsidRPr="00476D36">
          <w:rPr>
            <w:rFonts w:eastAsiaTheme="minorHAnsi"/>
            <w:i/>
            <w:iCs/>
            <w:sz w:val="26"/>
            <w:szCs w:val="26"/>
          </w:rPr>
          <w:t>aff’d</w:t>
        </w:r>
        <w:r w:rsidRPr="00476D36">
          <w:rPr>
            <w:rFonts w:eastAsiaTheme="minorHAnsi"/>
            <w:sz w:val="26"/>
            <w:szCs w:val="26"/>
          </w:rPr>
          <w:t>,</w:t>
        </w:r>
        <w:r w:rsidRPr="00476D36">
          <w:rPr>
            <w:rFonts w:eastAsiaTheme="minorHAnsi"/>
            <w:iCs/>
            <w:sz w:val="26"/>
            <w:szCs w:val="26"/>
          </w:rPr>
          <w:t xml:space="preserve"> </w:t>
        </w:r>
        <w:r w:rsidR="00A358CC" w:rsidRPr="00476D36">
          <w:rPr>
            <w:rFonts w:eastAsiaTheme="minorHAnsi"/>
            <w:iCs/>
            <w:sz w:val="26"/>
            <w:szCs w:val="26"/>
          </w:rPr>
          <w:t>501 Pa</w:t>
        </w:r>
        <w:r w:rsidR="00767F79" w:rsidRPr="00476D36">
          <w:rPr>
            <w:rFonts w:eastAsiaTheme="minorHAnsi"/>
            <w:iCs/>
            <w:sz w:val="26"/>
            <w:szCs w:val="26"/>
          </w:rPr>
          <w:t>.</w:t>
        </w:r>
        <w:r w:rsidR="00A358CC" w:rsidRPr="00476D36">
          <w:rPr>
            <w:rFonts w:eastAsiaTheme="minorHAnsi"/>
            <w:iCs/>
            <w:sz w:val="26"/>
            <w:szCs w:val="26"/>
          </w:rPr>
          <w:t xml:space="preserve"> 433, </w:t>
        </w:r>
        <w:r w:rsidRPr="00476D36">
          <w:rPr>
            <w:rFonts w:eastAsiaTheme="minorHAnsi"/>
            <w:iCs/>
            <w:sz w:val="26"/>
            <w:szCs w:val="26"/>
          </w:rPr>
          <w:t>461 A.2d 1234 (1983).</w:t>
        </w:r>
      </w:hyperlink>
      <w:r w:rsidRPr="00476D36">
        <w:rPr>
          <w:rFonts w:eastAsiaTheme="minorHAnsi"/>
          <w:iCs/>
          <w:sz w:val="26"/>
          <w:szCs w:val="26"/>
        </w:rPr>
        <w:t xml:space="preserve">  </w:t>
      </w:r>
      <w:r w:rsidRPr="00476D36">
        <w:rPr>
          <w:rFonts w:eastAsiaTheme="minorHAnsi"/>
          <w:sz w:val="26"/>
          <w:szCs w:val="26"/>
        </w:rPr>
        <w:t xml:space="preserve">While the burden of </w:t>
      </w:r>
      <w:r w:rsidR="00767F79" w:rsidRPr="00476D36">
        <w:rPr>
          <w:rFonts w:eastAsiaTheme="minorHAnsi"/>
          <w:sz w:val="26"/>
          <w:szCs w:val="26"/>
        </w:rPr>
        <w:t>production</w:t>
      </w:r>
      <w:r w:rsidRPr="00476D36">
        <w:rPr>
          <w:rFonts w:eastAsiaTheme="minorHAnsi"/>
          <w:sz w:val="26"/>
          <w:szCs w:val="26"/>
        </w:rPr>
        <w:t xml:space="preserve"> may </w:t>
      </w:r>
      <w:r w:rsidRPr="00476D36">
        <w:rPr>
          <w:rFonts w:eastAsiaTheme="minorHAnsi"/>
          <w:bCs/>
          <w:sz w:val="26"/>
          <w:szCs w:val="26"/>
        </w:rPr>
        <w:t>shift</w:t>
      </w:r>
      <w:r w:rsidRPr="00476D36">
        <w:rPr>
          <w:rFonts w:eastAsiaTheme="minorHAnsi"/>
          <w:b/>
          <w:sz w:val="26"/>
          <w:szCs w:val="26"/>
        </w:rPr>
        <w:t xml:space="preserve"> </w:t>
      </w:r>
      <w:r w:rsidRPr="00476D36">
        <w:rPr>
          <w:rFonts w:eastAsiaTheme="minorHAnsi"/>
          <w:sz w:val="26"/>
          <w:szCs w:val="26"/>
        </w:rPr>
        <w:t xml:space="preserve">back and forth during a proceeding, the </w:t>
      </w:r>
      <w:r w:rsidRPr="00476D36">
        <w:rPr>
          <w:rFonts w:eastAsiaTheme="minorHAnsi"/>
          <w:bCs/>
          <w:sz w:val="26"/>
          <w:szCs w:val="26"/>
        </w:rPr>
        <w:t>burden of proof</w:t>
      </w:r>
      <w:r w:rsidRPr="00476D36">
        <w:rPr>
          <w:rFonts w:eastAsiaTheme="minorHAnsi"/>
          <w:sz w:val="26"/>
          <w:szCs w:val="26"/>
        </w:rPr>
        <w:t xml:space="preserve"> never </w:t>
      </w:r>
      <w:r w:rsidRPr="00476D36">
        <w:rPr>
          <w:rFonts w:eastAsiaTheme="minorHAnsi"/>
          <w:bCs/>
          <w:sz w:val="26"/>
          <w:szCs w:val="26"/>
        </w:rPr>
        <w:t>shifts.  The burden of proof</w:t>
      </w:r>
      <w:r w:rsidRPr="00476D36">
        <w:rPr>
          <w:rFonts w:eastAsiaTheme="minorHAnsi"/>
          <w:sz w:val="26"/>
          <w:szCs w:val="26"/>
        </w:rPr>
        <w:t xml:space="preserve"> always remains on the party seeking affirmative relief from the Commission.  </w:t>
      </w:r>
      <w:proofErr w:type="spellStart"/>
      <w:r w:rsidRPr="00476D36">
        <w:rPr>
          <w:rFonts w:eastAsiaTheme="minorHAnsi"/>
          <w:i/>
          <w:sz w:val="26"/>
          <w:szCs w:val="26"/>
        </w:rPr>
        <w:t>Milkie</w:t>
      </w:r>
      <w:proofErr w:type="spellEnd"/>
      <w:r w:rsidRPr="00476D36">
        <w:rPr>
          <w:rFonts w:eastAsiaTheme="minorHAnsi"/>
          <w:i/>
          <w:sz w:val="26"/>
          <w:szCs w:val="26"/>
        </w:rPr>
        <w:t xml:space="preserve"> v. Pa. PUC</w:t>
      </w:r>
      <w:r w:rsidRPr="00476D36">
        <w:rPr>
          <w:rFonts w:eastAsiaTheme="minorHAnsi"/>
          <w:iCs/>
          <w:sz w:val="26"/>
          <w:szCs w:val="26"/>
        </w:rPr>
        <w:t>,</w:t>
      </w:r>
      <w:r w:rsidRPr="00476D36">
        <w:rPr>
          <w:rFonts w:eastAsiaTheme="minorHAnsi"/>
          <w:i/>
          <w:sz w:val="26"/>
          <w:szCs w:val="26"/>
        </w:rPr>
        <w:t xml:space="preserve"> </w:t>
      </w:r>
      <w:r w:rsidRPr="00476D36">
        <w:rPr>
          <w:rFonts w:eastAsiaTheme="minorHAnsi"/>
          <w:sz w:val="26"/>
          <w:szCs w:val="26"/>
        </w:rPr>
        <w:t xml:space="preserve">768 A.2d 1217 (Pa. </w:t>
      </w:r>
      <w:proofErr w:type="spellStart"/>
      <w:r w:rsidRPr="00476D36">
        <w:rPr>
          <w:rFonts w:eastAsiaTheme="minorHAnsi"/>
          <w:sz w:val="26"/>
          <w:szCs w:val="26"/>
        </w:rPr>
        <w:t>Cmwlth</w:t>
      </w:r>
      <w:proofErr w:type="spellEnd"/>
      <w:r w:rsidRPr="00476D36">
        <w:rPr>
          <w:rFonts w:eastAsiaTheme="minorHAnsi"/>
          <w:sz w:val="26"/>
          <w:szCs w:val="26"/>
        </w:rPr>
        <w:t>. 2001).</w:t>
      </w:r>
    </w:p>
    <w:p w14:paraId="57C324D9" w14:textId="77777777" w:rsidR="00545BA8" w:rsidRPr="00476D36" w:rsidRDefault="00545BA8" w:rsidP="006D10A6">
      <w:pPr>
        <w:widowControl/>
        <w:spacing w:line="360" w:lineRule="auto"/>
        <w:ind w:firstLine="1440"/>
        <w:rPr>
          <w:sz w:val="26"/>
          <w:szCs w:val="26"/>
        </w:rPr>
      </w:pPr>
    </w:p>
    <w:p w14:paraId="74697EE2" w14:textId="77777777" w:rsidR="00E56517" w:rsidRPr="00476D36" w:rsidRDefault="00E56517" w:rsidP="00E56517">
      <w:pPr>
        <w:widowControl/>
        <w:spacing w:line="360" w:lineRule="auto"/>
        <w:ind w:firstLine="1440"/>
        <w:rPr>
          <w:sz w:val="26"/>
          <w:szCs w:val="26"/>
        </w:rPr>
      </w:pPr>
      <w:bookmarkStart w:id="3" w:name="_Hlk24718624"/>
      <w:r w:rsidRPr="00476D36">
        <w:rPr>
          <w:sz w:val="26"/>
          <w:szCs w:val="26"/>
        </w:rPr>
        <w:t xml:space="preserve">The Commission has determined that there is no provision in Act 129 or in the Code, the Commission’s Regulations or Orders that permits a customer to “opt-out” of smart meter installation.  </w:t>
      </w:r>
      <w:r w:rsidRPr="00476D36">
        <w:rPr>
          <w:i/>
          <w:iCs/>
          <w:sz w:val="26"/>
          <w:szCs w:val="26"/>
        </w:rPr>
        <w:t>See</w:t>
      </w:r>
      <w:r w:rsidRPr="00476D36">
        <w:rPr>
          <w:sz w:val="26"/>
          <w:szCs w:val="26"/>
        </w:rPr>
        <w:t xml:space="preserve"> </w:t>
      </w:r>
      <w:r w:rsidRPr="00476D36">
        <w:rPr>
          <w:i/>
          <w:iCs/>
          <w:sz w:val="26"/>
          <w:szCs w:val="26"/>
        </w:rPr>
        <w:t xml:space="preserve">Maria </w:t>
      </w:r>
      <w:proofErr w:type="spellStart"/>
      <w:r w:rsidRPr="00476D36">
        <w:rPr>
          <w:i/>
          <w:iCs/>
          <w:sz w:val="26"/>
          <w:szCs w:val="26"/>
        </w:rPr>
        <w:t>Povacz</w:t>
      </w:r>
      <w:proofErr w:type="spellEnd"/>
      <w:r w:rsidRPr="00476D36">
        <w:rPr>
          <w:i/>
          <w:iCs/>
          <w:sz w:val="26"/>
          <w:szCs w:val="26"/>
        </w:rPr>
        <w:t xml:space="preserve"> v. PECO Energy Company</w:t>
      </w:r>
      <w:r w:rsidRPr="00476D36">
        <w:rPr>
          <w:sz w:val="26"/>
          <w:szCs w:val="26"/>
        </w:rPr>
        <w:t>, Docket No. C</w:t>
      </w:r>
      <w:r w:rsidR="007E4C92" w:rsidRPr="00476D36">
        <w:rPr>
          <w:sz w:val="26"/>
          <w:szCs w:val="26"/>
        </w:rPr>
        <w:noBreakHyphen/>
      </w:r>
      <w:r w:rsidRPr="00476D36">
        <w:rPr>
          <w:sz w:val="26"/>
          <w:szCs w:val="26"/>
        </w:rPr>
        <w:t>2012-2317176 (Order entered January 24, 2013) (</w:t>
      </w:r>
      <w:r w:rsidRPr="00476D36">
        <w:rPr>
          <w:i/>
          <w:sz w:val="26"/>
          <w:szCs w:val="26"/>
        </w:rPr>
        <w:t xml:space="preserve">2013 </w:t>
      </w:r>
      <w:proofErr w:type="spellStart"/>
      <w:r w:rsidRPr="00476D36">
        <w:rPr>
          <w:i/>
          <w:sz w:val="26"/>
          <w:szCs w:val="26"/>
        </w:rPr>
        <w:t>Povacz</w:t>
      </w:r>
      <w:proofErr w:type="spellEnd"/>
      <w:r w:rsidRPr="00476D36">
        <w:rPr>
          <w:i/>
          <w:sz w:val="26"/>
          <w:szCs w:val="26"/>
        </w:rPr>
        <w:t xml:space="preserve"> Order</w:t>
      </w:r>
      <w:r w:rsidRPr="00476D36">
        <w:rPr>
          <w:sz w:val="26"/>
          <w:szCs w:val="26"/>
        </w:rPr>
        <w:t xml:space="preserve">); </w:t>
      </w:r>
      <w:r w:rsidRPr="00476D36">
        <w:rPr>
          <w:i/>
          <w:iCs/>
          <w:sz w:val="26"/>
          <w:szCs w:val="26"/>
        </w:rPr>
        <w:t>see also</w:t>
      </w:r>
      <w:r w:rsidRPr="00476D36">
        <w:rPr>
          <w:sz w:val="26"/>
          <w:szCs w:val="26"/>
        </w:rPr>
        <w:t xml:space="preserve"> </w:t>
      </w:r>
      <w:r w:rsidR="005D5E32" w:rsidRPr="00476D36">
        <w:rPr>
          <w:i/>
          <w:iCs/>
          <w:sz w:val="26"/>
          <w:szCs w:val="26"/>
        </w:rPr>
        <w:t xml:space="preserve">Catherine J. </w:t>
      </w:r>
      <w:proofErr w:type="spellStart"/>
      <w:r w:rsidRPr="00476D36">
        <w:rPr>
          <w:i/>
          <w:iCs/>
          <w:sz w:val="26"/>
          <w:szCs w:val="26"/>
        </w:rPr>
        <w:t>Frompovich</w:t>
      </w:r>
      <w:proofErr w:type="spellEnd"/>
      <w:r w:rsidRPr="00476D36">
        <w:rPr>
          <w:i/>
          <w:iCs/>
          <w:sz w:val="26"/>
          <w:szCs w:val="26"/>
        </w:rPr>
        <w:t xml:space="preserve"> v. PECO Energy Co</w:t>
      </w:r>
      <w:r w:rsidRPr="00476D36">
        <w:rPr>
          <w:sz w:val="26"/>
          <w:szCs w:val="26"/>
        </w:rPr>
        <w:t>., Docket No. C-2015-2474602 (Order entered May 3, 2018) (</w:t>
      </w:r>
      <w:proofErr w:type="spellStart"/>
      <w:r w:rsidRPr="00476D36">
        <w:rPr>
          <w:i/>
          <w:iCs/>
          <w:sz w:val="26"/>
          <w:szCs w:val="26"/>
        </w:rPr>
        <w:t>Frompovich</w:t>
      </w:r>
      <w:proofErr w:type="spellEnd"/>
      <w:r w:rsidRPr="00476D36">
        <w:rPr>
          <w:sz w:val="26"/>
          <w:szCs w:val="26"/>
        </w:rPr>
        <w:t xml:space="preserve">).  However, the Commission has determined that a </w:t>
      </w:r>
      <w:r w:rsidRPr="00476D36">
        <w:rPr>
          <w:sz w:val="26"/>
          <w:szCs w:val="26"/>
        </w:rPr>
        <w:lastRenderedPageBreak/>
        <w:t xml:space="preserve">customer’s formal complaint can raise a claim under Section 1501 of the Code, 66 Pa. C.S. § 1501, related to the safety of a utility’s installation and use of a smart meter at the customer’s residence and, if such a claim is raised, it is legally sufficient to proceed to an evidentiary hearing before an ALJ.  </w:t>
      </w:r>
      <w:r w:rsidRPr="00476D36">
        <w:rPr>
          <w:i/>
          <w:iCs/>
          <w:sz w:val="26"/>
          <w:szCs w:val="26"/>
        </w:rPr>
        <w:t>See</w:t>
      </w:r>
      <w:r w:rsidRPr="00476D36">
        <w:rPr>
          <w:sz w:val="26"/>
          <w:szCs w:val="26"/>
        </w:rPr>
        <w:t xml:space="preserve"> </w:t>
      </w:r>
      <w:r w:rsidRPr="00476D36">
        <w:rPr>
          <w:i/>
          <w:sz w:val="26"/>
          <w:szCs w:val="26"/>
        </w:rPr>
        <w:t>Susan Kreider v. PECO Energy Company</w:t>
      </w:r>
      <w:r w:rsidRPr="00476D36">
        <w:rPr>
          <w:sz w:val="26"/>
          <w:szCs w:val="26"/>
        </w:rPr>
        <w:t>,</w:t>
      </w:r>
      <w:r w:rsidRPr="00476D36">
        <w:rPr>
          <w:kern w:val="20"/>
          <w:sz w:val="26"/>
          <w:szCs w:val="26"/>
        </w:rPr>
        <w:t xml:space="preserve"> </w:t>
      </w:r>
      <w:r w:rsidR="005D5E32" w:rsidRPr="00476D36">
        <w:rPr>
          <w:kern w:val="20"/>
          <w:sz w:val="26"/>
          <w:szCs w:val="26"/>
        </w:rPr>
        <w:t xml:space="preserve">Docket No. </w:t>
      </w:r>
      <w:r w:rsidRPr="00476D36">
        <w:rPr>
          <w:kern w:val="20"/>
          <w:sz w:val="26"/>
          <w:szCs w:val="26"/>
        </w:rPr>
        <w:t>P</w:t>
      </w:r>
      <w:r w:rsidRPr="00476D36">
        <w:rPr>
          <w:kern w:val="20"/>
          <w:sz w:val="26"/>
          <w:szCs w:val="26"/>
        </w:rPr>
        <w:noBreakHyphen/>
        <w:t>2015-2495064</w:t>
      </w:r>
      <w:r w:rsidRPr="00476D36">
        <w:rPr>
          <w:sz w:val="26"/>
          <w:szCs w:val="26"/>
        </w:rPr>
        <w:t xml:space="preserve"> (Order entered January 28, 2016)</w:t>
      </w:r>
      <w:r w:rsidR="002A4E46" w:rsidRPr="00476D36">
        <w:rPr>
          <w:sz w:val="26"/>
          <w:szCs w:val="26"/>
        </w:rPr>
        <w:t xml:space="preserve"> (</w:t>
      </w:r>
      <w:r w:rsidR="002A4E46" w:rsidRPr="00476D36">
        <w:rPr>
          <w:i/>
          <w:iCs/>
          <w:sz w:val="26"/>
          <w:szCs w:val="26"/>
        </w:rPr>
        <w:t>Kreider</w:t>
      </w:r>
      <w:r w:rsidR="002A4E46" w:rsidRPr="00476D36">
        <w:rPr>
          <w:sz w:val="26"/>
          <w:szCs w:val="26"/>
        </w:rPr>
        <w:t>)</w:t>
      </w:r>
      <w:r w:rsidRPr="00476D36">
        <w:rPr>
          <w:sz w:val="26"/>
          <w:szCs w:val="26"/>
        </w:rPr>
        <w:t xml:space="preserve">.  At the hearing, a </w:t>
      </w:r>
      <w:r w:rsidRPr="00476D36">
        <w:rPr>
          <w:color w:val="000000"/>
          <w:sz w:val="26"/>
          <w:szCs w:val="26"/>
        </w:rPr>
        <w:t xml:space="preserve">complainant may prove his/her claim through the complainant’s own personal testimony and/or “the testimony of others as well as other evidence that goes to that issue.”  </w:t>
      </w:r>
      <w:r w:rsidRPr="00476D36">
        <w:rPr>
          <w:i/>
          <w:color w:val="000000"/>
          <w:sz w:val="26"/>
          <w:szCs w:val="26"/>
        </w:rPr>
        <w:t xml:space="preserve">Romeo v. </w:t>
      </w:r>
      <w:r w:rsidRPr="00476D36">
        <w:rPr>
          <w:i/>
          <w:color w:val="000000"/>
          <w:sz w:val="26"/>
        </w:rPr>
        <w:t xml:space="preserve">Pa. </w:t>
      </w:r>
      <w:r w:rsidRPr="00476D36">
        <w:rPr>
          <w:i/>
          <w:color w:val="000000"/>
          <w:sz w:val="26"/>
          <w:szCs w:val="26"/>
        </w:rPr>
        <w:t>PUC</w:t>
      </w:r>
      <w:r w:rsidRPr="00476D36">
        <w:rPr>
          <w:color w:val="000000"/>
          <w:sz w:val="26"/>
          <w:szCs w:val="26"/>
        </w:rPr>
        <w:t>, 154 A.3d 422</w:t>
      </w:r>
      <w:r w:rsidRPr="00476D36">
        <w:rPr>
          <w:sz w:val="26"/>
          <w:szCs w:val="26"/>
        </w:rPr>
        <w:t>, 430</w:t>
      </w:r>
      <w:r w:rsidRPr="00476D36">
        <w:rPr>
          <w:color w:val="000000"/>
          <w:sz w:val="26"/>
          <w:szCs w:val="26"/>
        </w:rPr>
        <w:t xml:space="preserve"> (Pa. </w:t>
      </w:r>
      <w:proofErr w:type="spellStart"/>
      <w:r w:rsidRPr="00476D36">
        <w:rPr>
          <w:color w:val="000000"/>
          <w:sz w:val="26"/>
          <w:szCs w:val="26"/>
        </w:rPr>
        <w:t>Cmwlth</w:t>
      </w:r>
      <w:proofErr w:type="spellEnd"/>
      <w:r w:rsidRPr="00476D36">
        <w:rPr>
          <w:color w:val="000000"/>
          <w:sz w:val="26"/>
          <w:szCs w:val="26"/>
        </w:rPr>
        <w:t>. 2017)</w:t>
      </w:r>
      <w:r w:rsidR="00177801" w:rsidRPr="00476D36">
        <w:rPr>
          <w:color w:val="000000"/>
          <w:sz w:val="26"/>
          <w:szCs w:val="26"/>
        </w:rPr>
        <w:t xml:space="preserve"> (</w:t>
      </w:r>
      <w:r w:rsidR="00177801" w:rsidRPr="00476D36">
        <w:rPr>
          <w:i/>
          <w:iCs/>
          <w:color w:val="000000"/>
          <w:sz w:val="26"/>
          <w:szCs w:val="26"/>
        </w:rPr>
        <w:t>Romeo</w:t>
      </w:r>
      <w:r w:rsidR="00177801" w:rsidRPr="00476D36">
        <w:rPr>
          <w:color w:val="000000"/>
          <w:sz w:val="26"/>
          <w:szCs w:val="26"/>
        </w:rPr>
        <w:t>)</w:t>
      </w:r>
      <w:r w:rsidRPr="00476D36">
        <w:rPr>
          <w:color w:val="000000"/>
          <w:sz w:val="26"/>
          <w:szCs w:val="26"/>
        </w:rPr>
        <w:t>.</w:t>
      </w:r>
    </w:p>
    <w:bookmarkEnd w:id="3"/>
    <w:p w14:paraId="0E358D14" w14:textId="77777777" w:rsidR="00E56517" w:rsidRPr="00476D36" w:rsidRDefault="00E56517" w:rsidP="00545BA8">
      <w:pPr>
        <w:widowControl/>
        <w:spacing w:line="360" w:lineRule="auto"/>
        <w:ind w:firstLine="1440"/>
        <w:rPr>
          <w:color w:val="000000"/>
          <w:sz w:val="26"/>
          <w:szCs w:val="26"/>
        </w:rPr>
      </w:pPr>
    </w:p>
    <w:p w14:paraId="3771FE2D" w14:textId="77777777" w:rsidR="00545BA8" w:rsidRPr="00476D36" w:rsidRDefault="00545BA8" w:rsidP="00545BA8">
      <w:pPr>
        <w:widowControl/>
        <w:spacing w:line="360" w:lineRule="auto"/>
        <w:ind w:firstLine="1440"/>
        <w:rPr>
          <w:sz w:val="26"/>
          <w:szCs w:val="26"/>
        </w:rPr>
      </w:pPr>
      <w:r w:rsidRPr="00476D36">
        <w:rPr>
          <w:color w:val="000000"/>
          <w:sz w:val="26"/>
          <w:szCs w:val="26"/>
        </w:rPr>
        <w:t>As</w:t>
      </w:r>
      <w:r w:rsidRPr="00476D36">
        <w:rPr>
          <w:sz w:val="26"/>
          <w:szCs w:val="26"/>
        </w:rPr>
        <w:t xml:space="preserve"> we ruled in </w:t>
      </w:r>
      <w:r w:rsidR="00A257BB" w:rsidRPr="00476D36">
        <w:rPr>
          <w:i/>
          <w:iCs/>
          <w:sz w:val="26"/>
          <w:szCs w:val="26"/>
        </w:rPr>
        <w:t xml:space="preserve">Maria </w:t>
      </w:r>
      <w:proofErr w:type="spellStart"/>
      <w:r w:rsidRPr="00476D36">
        <w:rPr>
          <w:i/>
          <w:sz w:val="26"/>
          <w:szCs w:val="26"/>
        </w:rPr>
        <w:t>Povacz</w:t>
      </w:r>
      <w:proofErr w:type="spellEnd"/>
      <w:r w:rsidRPr="00476D36">
        <w:rPr>
          <w:i/>
          <w:sz w:val="26"/>
          <w:szCs w:val="26"/>
        </w:rPr>
        <w:t xml:space="preserve"> v. PECO Energy Company</w:t>
      </w:r>
      <w:r w:rsidRPr="00476D36">
        <w:rPr>
          <w:sz w:val="26"/>
          <w:szCs w:val="26"/>
        </w:rPr>
        <w:t>, Docket No. C</w:t>
      </w:r>
      <w:r w:rsidRPr="00476D36">
        <w:rPr>
          <w:sz w:val="26"/>
          <w:szCs w:val="26"/>
        </w:rPr>
        <w:noBreakHyphen/>
        <w:t>2015-2475023 (Order entered March 28, 2019) (</w:t>
      </w:r>
      <w:bookmarkStart w:id="4" w:name="_Hlk38531045"/>
      <w:r w:rsidRPr="00476D36">
        <w:rPr>
          <w:i/>
          <w:sz w:val="26"/>
          <w:szCs w:val="26"/>
        </w:rPr>
        <w:t xml:space="preserve">2019 </w:t>
      </w:r>
      <w:proofErr w:type="spellStart"/>
      <w:r w:rsidRPr="00476D36">
        <w:rPr>
          <w:i/>
          <w:sz w:val="26"/>
          <w:szCs w:val="26"/>
        </w:rPr>
        <w:t>Povacz</w:t>
      </w:r>
      <w:proofErr w:type="spellEnd"/>
      <w:r w:rsidRPr="00476D36">
        <w:rPr>
          <w:i/>
          <w:sz w:val="26"/>
          <w:szCs w:val="26"/>
        </w:rPr>
        <w:t xml:space="preserve"> Order</w:t>
      </w:r>
      <w:bookmarkEnd w:id="4"/>
      <w:r w:rsidRPr="00476D36">
        <w:rPr>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476D36">
        <w:rPr>
          <w:i/>
          <w:sz w:val="26"/>
          <w:szCs w:val="26"/>
        </w:rPr>
        <w:t xml:space="preserve">See 2019 </w:t>
      </w:r>
      <w:proofErr w:type="spellStart"/>
      <w:r w:rsidRPr="00476D36">
        <w:rPr>
          <w:i/>
          <w:sz w:val="26"/>
          <w:szCs w:val="26"/>
        </w:rPr>
        <w:t>Povacz</w:t>
      </w:r>
      <w:proofErr w:type="spellEnd"/>
      <w:r w:rsidRPr="00476D36">
        <w:rPr>
          <w:i/>
          <w:sz w:val="26"/>
          <w:szCs w:val="26"/>
        </w:rPr>
        <w:t xml:space="preserve"> Order</w:t>
      </w:r>
      <w:r w:rsidR="00CB7186" w:rsidRPr="00476D36">
        <w:rPr>
          <w:i/>
          <w:sz w:val="26"/>
          <w:szCs w:val="26"/>
        </w:rPr>
        <w:t xml:space="preserve"> </w:t>
      </w:r>
      <w:r w:rsidRPr="00476D36">
        <w:rPr>
          <w:sz w:val="26"/>
          <w:szCs w:val="26"/>
        </w:rPr>
        <w:t xml:space="preserve">at 28-29 (citing </w:t>
      </w:r>
      <w:r w:rsidRPr="00476D36">
        <w:rPr>
          <w:i/>
          <w:iCs/>
          <w:sz w:val="26"/>
          <w:szCs w:val="26"/>
        </w:rPr>
        <w:t>Letter of Notification of Philadelphia Electric Company Relative to the Reconstructing and Rebuilding of the Existing 138 kV Line to Operate as the Woodbourne-Heaton 230 kV Line in Montgomery and Bucks Counties</w:t>
      </w:r>
      <w:r w:rsidRPr="00476D36">
        <w:rPr>
          <w:sz w:val="26"/>
          <w:szCs w:val="26"/>
        </w:rPr>
        <w:t>, 1993 WL 855896 (Pa. P.U.C. 1993), Docket No. 110550F0055 (Order entered November 12, 1993) (</w:t>
      </w:r>
      <w:r w:rsidRPr="00476D36">
        <w:rPr>
          <w:i/>
          <w:sz w:val="26"/>
          <w:szCs w:val="26"/>
        </w:rPr>
        <w:t>Woodbourne-Heaton Final Order</w:t>
      </w:r>
      <w:r w:rsidRPr="00476D36">
        <w:rPr>
          <w:sz w:val="26"/>
          <w:szCs w:val="26"/>
        </w:rPr>
        <w:t>)</w:t>
      </w:r>
      <w:r w:rsidR="00D107AD" w:rsidRPr="00476D36">
        <w:rPr>
          <w:sz w:val="26"/>
          <w:szCs w:val="26"/>
        </w:rPr>
        <w:t xml:space="preserve"> </w:t>
      </w:r>
      <w:r w:rsidRPr="00476D36">
        <w:rPr>
          <w:sz w:val="26"/>
          <w:szCs w:val="26"/>
        </w:rPr>
        <w:t>at 11).</w:t>
      </w:r>
    </w:p>
    <w:p w14:paraId="2B30C9E2" w14:textId="77777777" w:rsidR="00E56517" w:rsidRPr="00476D36" w:rsidRDefault="00E56517" w:rsidP="00545BA8">
      <w:pPr>
        <w:widowControl/>
        <w:spacing w:line="360" w:lineRule="auto"/>
        <w:ind w:firstLine="1440"/>
        <w:rPr>
          <w:sz w:val="26"/>
          <w:szCs w:val="26"/>
        </w:rPr>
      </w:pPr>
    </w:p>
    <w:p w14:paraId="09BDAC29" w14:textId="77777777" w:rsidR="00E56517" w:rsidRPr="00476D36" w:rsidRDefault="00E56517" w:rsidP="00E56517">
      <w:pPr>
        <w:widowControl/>
        <w:spacing w:line="360" w:lineRule="auto"/>
        <w:ind w:firstLine="1440"/>
        <w:rPr>
          <w:sz w:val="26"/>
          <w:szCs w:val="26"/>
        </w:rPr>
      </w:pPr>
      <w:r w:rsidRPr="00476D36">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00CB5179" w:rsidRPr="00476D36">
        <w:rPr>
          <w:sz w:val="26"/>
          <w:szCs w:val="26"/>
        </w:rPr>
        <w:t>It</w:t>
      </w:r>
      <w:r w:rsidRPr="00476D36">
        <w:rPr>
          <w:sz w:val="26"/>
          <w:szCs w:val="26"/>
        </w:rPr>
        <w:t xml:space="preserve"> provides, in pertinent part, as follows:</w:t>
      </w:r>
    </w:p>
    <w:p w14:paraId="4C825831" w14:textId="77777777" w:rsidR="00E56517" w:rsidRPr="00476D36" w:rsidRDefault="00E56517" w:rsidP="00476D36">
      <w:pPr>
        <w:widowControl/>
        <w:ind w:firstLine="1440"/>
        <w:rPr>
          <w:sz w:val="26"/>
          <w:szCs w:val="26"/>
        </w:rPr>
      </w:pPr>
    </w:p>
    <w:p w14:paraId="3F7E2B97" w14:textId="77777777" w:rsidR="00E56517" w:rsidRPr="00476D36" w:rsidRDefault="00E56517" w:rsidP="00E56517">
      <w:pPr>
        <w:widowControl/>
        <w:ind w:left="1440" w:right="1440"/>
        <w:rPr>
          <w:sz w:val="26"/>
          <w:szCs w:val="26"/>
        </w:rPr>
      </w:pPr>
      <w:r w:rsidRPr="00476D36">
        <w:rPr>
          <w:sz w:val="26"/>
          <w:szCs w:val="26"/>
        </w:rPr>
        <w:t xml:space="preserve">Every public utility shall furnish and maintain adequate, efficient, safe, and reasonable service and facilities, and shall make all such repairs, changes, alterations, substitutions, </w:t>
      </w:r>
      <w:r w:rsidRPr="00476D36">
        <w:rPr>
          <w:sz w:val="26"/>
          <w:szCs w:val="26"/>
        </w:rPr>
        <w:lastRenderedPageBreak/>
        <w:t>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665B06E3" w14:textId="77777777" w:rsidR="00E56517" w:rsidRPr="00476D36" w:rsidRDefault="00E56517" w:rsidP="00E56517">
      <w:pPr>
        <w:widowControl/>
        <w:spacing w:line="360" w:lineRule="auto"/>
        <w:ind w:right="1440"/>
        <w:rPr>
          <w:sz w:val="26"/>
          <w:szCs w:val="26"/>
        </w:rPr>
      </w:pPr>
    </w:p>
    <w:p w14:paraId="4D2413CC" w14:textId="3903C09B" w:rsidR="00CB5179" w:rsidRPr="00476D36" w:rsidRDefault="00CB5179" w:rsidP="00476D36">
      <w:pPr>
        <w:widowControl/>
        <w:spacing w:line="360" w:lineRule="auto"/>
        <w:ind w:right="1440"/>
        <w:rPr>
          <w:sz w:val="26"/>
          <w:szCs w:val="26"/>
        </w:rPr>
      </w:pPr>
      <w:r w:rsidRPr="00476D36">
        <w:rPr>
          <w:sz w:val="26"/>
          <w:szCs w:val="26"/>
        </w:rPr>
        <w:t>66 Pa.</w:t>
      </w:r>
      <w:r w:rsidR="00767F79" w:rsidRPr="00476D36">
        <w:rPr>
          <w:sz w:val="26"/>
          <w:szCs w:val="26"/>
        </w:rPr>
        <w:t xml:space="preserve"> </w:t>
      </w:r>
      <w:r w:rsidRPr="00476D36">
        <w:rPr>
          <w:sz w:val="26"/>
          <w:szCs w:val="26"/>
        </w:rPr>
        <w:t>C.S. § 1501.</w:t>
      </w:r>
    </w:p>
    <w:p w14:paraId="7C185112" w14:textId="77777777" w:rsidR="006D10A6" w:rsidRPr="00476D36" w:rsidRDefault="006D10A6" w:rsidP="00476D36">
      <w:pPr>
        <w:widowControl/>
        <w:spacing w:line="360" w:lineRule="auto"/>
        <w:ind w:right="1440"/>
        <w:rPr>
          <w:sz w:val="26"/>
          <w:szCs w:val="26"/>
        </w:rPr>
      </w:pPr>
    </w:p>
    <w:p w14:paraId="4BEB292F" w14:textId="77777777" w:rsidR="00E56517" w:rsidRPr="00476D36" w:rsidRDefault="00612F67" w:rsidP="00476D36">
      <w:pPr>
        <w:kinsoku w:val="0"/>
        <w:overflowPunct w:val="0"/>
        <w:spacing w:line="360" w:lineRule="auto"/>
        <w:ind w:firstLine="1440"/>
        <w:textAlignment w:val="baseline"/>
        <w:rPr>
          <w:sz w:val="26"/>
          <w:szCs w:val="26"/>
        </w:rPr>
      </w:pPr>
      <w:r w:rsidRPr="00476D36">
        <w:rPr>
          <w:sz w:val="26"/>
          <w:szCs w:val="26"/>
        </w:rPr>
        <w:t xml:space="preserve">The term “service” is defined broadly under Section 102 of the Code to include any and all acts done or rendered, or performed and any and all things furnished or supplied and any and all facilities, used, furnished or supplied by public utilities,  </w:t>
      </w:r>
      <w:r w:rsidRPr="00476D36">
        <w:rPr>
          <w:i/>
          <w:sz w:val="26"/>
          <w:szCs w:val="26"/>
        </w:rPr>
        <w:t>See</w:t>
      </w:r>
      <w:r w:rsidRPr="00476D36">
        <w:rPr>
          <w:sz w:val="26"/>
          <w:szCs w:val="26"/>
        </w:rPr>
        <w:t xml:space="preserve">, </w:t>
      </w:r>
      <w:hyperlink r:id="rId12" w:history="1">
        <w:r w:rsidRPr="00476D36">
          <w:rPr>
            <w:sz w:val="26"/>
            <w:szCs w:val="26"/>
          </w:rPr>
          <w:t>66 Pa.</w:t>
        </w:r>
        <w:r w:rsidR="001B461E" w:rsidRPr="00476D36">
          <w:rPr>
            <w:sz w:val="26"/>
            <w:szCs w:val="26"/>
          </w:rPr>
          <w:t xml:space="preserve"> </w:t>
        </w:r>
        <w:r w:rsidRPr="00476D36">
          <w:rPr>
            <w:sz w:val="26"/>
            <w:szCs w:val="26"/>
          </w:rPr>
          <w:t>C.S. § 102</w:t>
        </w:r>
      </w:hyperlink>
      <w:r w:rsidRPr="00476D36">
        <w:rPr>
          <w:sz w:val="26"/>
          <w:szCs w:val="26"/>
        </w:rPr>
        <w:t xml:space="preserve">.  The statutory definition of “service” is also to be broadly construed by the Commission and the courts.  </w:t>
      </w:r>
      <w:hyperlink r:id="rId13" w:history="1">
        <w:r w:rsidRPr="00476D36">
          <w:rPr>
            <w:i/>
            <w:iCs/>
            <w:sz w:val="26"/>
            <w:szCs w:val="26"/>
          </w:rPr>
          <w:t>Country Place Waste Treatment Co., Inc. v. Pa. PUC</w:t>
        </w:r>
        <w:r w:rsidRPr="00476D36">
          <w:rPr>
            <w:sz w:val="26"/>
            <w:szCs w:val="26"/>
          </w:rPr>
          <w:t xml:space="preserve">, 654 A.2d 72 (Pa. </w:t>
        </w:r>
        <w:proofErr w:type="spellStart"/>
        <w:r w:rsidRPr="00476D36">
          <w:rPr>
            <w:sz w:val="26"/>
            <w:szCs w:val="26"/>
          </w:rPr>
          <w:t>Cmwlth</w:t>
        </w:r>
        <w:proofErr w:type="spellEnd"/>
        <w:r w:rsidRPr="00476D36">
          <w:rPr>
            <w:sz w:val="26"/>
            <w:szCs w:val="26"/>
          </w:rPr>
          <w:t>. 1995)</w:t>
        </w:r>
      </w:hyperlink>
      <w:r w:rsidRPr="00476D36">
        <w:rPr>
          <w:sz w:val="26"/>
          <w:szCs w:val="26"/>
        </w:rPr>
        <w:t>.</w:t>
      </w:r>
    </w:p>
    <w:p w14:paraId="1797BD7A" w14:textId="77777777" w:rsidR="00545BA8" w:rsidRPr="00476D36" w:rsidRDefault="00545BA8" w:rsidP="00545BA8">
      <w:pPr>
        <w:widowControl/>
        <w:spacing w:line="360" w:lineRule="auto"/>
        <w:ind w:firstLine="1440"/>
        <w:rPr>
          <w:color w:val="000000"/>
          <w:sz w:val="26"/>
          <w:szCs w:val="26"/>
        </w:rPr>
      </w:pPr>
    </w:p>
    <w:p w14:paraId="334CBD26" w14:textId="5216385D" w:rsidR="00A85A38" w:rsidRPr="00476D36" w:rsidRDefault="00A85A38" w:rsidP="002625EC">
      <w:pPr>
        <w:widowControl/>
        <w:spacing w:line="360" w:lineRule="auto"/>
        <w:ind w:firstLine="1440"/>
        <w:rPr>
          <w:rStyle w:val="Hyperlink"/>
          <w:color w:val="000000"/>
          <w:sz w:val="26"/>
          <w:szCs w:val="26"/>
          <w:u w:val="none"/>
        </w:rPr>
      </w:pPr>
      <w:r w:rsidRPr="00476D36">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4" w:history="1">
        <w:r w:rsidRPr="00476D36">
          <w:rPr>
            <w:rStyle w:val="Emphasis"/>
            <w:color w:val="000000"/>
            <w:sz w:val="26"/>
            <w:szCs w:val="26"/>
          </w:rPr>
          <w:t>Consolidated Rail Corp. v. Pa.</w:t>
        </w:r>
        <w:r w:rsidR="00476D36" w:rsidRPr="00476D36">
          <w:rPr>
            <w:rStyle w:val="Emphasis"/>
            <w:color w:val="000000"/>
            <w:sz w:val="26"/>
            <w:szCs w:val="26"/>
          </w:rPr>
          <w:t> </w:t>
        </w:r>
        <w:r w:rsidRPr="00476D36">
          <w:rPr>
            <w:rStyle w:val="Emphasis"/>
            <w:color w:val="000000"/>
            <w:sz w:val="26"/>
            <w:szCs w:val="26"/>
          </w:rPr>
          <w:t>PUC</w:t>
        </w:r>
        <w:r w:rsidRPr="00476D36">
          <w:rPr>
            <w:rStyle w:val="Emphasis"/>
            <w:i w:val="0"/>
            <w:iCs w:val="0"/>
            <w:color w:val="000000"/>
            <w:sz w:val="26"/>
            <w:szCs w:val="26"/>
          </w:rPr>
          <w:t>,</w:t>
        </w:r>
        <w:r w:rsidRPr="00476D36">
          <w:rPr>
            <w:rStyle w:val="Emphasis"/>
            <w:color w:val="000000"/>
            <w:sz w:val="26"/>
            <w:szCs w:val="26"/>
          </w:rPr>
          <w:t xml:space="preserve"> </w:t>
        </w:r>
        <w:r w:rsidRPr="00476D36">
          <w:rPr>
            <w:rStyle w:val="Hyperlink"/>
            <w:color w:val="000000"/>
            <w:sz w:val="26"/>
            <w:szCs w:val="26"/>
            <w:u w:val="none"/>
          </w:rPr>
          <w:t xml:space="preserve">625 A.2d 741 (Pa. </w:t>
        </w:r>
        <w:proofErr w:type="spellStart"/>
        <w:r w:rsidRPr="00476D36">
          <w:rPr>
            <w:rStyle w:val="Hyperlink"/>
            <w:color w:val="000000"/>
            <w:sz w:val="26"/>
            <w:szCs w:val="26"/>
            <w:u w:val="none"/>
          </w:rPr>
          <w:t>Cmwlth</w:t>
        </w:r>
        <w:proofErr w:type="spellEnd"/>
        <w:r w:rsidRPr="00476D36">
          <w:rPr>
            <w:rStyle w:val="Hyperlink"/>
            <w:color w:val="000000"/>
            <w:sz w:val="26"/>
            <w:szCs w:val="26"/>
            <w:u w:val="none"/>
          </w:rPr>
          <w:t>. 1993);</w:t>
        </w:r>
      </w:hyperlink>
      <w:r w:rsidRPr="00476D36">
        <w:rPr>
          <w:color w:val="000000"/>
          <w:sz w:val="26"/>
          <w:szCs w:val="26"/>
        </w:rPr>
        <w:t xml:space="preserve"> </w:t>
      </w:r>
      <w:r w:rsidRPr="00476D36">
        <w:rPr>
          <w:i/>
          <w:color w:val="000000"/>
          <w:sz w:val="26"/>
          <w:szCs w:val="26"/>
        </w:rPr>
        <w:t xml:space="preserve">also </w:t>
      </w:r>
      <w:r w:rsidRPr="00476D36">
        <w:rPr>
          <w:rStyle w:val="Emphasis"/>
          <w:color w:val="000000"/>
          <w:sz w:val="26"/>
          <w:szCs w:val="26"/>
        </w:rPr>
        <w:t xml:space="preserve">see, generally, </w:t>
      </w:r>
      <w:hyperlink r:id="rId15" w:history="1">
        <w:r w:rsidRPr="00476D36">
          <w:rPr>
            <w:rStyle w:val="Emphasis"/>
            <w:color w:val="000000"/>
            <w:sz w:val="26"/>
            <w:szCs w:val="26"/>
          </w:rPr>
          <w:t>University of Pennsylvania v. Pa. PUC</w:t>
        </w:r>
        <w:r w:rsidRPr="00476D36">
          <w:rPr>
            <w:rStyle w:val="Hyperlink"/>
            <w:color w:val="000000"/>
            <w:sz w:val="26"/>
            <w:szCs w:val="26"/>
            <w:u w:val="none"/>
          </w:rPr>
          <w:t xml:space="preserve">, 485 A.2d 1217 (Pa. </w:t>
        </w:r>
        <w:proofErr w:type="spellStart"/>
        <w:r w:rsidRPr="00476D36">
          <w:rPr>
            <w:rStyle w:val="Hyperlink"/>
            <w:color w:val="000000"/>
            <w:sz w:val="26"/>
            <w:szCs w:val="26"/>
            <w:u w:val="none"/>
          </w:rPr>
          <w:t>Cmwlth</w:t>
        </w:r>
        <w:proofErr w:type="spellEnd"/>
        <w:r w:rsidRPr="00476D36">
          <w:rPr>
            <w:rStyle w:val="Hyperlink"/>
            <w:color w:val="000000"/>
            <w:sz w:val="26"/>
            <w:szCs w:val="26"/>
            <w:u w:val="none"/>
          </w:rPr>
          <w:t>. 1984).</w:t>
        </w:r>
      </w:hyperlink>
    </w:p>
    <w:p w14:paraId="22012DC1" w14:textId="77777777" w:rsidR="00E851B0" w:rsidRPr="00476D36" w:rsidRDefault="00E851B0" w:rsidP="002625EC">
      <w:pPr>
        <w:widowControl/>
        <w:spacing w:line="360" w:lineRule="auto"/>
        <w:ind w:firstLine="1440"/>
        <w:rPr>
          <w:sz w:val="26"/>
          <w:szCs w:val="26"/>
        </w:rPr>
      </w:pPr>
    </w:p>
    <w:p w14:paraId="2244FB83" w14:textId="77777777" w:rsidR="001B0C5E" w:rsidRPr="00476D36" w:rsidRDefault="001B0C5E" w:rsidP="002625EC">
      <w:pPr>
        <w:keepNext/>
        <w:keepLines/>
        <w:widowControl/>
        <w:spacing w:line="360" w:lineRule="auto"/>
        <w:rPr>
          <w:b/>
          <w:sz w:val="26"/>
          <w:szCs w:val="26"/>
        </w:rPr>
      </w:pPr>
      <w:r w:rsidRPr="00476D36">
        <w:rPr>
          <w:b/>
          <w:sz w:val="26"/>
          <w:szCs w:val="26"/>
        </w:rPr>
        <w:t>Initial Decision</w:t>
      </w:r>
    </w:p>
    <w:p w14:paraId="4B71A57C" w14:textId="77777777" w:rsidR="001B0C5E" w:rsidRPr="00476D36" w:rsidRDefault="001B0C5E" w:rsidP="002625EC">
      <w:pPr>
        <w:keepNext/>
        <w:keepLines/>
        <w:widowControl/>
        <w:spacing w:line="360" w:lineRule="auto"/>
        <w:ind w:firstLine="1440"/>
        <w:contextualSpacing/>
        <w:rPr>
          <w:sz w:val="26"/>
          <w:szCs w:val="26"/>
        </w:rPr>
      </w:pPr>
    </w:p>
    <w:p w14:paraId="61E6582B" w14:textId="77777777" w:rsidR="00E851B0" w:rsidRPr="00476D36" w:rsidRDefault="00E851B0" w:rsidP="00E851B0">
      <w:pPr>
        <w:widowControl/>
        <w:spacing w:line="360" w:lineRule="auto"/>
        <w:ind w:firstLine="1440"/>
        <w:rPr>
          <w:sz w:val="26"/>
          <w:szCs w:val="26"/>
        </w:rPr>
      </w:pPr>
      <w:r w:rsidRPr="00476D36">
        <w:rPr>
          <w:sz w:val="26"/>
          <w:szCs w:val="26"/>
        </w:rPr>
        <w:t>In the Initial Decision, ALJ Barnes made forty-six Findings of Fact and reached seventeen Conclusions of Law.  I.D. at 3-8, 20-23.  The Findings of Fact and Conclusions of Law are incorporated herein by reference and are adopted without comment unless they are either expressly or by necessary implication rejected or modified by this Opinion and Order.</w:t>
      </w:r>
    </w:p>
    <w:p w14:paraId="5CD14675" w14:textId="77777777" w:rsidR="00E851B0" w:rsidRPr="00476D36" w:rsidRDefault="00E851B0" w:rsidP="00047197">
      <w:pPr>
        <w:widowControl/>
        <w:autoSpaceDE w:val="0"/>
        <w:autoSpaceDN w:val="0"/>
        <w:adjustRightInd w:val="0"/>
        <w:spacing w:line="360" w:lineRule="auto"/>
        <w:ind w:firstLine="1440"/>
        <w:rPr>
          <w:rFonts w:eastAsiaTheme="minorHAnsi"/>
          <w:color w:val="000000"/>
          <w:sz w:val="26"/>
          <w:szCs w:val="26"/>
        </w:rPr>
      </w:pPr>
    </w:p>
    <w:p w14:paraId="6388D25D" w14:textId="77777777" w:rsidR="003467FE" w:rsidRPr="00476D36" w:rsidRDefault="004058AF" w:rsidP="003467FE">
      <w:pPr>
        <w:widowControl/>
        <w:spacing w:line="360" w:lineRule="auto"/>
        <w:ind w:firstLine="1440"/>
        <w:contextualSpacing/>
        <w:rPr>
          <w:sz w:val="26"/>
          <w:szCs w:val="26"/>
        </w:rPr>
      </w:pPr>
      <w:r w:rsidRPr="00476D36">
        <w:rPr>
          <w:sz w:val="26"/>
          <w:szCs w:val="26"/>
        </w:rPr>
        <w:lastRenderedPageBreak/>
        <w:t xml:space="preserve">The ALJ first addressed the </w:t>
      </w:r>
      <w:r w:rsidR="00ED5EE6" w:rsidRPr="00476D36">
        <w:rPr>
          <w:sz w:val="26"/>
          <w:szCs w:val="26"/>
        </w:rPr>
        <w:t>Complainant</w:t>
      </w:r>
      <w:r w:rsidR="007E5D3C" w:rsidRPr="00476D36">
        <w:rPr>
          <w:sz w:val="26"/>
          <w:szCs w:val="26"/>
        </w:rPr>
        <w:t>’s</w:t>
      </w:r>
      <w:r w:rsidR="00ED5EE6" w:rsidRPr="00476D36">
        <w:rPr>
          <w:sz w:val="26"/>
          <w:szCs w:val="26"/>
        </w:rPr>
        <w:t xml:space="preserve"> request to “opt out” of the </w:t>
      </w:r>
      <w:r w:rsidR="00FC721D" w:rsidRPr="00476D36">
        <w:rPr>
          <w:sz w:val="26"/>
          <w:szCs w:val="26"/>
        </w:rPr>
        <w:t xml:space="preserve">Act 129 plan requiring </w:t>
      </w:r>
      <w:r w:rsidRPr="00476D36">
        <w:rPr>
          <w:sz w:val="26"/>
          <w:szCs w:val="26"/>
        </w:rPr>
        <w:t xml:space="preserve">the installation of </w:t>
      </w:r>
      <w:r w:rsidR="00FC721D" w:rsidRPr="00476D36">
        <w:rPr>
          <w:sz w:val="26"/>
          <w:szCs w:val="26"/>
        </w:rPr>
        <w:t>smart</w:t>
      </w:r>
      <w:r w:rsidR="00ED5EE6" w:rsidRPr="00476D36">
        <w:rPr>
          <w:sz w:val="26"/>
          <w:szCs w:val="26"/>
        </w:rPr>
        <w:t xml:space="preserve"> </w:t>
      </w:r>
      <w:r w:rsidR="00FC721D" w:rsidRPr="00476D36">
        <w:rPr>
          <w:sz w:val="26"/>
          <w:szCs w:val="26"/>
        </w:rPr>
        <w:t xml:space="preserve">meters </w:t>
      </w:r>
      <w:r w:rsidR="00D1197F" w:rsidRPr="00476D36">
        <w:rPr>
          <w:sz w:val="26"/>
          <w:szCs w:val="26"/>
        </w:rPr>
        <w:t xml:space="preserve">at all of </w:t>
      </w:r>
      <w:r w:rsidRPr="00476D36">
        <w:rPr>
          <w:sz w:val="26"/>
          <w:szCs w:val="26"/>
        </w:rPr>
        <w:t>the</w:t>
      </w:r>
      <w:r w:rsidR="00D1197F" w:rsidRPr="00476D36">
        <w:rPr>
          <w:sz w:val="26"/>
          <w:szCs w:val="26"/>
        </w:rPr>
        <w:t xml:space="preserve"> service locations</w:t>
      </w:r>
      <w:r w:rsidRPr="00476D36">
        <w:rPr>
          <w:sz w:val="26"/>
          <w:szCs w:val="26"/>
        </w:rPr>
        <w:t xml:space="preserve"> of PPL’s customers</w:t>
      </w:r>
      <w:r w:rsidR="00FC721D" w:rsidRPr="00476D36">
        <w:rPr>
          <w:sz w:val="26"/>
          <w:szCs w:val="26"/>
        </w:rPr>
        <w:t>.</w:t>
      </w:r>
      <w:r w:rsidR="00D1197F" w:rsidRPr="00476D36">
        <w:rPr>
          <w:sz w:val="26"/>
          <w:szCs w:val="26"/>
        </w:rPr>
        <w:t xml:space="preserve">  </w:t>
      </w:r>
      <w:r w:rsidR="002B7899" w:rsidRPr="00476D36">
        <w:rPr>
          <w:sz w:val="26"/>
          <w:szCs w:val="26"/>
        </w:rPr>
        <w:t xml:space="preserve">The ALJ acknowledged </w:t>
      </w:r>
      <w:r w:rsidRPr="00476D36">
        <w:rPr>
          <w:sz w:val="26"/>
          <w:szCs w:val="26"/>
        </w:rPr>
        <w:t xml:space="preserve">the Complainant’s submission of </w:t>
      </w:r>
      <w:r w:rsidR="00CB53A9" w:rsidRPr="00476D36">
        <w:rPr>
          <w:sz w:val="26"/>
          <w:szCs w:val="26"/>
        </w:rPr>
        <w:t xml:space="preserve">the code provision from the </w:t>
      </w:r>
      <w:r w:rsidR="00CB53A9" w:rsidRPr="00476D36">
        <w:rPr>
          <w:color w:val="000000"/>
          <w:sz w:val="26"/>
          <w:szCs w:val="26"/>
        </w:rPr>
        <w:t xml:space="preserve">District of Columbia to show that other utility commissions give the option of implementing AMI for their consumers.  </w:t>
      </w:r>
      <w:r w:rsidR="00CB53A9" w:rsidRPr="00476D36">
        <w:rPr>
          <w:i/>
          <w:iCs/>
          <w:color w:val="000000"/>
          <w:sz w:val="26"/>
          <w:szCs w:val="26"/>
        </w:rPr>
        <w:t>See</w:t>
      </w:r>
      <w:r w:rsidR="00CB53A9" w:rsidRPr="00476D36">
        <w:rPr>
          <w:color w:val="000000"/>
          <w:sz w:val="26"/>
          <w:szCs w:val="26"/>
        </w:rPr>
        <w:t xml:space="preserve"> Complainant’s </w:t>
      </w:r>
      <w:proofErr w:type="spellStart"/>
      <w:r w:rsidR="00CB53A9" w:rsidRPr="00476D36">
        <w:rPr>
          <w:color w:val="000000"/>
          <w:sz w:val="26"/>
          <w:szCs w:val="26"/>
        </w:rPr>
        <w:t>Exh</w:t>
      </w:r>
      <w:proofErr w:type="spellEnd"/>
      <w:r w:rsidR="00CB53A9" w:rsidRPr="00476D36">
        <w:rPr>
          <w:color w:val="000000"/>
          <w:sz w:val="26"/>
          <w:szCs w:val="26"/>
        </w:rPr>
        <w:t xml:space="preserve">. E.  However, the ALJ agreed with PPL that there is no provision in Pennsylvania law allowing a customer to opt out from installation of an AMI meter.  </w:t>
      </w:r>
      <w:r w:rsidR="00651209" w:rsidRPr="00476D36">
        <w:rPr>
          <w:sz w:val="26"/>
          <w:szCs w:val="26"/>
        </w:rPr>
        <w:t>The</w:t>
      </w:r>
      <w:r w:rsidR="00573E3D" w:rsidRPr="00476D36">
        <w:rPr>
          <w:sz w:val="26"/>
          <w:szCs w:val="26"/>
        </w:rPr>
        <w:t xml:space="preserve"> ALJ </w:t>
      </w:r>
      <w:r w:rsidR="00CB53A9" w:rsidRPr="00476D36">
        <w:rPr>
          <w:sz w:val="26"/>
          <w:szCs w:val="26"/>
        </w:rPr>
        <w:t xml:space="preserve">explained </w:t>
      </w:r>
      <w:r w:rsidR="00573E3D" w:rsidRPr="00476D36">
        <w:rPr>
          <w:sz w:val="26"/>
          <w:szCs w:val="26"/>
        </w:rPr>
        <w:t>that the</w:t>
      </w:r>
      <w:r w:rsidR="00651209" w:rsidRPr="00476D36">
        <w:rPr>
          <w:sz w:val="26"/>
          <w:szCs w:val="26"/>
        </w:rPr>
        <w:t xml:space="preserve"> Commission has ruled that there is no provision in the Code, </w:t>
      </w:r>
      <w:r w:rsidR="00FA3D61" w:rsidRPr="00476D36">
        <w:rPr>
          <w:sz w:val="26"/>
          <w:szCs w:val="26"/>
        </w:rPr>
        <w:t>or our</w:t>
      </w:r>
      <w:r w:rsidR="00651209" w:rsidRPr="00476D36">
        <w:rPr>
          <w:sz w:val="26"/>
          <w:szCs w:val="26"/>
        </w:rPr>
        <w:t xml:space="preserve"> </w:t>
      </w:r>
      <w:r w:rsidR="00FA3D61" w:rsidRPr="00476D36">
        <w:rPr>
          <w:sz w:val="26"/>
          <w:szCs w:val="26"/>
        </w:rPr>
        <w:t>R</w:t>
      </w:r>
      <w:r w:rsidR="00651209" w:rsidRPr="00476D36">
        <w:rPr>
          <w:sz w:val="26"/>
          <w:szCs w:val="26"/>
        </w:rPr>
        <w:t xml:space="preserve">egulations or Orders that permit a </w:t>
      </w:r>
      <w:r w:rsidR="005703B8" w:rsidRPr="00476D36">
        <w:rPr>
          <w:sz w:val="26"/>
          <w:szCs w:val="26"/>
        </w:rPr>
        <w:t>PPL</w:t>
      </w:r>
      <w:r w:rsidR="00651209" w:rsidRPr="00476D36">
        <w:rPr>
          <w:sz w:val="26"/>
          <w:szCs w:val="26"/>
        </w:rPr>
        <w:t xml:space="preserve"> customer to opt</w:t>
      </w:r>
      <w:r w:rsidR="00FA3D61" w:rsidRPr="00476D36">
        <w:rPr>
          <w:sz w:val="26"/>
          <w:szCs w:val="26"/>
        </w:rPr>
        <w:t xml:space="preserve"> </w:t>
      </w:r>
      <w:r w:rsidR="00651209" w:rsidRPr="00476D36">
        <w:rPr>
          <w:sz w:val="26"/>
          <w:szCs w:val="26"/>
        </w:rPr>
        <w:t>out of smart meter installation.</w:t>
      </w:r>
      <w:r w:rsidR="00573E3D" w:rsidRPr="00476D36">
        <w:rPr>
          <w:sz w:val="26"/>
          <w:szCs w:val="26"/>
        </w:rPr>
        <w:t xml:space="preserve">  I.D. at </w:t>
      </w:r>
      <w:r w:rsidR="003467FE" w:rsidRPr="00476D36">
        <w:rPr>
          <w:sz w:val="26"/>
          <w:szCs w:val="26"/>
        </w:rPr>
        <w:t>11-</w:t>
      </w:r>
      <w:r w:rsidR="00D10647" w:rsidRPr="00476D36">
        <w:rPr>
          <w:sz w:val="26"/>
          <w:szCs w:val="26"/>
        </w:rPr>
        <w:t>1</w:t>
      </w:r>
      <w:r w:rsidR="00CB53A9" w:rsidRPr="00476D36">
        <w:rPr>
          <w:sz w:val="26"/>
          <w:szCs w:val="26"/>
        </w:rPr>
        <w:t>2</w:t>
      </w:r>
      <w:r w:rsidR="0044497D" w:rsidRPr="00476D36">
        <w:rPr>
          <w:sz w:val="26"/>
          <w:szCs w:val="26"/>
        </w:rPr>
        <w:t xml:space="preserve"> (</w:t>
      </w:r>
      <w:r w:rsidR="00D10647" w:rsidRPr="00476D36">
        <w:rPr>
          <w:sz w:val="26"/>
          <w:szCs w:val="26"/>
        </w:rPr>
        <w:t>citing</w:t>
      </w:r>
      <w:r w:rsidR="00D10647" w:rsidRPr="00476D36">
        <w:rPr>
          <w:i/>
          <w:iCs/>
          <w:sz w:val="26"/>
          <w:szCs w:val="26"/>
        </w:rPr>
        <w:t xml:space="preserve"> </w:t>
      </w:r>
      <w:r w:rsidR="0044497D" w:rsidRPr="00476D36">
        <w:rPr>
          <w:i/>
          <w:iCs/>
          <w:sz w:val="26"/>
          <w:szCs w:val="26"/>
        </w:rPr>
        <w:t xml:space="preserve">2013 </w:t>
      </w:r>
      <w:proofErr w:type="spellStart"/>
      <w:r w:rsidR="00D10647" w:rsidRPr="00476D36">
        <w:rPr>
          <w:i/>
          <w:iCs/>
          <w:sz w:val="26"/>
          <w:szCs w:val="26"/>
        </w:rPr>
        <w:t>Povacz</w:t>
      </w:r>
      <w:proofErr w:type="spellEnd"/>
      <w:r w:rsidR="00D10647" w:rsidRPr="00476D36">
        <w:rPr>
          <w:i/>
          <w:iCs/>
          <w:sz w:val="26"/>
          <w:szCs w:val="26"/>
        </w:rPr>
        <w:t xml:space="preserve"> </w:t>
      </w:r>
      <w:r w:rsidR="0044497D" w:rsidRPr="00476D36">
        <w:rPr>
          <w:i/>
          <w:iCs/>
          <w:sz w:val="26"/>
          <w:szCs w:val="26"/>
        </w:rPr>
        <w:t>Order</w:t>
      </w:r>
      <w:r w:rsidR="00CB53A9" w:rsidRPr="00476D36">
        <w:rPr>
          <w:i/>
          <w:iCs/>
          <w:sz w:val="26"/>
          <w:szCs w:val="26"/>
        </w:rPr>
        <w:t xml:space="preserve"> </w:t>
      </w:r>
      <w:r w:rsidR="00CB53A9" w:rsidRPr="00476D36">
        <w:rPr>
          <w:sz w:val="26"/>
          <w:szCs w:val="26"/>
        </w:rPr>
        <w:t xml:space="preserve">and </w:t>
      </w:r>
      <w:r w:rsidR="00CB53A9" w:rsidRPr="00476D36">
        <w:rPr>
          <w:i/>
          <w:iCs/>
          <w:sz w:val="26"/>
          <w:szCs w:val="26"/>
        </w:rPr>
        <w:t>Kreider</w:t>
      </w:r>
      <w:r w:rsidR="00D10647" w:rsidRPr="00476D36">
        <w:rPr>
          <w:sz w:val="26"/>
          <w:szCs w:val="26"/>
        </w:rPr>
        <w:t>)</w:t>
      </w:r>
      <w:r w:rsidR="003467FE" w:rsidRPr="00476D36">
        <w:rPr>
          <w:sz w:val="26"/>
          <w:szCs w:val="26"/>
        </w:rPr>
        <w:t>.</w:t>
      </w:r>
    </w:p>
    <w:p w14:paraId="12FB2E27" w14:textId="77777777" w:rsidR="003467FE" w:rsidRPr="00476D36" w:rsidRDefault="003467FE" w:rsidP="003467FE">
      <w:pPr>
        <w:widowControl/>
        <w:spacing w:line="360" w:lineRule="auto"/>
        <w:ind w:firstLine="1440"/>
        <w:contextualSpacing/>
        <w:rPr>
          <w:sz w:val="26"/>
          <w:szCs w:val="26"/>
        </w:rPr>
      </w:pPr>
    </w:p>
    <w:p w14:paraId="49264504" w14:textId="77777777" w:rsidR="003467FE" w:rsidRPr="00476D36" w:rsidRDefault="003467FE" w:rsidP="003467FE">
      <w:pPr>
        <w:widowControl/>
        <w:spacing w:line="360" w:lineRule="auto"/>
        <w:ind w:firstLine="1440"/>
        <w:contextualSpacing/>
        <w:rPr>
          <w:color w:val="000000"/>
          <w:sz w:val="26"/>
          <w:szCs w:val="26"/>
        </w:rPr>
      </w:pPr>
      <w:r w:rsidRPr="00476D36">
        <w:rPr>
          <w:sz w:val="26"/>
          <w:szCs w:val="26"/>
        </w:rPr>
        <w:t xml:space="preserve">The ALJ noted that to the </w:t>
      </w:r>
      <w:r w:rsidRPr="00476D36">
        <w:rPr>
          <w:color w:val="000000"/>
          <w:sz w:val="26"/>
          <w:szCs w:val="26"/>
        </w:rPr>
        <w:t>extent that the Complainant desires the ability to opt out of the smart meter installation, she could advocate for such ability before the General Assembly</w:t>
      </w:r>
      <w:r w:rsidR="00FA3D61" w:rsidRPr="00476D36">
        <w:rPr>
          <w:color w:val="000000"/>
          <w:sz w:val="26"/>
          <w:szCs w:val="26"/>
        </w:rPr>
        <w:t>,</w:t>
      </w:r>
      <w:r w:rsidRPr="00476D36">
        <w:rPr>
          <w:sz w:val="26"/>
          <w:szCs w:val="26"/>
        </w:rPr>
        <w:t xml:space="preserve"> which at the time of the issuance of the Initial Decision was considering</w:t>
      </w:r>
      <w:r w:rsidR="006D44EF" w:rsidRPr="00476D36">
        <w:rPr>
          <w:sz w:val="26"/>
          <w:szCs w:val="26"/>
        </w:rPr>
        <w:t xml:space="preserve"> legislative</w:t>
      </w:r>
      <w:r w:rsidRPr="00476D36">
        <w:rPr>
          <w:sz w:val="26"/>
          <w:szCs w:val="26"/>
        </w:rPr>
        <w:t xml:space="preserve"> bills to allow for it.  However, the ALJ continued, without such a legislative directive the Commission has no authority to </w:t>
      </w:r>
      <w:r w:rsidRPr="00476D36">
        <w:rPr>
          <w:color w:val="000000"/>
          <w:sz w:val="26"/>
          <w:szCs w:val="26"/>
        </w:rPr>
        <w:t xml:space="preserve">prohibit an EDC from installing a smart meter where a customer does not want one.  In addition, the ALJ explained that the District of Columbia’s opt-in provision is not binding in Pennsylvania. </w:t>
      </w:r>
      <w:r w:rsidR="00D76AA3" w:rsidRPr="00476D36">
        <w:rPr>
          <w:color w:val="000000"/>
          <w:sz w:val="26"/>
          <w:szCs w:val="26"/>
        </w:rPr>
        <w:t xml:space="preserve"> </w:t>
      </w:r>
      <w:r w:rsidRPr="00476D36">
        <w:rPr>
          <w:color w:val="000000"/>
          <w:sz w:val="26"/>
          <w:szCs w:val="26"/>
        </w:rPr>
        <w:t>Accordingly, the ALJ ruled in favor of the Company on this issue.  I.D. at 12.</w:t>
      </w:r>
    </w:p>
    <w:p w14:paraId="5C3282CB" w14:textId="77777777" w:rsidR="003467FE" w:rsidRPr="00476D36" w:rsidRDefault="003467FE" w:rsidP="003467FE">
      <w:pPr>
        <w:widowControl/>
        <w:spacing w:line="360" w:lineRule="auto"/>
        <w:ind w:firstLine="1440"/>
        <w:contextualSpacing/>
        <w:rPr>
          <w:color w:val="000000"/>
          <w:sz w:val="24"/>
          <w:szCs w:val="22"/>
        </w:rPr>
      </w:pPr>
    </w:p>
    <w:p w14:paraId="18D08582" w14:textId="0FFE6E9F" w:rsidR="002935D2" w:rsidRPr="00476D36" w:rsidRDefault="00FA3D61" w:rsidP="002B785E">
      <w:pPr>
        <w:widowControl/>
        <w:spacing w:line="360" w:lineRule="auto"/>
        <w:contextualSpacing/>
        <w:rPr>
          <w:sz w:val="26"/>
          <w:szCs w:val="26"/>
        </w:rPr>
      </w:pPr>
      <w:r w:rsidRPr="00476D36">
        <w:rPr>
          <w:sz w:val="26"/>
          <w:szCs w:val="26"/>
        </w:rPr>
        <w:tab/>
      </w:r>
      <w:r w:rsidRPr="00476D36">
        <w:rPr>
          <w:sz w:val="26"/>
          <w:szCs w:val="26"/>
        </w:rPr>
        <w:tab/>
        <w:t xml:space="preserve">Next, the ALJ addressed the Complainant’s request that electric service be maintained with her current meter for health and safety reasons.  </w:t>
      </w:r>
      <w:r w:rsidR="002935D2" w:rsidRPr="00476D36">
        <w:rPr>
          <w:sz w:val="26"/>
          <w:szCs w:val="26"/>
        </w:rPr>
        <w:t>The ALJ noted Ms. Schutz’s testimony that, although she is not medically ill, she wishes to take precautionary steps to limit her amount of radiation exposure.  I.D. at 12-13 (citing Tr. at</w:t>
      </w:r>
      <w:r w:rsidR="00476D36" w:rsidRPr="00476D36">
        <w:rPr>
          <w:sz w:val="26"/>
          <w:szCs w:val="26"/>
        </w:rPr>
        <w:t> </w:t>
      </w:r>
      <w:r w:rsidR="002935D2" w:rsidRPr="00476D36">
        <w:rPr>
          <w:sz w:val="26"/>
          <w:szCs w:val="26"/>
        </w:rPr>
        <w:t>8-12).  The ALJ also acknowledged the Company’s argument that the Complainant has failed to meet her burden of proof of a conclusive causal connection between low-level RF fields from a PPL smart meter and any adverse health effects.  I.D. at 12.</w:t>
      </w:r>
    </w:p>
    <w:p w14:paraId="129E84F3" w14:textId="0FAB17B7" w:rsidR="002B785E" w:rsidRPr="00476D36" w:rsidRDefault="002B785E" w:rsidP="002935D2">
      <w:pPr>
        <w:widowControl/>
        <w:spacing w:line="360" w:lineRule="auto"/>
        <w:contextualSpacing/>
        <w:rPr>
          <w:sz w:val="26"/>
          <w:szCs w:val="26"/>
        </w:rPr>
      </w:pPr>
    </w:p>
    <w:p w14:paraId="665F2502" w14:textId="31B98A78" w:rsidR="000674BF" w:rsidRPr="00476D36" w:rsidRDefault="00CB3110" w:rsidP="00A3138F">
      <w:pPr>
        <w:widowControl/>
        <w:spacing w:line="360" w:lineRule="auto"/>
        <w:ind w:right="40" w:firstLine="1440"/>
        <w:textAlignment w:val="baseline"/>
        <w:rPr>
          <w:color w:val="000000"/>
          <w:sz w:val="26"/>
          <w:szCs w:val="26"/>
        </w:rPr>
      </w:pPr>
      <w:r w:rsidRPr="00476D36">
        <w:rPr>
          <w:sz w:val="26"/>
          <w:szCs w:val="26"/>
        </w:rPr>
        <w:lastRenderedPageBreak/>
        <w:t>The ALJ rejected the Complain</w:t>
      </w:r>
      <w:r w:rsidR="003E5BD3" w:rsidRPr="00476D36">
        <w:rPr>
          <w:sz w:val="26"/>
          <w:szCs w:val="26"/>
        </w:rPr>
        <w:t>ant’s claims for u</w:t>
      </w:r>
      <w:r w:rsidR="00FC721D" w:rsidRPr="00476D36">
        <w:rPr>
          <w:sz w:val="26"/>
          <w:szCs w:val="26"/>
        </w:rPr>
        <w:t xml:space="preserve">nreasonable service based on </w:t>
      </w:r>
      <w:r w:rsidR="003E5BD3" w:rsidRPr="00476D36">
        <w:rPr>
          <w:sz w:val="26"/>
          <w:szCs w:val="26"/>
        </w:rPr>
        <w:t xml:space="preserve">her health and safety concerns related to </w:t>
      </w:r>
      <w:r w:rsidR="00D10647" w:rsidRPr="00476D36">
        <w:rPr>
          <w:sz w:val="26"/>
          <w:szCs w:val="26"/>
        </w:rPr>
        <w:t xml:space="preserve">PPL’s installation of a smart meter at </w:t>
      </w:r>
      <w:r w:rsidR="000817E0" w:rsidRPr="00476D36">
        <w:rPr>
          <w:sz w:val="26"/>
          <w:szCs w:val="26"/>
        </w:rPr>
        <w:t>the</w:t>
      </w:r>
      <w:r w:rsidR="00D10647" w:rsidRPr="00476D36">
        <w:rPr>
          <w:sz w:val="26"/>
          <w:szCs w:val="26"/>
        </w:rPr>
        <w:t xml:space="preserve"> residence. </w:t>
      </w:r>
      <w:r w:rsidR="00BD24D5" w:rsidRPr="00476D36">
        <w:rPr>
          <w:sz w:val="26"/>
          <w:szCs w:val="26"/>
        </w:rPr>
        <w:t xml:space="preserve"> </w:t>
      </w:r>
      <w:r w:rsidR="000674BF" w:rsidRPr="00476D36">
        <w:rPr>
          <w:color w:val="000000"/>
          <w:sz w:val="26"/>
          <w:szCs w:val="26"/>
        </w:rPr>
        <w:t xml:space="preserve">In support, the ALJ cited to our decision in the </w:t>
      </w:r>
      <w:r w:rsidR="000674BF" w:rsidRPr="00476D36">
        <w:rPr>
          <w:i/>
          <w:sz w:val="26"/>
          <w:szCs w:val="26"/>
        </w:rPr>
        <w:t xml:space="preserve">2019 </w:t>
      </w:r>
      <w:proofErr w:type="spellStart"/>
      <w:r w:rsidR="000674BF" w:rsidRPr="00476D36">
        <w:rPr>
          <w:i/>
          <w:sz w:val="26"/>
          <w:szCs w:val="26"/>
        </w:rPr>
        <w:t>Povacz</w:t>
      </w:r>
      <w:proofErr w:type="spellEnd"/>
      <w:r w:rsidR="000674BF" w:rsidRPr="00476D36">
        <w:rPr>
          <w:i/>
          <w:sz w:val="26"/>
          <w:szCs w:val="26"/>
        </w:rPr>
        <w:t xml:space="preserve"> Order</w:t>
      </w:r>
      <w:r w:rsidR="000674BF" w:rsidRPr="00476D36">
        <w:rPr>
          <w:color w:val="000000"/>
          <w:sz w:val="26"/>
          <w:szCs w:val="26"/>
        </w:rPr>
        <w:t xml:space="preserve"> noting the similarities to Ms. Schutz’s claims.  In the </w:t>
      </w:r>
      <w:r w:rsidR="000674BF" w:rsidRPr="00476D36">
        <w:rPr>
          <w:i/>
          <w:sz w:val="26"/>
          <w:szCs w:val="26"/>
        </w:rPr>
        <w:t xml:space="preserve">2019 </w:t>
      </w:r>
      <w:proofErr w:type="spellStart"/>
      <w:r w:rsidR="000674BF" w:rsidRPr="00476D36">
        <w:rPr>
          <w:i/>
          <w:sz w:val="26"/>
          <w:szCs w:val="26"/>
        </w:rPr>
        <w:t>Povacz</w:t>
      </w:r>
      <w:proofErr w:type="spellEnd"/>
      <w:r w:rsidR="000674BF" w:rsidRPr="00476D36">
        <w:rPr>
          <w:i/>
          <w:sz w:val="26"/>
          <w:szCs w:val="26"/>
        </w:rPr>
        <w:t xml:space="preserve"> Order</w:t>
      </w:r>
      <w:r w:rsidR="000674BF" w:rsidRPr="00476D36">
        <w:rPr>
          <w:color w:val="000000"/>
          <w:sz w:val="26"/>
          <w:szCs w:val="26"/>
        </w:rPr>
        <w:t>, we held that the complainant failed to prove she suffered from electromagnetic hypersensitivity syndrome as she had self-diagnosed the illness.  The ALJ explained our prior rationale in which we stated that, without independent diagnostic evidence to corroborate the self-diagnosis, the complainant failed to prove that she was electromagnetically hypersensitive.</w:t>
      </w:r>
      <w:r w:rsidR="00791486" w:rsidRPr="00476D36">
        <w:rPr>
          <w:color w:val="000000"/>
          <w:sz w:val="26"/>
          <w:szCs w:val="26"/>
        </w:rPr>
        <w:t xml:space="preserve">  </w:t>
      </w:r>
      <w:r w:rsidR="000674BF" w:rsidRPr="00476D36">
        <w:rPr>
          <w:color w:val="000000"/>
          <w:sz w:val="26"/>
          <w:szCs w:val="26"/>
        </w:rPr>
        <w:t xml:space="preserve">I.D. at 13 (citing </w:t>
      </w:r>
      <w:r w:rsidR="000674BF" w:rsidRPr="00476D36">
        <w:rPr>
          <w:i/>
          <w:sz w:val="26"/>
          <w:szCs w:val="26"/>
        </w:rPr>
        <w:t xml:space="preserve">2019 </w:t>
      </w:r>
      <w:proofErr w:type="spellStart"/>
      <w:r w:rsidR="000674BF" w:rsidRPr="00476D36">
        <w:rPr>
          <w:i/>
          <w:sz w:val="26"/>
          <w:szCs w:val="26"/>
        </w:rPr>
        <w:t>Povacz</w:t>
      </w:r>
      <w:proofErr w:type="spellEnd"/>
      <w:r w:rsidR="000674BF" w:rsidRPr="00476D36">
        <w:rPr>
          <w:i/>
          <w:sz w:val="26"/>
          <w:szCs w:val="26"/>
        </w:rPr>
        <w:t xml:space="preserve"> Order</w:t>
      </w:r>
      <w:r w:rsidR="000674BF" w:rsidRPr="00476D36">
        <w:rPr>
          <w:i/>
          <w:color w:val="000000"/>
          <w:sz w:val="26"/>
          <w:szCs w:val="26"/>
        </w:rPr>
        <w:t xml:space="preserve"> </w:t>
      </w:r>
      <w:r w:rsidR="000674BF" w:rsidRPr="00476D36">
        <w:rPr>
          <w:color w:val="000000"/>
          <w:sz w:val="26"/>
          <w:szCs w:val="26"/>
        </w:rPr>
        <w:t xml:space="preserve">at 59-60). </w:t>
      </w:r>
    </w:p>
    <w:p w14:paraId="6B1BA98C" w14:textId="77777777" w:rsidR="000674BF" w:rsidRPr="00476D36" w:rsidRDefault="000674BF" w:rsidP="000674BF">
      <w:pPr>
        <w:spacing w:line="360" w:lineRule="auto"/>
        <w:ind w:left="144" w:right="504" w:firstLine="1440"/>
        <w:textAlignment w:val="baseline"/>
        <w:rPr>
          <w:i/>
          <w:color w:val="000000"/>
          <w:sz w:val="26"/>
          <w:szCs w:val="26"/>
        </w:rPr>
      </w:pPr>
    </w:p>
    <w:p w14:paraId="1F444850" w14:textId="4EAC6676" w:rsidR="000674BF" w:rsidRPr="00476D36" w:rsidRDefault="000674BF" w:rsidP="00D76AA3">
      <w:pPr>
        <w:spacing w:line="360" w:lineRule="auto"/>
        <w:ind w:right="144" w:firstLine="1440"/>
        <w:textAlignment w:val="baseline"/>
        <w:rPr>
          <w:color w:val="000000"/>
          <w:sz w:val="26"/>
          <w:szCs w:val="26"/>
        </w:rPr>
      </w:pPr>
      <w:r w:rsidRPr="00476D36">
        <w:rPr>
          <w:color w:val="000000"/>
          <w:sz w:val="26"/>
          <w:szCs w:val="26"/>
        </w:rPr>
        <w:t xml:space="preserve">Similarly, the ALJ found that Ms. Schutz did not establish a </w:t>
      </w:r>
      <w:r w:rsidRPr="00476D36">
        <w:rPr>
          <w:i/>
          <w:color w:val="000000"/>
          <w:sz w:val="26"/>
          <w:szCs w:val="26"/>
        </w:rPr>
        <w:t xml:space="preserve">prima facie </w:t>
      </w:r>
      <w:r w:rsidRPr="00476D36">
        <w:rPr>
          <w:color w:val="000000"/>
          <w:sz w:val="26"/>
          <w:szCs w:val="26"/>
        </w:rPr>
        <w:t xml:space="preserve">case to show that any RF exposure levels from a Landis + </w:t>
      </w:r>
      <w:proofErr w:type="spellStart"/>
      <w:r w:rsidRPr="00476D36">
        <w:rPr>
          <w:color w:val="000000"/>
          <w:sz w:val="26"/>
          <w:szCs w:val="26"/>
        </w:rPr>
        <w:t>Gyr</w:t>
      </w:r>
      <w:proofErr w:type="spellEnd"/>
      <w:r w:rsidRPr="00476D36">
        <w:rPr>
          <w:color w:val="000000"/>
          <w:sz w:val="26"/>
          <w:szCs w:val="26"/>
        </w:rPr>
        <w:t xml:space="preserve"> Focus AXR-SD meter will cause adverse health effects to Complainant.  According to the ALJ, the assertions of the Complainant that her health will deteriorate because of radiofrequency fields emitted by an AMI meter are bald assertions, which do not constitute evidence.</w:t>
      </w:r>
      <w:r w:rsidR="00D76AA3" w:rsidRPr="00476D36">
        <w:rPr>
          <w:color w:val="000000"/>
          <w:sz w:val="26"/>
          <w:szCs w:val="26"/>
        </w:rPr>
        <w:t xml:space="preserve"> </w:t>
      </w:r>
      <w:r w:rsidRPr="00476D36">
        <w:rPr>
          <w:color w:val="000000"/>
          <w:sz w:val="26"/>
          <w:szCs w:val="26"/>
        </w:rPr>
        <w:t xml:space="preserve"> </w:t>
      </w:r>
      <w:r w:rsidRPr="00476D36">
        <w:rPr>
          <w:iCs/>
          <w:color w:val="000000"/>
          <w:sz w:val="26"/>
          <w:szCs w:val="26"/>
        </w:rPr>
        <w:t>I.D. at 13 (citing, in part,</w:t>
      </w:r>
      <w:r w:rsidRPr="00476D36">
        <w:rPr>
          <w:i/>
          <w:color w:val="000000"/>
          <w:sz w:val="26"/>
          <w:szCs w:val="26"/>
        </w:rPr>
        <w:t xml:space="preserve"> Pa. Bureau of Corrections v. City of Pittsburgh</w:t>
      </w:r>
      <w:r w:rsidRPr="00476D36">
        <w:rPr>
          <w:color w:val="000000"/>
          <w:sz w:val="26"/>
          <w:szCs w:val="26"/>
        </w:rPr>
        <w:t xml:space="preserve">, </w:t>
      </w:r>
      <w:r w:rsidR="00A358CC" w:rsidRPr="00476D36">
        <w:rPr>
          <w:color w:val="000000"/>
          <w:sz w:val="26"/>
          <w:szCs w:val="26"/>
        </w:rPr>
        <w:t xml:space="preserve">516 Pa. 75, </w:t>
      </w:r>
      <w:r w:rsidRPr="00476D36">
        <w:rPr>
          <w:color w:val="000000"/>
          <w:sz w:val="26"/>
          <w:szCs w:val="26"/>
        </w:rPr>
        <w:t>532 A.2d 12 (1987)).</w:t>
      </w:r>
    </w:p>
    <w:p w14:paraId="1996E0A2" w14:textId="77777777" w:rsidR="000674BF" w:rsidRPr="00476D36" w:rsidRDefault="000674BF" w:rsidP="000674BF">
      <w:pPr>
        <w:spacing w:line="360" w:lineRule="auto"/>
        <w:ind w:left="144" w:right="144" w:firstLine="1440"/>
        <w:textAlignment w:val="baseline"/>
        <w:rPr>
          <w:color w:val="000000"/>
          <w:sz w:val="26"/>
          <w:szCs w:val="26"/>
        </w:rPr>
      </w:pPr>
    </w:p>
    <w:p w14:paraId="4C3469D6" w14:textId="77777777" w:rsidR="000674BF" w:rsidRPr="00476D36" w:rsidRDefault="000674BF" w:rsidP="008B1AC5">
      <w:pPr>
        <w:spacing w:line="360" w:lineRule="auto"/>
        <w:ind w:right="40" w:firstLine="1440"/>
        <w:textAlignment w:val="baseline"/>
        <w:rPr>
          <w:color w:val="000000"/>
          <w:sz w:val="26"/>
          <w:szCs w:val="26"/>
        </w:rPr>
      </w:pPr>
      <w:r w:rsidRPr="00476D36">
        <w:rPr>
          <w:color w:val="000000"/>
          <w:sz w:val="26"/>
          <w:szCs w:val="26"/>
        </w:rPr>
        <w:t xml:space="preserve">Further, the ALJ reasoned that the Complainant proffered no corroborative medical evidence to support her testimony to show that an AMI meter will cause her to suffer deleterious health effects.  Noting that Ms. Schutz is neither a medical expert nor an engineer, the ALJ found that the Complainant’s testimony as to the deleterious health effects of an AMI smart meter was refuted by the credible testimony of PPL’s expert witness Dr. Israel.  I.D. at 14 (citing PPL St. 2 at 1, 3-4). </w:t>
      </w:r>
    </w:p>
    <w:p w14:paraId="11CD1F6C" w14:textId="77777777" w:rsidR="000674BF" w:rsidRPr="00476D36" w:rsidRDefault="000674BF" w:rsidP="000674BF">
      <w:pPr>
        <w:spacing w:line="360" w:lineRule="auto"/>
        <w:ind w:left="144" w:right="360" w:firstLine="1368"/>
        <w:textAlignment w:val="baseline"/>
        <w:rPr>
          <w:color w:val="000000"/>
          <w:sz w:val="26"/>
          <w:szCs w:val="26"/>
        </w:rPr>
      </w:pPr>
    </w:p>
    <w:p w14:paraId="053B1C33" w14:textId="5A59CA99" w:rsidR="000674BF" w:rsidRPr="00476D36" w:rsidRDefault="000674BF" w:rsidP="000674BF">
      <w:pPr>
        <w:spacing w:line="360" w:lineRule="auto"/>
        <w:ind w:right="40" w:firstLine="1440"/>
        <w:textAlignment w:val="baseline"/>
        <w:rPr>
          <w:color w:val="000000"/>
          <w:sz w:val="26"/>
          <w:szCs w:val="26"/>
        </w:rPr>
      </w:pPr>
      <w:r w:rsidRPr="00476D36">
        <w:rPr>
          <w:color w:val="000000"/>
          <w:sz w:val="26"/>
          <w:szCs w:val="26"/>
        </w:rPr>
        <w:t xml:space="preserve">The ALJ summarized Dr. Israel’s testimony that claimed symptoms related to </w:t>
      </w:r>
      <w:r w:rsidR="00C87054" w:rsidRPr="00476D36">
        <w:rPr>
          <w:color w:val="000000"/>
          <w:sz w:val="26"/>
          <w:szCs w:val="26"/>
        </w:rPr>
        <w:t>electro</w:t>
      </w:r>
      <w:r w:rsidR="009A756E" w:rsidRPr="00476D36">
        <w:rPr>
          <w:color w:val="000000"/>
          <w:sz w:val="26"/>
          <w:szCs w:val="26"/>
        </w:rPr>
        <w:t xml:space="preserve">magnetic </w:t>
      </w:r>
      <w:r w:rsidR="00860AA4" w:rsidRPr="00476D36">
        <w:rPr>
          <w:color w:val="000000"/>
          <w:sz w:val="26"/>
          <w:szCs w:val="26"/>
        </w:rPr>
        <w:t>hypersensitivity</w:t>
      </w:r>
      <w:r w:rsidR="002643D9" w:rsidRPr="00476D36">
        <w:rPr>
          <w:color w:val="000000"/>
          <w:sz w:val="26"/>
          <w:szCs w:val="26"/>
        </w:rPr>
        <w:t xml:space="preserve"> </w:t>
      </w:r>
      <w:r w:rsidR="00801C92" w:rsidRPr="00476D36">
        <w:rPr>
          <w:color w:val="000000"/>
          <w:sz w:val="26"/>
          <w:szCs w:val="26"/>
        </w:rPr>
        <w:t>(</w:t>
      </w:r>
      <w:r w:rsidRPr="00476D36">
        <w:rPr>
          <w:color w:val="000000"/>
          <w:sz w:val="26"/>
          <w:szCs w:val="26"/>
        </w:rPr>
        <w:t>EHS</w:t>
      </w:r>
      <w:r w:rsidR="00801C92" w:rsidRPr="00476D36">
        <w:rPr>
          <w:color w:val="000000"/>
          <w:sz w:val="26"/>
          <w:szCs w:val="26"/>
        </w:rPr>
        <w:t>)</w:t>
      </w:r>
      <w:r w:rsidRPr="00476D36">
        <w:rPr>
          <w:color w:val="000000"/>
          <w:sz w:val="26"/>
          <w:szCs w:val="26"/>
        </w:rPr>
        <w:t xml:space="preserve"> are more accurately described as “Idiopathic Environmental Intolerance” (IEI), in which “idiopathic” means “cause unknown,” rather than </w:t>
      </w:r>
      <w:r w:rsidR="00801C92" w:rsidRPr="00476D36">
        <w:rPr>
          <w:color w:val="000000"/>
          <w:sz w:val="26"/>
          <w:szCs w:val="26"/>
        </w:rPr>
        <w:t>EHS</w:t>
      </w:r>
      <w:r w:rsidRPr="00476D36">
        <w:rPr>
          <w:color w:val="000000"/>
          <w:sz w:val="26"/>
          <w:szCs w:val="26"/>
        </w:rPr>
        <w:t xml:space="preserve">.  I.D. at 14-15 (citing PPL St. 2 at 13).  Dr. Israel testified that there are no </w:t>
      </w:r>
      <w:r w:rsidRPr="00476D36">
        <w:rPr>
          <w:color w:val="000000"/>
          <w:sz w:val="26"/>
          <w:szCs w:val="26"/>
        </w:rPr>
        <w:lastRenderedPageBreak/>
        <w:t xml:space="preserve">established medical criteria for the diagnosis or treatment of IEI and that the variety of symptoms attributed to it are not caused by exposure to RF fields.  </w:t>
      </w:r>
      <w:r w:rsidRPr="00476D36">
        <w:rPr>
          <w:i/>
          <w:iCs/>
          <w:color w:val="000000"/>
          <w:sz w:val="26"/>
          <w:szCs w:val="26"/>
        </w:rPr>
        <w:t>Id.</w:t>
      </w:r>
      <w:r w:rsidRPr="00476D36">
        <w:rPr>
          <w:color w:val="000000"/>
          <w:sz w:val="26"/>
          <w:szCs w:val="26"/>
        </w:rPr>
        <w:t xml:space="preserve"> (citing PPL St. 2 at</w:t>
      </w:r>
      <w:r w:rsidR="00476D36" w:rsidRPr="00476D36">
        <w:rPr>
          <w:color w:val="000000"/>
          <w:sz w:val="26"/>
          <w:szCs w:val="26"/>
        </w:rPr>
        <w:t> </w:t>
      </w:r>
      <w:r w:rsidRPr="00476D36">
        <w:rPr>
          <w:color w:val="000000"/>
          <w:sz w:val="26"/>
          <w:szCs w:val="26"/>
        </w:rPr>
        <w:t>15-16).</w:t>
      </w:r>
    </w:p>
    <w:p w14:paraId="47B57937" w14:textId="77777777" w:rsidR="000674BF" w:rsidRPr="00476D36" w:rsidRDefault="000674BF" w:rsidP="000674BF">
      <w:pPr>
        <w:spacing w:line="360" w:lineRule="auto"/>
        <w:ind w:left="144" w:right="216"/>
        <w:textAlignment w:val="baseline"/>
        <w:rPr>
          <w:color w:val="000000"/>
          <w:sz w:val="26"/>
          <w:szCs w:val="26"/>
        </w:rPr>
      </w:pPr>
    </w:p>
    <w:p w14:paraId="17F7FEA9" w14:textId="3601DFE8" w:rsidR="000674BF" w:rsidRPr="00476D36" w:rsidRDefault="000674BF" w:rsidP="000674BF">
      <w:pPr>
        <w:spacing w:line="360" w:lineRule="auto"/>
        <w:ind w:firstLine="1440"/>
        <w:textAlignment w:val="baseline"/>
        <w:rPr>
          <w:color w:val="000000"/>
          <w:sz w:val="26"/>
          <w:szCs w:val="26"/>
        </w:rPr>
      </w:pPr>
      <w:r w:rsidRPr="00476D36">
        <w:rPr>
          <w:color w:val="000000"/>
          <w:sz w:val="26"/>
          <w:szCs w:val="26"/>
        </w:rPr>
        <w:t xml:space="preserve">Additionally, the ALJ referenced Dr. Israel’s testimony pertaining to the conclusion of public health authorities that scientific research on RF exposures from cell phone use, which are far higher than the RF exposures from PPL’s smart meters, has not shown that RF fields cause adverse health effects.  Moreover, Dr. Israel testified about additional investigations of state public health authorities and the lack of credible scientific evidence that RF fields from smart meters will cause or contribute to any adverse health effects.  I.D. at 15 (citing PPL St. 2 at 10-15, PPL </w:t>
      </w:r>
      <w:proofErr w:type="spellStart"/>
      <w:r w:rsidRPr="00476D36">
        <w:rPr>
          <w:color w:val="000000"/>
          <w:sz w:val="26"/>
          <w:szCs w:val="26"/>
        </w:rPr>
        <w:t>Exhs</w:t>
      </w:r>
      <w:proofErr w:type="spellEnd"/>
      <w:r w:rsidRPr="00476D36">
        <w:rPr>
          <w:color w:val="000000"/>
          <w:sz w:val="26"/>
          <w:szCs w:val="26"/>
        </w:rPr>
        <w:t>. MI-1 and MI-2).</w:t>
      </w:r>
    </w:p>
    <w:p w14:paraId="1FF15E68" w14:textId="77777777" w:rsidR="000674BF" w:rsidRPr="00476D36" w:rsidRDefault="000674BF" w:rsidP="000674BF">
      <w:pPr>
        <w:spacing w:line="360" w:lineRule="auto"/>
        <w:ind w:left="144" w:right="216" w:firstLine="1440"/>
        <w:textAlignment w:val="baseline"/>
        <w:rPr>
          <w:color w:val="000000"/>
          <w:sz w:val="26"/>
          <w:szCs w:val="26"/>
        </w:rPr>
      </w:pPr>
    </w:p>
    <w:p w14:paraId="09BF7A6D" w14:textId="77777777" w:rsidR="000674BF" w:rsidRPr="00476D36" w:rsidRDefault="000674BF" w:rsidP="000674BF">
      <w:pPr>
        <w:spacing w:line="360" w:lineRule="auto"/>
        <w:ind w:firstLine="1440"/>
        <w:textAlignment w:val="baseline"/>
        <w:rPr>
          <w:color w:val="000000"/>
          <w:sz w:val="26"/>
          <w:szCs w:val="26"/>
        </w:rPr>
      </w:pPr>
      <w:r w:rsidRPr="00476D36">
        <w:rPr>
          <w:color w:val="000000"/>
          <w:sz w:val="26"/>
          <w:szCs w:val="26"/>
        </w:rPr>
        <w:t>The ALJ determined that the Complainant’s testimony was also refuted by PPL’s expert witness Dr. Davis who testified about his substantial amount of research on RF fields of the type produced by the AMI meters being used by PPL.  According to Dr. Davis, RF fields are part of the lower energy, non-ionizing portion of the electromagnetic spectrum which consists of lower frequency signals that do not have enough energy to break chemical bonds in cells or DNA.  RF fields come from many sources in our everyday environments, including AM/FM radio, television broadcast, cell phones and their communication networks, portable phones, garage door openers and Wi-Fi networks.  I.D. at 15-16 (citing PPL St. 1 at 3, 5-7, 12).</w:t>
      </w:r>
    </w:p>
    <w:p w14:paraId="11C85562" w14:textId="77777777" w:rsidR="000674BF" w:rsidRPr="00476D36" w:rsidRDefault="000674BF" w:rsidP="000674BF">
      <w:pPr>
        <w:spacing w:line="360" w:lineRule="auto"/>
        <w:ind w:left="72" w:right="144" w:firstLine="1440"/>
        <w:textAlignment w:val="baseline"/>
        <w:rPr>
          <w:color w:val="000000"/>
          <w:sz w:val="26"/>
          <w:szCs w:val="26"/>
        </w:rPr>
      </w:pPr>
    </w:p>
    <w:p w14:paraId="4D804367" w14:textId="09D1070F" w:rsidR="000674BF" w:rsidRPr="00476D36" w:rsidRDefault="000674BF" w:rsidP="000674BF">
      <w:pPr>
        <w:tabs>
          <w:tab w:val="left" w:pos="9180"/>
        </w:tabs>
        <w:spacing w:line="360" w:lineRule="auto"/>
        <w:ind w:firstLine="1440"/>
        <w:textAlignment w:val="baseline"/>
        <w:rPr>
          <w:color w:val="000000"/>
          <w:sz w:val="26"/>
          <w:szCs w:val="26"/>
        </w:rPr>
      </w:pPr>
      <w:r w:rsidRPr="00476D36">
        <w:rPr>
          <w:color w:val="000000"/>
          <w:sz w:val="26"/>
          <w:szCs w:val="26"/>
        </w:rPr>
        <w:t xml:space="preserve">The ALJ further referenced Dr. Davis’s testimony about the electrical characteristics (harmonics and transients) that can be found on household wiring.  According to Dr. Davis, PPL AMI meters do not generate electricity, do not generate harmonics and transients that are significant compared to the harmonics and transients already present on the 60 Hz power coming into the home and do not interfere with the operation of household wiring.  Moreover, the ALJ cited to Dr. Davis’s testimony about the determinations of the </w:t>
      </w:r>
      <w:r w:rsidR="00BE450F" w:rsidRPr="00476D36">
        <w:rPr>
          <w:color w:val="000000"/>
          <w:sz w:val="26"/>
          <w:szCs w:val="26"/>
        </w:rPr>
        <w:t>Federal Communications Commission (</w:t>
      </w:r>
      <w:r w:rsidRPr="00476D36">
        <w:rPr>
          <w:color w:val="000000"/>
          <w:sz w:val="26"/>
          <w:szCs w:val="26"/>
        </w:rPr>
        <w:t>FCC</w:t>
      </w:r>
      <w:r w:rsidR="00BE450F" w:rsidRPr="00476D36">
        <w:rPr>
          <w:color w:val="000000"/>
          <w:sz w:val="26"/>
          <w:szCs w:val="26"/>
        </w:rPr>
        <w:t>)</w:t>
      </w:r>
      <w:r w:rsidRPr="00476D36">
        <w:rPr>
          <w:color w:val="000000"/>
          <w:sz w:val="26"/>
          <w:szCs w:val="26"/>
        </w:rPr>
        <w:t xml:space="preserve"> related to the safe </w:t>
      </w:r>
      <w:r w:rsidRPr="00476D36">
        <w:rPr>
          <w:color w:val="000000"/>
          <w:sz w:val="26"/>
          <w:szCs w:val="26"/>
        </w:rPr>
        <w:lastRenderedPageBreak/>
        <w:t>public exposure levels from devices that transmit RF signals such as the AMI meters.  I.D. at 16 (citing PPL St. 1 at 8-10).</w:t>
      </w:r>
    </w:p>
    <w:p w14:paraId="4CA6A61A" w14:textId="77777777" w:rsidR="000674BF" w:rsidRPr="00476D36" w:rsidRDefault="000674BF" w:rsidP="000674BF">
      <w:pPr>
        <w:spacing w:line="360" w:lineRule="auto"/>
        <w:ind w:left="72" w:right="144" w:firstLine="1440"/>
        <w:textAlignment w:val="baseline"/>
        <w:rPr>
          <w:color w:val="000000"/>
          <w:sz w:val="26"/>
          <w:szCs w:val="26"/>
        </w:rPr>
      </w:pPr>
    </w:p>
    <w:p w14:paraId="303F0B90" w14:textId="77777777" w:rsidR="000674BF" w:rsidRPr="00476D36" w:rsidRDefault="000674BF" w:rsidP="000674BF">
      <w:pPr>
        <w:spacing w:line="360" w:lineRule="auto"/>
        <w:ind w:firstLine="1440"/>
        <w:textAlignment w:val="baseline"/>
        <w:rPr>
          <w:color w:val="000000"/>
          <w:sz w:val="26"/>
          <w:szCs w:val="26"/>
        </w:rPr>
      </w:pPr>
      <w:r w:rsidRPr="00476D36">
        <w:rPr>
          <w:color w:val="000000"/>
          <w:sz w:val="26"/>
          <w:szCs w:val="26"/>
        </w:rPr>
        <w:t xml:space="preserve">Continuing with the references to PPL’s expert testimony, the ALJ stated that the levels of RF fields from the Landis + </w:t>
      </w:r>
      <w:proofErr w:type="spellStart"/>
      <w:r w:rsidRPr="00476D36">
        <w:rPr>
          <w:color w:val="000000"/>
          <w:sz w:val="26"/>
          <w:szCs w:val="26"/>
        </w:rPr>
        <w:t>Gyr</w:t>
      </w:r>
      <w:proofErr w:type="spellEnd"/>
      <w:r w:rsidRPr="00476D36">
        <w:rPr>
          <w:color w:val="000000"/>
          <w:sz w:val="26"/>
          <w:szCs w:val="26"/>
        </w:rPr>
        <w:t xml:space="preserve"> Focus AX-SD AMI meters are 98,000 times lower than the RF exposure safety limits established by the FCC.  In addition, the RF signals from the AMI meter are of short duration and occur for a total of only 84 seconds over a 24-hour period.  I.D. at 16 (citing PPL St. 1 at 7, 15, and PPL </w:t>
      </w:r>
      <w:proofErr w:type="spellStart"/>
      <w:r w:rsidRPr="00476D36">
        <w:rPr>
          <w:color w:val="000000"/>
          <w:sz w:val="26"/>
          <w:szCs w:val="26"/>
        </w:rPr>
        <w:t>Exh</w:t>
      </w:r>
      <w:proofErr w:type="spellEnd"/>
      <w:r w:rsidRPr="00476D36">
        <w:rPr>
          <w:color w:val="000000"/>
          <w:sz w:val="26"/>
          <w:szCs w:val="26"/>
        </w:rPr>
        <w:t>. CD2).</w:t>
      </w:r>
    </w:p>
    <w:p w14:paraId="7DAB5E2A" w14:textId="77777777" w:rsidR="000674BF" w:rsidRPr="00476D36" w:rsidRDefault="000674BF" w:rsidP="000674BF">
      <w:pPr>
        <w:spacing w:line="360" w:lineRule="auto"/>
        <w:ind w:left="72" w:right="360" w:firstLine="1440"/>
        <w:textAlignment w:val="baseline"/>
        <w:rPr>
          <w:color w:val="000000"/>
          <w:sz w:val="26"/>
          <w:szCs w:val="26"/>
        </w:rPr>
      </w:pPr>
    </w:p>
    <w:p w14:paraId="32485CB5" w14:textId="66C7060F" w:rsidR="000674BF" w:rsidRPr="00476D36" w:rsidRDefault="000674BF" w:rsidP="000674BF">
      <w:pPr>
        <w:spacing w:line="360" w:lineRule="auto"/>
        <w:ind w:firstLine="1440"/>
        <w:textAlignment w:val="baseline"/>
        <w:rPr>
          <w:color w:val="000000"/>
          <w:sz w:val="26"/>
          <w:szCs w:val="26"/>
        </w:rPr>
      </w:pPr>
      <w:r w:rsidRPr="00476D36">
        <w:rPr>
          <w:color w:val="000000"/>
          <w:sz w:val="26"/>
          <w:szCs w:val="26"/>
        </w:rPr>
        <w:t>In further summary of the expert evidence, the ALJ stated that</w:t>
      </w:r>
      <w:r w:rsidR="00D602CE" w:rsidRPr="00476D36">
        <w:rPr>
          <w:color w:val="000000"/>
          <w:sz w:val="26"/>
          <w:szCs w:val="26"/>
        </w:rPr>
        <w:t xml:space="preserve"> regarding cell phone use:</w:t>
      </w:r>
      <w:r w:rsidR="00273F69" w:rsidRPr="00476D36">
        <w:rPr>
          <w:color w:val="000000"/>
          <w:sz w:val="26"/>
          <w:szCs w:val="26"/>
        </w:rPr>
        <w:t xml:space="preserve"> (1)</w:t>
      </w:r>
      <w:r w:rsidR="00D602CE" w:rsidRPr="00476D36">
        <w:rPr>
          <w:color w:val="000000"/>
          <w:sz w:val="26"/>
          <w:szCs w:val="26"/>
        </w:rPr>
        <w:t xml:space="preserve"> the </w:t>
      </w:r>
      <w:r w:rsidRPr="00476D36">
        <w:rPr>
          <w:color w:val="000000"/>
          <w:sz w:val="26"/>
          <w:szCs w:val="26"/>
        </w:rPr>
        <w:t>RF field exposure</w:t>
      </w:r>
      <w:r w:rsidR="00D602CE" w:rsidRPr="00476D36">
        <w:rPr>
          <w:color w:val="000000"/>
          <w:sz w:val="26"/>
          <w:szCs w:val="26"/>
        </w:rPr>
        <w:t xml:space="preserve"> thirty </w:t>
      </w:r>
      <w:r w:rsidRPr="00476D36">
        <w:rPr>
          <w:color w:val="000000"/>
          <w:sz w:val="26"/>
          <w:szCs w:val="26"/>
        </w:rPr>
        <w:t xml:space="preserve">feet from a person using a cell phone is three times larger than the RF fields from the AMI meter; and </w:t>
      </w:r>
      <w:r w:rsidR="00EF5184" w:rsidRPr="00476D36">
        <w:rPr>
          <w:color w:val="000000"/>
          <w:sz w:val="26"/>
          <w:szCs w:val="26"/>
        </w:rPr>
        <w:t xml:space="preserve">(2) </w:t>
      </w:r>
      <w:r w:rsidR="00D602CE" w:rsidRPr="00476D36">
        <w:rPr>
          <w:color w:val="000000"/>
          <w:sz w:val="26"/>
          <w:szCs w:val="26"/>
        </w:rPr>
        <w:t>the exposure</w:t>
      </w:r>
      <w:r w:rsidRPr="00476D36">
        <w:rPr>
          <w:color w:val="000000"/>
          <w:sz w:val="26"/>
          <w:szCs w:val="26"/>
        </w:rPr>
        <w:t xml:space="preserve"> from using cell phones near the head can be over 260,000 times higher than the RF fields from the AMI meter.  I.D. at 16-17 (citing PPL St. 1 at 14 and PPL </w:t>
      </w:r>
      <w:proofErr w:type="spellStart"/>
      <w:r w:rsidRPr="00476D36">
        <w:rPr>
          <w:color w:val="000000"/>
          <w:sz w:val="26"/>
          <w:szCs w:val="26"/>
        </w:rPr>
        <w:t>Exh</w:t>
      </w:r>
      <w:proofErr w:type="spellEnd"/>
      <w:r w:rsidRPr="00476D36">
        <w:rPr>
          <w:color w:val="000000"/>
          <w:sz w:val="26"/>
          <w:szCs w:val="26"/>
        </w:rPr>
        <w:t xml:space="preserve">. CD4).  </w:t>
      </w:r>
    </w:p>
    <w:p w14:paraId="1D195184" w14:textId="77777777" w:rsidR="00A358CC" w:rsidRPr="00476D36" w:rsidRDefault="00A358CC" w:rsidP="000674BF">
      <w:pPr>
        <w:spacing w:line="360" w:lineRule="auto"/>
        <w:ind w:firstLine="1440"/>
        <w:textAlignment w:val="baseline"/>
        <w:rPr>
          <w:color w:val="000000"/>
          <w:sz w:val="26"/>
          <w:szCs w:val="26"/>
        </w:rPr>
      </w:pPr>
    </w:p>
    <w:p w14:paraId="6F58EC8C" w14:textId="77777777" w:rsidR="000674BF" w:rsidRPr="00476D36" w:rsidRDefault="000674BF" w:rsidP="000674BF">
      <w:pPr>
        <w:spacing w:line="360" w:lineRule="auto"/>
        <w:ind w:firstLine="1440"/>
        <w:textAlignment w:val="baseline"/>
        <w:rPr>
          <w:color w:val="000000"/>
          <w:sz w:val="26"/>
          <w:szCs w:val="26"/>
        </w:rPr>
      </w:pPr>
      <w:r w:rsidRPr="00476D36">
        <w:rPr>
          <w:color w:val="000000"/>
          <w:sz w:val="26"/>
          <w:szCs w:val="26"/>
        </w:rPr>
        <w:t xml:space="preserve">The ALJ also referenced Dr. Davis’s testimony that there are eleven television broadcast towers within a 50-mile radius of the Complainant’s location in Wilkes Barre, Pennsylvania.  According to Dr. Davis, the locations of each tower and their RF power outputs result in a constant background level of RF fields at Ms. Schutz’s residence that are 74.7 times higher than the RF signals from the AMI meter.  I.D. at 17 (citing PPL St. 1 at 15 and PPL </w:t>
      </w:r>
      <w:proofErr w:type="spellStart"/>
      <w:r w:rsidRPr="00476D36">
        <w:rPr>
          <w:color w:val="000000"/>
          <w:sz w:val="26"/>
          <w:szCs w:val="26"/>
        </w:rPr>
        <w:t>Exh</w:t>
      </w:r>
      <w:proofErr w:type="spellEnd"/>
      <w:r w:rsidRPr="00476D36">
        <w:rPr>
          <w:color w:val="000000"/>
          <w:sz w:val="26"/>
          <w:szCs w:val="26"/>
        </w:rPr>
        <w:t xml:space="preserve">. CD-5). </w:t>
      </w:r>
    </w:p>
    <w:p w14:paraId="4177AE85" w14:textId="77777777" w:rsidR="000674BF" w:rsidRPr="00476D36" w:rsidRDefault="000674BF" w:rsidP="000674BF">
      <w:pPr>
        <w:spacing w:line="360" w:lineRule="auto"/>
        <w:rPr>
          <w:color w:val="000000"/>
          <w:sz w:val="26"/>
          <w:szCs w:val="26"/>
        </w:rPr>
      </w:pPr>
    </w:p>
    <w:p w14:paraId="276F014E" w14:textId="77777777" w:rsidR="000674BF" w:rsidRPr="00476D36" w:rsidRDefault="000674BF" w:rsidP="000674BF">
      <w:pPr>
        <w:spacing w:line="360" w:lineRule="auto"/>
        <w:ind w:firstLine="1440"/>
        <w:rPr>
          <w:sz w:val="26"/>
          <w:szCs w:val="26"/>
        </w:rPr>
      </w:pPr>
      <w:r w:rsidRPr="00476D36">
        <w:rPr>
          <w:color w:val="000000"/>
          <w:sz w:val="26"/>
          <w:szCs w:val="26"/>
        </w:rPr>
        <w:t xml:space="preserve">In comparing the RF exposure at the service property with the minimal RF exposure from the AMI meter, the ALJ determined that she was not persuaded to conclude the AMI meter will cause a deleterious health effect to Ms. Schutz.  According to the ALJ, </w:t>
      </w:r>
      <w:r w:rsidR="009266FC" w:rsidRPr="00476D36">
        <w:rPr>
          <w:color w:val="000000"/>
          <w:sz w:val="26"/>
          <w:szCs w:val="26"/>
        </w:rPr>
        <w:t xml:space="preserve">rejecting the Complainant’s health related claims is </w:t>
      </w:r>
      <w:r w:rsidRPr="00476D36">
        <w:rPr>
          <w:color w:val="000000"/>
          <w:sz w:val="26"/>
          <w:szCs w:val="26"/>
        </w:rPr>
        <w:t>consistent with recent Commission precedent.  I.D. at 17.</w:t>
      </w:r>
    </w:p>
    <w:p w14:paraId="6891D0C5" w14:textId="77777777" w:rsidR="00E561DE" w:rsidRPr="00476D36" w:rsidRDefault="00E561DE" w:rsidP="000674BF">
      <w:pPr>
        <w:pStyle w:val="Default"/>
        <w:spacing w:line="360" w:lineRule="auto"/>
        <w:ind w:firstLine="1440"/>
        <w:rPr>
          <w:sz w:val="26"/>
          <w:szCs w:val="26"/>
        </w:rPr>
      </w:pPr>
    </w:p>
    <w:p w14:paraId="3D0301B0" w14:textId="41BE46B8" w:rsidR="00AE3B3A" w:rsidRPr="00476D36" w:rsidRDefault="00377F42" w:rsidP="00A3138F">
      <w:pPr>
        <w:widowControl/>
        <w:spacing w:line="360" w:lineRule="auto"/>
        <w:ind w:firstLine="1440"/>
        <w:textAlignment w:val="baseline"/>
        <w:rPr>
          <w:color w:val="000000"/>
          <w:sz w:val="26"/>
          <w:szCs w:val="26"/>
        </w:rPr>
      </w:pPr>
      <w:r w:rsidRPr="00476D36">
        <w:rPr>
          <w:sz w:val="26"/>
          <w:szCs w:val="26"/>
        </w:rPr>
        <w:lastRenderedPageBreak/>
        <w:t xml:space="preserve">Moving to the data privacy allegations, </w:t>
      </w:r>
      <w:r w:rsidR="008B1076" w:rsidRPr="00476D36">
        <w:rPr>
          <w:sz w:val="26"/>
          <w:szCs w:val="26"/>
        </w:rPr>
        <w:t xml:space="preserve">the ALJ summarized the Complainant’s argument that </w:t>
      </w:r>
      <w:r w:rsidR="00113871" w:rsidRPr="00476D36">
        <w:rPr>
          <w:sz w:val="26"/>
          <w:szCs w:val="26"/>
        </w:rPr>
        <w:t xml:space="preserve">PPL’s </w:t>
      </w:r>
      <w:r w:rsidR="00F53B20" w:rsidRPr="00476D36">
        <w:rPr>
          <w:sz w:val="26"/>
          <w:szCs w:val="26"/>
        </w:rPr>
        <w:t>installation of the meter constitutes</w:t>
      </w:r>
      <w:r w:rsidR="00113871" w:rsidRPr="00476D36">
        <w:rPr>
          <w:sz w:val="26"/>
          <w:szCs w:val="26"/>
        </w:rPr>
        <w:t xml:space="preserve"> unreasonable </w:t>
      </w:r>
      <w:r w:rsidR="00F53B20" w:rsidRPr="00476D36">
        <w:rPr>
          <w:sz w:val="26"/>
          <w:szCs w:val="26"/>
        </w:rPr>
        <w:t>service.</w:t>
      </w:r>
      <w:r w:rsidR="00860AA4" w:rsidRPr="00476D36">
        <w:rPr>
          <w:sz w:val="26"/>
          <w:szCs w:val="26"/>
        </w:rPr>
        <w:t xml:space="preserve">  </w:t>
      </w:r>
      <w:r w:rsidR="00AE3B3A" w:rsidRPr="00476D36">
        <w:rPr>
          <w:color w:val="000000"/>
          <w:sz w:val="26"/>
          <w:szCs w:val="26"/>
        </w:rPr>
        <w:t xml:space="preserve">According to Ms. Schutz, the AMI meter would invade her privacy because the meter is able to check how often she uses electricity and which appliances are being used.  The Complainant contended that mandatory installation of a smart meter violates her Fourth and Fourteenth Amendment Rights against unreasonable searches and seizures and cites as authority a U.S. Court of Appeals decision for the </w:t>
      </w:r>
      <w:r w:rsidR="008B1AC5" w:rsidRPr="00476D36">
        <w:rPr>
          <w:color w:val="000000"/>
          <w:sz w:val="26"/>
          <w:szCs w:val="26"/>
        </w:rPr>
        <w:t>Seventh</w:t>
      </w:r>
      <w:r w:rsidR="00AE3B3A" w:rsidRPr="00476D36">
        <w:rPr>
          <w:color w:val="000000"/>
          <w:sz w:val="26"/>
          <w:szCs w:val="26"/>
        </w:rPr>
        <w:t xml:space="preserve"> Circuit.  Ms. Schutz also asserted that PPL is violating 18 U.S.C. § 241 (Conspiracy Against Rights) and Chapter 119 (Wire and Electronic Communications Interception and Interception of Oral Communications).  I.D. at 17 (citing Tr. at 9-10, </w:t>
      </w:r>
      <w:r w:rsidR="00AE3B3A" w:rsidRPr="00476D36">
        <w:rPr>
          <w:i/>
          <w:color w:val="000000"/>
          <w:sz w:val="26"/>
          <w:szCs w:val="26"/>
        </w:rPr>
        <w:t>Naperville Smart Meter Awareness v. City of Naperville</w:t>
      </w:r>
      <w:r w:rsidR="00AE3B3A" w:rsidRPr="00476D36">
        <w:rPr>
          <w:color w:val="000000"/>
          <w:sz w:val="26"/>
          <w:szCs w:val="26"/>
        </w:rPr>
        <w:t>, 900 F.3d 521 (7th Cir. 2018) (</w:t>
      </w:r>
      <w:r w:rsidR="00AE3B3A" w:rsidRPr="00476D36">
        <w:rPr>
          <w:i/>
          <w:color w:val="000000"/>
          <w:sz w:val="26"/>
          <w:szCs w:val="26"/>
        </w:rPr>
        <w:t>Naperville</w:t>
      </w:r>
      <w:r w:rsidR="00AE3B3A" w:rsidRPr="00476D36">
        <w:rPr>
          <w:color w:val="000000"/>
          <w:sz w:val="26"/>
          <w:szCs w:val="26"/>
        </w:rPr>
        <w:t xml:space="preserve">), and Complainant </w:t>
      </w:r>
      <w:proofErr w:type="spellStart"/>
      <w:r w:rsidR="00AE3B3A" w:rsidRPr="00476D36">
        <w:rPr>
          <w:color w:val="000000"/>
          <w:sz w:val="26"/>
          <w:szCs w:val="26"/>
        </w:rPr>
        <w:t>Exhs</w:t>
      </w:r>
      <w:proofErr w:type="spellEnd"/>
      <w:r w:rsidR="00AE3B3A" w:rsidRPr="00476D36">
        <w:rPr>
          <w:color w:val="000000"/>
          <w:sz w:val="26"/>
          <w:szCs w:val="26"/>
        </w:rPr>
        <w:t>. C and F).</w:t>
      </w:r>
    </w:p>
    <w:p w14:paraId="37649AE6" w14:textId="77777777" w:rsidR="00AE3B3A" w:rsidRPr="00476D36" w:rsidRDefault="00AE3B3A" w:rsidP="00AE3B3A">
      <w:pPr>
        <w:spacing w:line="360" w:lineRule="auto"/>
        <w:ind w:firstLine="1440"/>
        <w:textAlignment w:val="baseline"/>
        <w:rPr>
          <w:color w:val="000000"/>
          <w:sz w:val="26"/>
          <w:szCs w:val="26"/>
        </w:rPr>
      </w:pPr>
    </w:p>
    <w:p w14:paraId="29973ADB" w14:textId="77777777" w:rsidR="00AE3B3A" w:rsidRPr="00476D36" w:rsidRDefault="00AE3B3A" w:rsidP="00AE3B3A">
      <w:pPr>
        <w:spacing w:line="360" w:lineRule="auto"/>
        <w:ind w:firstLine="1440"/>
        <w:textAlignment w:val="baseline"/>
        <w:rPr>
          <w:color w:val="000000"/>
          <w:sz w:val="26"/>
          <w:szCs w:val="26"/>
        </w:rPr>
      </w:pPr>
      <w:r w:rsidRPr="00476D36">
        <w:rPr>
          <w:color w:val="000000"/>
          <w:sz w:val="26"/>
          <w:szCs w:val="26"/>
        </w:rPr>
        <w:t xml:space="preserve">The ALJ </w:t>
      </w:r>
      <w:r w:rsidR="00AA7220" w:rsidRPr="00476D36">
        <w:rPr>
          <w:color w:val="000000"/>
          <w:sz w:val="26"/>
          <w:szCs w:val="26"/>
        </w:rPr>
        <w:t>noted</w:t>
      </w:r>
      <w:r w:rsidRPr="00476D36">
        <w:rPr>
          <w:color w:val="000000"/>
          <w:sz w:val="26"/>
          <w:szCs w:val="26"/>
        </w:rPr>
        <w:t xml:space="preserve"> PPL’s arguments denying that the installation of the meter would violate the Fourth or Fourteenth Amendments.  The Company proffered that, unlike the City of Naperville, PPL is not a state actor with regard to the installation of smart meters.  Even if PPL were a state actor, the Company contended that the </w:t>
      </w:r>
      <w:r w:rsidRPr="00476D36">
        <w:rPr>
          <w:i/>
          <w:color w:val="000000"/>
          <w:sz w:val="26"/>
          <w:szCs w:val="26"/>
        </w:rPr>
        <w:t xml:space="preserve">Naperville </w:t>
      </w:r>
      <w:r w:rsidRPr="00476D36">
        <w:rPr>
          <w:color w:val="000000"/>
          <w:sz w:val="26"/>
          <w:szCs w:val="26"/>
        </w:rPr>
        <w:t>decision establishes that the installation of the meter is compliant with the Fourth Amendment of the U.S. Constitution as it is a reasonable search. I.D. at 17-18 (citing Tr. at 42-43).</w:t>
      </w:r>
    </w:p>
    <w:p w14:paraId="29B99A1C" w14:textId="77777777" w:rsidR="006F7E78" w:rsidRPr="00476D36" w:rsidRDefault="006F7E78" w:rsidP="00AE3B3A">
      <w:pPr>
        <w:spacing w:line="360" w:lineRule="auto"/>
        <w:ind w:firstLine="1440"/>
        <w:textAlignment w:val="baseline"/>
        <w:rPr>
          <w:color w:val="000000"/>
          <w:sz w:val="26"/>
          <w:szCs w:val="26"/>
        </w:rPr>
      </w:pPr>
    </w:p>
    <w:p w14:paraId="5059E0A3" w14:textId="22E5DD44" w:rsidR="00537267" w:rsidRPr="00476D36" w:rsidRDefault="006F7E78" w:rsidP="00AA7220">
      <w:pPr>
        <w:widowControl/>
        <w:spacing w:line="360" w:lineRule="auto"/>
        <w:ind w:firstLine="1440"/>
        <w:contextualSpacing/>
        <w:rPr>
          <w:sz w:val="26"/>
          <w:szCs w:val="26"/>
        </w:rPr>
      </w:pPr>
      <w:r w:rsidRPr="00476D36">
        <w:rPr>
          <w:sz w:val="26"/>
          <w:szCs w:val="26"/>
        </w:rPr>
        <w:t xml:space="preserve">Upon review, the ALJ rejected the Complainant’s claims for unreasonable service based on violation of privacy posed by PPL’s installation of a smart meter.  Specifically, the ALJ concluded that the Complainant failed to carry the burden of proof to support the claim that smart meters pose concerns for violation of privacy.  </w:t>
      </w:r>
      <w:r w:rsidR="00537267" w:rsidRPr="00476D36">
        <w:rPr>
          <w:sz w:val="26"/>
          <w:szCs w:val="26"/>
        </w:rPr>
        <w:t xml:space="preserve">The ALJ rejected the Complainant’s arguments pertaining to the Seventh Circuit decision in </w:t>
      </w:r>
      <w:r w:rsidR="00537267" w:rsidRPr="00476D36">
        <w:rPr>
          <w:i/>
          <w:iCs/>
          <w:sz w:val="26"/>
          <w:szCs w:val="26"/>
        </w:rPr>
        <w:t>Naperville</w:t>
      </w:r>
      <w:r w:rsidR="00537267" w:rsidRPr="00476D36">
        <w:rPr>
          <w:sz w:val="26"/>
          <w:szCs w:val="26"/>
        </w:rPr>
        <w:t xml:space="preserve"> and the assertion that installation of a smart meter would violate the Complainant’s Fourth Amendment right to freedom from unlawful search and seizure</w:t>
      </w:r>
      <w:r w:rsidR="00537267" w:rsidRPr="00476D36">
        <w:rPr>
          <w:i/>
          <w:iCs/>
          <w:sz w:val="26"/>
          <w:szCs w:val="26"/>
        </w:rPr>
        <w:t xml:space="preserve">.  </w:t>
      </w:r>
      <w:r w:rsidR="00537267" w:rsidRPr="00476D36">
        <w:rPr>
          <w:sz w:val="26"/>
          <w:szCs w:val="26"/>
        </w:rPr>
        <w:t xml:space="preserve">The ALJ distinguished </w:t>
      </w:r>
      <w:r w:rsidR="00537267" w:rsidRPr="00476D36">
        <w:rPr>
          <w:i/>
          <w:iCs/>
          <w:sz w:val="26"/>
          <w:szCs w:val="26"/>
        </w:rPr>
        <w:t>Naperville</w:t>
      </w:r>
      <w:r w:rsidR="00537267" w:rsidRPr="00476D36">
        <w:rPr>
          <w:sz w:val="26"/>
          <w:szCs w:val="26"/>
        </w:rPr>
        <w:t xml:space="preserve"> and relevant United States Supreme Court precedent, </w:t>
      </w:r>
      <w:r w:rsidR="00537267" w:rsidRPr="00476D36">
        <w:rPr>
          <w:sz w:val="26"/>
          <w:szCs w:val="26"/>
        </w:rPr>
        <w:lastRenderedPageBreak/>
        <w:t xml:space="preserve">which recognized a distinction between a utility and a “state actor” for purposes of Fourth Amendment rights, and between a legitimate administrative purpose for gathering data </w:t>
      </w:r>
      <w:r w:rsidR="00537267" w:rsidRPr="00476D36">
        <w:rPr>
          <w:i/>
          <w:iCs/>
          <w:sz w:val="26"/>
          <w:szCs w:val="26"/>
        </w:rPr>
        <w:t>via</w:t>
      </w:r>
      <w:r w:rsidR="00537267" w:rsidRPr="00476D36">
        <w:rPr>
          <w:sz w:val="26"/>
          <w:szCs w:val="26"/>
        </w:rPr>
        <w:t xml:space="preserve"> a smart meter, as opposed to a state actor’s “prosecutorial intent” in conducting a search.</w:t>
      </w:r>
      <w:r w:rsidR="00125BE8" w:rsidRPr="00476D36">
        <w:rPr>
          <w:sz w:val="26"/>
          <w:szCs w:val="26"/>
        </w:rPr>
        <w:t xml:space="preserve">  </w:t>
      </w:r>
      <w:r w:rsidR="00537267" w:rsidRPr="00476D36">
        <w:rPr>
          <w:sz w:val="26"/>
          <w:szCs w:val="26"/>
        </w:rPr>
        <w:t xml:space="preserve">I.D. at </w:t>
      </w:r>
      <w:r w:rsidR="002546FD" w:rsidRPr="00476D36">
        <w:rPr>
          <w:sz w:val="26"/>
          <w:szCs w:val="26"/>
        </w:rPr>
        <w:t>18-19 (citing, in part,</w:t>
      </w:r>
      <w:r w:rsidR="00537267" w:rsidRPr="00476D36">
        <w:rPr>
          <w:i/>
          <w:iCs/>
          <w:sz w:val="26"/>
          <w:szCs w:val="26"/>
        </w:rPr>
        <w:t xml:space="preserve"> Naperville</w:t>
      </w:r>
      <w:r w:rsidR="002546FD" w:rsidRPr="00476D36">
        <w:rPr>
          <w:i/>
          <w:iCs/>
          <w:sz w:val="26"/>
          <w:szCs w:val="26"/>
        </w:rPr>
        <w:t xml:space="preserve"> </w:t>
      </w:r>
      <w:r w:rsidR="002546FD" w:rsidRPr="00476D36">
        <w:rPr>
          <w:sz w:val="26"/>
          <w:szCs w:val="26"/>
        </w:rPr>
        <w:t xml:space="preserve">and </w:t>
      </w:r>
      <w:r w:rsidR="00537267" w:rsidRPr="00476D36">
        <w:rPr>
          <w:i/>
          <w:iCs/>
          <w:sz w:val="26"/>
          <w:szCs w:val="26"/>
        </w:rPr>
        <w:t xml:space="preserve">Jackson v. Metropolitan Edison Company, </w:t>
      </w:r>
      <w:r w:rsidR="00537267" w:rsidRPr="00476D36">
        <w:rPr>
          <w:sz w:val="26"/>
          <w:szCs w:val="26"/>
        </w:rPr>
        <w:t>419 U.S. 345 (1974)</w:t>
      </w:r>
      <w:r w:rsidR="002546FD" w:rsidRPr="00476D36">
        <w:rPr>
          <w:sz w:val="26"/>
          <w:szCs w:val="26"/>
        </w:rPr>
        <w:t>)</w:t>
      </w:r>
      <w:r w:rsidR="00537267" w:rsidRPr="00476D36">
        <w:rPr>
          <w:sz w:val="26"/>
          <w:szCs w:val="26"/>
        </w:rPr>
        <w:t xml:space="preserve">.  </w:t>
      </w:r>
    </w:p>
    <w:p w14:paraId="230BBD76" w14:textId="77777777" w:rsidR="00A358CC" w:rsidRPr="00476D36" w:rsidRDefault="00A358CC" w:rsidP="00AA7220">
      <w:pPr>
        <w:widowControl/>
        <w:spacing w:line="360" w:lineRule="auto"/>
        <w:ind w:firstLine="1440"/>
        <w:contextualSpacing/>
        <w:rPr>
          <w:sz w:val="26"/>
          <w:szCs w:val="26"/>
        </w:rPr>
      </w:pPr>
    </w:p>
    <w:p w14:paraId="14700F18" w14:textId="1ADB0CC6" w:rsidR="002546FD" w:rsidRPr="00476D36" w:rsidRDefault="002546FD" w:rsidP="002546FD">
      <w:pPr>
        <w:spacing w:line="360" w:lineRule="auto"/>
        <w:ind w:firstLine="1368"/>
        <w:textAlignment w:val="baseline"/>
        <w:rPr>
          <w:color w:val="000000"/>
          <w:sz w:val="26"/>
          <w:szCs w:val="26"/>
        </w:rPr>
      </w:pPr>
      <w:r w:rsidRPr="00476D36">
        <w:rPr>
          <w:color w:val="000000"/>
          <w:sz w:val="26"/>
          <w:szCs w:val="26"/>
        </w:rPr>
        <w:t>Additionally, the ALJ explained that the Commission lacks jurisdiction to find violations of the Crimes Code.  Regarding the allegations that PPL violated 18 U</w:t>
      </w:r>
      <w:r w:rsidR="00C520C1" w:rsidRPr="00476D36">
        <w:rPr>
          <w:color w:val="000000"/>
          <w:sz w:val="26"/>
          <w:szCs w:val="26"/>
        </w:rPr>
        <w:t>.</w:t>
      </w:r>
      <w:r w:rsidRPr="00476D36">
        <w:rPr>
          <w:color w:val="000000"/>
          <w:sz w:val="26"/>
          <w:szCs w:val="26"/>
        </w:rPr>
        <w:t>S</w:t>
      </w:r>
      <w:r w:rsidR="00C520C1" w:rsidRPr="00476D36">
        <w:rPr>
          <w:color w:val="000000"/>
          <w:sz w:val="26"/>
          <w:szCs w:val="26"/>
        </w:rPr>
        <w:t>.</w:t>
      </w:r>
      <w:r w:rsidRPr="00476D36">
        <w:rPr>
          <w:color w:val="000000"/>
          <w:sz w:val="26"/>
          <w:szCs w:val="26"/>
        </w:rPr>
        <w:t>C</w:t>
      </w:r>
      <w:r w:rsidR="00C520C1" w:rsidRPr="00476D36">
        <w:rPr>
          <w:color w:val="000000"/>
          <w:sz w:val="26"/>
          <w:szCs w:val="26"/>
        </w:rPr>
        <w:t>.</w:t>
      </w:r>
      <w:r w:rsidRPr="00476D36">
        <w:rPr>
          <w:color w:val="000000"/>
          <w:sz w:val="26"/>
          <w:szCs w:val="26"/>
        </w:rPr>
        <w:t xml:space="preserve"> Section 241 (Conspiracy Against Rights) or Chapter 119 (Wire and Electronic Communications Interception and Interception of Oral Communications), from Title 18-Crimes and Criminal Procedure of the United States Code, the ALJ reasoned that the criminal division of a court of common pleas has jurisdiction to determine whether PPL or its officers or employees</w:t>
      </w:r>
      <w:r w:rsidR="00476D36" w:rsidRPr="00476D36">
        <w:rPr>
          <w:color w:val="000000"/>
          <w:sz w:val="26"/>
          <w:szCs w:val="26"/>
        </w:rPr>
        <w:t xml:space="preserve"> </w:t>
      </w:r>
      <w:r w:rsidR="00480970">
        <w:rPr>
          <w:color w:val="000000"/>
          <w:sz w:val="26"/>
          <w:szCs w:val="26"/>
        </w:rPr>
        <w:t>violated these statutes</w:t>
      </w:r>
      <w:r w:rsidRPr="00476D36">
        <w:rPr>
          <w:color w:val="000000"/>
          <w:sz w:val="26"/>
          <w:szCs w:val="26"/>
        </w:rPr>
        <w:t xml:space="preserve">.  Thus, the ALJ found in favor of PPL on this data privacy issue.  I.D. at 19 (citing Complainant </w:t>
      </w:r>
      <w:proofErr w:type="spellStart"/>
      <w:r w:rsidRPr="00476D36">
        <w:rPr>
          <w:color w:val="000000"/>
          <w:sz w:val="26"/>
          <w:szCs w:val="26"/>
        </w:rPr>
        <w:t>Exhs</w:t>
      </w:r>
      <w:proofErr w:type="spellEnd"/>
      <w:r w:rsidRPr="00476D36">
        <w:rPr>
          <w:color w:val="000000"/>
          <w:sz w:val="26"/>
          <w:szCs w:val="26"/>
        </w:rPr>
        <w:t xml:space="preserve">. C and F).  </w:t>
      </w:r>
    </w:p>
    <w:p w14:paraId="29FFBA2D" w14:textId="77777777" w:rsidR="002546FD" w:rsidRPr="00476D36" w:rsidRDefault="002546FD" w:rsidP="006F7E78">
      <w:pPr>
        <w:widowControl/>
        <w:spacing w:line="360" w:lineRule="auto"/>
        <w:ind w:firstLine="1440"/>
        <w:contextualSpacing/>
        <w:rPr>
          <w:sz w:val="26"/>
          <w:szCs w:val="26"/>
        </w:rPr>
      </w:pPr>
    </w:p>
    <w:p w14:paraId="52961B80" w14:textId="2BEDCB8D" w:rsidR="00D76BBF" w:rsidRPr="00476D36" w:rsidRDefault="00AA7220" w:rsidP="00AA7220">
      <w:pPr>
        <w:spacing w:line="360" w:lineRule="auto"/>
        <w:ind w:firstLine="1368"/>
        <w:textAlignment w:val="baseline"/>
        <w:rPr>
          <w:color w:val="000000"/>
          <w:sz w:val="26"/>
          <w:szCs w:val="26"/>
        </w:rPr>
      </w:pPr>
      <w:r w:rsidRPr="00476D36">
        <w:rPr>
          <w:sz w:val="26"/>
          <w:szCs w:val="26"/>
        </w:rPr>
        <w:t xml:space="preserve">As a final matter, the ALJ discussed the Company’s </w:t>
      </w:r>
      <w:r w:rsidR="00D76BBF" w:rsidRPr="00476D36">
        <w:rPr>
          <w:color w:val="000000"/>
          <w:sz w:val="26"/>
          <w:szCs w:val="26"/>
        </w:rPr>
        <w:t>AMI Customer Privacy Policy, which sets forth the data PPL will collect through the new smart meter, the steps the Company will take to protect the data, and the ways in which PPL will use the data</w:t>
      </w:r>
      <w:r w:rsidRPr="00476D36">
        <w:rPr>
          <w:color w:val="000000"/>
          <w:sz w:val="26"/>
          <w:szCs w:val="26"/>
        </w:rPr>
        <w:t xml:space="preserve">. </w:t>
      </w:r>
      <w:r w:rsidR="00D76BBF" w:rsidRPr="00476D36">
        <w:rPr>
          <w:color w:val="000000"/>
          <w:sz w:val="26"/>
          <w:szCs w:val="26"/>
        </w:rPr>
        <w:t xml:space="preserve">I.D. at 19 (citing </w:t>
      </w:r>
      <w:r w:rsidRPr="00476D36">
        <w:rPr>
          <w:color w:val="000000"/>
          <w:sz w:val="26"/>
          <w:szCs w:val="26"/>
        </w:rPr>
        <w:t xml:space="preserve">PPL </w:t>
      </w:r>
      <w:proofErr w:type="spellStart"/>
      <w:r w:rsidRPr="00476D36">
        <w:rPr>
          <w:color w:val="000000"/>
          <w:sz w:val="26"/>
          <w:szCs w:val="26"/>
        </w:rPr>
        <w:t>Exh</w:t>
      </w:r>
      <w:proofErr w:type="spellEnd"/>
      <w:r w:rsidR="00D76BBF" w:rsidRPr="00476D36">
        <w:rPr>
          <w:color w:val="000000"/>
          <w:sz w:val="26"/>
          <w:szCs w:val="26"/>
        </w:rPr>
        <w:t>.</w:t>
      </w:r>
      <w:r w:rsidRPr="00476D36">
        <w:rPr>
          <w:color w:val="000000"/>
          <w:sz w:val="26"/>
          <w:szCs w:val="26"/>
        </w:rPr>
        <w:t xml:space="preserve"> DV-1</w:t>
      </w:r>
      <w:r w:rsidR="00D76BBF" w:rsidRPr="00476D36">
        <w:rPr>
          <w:color w:val="000000"/>
          <w:sz w:val="26"/>
          <w:szCs w:val="26"/>
        </w:rPr>
        <w:t>)</w:t>
      </w:r>
      <w:r w:rsidRPr="00476D36">
        <w:rPr>
          <w:color w:val="000000"/>
          <w:sz w:val="26"/>
          <w:szCs w:val="26"/>
        </w:rPr>
        <w:t xml:space="preserve">. </w:t>
      </w:r>
      <w:r w:rsidR="00D76BBF" w:rsidRPr="00476D36">
        <w:rPr>
          <w:color w:val="000000"/>
          <w:sz w:val="26"/>
          <w:szCs w:val="26"/>
        </w:rPr>
        <w:t xml:space="preserve"> The ALJ highlighted </w:t>
      </w:r>
      <w:r w:rsidRPr="00476D36">
        <w:rPr>
          <w:color w:val="000000"/>
          <w:sz w:val="26"/>
          <w:szCs w:val="26"/>
        </w:rPr>
        <w:t>PPL</w:t>
      </w:r>
      <w:r w:rsidR="00D76BBF" w:rsidRPr="00476D36">
        <w:rPr>
          <w:color w:val="000000"/>
          <w:sz w:val="26"/>
          <w:szCs w:val="26"/>
        </w:rPr>
        <w:t>’s</w:t>
      </w:r>
      <w:r w:rsidRPr="00476D36">
        <w:rPr>
          <w:color w:val="000000"/>
          <w:sz w:val="26"/>
          <w:szCs w:val="26"/>
        </w:rPr>
        <w:t xml:space="preserve"> use</w:t>
      </w:r>
      <w:r w:rsidR="00D76BBF" w:rsidRPr="00476D36">
        <w:rPr>
          <w:color w:val="000000"/>
          <w:sz w:val="26"/>
          <w:szCs w:val="26"/>
        </w:rPr>
        <w:t xml:space="preserve"> of</w:t>
      </w:r>
      <w:r w:rsidRPr="00476D36">
        <w:rPr>
          <w:color w:val="000000"/>
          <w:sz w:val="26"/>
          <w:szCs w:val="26"/>
        </w:rPr>
        <w:t xml:space="preserve"> firewalls to prevent anyone from obtaining unauthorized access to the AMI network</w:t>
      </w:r>
      <w:r w:rsidR="00D76BBF" w:rsidRPr="00476D36">
        <w:rPr>
          <w:color w:val="000000"/>
          <w:sz w:val="26"/>
          <w:szCs w:val="26"/>
        </w:rPr>
        <w:t xml:space="preserve"> and how customer data is encrypted to make the data readable to only PPL personnel who can decode the encryption</w:t>
      </w:r>
      <w:r w:rsidRPr="00476D36">
        <w:rPr>
          <w:color w:val="000000"/>
          <w:sz w:val="26"/>
          <w:szCs w:val="26"/>
        </w:rPr>
        <w:t xml:space="preserve">. </w:t>
      </w:r>
      <w:r w:rsidR="00D76BBF" w:rsidRPr="00476D36">
        <w:rPr>
          <w:color w:val="000000"/>
          <w:sz w:val="26"/>
          <w:szCs w:val="26"/>
        </w:rPr>
        <w:t xml:space="preserve"> I.D. at 19-20 (citing </w:t>
      </w:r>
      <w:r w:rsidRPr="00476D36">
        <w:rPr>
          <w:color w:val="000000"/>
          <w:sz w:val="26"/>
          <w:szCs w:val="26"/>
        </w:rPr>
        <w:t xml:space="preserve">PPL </w:t>
      </w:r>
      <w:r w:rsidR="00D76BBF" w:rsidRPr="00476D36">
        <w:rPr>
          <w:color w:val="000000"/>
          <w:sz w:val="26"/>
          <w:szCs w:val="26"/>
        </w:rPr>
        <w:t>St.</w:t>
      </w:r>
      <w:r w:rsidRPr="00476D36">
        <w:rPr>
          <w:color w:val="000000"/>
          <w:sz w:val="26"/>
          <w:szCs w:val="26"/>
        </w:rPr>
        <w:t xml:space="preserve"> 4 at 6-8</w:t>
      </w:r>
      <w:r w:rsidR="00D76BBF" w:rsidRPr="00476D36">
        <w:rPr>
          <w:color w:val="000000"/>
          <w:sz w:val="26"/>
          <w:szCs w:val="26"/>
        </w:rPr>
        <w:t>)</w:t>
      </w:r>
      <w:r w:rsidRPr="00476D36">
        <w:rPr>
          <w:color w:val="000000"/>
          <w:sz w:val="26"/>
          <w:szCs w:val="26"/>
        </w:rPr>
        <w:t xml:space="preserve">. </w:t>
      </w:r>
      <w:r w:rsidR="00D76BBF" w:rsidRPr="00476D36">
        <w:rPr>
          <w:color w:val="000000"/>
          <w:sz w:val="26"/>
          <w:szCs w:val="26"/>
        </w:rPr>
        <w:t xml:space="preserve"> Moreover, the ALJ noted </w:t>
      </w:r>
      <w:r w:rsidRPr="00476D36">
        <w:rPr>
          <w:color w:val="000000"/>
          <w:sz w:val="26"/>
          <w:szCs w:val="26"/>
        </w:rPr>
        <w:t xml:space="preserve">PPL’s </w:t>
      </w:r>
      <w:r w:rsidR="00D76BBF" w:rsidRPr="00476D36">
        <w:rPr>
          <w:color w:val="000000"/>
          <w:sz w:val="26"/>
          <w:szCs w:val="26"/>
        </w:rPr>
        <w:t xml:space="preserve">testimony that its </w:t>
      </w:r>
      <w:r w:rsidRPr="00476D36">
        <w:rPr>
          <w:color w:val="000000"/>
          <w:sz w:val="26"/>
          <w:szCs w:val="26"/>
        </w:rPr>
        <w:t xml:space="preserve">cybersecurity and data privacy policies are consistent with the national standards for the industry. </w:t>
      </w:r>
      <w:r w:rsidR="00D76BBF" w:rsidRPr="00476D36">
        <w:rPr>
          <w:color w:val="000000"/>
          <w:sz w:val="26"/>
          <w:szCs w:val="26"/>
        </w:rPr>
        <w:t xml:space="preserve"> </w:t>
      </w:r>
      <w:r w:rsidR="00D76BBF" w:rsidRPr="00476D36">
        <w:rPr>
          <w:i/>
          <w:iCs/>
          <w:color w:val="000000"/>
          <w:sz w:val="26"/>
          <w:szCs w:val="26"/>
        </w:rPr>
        <w:t>Id</w:t>
      </w:r>
      <w:r w:rsidR="00D76BBF" w:rsidRPr="00476D36">
        <w:rPr>
          <w:color w:val="000000"/>
          <w:sz w:val="26"/>
          <w:szCs w:val="26"/>
        </w:rPr>
        <w:t xml:space="preserve">. at 20 (citing </w:t>
      </w:r>
      <w:r w:rsidRPr="00476D36">
        <w:rPr>
          <w:color w:val="000000"/>
          <w:sz w:val="26"/>
          <w:szCs w:val="26"/>
        </w:rPr>
        <w:t xml:space="preserve">PPL </w:t>
      </w:r>
      <w:r w:rsidR="00D76BBF" w:rsidRPr="00476D36">
        <w:rPr>
          <w:color w:val="000000"/>
          <w:sz w:val="26"/>
          <w:szCs w:val="26"/>
        </w:rPr>
        <w:t>St</w:t>
      </w:r>
      <w:r w:rsidRPr="00476D36">
        <w:rPr>
          <w:color w:val="000000"/>
          <w:sz w:val="26"/>
          <w:szCs w:val="26"/>
        </w:rPr>
        <w:t>. 4 at 8</w:t>
      </w:r>
      <w:r w:rsidR="00D76BBF" w:rsidRPr="00476D36">
        <w:rPr>
          <w:color w:val="000000"/>
          <w:sz w:val="26"/>
          <w:szCs w:val="26"/>
        </w:rPr>
        <w:t>)</w:t>
      </w:r>
      <w:r w:rsidRPr="00476D36">
        <w:rPr>
          <w:color w:val="000000"/>
          <w:sz w:val="26"/>
          <w:szCs w:val="26"/>
        </w:rPr>
        <w:t xml:space="preserve">. </w:t>
      </w:r>
      <w:r w:rsidR="00D76BBF" w:rsidRPr="00476D36">
        <w:rPr>
          <w:color w:val="000000"/>
          <w:sz w:val="26"/>
          <w:szCs w:val="26"/>
        </w:rPr>
        <w:t xml:space="preserve"> </w:t>
      </w:r>
    </w:p>
    <w:p w14:paraId="63A9DE75" w14:textId="77777777" w:rsidR="00D76BBF" w:rsidRPr="00476D36" w:rsidRDefault="00D76BBF" w:rsidP="00AA7220">
      <w:pPr>
        <w:spacing w:line="360" w:lineRule="auto"/>
        <w:ind w:firstLine="1368"/>
        <w:textAlignment w:val="baseline"/>
        <w:rPr>
          <w:color w:val="000000"/>
          <w:sz w:val="26"/>
          <w:szCs w:val="26"/>
        </w:rPr>
      </w:pPr>
    </w:p>
    <w:p w14:paraId="06C809FF" w14:textId="77777777" w:rsidR="00AA7220" w:rsidRPr="00476D36" w:rsidRDefault="00D76BBF" w:rsidP="00AA7220">
      <w:pPr>
        <w:spacing w:line="360" w:lineRule="auto"/>
        <w:ind w:firstLine="1368"/>
        <w:textAlignment w:val="baseline"/>
        <w:rPr>
          <w:color w:val="000000"/>
          <w:sz w:val="26"/>
          <w:szCs w:val="26"/>
        </w:rPr>
      </w:pPr>
      <w:r w:rsidRPr="00476D36">
        <w:rPr>
          <w:color w:val="000000"/>
          <w:sz w:val="26"/>
          <w:szCs w:val="26"/>
        </w:rPr>
        <w:t xml:space="preserve">According to the ALJ, </w:t>
      </w:r>
      <w:r w:rsidR="00AA7220" w:rsidRPr="00476D36">
        <w:rPr>
          <w:color w:val="000000"/>
          <w:sz w:val="26"/>
          <w:szCs w:val="26"/>
        </w:rPr>
        <w:t xml:space="preserve">if </w:t>
      </w:r>
      <w:r w:rsidRPr="00476D36">
        <w:rPr>
          <w:color w:val="000000"/>
          <w:sz w:val="26"/>
          <w:szCs w:val="26"/>
        </w:rPr>
        <w:t xml:space="preserve">the </w:t>
      </w:r>
      <w:r w:rsidR="00AA7220" w:rsidRPr="00476D36">
        <w:rPr>
          <w:color w:val="000000"/>
          <w:sz w:val="26"/>
          <w:szCs w:val="26"/>
        </w:rPr>
        <w:t xml:space="preserve">Complainant is concerned about the AMI meter’s connection to smart appliances in her home, she can decline to have the ZigBee radio activated. </w:t>
      </w:r>
      <w:r w:rsidR="00FA6DBA" w:rsidRPr="00476D36">
        <w:rPr>
          <w:color w:val="000000"/>
          <w:sz w:val="26"/>
          <w:szCs w:val="26"/>
        </w:rPr>
        <w:t xml:space="preserve"> I.D. at 20 (citing </w:t>
      </w:r>
      <w:proofErr w:type="spellStart"/>
      <w:r w:rsidRPr="00476D36">
        <w:rPr>
          <w:i/>
          <w:color w:val="000000"/>
          <w:sz w:val="26"/>
          <w:szCs w:val="26"/>
        </w:rPr>
        <w:t>Lesniewski</w:t>
      </w:r>
      <w:proofErr w:type="spellEnd"/>
      <w:r w:rsidRPr="00476D36">
        <w:rPr>
          <w:i/>
          <w:color w:val="000000"/>
          <w:sz w:val="26"/>
          <w:szCs w:val="26"/>
        </w:rPr>
        <w:t xml:space="preserve"> v. PPL Electric Utilities Corporation</w:t>
      </w:r>
      <w:r w:rsidRPr="00476D36">
        <w:rPr>
          <w:color w:val="000000"/>
          <w:sz w:val="26"/>
          <w:szCs w:val="26"/>
        </w:rPr>
        <w:t xml:space="preserve">, </w:t>
      </w:r>
      <w:r w:rsidR="00FA6DBA" w:rsidRPr="00476D36">
        <w:rPr>
          <w:color w:val="000000"/>
          <w:sz w:val="26"/>
          <w:szCs w:val="26"/>
        </w:rPr>
        <w:t xml:space="preserve">Docket No. </w:t>
      </w:r>
      <w:r w:rsidRPr="00476D36">
        <w:rPr>
          <w:color w:val="000000"/>
          <w:sz w:val="26"/>
          <w:szCs w:val="26"/>
        </w:rPr>
        <w:t>C-2018-3004594 (Final Order entered April 29, 2019</w:t>
      </w:r>
      <w:r w:rsidRPr="00476D36">
        <w:rPr>
          <w:color w:val="000000"/>
          <w:sz w:val="24"/>
        </w:rPr>
        <w:t>)</w:t>
      </w:r>
      <w:r w:rsidR="00FA6DBA" w:rsidRPr="00476D36">
        <w:rPr>
          <w:color w:val="000000"/>
          <w:sz w:val="24"/>
        </w:rPr>
        <w:t xml:space="preserve"> (</w:t>
      </w:r>
      <w:bookmarkStart w:id="5" w:name="_Hlk38880804"/>
      <w:proofErr w:type="spellStart"/>
      <w:r w:rsidR="00AA7220" w:rsidRPr="00476D36">
        <w:rPr>
          <w:i/>
          <w:color w:val="000000"/>
          <w:sz w:val="26"/>
          <w:szCs w:val="26"/>
        </w:rPr>
        <w:t>Lesniewski</w:t>
      </w:r>
      <w:bookmarkEnd w:id="5"/>
      <w:proofErr w:type="spellEnd"/>
      <w:r w:rsidR="00FA6DBA" w:rsidRPr="00476D36">
        <w:rPr>
          <w:iCs/>
          <w:color w:val="000000"/>
          <w:sz w:val="26"/>
          <w:szCs w:val="26"/>
        </w:rPr>
        <w:t xml:space="preserve">)).  The </w:t>
      </w:r>
      <w:r w:rsidR="00FA6DBA" w:rsidRPr="00476D36">
        <w:rPr>
          <w:iCs/>
          <w:color w:val="000000"/>
          <w:sz w:val="26"/>
          <w:szCs w:val="26"/>
        </w:rPr>
        <w:lastRenderedPageBreak/>
        <w:t xml:space="preserve">ALJ explained that in </w:t>
      </w:r>
      <w:proofErr w:type="spellStart"/>
      <w:r w:rsidR="00FA6DBA" w:rsidRPr="00476D36">
        <w:rPr>
          <w:i/>
          <w:color w:val="000000"/>
          <w:sz w:val="26"/>
          <w:szCs w:val="26"/>
        </w:rPr>
        <w:t>Lesniewski</w:t>
      </w:r>
      <w:proofErr w:type="spellEnd"/>
      <w:r w:rsidR="00FA6DBA" w:rsidRPr="00476D36">
        <w:rPr>
          <w:iCs/>
          <w:color w:val="000000"/>
          <w:sz w:val="26"/>
          <w:szCs w:val="26"/>
        </w:rPr>
        <w:t xml:space="preserve"> </w:t>
      </w:r>
      <w:r w:rsidR="00AA7220" w:rsidRPr="00476D36">
        <w:rPr>
          <w:color w:val="000000"/>
          <w:sz w:val="26"/>
          <w:szCs w:val="26"/>
        </w:rPr>
        <w:t>the Commission found in favor of PPL regarding the same data privacy issue</w:t>
      </w:r>
      <w:r w:rsidR="00FA6DBA" w:rsidRPr="00476D36">
        <w:rPr>
          <w:color w:val="000000"/>
          <w:sz w:val="26"/>
          <w:szCs w:val="26"/>
        </w:rPr>
        <w:t xml:space="preserve"> and held that the complainant </w:t>
      </w:r>
      <w:r w:rsidR="00AA7220" w:rsidRPr="00476D36">
        <w:rPr>
          <w:color w:val="000000"/>
          <w:sz w:val="26"/>
          <w:szCs w:val="26"/>
        </w:rPr>
        <w:t>had an option to decline activation of the ZigBee radio device located within the AMI meter.</w:t>
      </w:r>
      <w:r w:rsidR="00FA6DBA" w:rsidRPr="00476D36">
        <w:rPr>
          <w:color w:val="000000"/>
          <w:sz w:val="26"/>
          <w:szCs w:val="26"/>
        </w:rPr>
        <w:t xml:space="preserve">  </w:t>
      </w:r>
      <w:r w:rsidR="004F1ECF" w:rsidRPr="00476D36">
        <w:rPr>
          <w:color w:val="000000"/>
          <w:sz w:val="26"/>
          <w:szCs w:val="26"/>
        </w:rPr>
        <w:t xml:space="preserve">Accordingly, the ALJ found in favor of PPL on the privacy issue.  </w:t>
      </w:r>
      <w:r w:rsidR="00FA6DBA" w:rsidRPr="00476D36">
        <w:rPr>
          <w:i/>
          <w:iCs/>
          <w:color w:val="000000"/>
          <w:sz w:val="26"/>
          <w:szCs w:val="26"/>
        </w:rPr>
        <w:t>Id.</w:t>
      </w:r>
      <w:r w:rsidR="00FA6DBA" w:rsidRPr="00476D36">
        <w:rPr>
          <w:color w:val="000000"/>
          <w:sz w:val="26"/>
          <w:szCs w:val="26"/>
        </w:rPr>
        <w:t xml:space="preserve"> </w:t>
      </w:r>
    </w:p>
    <w:p w14:paraId="433426CC" w14:textId="77777777" w:rsidR="00A358CC" w:rsidRPr="00476D36" w:rsidRDefault="00A358CC" w:rsidP="00A3138F">
      <w:pPr>
        <w:spacing w:line="360" w:lineRule="auto"/>
        <w:textAlignment w:val="baseline"/>
        <w:rPr>
          <w:sz w:val="26"/>
          <w:szCs w:val="26"/>
        </w:rPr>
      </w:pPr>
    </w:p>
    <w:p w14:paraId="42C12B90" w14:textId="77777777" w:rsidR="0099550A" w:rsidRPr="00476D36" w:rsidRDefault="001B0C5E" w:rsidP="00D704F2">
      <w:pPr>
        <w:keepNext/>
        <w:keepLines/>
        <w:widowControl/>
        <w:spacing w:line="360" w:lineRule="auto"/>
        <w:contextualSpacing/>
        <w:rPr>
          <w:b/>
          <w:sz w:val="26"/>
          <w:szCs w:val="26"/>
        </w:rPr>
      </w:pPr>
      <w:r w:rsidRPr="00476D36">
        <w:rPr>
          <w:b/>
          <w:sz w:val="26"/>
          <w:szCs w:val="26"/>
        </w:rPr>
        <w:t>Exceptions</w:t>
      </w:r>
      <w:r w:rsidR="004D4E2F" w:rsidRPr="00476D36">
        <w:rPr>
          <w:b/>
          <w:sz w:val="26"/>
          <w:szCs w:val="26"/>
        </w:rPr>
        <w:t xml:space="preserve">, </w:t>
      </w:r>
      <w:r w:rsidR="00843F7A" w:rsidRPr="00476D36">
        <w:rPr>
          <w:b/>
          <w:sz w:val="26"/>
          <w:szCs w:val="26"/>
        </w:rPr>
        <w:t>Repl</w:t>
      </w:r>
      <w:r w:rsidR="00456195" w:rsidRPr="00476D36">
        <w:rPr>
          <w:b/>
          <w:sz w:val="26"/>
          <w:szCs w:val="26"/>
        </w:rPr>
        <w:t>ies</w:t>
      </w:r>
      <w:r w:rsidRPr="00476D36">
        <w:rPr>
          <w:b/>
          <w:sz w:val="26"/>
          <w:szCs w:val="26"/>
        </w:rPr>
        <w:t xml:space="preserve"> </w:t>
      </w:r>
      <w:r w:rsidR="004D4E2F" w:rsidRPr="00476D36">
        <w:rPr>
          <w:b/>
          <w:sz w:val="26"/>
          <w:szCs w:val="26"/>
        </w:rPr>
        <w:t>and Disposition</w:t>
      </w:r>
    </w:p>
    <w:p w14:paraId="07B109C9" w14:textId="77777777" w:rsidR="0099550A" w:rsidRPr="00476D36" w:rsidRDefault="0099550A" w:rsidP="00A3138F">
      <w:pPr>
        <w:keepNext/>
        <w:keepLines/>
        <w:widowControl/>
        <w:spacing w:line="360" w:lineRule="auto"/>
        <w:contextualSpacing/>
        <w:rPr>
          <w:b/>
          <w:sz w:val="26"/>
          <w:szCs w:val="26"/>
        </w:rPr>
      </w:pPr>
    </w:p>
    <w:p w14:paraId="2DD108A9" w14:textId="614040FC" w:rsidR="00480593" w:rsidRPr="00476D36" w:rsidRDefault="001F3291" w:rsidP="000D7003">
      <w:pPr>
        <w:keepNext/>
        <w:keepLines/>
        <w:widowControl/>
        <w:spacing w:line="360" w:lineRule="auto"/>
        <w:contextualSpacing/>
        <w:rPr>
          <w:sz w:val="26"/>
          <w:szCs w:val="26"/>
        </w:rPr>
      </w:pPr>
      <w:r w:rsidRPr="00476D36">
        <w:rPr>
          <w:sz w:val="26"/>
          <w:szCs w:val="26"/>
        </w:rPr>
        <w:tab/>
      </w:r>
      <w:r w:rsidRPr="00476D36">
        <w:rPr>
          <w:sz w:val="26"/>
          <w:szCs w:val="26"/>
        </w:rPr>
        <w:tab/>
      </w:r>
      <w:r w:rsidR="005614CA" w:rsidRPr="00476D36">
        <w:rPr>
          <w:sz w:val="26"/>
          <w:szCs w:val="26"/>
        </w:rPr>
        <w:t>The Complainant raises three Exceptions to the Initial Decision</w:t>
      </w:r>
      <w:r w:rsidR="00C2080C" w:rsidRPr="00476D36">
        <w:rPr>
          <w:sz w:val="26"/>
          <w:szCs w:val="26"/>
        </w:rPr>
        <w:t>, arguing</w:t>
      </w:r>
      <w:r w:rsidR="00B9053B" w:rsidRPr="00476D36">
        <w:rPr>
          <w:sz w:val="26"/>
          <w:szCs w:val="26"/>
        </w:rPr>
        <w:t>:</w:t>
      </w:r>
      <w:r w:rsidR="00C2080C" w:rsidRPr="00476D36">
        <w:rPr>
          <w:sz w:val="26"/>
          <w:szCs w:val="26"/>
        </w:rPr>
        <w:t xml:space="preserve"> (1) that she met her burden of proof regarding the dangers of the AMI meter; (2) </w:t>
      </w:r>
      <w:r w:rsidR="00480593" w:rsidRPr="00476D36">
        <w:rPr>
          <w:sz w:val="26"/>
          <w:szCs w:val="26"/>
        </w:rPr>
        <w:t>PPL’s witness allegedly committed perjury regarding the AMI meter; and (3) that she should be permitted to opt-out of installation because the proposed installation violates federal law</w:t>
      </w:r>
      <w:r w:rsidR="005614CA" w:rsidRPr="00476D36">
        <w:rPr>
          <w:sz w:val="26"/>
          <w:szCs w:val="26"/>
        </w:rPr>
        <w:t xml:space="preserve">.  </w:t>
      </w:r>
      <w:r w:rsidR="00CB17FC" w:rsidRPr="00476D36">
        <w:rPr>
          <w:sz w:val="26"/>
          <w:szCs w:val="26"/>
        </w:rPr>
        <w:t>Exc. at 3-6.</w:t>
      </w:r>
    </w:p>
    <w:p w14:paraId="47460E6A" w14:textId="77777777" w:rsidR="00480593" w:rsidRPr="00476D36" w:rsidRDefault="00480593" w:rsidP="00A3138F">
      <w:pPr>
        <w:keepNext/>
        <w:keepLines/>
        <w:widowControl/>
        <w:spacing w:line="360" w:lineRule="auto"/>
        <w:contextualSpacing/>
        <w:rPr>
          <w:sz w:val="26"/>
          <w:szCs w:val="26"/>
        </w:rPr>
      </w:pPr>
    </w:p>
    <w:p w14:paraId="65A3DC3C" w14:textId="77777777" w:rsidR="00E02A17" w:rsidRPr="00476D36" w:rsidRDefault="001F3291" w:rsidP="00480593">
      <w:pPr>
        <w:keepNext/>
        <w:keepLines/>
        <w:widowControl/>
        <w:spacing w:line="360" w:lineRule="auto"/>
        <w:ind w:firstLine="1440"/>
        <w:contextualSpacing/>
        <w:rPr>
          <w:sz w:val="26"/>
          <w:szCs w:val="26"/>
        </w:rPr>
      </w:pPr>
      <w:r w:rsidRPr="00476D36">
        <w:rPr>
          <w:sz w:val="26"/>
          <w:szCs w:val="26"/>
        </w:rPr>
        <w:t>In her first Exception, Ms. Schutz argues that the ALJ erred in finding there was no reliable scientific or medical basis to conclude that RF field exposure can cause or contribute to adverse health effects because the “National Institute of Environmental Health science completed this government study” showing “how 900 megahertz and 1900 are carcinogenic” and “the industry has no study” to support the safety of the 900 megahertz frequency.  Exc. at 3.</w:t>
      </w:r>
    </w:p>
    <w:p w14:paraId="5A44E0EE" w14:textId="357FE45C" w:rsidR="001F3291" w:rsidRPr="00476D36" w:rsidRDefault="001F3291" w:rsidP="000D7003">
      <w:pPr>
        <w:keepNext/>
        <w:keepLines/>
        <w:widowControl/>
        <w:spacing w:line="360" w:lineRule="auto"/>
        <w:contextualSpacing/>
        <w:rPr>
          <w:sz w:val="26"/>
          <w:szCs w:val="26"/>
        </w:rPr>
      </w:pPr>
    </w:p>
    <w:p w14:paraId="1F760353" w14:textId="77777777" w:rsidR="00C862EC" w:rsidRPr="00476D36" w:rsidRDefault="00E02A17" w:rsidP="004E4412">
      <w:pPr>
        <w:widowControl/>
        <w:spacing w:line="360" w:lineRule="auto"/>
        <w:contextualSpacing/>
        <w:rPr>
          <w:sz w:val="26"/>
          <w:szCs w:val="26"/>
        </w:rPr>
      </w:pPr>
      <w:r w:rsidRPr="00476D36">
        <w:rPr>
          <w:sz w:val="26"/>
          <w:szCs w:val="26"/>
        </w:rPr>
        <w:tab/>
      </w:r>
      <w:r w:rsidRPr="00476D36">
        <w:rPr>
          <w:sz w:val="26"/>
          <w:szCs w:val="26"/>
        </w:rPr>
        <w:tab/>
      </w:r>
      <w:r w:rsidR="00AA617A" w:rsidRPr="00476D36">
        <w:rPr>
          <w:sz w:val="26"/>
          <w:szCs w:val="26"/>
        </w:rPr>
        <w:t>In its Replies to Exceptions, P</w:t>
      </w:r>
      <w:r w:rsidR="00AC3AFA" w:rsidRPr="00476D36">
        <w:rPr>
          <w:sz w:val="26"/>
          <w:szCs w:val="26"/>
        </w:rPr>
        <w:t xml:space="preserve">PL asserts </w:t>
      </w:r>
      <w:r w:rsidR="00AA617A" w:rsidRPr="00476D36">
        <w:rPr>
          <w:sz w:val="26"/>
          <w:szCs w:val="26"/>
        </w:rPr>
        <w:t>that</w:t>
      </w:r>
      <w:r w:rsidR="008944A1" w:rsidRPr="00476D36">
        <w:rPr>
          <w:sz w:val="26"/>
          <w:szCs w:val="26"/>
        </w:rPr>
        <w:t xml:space="preserve"> the Complainant’s position is without merit</w:t>
      </w:r>
      <w:r w:rsidR="004E4412" w:rsidRPr="00476D36">
        <w:rPr>
          <w:sz w:val="26"/>
          <w:szCs w:val="26"/>
        </w:rPr>
        <w:t xml:space="preserve"> and that the ALJ properly concluded that there was no reliable scientific or medical basis to conclude that the AMI meter will cause or contribute to any adverse health effects.  In support, PPL cites to and </w:t>
      </w:r>
      <w:r w:rsidR="00042F28" w:rsidRPr="00476D36">
        <w:rPr>
          <w:sz w:val="26"/>
          <w:szCs w:val="26"/>
        </w:rPr>
        <w:t xml:space="preserve">recounts </w:t>
      </w:r>
      <w:r w:rsidR="00C862EC" w:rsidRPr="00476D36">
        <w:rPr>
          <w:sz w:val="26"/>
          <w:szCs w:val="26"/>
        </w:rPr>
        <w:t xml:space="preserve">the record evidence </w:t>
      </w:r>
      <w:r w:rsidR="00726525" w:rsidRPr="00476D36">
        <w:rPr>
          <w:sz w:val="26"/>
          <w:szCs w:val="26"/>
        </w:rPr>
        <w:t xml:space="preserve">it </w:t>
      </w:r>
      <w:r w:rsidR="00C862EC" w:rsidRPr="00476D36">
        <w:rPr>
          <w:sz w:val="26"/>
          <w:szCs w:val="26"/>
        </w:rPr>
        <w:t xml:space="preserve">presented </w:t>
      </w:r>
      <w:r w:rsidR="004E4412" w:rsidRPr="00476D36">
        <w:rPr>
          <w:sz w:val="26"/>
          <w:szCs w:val="26"/>
        </w:rPr>
        <w:t xml:space="preserve">through expert witness Dr. Davis.  </w:t>
      </w:r>
      <w:r w:rsidR="00042F28" w:rsidRPr="00476D36">
        <w:rPr>
          <w:sz w:val="26"/>
          <w:szCs w:val="26"/>
        </w:rPr>
        <w:t xml:space="preserve">R. Exc. </w:t>
      </w:r>
      <w:r w:rsidR="00993C2E" w:rsidRPr="00476D36">
        <w:rPr>
          <w:sz w:val="26"/>
          <w:szCs w:val="26"/>
        </w:rPr>
        <w:t xml:space="preserve">at </w:t>
      </w:r>
      <w:r w:rsidR="004E4412" w:rsidRPr="00476D36">
        <w:rPr>
          <w:sz w:val="26"/>
          <w:szCs w:val="26"/>
        </w:rPr>
        <w:t>2-3</w:t>
      </w:r>
      <w:r w:rsidR="008A1E24" w:rsidRPr="00476D36">
        <w:rPr>
          <w:sz w:val="26"/>
          <w:szCs w:val="26"/>
        </w:rPr>
        <w:t>.</w:t>
      </w:r>
    </w:p>
    <w:p w14:paraId="0D6A3A1B" w14:textId="77777777" w:rsidR="004E4412" w:rsidRPr="00476D36" w:rsidRDefault="004E4412" w:rsidP="004E4412">
      <w:pPr>
        <w:widowControl/>
        <w:spacing w:line="360" w:lineRule="auto"/>
        <w:contextualSpacing/>
        <w:rPr>
          <w:sz w:val="26"/>
          <w:szCs w:val="26"/>
        </w:rPr>
      </w:pPr>
    </w:p>
    <w:p w14:paraId="3F43E511" w14:textId="67663FAF" w:rsidR="004E4412" w:rsidRPr="00476D36" w:rsidRDefault="004E4412" w:rsidP="004E4412">
      <w:pPr>
        <w:widowControl/>
        <w:spacing w:line="360" w:lineRule="auto"/>
        <w:contextualSpacing/>
        <w:rPr>
          <w:sz w:val="26"/>
          <w:szCs w:val="26"/>
        </w:rPr>
      </w:pPr>
      <w:r w:rsidRPr="00476D36">
        <w:rPr>
          <w:sz w:val="26"/>
          <w:szCs w:val="26"/>
        </w:rPr>
        <w:tab/>
      </w:r>
      <w:r w:rsidRPr="00476D36">
        <w:rPr>
          <w:sz w:val="26"/>
          <w:szCs w:val="26"/>
        </w:rPr>
        <w:tab/>
        <w:t>In addition, the Company reference</w:t>
      </w:r>
      <w:r w:rsidR="00840271" w:rsidRPr="00476D36">
        <w:rPr>
          <w:sz w:val="26"/>
          <w:szCs w:val="26"/>
        </w:rPr>
        <w:t>s</w:t>
      </w:r>
      <w:r w:rsidRPr="00476D36">
        <w:rPr>
          <w:sz w:val="26"/>
          <w:szCs w:val="26"/>
        </w:rPr>
        <w:t xml:space="preserve"> the evidence presented by Dr. Israel, the only medical expert to present testimony in this case, pertaining to the evaluation of scientific research on RF fields and adverse health effects. </w:t>
      </w:r>
      <w:r w:rsidR="005F247E" w:rsidRPr="00476D36">
        <w:rPr>
          <w:sz w:val="26"/>
          <w:szCs w:val="26"/>
        </w:rPr>
        <w:t xml:space="preserve"> According to PPL, it has </w:t>
      </w:r>
      <w:r w:rsidR="005F247E" w:rsidRPr="00476D36">
        <w:rPr>
          <w:sz w:val="26"/>
          <w:szCs w:val="26"/>
        </w:rPr>
        <w:lastRenderedPageBreak/>
        <w:t>presented overwhelming evidence through scientific and medical expert witnesses to support the ALJ’s findings of there being no reliable basis to conclude that the new AMI will cause or contribute to any adverse health effects.  R. Exc. at 4-6.</w:t>
      </w:r>
    </w:p>
    <w:p w14:paraId="2AB78D0D" w14:textId="77777777" w:rsidR="005F247E" w:rsidRPr="00476D36" w:rsidRDefault="005F247E" w:rsidP="004E4412">
      <w:pPr>
        <w:widowControl/>
        <w:spacing w:line="360" w:lineRule="auto"/>
        <w:contextualSpacing/>
        <w:rPr>
          <w:sz w:val="26"/>
          <w:szCs w:val="26"/>
        </w:rPr>
      </w:pPr>
    </w:p>
    <w:p w14:paraId="5EAAF753" w14:textId="1AA8F5FD" w:rsidR="001D1D1F" w:rsidRPr="00476D36" w:rsidRDefault="005F247E" w:rsidP="001D1D1F">
      <w:pPr>
        <w:widowControl/>
        <w:spacing w:line="360" w:lineRule="auto"/>
        <w:contextualSpacing/>
        <w:rPr>
          <w:color w:val="000000"/>
          <w:sz w:val="26"/>
          <w:szCs w:val="26"/>
        </w:rPr>
      </w:pPr>
      <w:r w:rsidRPr="00476D36">
        <w:rPr>
          <w:sz w:val="26"/>
          <w:szCs w:val="26"/>
        </w:rPr>
        <w:tab/>
      </w:r>
      <w:r w:rsidRPr="00476D36">
        <w:rPr>
          <w:sz w:val="26"/>
          <w:szCs w:val="26"/>
        </w:rPr>
        <w:tab/>
      </w:r>
      <w:r w:rsidR="007C56F8" w:rsidRPr="00476D36">
        <w:rPr>
          <w:sz w:val="26"/>
          <w:szCs w:val="26"/>
        </w:rPr>
        <w:t xml:space="preserve">PPL argues that </w:t>
      </w:r>
      <w:r w:rsidR="00F54E3A" w:rsidRPr="00476D36">
        <w:rPr>
          <w:sz w:val="26"/>
          <w:szCs w:val="26"/>
        </w:rPr>
        <w:t xml:space="preserve">during the hearing </w:t>
      </w:r>
      <w:r w:rsidR="007C56F8" w:rsidRPr="00476D36">
        <w:rPr>
          <w:sz w:val="26"/>
          <w:szCs w:val="26"/>
        </w:rPr>
        <w:t>the Complainant presented unsupported lay opinion testimony that the new AMI meter would cause, contribute to, or exacerbate adverse health effects</w:t>
      </w:r>
      <w:r w:rsidR="001D1D1F" w:rsidRPr="00476D36">
        <w:rPr>
          <w:sz w:val="26"/>
          <w:szCs w:val="26"/>
        </w:rPr>
        <w:t>,</w:t>
      </w:r>
      <w:r w:rsidR="00F54E3A" w:rsidRPr="00476D36">
        <w:rPr>
          <w:sz w:val="26"/>
          <w:szCs w:val="26"/>
        </w:rPr>
        <w:t xml:space="preserve"> including testimony about Exhibit H </w:t>
      </w:r>
      <w:r w:rsidR="001D1D1F" w:rsidRPr="00476D36">
        <w:rPr>
          <w:sz w:val="26"/>
          <w:szCs w:val="26"/>
        </w:rPr>
        <w:t>–</w:t>
      </w:r>
      <w:r w:rsidR="00F54E3A" w:rsidRPr="00476D36">
        <w:rPr>
          <w:sz w:val="26"/>
          <w:szCs w:val="26"/>
        </w:rPr>
        <w:t xml:space="preserve"> the National Institute of Environmental Health Science document referenced in her Exceptions.</w:t>
      </w:r>
      <w:r w:rsidR="00860AA4" w:rsidRPr="00476D36">
        <w:rPr>
          <w:sz w:val="26"/>
          <w:szCs w:val="26"/>
        </w:rPr>
        <w:t xml:space="preserve">  </w:t>
      </w:r>
      <w:r w:rsidR="00F54E3A" w:rsidRPr="00476D36">
        <w:rPr>
          <w:sz w:val="26"/>
          <w:szCs w:val="26"/>
        </w:rPr>
        <w:t xml:space="preserve">The Company submits that the ALJ correctly rejected </w:t>
      </w:r>
      <w:r w:rsidR="001D1D1F" w:rsidRPr="00476D36">
        <w:rPr>
          <w:sz w:val="26"/>
          <w:szCs w:val="26"/>
        </w:rPr>
        <w:t>Ms. Schutz</w:t>
      </w:r>
      <w:r w:rsidR="00F54E3A" w:rsidRPr="00476D36">
        <w:rPr>
          <w:sz w:val="26"/>
          <w:szCs w:val="26"/>
        </w:rPr>
        <w:t>’s evidence on several bases</w:t>
      </w:r>
      <w:r w:rsidR="001D1D1F" w:rsidRPr="00476D36">
        <w:rPr>
          <w:sz w:val="26"/>
          <w:szCs w:val="26"/>
        </w:rPr>
        <w:t xml:space="preserve">, including the fact that she is neither a medical expert </w:t>
      </w:r>
      <w:r w:rsidR="001045A3" w:rsidRPr="00476D36">
        <w:rPr>
          <w:sz w:val="26"/>
          <w:szCs w:val="26"/>
        </w:rPr>
        <w:t>n</w:t>
      </w:r>
      <w:r w:rsidR="001D1D1F" w:rsidRPr="00476D36">
        <w:rPr>
          <w:sz w:val="26"/>
          <w:szCs w:val="26"/>
        </w:rPr>
        <w:t>or an engineer and that her opinions about the deleterious health effects of the AMI meter were refuted by expert witness Dr. Israel</w:t>
      </w:r>
      <w:r w:rsidR="00F54E3A" w:rsidRPr="00476D36">
        <w:rPr>
          <w:sz w:val="26"/>
          <w:szCs w:val="26"/>
        </w:rPr>
        <w:t xml:space="preserve">.  </w:t>
      </w:r>
      <w:r w:rsidR="001D1D1F" w:rsidRPr="00476D36">
        <w:rPr>
          <w:sz w:val="26"/>
          <w:szCs w:val="26"/>
        </w:rPr>
        <w:t>Additionally, the Company contends that the ALJ properly gave little or no weight to the Complainant’s exhibits, including Exhibit H</w:t>
      </w:r>
      <w:r w:rsidR="009341D6" w:rsidRPr="00476D36">
        <w:rPr>
          <w:sz w:val="26"/>
          <w:szCs w:val="26"/>
        </w:rPr>
        <w:t>,</w:t>
      </w:r>
      <w:r w:rsidR="001D1D1F" w:rsidRPr="00476D36">
        <w:rPr>
          <w:sz w:val="26"/>
          <w:szCs w:val="26"/>
        </w:rPr>
        <w:t xml:space="preserve"> noting PPL’s objection on the grounds of hearsay and that </w:t>
      </w:r>
      <w:r w:rsidR="001D1D1F" w:rsidRPr="00476D36">
        <w:rPr>
          <w:color w:val="000000"/>
          <w:sz w:val="26"/>
          <w:szCs w:val="26"/>
        </w:rPr>
        <w:t>“</w:t>
      </w:r>
      <w:r w:rsidR="00F54E3A" w:rsidRPr="00476D36">
        <w:rPr>
          <w:color w:val="000000"/>
          <w:sz w:val="26"/>
          <w:szCs w:val="26"/>
        </w:rPr>
        <w:t>[n]o corroborative medical evidence was proffered to support Complainant</w:t>
      </w:r>
      <w:r w:rsidR="001D1D1F" w:rsidRPr="00476D36">
        <w:rPr>
          <w:color w:val="000000"/>
          <w:sz w:val="26"/>
          <w:szCs w:val="26"/>
        </w:rPr>
        <w:t>’</w:t>
      </w:r>
      <w:r w:rsidR="00F54E3A" w:rsidRPr="00476D36">
        <w:rPr>
          <w:color w:val="000000"/>
          <w:sz w:val="26"/>
          <w:szCs w:val="26"/>
        </w:rPr>
        <w:t>s testimony.</w:t>
      </w:r>
      <w:r w:rsidR="001D1D1F" w:rsidRPr="00476D36">
        <w:rPr>
          <w:color w:val="000000"/>
          <w:sz w:val="26"/>
          <w:szCs w:val="26"/>
        </w:rPr>
        <w:t>”  R. Exc. at 6</w:t>
      </w:r>
      <w:r w:rsidR="00F54E3A" w:rsidRPr="00476D36">
        <w:rPr>
          <w:color w:val="000000"/>
          <w:sz w:val="26"/>
          <w:szCs w:val="26"/>
        </w:rPr>
        <w:t xml:space="preserve"> (</w:t>
      </w:r>
      <w:r w:rsidR="001D1D1F" w:rsidRPr="00476D36">
        <w:rPr>
          <w:color w:val="000000"/>
          <w:sz w:val="26"/>
          <w:szCs w:val="26"/>
        </w:rPr>
        <w:t>quoting I.D. at</w:t>
      </w:r>
      <w:r w:rsidR="00F54E3A" w:rsidRPr="00476D36">
        <w:rPr>
          <w:color w:val="000000"/>
          <w:sz w:val="26"/>
          <w:szCs w:val="26"/>
        </w:rPr>
        <w:t xml:space="preserve"> 13)</w:t>
      </w:r>
      <w:r w:rsidR="001D1D1F" w:rsidRPr="00476D36">
        <w:rPr>
          <w:color w:val="000000"/>
          <w:sz w:val="26"/>
          <w:szCs w:val="26"/>
        </w:rPr>
        <w:t>.</w:t>
      </w:r>
    </w:p>
    <w:p w14:paraId="5FDF0F8E" w14:textId="77777777" w:rsidR="001D1D1F" w:rsidRPr="00476D36" w:rsidRDefault="001D1D1F" w:rsidP="001D1D1F">
      <w:pPr>
        <w:widowControl/>
        <w:spacing w:line="360" w:lineRule="auto"/>
        <w:contextualSpacing/>
        <w:rPr>
          <w:color w:val="000000"/>
          <w:sz w:val="26"/>
          <w:szCs w:val="26"/>
        </w:rPr>
      </w:pPr>
    </w:p>
    <w:p w14:paraId="0B64A3B7" w14:textId="58A60F70" w:rsidR="00F54E3A" w:rsidRPr="00476D36" w:rsidRDefault="009341D6" w:rsidP="009341D6">
      <w:pPr>
        <w:widowControl/>
        <w:spacing w:line="360" w:lineRule="auto"/>
        <w:ind w:firstLine="1440"/>
        <w:rPr>
          <w:color w:val="000000"/>
          <w:sz w:val="26"/>
          <w:szCs w:val="26"/>
        </w:rPr>
      </w:pPr>
      <w:r w:rsidRPr="00476D36">
        <w:rPr>
          <w:color w:val="000000"/>
          <w:sz w:val="26"/>
          <w:szCs w:val="26"/>
        </w:rPr>
        <w:t xml:space="preserve">The Company also </w:t>
      </w:r>
      <w:r w:rsidR="00675DD3" w:rsidRPr="00476D36">
        <w:rPr>
          <w:color w:val="000000"/>
          <w:sz w:val="26"/>
          <w:szCs w:val="26"/>
        </w:rPr>
        <w:t xml:space="preserve">highlights </w:t>
      </w:r>
      <w:r w:rsidRPr="00476D36">
        <w:rPr>
          <w:color w:val="000000"/>
          <w:sz w:val="26"/>
          <w:szCs w:val="26"/>
        </w:rPr>
        <w:t xml:space="preserve">the expert testimony of Dr. Davis who </w:t>
      </w:r>
      <w:r w:rsidR="00F54E3A" w:rsidRPr="00476D36">
        <w:rPr>
          <w:color w:val="000000"/>
          <w:sz w:val="26"/>
          <w:szCs w:val="26"/>
        </w:rPr>
        <w:t>stated that Complainant</w:t>
      </w:r>
      <w:r w:rsidRPr="00476D36">
        <w:rPr>
          <w:color w:val="000000"/>
          <w:sz w:val="26"/>
          <w:szCs w:val="26"/>
        </w:rPr>
        <w:t>’</w:t>
      </w:r>
      <w:r w:rsidR="00F54E3A" w:rsidRPr="00476D36">
        <w:rPr>
          <w:color w:val="000000"/>
          <w:sz w:val="26"/>
          <w:szCs w:val="26"/>
        </w:rPr>
        <w:t>s Exhibit H is not a published paper in a scientific journal and does not include the actual studies that were performed by the National</w:t>
      </w:r>
    </w:p>
    <w:p w14:paraId="2EE950E3" w14:textId="77777777" w:rsidR="00D12B02" w:rsidRPr="00476D36" w:rsidRDefault="00F54E3A" w:rsidP="009341D6">
      <w:pPr>
        <w:widowControl/>
        <w:spacing w:line="360" w:lineRule="auto"/>
        <w:textAlignment w:val="baseline"/>
        <w:rPr>
          <w:color w:val="000000"/>
          <w:sz w:val="26"/>
          <w:szCs w:val="26"/>
        </w:rPr>
      </w:pPr>
      <w:r w:rsidRPr="00476D36">
        <w:rPr>
          <w:color w:val="000000"/>
          <w:sz w:val="26"/>
          <w:szCs w:val="26"/>
        </w:rPr>
        <w:t xml:space="preserve">Toxicology Program (NTP). </w:t>
      </w:r>
      <w:r w:rsidR="009341D6" w:rsidRPr="00476D36">
        <w:rPr>
          <w:color w:val="000000"/>
          <w:sz w:val="26"/>
          <w:szCs w:val="26"/>
        </w:rPr>
        <w:t xml:space="preserve"> </w:t>
      </w:r>
      <w:r w:rsidRPr="00476D36">
        <w:rPr>
          <w:color w:val="000000"/>
          <w:sz w:val="26"/>
          <w:szCs w:val="26"/>
        </w:rPr>
        <w:t xml:space="preserve">Dr. Davis </w:t>
      </w:r>
      <w:r w:rsidR="009341D6" w:rsidRPr="00476D36">
        <w:rPr>
          <w:color w:val="000000"/>
          <w:sz w:val="26"/>
          <w:szCs w:val="26"/>
        </w:rPr>
        <w:t>testified</w:t>
      </w:r>
      <w:r w:rsidRPr="00476D36">
        <w:rPr>
          <w:color w:val="000000"/>
          <w:sz w:val="26"/>
          <w:szCs w:val="26"/>
        </w:rPr>
        <w:t xml:space="preserve"> that the document should not be relied on in this proceeding because the RF exposure from standing one meter away from the new AMI meter is approximately a thousand times below the lowest exposure level used in the NTP study.</w:t>
      </w:r>
      <w:r w:rsidR="009341D6" w:rsidRPr="00476D36">
        <w:rPr>
          <w:color w:val="000000"/>
          <w:sz w:val="26"/>
          <w:szCs w:val="26"/>
        </w:rPr>
        <w:t xml:space="preserve">  R. Exc. at 6-7 (citing T</w:t>
      </w:r>
      <w:r w:rsidRPr="00476D36">
        <w:rPr>
          <w:color w:val="000000"/>
          <w:sz w:val="26"/>
          <w:szCs w:val="26"/>
        </w:rPr>
        <w:t xml:space="preserve">r. </w:t>
      </w:r>
      <w:r w:rsidR="00D12B02" w:rsidRPr="00476D36">
        <w:rPr>
          <w:color w:val="000000"/>
          <w:sz w:val="26"/>
          <w:szCs w:val="26"/>
        </w:rPr>
        <w:t xml:space="preserve">at </w:t>
      </w:r>
      <w:r w:rsidR="009341D6" w:rsidRPr="00476D36">
        <w:rPr>
          <w:color w:val="000000"/>
          <w:sz w:val="26"/>
          <w:szCs w:val="26"/>
        </w:rPr>
        <w:t xml:space="preserve">29-30, </w:t>
      </w:r>
      <w:r w:rsidRPr="00476D36">
        <w:rPr>
          <w:color w:val="000000"/>
          <w:sz w:val="26"/>
          <w:szCs w:val="26"/>
        </w:rPr>
        <w:t>32)</w:t>
      </w:r>
      <w:r w:rsidR="009341D6" w:rsidRPr="00476D36">
        <w:rPr>
          <w:color w:val="000000"/>
          <w:sz w:val="26"/>
          <w:szCs w:val="26"/>
        </w:rPr>
        <w:t xml:space="preserve">.  </w:t>
      </w:r>
    </w:p>
    <w:p w14:paraId="47D0F127" w14:textId="77777777" w:rsidR="00D12B02" w:rsidRPr="00476D36" w:rsidRDefault="00D12B02" w:rsidP="009341D6">
      <w:pPr>
        <w:widowControl/>
        <w:spacing w:line="360" w:lineRule="auto"/>
        <w:textAlignment w:val="baseline"/>
        <w:rPr>
          <w:color w:val="000000"/>
          <w:sz w:val="26"/>
          <w:szCs w:val="26"/>
        </w:rPr>
      </w:pPr>
    </w:p>
    <w:p w14:paraId="35C03318" w14:textId="75AB26FB" w:rsidR="00F54E3A" w:rsidRPr="00476D36" w:rsidRDefault="009341D6" w:rsidP="00D12B02">
      <w:pPr>
        <w:widowControl/>
        <w:spacing w:line="360" w:lineRule="auto"/>
        <w:ind w:firstLine="1440"/>
        <w:textAlignment w:val="baseline"/>
        <w:rPr>
          <w:color w:val="000000"/>
          <w:sz w:val="26"/>
          <w:szCs w:val="26"/>
        </w:rPr>
      </w:pPr>
      <w:r w:rsidRPr="00476D36">
        <w:rPr>
          <w:color w:val="000000"/>
          <w:sz w:val="26"/>
          <w:szCs w:val="26"/>
        </w:rPr>
        <w:t>Moreover, PPL reference</w:t>
      </w:r>
      <w:r w:rsidR="00675DD3" w:rsidRPr="00476D36">
        <w:rPr>
          <w:color w:val="000000"/>
          <w:sz w:val="26"/>
          <w:szCs w:val="26"/>
        </w:rPr>
        <w:t>s</w:t>
      </w:r>
      <w:r w:rsidRPr="00476D36">
        <w:rPr>
          <w:color w:val="000000"/>
          <w:sz w:val="26"/>
          <w:szCs w:val="26"/>
        </w:rPr>
        <w:t xml:space="preserve"> the expert testimony of </w:t>
      </w:r>
      <w:r w:rsidR="00F54E3A" w:rsidRPr="00476D36">
        <w:rPr>
          <w:color w:val="000000"/>
          <w:sz w:val="26"/>
          <w:szCs w:val="26"/>
        </w:rPr>
        <w:t xml:space="preserve">Dr. Israel </w:t>
      </w:r>
      <w:r w:rsidRPr="00476D36">
        <w:rPr>
          <w:color w:val="000000"/>
          <w:sz w:val="26"/>
          <w:szCs w:val="26"/>
        </w:rPr>
        <w:t xml:space="preserve">who reiterated </w:t>
      </w:r>
      <w:r w:rsidR="00F54E3A" w:rsidRPr="00476D36">
        <w:rPr>
          <w:color w:val="000000"/>
          <w:sz w:val="26"/>
          <w:szCs w:val="26"/>
        </w:rPr>
        <w:t>that Complainant</w:t>
      </w:r>
      <w:r w:rsidRPr="00476D36">
        <w:rPr>
          <w:color w:val="000000"/>
          <w:sz w:val="26"/>
          <w:szCs w:val="26"/>
        </w:rPr>
        <w:t>’</w:t>
      </w:r>
      <w:r w:rsidR="00F54E3A" w:rsidRPr="00476D36">
        <w:rPr>
          <w:color w:val="000000"/>
          <w:sz w:val="26"/>
          <w:szCs w:val="26"/>
        </w:rPr>
        <w:t xml:space="preserve">s Exhibit H is not the NTP study and does not provide the actual scientific data from the NTP studies. </w:t>
      </w:r>
      <w:r w:rsidR="00D12B02" w:rsidRPr="00476D36">
        <w:rPr>
          <w:color w:val="000000"/>
          <w:sz w:val="26"/>
          <w:szCs w:val="26"/>
        </w:rPr>
        <w:t xml:space="preserve"> </w:t>
      </w:r>
      <w:r w:rsidR="00F54E3A" w:rsidRPr="00476D36">
        <w:rPr>
          <w:color w:val="000000"/>
          <w:sz w:val="26"/>
          <w:szCs w:val="26"/>
        </w:rPr>
        <w:t xml:space="preserve">Dr. Israel </w:t>
      </w:r>
      <w:r w:rsidR="00D12B02" w:rsidRPr="00476D36">
        <w:rPr>
          <w:color w:val="000000"/>
          <w:sz w:val="26"/>
          <w:szCs w:val="26"/>
        </w:rPr>
        <w:t xml:space="preserve">testified about his review of </w:t>
      </w:r>
      <w:r w:rsidR="00F54E3A" w:rsidRPr="00476D36">
        <w:rPr>
          <w:color w:val="000000"/>
          <w:sz w:val="26"/>
          <w:szCs w:val="26"/>
        </w:rPr>
        <w:t>NTP studies on RF fields and animals, including the actual data reported in the studies</w:t>
      </w:r>
      <w:r w:rsidR="00D12B02" w:rsidRPr="00476D36">
        <w:rPr>
          <w:color w:val="000000"/>
          <w:sz w:val="26"/>
          <w:szCs w:val="26"/>
        </w:rPr>
        <w:t>, and that</w:t>
      </w:r>
      <w:r w:rsidR="00F54E3A" w:rsidRPr="00476D36">
        <w:rPr>
          <w:color w:val="000000"/>
          <w:sz w:val="26"/>
          <w:szCs w:val="26"/>
        </w:rPr>
        <w:t xml:space="preserve"> </w:t>
      </w:r>
      <w:r w:rsidR="00D12B02" w:rsidRPr="00476D36">
        <w:rPr>
          <w:color w:val="000000"/>
          <w:sz w:val="26"/>
          <w:szCs w:val="26"/>
        </w:rPr>
        <w:t>b</w:t>
      </w:r>
      <w:r w:rsidR="00F54E3A" w:rsidRPr="00476D36">
        <w:rPr>
          <w:color w:val="000000"/>
          <w:sz w:val="26"/>
          <w:szCs w:val="26"/>
        </w:rPr>
        <w:t xml:space="preserve">ased on his expertise in medicine and cancer research, the scientific data in the NTP studies do </w:t>
      </w:r>
      <w:r w:rsidR="00F54E3A" w:rsidRPr="00476D36">
        <w:rPr>
          <w:color w:val="000000"/>
          <w:sz w:val="26"/>
          <w:szCs w:val="26"/>
        </w:rPr>
        <w:lastRenderedPageBreak/>
        <w:t xml:space="preserve">not provide a reliable scientific basis to conclude that RF fields from smart meters cause any adverse health effects, including cancer. </w:t>
      </w:r>
      <w:r w:rsidR="00D12B02" w:rsidRPr="00476D36">
        <w:rPr>
          <w:color w:val="000000"/>
          <w:sz w:val="26"/>
          <w:szCs w:val="26"/>
        </w:rPr>
        <w:t xml:space="preserve"> R. Exc. at 7 </w:t>
      </w:r>
      <w:r w:rsidR="00F54E3A" w:rsidRPr="00476D36">
        <w:rPr>
          <w:color w:val="000000"/>
          <w:sz w:val="26"/>
          <w:szCs w:val="26"/>
        </w:rPr>
        <w:t xml:space="preserve">(Tr. </w:t>
      </w:r>
      <w:r w:rsidR="00D12B02" w:rsidRPr="00476D36">
        <w:rPr>
          <w:color w:val="000000"/>
          <w:sz w:val="26"/>
          <w:szCs w:val="26"/>
        </w:rPr>
        <w:t xml:space="preserve">at </w:t>
      </w:r>
      <w:r w:rsidR="00F54E3A" w:rsidRPr="00476D36">
        <w:rPr>
          <w:color w:val="000000"/>
          <w:sz w:val="26"/>
          <w:szCs w:val="26"/>
        </w:rPr>
        <w:t>3</w:t>
      </w:r>
      <w:r w:rsidR="00D12B02" w:rsidRPr="00476D36">
        <w:rPr>
          <w:color w:val="000000"/>
          <w:sz w:val="26"/>
          <w:szCs w:val="26"/>
        </w:rPr>
        <w:t>8</w:t>
      </w:r>
      <w:r w:rsidR="00F54E3A" w:rsidRPr="00476D36">
        <w:rPr>
          <w:color w:val="000000"/>
          <w:sz w:val="26"/>
          <w:szCs w:val="26"/>
        </w:rPr>
        <w:t>-40)</w:t>
      </w:r>
      <w:r w:rsidR="00D12B02" w:rsidRPr="00476D36">
        <w:rPr>
          <w:color w:val="000000"/>
          <w:sz w:val="26"/>
          <w:szCs w:val="26"/>
        </w:rPr>
        <w:t>.</w:t>
      </w:r>
      <w:r w:rsidR="00F54E3A" w:rsidRPr="00476D36">
        <w:rPr>
          <w:color w:val="000000"/>
          <w:sz w:val="26"/>
          <w:szCs w:val="26"/>
        </w:rPr>
        <w:t xml:space="preserve"> </w:t>
      </w:r>
      <w:r w:rsidR="00D12B02" w:rsidRPr="00476D36">
        <w:rPr>
          <w:color w:val="000000"/>
          <w:sz w:val="26"/>
          <w:szCs w:val="26"/>
        </w:rPr>
        <w:t xml:space="preserve"> According to PPL, </w:t>
      </w:r>
      <w:r w:rsidR="00F54E3A" w:rsidRPr="00476D36">
        <w:rPr>
          <w:color w:val="000000"/>
          <w:sz w:val="26"/>
          <w:szCs w:val="26"/>
        </w:rPr>
        <w:t>Dr. Israel</w:t>
      </w:r>
      <w:r w:rsidR="00D12B02" w:rsidRPr="00476D36">
        <w:rPr>
          <w:color w:val="000000"/>
          <w:sz w:val="26"/>
          <w:szCs w:val="26"/>
        </w:rPr>
        <w:t>’</w:t>
      </w:r>
      <w:r w:rsidR="00F54E3A" w:rsidRPr="00476D36">
        <w:rPr>
          <w:color w:val="000000"/>
          <w:sz w:val="26"/>
          <w:szCs w:val="26"/>
        </w:rPr>
        <w:t xml:space="preserve">s expert opinion is consistent with the body of scientific research showing no consistent and reproducible effects from RF fields on cancer or other adverse health effects. </w:t>
      </w:r>
      <w:r w:rsidR="00D12B02" w:rsidRPr="00476D36">
        <w:rPr>
          <w:color w:val="000000"/>
          <w:sz w:val="26"/>
          <w:szCs w:val="26"/>
        </w:rPr>
        <w:t xml:space="preserve"> </w:t>
      </w:r>
      <w:r w:rsidR="00F54E3A" w:rsidRPr="00476D36">
        <w:rPr>
          <w:color w:val="000000"/>
          <w:sz w:val="26"/>
          <w:szCs w:val="26"/>
        </w:rPr>
        <w:t>Th</w:t>
      </w:r>
      <w:r w:rsidR="00D12B02" w:rsidRPr="00476D36">
        <w:rPr>
          <w:color w:val="000000"/>
          <w:sz w:val="26"/>
          <w:szCs w:val="26"/>
        </w:rPr>
        <w:t>erefore</w:t>
      </w:r>
      <w:r w:rsidR="00F54E3A" w:rsidRPr="00476D36">
        <w:rPr>
          <w:color w:val="000000"/>
          <w:sz w:val="26"/>
          <w:szCs w:val="26"/>
        </w:rPr>
        <w:t xml:space="preserve">, the </w:t>
      </w:r>
      <w:r w:rsidR="00D12B02" w:rsidRPr="00476D36">
        <w:rPr>
          <w:color w:val="000000"/>
          <w:sz w:val="26"/>
          <w:szCs w:val="26"/>
        </w:rPr>
        <w:t xml:space="preserve">Company concludes, the </w:t>
      </w:r>
      <w:r w:rsidR="00F54E3A" w:rsidRPr="00476D36">
        <w:rPr>
          <w:color w:val="000000"/>
          <w:sz w:val="26"/>
          <w:szCs w:val="26"/>
        </w:rPr>
        <w:t>ALJ correctly found that the Complainant failed to meet her burden of proof.</w:t>
      </w:r>
      <w:r w:rsidR="00D12B02" w:rsidRPr="00476D36">
        <w:rPr>
          <w:color w:val="000000"/>
          <w:sz w:val="26"/>
          <w:szCs w:val="26"/>
        </w:rPr>
        <w:t xml:space="preserve">  R. Exc. at 7.</w:t>
      </w:r>
    </w:p>
    <w:p w14:paraId="2974F5F7" w14:textId="77777777" w:rsidR="00DA7910" w:rsidRPr="00476D36" w:rsidRDefault="00DA7910" w:rsidP="00D12B02">
      <w:pPr>
        <w:widowControl/>
        <w:spacing w:line="360" w:lineRule="auto"/>
        <w:ind w:firstLine="1440"/>
        <w:textAlignment w:val="baseline"/>
        <w:rPr>
          <w:color w:val="000000"/>
          <w:sz w:val="26"/>
          <w:szCs w:val="26"/>
        </w:rPr>
      </w:pPr>
    </w:p>
    <w:p w14:paraId="070CBAD5" w14:textId="42036F95" w:rsidR="00DA7910" w:rsidRPr="00476D36" w:rsidRDefault="00DA7910" w:rsidP="00DA7910">
      <w:pPr>
        <w:widowControl/>
        <w:spacing w:line="360" w:lineRule="auto"/>
        <w:ind w:firstLine="1440"/>
        <w:rPr>
          <w:iCs/>
          <w:sz w:val="26"/>
          <w:szCs w:val="26"/>
        </w:rPr>
      </w:pPr>
      <w:r w:rsidRPr="00476D36">
        <w:rPr>
          <w:iCs/>
          <w:sz w:val="26"/>
          <w:szCs w:val="26"/>
        </w:rPr>
        <w:t>Upon review of the record, we shall deny the first Exception</w:t>
      </w:r>
      <w:r w:rsidR="00480593" w:rsidRPr="00476D36">
        <w:rPr>
          <w:iCs/>
          <w:sz w:val="26"/>
          <w:szCs w:val="26"/>
        </w:rPr>
        <w:t xml:space="preserve">.  We agree with the well-reasoned analysis in the </w:t>
      </w:r>
      <w:r w:rsidRPr="00476D36">
        <w:rPr>
          <w:iCs/>
          <w:sz w:val="26"/>
          <w:szCs w:val="26"/>
        </w:rPr>
        <w:t xml:space="preserve">Initial Decision </w:t>
      </w:r>
      <w:r w:rsidR="00480593" w:rsidRPr="00476D36">
        <w:rPr>
          <w:iCs/>
          <w:sz w:val="26"/>
          <w:szCs w:val="26"/>
        </w:rPr>
        <w:t>and</w:t>
      </w:r>
      <w:r w:rsidRPr="00476D36">
        <w:rPr>
          <w:iCs/>
          <w:sz w:val="26"/>
          <w:szCs w:val="26"/>
        </w:rPr>
        <w:t xml:space="preserve"> the ALJ’s conclusion that the Complainant did not meet </w:t>
      </w:r>
      <w:r w:rsidR="00480593" w:rsidRPr="00476D36">
        <w:rPr>
          <w:iCs/>
          <w:sz w:val="26"/>
          <w:szCs w:val="26"/>
        </w:rPr>
        <w:t>her</w:t>
      </w:r>
      <w:r w:rsidRPr="00476D36">
        <w:rPr>
          <w:iCs/>
          <w:sz w:val="26"/>
          <w:szCs w:val="26"/>
        </w:rPr>
        <w:t xml:space="preserve"> burden of proof regarding </w:t>
      </w:r>
      <w:r w:rsidR="00480593" w:rsidRPr="00476D36">
        <w:rPr>
          <w:iCs/>
          <w:sz w:val="26"/>
          <w:szCs w:val="26"/>
        </w:rPr>
        <w:t>the claim that the</w:t>
      </w:r>
      <w:r w:rsidRPr="00476D36">
        <w:rPr>
          <w:iCs/>
          <w:sz w:val="26"/>
          <w:szCs w:val="26"/>
        </w:rPr>
        <w:t xml:space="preserve"> smart will cause adverse health effects for the Complainant.  Specifically, we affirm the ALJ’s finding that the Complainant failed to demonstrate a conclusive causal connection between the low-level RF fields from a PPL smart meter and </w:t>
      </w:r>
      <w:r w:rsidR="005C1DDD" w:rsidRPr="00476D36">
        <w:rPr>
          <w:iCs/>
          <w:sz w:val="26"/>
          <w:szCs w:val="26"/>
        </w:rPr>
        <w:t xml:space="preserve">any </w:t>
      </w:r>
      <w:r w:rsidRPr="00476D36">
        <w:rPr>
          <w:iCs/>
          <w:sz w:val="26"/>
          <w:szCs w:val="26"/>
        </w:rPr>
        <w:t>adverse health effects for the Complainant.</w:t>
      </w:r>
      <w:r w:rsidR="00480593" w:rsidRPr="00476D36">
        <w:rPr>
          <w:iCs/>
          <w:sz w:val="26"/>
          <w:szCs w:val="26"/>
        </w:rPr>
        <w:t xml:space="preserve">  </w:t>
      </w:r>
      <w:r w:rsidR="005C1DDD" w:rsidRPr="00476D36">
        <w:rPr>
          <w:sz w:val="26"/>
          <w:szCs w:val="26"/>
        </w:rPr>
        <w:t>Similarly, the Complainant fail</w:t>
      </w:r>
      <w:r w:rsidR="00675DD3" w:rsidRPr="00476D36">
        <w:rPr>
          <w:sz w:val="26"/>
          <w:szCs w:val="26"/>
        </w:rPr>
        <w:t>s</w:t>
      </w:r>
      <w:r w:rsidR="005C1DDD" w:rsidRPr="00476D36">
        <w:rPr>
          <w:sz w:val="26"/>
          <w:szCs w:val="26"/>
        </w:rPr>
        <w:t xml:space="preserve"> to assert any technical evidence of record found credible to establish the claim that PPL’s installation of a smart meter will pose a safety risk due to RF exposure.  </w:t>
      </w:r>
    </w:p>
    <w:p w14:paraId="0E683667" w14:textId="77777777" w:rsidR="00DA7910" w:rsidRPr="00476D36" w:rsidRDefault="00DA7910" w:rsidP="00D12B02">
      <w:pPr>
        <w:widowControl/>
        <w:spacing w:line="360" w:lineRule="auto"/>
        <w:ind w:firstLine="1440"/>
        <w:textAlignment w:val="baseline"/>
        <w:rPr>
          <w:color w:val="000000"/>
          <w:sz w:val="26"/>
          <w:szCs w:val="26"/>
        </w:rPr>
      </w:pPr>
    </w:p>
    <w:p w14:paraId="4EFBC9A9" w14:textId="5CA6B185" w:rsidR="00CD504C" w:rsidRPr="00476D36" w:rsidRDefault="005C1DDD" w:rsidP="00CD504C">
      <w:pPr>
        <w:widowControl/>
        <w:spacing w:line="360" w:lineRule="auto"/>
        <w:ind w:firstLine="1440"/>
        <w:rPr>
          <w:sz w:val="26"/>
          <w:szCs w:val="26"/>
        </w:rPr>
      </w:pPr>
      <w:r w:rsidRPr="00476D36">
        <w:rPr>
          <w:color w:val="000000"/>
          <w:sz w:val="26"/>
          <w:szCs w:val="26"/>
        </w:rPr>
        <w:t xml:space="preserve">Regarding Complainant’s Exhibit H, </w:t>
      </w:r>
      <w:r w:rsidR="00CD504C" w:rsidRPr="00476D36">
        <w:rPr>
          <w:sz w:val="26"/>
          <w:szCs w:val="26"/>
        </w:rPr>
        <w:t xml:space="preserve">the ALJ correctly gave little or no weight to this document in her Initial Decision.  The document constituted hearsay (out of court statements that were offered by the Complainant to prove the truth of the matter asserted in the documents), and do not fall within one of the recognized exceptions to the rule against hearsay.  </w:t>
      </w:r>
      <w:r w:rsidR="00CD504C" w:rsidRPr="00476D36">
        <w:rPr>
          <w:i/>
          <w:sz w:val="26"/>
          <w:szCs w:val="26"/>
        </w:rPr>
        <w:t>See</w:t>
      </w:r>
      <w:r w:rsidR="00CD504C" w:rsidRPr="00476D36">
        <w:rPr>
          <w:sz w:val="26"/>
          <w:szCs w:val="26"/>
        </w:rPr>
        <w:t xml:space="preserve"> Pa. R.E. 801, 802, 803, 803.1, and 804.  PPL objected to the admission of </w:t>
      </w:r>
      <w:r w:rsidR="0004009B" w:rsidRPr="00476D36">
        <w:rPr>
          <w:sz w:val="26"/>
          <w:szCs w:val="26"/>
        </w:rPr>
        <w:t>Exhibit H</w:t>
      </w:r>
      <w:r w:rsidR="00CD504C" w:rsidRPr="00476D36">
        <w:rPr>
          <w:sz w:val="26"/>
          <w:szCs w:val="26"/>
        </w:rPr>
        <w:t xml:space="preserve">.  Nevertheless, even if </w:t>
      </w:r>
      <w:r w:rsidR="0004009B" w:rsidRPr="00476D36">
        <w:rPr>
          <w:sz w:val="26"/>
          <w:szCs w:val="26"/>
        </w:rPr>
        <w:t xml:space="preserve">it </w:t>
      </w:r>
      <w:r w:rsidR="00CD504C" w:rsidRPr="00476D36">
        <w:rPr>
          <w:sz w:val="26"/>
          <w:szCs w:val="26"/>
        </w:rPr>
        <w:t xml:space="preserve">had been admitted into evidence without PPL objection, </w:t>
      </w:r>
      <w:r w:rsidR="00CD504C" w:rsidRPr="00476D36">
        <w:rPr>
          <w:rFonts w:eastAsiaTheme="minorHAnsi"/>
          <w:sz w:val="26"/>
          <w:szCs w:val="26"/>
        </w:rPr>
        <w:t xml:space="preserve">the </w:t>
      </w:r>
      <w:r w:rsidR="0004009B" w:rsidRPr="00476D36">
        <w:rPr>
          <w:rFonts w:eastAsiaTheme="minorHAnsi"/>
          <w:sz w:val="26"/>
          <w:szCs w:val="26"/>
        </w:rPr>
        <w:t xml:space="preserve">document </w:t>
      </w:r>
      <w:r w:rsidR="00CD504C" w:rsidRPr="00476D36">
        <w:rPr>
          <w:rFonts w:eastAsiaTheme="minorHAnsi"/>
          <w:sz w:val="26"/>
          <w:szCs w:val="26"/>
        </w:rPr>
        <w:t xml:space="preserve">would have been insufficient to support a finding of fact in </w:t>
      </w:r>
      <w:r w:rsidR="00CD504C" w:rsidRPr="00476D36">
        <w:rPr>
          <w:rFonts w:eastAsiaTheme="minorHAnsi"/>
          <w:sz w:val="26"/>
          <w:szCs w:val="26"/>
        </w:rPr>
        <w:lastRenderedPageBreak/>
        <w:t>this proceeding pursuant</w:t>
      </w:r>
      <w:r w:rsidR="00CD504C" w:rsidRPr="00476D36">
        <w:rPr>
          <w:sz w:val="26"/>
          <w:szCs w:val="26"/>
        </w:rPr>
        <w:t xml:space="preserve"> to the </w:t>
      </w:r>
      <w:r w:rsidR="00CD504C" w:rsidRPr="00476D36">
        <w:rPr>
          <w:i/>
          <w:sz w:val="26"/>
          <w:szCs w:val="26"/>
        </w:rPr>
        <w:t>Walker/Chapman</w:t>
      </w:r>
      <w:r w:rsidR="00CD504C" w:rsidRPr="00476D36">
        <w:rPr>
          <w:sz w:val="26"/>
          <w:szCs w:val="26"/>
        </w:rPr>
        <w:t xml:space="preserve"> rule</w:t>
      </w:r>
      <w:r w:rsidR="00CD504C" w:rsidRPr="00476D36">
        <w:rPr>
          <w:sz w:val="26"/>
          <w:szCs w:val="26"/>
          <w:vertAlign w:val="superscript"/>
        </w:rPr>
        <w:footnoteReference w:id="2"/>
      </w:r>
      <w:r w:rsidR="00CD504C" w:rsidRPr="00476D36">
        <w:rPr>
          <w:sz w:val="26"/>
          <w:szCs w:val="26"/>
        </w:rPr>
        <w:t xml:space="preserve"> </w:t>
      </w:r>
      <w:r w:rsidR="00CD504C" w:rsidRPr="00476D36">
        <w:rPr>
          <w:rFonts w:eastAsiaTheme="minorHAnsi"/>
          <w:sz w:val="26"/>
          <w:szCs w:val="26"/>
        </w:rPr>
        <w:t xml:space="preserve">because the Complainant did not present any </w:t>
      </w:r>
      <w:r w:rsidR="00CD504C" w:rsidRPr="00476D36">
        <w:rPr>
          <w:sz w:val="26"/>
          <w:szCs w:val="26"/>
        </w:rPr>
        <w:t xml:space="preserve">other non-hearsay, competent evidence to corroborate the documents.  Second, the Complainant offered </w:t>
      </w:r>
      <w:r w:rsidR="0004009B" w:rsidRPr="00476D36">
        <w:rPr>
          <w:sz w:val="26"/>
          <w:szCs w:val="26"/>
        </w:rPr>
        <w:t>her</w:t>
      </w:r>
      <w:r w:rsidR="00CD504C" w:rsidRPr="00476D36">
        <w:rPr>
          <w:sz w:val="26"/>
          <w:szCs w:val="26"/>
        </w:rPr>
        <w:t xml:space="preserve"> opinion testimony based on </w:t>
      </w:r>
      <w:r w:rsidR="0004009B" w:rsidRPr="00476D36">
        <w:rPr>
          <w:sz w:val="26"/>
          <w:szCs w:val="26"/>
        </w:rPr>
        <w:t>this and her other exhibits</w:t>
      </w:r>
      <w:r w:rsidR="00CD504C" w:rsidRPr="00476D36">
        <w:rPr>
          <w:sz w:val="26"/>
          <w:szCs w:val="26"/>
        </w:rPr>
        <w:t xml:space="preserve">.  However, such assertions by the Complainant were properly given no weight by the ALJ in her Initial Decision, as the Complainant was not qualified as an expert in any relevant technical or medical field. </w:t>
      </w:r>
      <w:r w:rsidR="00CD504C" w:rsidRPr="00476D36">
        <w:rPr>
          <w:i/>
          <w:iCs/>
          <w:sz w:val="26"/>
          <w:szCs w:val="26"/>
        </w:rPr>
        <w:t>See</w:t>
      </w:r>
      <w:r w:rsidR="00CD504C" w:rsidRPr="00476D36">
        <w:rPr>
          <w:sz w:val="26"/>
          <w:szCs w:val="26"/>
        </w:rPr>
        <w:t xml:space="preserve"> I.D. at </w:t>
      </w:r>
      <w:r w:rsidR="0004009B" w:rsidRPr="00476D36">
        <w:rPr>
          <w:sz w:val="26"/>
          <w:szCs w:val="26"/>
        </w:rPr>
        <w:t>14</w:t>
      </w:r>
      <w:r w:rsidR="00CD504C" w:rsidRPr="00476D36">
        <w:rPr>
          <w:sz w:val="26"/>
          <w:szCs w:val="26"/>
        </w:rPr>
        <w:t>.</w:t>
      </w:r>
      <w:r w:rsidR="00CD504C" w:rsidRPr="00476D36">
        <w:rPr>
          <w:i/>
          <w:iCs/>
          <w:sz w:val="26"/>
          <w:szCs w:val="26"/>
        </w:rPr>
        <w:t xml:space="preserve"> </w:t>
      </w:r>
    </w:p>
    <w:p w14:paraId="2C7433BC" w14:textId="77777777" w:rsidR="00F54E3A" w:rsidRPr="00476D36" w:rsidRDefault="00F54E3A" w:rsidP="009341D6">
      <w:pPr>
        <w:widowControl/>
        <w:spacing w:line="360" w:lineRule="auto"/>
        <w:rPr>
          <w:sz w:val="26"/>
          <w:szCs w:val="26"/>
        </w:rPr>
      </w:pPr>
    </w:p>
    <w:p w14:paraId="00F176E3" w14:textId="7A77DE0B" w:rsidR="0036311B" w:rsidRPr="00476D36" w:rsidRDefault="00B73B50" w:rsidP="0036311B">
      <w:pPr>
        <w:spacing w:line="360" w:lineRule="auto"/>
        <w:ind w:firstLine="1440"/>
        <w:textAlignment w:val="baseline"/>
        <w:rPr>
          <w:color w:val="000000"/>
          <w:sz w:val="26"/>
          <w:szCs w:val="26"/>
        </w:rPr>
      </w:pPr>
      <w:r w:rsidRPr="00476D36">
        <w:rPr>
          <w:sz w:val="26"/>
          <w:szCs w:val="26"/>
        </w:rPr>
        <w:t xml:space="preserve">In her second Exception, Ms. Schutz avers that </w:t>
      </w:r>
      <w:r w:rsidR="0036311B" w:rsidRPr="00476D36">
        <w:rPr>
          <w:sz w:val="26"/>
          <w:szCs w:val="26"/>
        </w:rPr>
        <w:t xml:space="preserve">a </w:t>
      </w:r>
      <w:r w:rsidRPr="00476D36">
        <w:rPr>
          <w:sz w:val="26"/>
          <w:szCs w:val="26"/>
        </w:rPr>
        <w:t xml:space="preserve">PPL witness </w:t>
      </w:r>
      <w:r w:rsidR="0036311B" w:rsidRPr="00476D36">
        <w:rPr>
          <w:sz w:val="26"/>
          <w:szCs w:val="26"/>
        </w:rPr>
        <w:t xml:space="preserve">committed perjury by stating that </w:t>
      </w:r>
      <w:r w:rsidR="0036311B" w:rsidRPr="00476D36">
        <w:rPr>
          <w:color w:val="000000"/>
          <w:sz w:val="26"/>
          <w:szCs w:val="26"/>
        </w:rPr>
        <w:t>PPL’s AMI meters use “a 900 megahertz (MHz) frequency</w:t>
      </w:r>
      <w:r w:rsidR="005A5BAC" w:rsidRPr="00476D36">
        <w:rPr>
          <w:color w:val="000000"/>
          <w:sz w:val="26"/>
          <w:szCs w:val="26"/>
        </w:rPr>
        <w:t>”</w:t>
      </w:r>
      <w:r w:rsidR="0036311B" w:rsidRPr="00476D36">
        <w:rPr>
          <w:color w:val="000000"/>
          <w:sz w:val="26"/>
          <w:szCs w:val="26"/>
        </w:rPr>
        <w:t xml:space="preserve"> to transmit electric usage data to the Company</w:t>
      </w:r>
      <w:r w:rsidR="005A5BAC" w:rsidRPr="00476D36">
        <w:rPr>
          <w:color w:val="000000"/>
          <w:sz w:val="26"/>
          <w:szCs w:val="26"/>
        </w:rPr>
        <w:t>’</w:t>
      </w:r>
      <w:r w:rsidR="0036311B" w:rsidRPr="00476D36">
        <w:rPr>
          <w:color w:val="000000"/>
          <w:sz w:val="26"/>
          <w:szCs w:val="26"/>
        </w:rPr>
        <w:t xml:space="preserve">s system. </w:t>
      </w:r>
      <w:r w:rsidR="005A5BAC" w:rsidRPr="00476D36">
        <w:rPr>
          <w:color w:val="000000"/>
          <w:sz w:val="26"/>
          <w:szCs w:val="26"/>
        </w:rPr>
        <w:t xml:space="preserve"> The</w:t>
      </w:r>
      <w:r w:rsidR="0036311B" w:rsidRPr="00476D36">
        <w:rPr>
          <w:color w:val="000000"/>
          <w:sz w:val="26"/>
          <w:szCs w:val="26"/>
        </w:rPr>
        <w:t xml:space="preserve"> Complainant </w:t>
      </w:r>
      <w:r w:rsidR="005A5BAC" w:rsidRPr="00476D36">
        <w:rPr>
          <w:color w:val="000000"/>
          <w:sz w:val="26"/>
          <w:szCs w:val="26"/>
        </w:rPr>
        <w:t>argues</w:t>
      </w:r>
      <w:r w:rsidR="0036311B" w:rsidRPr="00476D36">
        <w:rPr>
          <w:color w:val="000000"/>
          <w:sz w:val="26"/>
          <w:szCs w:val="26"/>
        </w:rPr>
        <w:t xml:space="preserve"> that this statement conflicts with an </w:t>
      </w:r>
      <w:r w:rsidR="005A5BAC" w:rsidRPr="00476D36">
        <w:rPr>
          <w:color w:val="000000"/>
          <w:sz w:val="26"/>
          <w:szCs w:val="26"/>
        </w:rPr>
        <w:t>“</w:t>
      </w:r>
      <w:r w:rsidR="0036311B" w:rsidRPr="00476D36">
        <w:rPr>
          <w:color w:val="000000"/>
          <w:sz w:val="26"/>
          <w:szCs w:val="26"/>
        </w:rPr>
        <w:t>FCC document</w:t>
      </w:r>
      <w:r w:rsidR="005A5BAC" w:rsidRPr="00476D36">
        <w:rPr>
          <w:color w:val="000000"/>
          <w:sz w:val="26"/>
          <w:szCs w:val="26"/>
        </w:rPr>
        <w:t>”</w:t>
      </w:r>
      <w:r w:rsidR="0036311B" w:rsidRPr="00476D36">
        <w:rPr>
          <w:color w:val="000000"/>
          <w:sz w:val="26"/>
          <w:szCs w:val="26"/>
        </w:rPr>
        <w:t xml:space="preserve"> </w:t>
      </w:r>
      <w:r w:rsidR="005A5BAC" w:rsidRPr="00476D36">
        <w:rPr>
          <w:color w:val="000000"/>
          <w:sz w:val="26"/>
          <w:szCs w:val="26"/>
        </w:rPr>
        <w:t>stating</w:t>
      </w:r>
      <w:r w:rsidR="0036311B" w:rsidRPr="00476D36">
        <w:rPr>
          <w:color w:val="000000"/>
          <w:sz w:val="26"/>
          <w:szCs w:val="26"/>
        </w:rPr>
        <w:t xml:space="preserve"> that </w:t>
      </w:r>
      <w:r w:rsidR="005A5BAC" w:rsidRPr="00476D36">
        <w:rPr>
          <w:color w:val="000000"/>
          <w:sz w:val="26"/>
          <w:szCs w:val="26"/>
        </w:rPr>
        <w:t>“</w:t>
      </w:r>
      <w:r w:rsidR="0036311B" w:rsidRPr="00476D36">
        <w:rPr>
          <w:color w:val="000000"/>
          <w:sz w:val="26"/>
          <w:szCs w:val="26"/>
        </w:rPr>
        <w:t>the Smart Grid advanced metering infrastructure . . . [m]</w:t>
      </w:r>
      <w:proofErr w:type="spellStart"/>
      <w:r w:rsidR="0036311B" w:rsidRPr="00476D36">
        <w:rPr>
          <w:color w:val="000000"/>
          <w:sz w:val="26"/>
          <w:szCs w:val="26"/>
        </w:rPr>
        <w:t>achine</w:t>
      </w:r>
      <w:proofErr w:type="spellEnd"/>
      <w:r w:rsidR="0036311B" w:rsidRPr="00476D36">
        <w:rPr>
          <w:color w:val="000000"/>
          <w:sz w:val="26"/>
          <w:szCs w:val="26"/>
        </w:rPr>
        <w:t xml:space="preserve"> to machine communication all use 900 megahertz.</w:t>
      </w:r>
      <w:r w:rsidR="005A5BAC" w:rsidRPr="00476D36">
        <w:rPr>
          <w:color w:val="000000"/>
          <w:sz w:val="26"/>
          <w:szCs w:val="26"/>
        </w:rPr>
        <w:t>”  Exc. at 4.</w:t>
      </w:r>
      <w:r w:rsidR="005A5BAC" w:rsidRPr="00476D36">
        <w:rPr>
          <w:rStyle w:val="FootnoteReference"/>
          <w:color w:val="000000"/>
          <w:sz w:val="26"/>
          <w:szCs w:val="26"/>
        </w:rPr>
        <w:footnoteReference w:id="3"/>
      </w:r>
      <w:r w:rsidR="00860AA4" w:rsidRPr="00476D36">
        <w:rPr>
          <w:color w:val="000000"/>
          <w:sz w:val="26"/>
          <w:szCs w:val="26"/>
        </w:rPr>
        <w:t xml:space="preserve">  </w:t>
      </w:r>
    </w:p>
    <w:p w14:paraId="4A6A8FCC" w14:textId="77777777" w:rsidR="005A5BAC" w:rsidRPr="00476D36" w:rsidRDefault="005A5BAC" w:rsidP="0036311B">
      <w:pPr>
        <w:spacing w:line="360" w:lineRule="auto"/>
        <w:ind w:firstLine="1440"/>
        <w:textAlignment w:val="baseline"/>
        <w:rPr>
          <w:color w:val="000000"/>
          <w:sz w:val="26"/>
          <w:szCs w:val="26"/>
        </w:rPr>
      </w:pPr>
    </w:p>
    <w:p w14:paraId="751B5AD3" w14:textId="6FCF86AD" w:rsidR="0036311B" w:rsidRPr="00476D36" w:rsidRDefault="0065370E" w:rsidP="00BB0216">
      <w:pPr>
        <w:widowControl/>
        <w:spacing w:line="360" w:lineRule="auto"/>
        <w:ind w:right="72" w:firstLine="1440"/>
        <w:textAlignment w:val="baseline"/>
        <w:rPr>
          <w:color w:val="000000"/>
          <w:sz w:val="26"/>
          <w:szCs w:val="26"/>
        </w:rPr>
      </w:pPr>
      <w:r w:rsidRPr="00476D36">
        <w:rPr>
          <w:color w:val="000000"/>
          <w:sz w:val="26"/>
          <w:szCs w:val="26"/>
        </w:rPr>
        <w:t xml:space="preserve">In its </w:t>
      </w:r>
      <w:r w:rsidR="0068257B" w:rsidRPr="00476D36">
        <w:rPr>
          <w:color w:val="000000"/>
          <w:sz w:val="26"/>
          <w:szCs w:val="26"/>
        </w:rPr>
        <w:t>R</w:t>
      </w:r>
      <w:r w:rsidRPr="00476D36">
        <w:rPr>
          <w:color w:val="000000"/>
          <w:sz w:val="26"/>
          <w:szCs w:val="26"/>
        </w:rPr>
        <w:t xml:space="preserve">eplies, PPL objects to the reference to the FCC document because it was not included in the exhibits at the hearing </w:t>
      </w:r>
      <w:r w:rsidR="006F5102" w:rsidRPr="00476D36">
        <w:rPr>
          <w:color w:val="000000"/>
          <w:sz w:val="26"/>
          <w:szCs w:val="26"/>
        </w:rPr>
        <w:t xml:space="preserve">and argues </w:t>
      </w:r>
      <w:r w:rsidRPr="00476D36">
        <w:rPr>
          <w:color w:val="000000"/>
          <w:sz w:val="26"/>
          <w:szCs w:val="26"/>
        </w:rPr>
        <w:t xml:space="preserve">that the Complainant should be prohibited from introducing it for the first time at the </w:t>
      </w:r>
      <w:r w:rsidR="006F5102" w:rsidRPr="00476D36">
        <w:rPr>
          <w:color w:val="000000"/>
          <w:sz w:val="26"/>
          <w:szCs w:val="26"/>
        </w:rPr>
        <w:t>E</w:t>
      </w:r>
      <w:r w:rsidRPr="00476D36">
        <w:rPr>
          <w:color w:val="000000"/>
          <w:sz w:val="26"/>
          <w:szCs w:val="26"/>
        </w:rPr>
        <w:t xml:space="preserve">xceptions stage.  The Company asserts that it would be denied due process if the Complainant were permitted to rely on this extra-record evidence.  R. Exc. at 8 (citing </w:t>
      </w:r>
      <w:r w:rsidR="0036311B" w:rsidRPr="00476D36">
        <w:rPr>
          <w:i/>
          <w:color w:val="000000"/>
          <w:sz w:val="26"/>
          <w:szCs w:val="26"/>
        </w:rPr>
        <w:t>Hess v. Pa. PUC</w:t>
      </w:r>
      <w:r w:rsidR="0036311B" w:rsidRPr="00476D36">
        <w:rPr>
          <w:iCs/>
          <w:color w:val="000000"/>
          <w:sz w:val="26"/>
          <w:szCs w:val="26"/>
        </w:rPr>
        <w:t>,</w:t>
      </w:r>
      <w:r w:rsidR="0036311B" w:rsidRPr="00476D36">
        <w:rPr>
          <w:i/>
          <w:color w:val="000000"/>
          <w:sz w:val="26"/>
          <w:szCs w:val="26"/>
        </w:rPr>
        <w:t xml:space="preserve"> </w:t>
      </w:r>
      <w:r w:rsidR="0036311B" w:rsidRPr="00476D36">
        <w:rPr>
          <w:color w:val="000000"/>
          <w:sz w:val="26"/>
          <w:szCs w:val="26"/>
        </w:rPr>
        <w:t>107 A.3d 246, 266 (Pa.</w:t>
      </w:r>
      <w:r w:rsidR="00476D36">
        <w:rPr>
          <w:color w:val="000000"/>
          <w:sz w:val="26"/>
          <w:szCs w:val="26"/>
        </w:rPr>
        <w:t> </w:t>
      </w:r>
      <w:proofErr w:type="spellStart"/>
      <w:r w:rsidR="0036311B" w:rsidRPr="00476D36">
        <w:rPr>
          <w:color w:val="000000"/>
          <w:sz w:val="26"/>
          <w:szCs w:val="26"/>
        </w:rPr>
        <w:t>Cmwlth</w:t>
      </w:r>
      <w:proofErr w:type="spellEnd"/>
      <w:r w:rsidR="0036311B" w:rsidRPr="00476D36">
        <w:rPr>
          <w:color w:val="000000"/>
          <w:sz w:val="26"/>
          <w:szCs w:val="26"/>
        </w:rPr>
        <w:t>. 2014)</w:t>
      </w:r>
      <w:r w:rsidRPr="00476D36">
        <w:rPr>
          <w:color w:val="000000"/>
          <w:sz w:val="26"/>
          <w:szCs w:val="26"/>
        </w:rPr>
        <w:t>)</w:t>
      </w:r>
      <w:r w:rsidR="0036311B" w:rsidRPr="00476D36">
        <w:rPr>
          <w:color w:val="000000"/>
          <w:sz w:val="26"/>
          <w:szCs w:val="26"/>
        </w:rPr>
        <w:t xml:space="preserve">. </w:t>
      </w:r>
    </w:p>
    <w:p w14:paraId="35785487" w14:textId="77777777" w:rsidR="0065370E" w:rsidRPr="00476D36" w:rsidRDefault="0065370E" w:rsidP="00BB0216">
      <w:pPr>
        <w:widowControl/>
        <w:spacing w:line="360" w:lineRule="auto"/>
        <w:ind w:right="72" w:firstLine="1440"/>
        <w:textAlignment w:val="baseline"/>
        <w:rPr>
          <w:color w:val="000000"/>
          <w:sz w:val="26"/>
          <w:szCs w:val="26"/>
        </w:rPr>
      </w:pPr>
    </w:p>
    <w:p w14:paraId="644F8CE4" w14:textId="77777777" w:rsidR="0036311B" w:rsidRPr="00476D36" w:rsidRDefault="00287438" w:rsidP="0065370E">
      <w:pPr>
        <w:widowControl/>
        <w:spacing w:line="360" w:lineRule="auto"/>
        <w:ind w:right="72" w:firstLine="1440"/>
        <w:textAlignment w:val="baseline"/>
        <w:rPr>
          <w:color w:val="000000"/>
          <w:sz w:val="26"/>
          <w:szCs w:val="26"/>
        </w:rPr>
      </w:pPr>
      <w:r w:rsidRPr="00476D36">
        <w:rPr>
          <w:color w:val="000000"/>
          <w:sz w:val="26"/>
          <w:szCs w:val="26"/>
        </w:rPr>
        <w:lastRenderedPageBreak/>
        <w:t xml:space="preserve">Alternatively, PPL argues that </w:t>
      </w:r>
      <w:r w:rsidR="003C7141" w:rsidRPr="00476D36">
        <w:rPr>
          <w:color w:val="000000"/>
          <w:sz w:val="26"/>
          <w:szCs w:val="26"/>
        </w:rPr>
        <w:t>t</w:t>
      </w:r>
      <w:r w:rsidR="0036311B" w:rsidRPr="00476D36">
        <w:rPr>
          <w:color w:val="000000"/>
          <w:sz w:val="26"/>
          <w:szCs w:val="26"/>
        </w:rPr>
        <w:t xml:space="preserve">here is no conflict between </w:t>
      </w:r>
      <w:r w:rsidR="003C7141" w:rsidRPr="00476D36">
        <w:rPr>
          <w:color w:val="000000"/>
          <w:sz w:val="26"/>
          <w:szCs w:val="26"/>
        </w:rPr>
        <w:t>its</w:t>
      </w:r>
      <w:r w:rsidR="0036311B" w:rsidRPr="00476D36">
        <w:rPr>
          <w:color w:val="000000"/>
          <w:sz w:val="26"/>
          <w:szCs w:val="26"/>
        </w:rPr>
        <w:t xml:space="preserve"> </w:t>
      </w:r>
      <w:proofErr w:type="gramStart"/>
      <w:r w:rsidR="0036311B" w:rsidRPr="00476D36">
        <w:rPr>
          <w:color w:val="000000"/>
          <w:sz w:val="26"/>
          <w:szCs w:val="26"/>
        </w:rPr>
        <w:t>witness</w:t>
      </w:r>
      <w:r w:rsidR="003C7141" w:rsidRPr="00476D36">
        <w:rPr>
          <w:color w:val="000000"/>
          <w:sz w:val="26"/>
          <w:szCs w:val="26"/>
        </w:rPr>
        <w:t>’s</w:t>
      </w:r>
      <w:r w:rsidR="0036311B" w:rsidRPr="00476D36">
        <w:rPr>
          <w:color w:val="000000"/>
          <w:sz w:val="26"/>
          <w:szCs w:val="26"/>
        </w:rPr>
        <w:t xml:space="preserve">  testimony</w:t>
      </w:r>
      <w:proofErr w:type="gramEnd"/>
      <w:r w:rsidR="0036311B" w:rsidRPr="00476D36">
        <w:rPr>
          <w:color w:val="000000"/>
          <w:sz w:val="26"/>
          <w:szCs w:val="26"/>
        </w:rPr>
        <w:t xml:space="preserve"> and the statements allegedly contained in </w:t>
      </w:r>
      <w:r w:rsidR="003C7141" w:rsidRPr="00476D36">
        <w:rPr>
          <w:color w:val="000000"/>
          <w:sz w:val="26"/>
          <w:szCs w:val="26"/>
        </w:rPr>
        <w:t xml:space="preserve">the </w:t>
      </w:r>
      <w:r w:rsidR="0036311B" w:rsidRPr="00476D36">
        <w:rPr>
          <w:color w:val="000000"/>
          <w:sz w:val="26"/>
          <w:szCs w:val="26"/>
        </w:rPr>
        <w:t>FCC document.</w:t>
      </w:r>
      <w:r w:rsidR="003C7141" w:rsidRPr="00476D36">
        <w:rPr>
          <w:color w:val="000000"/>
          <w:sz w:val="26"/>
          <w:szCs w:val="26"/>
        </w:rPr>
        <w:t xml:space="preserve">  Here, the Complainant submits that </w:t>
      </w:r>
      <w:r w:rsidR="0036311B" w:rsidRPr="00476D36">
        <w:rPr>
          <w:color w:val="000000"/>
          <w:sz w:val="26"/>
          <w:szCs w:val="26"/>
        </w:rPr>
        <w:t xml:space="preserve">this document states that AMI technology uses 900 MHz frequency to transmit data. </w:t>
      </w:r>
      <w:r w:rsidR="003C7141" w:rsidRPr="00476D36">
        <w:rPr>
          <w:color w:val="000000"/>
          <w:sz w:val="26"/>
          <w:szCs w:val="26"/>
        </w:rPr>
        <w:t xml:space="preserve"> PPL submits that </w:t>
      </w:r>
      <w:r w:rsidR="009C4B0A" w:rsidRPr="00476D36">
        <w:rPr>
          <w:color w:val="000000"/>
          <w:sz w:val="26"/>
          <w:szCs w:val="26"/>
        </w:rPr>
        <w:t>its</w:t>
      </w:r>
      <w:r w:rsidR="003C7141" w:rsidRPr="00476D36">
        <w:rPr>
          <w:color w:val="000000"/>
          <w:sz w:val="26"/>
          <w:szCs w:val="26"/>
        </w:rPr>
        <w:t xml:space="preserve"> witness</w:t>
      </w:r>
      <w:r w:rsidR="009C4B0A" w:rsidRPr="00476D36">
        <w:rPr>
          <w:color w:val="000000"/>
          <w:sz w:val="26"/>
          <w:szCs w:val="26"/>
        </w:rPr>
        <w:t>,</w:t>
      </w:r>
      <w:r w:rsidR="003C7141" w:rsidRPr="00476D36">
        <w:rPr>
          <w:color w:val="000000"/>
          <w:sz w:val="26"/>
          <w:szCs w:val="26"/>
        </w:rPr>
        <w:t xml:space="preserve"> Donald</w:t>
      </w:r>
      <w:r w:rsidR="0036311B" w:rsidRPr="00476D36">
        <w:rPr>
          <w:color w:val="000000"/>
          <w:sz w:val="26"/>
          <w:szCs w:val="26"/>
        </w:rPr>
        <w:t xml:space="preserve"> </w:t>
      </w:r>
      <w:proofErr w:type="spellStart"/>
      <w:r w:rsidR="0036311B" w:rsidRPr="00476D36">
        <w:rPr>
          <w:color w:val="000000"/>
          <w:sz w:val="26"/>
          <w:szCs w:val="26"/>
        </w:rPr>
        <w:t>Vinciguerra</w:t>
      </w:r>
      <w:proofErr w:type="spellEnd"/>
      <w:r w:rsidR="009C4B0A" w:rsidRPr="00476D36">
        <w:rPr>
          <w:color w:val="000000"/>
          <w:sz w:val="26"/>
          <w:szCs w:val="26"/>
        </w:rPr>
        <w:t xml:space="preserve">, also </w:t>
      </w:r>
      <w:r w:rsidR="0036311B" w:rsidRPr="00476D36">
        <w:rPr>
          <w:color w:val="000000"/>
          <w:sz w:val="26"/>
          <w:szCs w:val="26"/>
        </w:rPr>
        <w:t>specific</w:t>
      </w:r>
      <w:r w:rsidR="009C4B0A" w:rsidRPr="00476D36">
        <w:rPr>
          <w:color w:val="000000"/>
          <w:sz w:val="26"/>
          <w:szCs w:val="26"/>
        </w:rPr>
        <w:t>ally</w:t>
      </w:r>
      <w:r w:rsidR="0036311B" w:rsidRPr="00476D36">
        <w:rPr>
          <w:color w:val="000000"/>
          <w:sz w:val="26"/>
          <w:szCs w:val="26"/>
        </w:rPr>
        <w:t xml:space="preserve"> testified that the Company</w:t>
      </w:r>
      <w:r w:rsidR="009C4B0A" w:rsidRPr="00476D36">
        <w:rPr>
          <w:color w:val="000000"/>
          <w:sz w:val="26"/>
          <w:szCs w:val="26"/>
        </w:rPr>
        <w:t>’</w:t>
      </w:r>
      <w:r w:rsidR="0036311B" w:rsidRPr="00476D36">
        <w:rPr>
          <w:color w:val="000000"/>
          <w:sz w:val="26"/>
          <w:szCs w:val="26"/>
        </w:rPr>
        <w:t xml:space="preserve">s AMI meters use a 900 MHz frequency. </w:t>
      </w:r>
      <w:r w:rsidR="009C4B0A" w:rsidRPr="00476D36">
        <w:rPr>
          <w:color w:val="000000"/>
          <w:sz w:val="26"/>
          <w:szCs w:val="26"/>
        </w:rPr>
        <w:t xml:space="preserve"> R. Exc. </w:t>
      </w:r>
      <w:r w:rsidR="0036311B" w:rsidRPr="00476D36">
        <w:rPr>
          <w:color w:val="000000"/>
          <w:sz w:val="26"/>
          <w:szCs w:val="26"/>
        </w:rPr>
        <w:t>(PPL St. 4</w:t>
      </w:r>
      <w:r w:rsidR="009C4B0A" w:rsidRPr="00476D36">
        <w:rPr>
          <w:color w:val="000000"/>
          <w:sz w:val="26"/>
          <w:szCs w:val="26"/>
        </w:rPr>
        <w:t xml:space="preserve"> at</w:t>
      </w:r>
      <w:r w:rsidR="0036311B" w:rsidRPr="00476D36">
        <w:rPr>
          <w:color w:val="000000"/>
          <w:sz w:val="26"/>
          <w:szCs w:val="26"/>
        </w:rPr>
        <w:t xml:space="preserve"> 5)</w:t>
      </w:r>
      <w:r w:rsidR="009C4B0A" w:rsidRPr="00476D36">
        <w:rPr>
          <w:color w:val="000000"/>
          <w:sz w:val="26"/>
          <w:szCs w:val="26"/>
        </w:rPr>
        <w:t xml:space="preserve">.  Thus, PPL asserts there is </w:t>
      </w:r>
      <w:r w:rsidR="0036311B" w:rsidRPr="00476D36">
        <w:rPr>
          <w:color w:val="000000"/>
          <w:sz w:val="26"/>
          <w:szCs w:val="26"/>
        </w:rPr>
        <w:t xml:space="preserve">no discrepancy between </w:t>
      </w:r>
      <w:r w:rsidR="009C4B0A" w:rsidRPr="00476D36">
        <w:rPr>
          <w:color w:val="000000"/>
          <w:sz w:val="26"/>
          <w:szCs w:val="26"/>
        </w:rPr>
        <w:t>these</w:t>
      </w:r>
      <w:r w:rsidR="0036311B" w:rsidRPr="00476D36">
        <w:rPr>
          <w:color w:val="000000"/>
          <w:sz w:val="26"/>
          <w:szCs w:val="26"/>
        </w:rPr>
        <w:t xml:space="preserve"> two statements</w:t>
      </w:r>
      <w:r w:rsidR="009C4B0A" w:rsidRPr="00476D36">
        <w:rPr>
          <w:color w:val="000000"/>
          <w:sz w:val="26"/>
          <w:szCs w:val="26"/>
        </w:rPr>
        <w:t xml:space="preserve"> and that the Complainant’s Exception should be denied</w:t>
      </w:r>
      <w:r w:rsidR="0036311B" w:rsidRPr="00476D36">
        <w:rPr>
          <w:color w:val="000000"/>
          <w:sz w:val="26"/>
          <w:szCs w:val="26"/>
        </w:rPr>
        <w:t>.</w:t>
      </w:r>
      <w:r w:rsidR="006F5102" w:rsidRPr="00476D36">
        <w:rPr>
          <w:color w:val="000000"/>
          <w:sz w:val="26"/>
          <w:szCs w:val="26"/>
        </w:rPr>
        <w:t xml:space="preserve">  </w:t>
      </w:r>
      <w:r w:rsidR="006F5102" w:rsidRPr="00476D36">
        <w:rPr>
          <w:i/>
          <w:iCs/>
          <w:color w:val="000000"/>
          <w:sz w:val="26"/>
          <w:szCs w:val="26"/>
        </w:rPr>
        <w:t>Id.</w:t>
      </w:r>
      <w:r w:rsidR="006F5102" w:rsidRPr="00476D36">
        <w:rPr>
          <w:color w:val="000000"/>
          <w:sz w:val="26"/>
          <w:szCs w:val="26"/>
        </w:rPr>
        <w:t xml:space="preserve"> </w:t>
      </w:r>
    </w:p>
    <w:p w14:paraId="5ADCFC77" w14:textId="77777777" w:rsidR="00A358CC" w:rsidRPr="00476D36" w:rsidRDefault="00A358CC" w:rsidP="0065370E">
      <w:pPr>
        <w:widowControl/>
        <w:spacing w:line="360" w:lineRule="auto"/>
        <w:ind w:right="72" w:firstLine="1440"/>
        <w:textAlignment w:val="baseline"/>
        <w:rPr>
          <w:color w:val="000000"/>
          <w:sz w:val="26"/>
          <w:szCs w:val="26"/>
        </w:rPr>
      </w:pPr>
    </w:p>
    <w:p w14:paraId="6ACE41D0" w14:textId="32AF4BE7" w:rsidR="00D9578B" w:rsidRPr="00476D36" w:rsidRDefault="00AA3389" w:rsidP="0065370E">
      <w:pPr>
        <w:widowControl/>
        <w:spacing w:line="360" w:lineRule="auto"/>
        <w:ind w:right="72" w:firstLine="1440"/>
        <w:textAlignment w:val="baseline"/>
        <w:rPr>
          <w:color w:val="000000"/>
          <w:sz w:val="26"/>
          <w:szCs w:val="26"/>
        </w:rPr>
      </w:pPr>
      <w:r w:rsidRPr="00476D36">
        <w:rPr>
          <w:color w:val="000000"/>
          <w:sz w:val="26"/>
          <w:szCs w:val="26"/>
        </w:rPr>
        <w:t xml:space="preserve">Upon review, we shall deny the second Exception.  We agree with PPL that consideration of this extra-record evidence would present due process </w:t>
      </w:r>
      <w:r w:rsidR="00D9578B" w:rsidRPr="00476D36">
        <w:rPr>
          <w:color w:val="000000"/>
          <w:sz w:val="26"/>
          <w:szCs w:val="26"/>
        </w:rPr>
        <w:t>concerns in terms of notice, an opportunity to be heard on the issue</w:t>
      </w:r>
      <w:r w:rsidR="00651FD5" w:rsidRPr="00476D36">
        <w:rPr>
          <w:color w:val="000000"/>
          <w:sz w:val="26"/>
          <w:szCs w:val="26"/>
        </w:rPr>
        <w:t xml:space="preserve"> and </w:t>
      </w:r>
      <w:r w:rsidR="00D9578B" w:rsidRPr="00476D36">
        <w:rPr>
          <w:color w:val="000000"/>
          <w:sz w:val="26"/>
          <w:szCs w:val="26"/>
        </w:rPr>
        <w:t xml:space="preserve">to cross-examine the Complainant, and to offer evidence in explanation or rebuttal.  </w:t>
      </w:r>
      <w:r w:rsidR="000A2869" w:rsidRPr="00476D36">
        <w:rPr>
          <w:i/>
          <w:iCs/>
          <w:color w:val="000000"/>
          <w:sz w:val="26"/>
          <w:szCs w:val="26"/>
        </w:rPr>
        <w:t>See</w:t>
      </w:r>
      <w:r w:rsidR="000A2869" w:rsidRPr="00476D36">
        <w:rPr>
          <w:color w:val="000000"/>
          <w:sz w:val="26"/>
          <w:szCs w:val="26"/>
        </w:rPr>
        <w:t xml:space="preserve">, </w:t>
      </w:r>
      <w:r w:rsidR="00D9578B" w:rsidRPr="00476D36">
        <w:rPr>
          <w:i/>
          <w:iCs/>
          <w:color w:val="000000"/>
          <w:sz w:val="26"/>
          <w:szCs w:val="26"/>
        </w:rPr>
        <w:t>Hess</w:t>
      </w:r>
      <w:r w:rsidR="00D9578B" w:rsidRPr="00476D36">
        <w:rPr>
          <w:color w:val="000000"/>
          <w:sz w:val="26"/>
          <w:szCs w:val="26"/>
        </w:rPr>
        <w:t>, 107 A.3d at</w:t>
      </w:r>
      <w:r w:rsidR="005441F7" w:rsidRPr="00476D36">
        <w:rPr>
          <w:color w:val="000000"/>
          <w:sz w:val="26"/>
          <w:szCs w:val="26"/>
        </w:rPr>
        <w:t> </w:t>
      </w:r>
      <w:r w:rsidR="00D9578B" w:rsidRPr="00476D36">
        <w:rPr>
          <w:color w:val="000000"/>
          <w:sz w:val="26"/>
          <w:szCs w:val="26"/>
        </w:rPr>
        <w:t xml:space="preserve">266.  Moreover, even if we were to allow this into evidence at this late stage or </w:t>
      </w:r>
      <w:r w:rsidR="00651FD5" w:rsidRPr="00476D36">
        <w:rPr>
          <w:color w:val="000000"/>
          <w:sz w:val="26"/>
          <w:szCs w:val="26"/>
        </w:rPr>
        <w:t xml:space="preserve">to </w:t>
      </w:r>
      <w:r w:rsidR="00D9578B" w:rsidRPr="00476D36">
        <w:rPr>
          <w:color w:val="000000"/>
          <w:sz w:val="26"/>
          <w:szCs w:val="26"/>
        </w:rPr>
        <w:t>take administrative notice of it, the Complainant’s Exception appears to lack merit</w:t>
      </w:r>
      <w:r w:rsidR="000A2869" w:rsidRPr="00476D36">
        <w:rPr>
          <w:color w:val="000000"/>
          <w:sz w:val="26"/>
          <w:szCs w:val="26"/>
        </w:rPr>
        <w:t xml:space="preserve"> in that there is no apparent conflict </w:t>
      </w:r>
      <w:r w:rsidR="00651FD5" w:rsidRPr="00476D36">
        <w:rPr>
          <w:color w:val="000000"/>
          <w:sz w:val="26"/>
          <w:szCs w:val="26"/>
        </w:rPr>
        <w:t>with</w:t>
      </w:r>
      <w:r w:rsidR="000A2869" w:rsidRPr="00476D36">
        <w:rPr>
          <w:color w:val="000000"/>
          <w:sz w:val="26"/>
          <w:szCs w:val="26"/>
        </w:rPr>
        <w:t xml:space="preserve"> Mr. </w:t>
      </w:r>
      <w:proofErr w:type="spellStart"/>
      <w:r w:rsidR="000A2869" w:rsidRPr="00476D36">
        <w:rPr>
          <w:color w:val="000000"/>
          <w:sz w:val="26"/>
          <w:szCs w:val="26"/>
        </w:rPr>
        <w:t>Vinciguerra’s</w:t>
      </w:r>
      <w:proofErr w:type="spellEnd"/>
      <w:r w:rsidR="000A2869" w:rsidRPr="00476D36">
        <w:rPr>
          <w:color w:val="000000"/>
          <w:sz w:val="26"/>
          <w:szCs w:val="26"/>
        </w:rPr>
        <w:t xml:space="preserve"> testimony.  </w:t>
      </w:r>
    </w:p>
    <w:p w14:paraId="05BFA793" w14:textId="6E94DAEA" w:rsidR="006F5102" w:rsidRPr="00476D36" w:rsidRDefault="006F5102" w:rsidP="0065370E">
      <w:pPr>
        <w:widowControl/>
        <w:spacing w:line="360" w:lineRule="auto"/>
        <w:ind w:right="72" w:firstLine="1440"/>
        <w:textAlignment w:val="baseline"/>
        <w:rPr>
          <w:color w:val="000000"/>
          <w:sz w:val="26"/>
          <w:szCs w:val="26"/>
        </w:rPr>
      </w:pPr>
    </w:p>
    <w:p w14:paraId="248C722B" w14:textId="7C5AFAEE" w:rsidR="006F5102" w:rsidRPr="00476D36" w:rsidRDefault="005614CA" w:rsidP="0065370E">
      <w:pPr>
        <w:widowControl/>
        <w:spacing w:line="360" w:lineRule="auto"/>
        <w:ind w:right="72" w:firstLine="1440"/>
        <w:textAlignment w:val="baseline"/>
        <w:rPr>
          <w:color w:val="000000"/>
          <w:sz w:val="26"/>
          <w:szCs w:val="26"/>
        </w:rPr>
      </w:pPr>
      <w:r w:rsidRPr="00476D36">
        <w:rPr>
          <w:color w:val="000000"/>
          <w:sz w:val="26"/>
          <w:szCs w:val="26"/>
        </w:rPr>
        <w:t xml:space="preserve">In her third Exception, </w:t>
      </w:r>
      <w:r w:rsidR="00FF7E11" w:rsidRPr="00476D36">
        <w:rPr>
          <w:color w:val="000000"/>
          <w:sz w:val="26"/>
          <w:szCs w:val="26"/>
        </w:rPr>
        <w:t xml:space="preserve">the Complainant argues that </w:t>
      </w:r>
      <w:r w:rsidR="00177801" w:rsidRPr="00476D36">
        <w:rPr>
          <w:color w:val="000000"/>
          <w:sz w:val="26"/>
          <w:szCs w:val="26"/>
        </w:rPr>
        <w:t>f</w:t>
      </w:r>
      <w:r w:rsidR="00FF7E11" w:rsidRPr="00476D36">
        <w:rPr>
          <w:color w:val="000000"/>
          <w:sz w:val="26"/>
          <w:szCs w:val="26"/>
        </w:rPr>
        <w:t xml:space="preserve">ederal law does not make smart meters mandatory and the AMI meters violate 18 U.S.C. §§ 241 and 242.  Additionally, the Complainant avers that PPL “took money from the Department of Energy” and that she should have the right to choose what is good for </w:t>
      </w:r>
      <w:r w:rsidR="00673CBE" w:rsidRPr="00476D36">
        <w:rPr>
          <w:color w:val="000000"/>
          <w:sz w:val="26"/>
          <w:szCs w:val="26"/>
        </w:rPr>
        <w:t xml:space="preserve">her </w:t>
      </w:r>
      <w:r w:rsidR="00FF7E11" w:rsidRPr="00476D36">
        <w:rPr>
          <w:color w:val="000000"/>
          <w:sz w:val="26"/>
          <w:szCs w:val="26"/>
        </w:rPr>
        <w:t>health.  Exc. at</w:t>
      </w:r>
      <w:r w:rsidR="00A3138F" w:rsidRPr="00476D36">
        <w:rPr>
          <w:color w:val="000000"/>
          <w:sz w:val="26"/>
          <w:szCs w:val="26"/>
        </w:rPr>
        <w:t> </w:t>
      </w:r>
      <w:r w:rsidR="00FF7E11" w:rsidRPr="00476D36">
        <w:rPr>
          <w:color w:val="000000"/>
          <w:sz w:val="26"/>
          <w:szCs w:val="26"/>
        </w:rPr>
        <w:t xml:space="preserve">6.  </w:t>
      </w:r>
    </w:p>
    <w:p w14:paraId="3B04A534" w14:textId="77777777" w:rsidR="000F69FE" w:rsidRPr="00476D36" w:rsidRDefault="000F69FE" w:rsidP="0065370E">
      <w:pPr>
        <w:widowControl/>
        <w:spacing w:line="360" w:lineRule="auto"/>
        <w:ind w:right="72" w:firstLine="1440"/>
        <w:textAlignment w:val="baseline"/>
        <w:rPr>
          <w:color w:val="000000"/>
          <w:sz w:val="26"/>
          <w:szCs w:val="26"/>
        </w:rPr>
      </w:pPr>
    </w:p>
    <w:p w14:paraId="3C427D9A" w14:textId="2FAED4B3" w:rsidR="00673CBE" w:rsidRPr="00476D36" w:rsidRDefault="00673CBE" w:rsidP="00673CBE">
      <w:pPr>
        <w:widowControl/>
        <w:spacing w:line="360" w:lineRule="auto"/>
        <w:ind w:right="72" w:firstLine="1440"/>
        <w:textAlignment w:val="baseline"/>
        <w:rPr>
          <w:color w:val="000000"/>
          <w:sz w:val="26"/>
          <w:szCs w:val="26"/>
        </w:rPr>
      </w:pPr>
      <w:r w:rsidRPr="00476D36">
        <w:rPr>
          <w:color w:val="000000"/>
          <w:sz w:val="26"/>
          <w:szCs w:val="26"/>
        </w:rPr>
        <w:t xml:space="preserve">In its </w:t>
      </w:r>
      <w:r w:rsidR="0068257B" w:rsidRPr="00476D36">
        <w:rPr>
          <w:color w:val="000000"/>
          <w:sz w:val="26"/>
          <w:szCs w:val="26"/>
        </w:rPr>
        <w:t>R</w:t>
      </w:r>
      <w:r w:rsidRPr="00476D36">
        <w:rPr>
          <w:color w:val="000000"/>
          <w:sz w:val="26"/>
          <w:szCs w:val="26"/>
        </w:rPr>
        <w:t>eplies, PPL argues that the Commonwealth Court previously found that federal law does not preempt Act 129</w:t>
      </w:r>
      <w:r w:rsidR="00A608DA" w:rsidRPr="00476D36">
        <w:rPr>
          <w:color w:val="000000"/>
          <w:sz w:val="26"/>
          <w:szCs w:val="26"/>
        </w:rPr>
        <w:t>.  In</w:t>
      </w:r>
      <w:r w:rsidR="00177801" w:rsidRPr="00476D36">
        <w:rPr>
          <w:color w:val="000000"/>
          <w:sz w:val="26"/>
          <w:szCs w:val="26"/>
        </w:rPr>
        <w:t xml:space="preserve"> </w:t>
      </w:r>
      <w:r w:rsidRPr="00476D36">
        <w:rPr>
          <w:i/>
          <w:color w:val="000000"/>
          <w:sz w:val="26"/>
          <w:szCs w:val="26"/>
        </w:rPr>
        <w:t xml:space="preserve">Romeo, </w:t>
      </w:r>
      <w:r w:rsidRPr="00476D36">
        <w:rPr>
          <w:color w:val="000000"/>
          <w:sz w:val="26"/>
          <w:szCs w:val="26"/>
        </w:rPr>
        <w:t xml:space="preserve">the Court held that the Public Utility Regulatory Policies Act of 1978 and the Energy Policy Act of 2005 </w:t>
      </w:r>
      <w:r w:rsidR="008B1AC5" w:rsidRPr="00476D36">
        <w:rPr>
          <w:color w:val="000000"/>
          <w:sz w:val="26"/>
          <w:szCs w:val="26"/>
        </w:rPr>
        <w:t>“</w:t>
      </w:r>
      <w:r w:rsidRPr="00476D36">
        <w:rPr>
          <w:color w:val="000000"/>
          <w:sz w:val="26"/>
          <w:szCs w:val="26"/>
        </w:rPr>
        <w:t>do</w:t>
      </w:r>
      <w:r w:rsidR="005441F7" w:rsidRPr="00476D36">
        <w:rPr>
          <w:color w:val="000000"/>
          <w:sz w:val="26"/>
          <w:szCs w:val="26"/>
        </w:rPr>
        <w:t> </w:t>
      </w:r>
      <w:r w:rsidRPr="00476D36">
        <w:rPr>
          <w:color w:val="000000"/>
          <w:sz w:val="26"/>
          <w:szCs w:val="26"/>
        </w:rPr>
        <w:t>not preempt the smart meter provisions of the Code or of Act 129.</w:t>
      </w:r>
      <w:r w:rsidR="008B1AC5" w:rsidRPr="00476D36">
        <w:rPr>
          <w:color w:val="000000"/>
          <w:sz w:val="26"/>
          <w:szCs w:val="26"/>
        </w:rPr>
        <w:t>”  R. Exc. at 9 (quoting</w:t>
      </w:r>
      <w:r w:rsidRPr="00476D36">
        <w:rPr>
          <w:color w:val="000000"/>
          <w:sz w:val="26"/>
          <w:szCs w:val="26"/>
        </w:rPr>
        <w:t xml:space="preserve"> </w:t>
      </w:r>
      <w:r w:rsidRPr="00476D36">
        <w:rPr>
          <w:i/>
          <w:color w:val="000000"/>
          <w:sz w:val="26"/>
          <w:szCs w:val="26"/>
        </w:rPr>
        <w:t>Romeo</w:t>
      </w:r>
      <w:r w:rsidRPr="00476D36">
        <w:rPr>
          <w:iCs/>
          <w:color w:val="000000"/>
          <w:sz w:val="26"/>
          <w:szCs w:val="26"/>
        </w:rPr>
        <w:t>,</w:t>
      </w:r>
      <w:r w:rsidRPr="00476D36">
        <w:rPr>
          <w:i/>
          <w:color w:val="000000"/>
          <w:sz w:val="26"/>
          <w:szCs w:val="26"/>
        </w:rPr>
        <w:t xml:space="preserve"> </w:t>
      </w:r>
      <w:r w:rsidRPr="00476D36">
        <w:rPr>
          <w:color w:val="000000"/>
          <w:sz w:val="26"/>
          <w:szCs w:val="26"/>
        </w:rPr>
        <w:t xml:space="preserve">154 A.3d </w:t>
      </w:r>
      <w:r w:rsidR="008B1AC5" w:rsidRPr="00476D36">
        <w:rPr>
          <w:color w:val="000000"/>
          <w:sz w:val="26"/>
          <w:szCs w:val="26"/>
        </w:rPr>
        <w:t>at</w:t>
      </w:r>
      <w:r w:rsidRPr="00476D36">
        <w:rPr>
          <w:color w:val="000000"/>
          <w:sz w:val="26"/>
          <w:szCs w:val="26"/>
        </w:rPr>
        <w:t xml:space="preserve"> 428). </w:t>
      </w:r>
      <w:r w:rsidR="00A608DA" w:rsidRPr="00476D36">
        <w:rPr>
          <w:color w:val="000000"/>
          <w:sz w:val="26"/>
          <w:szCs w:val="26"/>
        </w:rPr>
        <w:t xml:space="preserve"> The Company </w:t>
      </w:r>
      <w:r w:rsidR="003937F3" w:rsidRPr="00476D36">
        <w:rPr>
          <w:color w:val="000000"/>
          <w:sz w:val="26"/>
          <w:szCs w:val="26"/>
        </w:rPr>
        <w:t xml:space="preserve">also </w:t>
      </w:r>
      <w:r w:rsidR="00A608DA" w:rsidRPr="00476D36">
        <w:rPr>
          <w:color w:val="000000"/>
          <w:sz w:val="26"/>
          <w:szCs w:val="26"/>
        </w:rPr>
        <w:t>quotes from the</w:t>
      </w:r>
      <w:r w:rsidRPr="00476D36">
        <w:rPr>
          <w:color w:val="000000"/>
          <w:sz w:val="26"/>
          <w:szCs w:val="26"/>
        </w:rPr>
        <w:t xml:space="preserve"> Court</w:t>
      </w:r>
      <w:r w:rsidR="00A608DA" w:rsidRPr="00476D36">
        <w:rPr>
          <w:color w:val="000000"/>
          <w:sz w:val="26"/>
          <w:szCs w:val="26"/>
        </w:rPr>
        <w:t>’s rationale</w:t>
      </w:r>
      <w:r w:rsidRPr="00476D36">
        <w:rPr>
          <w:color w:val="000000"/>
          <w:sz w:val="26"/>
          <w:szCs w:val="26"/>
        </w:rPr>
        <w:t xml:space="preserve"> that the </w:t>
      </w:r>
      <w:r w:rsidR="00A608DA" w:rsidRPr="00476D36">
        <w:rPr>
          <w:color w:val="000000"/>
          <w:sz w:val="26"/>
          <w:szCs w:val="26"/>
        </w:rPr>
        <w:t>“</w:t>
      </w:r>
      <w:r w:rsidRPr="00476D36">
        <w:rPr>
          <w:color w:val="000000"/>
          <w:sz w:val="26"/>
          <w:szCs w:val="26"/>
        </w:rPr>
        <w:t>federal standards are a supplement to the state standards, and the state is only required to consider the federal standards.</w:t>
      </w:r>
      <w:r w:rsidR="00A608DA" w:rsidRPr="00476D36">
        <w:rPr>
          <w:color w:val="000000"/>
          <w:sz w:val="26"/>
          <w:szCs w:val="26"/>
        </w:rPr>
        <w:t xml:space="preserve">” </w:t>
      </w:r>
      <w:r w:rsidRPr="00476D36">
        <w:rPr>
          <w:color w:val="000000"/>
          <w:sz w:val="26"/>
          <w:szCs w:val="26"/>
        </w:rPr>
        <w:t xml:space="preserve"> </w:t>
      </w:r>
      <w:r w:rsidRPr="00476D36">
        <w:rPr>
          <w:i/>
          <w:color w:val="000000"/>
          <w:sz w:val="26"/>
          <w:szCs w:val="26"/>
        </w:rPr>
        <w:t xml:space="preserve">Id. </w:t>
      </w:r>
      <w:r w:rsidR="00A608DA" w:rsidRPr="00476D36">
        <w:rPr>
          <w:i/>
          <w:color w:val="000000"/>
          <w:sz w:val="26"/>
          <w:szCs w:val="26"/>
        </w:rPr>
        <w:t xml:space="preserve"> </w:t>
      </w:r>
      <w:r w:rsidR="00A608DA" w:rsidRPr="00476D36">
        <w:rPr>
          <w:color w:val="000000"/>
          <w:sz w:val="26"/>
          <w:szCs w:val="26"/>
        </w:rPr>
        <w:t xml:space="preserve">Consistent with </w:t>
      </w:r>
      <w:r w:rsidR="003937F3" w:rsidRPr="00476D36">
        <w:rPr>
          <w:color w:val="000000"/>
          <w:sz w:val="26"/>
          <w:szCs w:val="26"/>
        </w:rPr>
        <w:t xml:space="preserve">the determination in </w:t>
      </w:r>
      <w:r w:rsidR="00A608DA" w:rsidRPr="00476D36">
        <w:rPr>
          <w:i/>
          <w:iCs/>
          <w:color w:val="000000"/>
          <w:sz w:val="26"/>
          <w:szCs w:val="26"/>
        </w:rPr>
        <w:t>Romeo</w:t>
      </w:r>
      <w:r w:rsidR="00A608DA" w:rsidRPr="00476D36">
        <w:rPr>
          <w:color w:val="000000"/>
          <w:sz w:val="26"/>
          <w:szCs w:val="26"/>
        </w:rPr>
        <w:t xml:space="preserve"> that</w:t>
      </w:r>
      <w:r w:rsidRPr="00476D36">
        <w:rPr>
          <w:color w:val="000000"/>
          <w:sz w:val="26"/>
          <w:szCs w:val="26"/>
        </w:rPr>
        <w:t xml:space="preserve"> </w:t>
      </w:r>
      <w:r w:rsidR="00A608DA" w:rsidRPr="00476D36">
        <w:rPr>
          <w:color w:val="000000"/>
          <w:sz w:val="26"/>
          <w:szCs w:val="26"/>
        </w:rPr>
        <w:lastRenderedPageBreak/>
        <w:t>“</w:t>
      </w:r>
      <w:r w:rsidRPr="00476D36">
        <w:rPr>
          <w:color w:val="000000"/>
          <w:sz w:val="26"/>
          <w:szCs w:val="26"/>
        </w:rPr>
        <w:t>the federal and state standards are not and cannot be in conflict</w:t>
      </w:r>
      <w:r w:rsidR="00A608DA" w:rsidRPr="00476D36">
        <w:rPr>
          <w:color w:val="000000"/>
          <w:sz w:val="26"/>
          <w:szCs w:val="26"/>
        </w:rPr>
        <w:t>,”</w:t>
      </w:r>
      <w:r w:rsidR="001E61F2" w:rsidRPr="00476D36">
        <w:rPr>
          <w:color w:val="000000"/>
          <w:sz w:val="26"/>
          <w:szCs w:val="26"/>
        </w:rPr>
        <w:t xml:space="preserve"> </w:t>
      </w:r>
      <w:r w:rsidR="00A608DA" w:rsidRPr="00476D36">
        <w:rPr>
          <w:iCs/>
          <w:color w:val="000000"/>
          <w:sz w:val="26"/>
          <w:szCs w:val="26"/>
        </w:rPr>
        <w:t xml:space="preserve">the Company argues that </w:t>
      </w:r>
      <w:r w:rsidRPr="00476D36">
        <w:rPr>
          <w:color w:val="000000"/>
          <w:sz w:val="26"/>
          <w:szCs w:val="26"/>
        </w:rPr>
        <w:t>the Commission should reject the Complainant</w:t>
      </w:r>
      <w:r w:rsidR="003937F3" w:rsidRPr="00476D36">
        <w:rPr>
          <w:color w:val="000000"/>
          <w:sz w:val="26"/>
          <w:szCs w:val="26"/>
        </w:rPr>
        <w:t>’</w:t>
      </w:r>
      <w:r w:rsidRPr="00476D36">
        <w:rPr>
          <w:color w:val="000000"/>
          <w:sz w:val="26"/>
          <w:szCs w:val="26"/>
        </w:rPr>
        <w:t>s argument that Act 129 is preempted by federal law.</w:t>
      </w:r>
      <w:r w:rsidR="003937F3" w:rsidRPr="00476D36">
        <w:rPr>
          <w:color w:val="000000"/>
          <w:sz w:val="26"/>
          <w:szCs w:val="26"/>
        </w:rPr>
        <w:t xml:space="preserve">  R. Exc. at 9.</w:t>
      </w:r>
    </w:p>
    <w:p w14:paraId="5DD9623F" w14:textId="77777777" w:rsidR="003937F3" w:rsidRPr="00476D36" w:rsidRDefault="003937F3" w:rsidP="00673CBE">
      <w:pPr>
        <w:widowControl/>
        <w:spacing w:line="360" w:lineRule="auto"/>
        <w:ind w:right="72" w:firstLine="1440"/>
        <w:textAlignment w:val="baseline"/>
        <w:rPr>
          <w:color w:val="000000"/>
          <w:sz w:val="26"/>
          <w:szCs w:val="26"/>
        </w:rPr>
      </w:pPr>
    </w:p>
    <w:p w14:paraId="779AFAE7" w14:textId="41AF3C64" w:rsidR="00FF7E11" w:rsidRPr="00476D36" w:rsidRDefault="003937F3" w:rsidP="00185FE9">
      <w:pPr>
        <w:widowControl/>
        <w:spacing w:line="360" w:lineRule="auto"/>
        <w:ind w:right="72" w:firstLine="1440"/>
        <w:textAlignment w:val="baseline"/>
        <w:rPr>
          <w:color w:val="000000"/>
          <w:sz w:val="26"/>
          <w:szCs w:val="26"/>
        </w:rPr>
      </w:pPr>
      <w:r w:rsidRPr="00476D36">
        <w:rPr>
          <w:color w:val="000000"/>
          <w:sz w:val="26"/>
          <w:szCs w:val="26"/>
        </w:rPr>
        <w:t>Additionally</w:t>
      </w:r>
      <w:r w:rsidR="00673CBE" w:rsidRPr="00476D36">
        <w:rPr>
          <w:color w:val="000000"/>
          <w:sz w:val="26"/>
          <w:szCs w:val="26"/>
        </w:rPr>
        <w:t xml:space="preserve">, </w:t>
      </w:r>
      <w:r w:rsidRPr="00476D36">
        <w:rPr>
          <w:color w:val="000000"/>
          <w:sz w:val="26"/>
          <w:szCs w:val="26"/>
        </w:rPr>
        <w:t xml:space="preserve">PPL submits that the </w:t>
      </w:r>
      <w:r w:rsidR="00673CBE" w:rsidRPr="00476D36">
        <w:rPr>
          <w:color w:val="000000"/>
          <w:sz w:val="26"/>
          <w:szCs w:val="26"/>
        </w:rPr>
        <w:t xml:space="preserve">Commission should disregard the alleged violations of </w:t>
      </w:r>
      <w:r w:rsidRPr="00476D36">
        <w:rPr>
          <w:color w:val="000000"/>
          <w:sz w:val="26"/>
          <w:szCs w:val="26"/>
        </w:rPr>
        <w:t xml:space="preserve">the federal criminal statutes cited by the Complainant – </w:t>
      </w:r>
      <w:r w:rsidR="00673CBE" w:rsidRPr="00476D36">
        <w:rPr>
          <w:color w:val="000000"/>
          <w:sz w:val="26"/>
          <w:szCs w:val="26"/>
        </w:rPr>
        <w:t>18 U.S.C. §§ 241 and 242.</w:t>
      </w:r>
      <w:r w:rsidRPr="00476D36">
        <w:rPr>
          <w:color w:val="000000"/>
          <w:sz w:val="26"/>
          <w:szCs w:val="26"/>
        </w:rPr>
        <w:t xml:space="preserve">  </w:t>
      </w:r>
      <w:r w:rsidR="000E1C44" w:rsidRPr="00476D36">
        <w:rPr>
          <w:color w:val="000000"/>
          <w:sz w:val="26"/>
          <w:szCs w:val="26"/>
        </w:rPr>
        <w:t xml:space="preserve">The Company argues that as </w:t>
      </w:r>
      <w:r w:rsidR="00673CBE" w:rsidRPr="00476D36">
        <w:rPr>
          <w:color w:val="000000"/>
          <w:sz w:val="26"/>
          <w:szCs w:val="26"/>
        </w:rPr>
        <w:t xml:space="preserve">a creature of statute, the </w:t>
      </w:r>
      <w:r w:rsidR="000E1C44" w:rsidRPr="00476D36">
        <w:rPr>
          <w:color w:val="000000"/>
          <w:sz w:val="26"/>
          <w:szCs w:val="26"/>
        </w:rPr>
        <w:t>Commission “</w:t>
      </w:r>
      <w:r w:rsidR="00673CBE" w:rsidRPr="00476D36">
        <w:rPr>
          <w:color w:val="000000"/>
          <w:sz w:val="26"/>
          <w:szCs w:val="26"/>
        </w:rPr>
        <w:t>has only those powers which are expressly conferred upon it by the Legislature and those powers which arise by necessary implication.</w:t>
      </w:r>
      <w:r w:rsidR="000E1C44" w:rsidRPr="00476D36">
        <w:rPr>
          <w:color w:val="000000"/>
          <w:sz w:val="26"/>
          <w:szCs w:val="26"/>
        </w:rPr>
        <w:t xml:space="preserve">”  R. Exc. at 9 </w:t>
      </w:r>
      <w:r w:rsidR="00F11C1D" w:rsidRPr="00476D36">
        <w:rPr>
          <w:color w:val="000000"/>
          <w:sz w:val="26"/>
          <w:szCs w:val="26"/>
        </w:rPr>
        <w:t xml:space="preserve">(quoting </w:t>
      </w:r>
      <w:r w:rsidR="00673CBE" w:rsidRPr="00476D36">
        <w:rPr>
          <w:i/>
          <w:color w:val="000000"/>
          <w:sz w:val="26"/>
          <w:szCs w:val="26"/>
        </w:rPr>
        <w:t>Feingold v. Bell</w:t>
      </w:r>
      <w:r w:rsidR="00673CBE" w:rsidRPr="00476D36">
        <w:rPr>
          <w:color w:val="000000"/>
          <w:sz w:val="26"/>
          <w:szCs w:val="26"/>
        </w:rPr>
        <w:t xml:space="preserve">, </w:t>
      </w:r>
      <w:r w:rsidR="00D030DB" w:rsidRPr="00476D36">
        <w:rPr>
          <w:color w:val="000000"/>
          <w:sz w:val="26"/>
          <w:szCs w:val="26"/>
        </w:rPr>
        <w:t xml:space="preserve">477 Pa. 1, </w:t>
      </w:r>
      <w:r w:rsidR="00673CBE" w:rsidRPr="00476D36">
        <w:rPr>
          <w:color w:val="000000"/>
          <w:sz w:val="26"/>
          <w:szCs w:val="26"/>
        </w:rPr>
        <w:t>383 A.2d 791, 794 (1977)</w:t>
      </w:r>
      <w:r w:rsidR="00F11C1D" w:rsidRPr="00476D36">
        <w:rPr>
          <w:color w:val="000000"/>
          <w:sz w:val="26"/>
          <w:szCs w:val="26"/>
        </w:rPr>
        <w:t>)</w:t>
      </w:r>
      <w:r w:rsidR="00673CBE" w:rsidRPr="00476D36">
        <w:rPr>
          <w:color w:val="000000"/>
          <w:sz w:val="26"/>
          <w:szCs w:val="26"/>
        </w:rPr>
        <w:t xml:space="preserve">. </w:t>
      </w:r>
      <w:r w:rsidR="00F11C1D" w:rsidRPr="00476D36">
        <w:rPr>
          <w:color w:val="000000"/>
          <w:sz w:val="26"/>
          <w:szCs w:val="26"/>
        </w:rPr>
        <w:t xml:space="preserve"> According to the Company, n</w:t>
      </w:r>
      <w:r w:rsidR="00673CBE" w:rsidRPr="00476D36">
        <w:rPr>
          <w:color w:val="000000"/>
          <w:sz w:val="26"/>
          <w:szCs w:val="26"/>
        </w:rPr>
        <w:t>othing in the Code grants the Commission the ability to interpret and enforce Title 18 of the U.S. Code.</w:t>
      </w:r>
      <w:r w:rsidR="00F11C1D" w:rsidRPr="00476D36">
        <w:rPr>
          <w:rStyle w:val="FootnoteReference"/>
          <w:color w:val="000000"/>
          <w:sz w:val="26"/>
          <w:szCs w:val="26"/>
        </w:rPr>
        <w:footnoteReference w:id="4"/>
      </w:r>
      <w:r w:rsidR="00673CBE" w:rsidRPr="00476D36">
        <w:rPr>
          <w:color w:val="000000"/>
          <w:sz w:val="26"/>
          <w:szCs w:val="26"/>
        </w:rPr>
        <w:t xml:space="preserve"> </w:t>
      </w:r>
      <w:r w:rsidR="004B4C1C" w:rsidRPr="00476D36">
        <w:rPr>
          <w:color w:val="000000"/>
          <w:sz w:val="26"/>
          <w:szCs w:val="26"/>
        </w:rPr>
        <w:t xml:space="preserve"> As such, PPL argues that the Complainant’s third Exception should be denied.  </w:t>
      </w:r>
    </w:p>
    <w:p w14:paraId="0F985EF7" w14:textId="77777777" w:rsidR="008A1E24" w:rsidRPr="00476D36" w:rsidRDefault="008A1E24" w:rsidP="008A1E24">
      <w:pPr>
        <w:widowControl/>
        <w:spacing w:line="360" w:lineRule="auto"/>
        <w:ind w:firstLine="1440"/>
        <w:contextualSpacing/>
        <w:rPr>
          <w:sz w:val="26"/>
          <w:szCs w:val="26"/>
        </w:rPr>
      </w:pPr>
    </w:p>
    <w:p w14:paraId="637FE4B2" w14:textId="61EEF63A" w:rsidR="002C1CEC" w:rsidRPr="00476D36" w:rsidRDefault="004E6C16" w:rsidP="008518BF">
      <w:pPr>
        <w:widowControl/>
        <w:spacing w:line="360" w:lineRule="auto"/>
        <w:ind w:firstLine="1440"/>
        <w:rPr>
          <w:sz w:val="26"/>
          <w:szCs w:val="26"/>
        </w:rPr>
      </w:pPr>
      <w:r w:rsidRPr="00476D36">
        <w:rPr>
          <w:sz w:val="26"/>
          <w:szCs w:val="26"/>
        </w:rPr>
        <w:t xml:space="preserve">We shall deny the Complainant’s third Exception.  </w:t>
      </w:r>
      <w:r w:rsidR="001D2733" w:rsidRPr="00476D36">
        <w:rPr>
          <w:sz w:val="26"/>
          <w:szCs w:val="26"/>
        </w:rPr>
        <w:t xml:space="preserve">The Commission has </w:t>
      </w:r>
      <w:r w:rsidR="009B2BC2" w:rsidRPr="00476D36">
        <w:rPr>
          <w:sz w:val="26"/>
          <w:szCs w:val="26"/>
          <w:lang w:val="en"/>
        </w:rPr>
        <w:t>previously held, under the existing iteration of Section 2807(f)</w:t>
      </w:r>
      <w:r w:rsidR="008518BF" w:rsidRPr="00476D36">
        <w:rPr>
          <w:sz w:val="26"/>
          <w:szCs w:val="26"/>
          <w:lang w:val="en"/>
        </w:rPr>
        <w:t xml:space="preserve"> of the Code,</w:t>
      </w:r>
      <w:r w:rsidR="009B2BC2" w:rsidRPr="00476D36">
        <w:rPr>
          <w:sz w:val="26"/>
          <w:szCs w:val="26"/>
          <w:lang w:val="en"/>
        </w:rPr>
        <w:t xml:space="preserve"> no “opt out” provision exists. </w:t>
      </w:r>
      <w:r w:rsidRPr="00476D36">
        <w:rPr>
          <w:sz w:val="26"/>
          <w:szCs w:val="26"/>
          <w:lang w:val="en"/>
        </w:rPr>
        <w:t xml:space="preserve"> </w:t>
      </w:r>
      <w:r w:rsidR="009B2BC2" w:rsidRPr="00476D36">
        <w:rPr>
          <w:i/>
          <w:iCs/>
          <w:sz w:val="26"/>
          <w:szCs w:val="26"/>
          <w:lang w:val="en"/>
        </w:rPr>
        <w:t>See</w:t>
      </w:r>
      <w:r w:rsidR="009B2BC2" w:rsidRPr="00476D36">
        <w:rPr>
          <w:sz w:val="26"/>
          <w:szCs w:val="26"/>
          <w:lang w:val="en"/>
        </w:rPr>
        <w:t xml:space="preserve"> </w:t>
      </w:r>
      <w:r w:rsidR="009B2BC2" w:rsidRPr="00476D36">
        <w:rPr>
          <w:i/>
          <w:iCs/>
          <w:sz w:val="26"/>
          <w:szCs w:val="26"/>
          <w:lang w:val="en"/>
        </w:rPr>
        <w:t>generally</w:t>
      </w:r>
      <w:r w:rsidR="009B2BC2" w:rsidRPr="00476D36">
        <w:rPr>
          <w:sz w:val="26"/>
          <w:szCs w:val="26"/>
          <w:lang w:val="en"/>
        </w:rPr>
        <w:t xml:space="preserve">, </w:t>
      </w:r>
      <w:r w:rsidR="009B2BC2" w:rsidRPr="00476D36">
        <w:rPr>
          <w:i/>
          <w:iCs/>
          <w:sz w:val="26"/>
          <w:szCs w:val="26"/>
        </w:rPr>
        <w:t>201</w:t>
      </w:r>
      <w:r w:rsidR="008518BF" w:rsidRPr="00476D36">
        <w:rPr>
          <w:i/>
          <w:iCs/>
          <w:sz w:val="26"/>
          <w:szCs w:val="26"/>
        </w:rPr>
        <w:t>3</w:t>
      </w:r>
      <w:r w:rsidR="009B2BC2" w:rsidRPr="00476D36">
        <w:rPr>
          <w:i/>
          <w:iCs/>
          <w:sz w:val="26"/>
          <w:szCs w:val="26"/>
        </w:rPr>
        <w:t xml:space="preserve"> </w:t>
      </w:r>
      <w:proofErr w:type="spellStart"/>
      <w:r w:rsidR="009B2BC2" w:rsidRPr="00476D36">
        <w:rPr>
          <w:i/>
          <w:iCs/>
          <w:sz w:val="26"/>
          <w:szCs w:val="26"/>
        </w:rPr>
        <w:t>Povacz</w:t>
      </w:r>
      <w:proofErr w:type="spellEnd"/>
      <w:r w:rsidR="009B2BC2" w:rsidRPr="00476D36">
        <w:rPr>
          <w:i/>
          <w:iCs/>
          <w:sz w:val="26"/>
          <w:szCs w:val="26"/>
        </w:rPr>
        <w:t xml:space="preserve"> Order</w:t>
      </w:r>
      <w:r w:rsidR="009B2BC2" w:rsidRPr="00476D36">
        <w:rPr>
          <w:sz w:val="26"/>
          <w:szCs w:val="26"/>
        </w:rPr>
        <w:t>;</w:t>
      </w:r>
      <w:r w:rsidR="009B2BC2" w:rsidRPr="00476D36">
        <w:rPr>
          <w:i/>
          <w:iCs/>
          <w:sz w:val="26"/>
          <w:szCs w:val="26"/>
          <w:lang w:val="en"/>
        </w:rPr>
        <w:t xml:space="preserve"> </w:t>
      </w:r>
      <w:proofErr w:type="spellStart"/>
      <w:r w:rsidR="009B2BC2" w:rsidRPr="00476D36">
        <w:rPr>
          <w:i/>
          <w:iCs/>
          <w:sz w:val="26"/>
          <w:szCs w:val="26"/>
          <w:lang w:val="en"/>
        </w:rPr>
        <w:t>Frompovich</w:t>
      </w:r>
      <w:proofErr w:type="spellEnd"/>
      <w:r w:rsidRPr="00476D36">
        <w:rPr>
          <w:sz w:val="26"/>
          <w:szCs w:val="26"/>
          <w:lang w:val="en"/>
        </w:rPr>
        <w:t>;</w:t>
      </w:r>
      <w:r w:rsidRPr="00476D36">
        <w:rPr>
          <w:i/>
          <w:iCs/>
          <w:sz w:val="26"/>
          <w:szCs w:val="26"/>
          <w:lang w:val="en"/>
        </w:rPr>
        <w:t xml:space="preserve"> Kreider</w:t>
      </w:r>
      <w:r w:rsidR="008518BF" w:rsidRPr="00476D36">
        <w:rPr>
          <w:sz w:val="26"/>
          <w:szCs w:val="26"/>
          <w:lang w:val="en"/>
        </w:rPr>
        <w:t>.</w:t>
      </w:r>
      <w:r w:rsidR="009B2BC2" w:rsidRPr="00476D36">
        <w:rPr>
          <w:i/>
          <w:iCs/>
          <w:sz w:val="26"/>
          <w:szCs w:val="26"/>
        </w:rPr>
        <w:t xml:space="preserve"> </w:t>
      </w:r>
      <w:r w:rsidR="009B2BC2" w:rsidRPr="00476D36" w:rsidDel="00BF5E1E">
        <w:rPr>
          <w:sz w:val="26"/>
          <w:szCs w:val="26"/>
          <w:lang w:val="en"/>
        </w:rPr>
        <w:t xml:space="preserve"> </w:t>
      </w:r>
      <w:r w:rsidR="000D7003" w:rsidRPr="00476D36">
        <w:rPr>
          <w:sz w:val="26"/>
          <w:szCs w:val="26"/>
          <w:lang w:val="en"/>
        </w:rPr>
        <w:t xml:space="preserve">We have concluded </w:t>
      </w:r>
      <w:r w:rsidR="002C1CEC" w:rsidRPr="00476D36">
        <w:rPr>
          <w:sz w:val="26"/>
          <w:szCs w:val="26"/>
          <w:lang w:val="en"/>
        </w:rPr>
        <w:t xml:space="preserve">that we do not have the authority, absent directive in the form of legislation, to prohibit </w:t>
      </w:r>
      <w:r w:rsidR="000D7003" w:rsidRPr="00476D36">
        <w:rPr>
          <w:sz w:val="26"/>
          <w:szCs w:val="26"/>
          <w:lang w:val="en"/>
        </w:rPr>
        <w:t>an EDC</w:t>
      </w:r>
      <w:r w:rsidR="002C1CEC" w:rsidRPr="00476D36">
        <w:rPr>
          <w:sz w:val="26"/>
          <w:szCs w:val="26"/>
          <w:lang w:val="en"/>
        </w:rPr>
        <w:t xml:space="preserve"> from installing a smart meter where a customer does not want one</w:t>
      </w:r>
      <w:r w:rsidR="0068257B" w:rsidRPr="00476D36">
        <w:rPr>
          <w:sz w:val="26"/>
          <w:szCs w:val="26"/>
          <w:lang w:val="en"/>
        </w:rPr>
        <w:t xml:space="preserve"> simply due to the customer’s preference</w:t>
      </w:r>
      <w:r w:rsidR="002C1CEC" w:rsidRPr="00476D36">
        <w:rPr>
          <w:sz w:val="26"/>
          <w:szCs w:val="26"/>
          <w:lang w:val="en"/>
        </w:rPr>
        <w:t xml:space="preserve">.  </w:t>
      </w:r>
      <w:r w:rsidR="002C1CEC" w:rsidRPr="00476D36">
        <w:rPr>
          <w:i/>
          <w:sz w:val="26"/>
          <w:szCs w:val="26"/>
          <w:lang w:val="en"/>
        </w:rPr>
        <w:t xml:space="preserve">See </w:t>
      </w:r>
      <w:r w:rsidR="002C1CEC" w:rsidRPr="00476D36">
        <w:rPr>
          <w:i/>
          <w:sz w:val="26"/>
          <w:szCs w:val="26"/>
        </w:rPr>
        <w:t xml:space="preserve">2013 </w:t>
      </w:r>
      <w:proofErr w:type="spellStart"/>
      <w:r w:rsidR="002C1CEC" w:rsidRPr="00476D36">
        <w:rPr>
          <w:i/>
          <w:sz w:val="26"/>
          <w:szCs w:val="26"/>
        </w:rPr>
        <w:t>Povacz</w:t>
      </w:r>
      <w:proofErr w:type="spellEnd"/>
      <w:r w:rsidR="002C1CEC" w:rsidRPr="00476D36">
        <w:rPr>
          <w:i/>
          <w:sz w:val="26"/>
          <w:szCs w:val="26"/>
        </w:rPr>
        <w:t xml:space="preserve"> Order</w:t>
      </w:r>
      <w:r w:rsidR="0068257B" w:rsidRPr="00476D36">
        <w:rPr>
          <w:iCs/>
          <w:sz w:val="26"/>
          <w:szCs w:val="26"/>
        </w:rPr>
        <w:t>;</w:t>
      </w:r>
      <w:r w:rsidR="0068257B" w:rsidRPr="00476D36">
        <w:rPr>
          <w:i/>
          <w:sz w:val="26"/>
          <w:szCs w:val="26"/>
        </w:rPr>
        <w:t xml:space="preserve"> see also 2019 </w:t>
      </w:r>
      <w:proofErr w:type="spellStart"/>
      <w:r w:rsidR="0068257B" w:rsidRPr="00476D36">
        <w:rPr>
          <w:i/>
          <w:sz w:val="26"/>
          <w:szCs w:val="26"/>
        </w:rPr>
        <w:t>Povacz</w:t>
      </w:r>
      <w:proofErr w:type="spellEnd"/>
      <w:r w:rsidR="0068257B" w:rsidRPr="00476D36">
        <w:rPr>
          <w:i/>
          <w:sz w:val="26"/>
          <w:szCs w:val="26"/>
        </w:rPr>
        <w:t xml:space="preserve"> Order</w:t>
      </w:r>
      <w:r w:rsidR="002C1CEC" w:rsidRPr="00476D36">
        <w:rPr>
          <w:sz w:val="26"/>
          <w:szCs w:val="26"/>
          <w:lang w:val="en"/>
        </w:rPr>
        <w:t xml:space="preserve">.  </w:t>
      </w:r>
      <w:r w:rsidR="009B2BC2" w:rsidRPr="00476D36">
        <w:rPr>
          <w:sz w:val="26"/>
          <w:szCs w:val="26"/>
          <w:lang w:val="en"/>
        </w:rPr>
        <w:t>Because</w:t>
      </w:r>
      <w:r w:rsidR="002C1CEC" w:rsidRPr="00476D36">
        <w:rPr>
          <w:sz w:val="26"/>
          <w:szCs w:val="26"/>
          <w:lang w:val="en"/>
        </w:rPr>
        <w:t xml:space="preserve"> </w:t>
      </w:r>
      <w:r w:rsidR="002C1CEC" w:rsidRPr="00476D36">
        <w:rPr>
          <w:sz w:val="26"/>
          <w:szCs w:val="26"/>
        </w:rPr>
        <w:t xml:space="preserve">there is no provision in Pennsylvania law to allow a customer to opt-out </w:t>
      </w:r>
      <w:r w:rsidR="006152D1" w:rsidRPr="00476D36">
        <w:rPr>
          <w:sz w:val="26"/>
          <w:szCs w:val="26"/>
        </w:rPr>
        <w:t>of</w:t>
      </w:r>
      <w:r w:rsidR="00FA5C0D" w:rsidRPr="00476D36">
        <w:rPr>
          <w:sz w:val="26"/>
          <w:szCs w:val="26"/>
        </w:rPr>
        <w:t xml:space="preserve"> </w:t>
      </w:r>
      <w:r w:rsidR="002C1CEC" w:rsidRPr="00476D36">
        <w:rPr>
          <w:sz w:val="26"/>
          <w:szCs w:val="26"/>
        </w:rPr>
        <w:t xml:space="preserve">the installation of an AMI meter, </w:t>
      </w:r>
      <w:r w:rsidR="006152D1" w:rsidRPr="00476D36">
        <w:rPr>
          <w:sz w:val="26"/>
          <w:szCs w:val="26"/>
        </w:rPr>
        <w:t>t</w:t>
      </w:r>
      <w:r w:rsidR="002C4B9A" w:rsidRPr="00476D36">
        <w:rPr>
          <w:sz w:val="26"/>
          <w:szCs w:val="26"/>
        </w:rPr>
        <w:t xml:space="preserve">he ALJ correctly concluded that such </w:t>
      </w:r>
      <w:r w:rsidR="009B2BC2" w:rsidRPr="00476D36">
        <w:rPr>
          <w:sz w:val="26"/>
          <w:szCs w:val="26"/>
        </w:rPr>
        <w:t xml:space="preserve">a request to “opt out” of </w:t>
      </w:r>
      <w:r w:rsidR="006152D1" w:rsidRPr="00476D36">
        <w:rPr>
          <w:sz w:val="26"/>
          <w:szCs w:val="26"/>
        </w:rPr>
        <w:t>a</w:t>
      </w:r>
      <w:r w:rsidR="009B2BC2" w:rsidRPr="00476D36">
        <w:rPr>
          <w:sz w:val="26"/>
          <w:szCs w:val="26"/>
        </w:rPr>
        <w:t xml:space="preserve"> smart meter installation is </w:t>
      </w:r>
      <w:r w:rsidR="002C1CEC" w:rsidRPr="00476D36">
        <w:rPr>
          <w:sz w:val="26"/>
          <w:szCs w:val="26"/>
        </w:rPr>
        <w:t>outside of the Commission’s jurisdiction and authority.</w:t>
      </w:r>
      <w:r w:rsidR="002C4B9A" w:rsidRPr="00476D36">
        <w:rPr>
          <w:sz w:val="26"/>
          <w:szCs w:val="26"/>
        </w:rPr>
        <w:t xml:space="preserve"> </w:t>
      </w:r>
      <w:r w:rsidR="00E35744" w:rsidRPr="00476D36">
        <w:rPr>
          <w:sz w:val="26"/>
          <w:szCs w:val="26"/>
        </w:rPr>
        <w:t xml:space="preserve"> </w:t>
      </w:r>
      <w:r w:rsidR="002C4B9A" w:rsidRPr="00476D36">
        <w:rPr>
          <w:i/>
          <w:iCs/>
          <w:sz w:val="26"/>
          <w:szCs w:val="26"/>
        </w:rPr>
        <w:t>See</w:t>
      </w:r>
      <w:r w:rsidR="002C4B9A" w:rsidRPr="00476D36">
        <w:rPr>
          <w:sz w:val="26"/>
          <w:szCs w:val="26"/>
        </w:rPr>
        <w:t xml:space="preserve"> I.D. at </w:t>
      </w:r>
      <w:r w:rsidRPr="00476D36">
        <w:rPr>
          <w:sz w:val="26"/>
          <w:szCs w:val="26"/>
        </w:rPr>
        <w:t>12</w:t>
      </w:r>
      <w:r w:rsidR="002C4B9A" w:rsidRPr="00476D36">
        <w:rPr>
          <w:sz w:val="26"/>
          <w:szCs w:val="26"/>
        </w:rPr>
        <w:t>.</w:t>
      </w:r>
      <w:r w:rsidRPr="00476D36">
        <w:rPr>
          <w:sz w:val="26"/>
          <w:szCs w:val="26"/>
        </w:rPr>
        <w:t xml:space="preserve">  Moreover, we agree with the Company’s arguments that </w:t>
      </w:r>
      <w:r w:rsidR="005F1AB1" w:rsidRPr="00476D36">
        <w:rPr>
          <w:sz w:val="26"/>
          <w:szCs w:val="26"/>
        </w:rPr>
        <w:t xml:space="preserve">federal law does not preempt Act 129.  </w:t>
      </w:r>
      <w:r w:rsidR="005F1AB1" w:rsidRPr="00476D36">
        <w:rPr>
          <w:i/>
          <w:iCs/>
          <w:sz w:val="26"/>
          <w:szCs w:val="26"/>
        </w:rPr>
        <w:t>See</w:t>
      </w:r>
      <w:r w:rsidR="005F1AB1" w:rsidRPr="00476D36">
        <w:rPr>
          <w:sz w:val="26"/>
          <w:szCs w:val="26"/>
        </w:rPr>
        <w:t xml:space="preserve"> </w:t>
      </w:r>
      <w:r w:rsidR="005F1AB1" w:rsidRPr="00476D36">
        <w:rPr>
          <w:i/>
          <w:iCs/>
          <w:sz w:val="26"/>
          <w:szCs w:val="26"/>
        </w:rPr>
        <w:t>Romeo</w:t>
      </w:r>
      <w:r w:rsidR="005F1AB1" w:rsidRPr="00476D36">
        <w:rPr>
          <w:sz w:val="26"/>
          <w:szCs w:val="26"/>
        </w:rPr>
        <w:t>.</w:t>
      </w:r>
      <w:r w:rsidR="00860AA4" w:rsidRPr="00476D36">
        <w:rPr>
          <w:sz w:val="26"/>
          <w:szCs w:val="26"/>
        </w:rPr>
        <w:t xml:space="preserve">  </w:t>
      </w:r>
    </w:p>
    <w:p w14:paraId="3C757EFE" w14:textId="77777777" w:rsidR="004E6C16" w:rsidRPr="00476D36" w:rsidRDefault="004E6C16" w:rsidP="008518BF">
      <w:pPr>
        <w:widowControl/>
        <w:spacing w:line="360" w:lineRule="auto"/>
        <w:ind w:firstLine="1440"/>
        <w:rPr>
          <w:sz w:val="26"/>
          <w:szCs w:val="26"/>
        </w:rPr>
      </w:pPr>
    </w:p>
    <w:p w14:paraId="0295B98F" w14:textId="77777777" w:rsidR="002A6AC9" w:rsidRPr="00476D36" w:rsidRDefault="005F1AB1" w:rsidP="008518BF">
      <w:pPr>
        <w:widowControl/>
        <w:spacing w:line="360" w:lineRule="auto"/>
        <w:ind w:firstLine="1440"/>
        <w:rPr>
          <w:sz w:val="26"/>
          <w:szCs w:val="26"/>
        </w:rPr>
      </w:pPr>
      <w:r w:rsidRPr="00476D36">
        <w:rPr>
          <w:sz w:val="26"/>
          <w:szCs w:val="26"/>
        </w:rPr>
        <w:lastRenderedPageBreak/>
        <w:t>We further note that t</w:t>
      </w:r>
      <w:r w:rsidR="004E6C16" w:rsidRPr="00476D36">
        <w:rPr>
          <w:sz w:val="26"/>
          <w:szCs w:val="26"/>
        </w:rPr>
        <w:t>he Complainant</w:t>
      </w:r>
      <w:r w:rsidRPr="00476D36">
        <w:rPr>
          <w:sz w:val="26"/>
          <w:szCs w:val="26"/>
        </w:rPr>
        <w:t xml:space="preserve"> s</w:t>
      </w:r>
      <w:r w:rsidR="004E6C16" w:rsidRPr="00476D36">
        <w:rPr>
          <w:sz w:val="26"/>
          <w:szCs w:val="26"/>
        </w:rPr>
        <w:t xml:space="preserve">imply </w:t>
      </w:r>
      <w:r w:rsidRPr="00476D36">
        <w:rPr>
          <w:sz w:val="26"/>
          <w:szCs w:val="26"/>
        </w:rPr>
        <w:t xml:space="preserve">asserts unsupported averments that the Company received Department of Energy funding and that </w:t>
      </w:r>
      <w:r w:rsidR="004E6C16" w:rsidRPr="00476D36">
        <w:rPr>
          <w:sz w:val="26"/>
          <w:szCs w:val="26"/>
        </w:rPr>
        <w:t xml:space="preserve">the </w:t>
      </w:r>
      <w:r w:rsidRPr="00476D36">
        <w:rPr>
          <w:sz w:val="26"/>
          <w:szCs w:val="26"/>
        </w:rPr>
        <w:t>installation of the smart meters violates federal criminal statutes.  There is no record evidence</w:t>
      </w:r>
      <w:r w:rsidR="002A6AC9" w:rsidRPr="00476D36">
        <w:rPr>
          <w:sz w:val="26"/>
          <w:szCs w:val="26"/>
        </w:rPr>
        <w:t xml:space="preserve"> to support these allegations and the Complainant has presented no legal support to show how these general allegations are pertinent to this proceeding.  </w:t>
      </w:r>
    </w:p>
    <w:p w14:paraId="44FC49E9" w14:textId="77777777" w:rsidR="002A6AC9" w:rsidRPr="00476D36" w:rsidRDefault="002A6AC9" w:rsidP="008518BF">
      <w:pPr>
        <w:widowControl/>
        <w:spacing w:line="360" w:lineRule="auto"/>
        <w:ind w:firstLine="1440"/>
        <w:rPr>
          <w:sz w:val="26"/>
          <w:szCs w:val="26"/>
        </w:rPr>
      </w:pPr>
    </w:p>
    <w:p w14:paraId="1DAC5ADF" w14:textId="2D4C23C0" w:rsidR="004E6C16" w:rsidRPr="00476D36" w:rsidRDefault="002A6AC9" w:rsidP="008518BF">
      <w:pPr>
        <w:widowControl/>
        <w:spacing w:line="360" w:lineRule="auto"/>
        <w:ind w:firstLine="1440"/>
        <w:rPr>
          <w:sz w:val="26"/>
          <w:szCs w:val="26"/>
        </w:rPr>
      </w:pPr>
      <w:r w:rsidRPr="00476D36">
        <w:rPr>
          <w:sz w:val="26"/>
          <w:szCs w:val="26"/>
        </w:rPr>
        <w:t>Accordingly, we shall deny the Complainant’s Exceptions.</w:t>
      </w:r>
      <w:r w:rsidR="00860AA4" w:rsidRPr="00476D36">
        <w:rPr>
          <w:sz w:val="26"/>
          <w:szCs w:val="26"/>
        </w:rPr>
        <w:t xml:space="preserve">  </w:t>
      </w:r>
    </w:p>
    <w:p w14:paraId="7826E4B7" w14:textId="77777777" w:rsidR="00D030DB" w:rsidRPr="00476D36" w:rsidRDefault="00D030DB" w:rsidP="008518BF">
      <w:pPr>
        <w:widowControl/>
        <w:spacing w:line="360" w:lineRule="auto"/>
        <w:ind w:firstLine="1440"/>
        <w:rPr>
          <w:sz w:val="26"/>
          <w:szCs w:val="26"/>
        </w:rPr>
      </w:pPr>
    </w:p>
    <w:p w14:paraId="07213A2B" w14:textId="77777777" w:rsidR="001B0C5E" w:rsidRPr="00476D36" w:rsidRDefault="001B0C5E" w:rsidP="002625EC">
      <w:pPr>
        <w:keepNext/>
        <w:keepLines/>
        <w:widowControl/>
        <w:spacing w:line="360" w:lineRule="auto"/>
        <w:contextualSpacing/>
        <w:jc w:val="center"/>
        <w:rPr>
          <w:b/>
          <w:sz w:val="26"/>
          <w:szCs w:val="26"/>
        </w:rPr>
      </w:pPr>
      <w:r w:rsidRPr="00476D36">
        <w:rPr>
          <w:b/>
          <w:sz w:val="26"/>
          <w:szCs w:val="26"/>
        </w:rPr>
        <w:t>Conclusion</w:t>
      </w:r>
    </w:p>
    <w:p w14:paraId="20C13680" w14:textId="77777777" w:rsidR="001B0C5E" w:rsidRPr="00476D36" w:rsidRDefault="001B0C5E" w:rsidP="002625EC">
      <w:pPr>
        <w:keepNext/>
        <w:keepLines/>
        <w:widowControl/>
        <w:spacing w:line="360" w:lineRule="auto"/>
        <w:ind w:firstLine="1440"/>
        <w:contextualSpacing/>
        <w:rPr>
          <w:sz w:val="26"/>
          <w:szCs w:val="26"/>
        </w:rPr>
      </w:pPr>
    </w:p>
    <w:p w14:paraId="2F548CCA" w14:textId="77777777" w:rsidR="001B0C5E" w:rsidRPr="00476D36" w:rsidRDefault="001B0C5E" w:rsidP="002625EC">
      <w:pPr>
        <w:widowControl/>
        <w:spacing w:line="360" w:lineRule="auto"/>
        <w:ind w:firstLine="1440"/>
        <w:contextualSpacing/>
        <w:rPr>
          <w:b/>
          <w:sz w:val="26"/>
          <w:szCs w:val="26"/>
        </w:rPr>
      </w:pPr>
      <w:r w:rsidRPr="00476D36">
        <w:rPr>
          <w:sz w:val="26"/>
          <w:szCs w:val="26"/>
        </w:rPr>
        <w:t>Based upon our review of the record and the applicable law</w:t>
      </w:r>
      <w:r w:rsidR="00BE44AB" w:rsidRPr="00476D36">
        <w:rPr>
          <w:sz w:val="26"/>
          <w:szCs w:val="26"/>
        </w:rPr>
        <w:t xml:space="preserve">, </w:t>
      </w:r>
      <w:r w:rsidR="00F0088A" w:rsidRPr="00476D36">
        <w:rPr>
          <w:sz w:val="26"/>
          <w:szCs w:val="26"/>
        </w:rPr>
        <w:t xml:space="preserve">we </w:t>
      </w:r>
      <w:r w:rsidRPr="00476D36">
        <w:rPr>
          <w:sz w:val="26"/>
          <w:szCs w:val="26"/>
        </w:rPr>
        <w:t>shall deny the Complainant’s Exceptions</w:t>
      </w:r>
      <w:r w:rsidR="008E1EC1" w:rsidRPr="00476D36">
        <w:rPr>
          <w:sz w:val="26"/>
          <w:szCs w:val="26"/>
        </w:rPr>
        <w:t xml:space="preserve"> and</w:t>
      </w:r>
      <w:r w:rsidRPr="00476D36">
        <w:rPr>
          <w:sz w:val="26"/>
          <w:szCs w:val="26"/>
        </w:rPr>
        <w:t xml:space="preserve"> adopt the Initial Decision, consistent with this Opinion and Order; </w:t>
      </w:r>
      <w:r w:rsidRPr="00476D36">
        <w:rPr>
          <w:b/>
          <w:sz w:val="26"/>
          <w:szCs w:val="26"/>
        </w:rPr>
        <w:t>THEREFORE,</w:t>
      </w:r>
    </w:p>
    <w:p w14:paraId="59A9F560" w14:textId="77777777" w:rsidR="001B0C5E" w:rsidRPr="00476D36" w:rsidRDefault="001B0C5E" w:rsidP="006F26C8">
      <w:pPr>
        <w:widowControl/>
        <w:spacing w:line="360" w:lineRule="auto"/>
        <w:contextualSpacing/>
        <w:rPr>
          <w:sz w:val="26"/>
          <w:szCs w:val="26"/>
        </w:rPr>
      </w:pPr>
    </w:p>
    <w:p w14:paraId="68375577" w14:textId="77777777" w:rsidR="001B0C5E" w:rsidRPr="00476D36" w:rsidRDefault="001B0C5E" w:rsidP="00476D36">
      <w:pPr>
        <w:keepNext/>
        <w:keepLines/>
        <w:widowControl/>
        <w:spacing w:line="360" w:lineRule="auto"/>
        <w:ind w:firstLine="1440"/>
        <w:contextualSpacing/>
        <w:rPr>
          <w:b/>
          <w:sz w:val="26"/>
          <w:szCs w:val="26"/>
        </w:rPr>
      </w:pPr>
      <w:r w:rsidRPr="00476D36">
        <w:rPr>
          <w:b/>
          <w:sz w:val="26"/>
          <w:szCs w:val="26"/>
        </w:rPr>
        <w:t>IT IS ORDERED:</w:t>
      </w:r>
    </w:p>
    <w:p w14:paraId="2DD69E28" w14:textId="77777777" w:rsidR="00757AE7" w:rsidRPr="00476D36" w:rsidRDefault="00757AE7" w:rsidP="00476D36">
      <w:pPr>
        <w:keepNext/>
        <w:keepLines/>
        <w:widowControl/>
        <w:spacing w:line="360" w:lineRule="auto"/>
        <w:contextualSpacing/>
        <w:rPr>
          <w:sz w:val="26"/>
          <w:szCs w:val="26"/>
        </w:rPr>
      </w:pPr>
    </w:p>
    <w:p w14:paraId="1D7E3BE6" w14:textId="77777777" w:rsidR="00707559" w:rsidRPr="00476D36" w:rsidRDefault="001B0C5E" w:rsidP="00476D36">
      <w:pPr>
        <w:widowControl/>
        <w:numPr>
          <w:ilvl w:val="0"/>
          <w:numId w:val="1"/>
        </w:numPr>
        <w:tabs>
          <w:tab w:val="clear" w:pos="2160"/>
          <w:tab w:val="num" w:pos="0"/>
        </w:tabs>
        <w:spacing w:line="360" w:lineRule="auto"/>
        <w:ind w:left="0" w:firstLine="1440"/>
        <w:contextualSpacing/>
        <w:rPr>
          <w:sz w:val="26"/>
          <w:szCs w:val="26"/>
        </w:rPr>
      </w:pPr>
      <w:r w:rsidRPr="00476D36">
        <w:rPr>
          <w:sz w:val="26"/>
          <w:szCs w:val="26"/>
        </w:rPr>
        <w:t xml:space="preserve">That the Exceptions </w:t>
      </w:r>
      <w:r w:rsidR="00405DB2" w:rsidRPr="00476D36">
        <w:rPr>
          <w:sz w:val="26"/>
          <w:szCs w:val="26"/>
        </w:rPr>
        <w:t xml:space="preserve">filed by </w:t>
      </w:r>
      <w:proofErr w:type="spellStart"/>
      <w:r w:rsidR="00A80FEA" w:rsidRPr="00476D36">
        <w:rPr>
          <w:color w:val="000000"/>
          <w:sz w:val="26"/>
        </w:rPr>
        <w:t>Dorene</w:t>
      </w:r>
      <w:proofErr w:type="spellEnd"/>
      <w:r w:rsidR="00A80FEA" w:rsidRPr="00476D36">
        <w:rPr>
          <w:color w:val="000000"/>
          <w:sz w:val="26"/>
        </w:rPr>
        <w:t xml:space="preserve"> Schutz on June 28, 2019, are denied.</w:t>
      </w:r>
    </w:p>
    <w:p w14:paraId="0ECCB874" w14:textId="77777777" w:rsidR="007B2F13" w:rsidRPr="00476D36" w:rsidRDefault="007B2F13" w:rsidP="00476D36">
      <w:pPr>
        <w:widowControl/>
        <w:spacing w:line="360" w:lineRule="auto"/>
        <w:ind w:left="1440"/>
        <w:contextualSpacing/>
        <w:rPr>
          <w:sz w:val="26"/>
          <w:szCs w:val="26"/>
        </w:rPr>
      </w:pPr>
    </w:p>
    <w:p w14:paraId="5ECD0212" w14:textId="77777777" w:rsidR="001B0C5E" w:rsidRPr="00476D36" w:rsidRDefault="00707559" w:rsidP="00476D36">
      <w:pPr>
        <w:widowControl/>
        <w:numPr>
          <w:ilvl w:val="0"/>
          <w:numId w:val="1"/>
        </w:numPr>
        <w:tabs>
          <w:tab w:val="clear" w:pos="2160"/>
          <w:tab w:val="num" w:pos="0"/>
        </w:tabs>
        <w:spacing w:line="360" w:lineRule="auto"/>
        <w:ind w:left="0" w:firstLine="1440"/>
        <w:contextualSpacing/>
        <w:rPr>
          <w:sz w:val="26"/>
          <w:szCs w:val="26"/>
        </w:rPr>
      </w:pPr>
      <w:r w:rsidRPr="00476D36">
        <w:rPr>
          <w:color w:val="000000"/>
          <w:sz w:val="26"/>
        </w:rPr>
        <w:t xml:space="preserve">That the Initial Decision of Administrative Law Judge </w:t>
      </w:r>
      <w:r w:rsidR="00AC3AFA" w:rsidRPr="00476D36">
        <w:rPr>
          <w:color w:val="000000"/>
          <w:sz w:val="26"/>
        </w:rPr>
        <w:t>Elizabeth H. Barns</w:t>
      </w:r>
      <w:r w:rsidRPr="00476D36">
        <w:rPr>
          <w:color w:val="000000"/>
          <w:sz w:val="26"/>
        </w:rPr>
        <w:t xml:space="preserve">, </w:t>
      </w:r>
      <w:r w:rsidR="00A80FEA" w:rsidRPr="00476D36">
        <w:rPr>
          <w:color w:val="000000"/>
          <w:sz w:val="26"/>
        </w:rPr>
        <w:t>issued</w:t>
      </w:r>
      <w:r w:rsidRPr="00476D36">
        <w:rPr>
          <w:color w:val="000000"/>
          <w:sz w:val="26"/>
        </w:rPr>
        <w:t xml:space="preserve"> on </w:t>
      </w:r>
      <w:r w:rsidR="002A4E46" w:rsidRPr="00476D36">
        <w:rPr>
          <w:color w:val="000000"/>
          <w:sz w:val="26"/>
        </w:rPr>
        <w:t>June 18, 2019</w:t>
      </w:r>
      <w:r w:rsidR="00AC3AFA" w:rsidRPr="00476D36">
        <w:rPr>
          <w:color w:val="000000"/>
          <w:sz w:val="26"/>
        </w:rPr>
        <w:t xml:space="preserve">, </w:t>
      </w:r>
      <w:r w:rsidRPr="00476D36">
        <w:rPr>
          <w:color w:val="000000"/>
          <w:sz w:val="26"/>
        </w:rPr>
        <w:t>is adopted</w:t>
      </w:r>
      <w:r w:rsidR="001B0C5E" w:rsidRPr="00476D36">
        <w:rPr>
          <w:color w:val="000000"/>
          <w:sz w:val="26"/>
        </w:rPr>
        <w:t>.</w:t>
      </w:r>
    </w:p>
    <w:p w14:paraId="79D554C3" w14:textId="77777777" w:rsidR="007B2F13" w:rsidRPr="00476D36" w:rsidRDefault="007B2F13" w:rsidP="00476D36">
      <w:pPr>
        <w:widowControl/>
        <w:spacing w:line="360" w:lineRule="auto"/>
        <w:ind w:left="1440"/>
        <w:contextualSpacing/>
        <w:rPr>
          <w:sz w:val="26"/>
          <w:szCs w:val="26"/>
        </w:rPr>
      </w:pPr>
    </w:p>
    <w:p w14:paraId="0821B015" w14:textId="77777777" w:rsidR="00D62069" w:rsidRPr="00476D36" w:rsidRDefault="001B0C5E" w:rsidP="00476D36">
      <w:pPr>
        <w:widowControl/>
        <w:numPr>
          <w:ilvl w:val="0"/>
          <w:numId w:val="1"/>
        </w:numPr>
        <w:tabs>
          <w:tab w:val="clear" w:pos="2160"/>
          <w:tab w:val="num" w:pos="0"/>
        </w:tabs>
        <w:spacing w:line="360" w:lineRule="auto"/>
        <w:ind w:left="0" w:firstLine="1440"/>
        <w:contextualSpacing/>
        <w:rPr>
          <w:sz w:val="26"/>
          <w:szCs w:val="26"/>
        </w:rPr>
      </w:pPr>
      <w:r w:rsidRPr="00476D36">
        <w:rPr>
          <w:sz w:val="26"/>
          <w:szCs w:val="26"/>
        </w:rPr>
        <w:t xml:space="preserve">That the </w:t>
      </w:r>
      <w:r w:rsidR="002625EC" w:rsidRPr="00476D36">
        <w:rPr>
          <w:sz w:val="26"/>
          <w:szCs w:val="26"/>
        </w:rPr>
        <w:t xml:space="preserve">Formal </w:t>
      </w:r>
      <w:r w:rsidRPr="00476D36">
        <w:rPr>
          <w:sz w:val="26"/>
          <w:szCs w:val="26"/>
        </w:rPr>
        <w:t>Complaint filed by</w:t>
      </w:r>
      <w:r w:rsidR="00B71163" w:rsidRPr="00476D36">
        <w:rPr>
          <w:sz w:val="26"/>
          <w:szCs w:val="26"/>
        </w:rPr>
        <w:t xml:space="preserve"> </w:t>
      </w:r>
      <w:proofErr w:type="spellStart"/>
      <w:r w:rsidR="002A4E46" w:rsidRPr="00476D36">
        <w:rPr>
          <w:color w:val="000000"/>
          <w:sz w:val="26"/>
        </w:rPr>
        <w:t>Dorene</w:t>
      </w:r>
      <w:proofErr w:type="spellEnd"/>
      <w:r w:rsidR="002A4E46" w:rsidRPr="00476D36">
        <w:rPr>
          <w:color w:val="000000"/>
          <w:sz w:val="26"/>
        </w:rPr>
        <w:t xml:space="preserve"> Schutz</w:t>
      </w:r>
      <w:r w:rsidR="00AC3AFA" w:rsidRPr="00476D36">
        <w:rPr>
          <w:sz w:val="26"/>
          <w:szCs w:val="26"/>
        </w:rPr>
        <w:t xml:space="preserve"> </w:t>
      </w:r>
      <w:r w:rsidRPr="00476D36">
        <w:rPr>
          <w:sz w:val="26"/>
          <w:szCs w:val="26"/>
        </w:rPr>
        <w:t xml:space="preserve">on </w:t>
      </w:r>
      <w:r w:rsidR="00AC3AFA" w:rsidRPr="00476D36">
        <w:rPr>
          <w:sz w:val="26"/>
          <w:szCs w:val="26"/>
        </w:rPr>
        <w:t>October 1</w:t>
      </w:r>
      <w:r w:rsidR="002A4E46" w:rsidRPr="00476D36">
        <w:rPr>
          <w:sz w:val="26"/>
          <w:szCs w:val="26"/>
        </w:rPr>
        <w:t>6</w:t>
      </w:r>
      <w:r w:rsidR="00AC3AFA" w:rsidRPr="00476D36">
        <w:rPr>
          <w:sz w:val="26"/>
          <w:szCs w:val="26"/>
        </w:rPr>
        <w:t>, 2018</w:t>
      </w:r>
      <w:r w:rsidRPr="00476D36">
        <w:rPr>
          <w:sz w:val="26"/>
          <w:szCs w:val="26"/>
        </w:rPr>
        <w:t xml:space="preserve">, </w:t>
      </w:r>
      <w:r w:rsidR="00707559" w:rsidRPr="00476D36">
        <w:rPr>
          <w:sz w:val="26"/>
          <w:szCs w:val="26"/>
        </w:rPr>
        <w:t>at</w:t>
      </w:r>
      <w:r w:rsidRPr="00476D36">
        <w:rPr>
          <w:sz w:val="26"/>
          <w:szCs w:val="26"/>
        </w:rPr>
        <w:t xml:space="preserve"> this docket, is d</w:t>
      </w:r>
      <w:r w:rsidR="00744869" w:rsidRPr="00476D36">
        <w:rPr>
          <w:sz w:val="26"/>
          <w:szCs w:val="26"/>
        </w:rPr>
        <w:t>ismissed</w:t>
      </w:r>
      <w:r w:rsidRPr="00476D36">
        <w:rPr>
          <w:sz w:val="26"/>
          <w:szCs w:val="26"/>
        </w:rPr>
        <w:t>.</w:t>
      </w:r>
    </w:p>
    <w:p w14:paraId="0F6CD732" w14:textId="77777777" w:rsidR="00744869" w:rsidRPr="00476D36" w:rsidRDefault="00744869" w:rsidP="00D704F2">
      <w:pPr>
        <w:widowControl/>
        <w:spacing w:after="160" w:line="259" w:lineRule="auto"/>
        <w:rPr>
          <w:sz w:val="26"/>
          <w:szCs w:val="26"/>
        </w:rPr>
      </w:pPr>
    </w:p>
    <w:p w14:paraId="5D884A2A" w14:textId="77777777" w:rsidR="001B0C5E" w:rsidRPr="00476D36" w:rsidRDefault="00744869" w:rsidP="006F26C8">
      <w:pPr>
        <w:keepNext/>
        <w:keepLines/>
        <w:widowControl/>
        <w:spacing w:line="360" w:lineRule="auto"/>
        <w:contextualSpacing/>
        <w:rPr>
          <w:sz w:val="26"/>
          <w:szCs w:val="26"/>
        </w:rPr>
      </w:pPr>
      <w:r w:rsidRPr="00476D36">
        <w:rPr>
          <w:sz w:val="26"/>
          <w:szCs w:val="26"/>
        </w:rPr>
        <w:lastRenderedPageBreak/>
        <w:tab/>
      </w:r>
      <w:r w:rsidRPr="00476D36">
        <w:rPr>
          <w:sz w:val="26"/>
          <w:szCs w:val="26"/>
        </w:rPr>
        <w:tab/>
        <w:t>4.</w:t>
      </w:r>
      <w:r w:rsidRPr="00476D36">
        <w:rPr>
          <w:sz w:val="26"/>
          <w:szCs w:val="26"/>
        </w:rPr>
        <w:tab/>
        <w:t>That</w:t>
      </w:r>
      <w:r w:rsidR="00D62069" w:rsidRPr="00476D36">
        <w:rPr>
          <w:sz w:val="26"/>
          <w:szCs w:val="26"/>
        </w:rPr>
        <w:t xml:space="preserve"> </w:t>
      </w:r>
      <w:r w:rsidR="001B0C5E" w:rsidRPr="00476D36">
        <w:rPr>
          <w:sz w:val="26"/>
          <w:szCs w:val="26"/>
        </w:rPr>
        <w:t xml:space="preserve">this proceeding </w:t>
      </w:r>
      <w:r w:rsidR="00CE5EB0" w:rsidRPr="00476D36">
        <w:rPr>
          <w:sz w:val="26"/>
          <w:szCs w:val="26"/>
        </w:rPr>
        <w:t xml:space="preserve">shall be marked </w:t>
      </w:r>
      <w:r w:rsidR="001B0C5E" w:rsidRPr="00476D36">
        <w:rPr>
          <w:sz w:val="26"/>
          <w:szCs w:val="26"/>
        </w:rPr>
        <w:t>closed.</w:t>
      </w:r>
    </w:p>
    <w:p w14:paraId="50922584" w14:textId="77777777" w:rsidR="001B0C5E" w:rsidRPr="00476D36" w:rsidRDefault="001B0C5E" w:rsidP="006F26C8">
      <w:pPr>
        <w:keepNext/>
        <w:keepLines/>
        <w:widowControl/>
        <w:spacing w:line="360" w:lineRule="auto"/>
        <w:contextualSpacing/>
        <w:rPr>
          <w:sz w:val="26"/>
          <w:szCs w:val="26"/>
        </w:rPr>
      </w:pPr>
    </w:p>
    <w:p w14:paraId="11B62740" w14:textId="1B2CA317" w:rsidR="001B0C5E" w:rsidRPr="00476D36" w:rsidRDefault="00570B80" w:rsidP="006F26C8">
      <w:pPr>
        <w:keepNext/>
        <w:keepLines/>
        <w:widowControl/>
        <w:tabs>
          <w:tab w:val="left" w:pos="-720"/>
        </w:tabs>
        <w:ind w:firstLine="5040"/>
        <w:contextualSpacing/>
        <w:rPr>
          <w:sz w:val="26"/>
          <w:szCs w:val="26"/>
        </w:rPr>
      </w:pPr>
      <w:bookmarkStart w:id="6" w:name="_GoBack"/>
      <w:r w:rsidRPr="009F01BA">
        <w:rPr>
          <w:b/>
          <w:noProof/>
        </w:rPr>
        <w:drawing>
          <wp:anchor distT="0" distB="0" distL="114300" distR="114300" simplePos="0" relativeHeight="251659264" behindDoc="1" locked="0" layoutInCell="1" allowOverlap="1" wp14:anchorId="6642B787" wp14:editId="617813CE">
            <wp:simplePos x="0" y="0"/>
            <wp:positionH relativeFrom="column">
              <wp:posOffset>2962275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1B0C5E" w:rsidRPr="00476D36">
        <w:rPr>
          <w:b/>
          <w:sz w:val="26"/>
          <w:szCs w:val="26"/>
        </w:rPr>
        <w:t>BY THE COMMISSION,</w:t>
      </w:r>
    </w:p>
    <w:p w14:paraId="140C841D" w14:textId="51C49D38" w:rsidR="001B0C5E" w:rsidRPr="00476D36" w:rsidRDefault="001B0C5E" w:rsidP="006F26C8">
      <w:pPr>
        <w:keepNext/>
        <w:keepLines/>
        <w:widowControl/>
        <w:tabs>
          <w:tab w:val="left" w:pos="-720"/>
        </w:tabs>
        <w:contextualSpacing/>
        <w:rPr>
          <w:sz w:val="26"/>
          <w:szCs w:val="26"/>
        </w:rPr>
      </w:pPr>
    </w:p>
    <w:p w14:paraId="3F351969" w14:textId="3D0F9DFC" w:rsidR="001B0C5E" w:rsidRPr="00476D36" w:rsidRDefault="003B763C" w:rsidP="003B763C">
      <w:pPr>
        <w:keepNext/>
        <w:keepLines/>
        <w:widowControl/>
        <w:tabs>
          <w:tab w:val="left" w:pos="-720"/>
          <w:tab w:val="left" w:pos="6495"/>
        </w:tabs>
        <w:contextualSpacing/>
        <w:rPr>
          <w:sz w:val="26"/>
          <w:szCs w:val="26"/>
        </w:rPr>
      </w:pPr>
      <w:r w:rsidRPr="00476D36">
        <w:rPr>
          <w:sz w:val="26"/>
          <w:szCs w:val="26"/>
        </w:rPr>
        <w:tab/>
      </w:r>
    </w:p>
    <w:p w14:paraId="731CB8EB" w14:textId="77777777" w:rsidR="001B0C5E" w:rsidRPr="00476D36" w:rsidRDefault="001B0C5E" w:rsidP="006F26C8">
      <w:pPr>
        <w:keepNext/>
        <w:keepLines/>
        <w:widowControl/>
        <w:tabs>
          <w:tab w:val="left" w:pos="-720"/>
        </w:tabs>
        <w:contextualSpacing/>
        <w:rPr>
          <w:sz w:val="26"/>
          <w:szCs w:val="26"/>
        </w:rPr>
      </w:pPr>
    </w:p>
    <w:p w14:paraId="2FEEFF2A" w14:textId="77777777" w:rsidR="001B0C5E" w:rsidRPr="00476D36" w:rsidRDefault="001B0C5E" w:rsidP="006F26C8">
      <w:pPr>
        <w:keepNext/>
        <w:keepLines/>
        <w:widowControl/>
        <w:tabs>
          <w:tab w:val="left" w:pos="-720"/>
        </w:tabs>
        <w:ind w:firstLine="5040"/>
        <w:contextualSpacing/>
        <w:rPr>
          <w:b/>
          <w:sz w:val="26"/>
          <w:szCs w:val="26"/>
        </w:rPr>
      </w:pPr>
      <w:r w:rsidRPr="00476D36">
        <w:rPr>
          <w:sz w:val="26"/>
          <w:szCs w:val="26"/>
        </w:rPr>
        <w:t>Rosemary Chiavetta</w:t>
      </w:r>
    </w:p>
    <w:p w14:paraId="7EBFC865" w14:textId="77777777" w:rsidR="001B0C5E" w:rsidRPr="00476D36" w:rsidRDefault="001B0C5E" w:rsidP="006F26C8">
      <w:pPr>
        <w:keepNext/>
        <w:keepLines/>
        <w:widowControl/>
        <w:tabs>
          <w:tab w:val="left" w:pos="-720"/>
        </w:tabs>
        <w:ind w:firstLine="5040"/>
        <w:contextualSpacing/>
        <w:rPr>
          <w:sz w:val="26"/>
          <w:szCs w:val="26"/>
        </w:rPr>
      </w:pPr>
      <w:r w:rsidRPr="00476D36">
        <w:rPr>
          <w:sz w:val="26"/>
          <w:szCs w:val="26"/>
        </w:rPr>
        <w:t>Secretary</w:t>
      </w:r>
    </w:p>
    <w:p w14:paraId="1E77B83D" w14:textId="77777777" w:rsidR="008A7709" w:rsidRPr="00476D36" w:rsidRDefault="008A7709" w:rsidP="006F26C8">
      <w:pPr>
        <w:keepNext/>
        <w:keepLines/>
        <w:widowControl/>
        <w:tabs>
          <w:tab w:val="left" w:pos="-720"/>
        </w:tabs>
        <w:ind w:firstLine="5040"/>
        <w:contextualSpacing/>
        <w:rPr>
          <w:sz w:val="26"/>
          <w:szCs w:val="26"/>
        </w:rPr>
      </w:pPr>
    </w:p>
    <w:p w14:paraId="71E3C536" w14:textId="77777777" w:rsidR="001B0C5E" w:rsidRPr="00476D36" w:rsidRDefault="001B0C5E" w:rsidP="006F26C8">
      <w:pPr>
        <w:keepNext/>
        <w:keepLines/>
        <w:widowControl/>
        <w:tabs>
          <w:tab w:val="left" w:pos="-720"/>
        </w:tabs>
        <w:contextualSpacing/>
        <w:rPr>
          <w:sz w:val="26"/>
          <w:szCs w:val="26"/>
        </w:rPr>
      </w:pPr>
    </w:p>
    <w:p w14:paraId="4A11ACA4" w14:textId="77777777" w:rsidR="001B0C5E" w:rsidRPr="00476D36" w:rsidRDefault="001B0C5E" w:rsidP="006F26C8">
      <w:pPr>
        <w:keepNext/>
        <w:keepLines/>
        <w:widowControl/>
        <w:tabs>
          <w:tab w:val="left" w:pos="-720"/>
        </w:tabs>
        <w:contextualSpacing/>
        <w:rPr>
          <w:sz w:val="26"/>
          <w:szCs w:val="26"/>
        </w:rPr>
      </w:pPr>
      <w:r w:rsidRPr="00476D36">
        <w:rPr>
          <w:sz w:val="26"/>
          <w:szCs w:val="26"/>
        </w:rPr>
        <w:t>(SEAL)</w:t>
      </w:r>
    </w:p>
    <w:p w14:paraId="2318EB84" w14:textId="77777777" w:rsidR="001B0C5E" w:rsidRPr="00476D36" w:rsidRDefault="001B0C5E" w:rsidP="002625EC">
      <w:pPr>
        <w:widowControl/>
        <w:tabs>
          <w:tab w:val="left" w:pos="-720"/>
        </w:tabs>
        <w:contextualSpacing/>
        <w:rPr>
          <w:sz w:val="26"/>
          <w:szCs w:val="26"/>
        </w:rPr>
      </w:pPr>
    </w:p>
    <w:p w14:paraId="0E0FFBED" w14:textId="77777777" w:rsidR="001B0C5E" w:rsidRPr="00476D36" w:rsidRDefault="001B0C5E" w:rsidP="002625EC">
      <w:pPr>
        <w:widowControl/>
        <w:tabs>
          <w:tab w:val="left" w:pos="-720"/>
        </w:tabs>
        <w:contextualSpacing/>
        <w:rPr>
          <w:sz w:val="26"/>
          <w:szCs w:val="26"/>
        </w:rPr>
      </w:pPr>
      <w:r w:rsidRPr="00476D36">
        <w:rPr>
          <w:sz w:val="26"/>
          <w:szCs w:val="26"/>
        </w:rPr>
        <w:t xml:space="preserve">ORDER ADOPTED:  </w:t>
      </w:r>
      <w:r w:rsidR="008E6BFD" w:rsidRPr="00476D36">
        <w:rPr>
          <w:sz w:val="26"/>
          <w:szCs w:val="26"/>
        </w:rPr>
        <w:t>May 21, 2020</w:t>
      </w:r>
    </w:p>
    <w:p w14:paraId="164065D4" w14:textId="77777777" w:rsidR="001B0C5E" w:rsidRPr="00476D36" w:rsidRDefault="001B0C5E" w:rsidP="002625EC">
      <w:pPr>
        <w:widowControl/>
        <w:tabs>
          <w:tab w:val="left" w:pos="-720"/>
        </w:tabs>
        <w:contextualSpacing/>
        <w:rPr>
          <w:sz w:val="26"/>
          <w:szCs w:val="26"/>
        </w:rPr>
      </w:pPr>
    </w:p>
    <w:p w14:paraId="3F8F285E" w14:textId="4FAB19E3" w:rsidR="003D5C5F" w:rsidRPr="00476D36" w:rsidRDefault="001B0C5E" w:rsidP="00FC2E8F">
      <w:pPr>
        <w:widowControl/>
        <w:tabs>
          <w:tab w:val="left" w:pos="-720"/>
        </w:tabs>
        <w:contextualSpacing/>
      </w:pPr>
      <w:r w:rsidRPr="00476D36">
        <w:rPr>
          <w:sz w:val="26"/>
          <w:szCs w:val="26"/>
        </w:rPr>
        <w:t>ORDER ENTERED:</w:t>
      </w:r>
      <w:r w:rsidR="00621081" w:rsidRPr="00476D36">
        <w:rPr>
          <w:sz w:val="26"/>
          <w:szCs w:val="26"/>
        </w:rPr>
        <w:t xml:space="preserve">  </w:t>
      </w:r>
      <w:r w:rsidR="00570B80">
        <w:rPr>
          <w:sz w:val="26"/>
          <w:szCs w:val="26"/>
        </w:rPr>
        <w:t>May 21, 2020</w:t>
      </w:r>
    </w:p>
    <w:sectPr w:rsidR="003D5C5F" w:rsidRPr="00476D36" w:rsidSect="003161E5">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7CEDB" w14:textId="77777777" w:rsidR="00994840" w:rsidRDefault="00994840" w:rsidP="001B0C5E">
      <w:r>
        <w:separator/>
      </w:r>
    </w:p>
  </w:endnote>
  <w:endnote w:type="continuationSeparator" w:id="0">
    <w:p w14:paraId="1F3751DA" w14:textId="77777777" w:rsidR="00994840" w:rsidRDefault="00994840"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6"/>
        <w:szCs w:val="26"/>
      </w:rPr>
      <w:id w:val="-2039265130"/>
      <w:docPartObj>
        <w:docPartGallery w:val="Page Numbers (Bottom of Page)"/>
        <w:docPartUnique/>
      </w:docPartObj>
    </w:sdtPr>
    <w:sdtEndPr>
      <w:rPr>
        <w:noProof/>
      </w:rPr>
    </w:sdtEndPr>
    <w:sdtContent>
      <w:p w14:paraId="584BE3CA" w14:textId="17874D22" w:rsidR="001A2E0A" w:rsidRPr="00A3138F" w:rsidRDefault="002540DB" w:rsidP="00A3138F">
        <w:pPr>
          <w:pStyle w:val="Footer"/>
          <w:tabs>
            <w:tab w:val="clear" w:pos="4680"/>
            <w:tab w:val="clear" w:pos="9360"/>
          </w:tabs>
          <w:jc w:val="center"/>
          <w:rPr>
            <w:sz w:val="26"/>
            <w:szCs w:val="26"/>
          </w:rPr>
        </w:pPr>
        <w:r w:rsidRPr="00A3138F">
          <w:rPr>
            <w:sz w:val="26"/>
            <w:szCs w:val="26"/>
          </w:rPr>
          <w:fldChar w:fldCharType="begin"/>
        </w:r>
        <w:r w:rsidRPr="00A3138F">
          <w:rPr>
            <w:sz w:val="26"/>
            <w:szCs w:val="26"/>
          </w:rPr>
          <w:instrText xml:space="preserve"> PAGE   \* MERGEFORMAT </w:instrText>
        </w:r>
        <w:r w:rsidRPr="00A3138F">
          <w:rPr>
            <w:sz w:val="26"/>
            <w:szCs w:val="26"/>
          </w:rPr>
          <w:fldChar w:fldCharType="separate"/>
        </w:r>
        <w:r w:rsidR="00ED4517" w:rsidRPr="00A3138F">
          <w:rPr>
            <w:noProof/>
            <w:sz w:val="26"/>
            <w:szCs w:val="26"/>
          </w:rPr>
          <w:t>21</w:t>
        </w:r>
        <w:r w:rsidRPr="00A3138F">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711CC" w14:textId="77777777" w:rsidR="00994840" w:rsidRDefault="00994840" w:rsidP="001B0C5E">
      <w:r>
        <w:separator/>
      </w:r>
    </w:p>
  </w:footnote>
  <w:footnote w:type="continuationSeparator" w:id="0">
    <w:p w14:paraId="4E110D77" w14:textId="77777777" w:rsidR="00994840" w:rsidRDefault="00994840" w:rsidP="001B0C5E">
      <w:r>
        <w:continuationSeparator/>
      </w:r>
    </w:p>
  </w:footnote>
  <w:footnote w:id="1">
    <w:p w14:paraId="421E2180" w14:textId="16203B04" w:rsidR="00DD753F" w:rsidRPr="004170BA" w:rsidRDefault="00DD753F" w:rsidP="00DD753F">
      <w:pPr>
        <w:pStyle w:val="FootnoteText"/>
        <w:ind w:firstLine="720"/>
        <w:rPr>
          <w:sz w:val="26"/>
          <w:szCs w:val="26"/>
        </w:rPr>
      </w:pPr>
      <w:r w:rsidRPr="004170BA">
        <w:rPr>
          <w:rStyle w:val="FootnoteReference"/>
          <w:sz w:val="26"/>
          <w:szCs w:val="26"/>
        </w:rPr>
        <w:footnoteRef/>
      </w:r>
      <w:r w:rsidRPr="004170BA">
        <w:rPr>
          <w:sz w:val="26"/>
          <w:szCs w:val="26"/>
        </w:rPr>
        <w:t xml:space="preserve"> </w:t>
      </w:r>
      <w:r w:rsidRPr="004170BA">
        <w:rPr>
          <w:sz w:val="26"/>
          <w:szCs w:val="26"/>
        </w:rPr>
        <w:tab/>
        <w:t xml:space="preserve">On </w:t>
      </w:r>
      <w:r w:rsidR="00E222DF">
        <w:rPr>
          <w:sz w:val="26"/>
          <w:szCs w:val="26"/>
        </w:rPr>
        <w:t>July 2</w:t>
      </w:r>
      <w:r w:rsidR="00654206">
        <w:rPr>
          <w:sz w:val="26"/>
          <w:szCs w:val="26"/>
        </w:rPr>
        <w:t>2</w:t>
      </w:r>
      <w:r w:rsidR="00E222DF">
        <w:rPr>
          <w:sz w:val="26"/>
          <w:szCs w:val="26"/>
        </w:rPr>
        <w:t xml:space="preserve">, 2019, </w:t>
      </w:r>
      <w:r w:rsidR="00654206">
        <w:rPr>
          <w:sz w:val="26"/>
          <w:szCs w:val="26"/>
        </w:rPr>
        <w:t xml:space="preserve">the Complainant sent a letter to Chairman </w:t>
      </w:r>
      <w:r w:rsidR="00F74F4B">
        <w:rPr>
          <w:sz w:val="26"/>
          <w:szCs w:val="26"/>
        </w:rPr>
        <w:t xml:space="preserve">Gladys Brown </w:t>
      </w:r>
      <w:proofErr w:type="spellStart"/>
      <w:r w:rsidR="00F74F4B">
        <w:rPr>
          <w:sz w:val="26"/>
          <w:szCs w:val="26"/>
        </w:rPr>
        <w:t>Dutrieuille</w:t>
      </w:r>
      <w:proofErr w:type="spellEnd"/>
      <w:r w:rsidR="00962F2B">
        <w:rPr>
          <w:sz w:val="26"/>
          <w:szCs w:val="26"/>
        </w:rPr>
        <w:t xml:space="preserve"> </w:t>
      </w:r>
      <w:r w:rsidR="00904D8F">
        <w:rPr>
          <w:sz w:val="26"/>
          <w:szCs w:val="26"/>
        </w:rPr>
        <w:t xml:space="preserve">(Complainant’s Letter) </w:t>
      </w:r>
      <w:r w:rsidR="00962F2B">
        <w:rPr>
          <w:sz w:val="26"/>
          <w:szCs w:val="26"/>
        </w:rPr>
        <w:t xml:space="preserve">responding to </w:t>
      </w:r>
      <w:r w:rsidR="0040525E">
        <w:rPr>
          <w:sz w:val="26"/>
          <w:szCs w:val="26"/>
        </w:rPr>
        <w:t xml:space="preserve">PPL’s Replies to Exceptions.  </w:t>
      </w:r>
      <w:r w:rsidR="002A159D">
        <w:rPr>
          <w:sz w:val="26"/>
          <w:szCs w:val="26"/>
        </w:rPr>
        <w:t xml:space="preserve">By letter dated July 25, 2019, the Secretary’s Bureau </w:t>
      </w:r>
      <w:r w:rsidR="009236B1">
        <w:rPr>
          <w:sz w:val="26"/>
          <w:szCs w:val="26"/>
        </w:rPr>
        <w:t xml:space="preserve">notified the Parties about the Complainant’s </w:t>
      </w:r>
      <w:r w:rsidR="00904D8F">
        <w:rPr>
          <w:sz w:val="26"/>
          <w:szCs w:val="26"/>
        </w:rPr>
        <w:t>Letter</w:t>
      </w:r>
      <w:r w:rsidR="009236B1">
        <w:rPr>
          <w:sz w:val="26"/>
          <w:szCs w:val="26"/>
        </w:rPr>
        <w:t xml:space="preserve"> </w:t>
      </w:r>
      <w:r w:rsidR="00CA09C7">
        <w:rPr>
          <w:sz w:val="26"/>
          <w:szCs w:val="26"/>
        </w:rPr>
        <w:t xml:space="preserve">since it constituted an </w:t>
      </w:r>
      <w:r w:rsidR="00CA09C7" w:rsidRPr="00554267">
        <w:rPr>
          <w:i/>
          <w:iCs/>
          <w:sz w:val="26"/>
          <w:szCs w:val="26"/>
        </w:rPr>
        <w:t>ex</w:t>
      </w:r>
      <w:r w:rsidR="00177B26">
        <w:rPr>
          <w:i/>
          <w:iCs/>
          <w:sz w:val="26"/>
          <w:szCs w:val="26"/>
        </w:rPr>
        <w:t xml:space="preserve"> </w:t>
      </w:r>
      <w:proofErr w:type="spellStart"/>
      <w:r w:rsidR="00CA09C7" w:rsidRPr="00554267">
        <w:rPr>
          <w:i/>
          <w:iCs/>
          <w:sz w:val="26"/>
          <w:szCs w:val="26"/>
        </w:rPr>
        <w:t>parte</w:t>
      </w:r>
      <w:proofErr w:type="spellEnd"/>
      <w:r w:rsidR="00CA09C7">
        <w:rPr>
          <w:sz w:val="26"/>
          <w:szCs w:val="26"/>
        </w:rPr>
        <w:t xml:space="preserve"> communication.  In addition, the Secretary’s Bureau stated that</w:t>
      </w:r>
      <w:r w:rsidR="00554267">
        <w:rPr>
          <w:sz w:val="26"/>
          <w:szCs w:val="26"/>
        </w:rPr>
        <w:t xml:space="preserve"> the Compl</w:t>
      </w:r>
      <w:r w:rsidR="00B76538">
        <w:rPr>
          <w:sz w:val="26"/>
          <w:szCs w:val="26"/>
        </w:rPr>
        <w:t>ainant and the Company had already filed Exceptions and Replies to Exceptions and that no further filing</w:t>
      </w:r>
      <w:r w:rsidR="00DF30C7">
        <w:rPr>
          <w:sz w:val="26"/>
          <w:szCs w:val="26"/>
        </w:rPr>
        <w:t xml:space="preserve">s </w:t>
      </w:r>
      <w:r w:rsidR="00AF112C">
        <w:rPr>
          <w:sz w:val="26"/>
          <w:szCs w:val="26"/>
        </w:rPr>
        <w:t>would</w:t>
      </w:r>
      <w:r w:rsidR="00DF30C7">
        <w:rPr>
          <w:sz w:val="26"/>
          <w:szCs w:val="26"/>
        </w:rPr>
        <w:t xml:space="preserve"> be accepted because the case was pending before the Commission for a final decision.  </w:t>
      </w:r>
      <w:r w:rsidR="001F266A">
        <w:rPr>
          <w:sz w:val="26"/>
          <w:szCs w:val="26"/>
        </w:rPr>
        <w:t xml:space="preserve">The Secretary’s Bureau correctly rejected the </w:t>
      </w:r>
      <w:r w:rsidR="00F13251">
        <w:rPr>
          <w:sz w:val="26"/>
          <w:szCs w:val="26"/>
        </w:rPr>
        <w:t xml:space="preserve">Complainant’s </w:t>
      </w:r>
      <w:r w:rsidR="00AF112C">
        <w:rPr>
          <w:sz w:val="26"/>
          <w:szCs w:val="26"/>
        </w:rPr>
        <w:t>Letter</w:t>
      </w:r>
      <w:r w:rsidR="00F13251">
        <w:rPr>
          <w:sz w:val="26"/>
          <w:szCs w:val="26"/>
        </w:rPr>
        <w:t xml:space="preserve"> </w:t>
      </w:r>
      <w:r w:rsidR="00010BE5">
        <w:rPr>
          <w:sz w:val="26"/>
          <w:szCs w:val="26"/>
        </w:rPr>
        <w:t xml:space="preserve">as a filing </w:t>
      </w:r>
      <w:r w:rsidR="00F13251">
        <w:rPr>
          <w:sz w:val="26"/>
          <w:szCs w:val="26"/>
        </w:rPr>
        <w:t>because the Commission’s Regulations do not authorize responses to</w:t>
      </w:r>
      <w:r w:rsidR="00AF112C">
        <w:rPr>
          <w:sz w:val="26"/>
          <w:szCs w:val="26"/>
        </w:rPr>
        <w:t xml:space="preserve"> </w:t>
      </w:r>
      <w:r w:rsidR="00126561">
        <w:rPr>
          <w:sz w:val="26"/>
          <w:szCs w:val="26"/>
        </w:rPr>
        <w:t>R</w:t>
      </w:r>
      <w:r w:rsidR="00F13251">
        <w:rPr>
          <w:sz w:val="26"/>
          <w:szCs w:val="26"/>
        </w:rPr>
        <w:t>eplies to Exceptions</w:t>
      </w:r>
      <w:r w:rsidR="00B8294F">
        <w:rPr>
          <w:sz w:val="26"/>
          <w:szCs w:val="26"/>
        </w:rPr>
        <w:t xml:space="preserve"> and, thus, we shall not consider it</w:t>
      </w:r>
      <w:r w:rsidR="00F13251">
        <w:rPr>
          <w:sz w:val="26"/>
          <w:szCs w:val="26"/>
        </w:rPr>
        <w:t xml:space="preserve">.  </w:t>
      </w:r>
      <w:r w:rsidR="00B8294F">
        <w:rPr>
          <w:sz w:val="26"/>
          <w:szCs w:val="26"/>
        </w:rPr>
        <w:t xml:space="preserve">We clarify, however, that the Company’s </w:t>
      </w:r>
      <w:r w:rsidR="00DC3CC1">
        <w:rPr>
          <w:sz w:val="26"/>
          <w:szCs w:val="26"/>
        </w:rPr>
        <w:t xml:space="preserve">Replies to Exceptions were timely filed.  </w:t>
      </w:r>
      <w:r w:rsidR="00B10A11">
        <w:rPr>
          <w:sz w:val="26"/>
          <w:szCs w:val="26"/>
        </w:rPr>
        <w:t xml:space="preserve">Replies to Exceptions are due within ten days of </w:t>
      </w:r>
      <w:r w:rsidR="00022C9C">
        <w:rPr>
          <w:sz w:val="26"/>
          <w:szCs w:val="26"/>
        </w:rPr>
        <w:t>the date that Exceptions are due.  52 Pa. Code §</w:t>
      </w:r>
      <w:r w:rsidR="005441F7">
        <w:rPr>
          <w:sz w:val="26"/>
          <w:szCs w:val="26"/>
        </w:rPr>
        <w:t> </w:t>
      </w:r>
      <w:r w:rsidR="00022C9C">
        <w:rPr>
          <w:sz w:val="26"/>
          <w:szCs w:val="26"/>
        </w:rPr>
        <w:t xml:space="preserve">5.535(a).  </w:t>
      </w:r>
      <w:r w:rsidR="00BC52F3">
        <w:rPr>
          <w:sz w:val="26"/>
          <w:szCs w:val="26"/>
        </w:rPr>
        <w:t xml:space="preserve">Here, the Exceptions were due on </w:t>
      </w:r>
      <w:r w:rsidR="00226E42">
        <w:rPr>
          <w:sz w:val="26"/>
          <w:szCs w:val="26"/>
        </w:rPr>
        <w:t>July 8, 2019 (within twenty days after the issuance of the Initial Decision</w:t>
      </w:r>
      <w:r w:rsidR="00E95A0D">
        <w:rPr>
          <w:sz w:val="26"/>
          <w:szCs w:val="26"/>
        </w:rPr>
        <w:t xml:space="preserve">).  Thus, the Replies to Exceptions were due by </w:t>
      </w:r>
      <w:r w:rsidR="00A8560E">
        <w:rPr>
          <w:sz w:val="26"/>
          <w:szCs w:val="26"/>
        </w:rPr>
        <w:t>July 18, 2019</w:t>
      </w:r>
      <w:r w:rsidR="00AE5F97">
        <w:rPr>
          <w:sz w:val="26"/>
          <w:szCs w:val="26"/>
        </w:rPr>
        <w:t xml:space="preserve">. </w:t>
      </w:r>
    </w:p>
  </w:footnote>
  <w:footnote w:id="2">
    <w:p w14:paraId="18F804D1" w14:textId="77777777" w:rsidR="00CD504C" w:rsidRPr="00F969C6" w:rsidRDefault="00CD504C" w:rsidP="00767F79">
      <w:pPr>
        <w:pStyle w:val="FootnoteText"/>
        <w:keepNext/>
        <w:keepLines/>
        <w:widowControl/>
        <w:spacing w:after="120"/>
        <w:rPr>
          <w:sz w:val="26"/>
          <w:szCs w:val="26"/>
        </w:rPr>
      </w:pPr>
      <w:r>
        <w:tab/>
      </w:r>
      <w:r w:rsidRPr="00F969C6">
        <w:rPr>
          <w:rStyle w:val="FootnoteReference"/>
          <w:sz w:val="26"/>
          <w:szCs w:val="26"/>
        </w:rPr>
        <w:footnoteRef/>
      </w:r>
      <w:r w:rsidRPr="00F969C6">
        <w:rPr>
          <w:sz w:val="26"/>
          <w:szCs w:val="26"/>
        </w:rPr>
        <w:tab/>
        <w:t xml:space="preserve">The </w:t>
      </w:r>
      <w:r w:rsidRPr="00F969C6">
        <w:rPr>
          <w:i/>
          <w:sz w:val="26"/>
          <w:szCs w:val="26"/>
        </w:rPr>
        <w:t>Walker/Chapman</w:t>
      </w:r>
      <w:r w:rsidRPr="00F969C6">
        <w:rPr>
          <w:sz w:val="26"/>
          <w:szCs w:val="26"/>
        </w:rPr>
        <w:t xml:space="preserve"> rule provides that simple hearsay evidence may support an agency’s finding of fact so long as the hearsay is admitted into the record without objection and is corroborated by competent evidence in the record.  </w:t>
      </w:r>
      <w:r w:rsidRPr="00F969C6">
        <w:rPr>
          <w:i/>
          <w:sz w:val="26"/>
          <w:szCs w:val="26"/>
        </w:rPr>
        <w:t>See Walker v. Unemployment Compensation Board of Review</w:t>
      </w:r>
      <w:r w:rsidRPr="00F969C6">
        <w:rPr>
          <w:sz w:val="26"/>
          <w:szCs w:val="26"/>
        </w:rPr>
        <w:t xml:space="preserve">, 367 A.2d 366, 370 (Pa. </w:t>
      </w:r>
      <w:proofErr w:type="spellStart"/>
      <w:r w:rsidRPr="00F969C6">
        <w:rPr>
          <w:sz w:val="26"/>
          <w:szCs w:val="26"/>
        </w:rPr>
        <w:t>Cmwlth</w:t>
      </w:r>
      <w:proofErr w:type="spellEnd"/>
      <w:r w:rsidRPr="00F969C6">
        <w:rPr>
          <w:sz w:val="26"/>
          <w:szCs w:val="26"/>
        </w:rPr>
        <w:t>. 1976)</w:t>
      </w:r>
      <w:r>
        <w:rPr>
          <w:sz w:val="26"/>
          <w:szCs w:val="26"/>
        </w:rPr>
        <w:t xml:space="preserve"> (</w:t>
      </w:r>
      <w:r w:rsidRPr="008E63A1">
        <w:rPr>
          <w:i/>
          <w:iCs/>
          <w:sz w:val="26"/>
          <w:szCs w:val="26"/>
        </w:rPr>
        <w:t>Walker</w:t>
      </w:r>
      <w:r>
        <w:rPr>
          <w:sz w:val="26"/>
          <w:szCs w:val="26"/>
        </w:rPr>
        <w:t>)</w:t>
      </w:r>
      <w:r w:rsidRPr="00F969C6">
        <w:rPr>
          <w:sz w:val="26"/>
          <w:szCs w:val="26"/>
        </w:rPr>
        <w:t xml:space="preserve">; </w:t>
      </w:r>
      <w:r w:rsidRPr="00F969C6">
        <w:rPr>
          <w:i/>
          <w:sz w:val="26"/>
          <w:szCs w:val="26"/>
        </w:rPr>
        <w:t>see also Chapman v. Unemployment Compensation Board of Review</w:t>
      </w:r>
      <w:r w:rsidRPr="00F969C6">
        <w:rPr>
          <w:sz w:val="26"/>
          <w:szCs w:val="26"/>
        </w:rPr>
        <w:t xml:space="preserve">, 20 A.3d 603, n.8 (Pa. </w:t>
      </w:r>
      <w:proofErr w:type="spellStart"/>
      <w:r w:rsidRPr="00F969C6">
        <w:rPr>
          <w:sz w:val="26"/>
          <w:szCs w:val="26"/>
        </w:rPr>
        <w:t>Cmwlth</w:t>
      </w:r>
      <w:proofErr w:type="spellEnd"/>
      <w:r w:rsidRPr="00F969C6">
        <w:rPr>
          <w:sz w:val="26"/>
          <w:szCs w:val="26"/>
        </w:rPr>
        <w:t>. 2011).</w:t>
      </w:r>
    </w:p>
  </w:footnote>
  <w:footnote w:id="3">
    <w:p w14:paraId="7DDD8D2E" w14:textId="46C808E8" w:rsidR="005A5BAC" w:rsidRPr="005A5BAC" w:rsidRDefault="005A5BAC" w:rsidP="005A5BAC">
      <w:pPr>
        <w:pStyle w:val="FootnoteText"/>
        <w:ind w:firstLine="720"/>
        <w:rPr>
          <w:sz w:val="26"/>
          <w:szCs w:val="26"/>
        </w:rPr>
      </w:pPr>
      <w:r w:rsidRPr="005A5BAC">
        <w:rPr>
          <w:rStyle w:val="FootnoteReference"/>
          <w:sz w:val="26"/>
          <w:szCs w:val="26"/>
        </w:rPr>
        <w:footnoteRef/>
      </w:r>
      <w:r w:rsidRPr="005A5BAC">
        <w:rPr>
          <w:sz w:val="26"/>
          <w:szCs w:val="26"/>
        </w:rPr>
        <w:t xml:space="preserve"> </w:t>
      </w:r>
      <w:r>
        <w:rPr>
          <w:sz w:val="26"/>
          <w:szCs w:val="26"/>
        </w:rPr>
        <w:tab/>
        <w:t xml:space="preserve">In her Exceptions, Ms. Schutz states “[h]ere is a document which proves 900 megahertz” and attached </w:t>
      </w:r>
      <w:proofErr w:type="gramStart"/>
      <w:r>
        <w:rPr>
          <w:sz w:val="26"/>
          <w:szCs w:val="26"/>
        </w:rPr>
        <w:t>a</w:t>
      </w:r>
      <w:proofErr w:type="gramEnd"/>
      <w:r>
        <w:rPr>
          <w:sz w:val="26"/>
          <w:szCs w:val="26"/>
        </w:rPr>
        <w:t xml:space="preserve"> FCC document titled “In the Matter of Review of the Commission’s Rules Governing the 896-901/935-940 MHz Band – Notice of Inquiry.”  Exc. at </w:t>
      </w:r>
      <w:r w:rsidR="00BB0216">
        <w:rPr>
          <w:sz w:val="26"/>
          <w:szCs w:val="26"/>
        </w:rPr>
        <w:t>5 (attaching FCC 17-108, WT Docket No. 17-200, released August 4, 2017).</w:t>
      </w:r>
    </w:p>
  </w:footnote>
  <w:footnote w:id="4">
    <w:p w14:paraId="377E13F3" w14:textId="77777777" w:rsidR="00F11C1D" w:rsidRPr="00F11C1D" w:rsidRDefault="00F11C1D" w:rsidP="00F11C1D">
      <w:pPr>
        <w:pStyle w:val="FootnoteText"/>
        <w:ind w:firstLine="720"/>
        <w:rPr>
          <w:sz w:val="26"/>
          <w:szCs w:val="26"/>
        </w:rPr>
      </w:pPr>
      <w:r w:rsidRPr="00F11C1D">
        <w:rPr>
          <w:rStyle w:val="FootnoteReference"/>
          <w:sz w:val="26"/>
          <w:szCs w:val="26"/>
        </w:rPr>
        <w:footnoteRef/>
      </w:r>
      <w:r w:rsidRPr="00F11C1D">
        <w:rPr>
          <w:sz w:val="26"/>
          <w:szCs w:val="26"/>
        </w:rPr>
        <w:t xml:space="preserve"> </w:t>
      </w:r>
      <w:r>
        <w:rPr>
          <w:sz w:val="26"/>
          <w:szCs w:val="26"/>
        </w:rPr>
        <w:tab/>
        <w:t xml:space="preserve">PPL asserts that the Commission has no subject matter jurisdiction to interpret and enforce federal criminal statutes.  R. Exc. at 9-10 (citing </w:t>
      </w:r>
      <w:r w:rsidRPr="00185FE9">
        <w:rPr>
          <w:i/>
          <w:iCs/>
          <w:sz w:val="26"/>
          <w:szCs w:val="26"/>
        </w:rPr>
        <w:t>Adams v. U.S.</w:t>
      </w:r>
      <w:r>
        <w:rPr>
          <w:sz w:val="26"/>
          <w:szCs w:val="26"/>
        </w:rPr>
        <w:t xml:space="preserve">, </w:t>
      </w:r>
      <w:r w:rsidR="00185FE9">
        <w:rPr>
          <w:sz w:val="26"/>
          <w:szCs w:val="26"/>
        </w:rPr>
        <w:t xml:space="preserve">2008 WL 4725452 (U.S. Ct. of Claims 2008)).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6"/>
  </w:num>
  <w:num w:numId="7">
    <w:abstractNumId w:val="8"/>
  </w:num>
  <w:num w:numId="8">
    <w:abstractNumId w:val="15"/>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7"/>
  </w:num>
  <w:num w:numId="16">
    <w:abstractNumId w:val="0"/>
  </w:num>
  <w:num w:numId="17">
    <w:abstractNumId w:val="1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0BE5"/>
    <w:rsid w:val="00011320"/>
    <w:rsid w:val="00013BD3"/>
    <w:rsid w:val="00013E77"/>
    <w:rsid w:val="00014746"/>
    <w:rsid w:val="00015802"/>
    <w:rsid w:val="000203E2"/>
    <w:rsid w:val="00022C9C"/>
    <w:rsid w:val="000236E4"/>
    <w:rsid w:val="00023FFD"/>
    <w:rsid w:val="0002506D"/>
    <w:rsid w:val="00025076"/>
    <w:rsid w:val="000259EB"/>
    <w:rsid w:val="00025DF9"/>
    <w:rsid w:val="00025E69"/>
    <w:rsid w:val="00030EE5"/>
    <w:rsid w:val="00032EFB"/>
    <w:rsid w:val="000359C0"/>
    <w:rsid w:val="00036D74"/>
    <w:rsid w:val="0004009B"/>
    <w:rsid w:val="00041F45"/>
    <w:rsid w:val="00042D57"/>
    <w:rsid w:val="00042F28"/>
    <w:rsid w:val="00043176"/>
    <w:rsid w:val="00047197"/>
    <w:rsid w:val="000473BF"/>
    <w:rsid w:val="000501EC"/>
    <w:rsid w:val="00050267"/>
    <w:rsid w:val="00050351"/>
    <w:rsid w:val="00051A66"/>
    <w:rsid w:val="0005338E"/>
    <w:rsid w:val="00054291"/>
    <w:rsid w:val="00054989"/>
    <w:rsid w:val="00055921"/>
    <w:rsid w:val="00055DC6"/>
    <w:rsid w:val="000571B2"/>
    <w:rsid w:val="00057FF2"/>
    <w:rsid w:val="0006149A"/>
    <w:rsid w:val="00064338"/>
    <w:rsid w:val="0006698F"/>
    <w:rsid w:val="000674BF"/>
    <w:rsid w:val="00070145"/>
    <w:rsid w:val="0007078A"/>
    <w:rsid w:val="00070BE0"/>
    <w:rsid w:val="00072FB2"/>
    <w:rsid w:val="00077644"/>
    <w:rsid w:val="00077D2C"/>
    <w:rsid w:val="00077D3D"/>
    <w:rsid w:val="00080A5D"/>
    <w:rsid w:val="00081036"/>
    <w:rsid w:val="000817E0"/>
    <w:rsid w:val="00083ABE"/>
    <w:rsid w:val="00084203"/>
    <w:rsid w:val="00086CEC"/>
    <w:rsid w:val="00086F0B"/>
    <w:rsid w:val="00087914"/>
    <w:rsid w:val="00090C69"/>
    <w:rsid w:val="000939C7"/>
    <w:rsid w:val="00094518"/>
    <w:rsid w:val="000959E2"/>
    <w:rsid w:val="0009621E"/>
    <w:rsid w:val="0009637B"/>
    <w:rsid w:val="00096DEE"/>
    <w:rsid w:val="0009777B"/>
    <w:rsid w:val="000A1BD3"/>
    <w:rsid w:val="000A2869"/>
    <w:rsid w:val="000A3525"/>
    <w:rsid w:val="000A5F88"/>
    <w:rsid w:val="000A7C2C"/>
    <w:rsid w:val="000B255B"/>
    <w:rsid w:val="000B2AC8"/>
    <w:rsid w:val="000B46BD"/>
    <w:rsid w:val="000B4D47"/>
    <w:rsid w:val="000B674B"/>
    <w:rsid w:val="000C0FE0"/>
    <w:rsid w:val="000C2859"/>
    <w:rsid w:val="000C4245"/>
    <w:rsid w:val="000C585B"/>
    <w:rsid w:val="000D1BCC"/>
    <w:rsid w:val="000D20DD"/>
    <w:rsid w:val="000D2D66"/>
    <w:rsid w:val="000D3D1A"/>
    <w:rsid w:val="000D4DCA"/>
    <w:rsid w:val="000D7003"/>
    <w:rsid w:val="000D77E6"/>
    <w:rsid w:val="000D7C55"/>
    <w:rsid w:val="000E0683"/>
    <w:rsid w:val="000E0830"/>
    <w:rsid w:val="000E1C44"/>
    <w:rsid w:val="000E5C56"/>
    <w:rsid w:val="000E7543"/>
    <w:rsid w:val="000F00B7"/>
    <w:rsid w:val="000F03E5"/>
    <w:rsid w:val="000F0A1B"/>
    <w:rsid w:val="000F2344"/>
    <w:rsid w:val="000F236A"/>
    <w:rsid w:val="000F4166"/>
    <w:rsid w:val="000F4FA5"/>
    <w:rsid w:val="000F69FE"/>
    <w:rsid w:val="000F72BD"/>
    <w:rsid w:val="000F7450"/>
    <w:rsid w:val="000F76C2"/>
    <w:rsid w:val="00104496"/>
    <w:rsid w:val="001045A3"/>
    <w:rsid w:val="00105601"/>
    <w:rsid w:val="0010585D"/>
    <w:rsid w:val="0010681B"/>
    <w:rsid w:val="00107339"/>
    <w:rsid w:val="001104DF"/>
    <w:rsid w:val="00113871"/>
    <w:rsid w:val="00114BA6"/>
    <w:rsid w:val="00115DC3"/>
    <w:rsid w:val="00115F20"/>
    <w:rsid w:val="00120C01"/>
    <w:rsid w:val="00122B62"/>
    <w:rsid w:val="00122B7C"/>
    <w:rsid w:val="00122E03"/>
    <w:rsid w:val="00124F6E"/>
    <w:rsid w:val="00125BE8"/>
    <w:rsid w:val="00126561"/>
    <w:rsid w:val="00126DE3"/>
    <w:rsid w:val="00127620"/>
    <w:rsid w:val="00130237"/>
    <w:rsid w:val="00130895"/>
    <w:rsid w:val="001316C0"/>
    <w:rsid w:val="00135575"/>
    <w:rsid w:val="00141287"/>
    <w:rsid w:val="001429A6"/>
    <w:rsid w:val="00143206"/>
    <w:rsid w:val="001436E5"/>
    <w:rsid w:val="00145453"/>
    <w:rsid w:val="001479B9"/>
    <w:rsid w:val="00151849"/>
    <w:rsid w:val="00151CF5"/>
    <w:rsid w:val="00152023"/>
    <w:rsid w:val="00152A79"/>
    <w:rsid w:val="0015304B"/>
    <w:rsid w:val="001550CF"/>
    <w:rsid w:val="00155718"/>
    <w:rsid w:val="00163A41"/>
    <w:rsid w:val="00166F8A"/>
    <w:rsid w:val="00172F07"/>
    <w:rsid w:val="00172F11"/>
    <w:rsid w:val="00173C8A"/>
    <w:rsid w:val="00176EE0"/>
    <w:rsid w:val="00177400"/>
    <w:rsid w:val="00177801"/>
    <w:rsid w:val="00177B26"/>
    <w:rsid w:val="001816D6"/>
    <w:rsid w:val="001817E2"/>
    <w:rsid w:val="00183C71"/>
    <w:rsid w:val="00185079"/>
    <w:rsid w:val="00185FE9"/>
    <w:rsid w:val="001863FF"/>
    <w:rsid w:val="00186CEC"/>
    <w:rsid w:val="0019185E"/>
    <w:rsid w:val="00193E14"/>
    <w:rsid w:val="00195578"/>
    <w:rsid w:val="001A184F"/>
    <w:rsid w:val="001A2E0A"/>
    <w:rsid w:val="001A462D"/>
    <w:rsid w:val="001A6F37"/>
    <w:rsid w:val="001A7AE8"/>
    <w:rsid w:val="001A7B5F"/>
    <w:rsid w:val="001B0C5E"/>
    <w:rsid w:val="001B2D87"/>
    <w:rsid w:val="001B461E"/>
    <w:rsid w:val="001B4898"/>
    <w:rsid w:val="001B68CD"/>
    <w:rsid w:val="001C076F"/>
    <w:rsid w:val="001C19A6"/>
    <w:rsid w:val="001C296F"/>
    <w:rsid w:val="001C2D5B"/>
    <w:rsid w:val="001C3984"/>
    <w:rsid w:val="001C3BA2"/>
    <w:rsid w:val="001C4CDE"/>
    <w:rsid w:val="001C5325"/>
    <w:rsid w:val="001C554A"/>
    <w:rsid w:val="001C6105"/>
    <w:rsid w:val="001C6C22"/>
    <w:rsid w:val="001C6E41"/>
    <w:rsid w:val="001C78D5"/>
    <w:rsid w:val="001C7900"/>
    <w:rsid w:val="001D1839"/>
    <w:rsid w:val="001D1D1F"/>
    <w:rsid w:val="001D2733"/>
    <w:rsid w:val="001D44AC"/>
    <w:rsid w:val="001E1233"/>
    <w:rsid w:val="001E39B8"/>
    <w:rsid w:val="001E48CA"/>
    <w:rsid w:val="001E61F2"/>
    <w:rsid w:val="001E69AF"/>
    <w:rsid w:val="001F22E6"/>
    <w:rsid w:val="001F266A"/>
    <w:rsid w:val="001F3291"/>
    <w:rsid w:val="001F39E7"/>
    <w:rsid w:val="001F4B02"/>
    <w:rsid w:val="001F5463"/>
    <w:rsid w:val="001F61E9"/>
    <w:rsid w:val="001F6470"/>
    <w:rsid w:val="001F6B8E"/>
    <w:rsid w:val="001F7D11"/>
    <w:rsid w:val="002039CE"/>
    <w:rsid w:val="00206677"/>
    <w:rsid w:val="00211464"/>
    <w:rsid w:val="002115CE"/>
    <w:rsid w:val="00212284"/>
    <w:rsid w:val="002128EA"/>
    <w:rsid w:val="002131EC"/>
    <w:rsid w:val="002141A4"/>
    <w:rsid w:val="00216A44"/>
    <w:rsid w:val="0021736B"/>
    <w:rsid w:val="00217816"/>
    <w:rsid w:val="0022174D"/>
    <w:rsid w:val="0022489D"/>
    <w:rsid w:val="00226E42"/>
    <w:rsid w:val="002271C0"/>
    <w:rsid w:val="00231D72"/>
    <w:rsid w:val="002325AB"/>
    <w:rsid w:val="002327DF"/>
    <w:rsid w:val="002331C5"/>
    <w:rsid w:val="002332EF"/>
    <w:rsid w:val="00234CB2"/>
    <w:rsid w:val="0023533E"/>
    <w:rsid w:val="002370E8"/>
    <w:rsid w:val="00241720"/>
    <w:rsid w:val="002463E4"/>
    <w:rsid w:val="00246D56"/>
    <w:rsid w:val="002470BC"/>
    <w:rsid w:val="00253A47"/>
    <w:rsid w:val="002540DB"/>
    <w:rsid w:val="00254157"/>
    <w:rsid w:val="002546FD"/>
    <w:rsid w:val="002557E0"/>
    <w:rsid w:val="00255853"/>
    <w:rsid w:val="00255BF9"/>
    <w:rsid w:val="00256B45"/>
    <w:rsid w:val="00256B73"/>
    <w:rsid w:val="00256BE3"/>
    <w:rsid w:val="00256CB3"/>
    <w:rsid w:val="00256F78"/>
    <w:rsid w:val="00256FC9"/>
    <w:rsid w:val="00257811"/>
    <w:rsid w:val="00260523"/>
    <w:rsid w:val="00260C7C"/>
    <w:rsid w:val="00261020"/>
    <w:rsid w:val="00261465"/>
    <w:rsid w:val="002617ED"/>
    <w:rsid w:val="00261E54"/>
    <w:rsid w:val="002625EC"/>
    <w:rsid w:val="00263C79"/>
    <w:rsid w:val="002643D9"/>
    <w:rsid w:val="002646F1"/>
    <w:rsid w:val="002679D3"/>
    <w:rsid w:val="002711AF"/>
    <w:rsid w:val="00271EEB"/>
    <w:rsid w:val="00272C8B"/>
    <w:rsid w:val="0027391D"/>
    <w:rsid w:val="00273F69"/>
    <w:rsid w:val="002754DA"/>
    <w:rsid w:val="00275F66"/>
    <w:rsid w:val="00276874"/>
    <w:rsid w:val="00280CE1"/>
    <w:rsid w:val="00283A74"/>
    <w:rsid w:val="00283EF3"/>
    <w:rsid w:val="00284EAD"/>
    <w:rsid w:val="0028632D"/>
    <w:rsid w:val="00287438"/>
    <w:rsid w:val="00291A07"/>
    <w:rsid w:val="0029212A"/>
    <w:rsid w:val="00292825"/>
    <w:rsid w:val="002931D5"/>
    <w:rsid w:val="002935D2"/>
    <w:rsid w:val="00295C7D"/>
    <w:rsid w:val="002978D2"/>
    <w:rsid w:val="002A0787"/>
    <w:rsid w:val="002A159D"/>
    <w:rsid w:val="002A23B1"/>
    <w:rsid w:val="002A4572"/>
    <w:rsid w:val="002A48C8"/>
    <w:rsid w:val="002A4E46"/>
    <w:rsid w:val="002A6AC9"/>
    <w:rsid w:val="002A71C9"/>
    <w:rsid w:val="002A740F"/>
    <w:rsid w:val="002B20B1"/>
    <w:rsid w:val="002B50E9"/>
    <w:rsid w:val="002B785E"/>
    <w:rsid w:val="002B7899"/>
    <w:rsid w:val="002B78A1"/>
    <w:rsid w:val="002C1CEC"/>
    <w:rsid w:val="002C45A2"/>
    <w:rsid w:val="002C4B9A"/>
    <w:rsid w:val="002C4E17"/>
    <w:rsid w:val="002C591A"/>
    <w:rsid w:val="002C5963"/>
    <w:rsid w:val="002C6FA1"/>
    <w:rsid w:val="002C780B"/>
    <w:rsid w:val="002D114E"/>
    <w:rsid w:val="002E21E2"/>
    <w:rsid w:val="002E5EE2"/>
    <w:rsid w:val="002E69CA"/>
    <w:rsid w:val="002E6BE4"/>
    <w:rsid w:val="002F18C2"/>
    <w:rsid w:val="002F205F"/>
    <w:rsid w:val="002F380D"/>
    <w:rsid w:val="002F4247"/>
    <w:rsid w:val="002F4A69"/>
    <w:rsid w:val="002F4A77"/>
    <w:rsid w:val="002F6D54"/>
    <w:rsid w:val="0030220E"/>
    <w:rsid w:val="00302502"/>
    <w:rsid w:val="003063B3"/>
    <w:rsid w:val="003077E0"/>
    <w:rsid w:val="00311CC9"/>
    <w:rsid w:val="00313456"/>
    <w:rsid w:val="00314BBE"/>
    <w:rsid w:val="003150DF"/>
    <w:rsid w:val="0031552B"/>
    <w:rsid w:val="00315701"/>
    <w:rsid w:val="003161E5"/>
    <w:rsid w:val="0032366A"/>
    <w:rsid w:val="00323DE8"/>
    <w:rsid w:val="003266AC"/>
    <w:rsid w:val="00326996"/>
    <w:rsid w:val="0032799C"/>
    <w:rsid w:val="00337586"/>
    <w:rsid w:val="00340D2A"/>
    <w:rsid w:val="0034206D"/>
    <w:rsid w:val="00343135"/>
    <w:rsid w:val="0034456A"/>
    <w:rsid w:val="003450C3"/>
    <w:rsid w:val="003467FE"/>
    <w:rsid w:val="00350ACB"/>
    <w:rsid w:val="003541EF"/>
    <w:rsid w:val="003569F1"/>
    <w:rsid w:val="00360ED2"/>
    <w:rsid w:val="00362F0F"/>
    <w:rsid w:val="0036311B"/>
    <w:rsid w:val="0037391C"/>
    <w:rsid w:val="00377E3F"/>
    <w:rsid w:val="00377F42"/>
    <w:rsid w:val="003820E8"/>
    <w:rsid w:val="00383B51"/>
    <w:rsid w:val="00385076"/>
    <w:rsid w:val="003861FB"/>
    <w:rsid w:val="00390ACB"/>
    <w:rsid w:val="00391C7D"/>
    <w:rsid w:val="00392FDE"/>
    <w:rsid w:val="003932B1"/>
    <w:rsid w:val="003937F3"/>
    <w:rsid w:val="00395DED"/>
    <w:rsid w:val="00397292"/>
    <w:rsid w:val="00397482"/>
    <w:rsid w:val="0039777C"/>
    <w:rsid w:val="003A04EA"/>
    <w:rsid w:val="003A1573"/>
    <w:rsid w:val="003A3427"/>
    <w:rsid w:val="003A39CB"/>
    <w:rsid w:val="003A4C73"/>
    <w:rsid w:val="003A53E7"/>
    <w:rsid w:val="003A57F1"/>
    <w:rsid w:val="003A7E8E"/>
    <w:rsid w:val="003B4D55"/>
    <w:rsid w:val="003B541E"/>
    <w:rsid w:val="003B55E8"/>
    <w:rsid w:val="003B756B"/>
    <w:rsid w:val="003B763C"/>
    <w:rsid w:val="003C0051"/>
    <w:rsid w:val="003C1F85"/>
    <w:rsid w:val="003C30D5"/>
    <w:rsid w:val="003C3166"/>
    <w:rsid w:val="003C3D46"/>
    <w:rsid w:val="003C4D05"/>
    <w:rsid w:val="003C7141"/>
    <w:rsid w:val="003C77B3"/>
    <w:rsid w:val="003D1A05"/>
    <w:rsid w:val="003D4807"/>
    <w:rsid w:val="003D5842"/>
    <w:rsid w:val="003D5B48"/>
    <w:rsid w:val="003D5C5F"/>
    <w:rsid w:val="003D6ECB"/>
    <w:rsid w:val="003D6F56"/>
    <w:rsid w:val="003E1486"/>
    <w:rsid w:val="003E5BD3"/>
    <w:rsid w:val="003E709F"/>
    <w:rsid w:val="003F0635"/>
    <w:rsid w:val="003F0E5A"/>
    <w:rsid w:val="003F3202"/>
    <w:rsid w:val="003F5257"/>
    <w:rsid w:val="003F54B9"/>
    <w:rsid w:val="003F6C57"/>
    <w:rsid w:val="00401106"/>
    <w:rsid w:val="004029D7"/>
    <w:rsid w:val="00402B04"/>
    <w:rsid w:val="00403017"/>
    <w:rsid w:val="0040525E"/>
    <w:rsid w:val="004058AF"/>
    <w:rsid w:val="00405C53"/>
    <w:rsid w:val="00405DB2"/>
    <w:rsid w:val="00410EE7"/>
    <w:rsid w:val="004112A0"/>
    <w:rsid w:val="00411B3E"/>
    <w:rsid w:val="004121F7"/>
    <w:rsid w:val="004128CD"/>
    <w:rsid w:val="004130CE"/>
    <w:rsid w:val="0041393A"/>
    <w:rsid w:val="004170BA"/>
    <w:rsid w:val="00417D1B"/>
    <w:rsid w:val="00422537"/>
    <w:rsid w:val="00422F3A"/>
    <w:rsid w:val="00425EC8"/>
    <w:rsid w:val="00426EBD"/>
    <w:rsid w:val="00427E2E"/>
    <w:rsid w:val="0043125D"/>
    <w:rsid w:val="004313EE"/>
    <w:rsid w:val="00431FCF"/>
    <w:rsid w:val="00432A5B"/>
    <w:rsid w:val="00433D56"/>
    <w:rsid w:val="0043421A"/>
    <w:rsid w:val="004371DE"/>
    <w:rsid w:val="00440633"/>
    <w:rsid w:val="0044497D"/>
    <w:rsid w:val="004507F8"/>
    <w:rsid w:val="00451B9B"/>
    <w:rsid w:val="004533B5"/>
    <w:rsid w:val="00453409"/>
    <w:rsid w:val="00456195"/>
    <w:rsid w:val="00457281"/>
    <w:rsid w:val="00460433"/>
    <w:rsid w:val="00460720"/>
    <w:rsid w:val="00461D62"/>
    <w:rsid w:val="004665E4"/>
    <w:rsid w:val="00466A11"/>
    <w:rsid w:val="00470A07"/>
    <w:rsid w:val="00472CDF"/>
    <w:rsid w:val="00472E1A"/>
    <w:rsid w:val="004734AB"/>
    <w:rsid w:val="004737E6"/>
    <w:rsid w:val="00474421"/>
    <w:rsid w:val="00475B12"/>
    <w:rsid w:val="00476D36"/>
    <w:rsid w:val="00480593"/>
    <w:rsid w:val="00480970"/>
    <w:rsid w:val="00481036"/>
    <w:rsid w:val="0048490F"/>
    <w:rsid w:val="00484B83"/>
    <w:rsid w:val="00484C8A"/>
    <w:rsid w:val="00497130"/>
    <w:rsid w:val="004A01F5"/>
    <w:rsid w:val="004A44B1"/>
    <w:rsid w:val="004A6609"/>
    <w:rsid w:val="004A7A35"/>
    <w:rsid w:val="004B0538"/>
    <w:rsid w:val="004B0712"/>
    <w:rsid w:val="004B4653"/>
    <w:rsid w:val="004B4C1C"/>
    <w:rsid w:val="004B4E37"/>
    <w:rsid w:val="004B62CD"/>
    <w:rsid w:val="004B62EF"/>
    <w:rsid w:val="004B6C9A"/>
    <w:rsid w:val="004B7AD1"/>
    <w:rsid w:val="004C135A"/>
    <w:rsid w:val="004C46A9"/>
    <w:rsid w:val="004C524E"/>
    <w:rsid w:val="004C54E3"/>
    <w:rsid w:val="004C5C91"/>
    <w:rsid w:val="004C630A"/>
    <w:rsid w:val="004C7BEB"/>
    <w:rsid w:val="004D41D9"/>
    <w:rsid w:val="004D4AC1"/>
    <w:rsid w:val="004D4E2F"/>
    <w:rsid w:val="004D56A6"/>
    <w:rsid w:val="004D6EC7"/>
    <w:rsid w:val="004E3B84"/>
    <w:rsid w:val="004E4412"/>
    <w:rsid w:val="004E5167"/>
    <w:rsid w:val="004E676D"/>
    <w:rsid w:val="004E6A20"/>
    <w:rsid w:val="004E6C16"/>
    <w:rsid w:val="004E7C32"/>
    <w:rsid w:val="004E7F4B"/>
    <w:rsid w:val="004F1ECF"/>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41E6"/>
    <w:rsid w:val="005069AE"/>
    <w:rsid w:val="0051153E"/>
    <w:rsid w:val="00511AC7"/>
    <w:rsid w:val="0051227F"/>
    <w:rsid w:val="0051253C"/>
    <w:rsid w:val="00512775"/>
    <w:rsid w:val="005127C6"/>
    <w:rsid w:val="00517C0F"/>
    <w:rsid w:val="00520A50"/>
    <w:rsid w:val="00520CAB"/>
    <w:rsid w:val="005213A8"/>
    <w:rsid w:val="005239D3"/>
    <w:rsid w:val="00525AEB"/>
    <w:rsid w:val="00526BBB"/>
    <w:rsid w:val="0053117B"/>
    <w:rsid w:val="005313F9"/>
    <w:rsid w:val="0053279A"/>
    <w:rsid w:val="005333D2"/>
    <w:rsid w:val="00534263"/>
    <w:rsid w:val="00537267"/>
    <w:rsid w:val="0053736E"/>
    <w:rsid w:val="00537A3D"/>
    <w:rsid w:val="00537CAD"/>
    <w:rsid w:val="0054006F"/>
    <w:rsid w:val="0054268B"/>
    <w:rsid w:val="00543167"/>
    <w:rsid w:val="00543B7B"/>
    <w:rsid w:val="00543EAE"/>
    <w:rsid w:val="005441F7"/>
    <w:rsid w:val="00545BA8"/>
    <w:rsid w:val="00546F4C"/>
    <w:rsid w:val="00550CEC"/>
    <w:rsid w:val="00553530"/>
    <w:rsid w:val="00554267"/>
    <w:rsid w:val="00554A2B"/>
    <w:rsid w:val="00554D3B"/>
    <w:rsid w:val="00555560"/>
    <w:rsid w:val="00556231"/>
    <w:rsid w:val="00556B14"/>
    <w:rsid w:val="005574D8"/>
    <w:rsid w:val="00557870"/>
    <w:rsid w:val="00560D55"/>
    <w:rsid w:val="005614CA"/>
    <w:rsid w:val="00561582"/>
    <w:rsid w:val="0056368E"/>
    <w:rsid w:val="00564F2E"/>
    <w:rsid w:val="005659E7"/>
    <w:rsid w:val="005667E5"/>
    <w:rsid w:val="0056719D"/>
    <w:rsid w:val="00567DA0"/>
    <w:rsid w:val="005703B8"/>
    <w:rsid w:val="00570974"/>
    <w:rsid w:val="005709B0"/>
    <w:rsid w:val="00570B80"/>
    <w:rsid w:val="00570FAC"/>
    <w:rsid w:val="00573E3D"/>
    <w:rsid w:val="005756F5"/>
    <w:rsid w:val="00576E0A"/>
    <w:rsid w:val="00576FE0"/>
    <w:rsid w:val="00580B29"/>
    <w:rsid w:val="00582CD7"/>
    <w:rsid w:val="0058799D"/>
    <w:rsid w:val="00592360"/>
    <w:rsid w:val="005945FE"/>
    <w:rsid w:val="0059604F"/>
    <w:rsid w:val="005965F9"/>
    <w:rsid w:val="005A12D8"/>
    <w:rsid w:val="005A1CC8"/>
    <w:rsid w:val="005A1F11"/>
    <w:rsid w:val="005A2166"/>
    <w:rsid w:val="005A2B95"/>
    <w:rsid w:val="005A3385"/>
    <w:rsid w:val="005A3862"/>
    <w:rsid w:val="005A4D79"/>
    <w:rsid w:val="005A5BAC"/>
    <w:rsid w:val="005A7474"/>
    <w:rsid w:val="005A7977"/>
    <w:rsid w:val="005B1655"/>
    <w:rsid w:val="005B3D71"/>
    <w:rsid w:val="005B4F4D"/>
    <w:rsid w:val="005B55E4"/>
    <w:rsid w:val="005B6173"/>
    <w:rsid w:val="005B6415"/>
    <w:rsid w:val="005B7A9D"/>
    <w:rsid w:val="005C1ABA"/>
    <w:rsid w:val="005C1DDD"/>
    <w:rsid w:val="005C3466"/>
    <w:rsid w:val="005C3AD7"/>
    <w:rsid w:val="005C4831"/>
    <w:rsid w:val="005C5B2A"/>
    <w:rsid w:val="005C66A8"/>
    <w:rsid w:val="005C74FF"/>
    <w:rsid w:val="005D1552"/>
    <w:rsid w:val="005D4AA3"/>
    <w:rsid w:val="005D4EE2"/>
    <w:rsid w:val="005D5E32"/>
    <w:rsid w:val="005D6930"/>
    <w:rsid w:val="005D6DE3"/>
    <w:rsid w:val="005D7A1E"/>
    <w:rsid w:val="005E2290"/>
    <w:rsid w:val="005E4767"/>
    <w:rsid w:val="005E4B55"/>
    <w:rsid w:val="005E4BC8"/>
    <w:rsid w:val="005E705C"/>
    <w:rsid w:val="005E785E"/>
    <w:rsid w:val="005F0AC7"/>
    <w:rsid w:val="005F1AB1"/>
    <w:rsid w:val="005F1E33"/>
    <w:rsid w:val="005F247E"/>
    <w:rsid w:val="005F2574"/>
    <w:rsid w:val="005F3814"/>
    <w:rsid w:val="00601675"/>
    <w:rsid w:val="00602153"/>
    <w:rsid w:val="00603006"/>
    <w:rsid w:val="00604EEC"/>
    <w:rsid w:val="00604F89"/>
    <w:rsid w:val="0060711F"/>
    <w:rsid w:val="00610D03"/>
    <w:rsid w:val="00612F67"/>
    <w:rsid w:val="00613898"/>
    <w:rsid w:val="006152D1"/>
    <w:rsid w:val="00615D32"/>
    <w:rsid w:val="00615F30"/>
    <w:rsid w:val="006164CC"/>
    <w:rsid w:val="00617CEA"/>
    <w:rsid w:val="00621081"/>
    <w:rsid w:val="00621B2C"/>
    <w:rsid w:val="006225D5"/>
    <w:rsid w:val="00626D9E"/>
    <w:rsid w:val="00633CBD"/>
    <w:rsid w:val="006412AB"/>
    <w:rsid w:val="00642399"/>
    <w:rsid w:val="00644045"/>
    <w:rsid w:val="00645A8F"/>
    <w:rsid w:val="00646E90"/>
    <w:rsid w:val="006475CC"/>
    <w:rsid w:val="00650461"/>
    <w:rsid w:val="0065112C"/>
    <w:rsid w:val="00651209"/>
    <w:rsid w:val="00651CE3"/>
    <w:rsid w:val="00651FD5"/>
    <w:rsid w:val="00652520"/>
    <w:rsid w:val="00652995"/>
    <w:rsid w:val="00652B25"/>
    <w:rsid w:val="0065370E"/>
    <w:rsid w:val="00654206"/>
    <w:rsid w:val="0065514C"/>
    <w:rsid w:val="00655864"/>
    <w:rsid w:val="00655D41"/>
    <w:rsid w:val="006569C9"/>
    <w:rsid w:val="006573C0"/>
    <w:rsid w:val="00660020"/>
    <w:rsid w:val="006613AB"/>
    <w:rsid w:val="0066489A"/>
    <w:rsid w:val="0066563C"/>
    <w:rsid w:val="00665F78"/>
    <w:rsid w:val="00666027"/>
    <w:rsid w:val="0066685E"/>
    <w:rsid w:val="00671555"/>
    <w:rsid w:val="00673CBE"/>
    <w:rsid w:val="00675DD3"/>
    <w:rsid w:val="006774A4"/>
    <w:rsid w:val="00682154"/>
    <w:rsid w:val="0068257B"/>
    <w:rsid w:val="0068321A"/>
    <w:rsid w:val="0068357D"/>
    <w:rsid w:val="00686A71"/>
    <w:rsid w:val="006901E1"/>
    <w:rsid w:val="0069331A"/>
    <w:rsid w:val="006953E5"/>
    <w:rsid w:val="006A030E"/>
    <w:rsid w:val="006A0977"/>
    <w:rsid w:val="006A1376"/>
    <w:rsid w:val="006A5947"/>
    <w:rsid w:val="006A6367"/>
    <w:rsid w:val="006A669D"/>
    <w:rsid w:val="006B14DD"/>
    <w:rsid w:val="006B55F8"/>
    <w:rsid w:val="006C0757"/>
    <w:rsid w:val="006C303F"/>
    <w:rsid w:val="006C4D4A"/>
    <w:rsid w:val="006C6455"/>
    <w:rsid w:val="006D0347"/>
    <w:rsid w:val="006D10A6"/>
    <w:rsid w:val="006D29AD"/>
    <w:rsid w:val="006D4340"/>
    <w:rsid w:val="006D44EF"/>
    <w:rsid w:val="006D496B"/>
    <w:rsid w:val="006D5081"/>
    <w:rsid w:val="006D59E3"/>
    <w:rsid w:val="006D5FCE"/>
    <w:rsid w:val="006E0D74"/>
    <w:rsid w:val="006E0E01"/>
    <w:rsid w:val="006E178E"/>
    <w:rsid w:val="006E1B6D"/>
    <w:rsid w:val="006E2C45"/>
    <w:rsid w:val="006E5DA4"/>
    <w:rsid w:val="006F1E78"/>
    <w:rsid w:val="006F26C8"/>
    <w:rsid w:val="006F44B6"/>
    <w:rsid w:val="006F5102"/>
    <w:rsid w:val="006F6412"/>
    <w:rsid w:val="006F7E78"/>
    <w:rsid w:val="00701B05"/>
    <w:rsid w:val="007029F1"/>
    <w:rsid w:val="00703B4E"/>
    <w:rsid w:val="00703D3A"/>
    <w:rsid w:val="00707559"/>
    <w:rsid w:val="00707954"/>
    <w:rsid w:val="00713352"/>
    <w:rsid w:val="00714797"/>
    <w:rsid w:val="00714E16"/>
    <w:rsid w:val="007157C6"/>
    <w:rsid w:val="00715966"/>
    <w:rsid w:val="0071747D"/>
    <w:rsid w:val="007177AF"/>
    <w:rsid w:val="00717D84"/>
    <w:rsid w:val="0072318F"/>
    <w:rsid w:val="007237F6"/>
    <w:rsid w:val="00724050"/>
    <w:rsid w:val="00726525"/>
    <w:rsid w:val="00730AA1"/>
    <w:rsid w:val="00732750"/>
    <w:rsid w:val="00732B1A"/>
    <w:rsid w:val="00732F84"/>
    <w:rsid w:val="00734CE5"/>
    <w:rsid w:val="0073516F"/>
    <w:rsid w:val="00735235"/>
    <w:rsid w:val="00737FD2"/>
    <w:rsid w:val="00741E22"/>
    <w:rsid w:val="007431D3"/>
    <w:rsid w:val="00744869"/>
    <w:rsid w:val="0074690D"/>
    <w:rsid w:val="007510E2"/>
    <w:rsid w:val="00751590"/>
    <w:rsid w:val="00751A7E"/>
    <w:rsid w:val="00753029"/>
    <w:rsid w:val="007540DF"/>
    <w:rsid w:val="00757AE7"/>
    <w:rsid w:val="00757E60"/>
    <w:rsid w:val="00760318"/>
    <w:rsid w:val="00762D52"/>
    <w:rsid w:val="00767F79"/>
    <w:rsid w:val="0077157E"/>
    <w:rsid w:val="00772152"/>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486"/>
    <w:rsid w:val="00791F20"/>
    <w:rsid w:val="007926A3"/>
    <w:rsid w:val="00793918"/>
    <w:rsid w:val="00794C25"/>
    <w:rsid w:val="00794F60"/>
    <w:rsid w:val="00797305"/>
    <w:rsid w:val="00797EA0"/>
    <w:rsid w:val="007A1682"/>
    <w:rsid w:val="007A256C"/>
    <w:rsid w:val="007A336C"/>
    <w:rsid w:val="007A4135"/>
    <w:rsid w:val="007A44AB"/>
    <w:rsid w:val="007A5E97"/>
    <w:rsid w:val="007B2F13"/>
    <w:rsid w:val="007B3C60"/>
    <w:rsid w:val="007B5240"/>
    <w:rsid w:val="007B66DF"/>
    <w:rsid w:val="007B707A"/>
    <w:rsid w:val="007C00AB"/>
    <w:rsid w:val="007C0630"/>
    <w:rsid w:val="007C1014"/>
    <w:rsid w:val="007C4EA5"/>
    <w:rsid w:val="007C56F8"/>
    <w:rsid w:val="007C61DF"/>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4C92"/>
    <w:rsid w:val="007E51F7"/>
    <w:rsid w:val="007E5D3C"/>
    <w:rsid w:val="007F0BD9"/>
    <w:rsid w:val="007F10CB"/>
    <w:rsid w:val="007F2EB3"/>
    <w:rsid w:val="007F541F"/>
    <w:rsid w:val="007F55DC"/>
    <w:rsid w:val="007F5C35"/>
    <w:rsid w:val="007F6100"/>
    <w:rsid w:val="00801C92"/>
    <w:rsid w:val="00801D74"/>
    <w:rsid w:val="008029A5"/>
    <w:rsid w:val="00804EAE"/>
    <w:rsid w:val="00805A62"/>
    <w:rsid w:val="008067C8"/>
    <w:rsid w:val="00807609"/>
    <w:rsid w:val="008100CA"/>
    <w:rsid w:val="00811120"/>
    <w:rsid w:val="0081122A"/>
    <w:rsid w:val="00811562"/>
    <w:rsid w:val="00816C29"/>
    <w:rsid w:val="00816F5C"/>
    <w:rsid w:val="00817488"/>
    <w:rsid w:val="008206A2"/>
    <w:rsid w:val="00820ED7"/>
    <w:rsid w:val="0082232C"/>
    <w:rsid w:val="008225A3"/>
    <w:rsid w:val="008246D4"/>
    <w:rsid w:val="00825EB3"/>
    <w:rsid w:val="0082607B"/>
    <w:rsid w:val="008269D0"/>
    <w:rsid w:val="0083433A"/>
    <w:rsid w:val="00835949"/>
    <w:rsid w:val="00836ED6"/>
    <w:rsid w:val="008376F3"/>
    <w:rsid w:val="00840271"/>
    <w:rsid w:val="008414B4"/>
    <w:rsid w:val="008423BB"/>
    <w:rsid w:val="00842B04"/>
    <w:rsid w:val="00842C1D"/>
    <w:rsid w:val="00843079"/>
    <w:rsid w:val="00843F7A"/>
    <w:rsid w:val="00844A4D"/>
    <w:rsid w:val="008452ED"/>
    <w:rsid w:val="00845457"/>
    <w:rsid w:val="008463E2"/>
    <w:rsid w:val="0084696B"/>
    <w:rsid w:val="00847A8A"/>
    <w:rsid w:val="008509AD"/>
    <w:rsid w:val="008518BF"/>
    <w:rsid w:val="0085266D"/>
    <w:rsid w:val="00854200"/>
    <w:rsid w:val="00854A17"/>
    <w:rsid w:val="00855869"/>
    <w:rsid w:val="00855B90"/>
    <w:rsid w:val="00855FCC"/>
    <w:rsid w:val="008573E5"/>
    <w:rsid w:val="00860AA4"/>
    <w:rsid w:val="00861F61"/>
    <w:rsid w:val="00870455"/>
    <w:rsid w:val="0087365B"/>
    <w:rsid w:val="00875350"/>
    <w:rsid w:val="00875D9C"/>
    <w:rsid w:val="00880BA3"/>
    <w:rsid w:val="0088183A"/>
    <w:rsid w:val="00886FF6"/>
    <w:rsid w:val="0089169E"/>
    <w:rsid w:val="00891DCD"/>
    <w:rsid w:val="00891F0D"/>
    <w:rsid w:val="0089200A"/>
    <w:rsid w:val="00892AE7"/>
    <w:rsid w:val="00892EE2"/>
    <w:rsid w:val="00893A2D"/>
    <w:rsid w:val="00893F26"/>
    <w:rsid w:val="008944A1"/>
    <w:rsid w:val="00894660"/>
    <w:rsid w:val="0089503F"/>
    <w:rsid w:val="008950B6"/>
    <w:rsid w:val="00895B4B"/>
    <w:rsid w:val="008A1A80"/>
    <w:rsid w:val="008A1E24"/>
    <w:rsid w:val="008A2FE5"/>
    <w:rsid w:val="008A3435"/>
    <w:rsid w:val="008A6B0D"/>
    <w:rsid w:val="008A7709"/>
    <w:rsid w:val="008B1076"/>
    <w:rsid w:val="008B10BA"/>
    <w:rsid w:val="008B1AC5"/>
    <w:rsid w:val="008B2418"/>
    <w:rsid w:val="008B5AED"/>
    <w:rsid w:val="008C131E"/>
    <w:rsid w:val="008C171B"/>
    <w:rsid w:val="008C1C30"/>
    <w:rsid w:val="008C2BF7"/>
    <w:rsid w:val="008D1D8F"/>
    <w:rsid w:val="008D1E4D"/>
    <w:rsid w:val="008D2E6C"/>
    <w:rsid w:val="008D366F"/>
    <w:rsid w:val="008D680F"/>
    <w:rsid w:val="008D6AE9"/>
    <w:rsid w:val="008D6B2C"/>
    <w:rsid w:val="008E028A"/>
    <w:rsid w:val="008E0B68"/>
    <w:rsid w:val="008E1EC1"/>
    <w:rsid w:val="008E63A1"/>
    <w:rsid w:val="008E6BFD"/>
    <w:rsid w:val="008F2998"/>
    <w:rsid w:val="008F2FDC"/>
    <w:rsid w:val="008F5FAC"/>
    <w:rsid w:val="008F7996"/>
    <w:rsid w:val="009001E8"/>
    <w:rsid w:val="0090062F"/>
    <w:rsid w:val="00901755"/>
    <w:rsid w:val="00903404"/>
    <w:rsid w:val="00904D8F"/>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36B1"/>
    <w:rsid w:val="00924E7A"/>
    <w:rsid w:val="00925D05"/>
    <w:rsid w:val="009266FC"/>
    <w:rsid w:val="009306BB"/>
    <w:rsid w:val="0093231B"/>
    <w:rsid w:val="009333F3"/>
    <w:rsid w:val="009337A9"/>
    <w:rsid w:val="00933FB3"/>
    <w:rsid w:val="009341D6"/>
    <w:rsid w:val="00944EE3"/>
    <w:rsid w:val="0095070E"/>
    <w:rsid w:val="00956E3B"/>
    <w:rsid w:val="0095757F"/>
    <w:rsid w:val="00962EEC"/>
    <w:rsid w:val="00962F2B"/>
    <w:rsid w:val="009644F4"/>
    <w:rsid w:val="009652BB"/>
    <w:rsid w:val="00965F5C"/>
    <w:rsid w:val="0097048B"/>
    <w:rsid w:val="00972EEF"/>
    <w:rsid w:val="00973A7E"/>
    <w:rsid w:val="00973E9E"/>
    <w:rsid w:val="0097442B"/>
    <w:rsid w:val="0097475A"/>
    <w:rsid w:val="0097636D"/>
    <w:rsid w:val="009765CD"/>
    <w:rsid w:val="00981A41"/>
    <w:rsid w:val="009826BC"/>
    <w:rsid w:val="00983357"/>
    <w:rsid w:val="00986E98"/>
    <w:rsid w:val="00990E70"/>
    <w:rsid w:val="009932D3"/>
    <w:rsid w:val="00993C2E"/>
    <w:rsid w:val="00994840"/>
    <w:rsid w:val="0099550A"/>
    <w:rsid w:val="00997C62"/>
    <w:rsid w:val="009A6211"/>
    <w:rsid w:val="009A6243"/>
    <w:rsid w:val="009A6556"/>
    <w:rsid w:val="009A6CCE"/>
    <w:rsid w:val="009A756E"/>
    <w:rsid w:val="009A783D"/>
    <w:rsid w:val="009B051D"/>
    <w:rsid w:val="009B0C73"/>
    <w:rsid w:val="009B18C2"/>
    <w:rsid w:val="009B18EA"/>
    <w:rsid w:val="009B2BC2"/>
    <w:rsid w:val="009C27CA"/>
    <w:rsid w:val="009C2B42"/>
    <w:rsid w:val="009C4B0A"/>
    <w:rsid w:val="009C54C2"/>
    <w:rsid w:val="009C5C69"/>
    <w:rsid w:val="009D084B"/>
    <w:rsid w:val="009D13C5"/>
    <w:rsid w:val="009D209B"/>
    <w:rsid w:val="009D6256"/>
    <w:rsid w:val="009D6F71"/>
    <w:rsid w:val="009E02B3"/>
    <w:rsid w:val="009E1775"/>
    <w:rsid w:val="009E42D2"/>
    <w:rsid w:val="009F102B"/>
    <w:rsid w:val="009F428A"/>
    <w:rsid w:val="009F4605"/>
    <w:rsid w:val="00A01E92"/>
    <w:rsid w:val="00A030EE"/>
    <w:rsid w:val="00A073B9"/>
    <w:rsid w:val="00A10841"/>
    <w:rsid w:val="00A1672A"/>
    <w:rsid w:val="00A226FE"/>
    <w:rsid w:val="00A257BB"/>
    <w:rsid w:val="00A27F6D"/>
    <w:rsid w:val="00A30E88"/>
    <w:rsid w:val="00A3138F"/>
    <w:rsid w:val="00A3269A"/>
    <w:rsid w:val="00A33306"/>
    <w:rsid w:val="00A33FE3"/>
    <w:rsid w:val="00A34856"/>
    <w:rsid w:val="00A358CC"/>
    <w:rsid w:val="00A35CF1"/>
    <w:rsid w:val="00A36566"/>
    <w:rsid w:val="00A42C23"/>
    <w:rsid w:val="00A43150"/>
    <w:rsid w:val="00A43FA9"/>
    <w:rsid w:val="00A451BD"/>
    <w:rsid w:val="00A4592F"/>
    <w:rsid w:val="00A51F1B"/>
    <w:rsid w:val="00A53F03"/>
    <w:rsid w:val="00A56EE8"/>
    <w:rsid w:val="00A574D5"/>
    <w:rsid w:val="00A57D5D"/>
    <w:rsid w:val="00A600FF"/>
    <w:rsid w:val="00A6086E"/>
    <w:rsid w:val="00A608DA"/>
    <w:rsid w:val="00A611E2"/>
    <w:rsid w:val="00A6443B"/>
    <w:rsid w:val="00A650C6"/>
    <w:rsid w:val="00A65719"/>
    <w:rsid w:val="00A66ADE"/>
    <w:rsid w:val="00A674BD"/>
    <w:rsid w:val="00A675D0"/>
    <w:rsid w:val="00A707C9"/>
    <w:rsid w:val="00A71BF8"/>
    <w:rsid w:val="00A730BD"/>
    <w:rsid w:val="00A75ADB"/>
    <w:rsid w:val="00A778FD"/>
    <w:rsid w:val="00A80635"/>
    <w:rsid w:val="00A80FEA"/>
    <w:rsid w:val="00A81848"/>
    <w:rsid w:val="00A82ED3"/>
    <w:rsid w:val="00A83509"/>
    <w:rsid w:val="00A8560E"/>
    <w:rsid w:val="00A85A38"/>
    <w:rsid w:val="00A9045A"/>
    <w:rsid w:val="00A94BFE"/>
    <w:rsid w:val="00A95228"/>
    <w:rsid w:val="00A965EC"/>
    <w:rsid w:val="00A97647"/>
    <w:rsid w:val="00AA1B54"/>
    <w:rsid w:val="00AA1B8C"/>
    <w:rsid w:val="00AA2B09"/>
    <w:rsid w:val="00AA3086"/>
    <w:rsid w:val="00AA3389"/>
    <w:rsid w:val="00AA4BD3"/>
    <w:rsid w:val="00AA5F8C"/>
    <w:rsid w:val="00AA617A"/>
    <w:rsid w:val="00AA7220"/>
    <w:rsid w:val="00AA7909"/>
    <w:rsid w:val="00AB0261"/>
    <w:rsid w:val="00AB404D"/>
    <w:rsid w:val="00AB4FF2"/>
    <w:rsid w:val="00AB6237"/>
    <w:rsid w:val="00AB73FA"/>
    <w:rsid w:val="00AC0AED"/>
    <w:rsid w:val="00AC0CE4"/>
    <w:rsid w:val="00AC2344"/>
    <w:rsid w:val="00AC3691"/>
    <w:rsid w:val="00AC38B5"/>
    <w:rsid w:val="00AC3AFA"/>
    <w:rsid w:val="00AC76FB"/>
    <w:rsid w:val="00AE1390"/>
    <w:rsid w:val="00AE1CBA"/>
    <w:rsid w:val="00AE2568"/>
    <w:rsid w:val="00AE2658"/>
    <w:rsid w:val="00AE2CC7"/>
    <w:rsid w:val="00AE3B3A"/>
    <w:rsid w:val="00AE5F97"/>
    <w:rsid w:val="00AE6808"/>
    <w:rsid w:val="00AF112C"/>
    <w:rsid w:val="00AF334E"/>
    <w:rsid w:val="00AF5F0C"/>
    <w:rsid w:val="00AF6BC3"/>
    <w:rsid w:val="00AF6BD8"/>
    <w:rsid w:val="00B00FA4"/>
    <w:rsid w:val="00B05A9E"/>
    <w:rsid w:val="00B06616"/>
    <w:rsid w:val="00B06C9A"/>
    <w:rsid w:val="00B07B07"/>
    <w:rsid w:val="00B10A11"/>
    <w:rsid w:val="00B12014"/>
    <w:rsid w:val="00B125A5"/>
    <w:rsid w:val="00B12AFD"/>
    <w:rsid w:val="00B1329D"/>
    <w:rsid w:val="00B132AB"/>
    <w:rsid w:val="00B136CD"/>
    <w:rsid w:val="00B162C0"/>
    <w:rsid w:val="00B17981"/>
    <w:rsid w:val="00B17A71"/>
    <w:rsid w:val="00B17C9E"/>
    <w:rsid w:val="00B20E37"/>
    <w:rsid w:val="00B21DD9"/>
    <w:rsid w:val="00B22D70"/>
    <w:rsid w:val="00B2379D"/>
    <w:rsid w:val="00B2553C"/>
    <w:rsid w:val="00B2689B"/>
    <w:rsid w:val="00B26CD4"/>
    <w:rsid w:val="00B27151"/>
    <w:rsid w:val="00B30AEB"/>
    <w:rsid w:val="00B3368A"/>
    <w:rsid w:val="00B360CE"/>
    <w:rsid w:val="00B41887"/>
    <w:rsid w:val="00B42B84"/>
    <w:rsid w:val="00B43273"/>
    <w:rsid w:val="00B44C83"/>
    <w:rsid w:val="00B45A07"/>
    <w:rsid w:val="00B500BA"/>
    <w:rsid w:val="00B5234D"/>
    <w:rsid w:val="00B52E79"/>
    <w:rsid w:val="00B530CC"/>
    <w:rsid w:val="00B57120"/>
    <w:rsid w:val="00B5754A"/>
    <w:rsid w:val="00B60E4E"/>
    <w:rsid w:val="00B616C7"/>
    <w:rsid w:val="00B619BD"/>
    <w:rsid w:val="00B63918"/>
    <w:rsid w:val="00B63EEA"/>
    <w:rsid w:val="00B648C9"/>
    <w:rsid w:val="00B665CA"/>
    <w:rsid w:val="00B67F2E"/>
    <w:rsid w:val="00B71163"/>
    <w:rsid w:val="00B71D2E"/>
    <w:rsid w:val="00B71FCC"/>
    <w:rsid w:val="00B73B50"/>
    <w:rsid w:val="00B73D28"/>
    <w:rsid w:val="00B74FAB"/>
    <w:rsid w:val="00B76538"/>
    <w:rsid w:val="00B77D02"/>
    <w:rsid w:val="00B80CFA"/>
    <w:rsid w:val="00B812D1"/>
    <w:rsid w:val="00B82937"/>
    <w:rsid w:val="00B8294F"/>
    <w:rsid w:val="00B84727"/>
    <w:rsid w:val="00B871A9"/>
    <w:rsid w:val="00B87AA2"/>
    <w:rsid w:val="00B9053B"/>
    <w:rsid w:val="00B907B0"/>
    <w:rsid w:val="00B91274"/>
    <w:rsid w:val="00B9344A"/>
    <w:rsid w:val="00B93477"/>
    <w:rsid w:val="00B94853"/>
    <w:rsid w:val="00B968E1"/>
    <w:rsid w:val="00B96A27"/>
    <w:rsid w:val="00BA0D8F"/>
    <w:rsid w:val="00BA4066"/>
    <w:rsid w:val="00BA492C"/>
    <w:rsid w:val="00BA5158"/>
    <w:rsid w:val="00BA6A0E"/>
    <w:rsid w:val="00BB0216"/>
    <w:rsid w:val="00BB41D1"/>
    <w:rsid w:val="00BB58C6"/>
    <w:rsid w:val="00BB6018"/>
    <w:rsid w:val="00BB6B2D"/>
    <w:rsid w:val="00BB702B"/>
    <w:rsid w:val="00BC00F1"/>
    <w:rsid w:val="00BC15C6"/>
    <w:rsid w:val="00BC2A25"/>
    <w:rsid w:val="00BC5015"/>
    <w:rsid w:val="00BC5047"/>
    <w:rsid w:val="00BC52F3"/>
    <w:rsid w:val="00BC5D68"/>
    <w:rsid w:val="00BD0715"/>
    <w:rsid w:val="00BD0807"/>
    <w:rsid w:val="00BD0CF7"/>
    <w:rsid w:val="00BD221E"/>
    <w:rsid w:val="00BD24D5"/>
    <w:rsid w:val="00BD2A5C"/>
    <w:rsid w:val="00BD42A5"/>
    <w:rsid w:val="00BD53B3"/>
    <w:rsid w:val="00BD5A8C"/>
    <w:rsid w:val="00BE0DF5"/>
    <w:rsid w:val="00BE4399"/>
    <w:rsid w:val="00BE44AB"/>
    <w:rsid w:val="00BE450F"/>
    <w:rsid w:val="00BE4769"/>
    <w:rsid w:val="00BE79AF"/>
    <w:rsid w:val="00BF0B7B"/>
    <w:rsid w:val="00BF459D"/>
    <w:rsid w:val="00BF48AC"/>
    <w:rsid w:val="00BF5E1E"/>
    <w:rsid w:val="00C01934"/>
    <w:rsid w:val="00C024F2"/>
    <w:rsid w:val="00C02844"/>
    <w:rsid w:val="00C02A03"/>
    <w:rsid w:val="00C03670"/>
    <w:rsid w:val="00C064DC"/>
    <w:rsid w:val="00C14721"/>
    <w:rsid w:val="00C14B82"/>
    <w:rsid w:val="00C14F2A"/>
    <w:rsid w:val="00C15257"/>
    <w:rsid w:val="00C15EC2"/>
    <w:rsid w:val="00C167BD"/>
    <w:rsid w:val="00C16D79"/>
    <w:rsid w:val="00C2080C"/>
    <w:rsid w:val="00C208A6"/>
    <w:rsid w:val="00C209BB"/>
    <w:rsid w:val="00C22F2B"/>
    <w:rsid w:val="00C23D7C"/>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20C1"/>
    <w:rsid w:val="00C539BF"/>
    <w:rsid w:val="00C557FB"/>
    <w:rsid w:val="00C568DF"/>
    <w:rsid w:val="00C56CC3"/>
    <w:rsid w:val="00C578EE"/>
    <w:rsid w:val="00C57F10"/>
    <w:rsid w:val="00C6063A"/>
    <w:rsid w:val="00C62577"/>
    <w:rsid w:val="00C63DD3"/>
    <w:rsid w:val="00C65D48"/>
    <w:rsid w:val="00C67AD2"/>
    <w:rsid w:val="00C70378"/>
    <w:rsid w:val="00C7394B"/>
    <w:rsid w:val="00C756C9"/>
    <w:rsid w:val="00C778AE"/>
    <w:rsid w:val="00C77D29"/>
    <w:rsid w:val="00C8253A"/>
    <w:rsid w:val="00C84DA2"/>
    <w:rsid w:val="00C862EC"/>
    <w:rsid w:val="00C87054"/>
    <w:rsid w:val="00C91BAF"/>
    <w:rsid w:val="00C93787"/>
    <w:rsid w:val="00C970BB"/>
    <w:rsid w:val="00CA09C7"/>
    <w:rsid w:val="00CA5021"/>
    <w:rsid w:val="00CA68E5"/>
    <w:rsid w:val="00CB055A"/>
    <w:rsid w:val="00CB07E6"/>
    <w:rsid w:val="00CB17FC"/>
    <w:rsid w:val="00CB2280"/>
    <w:rsid w:val="00CB3110"/>
    <w:rsid w:val="00CB4BFA"/>
    <w:rsid w:val="00CB5179"/>
    <w:rsid w:val="00CB518E"/>
    <w:rsid w:val="00CB53A9"/>
    <w:rsid w:val="00CB621F"/>
    <w:rsid w:val="00CB652C"/>
    <w:rsid w:val="00CB7186"/>
    <w:rsid w:val="00CB7BC2"/>
    <w:rsid w:val="00CC0490"/>
    <w:rsid w:val="00CC055F"/>
    <w:rsid w:val="00CC241A"/>
    <w:rsid w:val="00CC29EE"/>
    <w:rsid w:val="00CC2E2A"/>
    <w:rsid w:val="00CC4005"/>
    <w:rsid w:val="00CD07B1"/>
    <w:rsid w:val="00CD17C3"/>
    <w:rsid w:val="00CD299F"/>
    <w:rsid w:val="00CD2AE0"/>
    <w:rsid w:val="00CD3EB5"/>
    <w:rsid w:val="00CD4042"/>
    <w:rsid w:val="00CD504C"/>
    <w:rsid w:val="00CD5786"/>
    <w:rsid w:val="00CE098B"/>
    <w:rsid w:val="00CE5EB0"/>
    <w:rsid w:val="00CE6764"/>
    <w:rsid w:val="00CE69A7"/>
    <w:rsid w:val="00CE7146"/>
    <w:rsid w:val="00CE76E2"/>
    <w:rsid w:val="00CF0677"/>
    <w:rsid w:val="00CF0F19"/>
    <w:rsid w:val="00CF1214"/>
    <w:rsid w:val="00CF1A8E"/>
    <w:rsid w:val="00D004C4"/>
    <w:rsid w:val="00D01815"/>
    <w:rsid w:val="00D01E17"/>
    <w:rsid w:val="00D02319"/>
    <w:rsid w:val="00D030DB"/>
    <w:rsid w:val="00D0329F"/>
    <w:rsid w:val="00D036E5"/>
    <w:rsid w:val="00D04F16"/>
    <w:rsid w:val="00D071D1"/>
    <w:rsid w:val="00D10647"/>
    <w:rsid w:val="00D106AB"/>
    <w:rsid w:val="00D107AD"/>
    <w:rsid w:val="00D108D6"/>
    <w:rsid w:val="00D10DB3"/>
    <w:rsid w:val="00D1197F"/>
    <w:rsid w:val="00D1210E"/>
    <w:rsid w:val="00D125A9"/>
    <w:rsid w:val="00D12B02"/>
    <w:rsid w:val="00D13E44"/>
    <w:rsid w:val="00D150F3"/>
    <w:rsid w:val="00D162B5"/>
    <w:rsid w:val="00D17320"/>
    <w:rsid w:val="00D225E0"/>
    <w:rsid w:val="00D266F6"/>
    <w:rsid w:val="00D32544"/>
    <w:rsid w:val="00D33CC7"/>
    <w:rsid w:val="00D34B0D"/>
    <w:rsid w:val="00D369AF"/>
    <w:rsid w:val="00D3714A"/>
    <w:rsid w:val="00D37BE6"/>
    <w:rsid w:val="00D41058"/>
    <w:rsid w:val="00D41F13"/>
    <w:rsid w:val="00D43C73"/>
    <w:rsid w:val="00D45128"/>
    <w:rsid w:val="00D45ED5"/>
    <w:rsid w:val="00D4684E"/>
    <w:rsid w:val="00D5047F"/>
    <w:rsid w:val="00D521E1"/>
    <w:rsid w:val="00D52258"/>
    <w:rsid w:val="00D53D81"/>
    <w:rsid w:val="00D54C85"/>
    <w:rsid w:val="00D559F3"/>
    <w:rsid w:val="00D55EE7"/>
    <w:rsid w:val="00D5778A"/>
    <w:rsid w:val="00D602CE"/>
    <w:rsid w:val="00D61F48"/>
    <w:rsid w:val="00D62069"/>
    <w:rsid w:val="00D64381"/>
    <w:rsid w:val="00D65B3A"/>
    <w:rsid w:val="00D6690A"/>
    <w:rsid w:val="00D704F2"/>
    <w:rsid w:val="00D71D3D"/>
    <w:rsid w:val="00D7289B"/>
    <w:rsid w:val="00D76AA3"/>
    <w:rsid w:val="00D76BBF"/>
    <w:rsid w:val="00D77F3A"/>
    <w:rsid w:val="00D80837"/>
    <w:rsid w:val="00D80A48"/>
    <w:rsid w:val="00D83C83"/>
    <w:rsid w:val="00D84875"/>
    <w:rsid w:val="00D860F4"/>
    <w:rsid w:val="00D90343"/>
    <w:rsid w:val="00D91D0D"/>
    <w:rsid w:val="00D92D90"/>
    <w:rsid w:val="00D9578B"/>
    <w:rsid w:val="00D9732B"/>
    <w:rsid w:val="00D979AB"/>
    <w:rsid w:val="00DA398F"/>
    <w:rsid w:val="00DA475B"/>
    <w:rsid w:val="00DA4DD0"/>
    <w:rsid w:val="00DA4E0C"/>
    <w:rsid w:val="00DA594E"/>
    <w:rsid w:val="00DA7910"/>
    <w:rsid w:val="00DA7FF9"/>
    <w:rsid w:val="00DB03F6"/>
    <w:rsid w:val="00DB117C"/>
    <w:rsid w:val="00DB2FC8"/>
    <w:rsid w:val="00DB5FE0"/>
    <w:rsid w:val="00DB6CCD"/>
    <w:rsid w:val="00DB77B1"/>
    <w:rsid w:val="00DC0BEE"/>
    <w:rsid w:val="00DC24FD"/>
    <w:rsid w:val="00DC2DA7"/>
    <w:rsid w:val="00DC3980"/>
    <w:rsid w:val="00DC3AA0"/>
    <w:rsid w:val="00DC3CC1"/>
    <w:rsid w:val="00DC3F34"/>
    <w:rsid w:val="00DC5822"/>
    <w:rsid w:val="00DD0F7D"/>
    <w:rsid w:val="00DD3473"/>
    <w:rsid w:val="00DD4D18"/>
    <w:rsid w:val="00DD5B96"/>
    <w:rsid w:val="00DD5ED1"/>
    <w:rsid w:val="00DD689C"/>
    <w:rsid w:val="00DD753F"/>
    <w:rsid w:val="00DE0F7B"/>
    <w:rsid w:val="00DE5F11"/>
    <w:rsid w:val="00DE783F"/>
    <w:rsid w:val="00DF010A"/>
    <w:rsid w:val="00DF1464"/>
    <w:rsid w:val="00DF30C7"/>
    <w:rsid w:val="00DF42C1"/>
    <w:rsid w:val="00DF4506"/>
    <w:rsid w:val="00DF4A5A"/>
    <w:rsid w:val="00DF5167"/>
    <w:rsid w:val="00DF5A85"/>
    <w:rsid w:val="00DF7560"/>
    <w:rsid w:val="00E00318"/>
    <w:rsid w:val="00E02A17"/>
    <w:rsid w:val="00E04596"/>
    <w:rsid w:val="00E134E3"/>
    <w:rsid w:val="00E13C75"/>
    <w:rsid w:val="00E13F6A"/>
    <w:rsid w:val="00E16300"/>
    <w:rsid w:val="00E16ABA"/>
    <w:rsid w:val="00E179DC"/>
    <w:rsid w:val="00E20F8C"/>
    <w:rsid w:val="00E21E69"/>
    <w:rsid w:val="00E22288"/>
    <w:rsid w:val="00E222DF"/>
    <w:rsid w:val="00E22F20"/>
    <w:rsid w:val="00E24302"/>
    <w:rsid w:val="00E266C0"/>
    <w:rsid w:val="00E266FD"/>
    <w:rsid w:val="00E26BA3"/>
    <w:rsid w:val="00E31EBD"/>
    <w:rsid w:val="00E33383"/>
    <w:rsid w:val="00E338E5"/>
    <w:rsid w:val="00E35744"/>
    <w:rsid w:val="00E36857"/>
    <w:rsid w:val="00E40167"/>
    <w:rsid w:val="00E44C4C"/>
    <w:rsid w:val="00E44EC5"/>
    <w:rsid w:val="00E44F36"/>
    <w:rsid w:val="00E467D6"/>
    <w:rsid w:val="00E470E7"/>
    <w:rsid w:val="00E479AE"/>
    <w:rsid w:val="00E51E05"/>
    <w:rsid w:val="00E52468"/>
    <w:rsid w:val="00E52D55"/>
    <w:rsid w:val="00E532DF"/>
    <w:rsid w:val="00E533A7"/>
    <w:rsid w:val="00E53680"/>
    <w:rsid w:val="00E537B6"/>
    <w:rsid w:val="00E543A5"/>
    <w:rsid w:val="00E561DE"/>
    <w:rsid w:val="00E56517"/>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51B0"/>
    <w:rsid w:val="00E86C6A"/>
    <w:rsid w:val="00E8753D"/>
    <w:rsid w:val="00E9033B"/>
    <w:rsid w:val="00E9271D"/>
    <w:rsid w:val="00E9534C"/>
    <w:rsid w:val="00E95A0D"/>
    <w:rsid w:val="00EA48F0"/>
    <w:rsid w:val="00EB04B6"/>
    <w:rsid w:val="00EB2951"/>
    <w:rsid w:val="00EB2EDD"/>
    <w:rsid w:val="00EB2FF7"/>
    <w:rsid w:val="00EB63A1"/>
    <w:rsid w:val="00EB640A"/>
    <w:rsid w:val="00EC082C"/>
    <w:rsid w:val="00EC0F38"/>
    <w:rsid w:val="00EC1423"/>
    <w:rsid w:val="00EC37D3"/>
    <w:rsid w:val="00EC46E1"/>
    <w:rsid w:val="00EC5DA7"/>
    <w:rsid w:val="00EC6452"/>
    <w:rsid w:val="00ED267B"/>
    <w:rsid w:val="00ED31E2"/>
    <w:rsid w:val="00ED4517"/>
    <w:rsid w:val="00ED46AD"/>
    <w:rsid w:val="00ED5475"/>
    <w:rsid w:val="00ED5EE6"/>
    <w:rsid w:val="00ED6ABF"/>
    <w:rsid w:val="00ED6D51"/>
    <w:rsid w:val="00EE0DDC"/>
    <w:rsid w:val="00EE2303"/>
    <w:rsid w:val="00EE723E"/>
    <w:rsid w:val="00EE7279"/>
    <w:rsid w:val="00EF0368"/>
    <w:rsid w:val="00EF0B9E"/>
    <w:rsid w:val="00EF2482"/>
    <w:rsid w:val="00EF3542"/>
    <w:rsid w:val="00EF5184"/>
    <w:rsid w:val="00EF56AA"/>
    <w:rsid w:val="00EF6624"/>
    <w:rsid w:val="00EF740C"/>
    <w:rsid w:val="00F0088A"/>
    <w:rsid w:val="00F02897"/>
    <w:rsid w:val="00F02C70"/>
    <w:rsid w:val="00F03092"/>
    <w:rsid w:val="00F039C6"/>
    <w:rsid w:val="00F109A0"/>
    <w:rsid w:val="00F10BD6"/>
    <w:rsid w:val="00F10D82"/>
    <w:rsid w:val="00F11C1D"/>
    <w:rsid w:val="00F13251"/>
    <w:rsid w:val="00F13E13"/>
    <w:rsid w:val="00F13EA0"/>
    <w:rsid w:val="00F15B64"/>
    <w:rsid w:val="00F237D6"/>
    <w:rsid w:val="00F256FD"/>
    <w:rsid w:val="00F25B1B"/>
    <w:rsid w:val="00F262B8"/>
    <w:rsid w:val="00F33BF8"/>
    <w:rsid w:val="00F36007"/>
    <w:rsid w:val="00F41939"/>
    <w:rsid w:val="00F438AB"/>
    <w:rsid w:val="00F43A9F"/>
    <w:rsid w:val="00F44009"/>
    <w:rsid w:val="00F44B5D"/>
    <w:rsid w:val="00F4721D"/>
    <w:rsid w:val="00F506CD"/>
    <w:rsid w:val="00F51513"/>
    <w:rsid w:val="00F5159D"/>
    <w:rsid w:val="00F53B20"/>
    <w:rsid w:val="00F54E3A"/>
    <w:rsid w:val="00F560AF"/>
    <w:rsid w:val="00F56950"/>
    <w:rsid w:val="00F57115"/>
    <w:rsid w:val="00F600A0"/>
    <w:rsid w:val="00F6496C"/>
    <w:rsid w:val="00F65C2B"/>
    <w:rsid w:val="00F6636D"/>
    <w:rsid w:val="00F66C02"/>
    <w:rsid w:val="00F703F4"/>
    <w:rsid w:val="00F71941"/>
    <w:rsid w:val="00F72574"/>
    <w:rsid w:val="00F73FAE"/>
    <w:rsid w:val="00F74F4B"/>
    <w:rsid w:val="00F7745C"/>
    <w:rsid w:val="00F774A3"/>
    <w:rsid w:val="00F80493"/>
    <w:rsid w:val="00F805C6"/>
    <w:rsid w:val="00F8688E"/>
    <w:rsid w:val="00F87F99"/>
    <w:rsid w:val="00F900BB"/>
    <w:rsid w:val="00F912E9"/>
    <w:rsid w:val="00F921CF"/>
    <w:rsid w:val="00F942B5"/>
    <w:rsid w:val="00F95269"/>
    <w:rsid w:val="00F96269"/>
    <w:rsid w:val="00F9643E"/>
    <w:rsid w:val="00F969C6"/>
    <w:rsid w:val="00F97BA1"/>
    <w:rsid w:val="00FA0285"/>
    <w:rsid w:val="00FA05E1"/>
    <w:rsid w:val="00FA2D9F"/>
    <w:rsid w:val="00FA3D61"/>
    <w:rsid w:val="00FA59E9"/>
    <w:rsid w:val="00FA5C0D"/>
    <w:rsid w:val="00FA6DBA"/>
    <w:rsid w:val="00FA6F8A"/>
    <w:rsid w:val="00FA7290"/>
    <w:rsid w:val="00FA73DA"/>
    <w:rsid w:val="00FB0799"/>
    <w:rsid w:val="00FB089E"/>
    <w:rsid w:val="00FB10E1"/>
    <w:rsid w:val="00FB1478"/>
    <w:rsid w:val="00FB2275"/>
    <w:rsid w:val="00FB443F"/>
    <w:rsid w:val="00FB5FE1"/>
    <w:rsid w:val="00FC2C3B"/>
    <w:rsid w:val="00FC2E8F"/>
    <w:rsid w:val="00FC3AF7"/>
    <w:rsid w:val="00FC6EBF"/>
    <w:rsid w:val="00FC721D"/>
    <w:rsid w:val="00FD1716"/>
    <w:rsid w:val="00FD6EB8"/>
    <w:rsid w:val="00FE2BBF"/>
    <w:rsid w:val="00FE2E1B"/>
    <w:rsid w:val="00FE3664"/>
    <w:rsid w:val="00FE3EEA"/>
    <w:rsid w:val="00FE6718"/>
    <w:rsid w:val="00FF4654"/>
    <w:rsid w:val="00FF51C9"/>
    <w:rsid w:val="00FF5360"/>
    <w:rsid w:val="00FF56AE"/>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CA22"/>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2.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CCEB0-8CCA-406F-8DCE-E43C0858E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FEE9B-D944-4E92-BB02-54F43CE7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5846</Words>
  <Characters>33325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6</cp:revision>
  <cp:lastPrinted>2019-11-13T21:16:00Z</cp:lastPrinted>
  <dcterms:created xsi:type="dcterms:W3CDTF">2020-05-07T19:33:00Z</dcterms:created>
  <dcterms:modified xsi:type="dcterms:W3CDTF">2020-05-21T15:44:00Z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