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C64D" w14:textId="77777777"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14:paraId="1FE23318" w14:textId="77777777"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14:paraId="43CEDF42" w14:textId="77777777" w:rsidR="00587173" w:rsidRDefault="00587173" w:rsidP="00762F72">
      <w:pPr>
        <w:widowControl/>
        <w:tabs>
          <w:tab w:val="center" w:pos="4680"/>
        </w:tabs>
        <w:suppressAutoHyphens/>
        <w:jc w:val="center"/>
        <w:rPr>
          <w:b/>
          <w:sz w:val="26"/>
          <w:szCs w:val="26"/>
        </w:rPr>
      </w:pPr>
      <w:r w:rsidRPr="00F514FB">
        <w:rPr>
          <w:b/>
          <w:sz w:val="26"/>
          <w:szCs w:val="26"/>
        </w:rPr>
        <w:t>Harrisburg, PA 171</w:t>
      </w:r>
      <w:r w:rsidR="0049037C">
        <w:rPr>
          <w:b/>
          <w:sz w:val="26"/>
          <w:szCs w:val="26"/>
        </w:rPr>
        <w:t>2</w:t>
      </w:r>
      <w:r w:rsidRPr="00F514FB">
        <w:rPr>
          <w:b/>
          <w:sz w:val="26"/>
          <w:szCs w:val="26"/>
        </w:rPr>
        <w:t>0</w:t>
      </w:r>
    </w:p>
    <w:p w14:paraId="7257C203" w14:textId="77777777" w:rsidR="00886D40" w:rsidRDefault="00886D40" w:rsidP="00762F72">
      <w:pPr>
        <w:widowControl/>
        <w:tabs>
          <w:tab w:val="center" w:pos="4680"/>
        </w:tabs>
        <w:suppressAutoHyphens/>
        <w:jc w:val="center"/>
        <w:rPr>
          <w:b/>
          <w:sz w:val="26"/>
          <w:szCs w:val="26"/>
        </w:rPr>
      </w:pPr>
    </w:p>
    <w:p w14:paraId="2BBAE188" w14:textId="77777777"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14:paraId="1A315DDE" w14:textId="77777777" w:rsidTr="00472F90">
        <w:tc>
          <w:tcPr>
            <w:tcW w:w="5058" w:type="dxa"/>
            <w:shd w:val="clear" w:color="auto" w:fill="auto"/>
          </w:tcPr>
          <w:p w14:paraId="3B6ADC5F" w14:textId="77777777" w:rsidR="00886D40" w:rsidRPr="00472F90" w:rsidRDefault="00886D40" w:rsidP="00762F72">
            <w:pPr>
              <w:widowControl/>
              <w:rPr>
                <w:sz w:val="26"/>
                <w:szCs w:val="26"/>
              </w:rPr>
            </w:pPr>
          </w:p>
        </w:tc>
        <w:tc>
          <w:tcPr>
            <w:tcW w:w="4428" w:type="dxa"/>
            <w:shd w:val="clear" w:color="auto" w:fill="auto"/>
          </w:tcPr>
          <w:p w14:paraId="0D950AAC" w14:textId="359425FE"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200DA4">
              <w:rPr>
                <w:sz w:val="26"/>
                <w:szCs w:val="26"/>
              </w:rPr>
              <w:t>May 21</w:t>
            </w:r>
            <w:r w:rsidR="00687D63">
              <w:rPr>
                <w:sz w:val="26"/>
                <w:szCs w:val="26"/>
              </w:rPr>
              <w:t>,</w:t>
            </w:r>
            <w:r w:rsidR="009210A5">
              <w:rPr>
                <w:sz w:val="26"/>
                <w:szCs w:val="26"/>
              </w:rPr>
              <w:t xml:space="preserve"> </w:t>
            </w:r>
            <w:r w:rsidR="00E90A93">
              <w:rPr>
                <w:sz w:val="26"/>
                <w:szCs w:val="26"/>
              </w:rPr>
              <w:t>20</w:t>
            </w:r>
            <w:r w:rsidR="0049037C">
              <w:rPr>
                <w:sz w:val="26"/>
                <w:szCs w:val="26"/>
              </w:rPr>
              <w:t>20</w:t>
            </w:r>
            <w:r w:rsidR="009210A5">
              <w:rPr>
                <w:sz w:val="26"/>
                <w:szCs w:val="26"/>
              </w:rPr>
              <w:t xml:space="preserve"> </w:t>
            </w:r>
          </w:p>
          <w:p w14:paraId="29C71A03" w14:textId="77777777" w:rsidR="00587173" w:rsidRPr="00472F90" w:rsidRDefault="00587173" w:rsidP="00762F72">
            <w:pPr>
              <w:widowControl/>
              <w:jc w:val="right"/>
              <w:rPr>
                <w:sz w:val="26"/>
                <w:szCs w:val="26"/>
              </w:rPr>
            </w:pPr>
          </w:p>
          <w:p w14:paraId="563DC167" w14:textId="77777777" w:rsidR="00587173" w:rsidRPr="00472F90" w:rsidRDefault="00587173" w:rsidP="00762F72">
            <w:pPr>
              <w:widowControl/>
              <w:jc w:val="right"/>
              <w:rPr>
                <w:sz w:val="26"/>
                <w:szCs w:val="26"/>
              </w:rPr>
            </w:pPr>
          </w:p>
        </w:tc>
      </w:tr>
      <w:tr w:rsidR="00587173" w:rsidRPr="00F514FB" w14:paraId="09611F9D" w14:textId="77777777" w:rsidTr="00472F90">
        <w:tc>
          <w:tcPr>
            <w:tcW w:w="5058" w:type="dxa"/>
            <w:shd w:val="clear" w:color="auto" w:fill="auto"/>
          </w:tcPr>
          <w:p w14:paraId="72EAD221" w14:textId="77777777" w:rsidR="00587173" w:rsidRPr="00472F90" w:rsidRDefault="00886D40" w:rsidP="00762F72">
            <w:pPr>
              <w:widowControl/>
              <w:rPr>
                <w:sz w:val="26"/>
                <w:szCs w:val="26"/>
              </w:rPr>
            </w:pPr>
            <w:r>
              <w:rPr>
                <w:sz w:val="26"/>
                <w:szCs w:val="26"/>
              </w:rPr>
              <w:t>Co</w:t>
            </w:r>
            <w:r w:rsidR="00587173" w:rsidRPr="00472F90">
              <w:rPr>
                <w:sz w:val="26"/>
                <w:szCs w:val="26"/>
              </w:rPr>
              <w:t>mmissioners Present:</w:t>
            </w:r>
          </w:p>
          <w:p w14:paraId="358C3CF1" w14:textId="77777777" w:rsidR="00587173" w:rsidRPr="00472F90" w:rsidRDefault="00587173" w:rsidP="00762F72">
            <w:pPr>
              <w:widowControl/>
              <w:rPr>
                <w:sz w:val="26"/>
                <w:szCs w:val="26"/>
              </w:rPr>
            </w:pPr>
          </w:p>
          <w:p w14:paraId="600AB441" w14:textId="77777777" w:rsidR="003677F4" w:rsidRPr="00472F90" w:rsidRDefault="003677F4" w:rsidP="003677F4">
            <w:pPr>
              <w:widowControl/>
              <w:tabs>
                <w:tab w:val="left" w:pos="705"/>
              </w:tabs>
              <w:ind w:firstLine="720"/>
              <w:rPr>
                <w:sz w:val="26"/>
                <w:szCs w:val="26"/>
              </w:rPr>
            </w:pPr>
            <w:r>
              <w:rPr>
                <w:sz w:val="26"/>
                <w:szCs w:val="26"/>
              </w:rPr>
              <w:t>Gladys Brown</w:t>
            </w:r>
            <w:r w:rsidR="00252FE2">
              <w:rPr>
                <w:sz w:val="26"/>
                <w:szCs w:val="26"/>
              </w:rPr>
              <w:t xml:space="preserve"> </w:t>
            </w:r>
            <w:r w:rsidR="00252FE2" w:rsidRPr="001856C2">
              <w:rPr>
                <w:sz w:val="26"/>
                <w:szCs w:val="26"/>
              </w:rPr>
              <w:t>Dutrieuille,</w:t>
            </w:r>
            <w:r w:rsidRPr="00472F90">
              <w:rPr>
                <w:sz w:val="26"/>
                <w:szCs w:val="26"/>
              </w:rPr>
              <w:t xml:space="preserve"> Chairman</w:t>
            </w:r>
          </w:p>
          <w:p w14:paraId="15B1FF20" w14:textId="77777777" w:rsidR="00252FE2" w:rsidRDefault="00252FE2" w:rsidP="003677F4">
            <w:pPr>
              <w:widowControl/>
              <w:tabs>
                <w:tab w:val="left" w:pos="705"/>
              </w:tabs>
              <w:ind w:firstLine="720"/>
              <w:rPr>
                <w:sz w:val="26"/>
                <w:szCs w:val="26"/>
              </w:rPr>
            </w:pPr>
            <w:r w:rsidRPr="001856C2">
              <w:rPr>
                <w:sz w:val="26"/>
                <w:szCs w:val="26"/>
              </w:rPr>
              <w:t>David W. Sweet,</w:t>
            </w:r>
            <w:r>
              <w:rPr>
                <w:sz w:val="26"/>
                <w:szCs w:val="26"/>
              </w:rPr>
              <w:t xml:space="preserve"> </w:t>
            </w:r>
            <w:r w:rsidRPr="00472F90">
              <w:rPr>
                <w:sz w:val="26"/>
                <w:szCs w:val="26"/>
              </w:rPr>
              <w:t>Vice Chairman</w:t>
            </w:r>
          </w:p>
          <w:p w14:paraId="403DE398" w14:textId="77777777" w:rsidR="003677F4" w:rsidRDefault="003677F4" w:rsidP="003677F4">
            <w:pPr>
              <w:widowControl/>
              <w:tabs>
                <w:tab w:val="left" w:pos="705"/>
              </w:tabs>
              <w:ind w:firstLine="720"/>
              <w:rPr>
                <w:sz w:val="26"/>
                <w:szCs w:val="26"/>
              </w:rPr>
            </w:pPr>
            <w:r w:rsidRPr="00472F90">
              <w:rPr>
                <w:sz w:val="26"/>
                <w:szCs w:val="26"/>
              </w:rPr>
              <w:t>John F. Coleman, Jr.</w:t>
            </w:r>
          </w:p>
          <w:p w14:paraId="21511ECE" w14:textId="77777777" w:rsidR="00252FE2" w:rsidRPr="001856C2" w:rsidRDefault="00252FE2" w:rsidP="00252FE2">
            <w:pPr>
              <w:tabs>
                <w:tab w:val="left" w:pos="-720"/>
              </w:tabs>
              <w:ind w:left="720"/>
              <w:rPr>
                <w:sz w:val="26"/>
                <w:szCs w:val="26"/>
              </w:rPr>
            </w:pPr>
            <w:r>
              <w:rPr>
                <w:sz w:val="26"/>
                <w:szCs w:val="26"/>
              </w:rPr>
              <w:t>Ralph V. Yanora</w:t>
            </w:r>
          </w:p>
          <w:p w14:paraId="40177D7B" w14:textId="77777777" w:rsidR="00587173" w:rsidRDefault="00587173" w:rsidP="003677F4">
            <w:pPr>
              <w:widowControl/>
              <w:ind w:left="720"/>
              <w:rPr>
                <w:sz w:val="26"/>
                <w:szCs w:val="26"/>
              </w:rPr>
            </w:pPr>
          </w:p>
          <w:p w14:paraId="08BF9E25" w14:textId="77777777" w:rsidR="003677F4" w:rsidRPr="00472F90" w:rsidRDefault="003677F4" w:rsidP="003677F4">
            <w:pPr>
              <w:widowControl/>
              <w:ind w:left="720"/>
              <w:rPr>
                <w:sz w:val="26"/>
                <w:szCs w:val="26"/>
              </w:rPr>
            </w:pPr>
          </w:p>
        </w:tc>
        <w:tc>
          <w:tcPr>
            <w:tcW w:w="4428" w:type="dxa"/>
            <w:shd w:val="clear" w:color="auto" w:fill="auto"/>
          </w:tcPr>
          <w:p w14:paraId="3A22B327" w14:textId="77777777" w:rsidR="00587173" w:rsidRPr="00472F90" w:rsidRDefault="00587173" w:rsidP="00762F72">
            <w:pPr>
              <w:widowControl/>
              <w:jc w:val="right"/>
              <w:rPr>
                <w:sz w:val="26"/>
                <w:szCs w:val="26"/>
              </w:rPr>
            </w:pPr>
          </w:p>
          <w:p w14:paraId="603FC478" w14:textId="77777777" w:rsidR="00587173" w:rsidRPr="00472F90" w:rsidRDefault="00587173" w:rsidP="00762F72">
            <w:pPr>
              <w:widowControl/>
              <w:jc w:val="right"/>
              <w:rPr>
                <w:sz w:val="26"/>
                <w:szCs w:val="26"/>
              </w:rPr>
            </w:pPr>
          </w:p>
        </w:tc>
      </w:tr>
      <w:tr w:rsidR="00587173" w:rsidRPr="00F514FB" w14:paraId="035804C1" w14:textId="77777777" w:rsidTr="00472F90">
        <w:tc>
          <w:tcPr>
            <w:tcW w:w="5058" w:type="dxa"/>
            <w:shd w:val="clear" w:color="auto" w:fill="auto"/>
          </w:tcPr>
          <w:p w14:paraId="6E0692B7" w14:textId="77777777"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14:paraId="0D3757AA" w14:textId="77777777" w:rsidR="00B84D00" w:rsidRDefault="00B84D00" w:rsidP="00762F72">
            <w:pPr>
              <w:widowControl/>
              <w:rPr>
                <w:sz w:val="26"/>
                <w:szCs w:val="26"/>
              </w:rPr>
            </w:pPr>
          </w:p>
          <w:p w14:paraId="1F2ADEDD" w14:textId="77777777" w:rsidR="00B76A44" w:rsidRDefault="00B76A44" w:rsidP="00180ACF">
            <w:pPr>
              <w:widowControl/>
              <w:tabs>
                <w:tab w:val="left" w:pos="1640"/>
              </w:tabs>
              <w:ind w:left="705" w:hanging="1440"/>
              <w:rPr>
                <w:sz w:val="26"/>
                <w:szCs w:val="26"/>
              </w:rPr>
            </w:pPr>
            <w:r>
              <w:rPr>
                <w:sz w:val="26"/>
                <w:szCs w:val="26"/>
              </w:rPr>
              <w:tab/>
              <w:t>v.</w:t>
            </w:r>
          </w:p>
          <w:p w14:paraId="4AB49069" w14:textId="77777777" w:rsidR="00B76A44" w:rsidRDefault="00B76A44" w:rsidP="00762F72">
            <w:pPr>
              <w:widowControl/>
              <w:tabs>
                <w:tab w:val="left" w:pos="1640"/>
              </w:tabs>
              <w:ind w:left="1440" w:hanging="1440"/>
              <w:rPr>
                <w:sz w:val="26"/>
                <w:szCs w:val="26"/>
              </w:rPr>
            </w:pPr>
          </w:p>
          <w:p w14:paraId="0C14FAF8" w14:textId="77777777" w:rsidR="00B76A44" w:rsidRDefault="00252FE2" w:rsidP="00762F72">
            <w:pPr>
              <w:widowControl/>
              <w:tabs>
                <w:tab w:val="left" w:pos="1640"/>
              </w:tabs>
              <w:rPr>
                <w:sz w:val="26"/>
                <w:szCs w:val="26"/>
              </w:rPr>
            </w:pPr>
            <w:r>
              <w:rPr>
                <w:sz w:val="26"/>
                <w:szCs w:val="26"/>
              </w:rPr>
              <w:t>Calypso Moving, LLC</w:t>
            </w:r>
          </w:p>
          <w:p w14:paraId="1BECA203" w14:textId="77777777" w:rsidR="00A860F0" w:rsidRPr="00472F90" w:rsidRDefault="00A860F0" w:rsidP="00762F72">
            <w:pPr>
              <w:widowControl/>
              <w:tabs>
                <w:tab w:val="left" w:pos="1640"/>
              </w:tabs>
              <w:rPr>
                <w:sz w:val="26"/>
                <w:szCs w:val="26"/>
              </w:rPr>
            </w:pPr>
          </w:p>
        </w:tc>
        <w:tc>
          <w:tcPr>
            <w:tcW w:w="4428" w:type="dxa"/>
            <w:shd w:val="clear" w:color="auto" w:fill="auto"/>
          </w:tcPr>
          <w:p w14:paraId="600FFD1E" w14:textId="77777777" w:rsidR="00587173" w:rsidRDefault="00B76A44" w:rsidP="00762F72">
            <w:pPr>
              <w:widowControl/>
              <w:ind w:left="-198" w:firstLine="198"/>
              <w:jc w:val="right"/>
              <w:rPr>
                <w:sz w:val="26"/>
                <w:szCs w:val="26"/>
              </w:rPr>
            </w:pPr>
            <w:r>
              <w:rPr>
                <w:sz w:val="26"/>
                <w:szCs w:val="26"/>
              </w:rPr>
              <w:t>C-2</w:t>
            </w:r>
            <w:r w:rsidR="00C533F3">
              <w:rPr>
                <w:sz w:val="26"/>
                <w:szCs w:val="26"/>
              </w:rPr>
              <w:t>01</w:t>
            </w:r>
            <w:r w:rsidR="00252FE2">
              <w:rPr>
                <w:sz w:val="26"/>
                <w:szCs w:val="26"/>
              </w:rPr>
              <w:t>9</w:t>
            </w:r>
            <w:r w:rsidR="00C533F3">
              <w:rPr>
                <w:sz w:val="26"/>
                <w:szCs w:val="26"/>
              </w:rPr>
              <w:t>-</w:t>
            </w:r>
            <w:r w:rsidR="00252FE2">
              <w:rPr>
                <w:sz w:val="26"/>
                <w:szCs w:val="26"/>
              </w:rPr>
              <w:t>3013404</w:t>
            </w:r>
          </w:p>
          <w:p w14:paraId="606E524C" w14:textId="77777777" w:rsidR="00E90A93" w:rsidRPr="00472F90" w:rsidRDefault="00E90A93" w:rsidP="00762F72">
            <w:pPr>
              <w:widowControl/>
              <w:jc w:val="right"/>
              <w:rPr>
                <w:sz w:val="26"/>
                <w:szCs w:val="26"/>
              </w:rPr>
            </w:pPr>
            <w:r>
              <w:rPr>
                <w:sz w:val="26"/>
                <w:szCs w:val="26"/>
              </w:rPr>
              <w:t xml:space="preserve">  </w:t>
            </w:r>
          </w:p>
        </w:tc>
      </w:tr>
      <w:tr w:rsidR="00587173" w:rsidRPr="00F514FB" w14:paraId="3DC4F18C" w14:textId="77777777" w:rsidTr="00472F90">
        <w:tc>
          <w:tcPr>
            <w:tcW w:w="5058" w:type="dxa"/>
            <w:shd w:val="clear" w:color="auto" w:fill="auto"/>
          </w:tcPr>
          <w:p w14:paraId="62BB1D1A" w14:textId="77777777" w:rsidR="00587173" w:rsidRPr="00472F90" w:rsidRDefault="00587173" w:rsidP="00762F72">
            <w:pPr>
              <w:widowControl/>
              <w:ind w:firstLine="1440"/>
              <w:rPr>
                <w:sz w:val="26"/>
                <w:szCs w:val="26"/>
              </w:rPr>
            </w:pPr>
          </w:p>
        </w:tc>
        <w:tc>
          <w:tcPr>
            <w:tcW w:w="4428" w:type="dxa"/>
            <w:shd w:val="clear" w:color="auto" w:fill="auto"/>
          </w:tcPr>
          <w:p w14:paraId="3F58691A" w14:textId="77777777" w:rsidR="00587173" w:rsidRPr="00472F90" w:rsidRDefault="00587173" w:rsidP="00762F72">
            <w:pPr>
              <w:widowControl/>
              <w:rPr>
                <w:sz w:val="26"/>
                <w:szCs w:val="26"/>
              </w:rPr>
            </w:pPr>
          </w:p>
        </w:tc>
      </w:tr>
      <w:tr w:rsidR="00587173" w:rsidRPr="00F514FB" w14:paraId="394D2CEB" w14:textId="77777777" w:rsidTr="00472F90">
        <w:tc>
          <w:tcPr>
            <w:tcW w:w="5058" w:type="dxa"/>
            <w:shd w:val="clear" w:color="auto" w:fill="auto"/>
          </w:tcPr>
          <w:p w14:paraId="47735F4D" w14:textId="77777777" w:rsidR="00587173" w:rsidRPr="00472F90" w:rsidRDefault="00587173" w:rsidP="00762F72">
            <w:pPr>
              <w:widowControl/>
              <w:rPr>
                <w:sz w:val="26"/>
                <w:szCs w:val="26"/>
              </w:rPr>
            </w:pPr>
          </w:p>
        </w:tc>
        <w:tc>
          <w:tcPr>
            <w:tcW w:w="4428" w:type="dxa"/>
            <w:shd w:val="clear" w:color="auto" w:fill="auto"/>
          </w:tcPr>
          <w:p w14:paraId="301BE5D7" w14:textId="77777777" w:rsidR="00587173" w:rsidRPr="00472F90" w:rsidRDefault="00587173" w:rsidP="00762F72">
            <w:pPr>
              <w:widowControl/>
              <w:rPr>
                <w:sz w:val="26"/>
                <w:szCs w:val="26"/>
              </w:rPr>
            </w:pPr>
          </w:p>
        </w:tc>
      </w:tr>
    </w:tbl>
    <w:p w14:paraId="60C0F59B" w14:textId="77777777" w:rsidR="00587173" w:rsidRPr="00F514FB" w:rsidRDefault="00587173" w:rsidP="00762F72">
      <w:pPr>
        <w:widowControl/>
        <w:jc w:val="center"/>
        <w:rPr>
          <w:b/>
          <w:sz w:val="26"/>
          <w:szCs w:val="26"/>
        </w:rPr>
      </w:pPr>
      <w:r w:rsidRPr="00F514FB">
        <w:rPr>
          <w:b/>
          <w:sz w:val="26"/>
          <w:szCs w:val="26"/>
        </w:rPr>
        <w:t>OPINION AND ORDER</w:t>
      </w:r>
    </w:p>
    <w:p w14:paraId="659B2B06" w14:textId="77777777" w:rsidR="00587173" w:rsidRPr="00F514FB" w:rsidRDefault="00587173" w:rsidP="00762F72">
      <w:pPr>
        <w:widowControl/>
        <w:jc w:val="center"/>
        <w:rPr>
          <w:b/>
          <w:sz w:val="26"/>
          <w:szCs w:val="26"/>
        </w:rPr>
      </w:pPr>
    </w:p>
    <w:p w14:paraId="0CCE7EB8" w14:textId="77777777" w:rsidR="00587173" w:rsidRPr="00F514FB" w:rsidRDefault="00587173" w:rsidP="00762F72">
      <w:pPr>
        <w:widowControl/>
        <w:jc w:val="center"/>
        <w:rPr>
          <w:b/>
          <w:sz w:val="26"/>
          <w:szCs w:val="26"/>
        </w:rPr>
      </w:pPr>
    </w:p>
    <w:p w14:paraId="68DFFDC8" w14:textId="77777777" w:rsidR="00587173" w:rsidRPr="00F514FB" w:rsidRDefault="00587173" w:rsidP="00762F72">
      <w:pPr>
        <w:widowControl/>
        <w:rPr>
          <w:b/>
          <w:sz w:val="26"/>
          <w:szCs w:val="26"/>
        </w:rPr>
      </w:pPr>
      <w:r w:rsidRPr="00F514FB">
        <w:rPr>
          <w:b/>
          <w:sz w:val="26"/>
          <w:szCs w:val="26"/>
        </w:rPr>
        <w:t>BY THE COMMISSION:</w:t>
      </w:r>
    </w:p>
    <w:p w14:paraId="7417D08C" w14:textId="77777777" w:rsidR="00587173" w:rsidRPr="00F514FB" w:rsidRDefault="00587173" w:rsidP="00762F72">
      <w:pPr>
        <w:widowControl/>
        <w:rPr>
          <w:sz w:val="26"/>
          <w:szCs w:val="26"/>
        </w:rPr>
      </w:pPr>
    </w:p>
    <w:p w14:paraId="50A88478" w14:textId="77777777" w:rsidR="00AA548E" w:rsidRDefault="00AA548E" w:rsidP="00762F72">
      <w:pPr>
        <w:widowControl/>
        <w:tabs>
          <w:tab w:val="left" w:pos="-720"/>
        </w:tabs>
        <w:suppressAutoHyphens/>
        <w:rPr>
          <w:b/>
          <w:sz w:val="26"/>
        </w:rPr>
      </w:pPr>
    </w:p>
    <w:p w14:paraId="6BEEC1F0" w14:textId="6A7E363C" w:rsidR="0011580C" w:rsidRPr="009A492C" w:rsidRDefault="000F1318" w:rsidP="00762F72">
      <w:pPr>
        <w:widowControl/>
        <w:tabs>
          <w:tab w:val="left" w:pos="-720"/>
        </w:tabs>
        <w:suppressAutoHyphens/>
        <w:spacing w:line="360" w:lineRule="auto"/>
        <w:ind w:firstLine="1440"/>
        <w:rPr>
          <w:sz w:val="26"/>
          <w:szCs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252FE2">
        <w:rPr>
          <w:sz w:val="26"/>
        </w:rPr>
        <w:t>December</w:t>
      </w:r>
      <w:r w:rsidR="00175A0C">
        <w:rPr>
          <w:sz w:val="26"/>
        </w:rPr>
        <w:t xml:space="preserve"> 2</w:t>
      </w:r>
      <w:r w:rsidR="00AA548E">
        <w:rPr>
          <w:sz w:val="26"/>
        </w:rPr>
        <w:t>,</w:t>
      </w:r>
      <w:r w:rsidR="00D3112B">
        <w:rPr>
          <w:sz w:val="26"/>
        </w:rPr>
        <w:t xml:space="preserve"> 201</w:t>
      </w:r>
      <w:r w:rsidR="00252FE2">
        <w:rPr>
          <w:sz w:val="26"/>
        </w:rPr>
        <w:t>9</w:t>
      </w:r>
      <w:r w:rsidR="00D3112B">
        <w:rPr>
          <w:sz w:val="26"/>
        </w:rPr>
        <w:t>,</w:t>
      </w:r>
      <w:r w:rsidRPr="00027664">
        <w:rPr>
          <w:sz w:val="26"/>
        </w:rPr>
        <w:t xml:space="preserve"> relative to the above-captioned proceeding</w:t>
      </w:r>
      <w:r w:rsidR="00066C24">
        <w:rPr>
          <w:sz w:val="26"/>
        </w:rPr>
        <w:t>.</w:t>
      </w:r>
      <w:r w:rsidR="0060782B">
        <w:rPr>
          <w:sz w:val="26"/>
        </w:rPr>
        <w:t xml:space="preserve">  </w:t>
      </w:r>
      <w:r w:rsidR="00F8518D" w:rsidRPr="0017179F">
        <w:rPr>
          <w:sz w:val="26"/>
          <w:szCs w:val="26"/>
        </w:rPr>
        <w:t xml:space="preserve">Calypso Moving LLC (Calypso Moving </w:t>
      </w:r>
      <w:r w:rsidR="001B3BCF" w:rsidRPr="0017179F">
        <w:rPr>
          <w:sz w:val="26"/>
          <w:szCs w:val="26"/>
        </w:rPr>
        <w:t>or Respondent</w:t>
      </w:r>
      <w:r w:rsidR="00F8518D" w:rsidRPr="0017179F">
        <w:rPr>
          <w:sz w:val="26"/>
          <w:szCs w:val="26"/>
        </w:rPr>
        <w:t>)</w:t>
      </w:r>
      <w:r w:rsidR="00F8518D" w:rsidRPr="00DB754B">
        <w:rPr>
          <w:rStyle w:val="FootnoteReference"/>
          <w:sz w:val="26"/>
          <w:szCs w:val="26"/>
        </w:rPr>
        <w:t xml:space="preserve"> </w:t>
      </w:r>
      <w:r w:rsidR="00F8518D" w:rsidRPr="00F82C8E">
        <w:rPr>
          <w:rStyle w:val="FootnoteReference"/>
          <w:sz w:val="26"/>
          <w:szCs w:val="26"/>
        </w:rPr>
        <w:footnoteReference w:id="1"/>
      </w:r>
      <w:r w:rsidR="00F8518D">
        <w:rPr>
          <w:sz w:val="26"/>
          <w:szCs w:val="26"/>
        </w:rPr>
        <w:t xml:space="preserve"> filed an Answer to the Motion on December 13, 2019 (Answer to</w:t>
      </w:r>
      <w:r w:rsidR="00DE6B0C">
        <w:rPr>
          <w:sz w:val="26"/>
          <w:szCs w:val="26"/>
        </w:rPr>
        <w:t xml:space="preserve"> </w:t>
      </w:r>
      <w:r w:rsidR="00F8518D">
        <w:rPr>
          <w:sz w:val="26"/>
          <w:szCs w:val="26"/>
        </w:rPr>
        <w:lastRenderedPageBreak/>
        <w:t>Motion).</w:t>
      </w:r>
      <w:r w:rsidR="00F8518D">
        <w:rPr>
          <w:rStyle w:val="FootnoteReference"/>
          <w:sz w:val="26"/>
          <w:szCs w:val="26"/>
        </w:rPr>
        <w:footnoteReference w:id="2"/>
      </w:r>
      <w:r w:rsidR="007E6599">
        <w:rPr>
          <w:sz w:val="26"/>
        </w:rPr>
        <w:t xml:space="preserve">  </w:t>
      </w:r>
      <w:r w:rsidR="0060782B">
        <w:rPr>
          <w:sz w:val="26"/>
        </w:rPr>
        <w:t xml:space="preserve">For the reasons stated below, we </w:t>
      </w:r>
      <w:r w:rsidR="0060782B" w:rsidRPr="009A492C">
        <w:rPr>
          <w:sz w:val="26"/>
          <w:szCs w:val="26"/>
        </w:rPr>
        <w:t xml:space="preserve">shall grant the </w:t>
      </w:r>
      <w:r w:rsidR="00653BE4" w:rsidRPr="009A492C">
        <w:rPr>
          <w:sz w:val="26"/>
          <w:szCs w:val="26"/>
        </w:rPr>
        <w:t>Motion</w:t>
      </w:r>
      <w:r w:rsidR="005556B4" w:rsidRPr="009A492C">
        <w:rPr>
          <w:sz w:val="26"/>
          <w:szCs w:val="26"/>
        </w:rPr>
        <w:t xml:space="preserve">, </w:t>
      </w:r>
      <w:r w:rsidR="00666388" w:rsidRPr="009A492C">
        <w:rPr>
          <w:sz w:val="26"/>
          <w:szCs w:val="26"/>
        </w:rPr>
        <w:t>consistent with</w:t>
      </w:r>
      <w:r w:rsidR="005556B4" w:rsidRPr="009A492C">
        <w:rPr>
          <w:sz w:val="26"/>
          <w:szCs w:val="26"/>
        </w:rPr>
        <w:t xml:space="preserve"> this Opinion and Order</w:t>
      </w:r>
      <w:r w:rsidR="0060782B" w:rsidRPr="009A492C">
        <w:rPr>
          <w:sz w:val="26"/>
          <w:szCs w:val="26"/>
        </w:rPr>
        <w:t>.</w:t>
      </w:r>
    </w:p>
    <w:p w14:paraId="419305EE" w14:textId="77777777" w:rsidR="007A3733" w:rsidRPr="009A492C" w:rsidRDefault="007A3733" w:rsidP="00762F72">
      <w:pPr>
        <w:widowControl/>
        <w:tabs>
          <w:tab w:val="left" w:pos="-720"/>
        </w:tabs>
        <w:suppressAutoHyphens/>
        <w:spacing w:line="360" w:lineRule="auto"/>
        <w:ind w:firstLine="1440"/>
        <w:rPr>
          <w:sz w:val="26"/>
          <w:szCs w:val="26"/>
        </w:rPr>
      </w:pPr>
    </w:p>
    <w:p w14:paraId="40574B1C" w14:textId="4699B0A8" w:rsidR="00AE661A" w:rsidRPr="009A492C" w:rsidRDefault="00AE661A" w:rsidP="00AE661A">
      <w:pPr>
        <w:keepNext/>
        <w:widowControl/>
        <w:tabs>
          <w:tab w:val="left" w:pos="-720"/>
        </w:tabs>
        <w:suppressAutoHyphens/>
        <w:spacing w:line="360" w:lineRule="auto"/>
        <w:jc w:val="center"/>
        <w:rPr>
          <w:b/>
          <w:sz w:val="26"/>
          <w:szCs w:val="26"/>
        </w:rPr>
      </w:pPr>
      <w:r w:rsidRPr="009A492C">
        <w:rPr>
          <w:b/>
          <w:sz w:val="26"/>
          <w:szCs w:val="26"/>
        </w:rPr>
        <w:t>Background</w:t>
      </w:r>
      <w:r w:rsidR="00DF53E1" w:rsidRPr="009A492C">
        <w:rPr>
          <w:rStyle w:val="FootnoteReference"/>
          <w:b/>
          <w:sz w:val="26"/>
          <w:szCs w:val="26"/>
        </w:rPr>
        <w:footnoteReference w:id="3"/>
      </w:r>
    </w:p>
    <w:p w14:paraId="6FE94E3B" w14:textId="77777777" w:rsidR="00AE661A" w:rsidRPr="009A492C" w:rsidRDefault="00AE661A" w:rsidP="00AE661A">
      <w:pPr>
        <w:keepNext/>
        <w:widowControl/>
        <w:tabs>
          <w:tab w:val="left" w:pos="-720"/>
        </w:tabs>
        <w:suppressAutoHyphens/>
        <w:spacing w:line="360" w:lineRule="auto"/>
        <w:jc w:val="center"/>
        <w:rPr>
          <w:sz w:val="26"/>
          <w:szCs w:val="26"/>
        </w:rPr>
      </w:pPr>
    </w:p>
    <w:p w14:paraId="646B1E33" w14:textId="0EFC98CB" w:rsidR="00D42D72" w:rsidRDefault="00AE661A" w:rsidP="00AE661A">
      <w:pPr>
        <w:pStyle w:val="BodyText2"/>
      </w:pPr>
      <w:r w:rsidRPr="009A492C">
        <w:tab/>
      </w:r>
      <w:r w:rsidRPr="009A492C">
        <w:tab/>
        <w:t xml:space="preserve">On September 25, 2018, the Commission’s Motor Carrier Investigation and Enforcement Division issued a cease and desist letter to </w:t>
      </w:r>
      <w:r w:rsidR="00D42D72" w:rsidRPr="009A492C">
        <w:t>Calypso Moving</w:t>
      </w:r>
      <w:r w:rsidRPr="009A492C">
        <w:t xml:space="preserve"> advising that it was operating without a </w:t>
      </w:r>
      <w:r w:rsidR="00D42D72" w:rsidRPr="009A492C">
        <w:t>C</w:t>
      </w:r>
      <w:r w:rsidRPr="009A492C">
        <w:t xml:space="preserve">ertificate of </w:t>
      </w:r>
      <w:r w:rsidR="00D42D72" w:rsidRPr="009A492C">
        <w:t>P</w:t>
      </w:r>
      <w:r w:rsidRPr="009A492C">
        <w:t xml:space="preserve">ublic </w:t>
      </w:r>
      <w:r w:rsidR="00D42D72" w:rsidRPr="009A492C">
        <w:t>C</w:t>
      </w:r>
      <w:r w:rsidRPr="009A492C">
        <w:t>onvenience</w:t>
      </w:r>
      <w:r w:rsidR="00D42D72">
        <w:t xml:space="preserve"> (Certificate)</w:t>
      </w:r>
      <w:r>
        <w:t xml:space="preserve"> and therefore, in violation of the Public Utility Code</w:t>
      </w:r>
      <w:r w:rsidR="00CA3657">
        <w:t xml:space="preserve"> (Code)</w:t>
      </w:r>
      <w:r>
        <w:t>.</w:t>
      </w:r>
      <w:r w:rsidR="008D7D72">
        <w:t xml:space="preserve">  Complaint at ¶ 9; </w:t>
      </w:r>
      <w:proofErr w:type="spellStart"/>
      <w:r w:rsidR="008D7D72">
        <w:t>Exh</w:t>
      </w:r>
      <w:proofErr w:type="spellEnd"/>
      <w:r w:rsidR="008D7D72">
        <w:t xml:space="preserve">. I&amp;E-1.  </w:t>
      </w:r>
      <w:r>
        <w:t xml:space="preserve">Subsequently, </w:t>
      </w:r>
      <w:r w:rsidR="00D42D72">
        <w:t xml:space="preserve">the </w:t>
      </w:r>
      <w:r>
        <w:t xml:space="preserve">Respondent </w:t>
      </w:r>
      <w:r w:rsidR="008C1703">
        <w:t>applied</w:t>
      </w:r>
      <w:r>
        <w:t xml:space="preserve"> for a</w:t>
      </w:r>
      <w:r w:rsidR="00E45803">
        <w:t xml:space="preserve"> </w:t>
      </w:r>
      <w:r w:rsidR="00CA3657">
        <w:t>Certificate</w:t>
      </w:r>
      <w:r>
        <w:t>, however</w:t>
      </w:r>
      <w:r w:rsidR="008C1703">
        <w:t xml:space="preserve"> the Commission denied the application</w:t>
      </w:r>
      <w:r w:rsidR="008D7D72">
        <w:t xml:space="preserve"> by Secretarial Letter dated November 13, 2018</w:t>
      </w:r>
      <w:r w:rsidR="008C1703">
        <w:t>.</w:t>
      </w:r>
      <w:r w:rsidR="009D0589">
        <w:rPr>
          <w:rStyle w:val="FootnoteReference"/>
        </w:rPr>
        <w:footnoteReference w:id="4"/>
      </w:r>
      <w:r w:rsidR="008C1703">
        <w:t xml:space="preserve">  </w:t>
      </w:r>
      <w:r w:rsidR="009A76E5">
        <w:t xml:space="preserve">Complaint at </w:t>
      </w:r>
      <w:r w:rsidR="00297D79">
        <w:t>¶ 10</w:t>
      </w:r>
      <w:r w:rsidR="009A76E5">
        <w:t xml:space="preserve">; </w:t>
      </w:r>
      <w:proofErr w:type="spellStart"/>
      <w:r w:rsidR="00297D79">
        <w:t>Exh</w:t>
      </w:r>
      <w:proofErr w:type="spellEnd"/>
      <w:r w:rsidR="00297D79">
        <w:t>.</w:t>
      </w:r>
      <w:r w:rsidR="007D7995">
        <w:t> </w:t>
      </w:r>
      <w:r w:rsidR="009A76E5">
        <w:t>I&amp;E</w:t>
      </w:r>
      <w:r w:rsidR="00297D79">
        <w:t>-2</w:t>
      </w:r>
      <w:r w:rsidR="009A76E5">
        <w:t>.</w:t>
      </w:r>
    </w:p>
    <w:p w14:paraId="7C727299" w14:textId="77777777" w:rsidR="00D42D72" w:rsidRDefault="00D42D72" w:rsidP="00AE661A">
      <w:pPr>
        <w:pStyle w:val="BodyText2"/>
      </w:pPr>
    </w:p>
    <w:p w14:paraId="4DA3633F" w14:textId="511FFACC" w:rsidR="00AE661A" w:rsidRDefault="00D42D72" w:rsidP="00AE661A">
      <w:pPr>
        <w:pStyle w:val="BodyText2"/>
      </w:pPr>
      <w:r>
        <w:tab/>
      </w:r>
      <w:r>
        <w:tab/>
      </w:r>
      <w:r w:rsidR="008C1703">
        <w:t xml:space="preserve">On July 15, 2019, </w:t>
      </w:r>
      <w:r w:rsidR="00AC12AC">
        <w:t>Commission</w:t>
      </w:r>
      <w:r w:rsidR="008C1703">
        <w:t xml:space="preserve"> Enforcement Officer</w:t>
      </w:r>
      <w:r w:rsidR="00C25D35">
        <w:t xml:space="preserve"> (Enforcement Officer)</w:t>
      </w:r>
      <w:r>
        <w:t>,</w:t>
      </w:r>
      <w:r w:rsidR="008C1703">
        <w:t xml:space="preserve"> Cynthia Hawthorne</w:t>
      </w:r>
      <w:r>
        <w:t>,</w:t>
      </w:r>
      <w:r w:rsidR="008C1703">
        <w:t xml:space="preserve"> received a phone call from a certified household goods mover informing her that </w:t>
      </w:r>
      <w:r>
        <w:t xml:space="preserve">the </w:t>
      </w:r>
      <w:r w:rsidR="008C1703">
        <w:t xml:space="preserve">Respondent continued to illegally operate as a household carrier.  </w:t>
      </w:r>
      <w:r w:rsidR="00C34896">
        <w:t xml:space="preserve">Complaint at ¶ 11.  </w:t>
      </w:r>
      <w:r w:rsidR="008C1703">
        <w:t xml:space="preserve">As part of her investigation, </w:t>
      </w:r>
      <w:r w:rsidR="00AC12AC">
        <w:t>Ms.</w:t>
      </w:r>
      <w:r w:rsidR="008C1703">
        <w:t xml:space="preserve"> Hawthorne arranged a move of household goods with the Respondent </w:t>
      </w:r>
      <w:r w:rsidR="00B407DD">
        <w:t xml:space="preserve">who </w:t>
      </w:r>
      <w:r w:rsidR="008C1703">
        <w:t xml:space="preserve">agreed that he would move household </w:t>
      </w:r>
      <w:r w:rsidR="00B407DD">
        <w:t>good from Cheswick, Pennsylvania</w:t>
      </w:r>
      <w:r w:rsidR="00C34896">
        <w:t xml:space="preserve"> and that</w:t>
      </w:r>
      <w:r w:rsidR="00E45803">
        <w:t xml:space="preserve"> </w:t>
      </w:r>
      <w:r w:rsidR="00C34896">
        <w:t>t</w:t>
      </w:r>
      <w:r w:rsidR="00B407DD">
        <w:t>he agree</w:t>
      </w:r>
      <w:r w:rsidR="00E21A2E">
        <w:t>d</w:t>
      </w:r>
      <w:r>
        <w:t>-</w:t>
      </w:r>
      <w:r w:rsidR="00B407DD">
        <w:t xml:space="preserve">upon price was $90.00 per hour for two men and a truck.  </w:t>
      </w:r>
      <w:bookmarkStart w:id="0" w:name="_Hlk35515621"/>
      <w:r w:rsidR="00C34896">
        <w:t xml:space="preserve">Complaint at ¶ 12.  </w:t>
      </w:r>
      <w:r w:rsidR="00AB0E6C">
        <w:t xml:space="preserve">The </w:t>
      </w:r>
      <w:r>
        <w:t>R</w:t>
      </w:r>
      <w:r w:rsidR="00AB0E6C">
        <w:t>espondent arrived at the agreed</w:t>
      </w:r>
      <w:r w:rsidR="00AC12AC">
        <w:t>-</w:t>
      </w:r>
      <w:r w:rsidR="00AB0E6C">
        <w:t xml:space="preserve">upon meeting location in Cheswick in a vehicle with markings that identified it as a U-Haul truck.  </w:t>
      </w:r>
      <w:r w:rsidR="00C34896">
        <w:t xml:space="preserve">Complaint at ¶ 13. </w:t>
      </w:r>
      <w:r w:rsidR="00E45803">
        <w:t xml:space="preserve"> </w:t>
      </w:r>
      <w:r w:rsidR="00C34896">
        <w:t>The t</w:t>
      </w:r>
      <w:r w:rsidR="00AB0E6C">
        <w:t xml:space="preserve">wo men in the truck identified themselves to </w:t>
      </w:r>
      <w:r>
        <w:t>Ms. Hawthorne</w:t>
      </w:r>
      <w:r w:rsidR="00AB0E6C">
        <w:t xml:space="preserve"> as Dana Lee Tweddle and Tyler Joseph Snyder.  The two men in the truck advised that they </w:t>
      </w:r>
      <w:r w:rsidR="00AB0E6C">
        <w:lastRenderedPageBreak/>
        <w:t xml:space="preserve">worked for </w:t>
      </w:r>
      <w:r>
        <w:t xml:space="preserve">the </w:t>
      </w:r>
      <w:r w:rsidR="00AB0E6C">
        <w:t>Respondent and tha</w:t>
      </w:r>
      <w:r w:rsidR="00AE661A">
        <w:t>t</w:t>
      </w:r>
      <w:r w:rsidR="00AB0E6C">
        <w:t xml:space="preserve"> their boss would be arriving soon.  </w:t>
      </w:r>
      <w:r w:rsidR="00C34896" w:rsidRPr="00D70BCE">
        <w:rPr>
          <w:i/>
        </w:rPr>
        <w:t>Id</w:t>
      </w:r>
      <w:r w:rsidR="00C34896">
        <w:t>.</w:t>
      </w:r>
      <w:r w:rsidR="00AC12AC">
        <w:t xml:space="preserve">  </w:t>
      </w:r>
      <w:r w:rsidR="00AB0E6C">
        <w:t xml:space="preserve">Shortly, thereafter, a van arrived, which was being driven by Jon Hendricks.  Mr. Hendricks identified himself as the owner of Calypso </w:t>
      </w:r>
      <w:r w:rsidR="00562EA4">
        <w:t xml:space="preserve">Moving </w:t>
      </w:r>
      <w:r w:rsidR="00AB0E6C">
        <w:t xml:space="preserve">and he produced an Arizona </w:t>
      </w:r>
      <w:r>
        <w:t>D</w:t>
      </w:r>
      <w:r w:rsidR="00AB0E6C">
        <w:t xml:space="preserve">river’s </w:t>
      </w:r>
      <w:r>
        <w:t>L</w:t>
      </w:r>
      <w:r w:rsidR="00AB0E6C">
        <w:t>icense.</w:t>
      </w:r>
      <w:bookmarkEnd w:id="0"/>
      <w:r w:rsidR="00AB0E6C">
        <w:t xml:space="preserve">  </w:t>
      </w:r>
      <w:r w:rsidR="007959B2" w:rsidRPr="00D70BCE">
        <w:rPr>
          <w:i/>
        </w:rPr>
        <w:t>Id</w:t>
      </w:r>
      <w:r w:rsidR="007959B2">
        <w:t>.</w:t>
      </w:r>
      <w:r w:rsidR="00AC12AC">
        <w:t xml:space="preserve">  </w:t>
      </w:r>
      <w:r w:rsidR="00AB0E6C">
        <w:t xml:space="preserve">Calypso </w:t>
      </w:r>
      <w:r w:rsidR="00562EA4">
        <w:t xml:space="preserve">Moving </w:t>
      </w:r>
      <w:r w:rsidR="00AE661A">
        <w:t xml:space="preserve">was never issued a </w:t>
      </w:r>
      <w:r>
        <w:t>C</w:t>
      </w:r>
      <w:r w:rsidR="00AE661A">
        <w:t>ertificate, permit, or license by the Commission authorizing such transportation of household property between points within the Commonwealth.</w:t>
      </w:r>
      <w:r w:rsidR="009A76E5">
        <w:t xml:space="preserve">  Complaint at </w:t>
      </w:r>
      <w:r w:rsidR="007959B2">
        <w:t>¶ 14</w:t>
      </w:r>
      <w:r w:rsidR="009A76E5">
        <w:t>.</w:t>
      </w:r>
    </w:p>
    <w:p w14:paraId="102357E8" w14:textId="05E24500" w:rsidR="00AE661A" w:rsidRPr="0098243E" w:rsidRDefault="00AE661A" w:rsidP="00AE661A">
      <w:pPr>
        <w:widowControl/>
        <w:spacing w:line="360" w:lineRule="auto"/>
        <w:rPr>
          <w:bCs/>
          <w:sz w:val="26"/>
          <w:szCs w:val="26"/>
        </w:rPr>
      </w:pPr>
    </w:p>
    <w:p w14:paraId="36F027F6" w14:textId="77777777" w:rsidR="00AE661A" w:rsidRDefault="00AE661A" w:rsidP="00AE661A">
      <w:pPr>
        <w:keepNext/>
        <w:widowControl/>
        <w:tabs>
          <w:tab w:val="left" w:pos="-720"/>
        </w:tabs>
        <w:suppressAutoHyphens/>
        <w:spacing w:line="360" w:lineRule="auto"/>
        <w:jc w:val="center"/>
        <w:rPr>
          <w:b/>
          <w:sz w:val="26"/>
          <w:szCs w:val="26"/>
        </w:rPr>
      </w:pPr>
      <w:r>
        <w:rPr>
          <w:b/>
          <w:sz w:val="26"/>
          <w:szCs w:val="26"/>
        </w:rPr>
        <w:t>Procedural History</w:t>
      </w:r>
    </w:p>
    <w:p w14:paraId="3639E98D" w14:textId="77777777" w:rsidR="00AE661A" w:rsidRDefault="00AE661A" w:rsidP="00AE661A">
      <w:pPr>
        <w:keepNext/>
        <w:widowControl/>
        <w:spacing w:line="360" w:lineRule="auto"/>
        <w:jc w:val="center"/>
        <w:rPr>
          <w:b/>
          <w:sz w:val="26"/>
          <w:szCs w:val="26"/>
        </w:rPr>
      </w:pPr>
    </w:p>
    <w:p w14:paraId="66C19040" w14:textId="1CE9EE44" w:rsidR="002A75B8" w:rsidRDefault="00AE661A" w:rsidP="00D70BCE">
      <w:pPr>
        <w:widowControl/>
        <w:spacing w:line="360" w:lineRule="auto"/>
      </w:pPr>
      <w:r>
        <w:rPr>
          <w:b/>
        </w:rPr>
        <w:tab/>
      </w:r>
      <w:r w:rsidRPr="007D7995">
        <w:rPr>
          <w:bCs/>
        </w:rPr>
        <w:tab/>
      </w:r>
      <w:r w:rsidR="002A75B8" w:rsidRPr="00D70BCE">
        <w:rPr>
          <w:bCs/>
          <w:sz w:val="26"/>
          <w:szCs w:val="26"/>
        </w:rPr>
        <w:t xml:space="preserve">On </w:t>
      </w:r>
      <w:r w:rsidR="007C1D2C">
        <w:rPr>
          <w:bCs/>
          <w:sz w:val="26"/>
          <w:szCs w:val="26"/>
        </w:rPr>
        <w:t>October</w:t>
      </w:r>
      <w:r w:rsidR="002A75B8" w:rsidRPr="007C1D2C">
        <w:rPr>
          <w:sz w:val="26"/>
          <w:szCs w:val="26"/>
        </w:rPr>
        <w:t xml:space="preserve"> 8, 201</w:t>
      </w:r>
      <w:r w:rsidR="007C1D2C">
        <w:rPr>
          <w:sz w:val="26"/>
          <w:szCs w:val="26"/>
        </w:rPr>
        <w:t>9</w:t>
      </w:r>
      <w:r w:rsidR="002A75B8" w:rsidRPr="007C1D2C">
        <w:rPr>
          <w:sz w:val="26"/>
          <w:szCs w:val="26"/>
        </w:rPr>
        <w:t xml:space="preserve">, </w:t>
      </w:r>
      <w:r w:rsidRPr="007C1D2C">
        <w:rPr>
          <w:sz w:val="26"/>
          <w:szCs w:val="26"/>
        </w:rPr>
        <w:t xml:space="preserve">I&amp;E </w:t>
      </w:r>
      <w:r w:rsidR="002A75B8" w:rsidRPr="007C1D2C">
        <w:rPr>
          <w:sz w:val="26"/>
          <w:szCs w:val="26"/>
        </w:rPr>
        <w:t>filed the</w:t>
      </w:r>
      <w:r w:rsidR="00D70BCE">
        <w:rPr>
          <w:sz w:val="26"/>
          <w:szCs w:val="26"/>
        </w:rPr>
        <w:t xml:space="preserve"> </w:t>
      </w:r>
      <w:r w:rsidR="002A75B8" w:rsidRPr="007C1D2C">
        <w:rPr>
          <w:sz w:val="26"/>
          <w:szCs w:val="26"/>
        </w:rPr>
        <w:t>above-captioned</w:t>
      </w:r>
      <w:r w:rsidRPr="007C1D2C">
        <w:rPr>
          <w:sz w:val="26"/>
          <w:szCs w:val="26"/>
        </w:rPr>
        <w:t xml:space="preserve"> Complaint against the Respondent.</w:t>
      </w:r>
      <w:r w:rsidR="007C1D2C">
        <w:t xml:space="preserve">  </w:t>
      </w:r>
      <w:r w:rsidR="00376E3D" w:rsidRPr="007C1D2C">
        <w:rPr>
          <w:sz w:val="26"/>
          <w:szCs w:val="26"/>
        </w:rPr>
        <w:t xml:space="preserve">The Complaint was served on the Respondent by certified mail </w:t>
      </w:r>
      <w:r w:rsidR="007959B2">
        <w:rPr>
          <w:sz w:val="26"/>
          <w:szCs w:val="26"/>
        </w:rPr>
        <w:t xml:space="preserve">and delivered </w:t>
      </w:r>
      <w:r w:rsidR="00376E3D" w:rsidRPr="007C1D2C">
        <w:rPr>
          <w:sz w:val="26"/>
          <w:szCs w:val="26"/>
        </w:rPr>
        <w:t>on</w:t>
      </w:r>
      <w:r w:rsidR="007C1D2C">
        <w:rPr>
          <w:sz w:val="26"/>
          <w:szCs w:val="26"/>
        </w:rPr>
        <w:t xml:space="preserve"> October 11</w:t>
      </w:r>
      <w:r w:rsidR="00376E3D" w:rsidRPr="007C1D2C">
        <w:rPr>
          <w:sz w:val="26"/>
          <w:szCs w:val="26"/>
        </w:rPr>
        <w:t>, 201</w:t>
      </w:r>
      <w:r w:rsidR="007C1D2C">
        <w:rPr>
          <w:sz w:val="26"/>
          <w:szCs w:val="26"/>
        </w:rPr>
        <w:t>9</w:t>
      </w:r>
      <w:r w:rsidR="00376E3D" w:rsidRPr="007C1D2C">
        <w:rPr>
          <w:sz w:val="26"/>
          <w:szCs w:val="26"/>
        </w:rPr>
        <w:t>.  A copy of proof of delivery of the Complaint is attached to the Motion</w:t>
      </w:r>
      <w:r w:rsidR="00376E3D" w:rsidRPr="007959B2">
        <w:rPr>
          <w:sz w:val="26"/>
          <w:szCs w:val="26"/>
        </w:rPr>
        <w:t>.</w:t>
      </w:r>
      <w:r w:rsidR="00D70BCE">
        <w:rPr>
          <w:sz w:val="26"/>
          <w:szCs w:val="26"/>
        </w:rPr>
        <w:t xml:space="preserve">  </w:t>
      </w:r>
      <w:r w:rsidR="007959B2" w:rsidRPr="007959B2">
        <w:rPr>
          <w:sz w:val="26"/>
          <w:szCs w:val="26"/>
        </w:rPr>
        <w:t xml:space="preserve">Motion </w:t>
      </w:r>
      <w:proofErr w:type="spellStart"/>
      <w:r w:rsidR="007959B2" w:rsidRPr="007959B2">
        <w:rPr>
          <w:sz w:val="26"/>
          <w:szCs w:val="26"/>
        </w:rPr>
        <w:t>Exh</w:t>
      </w:r>
      <w:proofErr w:type="spellEnd"/>
      <w:r w:rsidR="007959B2" w:rsidRPr="007959B2">
        <w:rPr>
          <w:sz w:val="26"/>
          <w:szCs w:val="26"/>
        </w:rPr>
        <w:t>. I&amp;E-3.</w:t>
      </w:r>
      <w:r w:rsidR="007959B2">
        <w:t xml:space="preserve"> </w:t>
      </w:r>
    </w:p>
    <w:p w14:paraId="2AC7D2C6" w14:textId="77777777" w:rsidR="002A75B8" w:rsidRDefault="002A75B8" w:rsidP="00AE661A">
      <w:pPr>
        <w:pStyle w:val="BodyText2"/>
      </w:pPr>
    </w:p>
    <w:p w14:paraId="4EEDC281" w14:textId="3F5FCAFB" w:rsidR="00AE661A" w:rsidRPr="000D11D9" w:rsidRDefault="00D8378D" w:rsidP="00D70BCE">
      <w:pPr>
        <w:widowControl/>
        <w:spacing w:line="360" w:lineRule="auto"/>
        <w:ind w:firstLine="1440"/>
      </w:pPr>
      <w:r w:rsidRPr="000D11D9">
        <w:rPr>
          <w:sz w:val="26"/>
          <w:szCs w:val="26"/>
        </w:rPr>
        <w:t>In the Complaint, I&amp;E alleged that the Respondent violated Section</w:t>
      </w:r>
      <w:r w:rsidR="00CF08FF" w:rsidRPr="000D11D9">
        <w:rPr>
          <w:sz w:val="26"/>
          <w:szCs w:val="26"/>
        </w:rPr>
        <w:t>s</w:t>
      </w:r>
      <w:r w:rsidRPr="000D11D9">
        <w:rPr>
          <w:sz w:val="26"/>
          <w:szCs w:val="26"/>
        </w:rPr>
        <w:t xml:space="preserve"> </w:t>
      </w:r>
      <w:r w:rsidR="00CF08FF" w:rsidRPr="000D11D9">
        <w:rPr>
          <w:sz w:val="26"/>
          <w:szCs w:val="26"/>
        </w:rPr>
        <w:t xml:space="preserve">102 and </w:t>
      </w:r>
      <w:r w:rsidRPr="000D11D9">
        <w:rPr>
          <w:sz w:val="26"/>
          <w:szCs w:val="26"/>
        </w:rPr>
        <w:t>2</w:t>
      </w:r>
      <w:r w:rsidR="00CF08FF" w:rsidRPr="000D11D9">
        <w:rPr>
          <w:sz w:val="26"/>
          <w:szCs w:val="26"/>
        </w:rPr>
        <w:t>5</w:t>
      </w:r>
      <w:r w:rsidRPr="000D11D9">
        <w:rPr>
          <w:sz w:val="26"/>
          <w:szCs w:val="26"/>
        </w:rPr>
        <w:t>01</w:t>
      </w:r>
      <w:r w:rsidR="00CF08FF" w:rsidRPr="000D11D9">
        <w:rPr>
          <w:sz w:val="26"/>
          <w:szCs w:val="26"/>
        </w:rPr>
        <w:t>(b)(1)</w:t>
      </w:r>
      <w:r w:rsidRPr="000D11D9">
        <w:rPr>
          <w:sz w:val="26"/>
          <w:szCs w:val="26"/>
        </w:rPr>
        <w:t xml:space="preserve"> of the Code, 66 Pa. C.S.</w:t>
      </w:r>
      <w:r w:rsidR="00F162F1" w:rsidRPr="000D11D9">
        <w:rPr>
          <w:sz w:val="26"/>
          <w:szCs w:val="26"/>
        </w:rPr>
        <w:t xml:space="preserve"> §</w:t>
      </w:r>
      <w:r w:rsidR="00CF08FF" w:rsidRPr="000D11D9">
        <w:rPr>
          <w:sz w:val="26"/>
          <w:szCs w:val="26"/>
        </w:rPr>
        <w:t>§</w:t>
      </w:r>
      <w:r w:rsidR="00F162F1" w:rsidRPr="000D11D9">
        <w:rPr>
          <w:sz w:val="26"/>
          <w:szCs w:val="26"/>
        </w:rPr>
        <w:t xml:space="preserve"> </w:t>
      </w:r>
      <w:r w:rsidR="00CF08FF" w:rsidRPr="000D11D9">
        <w:rPr>
          <w:sz w:val="26"/>
          <w:szCs w:val="26"/>
        </w:rPr>
        <w:t xml:space="preserve">102 and </w:t>
      </w:r>
      <w:r w:rsidR="00F162F1" w:rsidRPr="000D11D9">
        <w:rPr>
          <w:sz w:val="26"/>
          <w:szCs w:val="26"/>
        </w:rPr>
        <w:t>2</w:t>
      </w:r>
      <w:r w:rsidR="00CF08FF" w:rsidRPr="000D11D9">
        <w:rPr>
          <w:sz w:val="26"/>
          <w:szCs w:val="26"/>
        </w:rPr>
        <w:t>5</w:t>
      </w:r>
      <w:r w:rsidR="00F162F1" w:rsidRPr="000D11D9">
        <w:rPr>
          <w:sz w:val="26"/>
          <w:szCs w:val="26"/>
        </w:rPr>
        <w:t>01</w:t>
      </w:r>
      <w:r w:rsidR="00CF08FF" w:rsidRPr="000D11D9">
        <w:rPr>
          <w:sz w:val="26"/>
          <w:szCs w:val="26"/>
        </w:rPr>
        <w:t>(b)(1)</w:t>
      </w:r>
      <w:r w:rsidR="00F162F1" w:rsidRPr="000D11D9">
        <w:rPr>
          <w:sz w:val="26"/>
          <w:szCs w:val="26"/>
        </w:rPr>
        <w:t>, by holding out to be a household goods carrier between points in Pennsylvania while no</w:t>
      </w:r>
      <w:r w:rsidR="00067CDB" w:rsidRPr="000D11D9">
        <w:rPr>
          <w:sz w:val="26"/>
          <w:szCs w:val="26"/>
        </w:rPr>
        <w:t>t</w:t>
      </w:r>
      <w:r w:rsidR="00F162F1" w:rsidRPr="000D11D9">
        <w:rPr>
          <w:sz w:val="26"/>
          <w:szCs w:val="26"/>
        </w:rPr>
        <w:t xml:space="preserve"> having operational authority from the Commission.</w:t>
      </w:r>
      <w:r w:rsidR="000D11D9" w:rsidRPr="000D11D9">
        <w:rPr>
          <w:sz w:val="26"/>
          <w:szCs w:val="26"/>
        </w:rPr>
        <w:t xml:space="preserve">  </w:t>
      </w:r>
      <w:r w:rsidR="007959B2">
        <w:rPr>
          <w:sz w:val="26"/>
          <w:szCs w:val="26"/>
        </w:rPr>
        <w:t xml:space="preserve">Complaint at ¶ 16. </w:t>
      </w:r>
      <w:r w:rsidR="00D851FC">
        <w:rPr>
          <w:sz w:val="26"/>
          <w:szCs w:val="26"/>
        </w:rPr>
        <w:t xml:space="preserve"> </w:t>
      </w:r>
      <w:r w:rsidR="000D11D9" w:rsidRPr="000D11D9">
        <w:rPr>
          <w:sz w:val="26"/>
          <w:szCs w:val="26"/>
        </w:rPr>
        <w:t xml:space="preserve">I&amp;E recommended a statutorily mandated </w:t>
      </w:r>
      <w:r w:rsidR="000D11D9" w:rsidRPr="008C12E4">
        <w:rPr>
          <w:sz w:val="26"/>
          <w:szCs w:val="26"/>
        </w:rPr>
        <w:t>administrative</w:t>
      </w:r>
      <w:r w:rsidR="000D11D9" w:rsidRPr="000D11D9">
        <w:rPr>
          <w:sz w:val="26"/>
          <w:szCs w:val="26"/>
        </w:rPr>
        <w:t xml:space="preserve"> penalty of $5,000 for this violation.  </w:t>
      </w:r>
      <w:r w:rsidR="00262AFC">
        <w:rPr>
          <w:sz w:val="26"/>
          <w:szCs w:val="26"/>
        </w:rPr>
        <w:t xml:space="preserve">Complaint at ¶ 18.  </w:t>
      </w:r>
      <w:r w:rsidR="000D11D9" w:rsidRPr="000D11D9">
        <w:rPr>
          <w:sz w:val="26"/>
          <w:szCs w:val="26"/>
        </w:rPr>
        <w:t>I&amp;E also requested that if the Respondent did not pay the</w:t>
      </w:r>
      <w:r w:rsidR="008A15E6">
        <w:rPr>
          <w:sz w:val="26"/>
          <w:szCs w:val="26"/>
        </w:rPr>
        <w:t xml:space="preserve"> statutorily mandated </w:t>
      </w:r>
      <w:r w:rsidR="000D11D9" w:rsidRPr="008A15E6">
        <w:rPr>
          <w:sz w:val="26"/>
          <w:szCs w:val="26"/>
        </w:rPr>
        <w:t>penalty, the Commission issue an Order</w:t>
      </w:r>
      <w:r w:rsidR="008A15E6">
        <w:rPr>
          <w:sz w:val="26"/>
          <w:szCs w:val="26"/>
        </w:rPr>
        <w:t xml:space="preserve"> refer</w:t>
      </w:r>
      <w:r w:rsidR="006E144E">
        <w:rPr>
          <w:sz w:val="26"/>
          <w:szCs w:val="26"/>
        </w:rPr>
        <w:t xml:space="preserve">ring </w:t>
      </w:r>
      <w:r w:rsidR="008A15E6">
        <w:rPr>
          <w:sz w:val="26"/>
          <w:szCs w:val="26"/>
        </w:rPr>
        <w:t>the matter to the Pennsylvania Office of Attorney General for appropriate action</w:t>
      </w:r>
      <w:r w:rsidR="000D11D9" w:rsidRPr="008A15E6">
        <w:rPr>
          <w:sz w:val="26"/>
          <w:szCs w:val="26"/>
        </w:rPr>
        <w:t>.</w:t>
      </w:r>
      <w:r w:rsidR="00AC12AC">
        <w:rPr>
          <w:rStyle w:val="FootnoteReference"/>
          <w:sz w:val="26"/>
          <w:szCs w:val="26"/>
        </w:rPr>
        <w:footnoteReference w:id="5"/>
      </w:r>
      <w:r w:rsidR="00AC12AC">
        <w:rPr>
          <w:sz w:val="26"/>
          <w:szCs w:val="26"/>
        </w:rPr>
        <w:t xml:space="preserve">  </w:t>
      </w:r>
      <w:r w:rsidR="000D11D9" w:rsidRPr="008A15E6">
        <w:rPr>
          <w:sz w:val="26"/>
          <w:szCs w:val="26"/>
        </w:rPr>
        <w:t xml:space="preserve">Complaint at </w:t>
      </w:r>
      <w:r w:rsidR="00CF7D6F">
        <w:rPr>
          <w:sz w:val="26"/>
          <w:szCs w:val="26"/>
        </w:rPr>
        <w:t>7</w:t>
      </w:r>
      <w:r w:rsidR="000D11D9" w:rsidRPr="008A15E6">
        <w:rPr>
          <w:sz w:val="26"/>
          <w:szCs w:val="26"/>
        </w:rPr>
        <w:t>.</w:t>
      </w:r>
    </w:p>
    <w:p w14:paraId="124BC122" w14:textId="77777777" w:rsidR="00CA3657" w:rsidRDefault="00CA3657" w:rsidP="00AE661A">
      <w:pPr>
        <w:pStyle w:val="BodyText2"/>
      </w:pPr>
    </w:p>
    <w:p w14:paraId="7F3CE8E6" w14:textId="73392353" w:rsidR="00AE661A" w:rsidRDefault="00AE661A" w:rsidP="00AE661A">
      <w:pPr>
        <w:pStyle w:val="BodyText2"/>
      </w:pPr>
      <w:r>
        <w:tab/>
      </w:r>
      <w:r>
        <w:tab/>
      </w:r>
      <w:r w:rsidR="00B640A4">
        <w:t xml:space="preserve">A Notice was attached to the Complaint </w:t>
      </w:r>
      <w:r w:rsidR="00AC12AC">
        <w:t xml:space="preserve">(Notice) </w:t>
      </w:r>
      <w:r w:rsidR="00B640A4">
        <w:t>and informed the</w:t>
      </w:r>
      <w:r w:rsidR="00D70BCE">
        <w:t xml:space="preserve"> </w:t>
      </w:r>
      <w:r>
        <w:t xml:space="preserve">Respondent that it must file an Answer to the Complaint with the Commission </w:t>
      </w:r>
      <w:r w:rsidRPr="00747FE5">
        <w:t xml:space="preserve">within </w:t>
      </w:r>
      <w:r w:rsidRPr="00747FE5">
        <w:lastRenderedPageBreak/>
        <w:t>twenty days of the date of service of the</w:t>
      </w:r>
      <w:r>
        <w:t xml:space="preserve"> Complaint.  Furthermore, if the Respondent failed to file an Answer to the Complaint, I&amp;E would request that the Commission issue an Order that fined the Respondent $5,000.  </w:t>
      </w:r>
      <w:r w:rsidR="00AC12AC">
        <w:t>Notice</w:t>
      </w:r>
      <w:r>
        <w:t xml:space="preserve"> at 1</w:t>
      </w:r>
      <w:r w:rsidR="00AC12AC">
        <w:t>-2</w:t>
      </w:r>
      <w:r>
        <w:t>.</w:t>
      </w:r>
    </w:p>
    <w:p w14:paraId="5EBFBE8E" w14:textId="55666079" w:rsidR="00AE661A" w:rsidRDefault="00AE661A" w:rsidP="00AE661A">
      <w:pPr>
        <w:pStyle w:val="BodyText2"/>
      </w:pPr>
    </w:p>
    <w:p w14:paraId="6C530D62" w14:textId="33969A1A" w:rsidR="00745891" w:rsidRDefault="00AE661A" w:rsidP="00515014">
      <w:pPr>
        <w:pStyle w:val="BodyText2"/>
      </w:pPr>
      <w:r>
        <w:tab/>
      </w:r>
      <w:r>
        <w:tab/>
        <w:t xml:space="preserve">As stated above, I&amp;E filed its Motion on December </w:t>
      </w:r>
      <w:r w:rsidR="00062705">
        <w:t>2</w:t>
      </w:r>
      <w:r>
        <w:t>, 2019</w:t>
      </w:r>
      <w:r w:rsidR="00EC382C">
        <w:t>, and</w:t>
      </w:r>
      <w:r w:rsidR="00EC6DD3">
        <w:t xml:space="preserve"> </w:t>
      </w:r>
      <w:r w:rsidR="00DE6B0C">
        <w:t>Mr.</w:t>
      </w:r>
      <w:r w:rsidR="003427B1">
        <w:t xml:space="preserve"> Hendricks, owner of </w:t>
      </w:r>
      <w:r w:rsidR="00EC382C">
        <w:t>Ca</w:t>
      </w:r>
      <w:r w:rsidR="00562EA4">
        <w:t>l</w:t>
      </w:r>
      <w:r w:rsidR="00EC382C">
        <w:t>ypso Moving</w:t>
      </w:r>
      <w:r w:rsidR="003427B1">
        <w:t>,</w:t>
      </w:r>
      <w:r w:rsidR="00EC382C">
        <w:t xml:space="preserve"> </w:t>
      </w:r>
      <w:r w:rsidR="00EC6DD3">
        <w:t xml:space="preserve">filed a </w:t>
      </w:r>
      <w:r w:rsidR="003427B1">
        <w:t>one-page</w:t>
      </w:r>
      <w:r w:rsidR="001B7490">
        <w:t>,</w:t>
      </w:r>
      <w:r w:rsidR="003427B1">
        <w:t xml:space="preserve"> hand-written </w:t>
      </w:r>
      <w:r>
        <w:t>Answer</w:t>
      </w:r>
      <w:r w:rsidR="001B7490">
        <w:rPr>
          <w:rStyle w:val="FootnoteReference"/>
        </w:rPr>
        <w:footnoteReference w:id="6"/>
      </w:r>
      <w:r w:rsidR="00EC382C">
        <w:t xml:space="preserve"> </w:t>
      </w:r>
      <w:r w:rsidR="007E6599">
        <w:t xml:space="preserve">to </w:t>
      </w:r>
      <w:r w:rsidR="00AC12AC">
        <w:t>Motion</w:t>
      </w:r>
      <w:r w:rsidR="007F5ECF">
        <w:rPr>
          <w:rStyle w:val="FootnoteReference"/>
        </w:rPr>
        <w:footnoteReference w:id="7"/>
      </w:r>
      <w:r w:rsidR="007F5ECF">
        <w:t xml:space="preserve"> </w:t>
      </w:r>
      <w:r w:rsidR="00EC382C">
        <w:t>on</w:t>
      </w:r>
      <w:r w:rsidR="00EC6DD3">
        <w:t xml:space="preserve"> </w:t>
      </w:r>
      <w:r w:rsidR="00EC382C">
        <w:t>December 13, 2019.</w:t>
      </w:r>
      <w:r w:rsidR="00957E88">
        <w:rPr>
          <w:rStyle w:val="FootnoteReference"/>
        </w:rPr>
        <w:footnoteReference w:id="8"/>
      </w:r>
      <w:r w:rsidR="00DE6B0C">
        <w:t xml:space="preserve">  </w:t>
      </w:r>
      <w:r w:rsidR="00EC382C">
        <w:t>In its Answ</w:t>
      </w:r>
      <w:r w:rsidR="00515014">
        <w:t xml:space="preserve">er </w:t>
      </w:r>
      <w:r w:rsidR="007F5ECF">
        <w:t>to</w:t>
      </w:r>
      <w:r w:rsidR="00DE6B0C">
        <w:t xml:space="preserve"> </w:t>
      </w:r>
      <w:r w:rsidR="007F5ECF">
        <w:t>Motion</w:t>
      </w:r>
      <w:r w:rsidR="00DE6B0C">
        <w:t>,</w:t>
      </w:r>
      <w:r w:rsidR="007F5ECF">
        <w:t xml:space="preserve"> </w:t>
      </w:r>
      <w:r w:rsidR="00515014">
        <w:t>Ca</w:t>
      </w:r>
      <w:r w:rsidR="00562EA4">
        <w:t>l</w:t>
      </w:r>
      <w:r w:rsidR="00515014">
        <w:t xml:space="preserve">ypso Moving denied the charge and contented, without </w:t>
      </w:r>
      <w:r w:rsidR="00C505A2">
        <w:t xml:space="preserve">providing </w:t>
      </w:r>
      <w:r w:rsidR="00515014">
        <w:t>any support</w:t>
      </w:r>
      <w:r w:rsidR="00C505A2">
        <w:t>, that</w:t>
      </w:r>
      <w:r w:rsidR="00515014">
        <w:t xml:space="preserve"> it is in the business of subcontracting through other companies</w:t>
      </w:r>
      <w:r w:rsidR="00C505A2">
        <w:t xml:space="preserve">. </w:t>
      </w:r>
      <w:r w:rsidR="00515014">
        <w:t xml:space="preserve"> </w:t>
      </w:r>
      <w:r w:rsidR="00562EA4">
        <w:t xml:space="preserve">The </w:t>
      </w:r>
      <w:r w:rsidR="007E6599">
        <w:t xml:space="preserve">Respondent indicated that </w:t>
      </w:r>
      <w:r w:rsidR="003427B1">
        <w:t xml:space="preserve">Calypso Moving </w:t>
      </w:r>
      <w:r w:rsidR="007E6599">
        <w:t xml:space="preserve">does not own a truck but rents them.  </w:t>
      </w:r>
      <w:r w:rsidR="003427B1">
        <w:t>Mr. Hendricks</w:t>
      </w:r>
      <w:r w:rsidR="007E6599">
        <w:t xml:space="preserve"> also indicated that, “I do have everything else to comply with the state law as an EIN </w:t>
      </w:r>
      <w:r w:rsidR="00562EA4">
        <w:t xml:space="preserve">[Employer Identification Number] </w:t>
      </w:r>
      <w:r w:rsidR="007E6599">
        <w:t xml:space="preserve">holder and limited liability insurance holder.”  </w:t>
      </w:r>
      <w:r w:rsidR="00C505A2">
        <w:t xml:space="preserve">Further, </w:t>
      </w:r>
      <w:r w:rsidR="00515014">
        <w:t xml:space="preserve">Respondent submits that he now </w:t>
      </w:r>
      <w:r w:rsidR="007E6599">
        <w:t xml:space="preserve">has </w:t>
      </w:r>
      <w:r w:rsidR="00515014">
        <w:t xml:space="preserve">changed </w:t>
      </w:r>
    </w:p>
    <w:p w14:paraId="1E731612" w14:textId="77777777" w:rsidR="00745891" w:rsidRDefault="00745891">
      <w:pPr>
        <w:widowControl/>
        <w:rPr>
          <w:sz w:val="26"/>
          <w:szCs w:val="26"/>
        </w:rPr>
      </w:pPr>
      <w:r>
        <w:br w:type="page"/>
      </w:r>
    </w:p>
    <w:p w14:paraId="7CFE494A" w14:textId="33A29D5B" w:rsidR="00AE661A" w:rsidRPr="009A492C" w:rsidRDefault="00515014" w:rsidP="00515014">
      <w:pPr>
        <w:pStyle w:val="BodyText2"/>
      </w:pPr>
      <w:r>
        <w:lastRenderedPageBreak/>
        <w:t>his business practice and do</w:t>
      </w:r>
      <w:r w:rsidR="00200DA4">
        <w:t>es</w:t>
      </w:r>
      <w:r>
        <w:t xml:space="preserve"> not drive truck or rent </w:t>
      </w:r>
      <w:r w:rsidR="00C505A2">
        <w:t>them and th</w:t>
      </w:r>
      <w:r>
        <w:t>at he now let</w:t>
      </w:r>
      <w:r w:rsidR="00200DA4">
        <w:t>s</w:t>
      </w:r>
      <w:r>
        <w:t xml:space="preserve"> customers rent </w:t>
      </w:r>
      <w:r w:rsidR="00200DA4">
        <w:t xml:space="preserve">a truck </w:t>
      </w:r>
      <w:r>
        <w:t xml:space="preserve">and drive </w:t>
      </w:r>
      <w:r w:rsidR="00200DA4">
        <w:t xml:space="preserve">it </w:t>
      </w:r>
      <w:r w:rsidR="00A71241" w:rsidRPr="009A492C">
        <w:t>themselves</w:t>
      </w:r>
      <w:r w:rsidRPr="009A492C">
        <w:t>.</w:t>
      </w:r>
      <w:r w:rsidR="00E9598B" w:rsidRPr="009A492C">
        <w:rPr>
          <w:rStyle w:val="FootnoteReference"/>
        </w:rPr>
        <w:footnoteReference w:id="9"/>
      </w:r>
    </w:p>
    <w:p w14:paraId="007B7199" w14:textId="77777777" w:rsidR="00A309F9" w:rsidRPr="009A492C" w:rsidRDefault="00A309F9" w:rsidP="00515014">
      <w:pPr>
        <w:pStyle w:val="BodyText2"/>
      </w:pPr>
    </w:p>
    <w:p w14:paraId="5C22F12F" w14:textId="77777777" w:rsidR="00AE661A" w:rsidRPr="009A492C" w:rsidRDefault="00AE661A" w:rsidP="00AE661A">
      <w:pPr>
        <w:keepNext/>
        <w:spacing w:line="360" w:lineRule="auto"/>
        <w:jc w:val="center"/>
        <w:rPr>
          <w:sz w:val="26"/>
          <w:szCs w:val="26"/>
        </w:rPr>
      </w:pPr>
      <w:r w:rsidRPr="009A492C">
        <w:rPr>
          <w:b/>
          <w:sz w:val="26"/>
          <w:szCs w:val="26"/>
        </w:rPr>
        <w:t>Discussion</w:t>
      </w:r>
    </w:p>
    <w:p w14:paraId="438B841F" w14:textId="77777777" w:rsidR="00AE661A" w:rsidRPr="009A492C" w:rsidRDefault="00AE661A" w:rsidP="00AE661A">
      <w:pPr>
        <w:keepNext/>
        <w:spacing w:line="360" w:lineRule="auto"/>
        <w:ind w:firstLine="1440"/>
        <w:rPr>
          <w:sz w:val="26"/>
          <w:szCs w:val="26"/>
        </w:rPr>
      </w:pPr>
    </w:p>
    <w:p w14:paraId="5A587041" w14:textId="77777777" w:rsidR="00AE661A" w:rsidRPr="009A492C" w:rsidRDefault="00AE661A" w:rsidP="00AE661A">
      <w:pPr>
        <w:keepNext/>
        <w:spacing w:line="360" w:lineRule="auto"/>
        <w:rPr>
          <w:b/>
          <w:sz w:val="26"/>
          <w:szCs w:val="26"/>
        </w:rPr>
      </w:pPr>
      <w:r w:rsidRPr="009A492C">
        <w:rPr>
          <w:b/>
          <w:sz w:val="26"/>
          <w:szCs w:val="26"/>
        </w:rPr>
        <w:t>Legal Standards</w:t>
      </w:r>
    </w:p>
    <w:p w14:paraId="0DD74309" w14:textId="77777777" w:rsidR="00AE661A" w:rsidRPr="009A492C" w:rsidRDefault="00AE661A" w:rsidP="00AE661A">
      <w:pPr>
        <w:keepNext/>
        <w:ind w:firstLine="1440"/>
        <w:rPr>
          <w:sz w:val="26"/>
          <w:szCs w:val="26"/>
        </w:rPr>
      </w:pPr>
    </w:p>
    <w:p w14:paraId="16336672" w14:textId="7579ADF7" w:rsidR="00AE661A" w:rsidRDefault="00AE661A" w:rsidP="00AE661A">
      <w:pPr>
        <w:widowControl/>
        <w:spacing w:line="360" w:lineRule="auto"/>
        <w:ind w:firstLine="1440"/>
        <w:rPr>
          <w:rStyle w:val="Hyperlink"/>
          <w:color w:val="000000"/>
          <w:sz w:val="26"/>
          <w:szCs w:val="26"/>
          <w:u w:val="none"/>
        </w:rPr>
      </w:pPr>
      <w:r w:rsidRPr="009A492C">
        <w:rPr>
          <w:sz w:val="26"/>
          <w:szCs w:val="26"/>
        </w:rPr>
        <w:t>We note that any issue</w:t>
      </w:r>
      <w:r>
        <w:rPr>
          <w:sz w:val="26"/>
          <w:szCs w:val="26"/>
        </w:rPr>
        <w:t xml:space="preserve"> that we do not specifically address herein has been duly considered and will be denied without further discussion.  It is well settled that we are not required to consider expressly or at length each contention or argument raised by the parties.  </w:t>
      </w:r>
      <w:r>
        <w:rPr>
          <w:rStyle w:val="Emphasis"/>
          <w:color w:val="000000"/>
          <w:sz w:val="26"/>
          <w:szCs w:val="26"/>
        </w:rPr>
        <w:t>Consolidated Rail Corp.</w:t>
      </w:r>
      <w:r w:rsidRPr="008606DC">
        <w:rPr>
          <w:rStyle w:val="Emphasis"/>
          <w:color w:val="000000"/>
          <w:sz w:val="26"/>
          <w:szCs w:val="26"/>
        </w:rPr>
        <w:t xml:space="preserve"> v. Pa. PUC</w:t>
      </w:r>
      <w:r w:rsidRPr="00DD0998">
        <w:rPr>
          <w:rStyle w:val="Emphasis"/>
          <w:i w:val="0"/>
          <w:iCs w:val="0"/>
          <w:color w:val="000000"/>
          <w:sz w:val="26"/>
          <w:szCs w:val="26"/>
        </w:rPr>
        <w:t>,</w:t>
      </w:r>
      <w:r w:rsidRPr="008606DC">
        <w:rPr>
          <w:rStyle w:val="Emphasis"/>
          <w:color w:val="000000"/>
          <w:sz w:val="26"/>
          <w:szCs w:val="26"/>
        </w:rPr>
        <w:t xml:space="preserve"> </w:t>
      </w:r>
      <w:r w:rsidRPr="00DD0998">
        <w:rPr>
          <w:sz w:val="26"/>
          <w:szCs w:val="26"/>
        </w:rPr>
        <w:t xml:space="preserve">625 A.2d 741 (Pa. </w:t>
      </w:r>
      <w:proofErr w:type="spellStart"/>
      <w:r w:rsidRPr="00DD0998">
        <w:rPr>
          <w:sz w:val="26"/>
          <w:szCs w:val="26"/>
        </w:rPr>
        <w:t>Cmwlth</w:t>
      </w:r>
      <w:proofErr w:type="spellEnd"/>
      <w:r w:rsidRPr="00DD0998">
        <w:rPr>
          <w:sz w:val="26"/>
          <w:szCs w:val="26"/>
        </w:rPr>
        <w:t>. 1993);</w:t>
      </w:r>
      <w:r>
        <w:rPr>
          <w:color w:val="000000"/>
          <w:sz w:val="26"/>
          <w:szCs w:val="26"/>
        </w:rPr>
        <w:t xml:space="preserve"> </w:t>
      </w:r>
      <w:r w:rsidR="0044695E" w:rsidRPr="0044695E">
        <w:rPr>
          <w:i/>
          <w:iCs/>
          <w:color w:val="000000"/>
          <w:sz w:val="26"/>
          <w:szCs w:val="26"/>
        </w:rPr>
        <w:t>see</w:t>
      </w:r>
      <w:r w:rsidR="003F4A44">
        <w:rPr>
          <w:i/>
          <w:iCs/>
          <w:color w:val="000000"/>
          <w:sz w:val="26"/>
          <w:szCs w:val="26"/>
        </w:rPr>
        <w:t> </w:t>
      </w:r>
      <w:r w:rsidRPr="008606DC">
        <w:rPr>
          <w:i/>
          <w:color w:val="000000"/>
          <w:sz w:val="26"/>
          <w:szCs w:val="26"/>
        </w:rPr>
        <w:t>also</w:t>
      </w:r>
      <w:r w:rsidR="0044695E">
        <w:rPr>
          <w:i/>
          <w:color w:val="000000"/>
          <w:sz w:val="26"/>
          <w:szCs w:val="26"/>
        </w:rPr>
        <w:t>,</w:t>
      </w:r>
      <w:r w:rsidRPr="008606DC">
        <w:rPr>
          <w:i/>
          <w:color w:val="000000"/>
          <w:sz w:val="26"/>
          <w:szCs w:val="26"/>
        </w:rPr>
        <w:t xml:space="preserve"> </w:t>
      </w:r>
      <w:r w:rsidR="0044695E">
        <w:rPr>
          <w:i/>
          <w:color w:val="000000"/>
          <w:sz w:val="26"/>
          <w:szCs w:val="26"/>
        </w:rPr>
        <w:t>g</w:t>
      </w:r>
      <w:r>
        <w:rPr>
          <w:rStyle w:val="Emphasis"/>
          <w:color w:val="000000"/>
          <w:sz w:val="26"/>
          <w:szCs w:val="26"/>
        </w:rPr>
        <w:t>enerally</w:t>
      </w:r>
      <w:r w:rsidR="00A309F9">
        <w:rPr>
          <w:rStyle w:val="Emphasis"/>
          <w:color w:val="000000"/>
          <w:sz w:val="26"/>
          <w:szCs w:val="26"/>
        </w:rPr>
        <w:t>,</w:t>
      </w:r>
      <w:r>
        <w:rPr>
          <w:rStyle w:val="Emphasis"/>
          <w:color w:val="000000"/>
          <w:sz w:val="26"/>
          <w:szCs w:val="26"/>
        </w:rPr>
        <w:t xml:space="preserve"> </w:t>
      </w:r>
      <w:r w:rsidRPr="008606DC">
        <w:rPr>
          <w:rStyle w:val="Emphasis"/>
          <w:color w:val="000000"/>
          <w:sz w:val="26"/>
          <w:szCs w:val="26"/>
        </w:rPr>
        <w:t>University of Pennsyl</w:t>
      </w:r>
      <w:r w:rsidRPr="008606DC">
        <w:rPr>
          <w:rStyle w:val="Emphasis"/>
          <w:color w:val="000000"/>
          <w:sz w:val="26"/>
          <w:szCs w:val="26"/>
        </w:rPr>
        <w:softHyphen/>
        <w:t>vania v. Pa. PUC</w:t>
      </w:r>
      <w:r w:rsidRPr="00DD0998">
        <w:rPr>
          <w:sz w:val="26"/>
          <w:szCs w:val="26"/>
        </w:rPr>
        <w:t xml:space="preserve">, 485 A.2d 1217 (Pa. </w:t>
      </w:r>
      <w:proofErr w:type="spellStart"/>
      <w:r w:rsidRPr="00DD0998">
        <w:rPr>
          <w:sz w:val="26"/>
          <w:szCs w:val="26"/>
        </w:rPr>
        <w:t>Cmwlth</w:t>
      </w:r>
      <w:proofErr w:type="spellEnd"/>
      <w:r w:rsidRPr="00DD0998">
        <w:rPr>
          <w:sz w:val="26"/>
          <w:szCs w:val="26"/>
        </w:rPr>
        <w:t>. 1984).</w:t>
      </w:r>
    </w:p>
    <w:p w14:paraId="4CEDE367" w14:textId="77777777" w:rsidR="00CA3657" w:rsidRDefault="00CA3657" w:rsidP="00AE661A">
      <w:pPr>
        <w:widowControl/>
        <w:spacing w:line="360" w:lineRule="auto"/>
        <w:ind w:firstLine="1440"/>
        <w:rPr>
          <w:rStyle w:val="Hyperlink"/>
          <w:color w:val="000000"/>
          <w:sz w:val="26"/>
          <w:szCs w:val="26"/>
          <w:u w:val="none"/>
        </w:rPr>
      </w:pPr>
    </w:p>
    <w:p w14:paraId="5D39C4E7" w14:textId="3F667EB5" w:rsidR="007F1D5B" w:rsidRDefault="00E9598B" w:rsidP="00AE661A">
      <w:pPr>
        <w:widowControl/>
        <w:spacing w:line="360" w:lineRule="auto"/>
        <w:ind w:firstLine="1440"/>
        <w:rPr>
          <w:rStyle w:val="Hyperlink"/>
          <w:color w:val="000000"/>
          <w:sz w:val="26"/>
          <w:szCs w:val="26"/>
          <w:u w:val="none"/>
        </w:rPr>
      </w:pPr>
      <w:r>
        <w:rPr>
          <w:rStyle w:val="Hyperlink"/>
          <w:color w:val="000000"/>
          <w:sz w:val="26"/>
          <w:szCs w:val="26"/>
          <w:u w:val="none"/>
        </w:rPr>
        <w:t xml:space="preserve">Initially as we noted previously, since Calypso Moving is a limited liability corporation it must be represented by an attorney licensed to practice in Pennsylvania.  Furthermore, pursuant to Commission </w:t>
      </w:r>
      <w:r w:rsidR="00D76D5B">
        <w:rPr>
          <w:rStyle w:val="Hyperlink"/>
          <w:color w:val="000000"/>
          <w:sz w:val="26"/>
          <w:szCs w:val="26"/>
          <w:u w:val="none"/>
        </w:rPr>
        <w:t>R</w:t>
      </w:r>
      <w:r>
        <w:rPr>
          <w:rStyle w:val="Hyperlink"/>
          <w:color w:val="000000"/>
          <w:sz w:val="26"/>
          <w:szCs w:val="26"/>
          <w:u w:val="none"/>
        </w:rPr>
        <w:t xml:space="preserve">egulations and </w:t>
      </w:r>
      <w:r w:rsidR="007F1D5B">
        <w:rPr>
          <w:rStyle w:val="Hyperlink"/>
          <w:color w:val="000000"/>
          <w:sz w:val="26"/>
          <w:szCs w:val="26"/>
          <w:u w:val="none"/>
        </w:rPr>
        <w:t xml:space="preserve">decisions, </w:t>
      </w:r>
      <w:r>
        <w:rPr>
          <w:rStyle w:val="Hyperlink"/>
          <w:color w:val="000000"/>
          <w:sz w:val="26"/>
          <w:szCs w:val="26"/>
          <w:u w:val="none"/>
        </w:rPr>
        <w:t>an att</w:t>
      </w:r>
      <w:r w:rsidR="007F1D5B">
        <w:rPr>
          <w:rStyle w:val="Hyperlink"/>
          <w:color w:val="000000"/>
          <w:sz w:val="26"/>
          <w:szCs w:val="26"/>
          <w:u w:val="none"/>
        </w:rPr>
        <w:t xml:space="preserve">orney must file </w:t>
      </w:r>
      <w:r w:rsidR="008759F4">
        <w:rPr>
          <w:rStyle w:val="Hyperlink"/>
          <w:color w:val="000000"/>
          <w:sz w:val="26"/>
          <w:szCs w:val="26"/>
          <w:u w:val="none"/>
        </w:rPr>
        <w:t>pleadings</w:t>
      </w:r>
      <w:r w:rsidR="007F1D5B">
        <w:rPr>
          <w:rStyle w:val="Hyperlink"/>
          <w:color w:val="000000"/>
          <w:sz w:val="26"/>
          <w:szCs w:val="26"/>
          <w:u w:val="none"/>
        </w:rPr>
        <w:t xml:space="preserve"> when a corporation is a party to the proceeding.  Here</w:t>
      </w:r>
      <w:r w:rsidR="001B6C9B">
        <w:rPr>
          <w:rStyle w:val="Hyperlink"/>
          <w:color w:val="000000"/>
          <w:sz w:val="26"/>
          <w:szCs w:val="26"/>
          <w:u w:val="none"/>
        </w:rPr>
        <w:t>,</w:t>
      </w:r>
      <w:r w:rsidR="007F1D5B">
        <w:rPr>
          <w:rStyle w:val="Hyperlink"/>
          <w:color w:val="000000"/>
          <w:sz w:val="26"/>
          <w:szCs w:val="26"/>
          <w:u w:val="none"/>
        </w:rPr>
        <w:t xml:space="preserve"> the owner of Calypso Moving filed the Answer </w:t>
      </w:r>
      <w:r w:rsidR="008759F4">
        <w:rPr>
          <w:rStyle w:val="Hyperlink"/>
          <w:color w:val="000000"/>
          <w:sz w:val="26"/>
          <w:szCs w:val="26"/>
          <w:u w:val="none"/>
        </w:rPr>
        <w:t>to</w:t>
      </w:r>
      <w:r w:rsidR="00C25D35">
        <w:rPr>
          <w:rStyle w:val="Hyperlink"/>
          <w:color w:val="000000"/>
          <w:sz w:val="26"/>
          <w:szCs w:val="26"/>
          <w:u w:val="none"/>
        </w:rPr>
        <w:t xml:space="preserve"> </w:t>
      </w:r>
      <w:r w:rsidR="008759F4">
        <w:rPr>
          <w:rStyle w:val="Hyperlink"/>
          <w:color w:val="000000"/>
          <w:sz w:val="26"/>
          <w:szCs w:val="26"/>
          <w:u w:val="none"/>
        </w:rPr>
        <w:t xml:space="preserve">Motion </w:t>
      </w:r>
      <w:r w:rsidR="007F1D5B">
        <w:rPr>
          <w:rStyle w:val="Hyperlink"/>
          <w:color w:val="000000"/>
          <w:sz w:val="26"/>
          <w:szCs w:val="26"/>
          <w:u w:val="none"/>
        </w:rPr>
        <w:t xml:space="preserve">on behalf of the company.  </w:t>
      </w:r>
      <w:r w:rsidR="007F1D5B" w:rsidRPr="000A3304">
        <w:rPr>
          <w:rStyle w:val="Hyperlink"/>
          <w:color w:val="000000"/>
          <w:sz w:val="26"/>
          <w:szCs w:val="26"/>
          <w:u w:val="none"/>
        </w:rPr>
        <w:t xml:space="preserve">Given past Commission decisions, we </w:t>
      </w:r>
      <w:r w:rsidR="001B3BCF" w:rsidRPr="000A3304">
        <w:rPr>
          <w:rStyle w:val="Hyperlink"/>
          <w:color w:val="000000"/>
          <w:sz w:val="26"/>
          <w:szCs w:val="26"/>
          <w:u w:val="none"/>
        </w:rPr>
        <w:t xml:space="preserve">will not </w:t>
      </w:r>
      <w:r w:rsidR="007F1D5B" w:rsidRPr="000A3304">
        <w:rPr>
          <w:rStyle w:val="Hyperlink"/>
          <w:color w:val="000000"/>
          <w:sz w:val="26"/>
          <w:szCs w:val="26"/>
          <w:u w:val="none"/>
        </w:rPr>
        <w:t xml:space="preserve">take into consideration the Answer </w:t>
      </w:r>
      <w:r w:rsidR="0099598E" w:rsidRPr="000A3304">
        <w:rPr>
          <w:rStyle w:val="Hyperlink"/>
          <w:color w:val="000000"/>
          <w:sz w:val="26"/>
          <w:szCs w:val="26"/>
          <w:u w:val="none"/>
        </w:rPr>
        <w:t>to</w:t>
      </w:r>
      <w:r w:rsidR="00C25D35" w:rsidRPr="000A3304">
        <w:rPr>
          <w:rStyle w:val="Hyperlink"/>
          <w:color w:val="000000"/>
          <w:sz w:val="26"/>
          <w:szCs w:val="26"/>
          <w:u w:val="none"/>
        </w:rPr>
        <w:t xml:space="preserve"> </w:t>
      </w:r>
      <w:r w:rsidR="0099598E" w:rsidRPr="000A3304">
        <w:rPr>
          <w:rStyle w:val="Hyperlink"/>
          <w:color w:val="000000"/>
          <w:sz w:val="26"/>
          <w:szCs w:val="26"/>
          <w:u w:val="none"/>
        </w:rPr>
        <w:t xml:space="preserve">Motion </w:t>
      </w:r>
      <w:r w:rsidR="007F1D5B" w:rsidRPr="000A3304">
        <w:rPr>
          <w:rStyle w:val="Hyperlink"/>
          <w:color w:val="000000"/>
          <w:sz w:val="26"/>
          <w:szCs w:val="26"/>
          <w:u w:val="none"/>
        </w:rPr>
        <w:t xml:space="preserve">in rendering our determination in the matter before us.  We will now turn to the merits of the case.  </w:t>
      </w:r>
    </w:p>
    <w:p w14:paraId="1B68DFEB" w14:textId="40227D6A" w:rsidR="007E4D69" w:rsidRDefault="007E4D69" w:rsidP="0007054A">
      <w:pPr>
        <w:widowControl/>
        <w:spacing w:line="360" w:lineRule="auto"/>
        <w:ind w:firstLine="720"/>
        <w:rPr>
          <w:sz w:val="26"/>
          <w:szCs w:val="26"/>
        </w:rPr>
      </w:pPr>
      <w:r>
        <w:rPr>
          <w:sz w:val="26"/>
          <w:szCs w:val="26"/>
        </w:rPr>
        <w:lastRenderedPageBreak/>
        <w:tab/>
      </w:r>
      <w:r w:rsidR="0007054A" w:rsidRPr="00CF08FF">
        <w:rPr>
          <w:color w:val="000000"/>
          <w:spacing w:val="1"/>
          <w:sz w:val="26"/>
          <w:szCs w:val="26"/>
        </w:rPr>
        <w:t>Section 3310 of the Code, 66 Pa.</w:t>
      </w:r>
      <w:r w:rsidR="00C25D35">
        <w:rPr>
          <w:color w:val="000000"/>
          <w:spacing w:val="1"/>
          <w:sz w:val="26"/>
          <w:szCs w:val="26"/>
        </w:rPr>
        <w:t xml:space="preserve"> </w:t>
      </w:r>
      <w:r w:rsidR="0007054A" w:rsidRPr="00CF08FF">
        <w:rPr>
          <w:color w:val="000000"/>
          <w:spacing w:val="1"/>
          <w:sz w:val="26"/>
          <w:szCs w:val="26"/>
        </w:rPr>
        <w:t xml:space="preserve">C.S. § 3310, authorizes the Commission to impose administrative penalties on any person or corporation operating as a common carrier by motor vehicle or as a contract carrier by motor vehicle without a </w:t>
      </w:r>
      <w:r w:rsidR="0099598E">
        <w:rPr>
          <w:color w:val="000000"/>
          <w:spacing w:val="1"/>
          <w:sz w:val="26"/>
          <w:szCs w:val="26"/>
        </w:rPr>
        <w:t>C</w:t>
      </w:r>
      <w:r w:rsidR="0007054A" w:rsidRPr="00CF08FF">
        <w:rPr>
          <w:color w:val="000000"/>
          <w:spacing w:val="1"/>
          <w:sz w:val="26"/>
          <w:szCs w:val="26"/>
        </w:rPr>
        <w:t>ertificate, permit, or license authorizing the service performed.</w:t>
      </w:r>
      <w:r w:rsidR="00C25D35">
        <w:rPr>
          <w:color w:val="000000"/>
          <w:spacing w:val="1"/>
          <w:sz w:val="26"/>
          <w:szCs w:val="26"/>
        </w:rPr>
        <w:t xml:space="preserve">  </w:t>
      </w:r>
      <w:r w:rsidR="0007054A" w:rsidRPr="00CF08FF">
        <w:rPr>
          <w:color w:val="000000"/>
          <w:spacing w:val="1"/>
          <w:sz w:val="26"/>
          <w:szCs w:val="26"/>
        </w:rPr>
        <w:t xml:space="preserve">Section 3310(c) specifically provides that an administrative penalty of </w:t>
      </w:r>
      <w:r w:rsidR="00743A74">
        <w:rPr>
          <w:color w:val="000000"/>
          <w:spacing w:val="1"/>
          <w:sz w:val="26"/>
          <w:szCs w:val="26"/>
        </w:rPr>
        <w:t>$5,000</w:t>
      </w:r>
      <w:r w:rsidR="0007054A" w:rsidRPr="00CF08FF">
        <w:rPr>
          <w:color w:val="000000"/>
          <w:spacing w:val="1"/>
          <w:sz w:val="26"/>
          <w:szCs w:val="26"/>
        </w:rPr>
        <w:t xml:space="preserve"> be imposed for a first violation of this section while an administrative penalty of </w:t>
      </w:r>
      <w:r w:rsidR="00743A74">
        <w:rPr>
          <w:color w:val="000000"/>
          <w:spacing w:val="1"/>
          <w:sz w:val="26"/>
          <w:szCs w:val="26"/>
        </w:rPr>
        <w:t xml:space="preserve">$10,000 </w:t>
      </w:r>
      <w:r w:rsidR="0007054A" w:rsidRPr="00CF08FF">
        <w:rPr>
          <w:color w:val="000000"/>
          <w:spacing w:val="1"/>
          <w:sz w:val="26"/>
          <w:szCs w:val="26"/>
        </w:rPr>
        <w:t>shall be imposed for a second or subsequent violation</w:t>
      </w:r>
      <w:r w:rsidR="0007054A" w:rsidRPr="00CF08FF">
        <w:rPr>
          <w:sz w:val="26"/>
          <w:szCs w:val="26"/>
        </w:rPr>
        <w:t xml:space="preserve">.  </w:t>
      </w:r>
      <w:r w:rsidRPr="00CF08FF">
        <w:rPr>
          <w:sz w:val="26"/>
          <w:szCs w:val="26"/>
        </w:rPr>
        <w:t>66 Pa.</w:t>
      </w:r>
      <w:r w:rsidR="00C25D35">
        <w:rPr>
          <w:sz w:val="26"/>
          <w:szCs w:val="26"/>
        </w:rPr>
        <w:t xml:space="preserve"> </w:t>
      </w:r>
      <w:r w:rsidRPr="00CF08FF">
        <w:rPr>
          <w:sz w:val="26"/>
          <w:szCs w:val="26"/>
        </w:rPr>
        <w:t>C.S. § 3310</w:t>
      </w:r>
      <w:r w:rsidR="00C25D35">
        <w:rPr>
          <w:sz w:val="26"/>
          <w:szCs w:val="26"/>
        </w:rPr>
        <w:t>.</w:t>
      </w:r>
    </w:p>
    <w:p w14:paraId="0632334A" w14:textId="77777777" w:rsidR="00745891" w:rsidRPr="00CF08FF" w:rsidRDefault="00745891" w:rsidP="0007054A">
      <w:pPr>
        <w:widowControl/>
        <w:spacing w:line="360" w:lineRule="auto"/>
        <w:ind w:firstLine="720"/>
        <w:rPr>
          <w:sz w:val="26"/>
          <w:szCs w:val="26"/>
        </w:rPr>
      </w:pPr>
    </w:p>
    <w:p w14:paraId="7BFCF844" w14:textId="7E283206" w:rsidR="00DE2406" w:rsidRDefault="00AE661A" w:rsidP="00EB1309">
      <w:pPr>
        <w:widowControl/>
        <w:tabs>
          <w:tab w:val="left" w:pos="720"/>
        </w:tabs>
        <w:spacing w:line="360" w:lineRule="auto"/>
        <w:ind w:firstLine="1440"/>
        <w:rPr>
          <w:sz w:val="26"/>
          <w:szCs w:val="26"/>
        </w:rPr>
      </w:pPr>
      <w:r>
        <w:rPr>
          <w:sz w:val="26"/>
          <w:szCs w:val="26"/>
        </w:rPr>
        <w:t xml:space="preserve">In its Motion, I&amp;E states that the twenty-day time frame for filing an </w:t>
      </w:r>
      <w:r w:rsidR="00C25D35">
        <w:rPr>
          <w:sz w:val="26"/>
          <w:szCs w:val="26"/>
        </w:rPr>
        <w:t>A</w:t>
      </w:r>
      <w:r>
        <w:rPr>
          <w:sz w:val="26"/>
          <w:szCs w:val="26"/>
        </w:rPr>
        <w:t xml:space="preserve">nswer to the Complaint has expired and the Respondent did not file an Answer.  </w:t>
      </w:r>
      <w:r w:rsidR="00DE2406">
        <w:rPr>
          <w:sz w:val="26"/>
          <w:szCs w:val="26"/>
        </w:rPr>
        <w:t xml:space="preserve">I&amp;E also states that the Respondent did not pay the administrative penalty of $5,000 that was requested in the Complaint.  Motion at 2.  Accordingly, I&amp;E requests that the Commission enter a Default Order against the Respondent that: (1) directs the Respondent to pay the administrative penalty within thirty days of the entry date of this Opinion and Order; and (2) refers this matter to the Pennsylvania Office of Attorney General for collection of the said penalty amount if the Respondent fails to pay the administrative penalty within thirty days of the entry </w:t>
      </w:r>
      <w:r w:rsidR="004A0E34">
        <w:rPr>
          <w:sz w:val="26"/>
          <w:szCs w:val="26"/>
        </w:rPr>
        <w:t xml:space="preserve">date </w:t>
      </w:r>
      <w:r w:rsidR="00DE2406">
        <w:rPr>
          <w:sz w:val="26"/>
          <w:szCs w:val="26"/>
        </w:rPr>
        <w:t xml:space="preserve">of this Opinion and Order.  </w:t>
      </w:r>
      <w:r w:rsidR="00DE2406" w:rsidRPr="00823319">
        <w:rPr>
          <w:i/>
          <w:sz w:val="26"/>
          <w:szCs w:val="26"/>
        </w:rPr>
        <w:t>Id</w:t>
      </w:r>
      <w:r w:rsidR="00C628DF">
        <w:rPr>
          <w:i/>
          <w:sz w:val="26"/>
          <w:szCs w:val="26"/>
        </w:rPr>
        <w:t>.</w:t>
      </w:r>
      <w:r w:rsidR="00C628DF">
        <w:rPr>
          <w:sz w:val="26"/>
          <w:szCs w:val="26"/>
        </w:rPr>
        <w:t> </w:t>
      </w:r>
      <w:r w:rsidR="00DE2406">
        <w:rPr>
          <w:sz w:val="26"/>
          <w:szCs w:val="26"/>
        </w:rPr>
        <w:t>at 2-3.</w:t>
      </w:r>
    </w:p>
    <w:p w14:paraId="530FAA1E" w14:textId="77777777" w:rsidR="00C505A2" w:rsidRDefault="00C505A2" w:rsidP="00C505A2">
      <w:pPr>
        <w:widowControl/>
        <w:spacing w:line="360" w:lineRule="auto"/>
        <w:rPr>
          <w:b/>
          <w:sz w:val="26"/>
          <w:szCs w:val="26"/>
        </w:rPr>
      </w:pPr>
    </w:p>
    <w:p w14:paraId="1AFE2E12" w14:textId="77777777" w:rsidR="00AE661A" w:rsidRDefault="00AE661A" w:rsidP="00C505A2">
      <w:pPr>
        <w:widowControl/>
        <w:spacing w:line="360" w:lineRule="auto"/>
        <w:rPr>
          <w:b/>
          <w:sz w:val="26"/>
          <w:szCs w:val="26"/>
        </w:rPr>
      </w:pPr>
      <w:r>
        <w:rPr>
          <w:b/>
          <w:sz w:val="26"/>
          <w:szCs w:val="26"/>
        </w:rPr>
        <w:t>Disposition</w:t>
      </w:r>
    </w:p>
    <w:p w14:paraId="243A34F8" w14:textId="77777777" w:rsidR="00721B23" w:rsidRDefault="00721B23" w:rsidP="00C505A2">
      <w:pPr>
        <w:widowControl/>
        <w:spacing w:line="360" w:lineRule="auto"/>
        <w:rPr>
          <w:sz w:val="26"/>
          <w:szCs w:val="26"/>
        </w:rPr>
      </w:pPr>
    </w:p>
    <w:p w14:paraId="680ECC0F" w14:textId="42EFD2D5" w:rsidR="00FF5B31" w:rsidRDefault="00FF5B31" w:rsidP="00EB1309">
      <w:pPr>
        <w:widowControl/>
        <w:spacing w:line="360" w:lineRule="auto"/>
        <w:ind w:firstLine="1440"/>
        <w:rPr>
          <w:sz w:val="26"/>
          <w:szCs w:val="26"/>
        </w:rPr>
      </w:pPr>
      <w:r>
        <w:rPr>
          <w:sz w:val="26"/>
          <w:szCs w:val="26"/>
        </w:rPr>
        <w:t>I&amp;E’s Complaint averred that the Respondent held itself out to provide or furnish the transportation of household property between points within the Commonwealth by motor vehicle for compensations while not having operating authority from the Commission.  The Respondent did not file a</w:t>
      </w:r>
      <w:r w:rsidR="007D10A9">
        <w:rPr>
          <w:sz w:val="26"/>
          <w:szCs w:val="26"/>
        </w:rPr>
        <w:t>n</w:t>
      </w:r>
      <w:r>
        <w:rPr>
          <w:sz w:val="26"/>
          <w:szCs w:val="26"/>
        </w:rPr>
        <w:t xml:space="preserve"> Answer to the Complaint.</w:t>
      </w:r>
    </w:p>
    <w:p w14:paraId="1AB73D9C" w14:textId="77777777" w:rsidR="00FF5B31" w:rsidRDefault="00FF5B31" w:rsidP="00FF5B31">
      <w:pPr>
        <w:widowControl/>
        <w:spacing w:line="360" w:lineRule="auto"/>
        <w:rPr>
          <w:sz w:val="26"/>
          <w:szCs w:val="26"/>
        </w:rPr>
      </w:pPr>
    </w:p>
    <w:p w14:paraId="02C33B34" w14:textId="1755A069" w:rsidR="00FF5B31" w:rsidRDefault="00FF5B31" w:rsidP="00FF5B31">
      <w:pPr>
        <w:widowControl/>
        <w:spacing w:line="360" w:lineRule="auto"/>
        <w:rPr>
          <w:sz w:val="26"/>
          <w:szCs w:val="26"/>
        </w:rPr>
      </w:pPr>
      <w:r>
        <w:rPr>
          <w:sz w:val="26"/>
          <w:szCs w:val="26"/>
        </w:rPr>
        <w:tab/>
      </w:r>
      <w:r>
        <w:rPr>
          <w:sz w:val="26"/>
          <w:szCs w:val="26"/>
        </w:rPr>
        <w:tab/>
        <w:t xml:space="preserve">Pursuant to Section 5.61(c) of our Regulations, 52 Pa. Code § 5.61(c), a Respondent who fails to file an Answer within the twenty-day response period may be deemed in default, and the relevant facts stated in the Complaint may be deemed </w:t>
      </w:r>
      <w:r>
        <w:rPr>
          <w:sz w:val="26"/>
          <w:szCs w:val="26"/>
        </w:rPr>
        <w:lastRenderedPageBreak/>
        <w:t xml:space="preserve">admitted.  The Commonwealth Court has upheld our authority to sustain complaints that are not answered within twenty days.  </w:t>
      </w:r>
      <w:r>
        <w:rPr>
          <w:i/>
          <w:sz w:val="26"/>
          <w:szCs w:val="26"/>
        </w:rPr>
        <w:t xml:space="preserve">See </w:t>
      </w:r>
      <w:proofErr w:type="spellStart"/>
      <w:r>
        <w:rPr>
          <w:i/>
          <w:sz w:val="26"/>
          <w:szCs w:val="26"/>
        </w:rPr>
        <w:t>Fusaro</w:t>
      </w:r>
      <w:proofErr w:type="spellEnd"/>
      <w:r>
        <w:rPr>
          <w:i/>
          <w:sz w:val="26"/>
          <w:szCs w:val="26"/>
        </w:rPr>
        <w:t xml:space="preserve"> v. Pa. PUC</w:t>
      </w:r>
      <w:r>
        <w:rPr>
          <w:sz w:val="26"/>
          <w:szCs w:val="26"/>
        </w:rPr>
        <w:t>, 382 A.2d 794, 797 (Pa.</w:t>
      </w:r>
      <w:r w:rsidR="00C628DF">
        <w:rPr>
          <w:sz w:val="26"/>
          <w:szCs w:val="26"/>
        </w:rPr>
        <w:t> </w:t>
      </w:r>
      <w:proofErr w:type="spellStart"/>
      <w:r>
        <w:rPr>
          <w:sz w:val="26"/>
          <w:szCs w:val="26"/>
        </w:rPr>
        <w:t>C</w:t>
      </w:r>
      <w:r w:rsidR="00C628DF">
        <w:rPr>
          <w:sz w:val="26"/>
          <w:szCs w:val="26"/>
        </w:rPr>
        <w:t>m</w:t>
      </w:r>
      <w:r>
        <w:rPr>
          <w:sz w:val="26"/>
          <w:szCs w:val="26"/>
        </w:rPr>
        <w:t>w</w:t>
      </w:r>
      <w:r w:rsidR="00A55C32">
        <w:rPr>
          <w:sz w:val="26"/>
          <w:szCs w:val="26"/>
        </w:rPr>
        <w:t>l</w:t>
      </w:r>
      <w:r>
        <w:rPr>
          <w:sz w:val="26"/>
          <w:szCs w:val="26"/>
        </w:rPr>
        <w:t>th</w:t>
      </w:r>
      <w:proofErr w:type="spellEnd"/>
      <w:r>
        <w:rPr>
          <w:sz w:val="26"/>
          <w:szCs w:val="26"/>
        </w:rPr>
        <w:t>. 1978).  The Respondent was provided with adequate notice of the alleged violations against it and had the opportuni</w:t>
      </w:r>
      <w:r w:rsidR="00A55C32">
        <w:rPr>
          <w:sz w:val="26"/>
          <w:szCs w:val="26"/>
        </w:rPr>
        <w:t>t</w:t>
      </w:r>
      <w:r>
        <w:rPr>
          <w:sz w:val="26"/>
          <w:szCs w:val="26"/>
        </w:rPr>
        <w:t xml:space="preserve">y to respond and to request a hearing.  The Respondent was also clearly advised that if it did not file an Answer within twenty days, then I&amp;E would request that we issue an Order imposing the penalties set forth in the Complaint.  By not filing an Answer, the Respondent has admitted the allegations set forth in the Complaint.  </w:t>
      </w:r>
      <w:r w:rsidRPr="00293603">
        <w:rPr>
          <w:i/>
          <w:sz w:val="26"/>
          <w:szCs w:val="26"/>
        </w:rPr>
        <w:t>See Hickory Hollow Farms c/o Lamar Harnish v. Liberty Power Holdings LLC and United Energy Alliance LLC</w:t>
      </w:r>
      <w:r>
        <w:rPr>
          <w:sz w:val="26"/>
          <w:szCs w:val="26"/>
        </w:rPr>
        <w:t>, Docket No. C-2016-2559494 (Initial Decision issued July 5, 2017; Final Order entered August 31, 2017).</w:t>
      </w:r>
    </w:p>
    <w:p w14:paraId="16C2EFD8" w14:textId="77777777" w:rsidR="00FF5B31" w:rsidRDefault="00FF5B31" w:rsidP="00FF5B31">
      <w:pPr>
        <w:widowControl/>
        <w:spacing w:line="360" w:lineRule="auto"/>
        <w:rPr>
          <w:sz w:val="26"/>
          <w:szCs w:val="26"/>
        </w:rPr>
      </w:pPr>
    </w:p>
    <w:p w14:paraId="4F77DC8E" w14:textId="1B9D5064" w:rsidR="00FF5B31" w:rsidRDefault="00FF5B31" w:rsidP="00FF5B31">
      <w:pPr>
        <w:widowControl/>
        <w:spacing w:line="360" w:lineRule="auto"/>
        <w:rPr>
          <w:sz w:val="26"/>
          <w:szCs w:val="26"/>
        </w:rPr>
      </w:pPr>
      <w:r>
        <w:rPr>
          <w:sz w:val="26"/>
          <w:szCs w:val="26"/>
        </w:rPr>
        <w:tab/>
      </w:r>
      <w:r>
        <w:rPr>
          <w:sz w:val="26"/>
          <w:szCs w:val="26"/>
        </w:rPr>
        <w:tab/>
        <w:t xml:space="preserve">As set forth in the Complaint, </w:t>
      </w:r>
      <w:r w:rsidRPr="009250D3">
        <w:rPr>
          <w:sz w:val="26"/>
          <w:szCs w:val="26"/>
        </w:rPr>
        <w:t xml:space="preserve">the </w:t>
      </w:r>
      <w:r w:rsidR="00432752" w:rsidRPr="009250D3">
        <w:rPr>
          <w:sz w:val="26"/>
          <w:szCs w:val="26"/>
        </w:rPr>
        <w:t xml:space="preserve">Respondent </w:t>
      </w:r>
      <w:r w:rsidR="00432752">
        <w:rPr>
          <w:sz w:val="26"/>
          <w:szCs w:val="26"/>
        </w:rPr>
        <w:t>provided</w:t>
      </w:r>
      <w:r>
        <w:rPr>
          <w:sz w:val="26"/>
          <w:szCs w:val="26"/>
        </w:rPr>
        <w:t xml:space="preserve"> or furnished the transportation of household property between points within the Commonwealth by motor vehicle for compensations,</w:t>
      </w:r>
      <w:r w:rsidRPr="009250D3">
        <w:rPr>
          <w:sz w:val="26"/>
          <w:szCs w:val="26"/>
        </w:rPr>
        <w:t xml:space="preserve"> without a Certificate</w:t>
      </w:r>
      <w:r>
        <w:rPr>
          <w:sz w:val="26"/>
          <w:szCs w:val="26"/>
        </w:rPr>
        <w:t>,</w:t>
      </w:r>
      <w:r w:rsidRPr="009250D3">
        <w:rPr>
          <w:sz w:val="26"/>
          <w:szCs w:val="26"/>
        </w:rPr>
        <w:t xml:space="preserve"> in violation of Section </w:t>
      </w:r>
      <w:r>
        <w:rPr>
          <w:sz w:val="26"/>
          <w:szCs w:val="26"/>
        </w:rPr>
        <w:t>25</w:t>
      </w:r>
      <w:r w:rsidRPr="009250D3">
        <w:rPr>
          <w:sz w:val="26"/>
          <w:szCs w:val="26"/>
        </w:rPr>
        <w:t>0</w:t>
      </w:r>
      <w:r>
        <w:rPr>
          <w:sz w:val="26"/>
          <w:szCs w:val="26"/>
        </w:rPr>
        <w:t>3</w:t>
      </w:r>
      <w:r w:rsidRPr="009250D3">
        <w:rPr>
          <w:sz w:val="26"/>
          <w:szCs w:val="26"/>
        </w:rPr>
        <w:t xml:space="preserve"> of the Code</w:t>
      </w:r>
      <w:r>
        <w:rPr>
          <w:sz w:val="26"/>
          <w:szCs w:val="26"/>
        </w:rPr>
        <w:t>.</w:t>
      </w:r>
      <w:r w:rsidRPr="007E3C7C">
        <w:rPr>
          <w:sz w:val="26"/>
          <w:szCs w:val="26"/>
        </w:rPr>
        <w:t xml:space="preserve">  </w:t>
      </w:r>
      <w:r w:rsidRPr="00E21A2E">
        <w:rPr>
          <w:sz w:val="26"/>
          <w:szCs w:val="26"/>
        </w:rPr>
        <w:t>On September 25, 2018</w:t>
      </w:r>
      <w:r>
        <w:rPr>
          <w:sz w:val="26"/>
          <w:szCs w:val="26"/>
        </w:rPr>
        <w:t xml:space="preserve">, </w:t>
      </w:r>
      <w:r w:rsidR="00C25D35">
        <w:rPr>
          <w:sz w:val="26"/>
          <w:szCs w:val="26"/>
        </w:rPr>
        <w:t xml:space="preserve">the </w:t>
      </w:r>
      <w:r>
        <w:rPr>
          <w:sz w:val="26"/>
          <w:szCs w:val="26"/>
        </w:rPr>
        <w:t xml:space="preserve">Respondent was </w:t>
      </w:r>
      <w:r w:rsidRPr="00E21A2E">
        <w:rPr>
          <w:sz w:val="26"/>
          <w:szCs w:val="26"/>
        </w:rPr>
        <w:t xml:space="preserve">issued a cease and desist letter advising that it was operating without a </w:t>
      </w:r>
      <w:r w:rsidR="00432752">
        <w:rPr>
          <w:sz w:val="26"/>
          <w:szCs w:val="26"/>
        </w:rPr>
        <w:t>C</w:t>
      </w:r>
      <w:r w:rsidR="00432752" w:rsidRPr="00E21A2E">
        <w:rPr>
          <w:sz w:val="26"/>
          <w:szCs w:val="26"/>
        </w:rPr>
        <w:t>ertificate.</w:t>
      </w:r>
      <w:r w:rsidRPr="00E21A2E">
        <w:rPr>
          <w:sz w:val="26"/>
          <w:szCs w:val="26"/>
        </w:rPr>
        <w:t xml:space="preserve"> </w:t>
      </w:r>
      <w:r>
        <w:rPr>
          <w:sz w:val="26"/>
          <w:szCs w:val="26"/>
        </w:rPr>
        <w:t xml:space="preserve"> </w:t>
      </w:r>
      <w:r w:rsidRPr="00E21A2E">
        <w:rPr>
          <w:sz w:val="26"/>
          <w:szCs w:val="26"/>
        </w:rPr>
        <w:t xml:space="preserve">The </w:t>
      </w:r>
      <w:r>
        <w:rPr>
          <w:sz w:val="26"/>
          <w:szCs w:val="26"/>
        </w:rPr>
        <w:t>R</w:t>
      </w:r>
      <w:r w:rsidRPr="00E21A2E">
        <w:rPr>
          <w:sz w:val="26"/>
          <w:szCs w:val="26"/>
        </w:rPr>
        <w:t>espondent arrived at the agreed</w:t>
      </w:r>
      <w:r w:rsidR="007D10A9">
        <w:rPr>
          <w:sz w:val="26"/>
          <w:szCs w:val="26"/>
        </w:rPr>
        <w:t>-</w:t>
      </w:r>
      <w:r w:rsidRPr="00E21A2E">
        <w:rPr>
          <w:sz w:val="26"/>
          <w:szCs w:val="26"/>
        </w:rPr>
        <w:t xml:space="preserve">upon meeting location in Cheswick in a vehicle </w:t>
      </w:r>
      <w:r>
        <w:rPr>
          <w:sz w:val="26"/>
          <w:szCs w:val="26"/>
        </w:rPr>
        <w:t>and was met by</w:t>
      </w:r>
      <w:r w:rsidR="00EB1309">
        <w:rPr>
          <w:sz w:val="26"/>
          <w:szCs w:val="26"/>
        </w:rPr>
        <w:t xml:space="preserve"> </w:t>
      </w:r>
      <w:r w:rsidRPr="00E21A2E">
        <w:rPr>
          <w:sz w:val="26"/>
          <w:szCs w:val="26"/>
        </w:rPr>
        <w:t>Enforcement Officer</w:t>
      </w:r>
      <w:r>
        <w:rPr>
          <w:sz w:val="26"/>
          <w:szCs w:val="26"/>
        </w:rPr>
        <w:t xml:space="preserve">, </w:t>
      </w:r>
      <w:r w:rsidR="007D10A9">
        <w:rPr>
          <w:sz w:val="26"/>
          <w:szCs w:val="26"/>
        </w:rPr>
        <w:t>Ms.</w:t>
      </w:r>
      <w:r>
        <w:rPr>
          <w:sz w:val="26"/>
          <w:szCs w:val="26"/>
        </w:rPr>
        <w:t xml:space="preserve"> Hawthorne, and two men,</w:t>
      </w:r>
      <w:r w:rsidRPr="00E21A2E">
        <w:rPr>
          <w:sz w:val="26"/>
          <w:szCs w:val="26"/>
        </w:rPr>
        <w:t xml:space="preserve"> Dana Lee Tweddle and Tyler Joseph Snyder</w:t>
      </w:r>
      <w:r>
        <w:rPr>
          <w:sz w:val="26"/>
          <w:szCs w:val="26"/>
        </w:rPr>
        <w:t>.  Both</w:t>
      </w:r>
      <w:r w:rsidRPr="00E21A2E">
        <w:rPr>
          <w:sz w:val="26"/>
          <w:szCs w:val="26"/>
        </w:rPr>
        <w:t xml:space="preserve"> men in the truck identified themselves </w:t>
      </w:r>
      <w:r>
        <w:rPr>
          <w:sz w:val="26"/>
          <w:szCs w:val="26"/>
        </w:rPr>
        <w:t xml:space="preserve">and admitted they worked for </w:t>
      </w:r>
      <w:r w:rsidR="007D10A9">
        <w:rPr>
          <w:sz w:val="26"/>
          <w:szCs w:val="26"/>
        </w:rPr>
        <w:t xml:space="preserve">the </w:t>
      </w:r>
      <w:r>
        <w:rPr>
          <w:sz w:val="26"/>
          <w:szCs w:val="26"/>
        </w:rPr>
        <w:t xml:space="preserve">Respondent.  </w:t>
      </w:r>
      <w:r w:rsidRPr="00E21A2E">
        <w:rPr>
          <w:sz w:val="26"/>
          <w:szCs w:val="26"/>
        </w:rPr>
        <w:t>Mr. Hendricks</w:t>
      </w:r>
      <w:r>
        <w:rPr>
          <w:sz w:val="26"/>
          <w:szCs w:val="26"/>
        </w:rPr>
        <w:t>,</w:t>
      </w:r>
      <w:r w:rsidRPr="00E21A2E">
        <w:rPr>
          <w:sz w:val="26"/>
          <w:szCs w:val="26"/>
        </w:rPr>
        <w:t xml:space="preserve"> the owner of Calypso </w:t>
      </w:r>
      <w:r>
        <w:rPr>
          <w:sz w:val="26"/>
          <w:szCs w:val="26"/>
        </w:rPr>
        <w:t>M</w:t>
      </w:r>
      <w:r w:rsidRPr="00E21A2E">
        <w:rPr>
          <w:sz w:val="26"/>
          <w:szCs w:val="26"/>
        </w:rPr>
        <w:t>oving</w:t>
      </w:r>
      <w:r>
        <w:rPr>
          <w:sz w:val="26"/>
          <w:szCs w:val="26"/>
        </w:rPr>
        <w:t>, arrived at the meeting location and</w:t>
      </w:r>
      <w:r w:rsidRPr="00E21A2E">
        <w:rPr>
          <w:sz w:val="26"/>
          <w:szCs w:val="26"/>
        </w:rPr>
        <w:t xml:space="preserve"> identified himself </w:t>
      </w:r>
      <w:r>
        <w:rPr>
          <w:sz w:val="26"/>
          <w:szCs w:val="26"/>
        </w:rPr>
        <w:t xml:space="preserve">to Ms. Hawthorne.  </w:t>
      </w:r>
    </w:p>
    <w:p w14:paraId="44550F13" w14:textId="77777777" w:rsidR="00FF5B31" w:rsidRDefault="00FF5B31" w:rsidP="00FF5B31">
      <w:pPr>
        <w:widowControl/>
        <w:spacing w:line="360" w:lineRule="auto"/>
        <w:rPr>
          <w:sz w:val="26"/>
          <w:szCs w:val="26"/>
        </w:rPr>
      </w:pPr>
    </w:p>
    <w:p w14:paraId="0E301D6D" w14:textId="53F8D5EB" w:rsidR="00FF5B31" w:rsidRDefault="00FF5B31" w:rsidP="00FF5B31">
      <w:pPr>
        <w:widowControl/>
        <w:spacing w:line="360" w:lineRule="auto"/>
        <w:rPr>
          <w:sz w:val="26"/>
          <w:szCs w:val="26"/>
        </w:rPr>
      </w:pPr>
      <w:r>
        <w:rPr>
          <w:sz w:val="26"/>
          <w:szCs w:val="26"/>
        </w:rPr>
        <w:tab/>
      </w:r>
      <w:r>
        <w:rPr>
          <w:sz w:val="26"/>
          <w:szCs w:val="26"/>
        </w:rPr>
        <w:tab/>
      </w:r>
      <w:r w:rsidRPr="00A77B8C">
        <w:rPr>
          <w:sz w:val="26"/>
          <w:szCs w:val="26"/>
        </w:rPr>
        <w:t xml:space="preserve">Because we have found that the </w:t>
      </w:r>
      <w:r>
        <w:rPr>
          <w:sz w:val="26"/>
          <w:szCs w:val="26"/>
        </w:rPr>
        <w:t xml:space="preserve">Respondent held itself out to provide or furnish the transportation of household property between points within the Commonwealth by motor vehicle for compensation </w:t>
      </w:r>
      <w:r w:rsidRPr="00A77B8C">
        <w:rPr>
          <w:sz w:val="26"/>
          <w:szCs w:val="26"/>
        </w:rPr>
        <w:t>without a Certificate</w:t>
      </w:r>
      <w:r w:rsidR="007D10A9">
        <w:rPr>
          <w:sz w:val="26"/>
          <w:szCs w:val="26"/>
        </w:rPr>
        <w:t>,</w:t>
      </w:r>
      <w:r w:rsidRPr="00A77B8C">
        <w:rPr>
          <w:sz w:val="26"/>
          <w:szCs w:val="26"/>
        </w:rPr>
        <w:t xml:space="preserve"> in violation of Section </w:t>
      </w:r>
      <w:r>
        <w:rPr>
          <w:sz w:val="26"/>
          <w:szCs w:val="26"/>
        </w:rPr>
        <w:t>25</w:t>
      </w:r>
      <w:r w:rsidRPr="00A77B8C">
        <w:rPr>
          <w:sz w:val="26"/>
          <w:szCs w:val="26"/>
        </w:rPr>
        <w:t>0</w:t>
      </w:r>
      <w:r>
        <w:rPr>
          <w:sz w:val="26"/>
          <w:szCs w:val="26"/>
        </w:rPr>
        <w:t>3</w:t>
      </w:r>
      <w:r w:rsidRPr="00A77B8C">
        <w:rPr>
          <w:sz w:val="26"/>
          <w:szCs w:val="26"/>
        </w:rPr>
        <w:t xml:space="preserve"> </w:t>
      </w:r>
      <w:r>
        <w:rPr>
          <w:sz w:val="26"/>
          <w:szCs w:val="26"/>
        </w:rPr>
        <w:t xml:space="preserve">(1) &amp; (2) </w:t>
      </w:r>
      <w:r w:rsidRPr="00A77B8C">
        <w:rPr>
          <w:sz w:val="26"/>
          <w:szCs w:val="26"/>
        </w:rPr>
        <w:t>of the Code</w:t>
      </w:r>
      <w:r w:rsidR="007D10A9">
        <w:rPr>
          <w:sz w:val="26"/>
          <w:szCs w:val="26"/>
        </w:rPr>
        <w:t>,</w:t>
      </w:r>
      <w:r w:rsidRPr="00A77B8C">
        <w:rPr>
          <w:sz w:val="26"/>
          <w:szCs w:val="26"/>
        </w:rPr>
        <w:t xml:space="preserve"> we must now determine whether the $</w:t>
      </w:r>
      <w:r>
        <w:rPr>
          <w:sz w:val="26"/>
          <w:szCs w:val="26"/>
        </w:rPr>
        <w:t>5</w:t>
      </w:r>
      <w:r w:rsidRPr="00A77B8C">
        <w:rPr>
          <w:sz w:val="26"/>
          <w:szCs w:val="26"/>
        </w:rPr>
        <w:t xml:space="preserve">,000 </w:t>
      </w:r>
      <w:r>
        <w:rPr>
          <w:sz w:val="26"/>
          <w:szCs w:val="26"/>
        </w:rPr>
        <w:t xml:space="preserve">statutorily mandated administrative </w:t>
      </w:r>
      <w:r w:rsidRPr="00A77B8C">
        <w:rPr>
          <w:sz w:val="26"/>
          <w:szCs w:val="26"/>
        </w:rPr>
        <w:t>penalty</w:t>
      </w:r>
      <w:r>
        <w:rPr>
          <w:sz w:val="26"/>
          <w:szCs w:val="26"/>
        </w:rPr>
        <w:t xml:space="preserve"> and referring</w:t>
      </w:r>
      <w:r w:rsidRPr="00A77B8C">
        <w:rPr>
          <w:sz w:val="26"/>
          <w:szCs w:val="26"/>
        </w:rPr>
        <w:t xml:space="preserve"> </w:t>
      </w:r>
      <w:r>
        <w:rPr>
          <w:sz w:val="26"/>
          <w:szCs w:val="26"/>
        </w:rPr>
        <w:t xml:space="preserve">this matter to the Attorney General for collection, </w:t>
      </w:r>
      <w:r w:rsidRPr="00A77B8C">
        <w:rPr>
          <w:sz w:val="26"/>
          <w:szCs w:val="26"/>
        </w:rPr>
        <w:t xml:space="preserve">requested by I&amp;E for such violations, is appropriate.  </w:t>
      </w:r>
    </w:p>
    <w:p w14:paraId="66E5AA0C" w14:textId="77777777" w:rsidR="00FF5B31" w:rsidRPr="000E65B0" w:rsidRDefault="00FF5B31" w:rsidP="00C505A2">
      <w:pPr>
        <w:widowControl/>
        <w:spacing w:line="360" w:lineRule="auto"/>
        <w:rPr>
          <w:sz w:val="26"/>
          <w:szCs w:val="26"/>
        </w:rPr>
      </w:pPr>
    </w:p>
    <w:p w14:paraId="13B98B31" w14:textId="4F0F726B" w:rsidR="001847E8" w:rsidRDefault="00440CA1" w:rsidP="001847E8">
      <w:pPr>
        <w:widowControl/>
        <w:spacing w:line="360" w:lineRule="auto"/>
        <w:ind w:firstLine="1440"/>
        <w:rPr>
          <w:sz w:val="26"/>
          <w:szCs w:val="26"/>
        </w:rPr>
      </w:pPr>
      <w:r>
        <w:rPr>
          <w:sz w:val="26"/>
          <w:szCs w:val="26"/>
        </w:rPr>
        <w:lastRenderedPageBreak/>
        <w:t>By failing to file a response to I&amp;E’s Complaint, the Commission may deem admitted all of the allegations raised in the Complaint.  The allegations include, but are not limited to the following: (1) that the Respondent holds itself out to be a household goods carrier, but lacks Commission authority to provide or furnish transportation of household property for compensation within the Commonwealth as a common carrier by motor vehicle or a contract carrier by motor vehicle, pursuant to Sections 102 and 2501(b)(1) of the Code; (2) that Section 501(a) of the Code, 66 Pa.</w:t>
      </w:r>
      <w:r w:rsidR="00C25D35">
        <w:rPr>
          <w:sz w:val="26"/>
          <w:szCs w:val="26"/>
        </w:rPr>
        <w:t xml:space="preserve"> </w:t>
      </w:r>
      <w:r>
        <w:rPr>
          <w:sz w:val="26"/>
          <w:szCs w:val="26"/>
        </w:rPr>
        <w:t xml:space="preserve">C.S. § 501(a), authorizes and obligates the Commission to execute and enforce the provisions of the Code; (3) that </w:t>
      </w:r>
      <w:r w:rsidR="008C12E4">
        <w:rPr>
          <w:sz w:val="26"/>
          <w:szCs w:val="26"/>
        </w:rPr>
        <w:t>Section 701 of the Code, 66 Pa.</w:t>
      </w:r>
      <w:r w:rsidR="00C25D35">
        <w:rPr>
          <w:sz w:val="26"/>
          <w:szCs w:val="26"/>
        </w:rPr>
        <w:t xml:space="preserve"> </w:t>
      </w:r>
      <w:r>
        <w:rPr>
          <w:sz w:val="26"/>
          <w:szCs w:val="26"/>
        </w:rPr>
        <w:t xml:space="preserve">C.S. § 701, authorizes the Commission, </w:t>
      </w:r>
      <w:r>
        <w:rPr>
          <w:i/>
          <w:iCs/>
          <w:sz w:val="26"/>
          <w:szCs w:val="26"/>
        </w:rPr>
        <w:t xml:space="preserve">inter alia, </w:t>
      </w:r>
      <w:r>
        <w:rPr>
          <w:sz w:val="26"/>
          <w:szCs w:val="26"/>
        </w:rPr>
        <w:t>to hear and determine complaints against public utilities or companies holding themselves out to be a public utility for violations of any law or regulation that the Commission has jurisdiction to administer or enforce; and (4) pursuant to Section 3310(b) of the Code, 66 Pa.</w:t>
      </w:r>
      <w:r w:rsidR="00C25D35">
        <w:rPr>
          <w:sz w:val="26"/>
          <w:szCs w:val="26"/>
        </w:rPr>
        <w:t xml:space="preserve"> </w:t>
      </w:r>
      <w:r>
        <w:rPr>
          <w:sz w:val="26"/>
          <w:szCs w:val="26"/>
        </w:rPr>
        <w:t>C.S. § 3310(b), any unauthorized contract common carrier transporting household goods by motor vehicle shall be deemed in violation of this title and shall be ordered to pay an administrative penalty as prescribed in Section 3310(c).  Section 3310(c) of the Code specifically provides that a penalty of $5,000, be imposed for a first violation of this section.</w:t>
      </w:r>
      <w:r>
        <w:rPr>
          <w:rStyle w:val="FootnoteReference"/>
          <w:sz w:val="26"/>
          <w:szCs w:val="26"/>
        </w:rPr>
        <w:footnoteReference w:id="10"/>
      </w:r>
      <w:r w:rsidR="001847E8">
        <w:rPr>
          <w:sz w:val="26"/>
          <w:szCs w:val="26"/>
        </w:rPr>
        <w:t xml:space="preserve">  </w:t>
      </w:r>
      <w:r w:rsidR="001847E8" w:rsidRPr="00EB1309">
        <w:rPr>
          <w:sz w:val="26"/>
          <w:szCs w:val="26"/>
        </w:rPr>
        <w:t>Based on these allegations which we deem to be admitted</w:t>
      </w:r>
      <w:r w:rsidR="001847E8">
        <w:rPr>
          <w:sz w:val="26"/>
          <w:szCs w:val="26"/>
        </w:rPr>
        <w:t xml:space="preserve"> and under the circumstances in this case, we find that it is appropriate to grant the Motion and sustain the Complaint.</w:t>
      </w:r>
    </w:p>
    <w:p w14:paraId="501DA1CE" w14:textId="77777777" w:rsidR="00440CA1" w:rsidRDefault="00440CA1" w:rsidP="00440CA1">
      <w:pPr>
        <w:widowControl/>
        <w:autoSpaceDE w:val="0"/>
        <w:autoSpaceDN w:val="0"/>
        <w:adjustRightInd w:val="0"/>
        <w:spacing w:line="360" w:lineRule="auto"/>
        <w:ind w:firstLine="1440"/>
        <w:rPr>
          <w:sz w:val="26"/>
          <w:szCs w:val="26"/>
        </w:rPr>
      </w:pPr>
    </w:p>
    <w:p w14:paraId="1BD52EDC" w14:textId="1EA55315" w:rsidR="00440CA1" w:rsidRDefault="00440CA1" w:rsidP="00440CA1">
      <w:pPr>
        <w:keepNext/>
        <w:widowControl/>
        <w:spacing w:line="360" w:lineRule="auto"/>
        <w:ind w:firstLine="1440"/>
        <w:rPr>
          <w:sz w:val="26"/>
          <w:szCs w:val="26"/>
        </w:rPr>
      </w:pPr>
      <w:r>
        <w:rPr>
          <w:sz w:val="26"/>
          <w:szCs w:val="26"/>
        </w:rPr>
        <w:lastRenderedPageBreak/>
        <w:t>The Code defines “Contract carrier by motor vehicle” to include a person or corporation that transports passengers or property, between points within the Commonwealth by motor vehicle for compensation.  66 Pa.</w:t>
      </w:r>
      <w:r w:rsidR="00C25D35">
        <w:rPr>
          <w:sz w:val="26"/>
          <w:szCs w:val="26"/>
        </w:rPr>
        <w:t xml:space="preserve"> </w:t>
      </w:r>
      <w:r>
        <w:rPr>
          <w:sz w:val="26"/>
          <w:szCs w:val="26"/>
        </w:rPr>
        <w:t>C.S. § 2501.  Section 2501(b)(1)(ii) of the Code, defines a Contract carrier by motor vehicle as follows:</w:t>
      </w:r>
    </w:p>
    <w:p w14:paraId="5C736B49" w14:textId="77777777" w:rsidR="00440CA1" w:rsidRDefault="00440CA1" w:rsidP="00440CA1">
      <w:pPr>
        <w:widowControl/>
        <w:ind w:left="1440" w:right="1440"/>
        <w:rPr>
          <w:sz w:val="26"/>
          <w:szCs w:val="24"/>
        </w:rPr>
      </w:pPr>
    </w:p>
    <w:p w14:paraId="52E7C6A8" w14:textId="77777777" w:rsidR="00440CA1" w:rsidRDefault="00440CA1" w:rsidP="00440CA1">
      <w:pPr>
        <w:widowControl/>
        <w:ind w:left="1440" w:right="1440"/>
        <w:rPr>
          <w:sz w:val="26"/>
          <w:szCs w:val="24"/>
        </w:rPr>
      </w:pPr>
      <w:r>
        <w:rPr>
          <w:sz w:val="26"/>
          <w:szCs w:val="24"/>
        </w:rPr>
        <w:t xml:space="preserve">Any person or corporation that holds itself out to provide or furnish transportation of household property between residential dwellings within this Commonwealth by motor vehicle for compensation, owns or operates the motor vehicle and provides or furnishes a driver of the motor vehicle with the transportation or use of the transportation. </w:t>
      </w:r>
    </w:p>
    <w:p w14:paraId="20BCED88" w14:textId="77777777" w:rsidR="00440CA1" w:rsidRDefault="00440CA1" w:rsidP="00440CA1">
      <w:pPr>
        <w:widowControl/>
        <w:spacing w:line="360" w:lineRule="auto"/>
        <w:rPr>
          <w:sz w:val="26"/>
          <w:szCs w:val="26"/>
        </w:rPr>
      </w:pPr>
    </w:p>
    <w:p w14:paraId="0AF12D5C" w14:textId="400D1D1C" w:rsidR="00440CA1" w:rsidRDefault="008C12E4" w:rsidP="002068D2">
      <w:pPr>
        <w:keepNext/>
        <w:widowControl/>
        <w:spacing w:line="360" w:lineRule="auto"/>
        <w:rPr>
          <w:sz w:val="26"/>
          <w:szCs w:val="26"/>
        </w:rPr>
      </w:pPr>
      <w:r>
        <w:rPr>
          <w:sz w:val="26"/>
          <w:szCs w:val="26"/>
        </w:rPr>
        <w:t>66 Pa.</w:t>
      </w:r>
      <w:r w:rsidR="004F727E">
        <w:rPr>
          <w:sz w:val="26"/>
          <w:szCs w:val="26"/>
        </w:rPr>
        <w:t xml:space="preserve"> </w:t>
      </w:r>
      <w:r w:rsidR="00440CA1">
        <w:rPr>
          <w:sz w:val="26"/>
          <w:szCs w:val="26"/>
        </w:rPr>
        <w:t>C.S. § 2501(b)(1)(ii).</w:t>
      </w:r>
    </w:p>
    <w:p w14:paraId="6165E9AD" w14:textId="77777777" w:rsidR="00440CA1" w:rsidRDefault="00440CA1" w:rsidP="002068D2">
      <w:pPr>
        <w:widowControl/>
        <w:autoSpaceDE w:val="0"/>
        <w:autoSpaceDN w:val="0"/>
        <w:adjustRightInd w:val="0"/>
        <w:spacing w:line="360" w:lineRule="auto"/>
        <w:rPr>
          <w:sz w:val="26"/>
          <w:szCs w:val="26"/>
        </w:rPr>
      </w:pPr>
    </w:p>
    <w:p w14:paraId="1DC28816" w14:textId="22950601" w:rsidR="00440CA1" w:rsidRDefault="00440CA1" w:rsidP="002068D2">
      <w:pPr>
        <w:keepNext/>
        <w:widowControl/>
        <w:spacing w:line="360" w:lineRule="auto"/>
        <w:ind w:firstLine="1440"/>
        <w:rPr>
          <w:sz w:val="26"/>
          <w:szCs w:val="26"/>
        </w:rPr>
      </w:pPr>
      <w:r>
        <w:rPr>
          <w:color w:val="212121"/>
          <w:sz w:val="26"/>
          <w:szCs w:val="26"/>
          <w:lang w:val="en"/>
        </w:rPr>
        <w:t>No person or corporation shall render service as a contract carrier by motor vehicle unless there is in force with respect to such carrier a permit issued by the commission, authorizing such person or corporation to engage in such business.</w:t>
      </w:r>
      <w:r>
        <w:rPr>
          <w:sz w:val="26"/>
          <w:szCs w:val="26"/>
        </w:rPr>
        <w:t xml:space="preserve">  </w:t>
      </w:r>
      <w:r>
        <w:rPr>
          <w:i/>
          <w:sz w:val="26"/>
          <w:szCs w:val="26"/>
        </w:rPr>
        <w:t>See</w:t>
      </w:r>
      <w:r>
        <w:rPr>
          <w:iCs/>
          <w:sz w:val="26"/>
          <w:szCs w:val="26"/>
        </w:rPr>
        <w:t>,</w:t>
      </w:r>
      <w:r w:rsidR="008C12E4">
        <w:rPr>
          <w:sz w:val="26"/>
          <w:szCs w:val="26"/>
        </w:rPr>
        <w:t xml:space="preserve"> 66</w:t>
      </w:r>
      <w:r w:rsidR="002068D2">
        <w:rPr>
          <w:sz w:val="26"/>
          <w:szCs w:val="26"/>
        </w:rPr>
        <w:t> </w:t>
      </w:r>
      <w:r w:rsidR="008C12E4">
        <w:rPr>
          <w:sz w:val="26"/>
          <w:szCs w:val="26"/>
        </w:rPr>
        <w:t>Pa.</w:t>
      </w:r>
      <w:r w:rsidR="004F727E">
        <w:rPr>
          <w:sz w:val="26"/>
          <w:szCs w:val="26"/>
        </w:rPr>
        <w:t xml:space="preserve"> </w:t>
      </w:r>
      <w:r>
        <w:rPr>
          <w:sz w:val="26"/>
          <w:szCs w:val="26"/>
        </w:rPr>
        <w:t xml:space="preserve">C.S. § 2503(a)(1).  </w:t>
      </w:r>
    </w:p>
    <w:p w14:paraId="4AEB7F98" w14:textId="77777777" w:rsidR="00440CA1" w:rsidRDefault="00440CA1" w:rsidP="00440CA1">
      <w:pPr>
        <w:widowControl/>
        <w:spacing w:line="360" w:lineRule="auto"/>
        <w:rPr>
          <w:sz w:val="26"/>
          <w:szCs w:val="26"/>
        </w:rPr>
      </w:pPr>
    </w:p>
    <w:p w14:paraId="478ACE9F" w14:textId="77777777" w:rsidR="00440CA1" w:rsidRDefault="00440CA1" w:rsidP="00440CA1">
      <w:pPr>
        <w:widowControl/>
        <w:spacing w:line="360" w:lineRule="auto"/>
        <w:rPr>
          <w:sz w:val="26"/>
          <w:szCs w:val="26"/>
        </w:rPr>
      </w:pPr>
      <w:r>
        <w:rPr>
          <w:sz w:val="26"/>
          <w:szCs w:val="26"/>
        </w:rPr>
        <w:tab/>
      </w:r>
      <w:r>
        <w:rPr>
          <w:sz w:val="26"/>
          <w:szCs w:val="26"/>
        </w:rPr>
        <w:tab/>
        <w:t>As set forth in the Complaint and as deemed admitted by failing to file an Answer</w:t>
      </w:r>
      <w:r w:rsidR="007D10A9">
        <w:rPr>
          <w:sz w:val="26"/>
          <w:szCs w:val="26"/>
        </w:rPr>
        <w:t xml:space="preserve"> to the Complaint</w:t>
      </w:r>
      <w:r>
        <w:rPr>
          <w:sz w:val="26"/>
          <w:szCs w:val="26"/>
        </w:rPr>
        <w:t>, the Respondent provided or furnished the transportation of household property between points within the Commonwealth by motor vehicle for compensations, without a Certificate, in violation of the Code.</w:t>
      </w:r>
      <w:r w:rsidR="009001F3">
        <w:rPr>
          <w:rStyle w:val="FootnoteReference"/>
          <w:sz w:val="26"/>
          <w:szCs w:val="26"/>
        </w:rPr>
        <w:footnoteReference w:id="11"/>
      </w:r>
      <w:r>
        <w:rPr>
          <w:sz w:val="26"/>
          <w:szCs w:val="26"/>
        </w:rPr>
        <w:t xml:space="preserve"> </w:t>
      </w:r>
    </w:p>
    <w:p w14:paraId="4380E23C" w14:textId="6CF08DB9" w:rsidR="00440CA1" w:rsidRDefault="00440CA1" w:rsidP="00440CA1">
      <w:pPr>
        <w:widowControl/>
        <w:spacing w:line="360" w:lineRule="auto"/>
        <w:ind w:firstLine="1440"/>
        <w:rPr>
          <w:sz w:val="26"/>
          <w:szCs w:val="26"/>
        </w:rPr>
      </w:pPr>
      <w:r>
        <w:rPr>
          <w:sz w:val="26"/>
          <w:szCs w:val="26"/>
        </w:rPr>
        <w:lastRenderedPageBreak/>
        <w:t>Furthermore, pursuant to I&amp;E’s allegation, by providing or furnishing the transportation of household property between points within the Commonwealth by motor vehicle for compensation, the Respondent is subject to the power and authority of this Commission pursuant to Section 501(c) of the Code, 66 Pa.</w:t>
      </w:r>
      <w:r w:rsidR="004F727E">
        <w:rPr>
          <w:sz w:val="26"/>
          <w:szCs w:val="26"/>
        </w:rPr>
        <w:t xml:space="preserve"> </w:t>
      </w:r>
      <w:r>
        <w:rPr>
          <w:sz w:val="26"/>
          <w:szCs w:val="26"/>
        </w:rPr>
        <w:t>C.S. § 501(c), which requires a public utility to comply with Commission Regulations and Orders.  Consequently, the Respondent is subject to Sect</w:t>
      </w:r>
      <w:r w:rsidR="00145223">
        <w:rPr>
          <w:sz w:val="26"/>
          <w:szCs w:val="26"/>
        </w:rPr>
        <w:t>ion 3310(b) of the Code, 66 Pa.</w:t>
      </w:r>
      <w:r w:rsidR="004F727E">
        <w:rPr>
          <w:sz w:val="26"/>
          <w:szCs w:val="26"/>
        </w:rPr>
        <w:t xml:space="preserve"> </w:t>
      </w:r>
      <w:r>
        <w:rPr>
          <w:sz w:val="26"/>
          <w:szCs w:val="26"/>
        </w:rPr>
        <w:t>C.S. § 3310(b), and the corresponding penalty promulgated under Section 3310(c) of the Code, 66 Pa.</w:t>
      </w:r>
      <w:r w:rsidR="004F727E">
        <w:rPr>
          <w:sz w:val="26"/>
          <w:szCs w:val="26"/>
        </w:rPr>
        <w:t xml:space="preserve"> </w:t>
      </w:r>
      <w:r>
        <w:rPr>
          <w:sz w:val="26"/>
          <w:szCs w:val="26"/>
        </w:rPr>
        <w:t>C.S. § 3310(c).</w:t>
      </w:r>
    </w:p>
    <w:p w14:paraId="4273F47C" w14:textId="77777777" w:rsidR="00440CA1" w:rsidRDefault="00440CA1" w:rsidP="00440CA1">
      <w:pPr>
        <w:widowControl/>
        <w:spacing w:line="360" w:lineRule="auto"/>
        <w:ind w:firstLine="1440"/>
        <w:rPr>
          <w:sz w:val="26"/>
          <w:szCs w:val="26"/>
        </w:rPr>
      </w:pPr>
    </w:p>
    <w:p w14:paraId="757706F8" w14:textId="4E53EE60" w:rsidR="00440CA1" w:rsidRDefault="00440CA1" w:rsidP="00440CA1">
      <w:pPr>
        <w:widowControl/>
        <w:shd w:val="clear" w:color="auto" w:fill="FFFFFF"/>
        <w:spacing w:line="360" w:lineRule="auto"/>
        <w:ind w:firstLine="1440"/>
        <w:rPr>
          <w:color w:val="212121"/>
          <w:sz w:val="26"/>
          <w:szCs w:val="26"/>
          <w:lang w:val="en"/>
        </w:rPr>
      </w:pPr>
      <w:r>
        <w:rPr>
          <w:sz w:val="26"/>
          <w:szCs w:val="26"/>
        </w:rPr>
        <w:t xml:space="preserve">Pursuant to the Code, </w:t>
      </w:r>
      <w:r>
        <w:rPr>
          <w:color w:val="212121"/>
          <w:sz w:val="26"/>
          <w:szCs w:val="26"/>
          <w:lang w:val="en"/>
        </w:rPr>
        <w:t xml:space="preserve">any person or corporation operating as a common carrier under the definition of “common carrier by motor vehicle” in Section 102(2)(ii) (relating to definitions) or contract carrier by motor vehicle under of the definition of “contract carrier by motor vehicle” in Section 2501(b)(1)(ii) (relating to declaration of policy and definitions) in violation of this title, shall be ordered to pay an administrative penalty as prescribed in subsection (c).  </w:t>
      </w:r>
      <w:r>
        <w:rPr>
          <w:i/>
          <w:color w:val="212121"/>
          <w:sz w:val="26"/>
          <w:szCs w:val="26"/>
          <w:lang w:val="en"/>
        </w:rPr>
        <w:t>See</w:t>
      </w:r>
      <w:r>
        <w:rPr>
          <w:color w:val="212121"/>
          <w:sz w:val="26"/>
          <w:szCs w:val="26"/>
          <w:lang w:val="en"/>
        </w:rPr>
        <w:t>, 66 Pa.</w:t>
      </w:r>
      <w:r w:rsidR="004F727E">
        <w:rPr>
          <w:color w:val="212121"/>
          <w:sz w:val="26"/>
          <w:szCs w:val="26"/>
          <w:lang w:val="en"/>
        </w:rPr>
        <w:t xml:space="preserve"> </w:t>
      </w:r>
      <w:r>
        <w:rPr>
          <w:color w:val="212121"/>
          <w:sz w:val="26"/>
          <w:szCs w:val="26"/>
          <w:lang w:val="en"/>
        </w:rPr>
        <w:t>C.S. § 3310(b).  Section 3310(c) states as follows:</w:t>
      </w:r>
    </w:p>
    <w:p w14:paraId="725354B2" w14:textId="77777777" w:rsidR="00440CA1" w:rsidRDefault="00440CA1" w:rsidP="00440CA1">
      <w:pPr>
        <w:widowControl/>
        <w:shd w:val="clear" w:color="auto" w:fill="FFFFFF"/>
        <w:spacing w:line="288" w:lineRule="atLeast"/>
        <w:rPr>
          <w:color w:val="212121"/>
          <w:sz w:val="26"/>
          <w:szCs w:val="26"/>
          <w:lang w:val="en"/>
        </w:rPr>
      </w:pPr>
    </w:p>
    <w:p w14:paraId="01E53391" w14:textId="4D00679B" w:rsidR="00440CA1" w:rsidRDefault="00440CA1" w:rsidP="00440CA1">
      <w:pPr>
        <w:keepNext/>
        <w:keepLines/>
        <w:widowControl/>
        <w:shd w:val="clear" w:color="auto" w:fill="FFFFFF"/>
        <w:spacing w:line="288" w:lineRule="atLeast"/>
        <w:ind w:right="1440" w:firstLine="1440"/>
        <w:rPr>
          <w:b/>
          <w:bCs/>
          <w:color w:val="212121"/>
          <w:sz w:val="26"/>
          <w:szCs w:val="26"/>
          <w:lang w:val="en"/>
        </w:rPr>
      </w:pPr>
      <w:r>
        <w:rPr>
          <w:b/>
          <w:bCs/>
          <w:color w:val="212121"/>
          <w:sz w:val="26"/>
          <w:szCs w:val="26"/>
          <w:lang w:val="en"/>
        </w:rPr>
        <w:t>c.</w:t>
      </w:r>
      <w:r>
        <w:rPr>
          <w:b/>
          <w:bCs/>
          <w:color w:val="212121"/>
          <w:sz w:val="26"/>
          <w:szCs w:val="26"/>
          <w:lang w:val="en"/>
        </w:rPr>
        <w:tab/>
      </w:r>
      <w:r w:rsidR="00EB1309">
        <w:rPr>
          <w:b/>
          <w:bCs/>
          <w:color w:val="212121"/>
          <w:sz w:val="26"/>
          <w:szCs w:val="26"/>
          <w:lang w:val="en"/>
        </w:rPr>
        <w:t>Penalties.</w:t>
      </w:r>
    </w:p>
    <w:p w14:paraId="50F801BD" w14:textId="77777777" w:rsidR="00440CA1" w:rsidRDefault="00440CA1" w:rsidP="00440CA1">
      <w:pPr>
        <w:keepNext/>
        <w:keepLines/>
        <w:widowControl/>
        <w:shd w:val="clear" w:color="auto" w:fill="FFFFFF"/>
        <w:spacing w:line="288" w:lineRule="atLeast"/>
        <w:ind w:right="1440" w:firstLine="1440"/>
        <w:rPr>
          <w:color w:val="212121"/>
          <w:sz w:val="26"/>
          <w:szCs w:val="26"/>
          <w:lang w:val="en"/>
        </w:rPr>
      </w:pPr>
    </w:p>
    <w:p w14:paraId="5567951D" w14:textId="77777777" w:rsidR="00440CA1" w:rsidRDefault="00440CA1" w:rsidP="00494D94">
      <w:pPr>
        <w:keepNext/>
        <w:keepLines/>
        <w:widowControl/>
        <w:shd w:val="clear" w:color="auto" w:fill="FFFFFF"/>
        <w:spacing w:line="288" w:lineRule="atLeast"/>
        <w:ind w:left="2160" w:right="1296" w:hanging="720"/>
        <w:rPr>
          <w:color w:val="212121"/>
          <w:sz w:val="26"/>
          <w:szCs w:val="26"/>
          <w:lang w:val="en"/>
        </w:rPr>
      </w:pPr>
      <w:r>
        <w:rPr>
          <w:color w:val="212121"/>
          <w:sz w:val="26"/>
          <w:szCs w:val="26"/>
          <w:lang w:val="en"/>
        </w:rPr>
        <w:t>(1)</w:t>
      </w:r>
      <w:r>
        <w:rPr>
          <w:color w:val="212121"/>
          <w:sz w:val="26"/>
          <w:szCs w:val="26"/>
          <w:lang w:val="en"/>
        </w:rPr>
        <w:tab/>
        <w:t>The amount of the administrative penalty under subsection (b) shall be $5,000 for a first violation and $10,000 for a second or subsequent violation.</w:t>
      </w:r>
    </w:p>
    <w:p w14:paraId="01D06822" w14:textId="77777777" w:rsidR="00440CA1" w:rsidRDefault="00440CA1" w:rsidP="00494D94">
      <w:pPr>
        <w:widowControl/>
        <w:shd w:val="clear" w:color="auto" w:fill="FFFFFF"/>
        <w:spacing w:line="288" w:lineRule="atLeast"/>
        <w:ind w:left="2160" w:right="1152" w:hanging="720"/>
        <w:rPr>
          <w:color w:val="212121"/>
          <w:sz w:val="26"/>
          <w:szCs w:val="26"/>
          <w:lang w:val="en"/>
        </w:rPr>
      </w:pPr>
      <w:r>
        <w:rPr>
          <w:color w:val="212121"/>
          <w:sz w:val="26"/>
          <w:szCs w:val="26"/>
          <w:lang w:val="en"/>
        </w:rPr>
        <w:t>(2)</w:t>
      </w:r>
      <w:r>
        <w:rPr>
          <w:color w:val="212121"/>
          <w:sz w:val="26"/>
          <w:szCs w:val="26"/>
          <w:lang w:val="en"/>
        </w:rPr>
        <w:tab/>
        <w:t>In addition to the penalty imposed under paragraph (1), a person or corporation under subsection (b) may also be subject to the following:</w:t>
      </w:r>
    </w:p>
    <w:p w14:paraId="333797BA" w14:textId="3FBB0E50" w:rsidR="00440CA1" w:rsidRDefault="00440CA1" w:rsidP="001B3BCF">
      <w:pPr>
        <w:widowControl/>
        <w:shd w:val="clear" w:color="auto" w:fill="FFFFFF"/>
        <w:spacing w:line="288" w:lineRule="atLeast"/>
        <w:ind w:left="2160" w:right="1296"/>
        <w:rPr>
          <w:color w:val="212121"/>
          <w:sz w:val="26"/>
          <w:szCs w:val="26"/>
          <w:lang w:val="en"/>
        </w:rPr>
      </w:pPr>
      <w:r>
        <w:rPr>
          <w:color w:val="212121"/>
          <w:sz w:val="26"/>
          <w:szCs w:val="26"/>
          <w:lang w:val="en"/>
        </w:rPr>
        <w:t>(</w:t>
      </w:r>
      <w:proofErr w:type="spellStart"/>
      <w:r>
        <w:rPr>
          <w:color w:val="212121"/>
          <w:sz w:val="26"/>
          <w:szCs w:val="26"/>
          <w:lang w:val="en"/>
        </w:rPr>
        <w:t>i</w:t>
      </w:r>
      <w:proofErr w:type="spellEnd"/>
      <w:r>
        <w:rPr>
          <w:color w:val="212121"/>
          <w:sz w:val="26"/>
          <w:szCs w:val="26"/>
          <w:lang w:val="en"/>
        </w:rPr>
        <w:t>)</w:t>
      </w:r>
      <w:r>
        <w:rPr>
          <w:color w:val="212121"/>
          <w:sz w:val="26"/>
          <w:szCs w:val="26"/>
          <w:lang w:val="en"/>
        </w:rPr>
        <w:tab/>
        <w:t xml:space="preserve">Suspension of registration under 75 </w:t>
      </w:r>
      <w:proofErr w:type="spellStart"/>
      <w:r>
        <w:rPr>
          <w:color w:val="212121"/>
          <w:sz w:val="26"/>
          <w:szCs w:val="26"/>
          <w:lang w:val="en"/>
        </w:rPr>
        <w:t>Pa.C.S.A</w:t>
      </w:r>
      <w:proofErr w:type="spellEnd"/>
      <w:r>
        <w:rPr>
          <w:color w:val="212121"/>
          <w:sz w:val="26"/>
          <w:szCs w:val="26"/>
          <w:lang w:val="en"/>
        </w:rPr>
        <w:t>. §</w:t>
      </w:r>
      <w:r w:rsidR="009C32E9">
        <w:rPr>
          <w:color w:val="212121"/>
          <w:sz w:val="26"/>
          <w:szCs w:val="26"/>
          <w:lang w:val="en"/>
        </w:rPr>
        <w:t> </w:t>
      </w:r>
      <w:r>
        <w:rPr>
          <w:color w:val="212121"/>
          <w:sz w:val="26"/>
          <w:szCs w:val="26"/>
          <w:lang w:val="en"/>
        </w:rPr>
        <w:t>1375 (relating to suspension of registration of unapproved carriers).</w:t>
      </w:r>
    </w:p>
    <w:p w14:paraId="272F55A1" w14:textId="04ECBA10" w:rsidR="00494D94" w:rsidRDefault="00440CA1" w:rsidP="001B3BCF">
      <w:pPr>
        <w:widowControl/>
        <w:shd w:val="clear" w:color="auto" w:fill="FFFFFF"/>
        <w:spacing w:line="288" w:lineRule="atLeast"/>
        <w:ind w:left="2160" w:right="1296"/>
        <w:rPr>
          <w:color w:val="212121"/>
          <w:sz w:val="26"/>
          <w:szCs w:val="26"/>
          <w:lang w:val="en"/>
        </w:rPr>
      </w:pPr>
      <w:r>
        <w:rPr>
          <w:color w:val="212121"/>
          <w:sz w:val="26"/>
          <w:szCs w:val="26"/>
          <w:lang w:val="en"/>
        </w:rPr>
        <w:t>(ii)</w:t>
      </w:r>
      <w:r>
        <w:rPr>
          <w:color w:val="212121"/>
          <w:sz w:val="26"/>
          <w:szCs w:val="26"/>
          <w:lang w:val="en"/>
        </w:rPr>
        <w:tab/>
        <w:t xml:space="preserve">Confiscation and impoundment of vehicle. A sheriff, upon an order issued by the court and having jurisdiction over the property, is empowered to confiscate and impound vehicles which have been used </w:t>
      </w:r>
      <w:r>
        <w:rPr>
          <w:color w:val="212121"/>
          <w:sz w:val="26"/>
          <w:szCs w:val="26"/>
          <w:lang w:val="en"/>
        </w:rPr>
        <w:lastRenderedPageBreak/>
        <w:t xml:space="preserve">to provide common carrier by motor vehicle service or contract carrier by motor vehicle service in violation of subsection (b) or commission regulations. The process for the disposition of impounded vehicles shall be as set forth under 75 </w:t>
      </w:r>
      <w:proofErr w:type="spellStart"/>
      <w:r>
        <w:rPr>
          <w:color w:val="212121"/>
          <w:sz w:val="26"/>
          <w:szCs w:val="26"/>
          <w:lang w:val="en"/>
        </w:rPr>
        <w:t>Pa.C.S.A</w:t>
      </w:r>
      <w:proofErr w:type="spellEnd"/>
      <w:r>
        <w:rPr>
          <w:color w:val="212121"/>
          <w:sz w:val="26"/>
          <w:szCs w:val="26"/>
          <w:lang w:val="en"/>
        </w:rPr>
        <w:t>. § 6310 (relating to disposition of impounded vehicles, combinations and loads).</w:t>
      </w:r>
    </w:p>
    <w:p w14:paraId="08AA9B7B" w14:textId="77777777" w:rsidR="004F727E" w:rsidRDefault="004F727E" w:rsidP="00A574CB">
      <w:pPr>
        <w:widowControl/>
        <w:shd w:val="clear" w:color="auto" w:fill="FFFFFF"/>
        <w:spacing w:line="360" w:lineRule="auto"/>
        <w:ind w:left="2160" w:right="1296"/>
        <w:rPr>
          <w:color w:val="212121"/>
          <w:sz w:val="26"/>
          <w:szCs w:val="26"/>
          <w:lang w:val="en"/>
        </w:rPr>
      </w:pPr>
    </w:p>
    <w:p w14:paraId="386F8195" w14:textId="0620E051" w:rsidR="00440CA1" w:rsidRDefault="00440CA1" w:rsidP="009C32E9">
      <w:pPr>
        <w:widowControl/>
        <w:shd w:val="clear" w:color="auto" w:fill="FFFFFF"/>
        <w:spacing w:line="360" w:lineRule="auto"/>
        <w:rPr>
          <w:sz w:val="26"/>
          <w:szCs w:val="26"/>
          <w:lang w:val="en"/>
        </w:rPr>
      </w:pPr>
      <w:r>
        <w:rPr>
          <w:sz w:val="26"/>
          <w:szCs w:val="26"/>
          <w:lang w:val="en"/>
        </w:rPr>
        <w:t>66 Pa.</w:t>
      </w:r>
      <w:r w:rsidR="004F727E">
        <w:rPr>
          <w:sz w:val="26"/>
          <w:szCs w:val="26"/>
          <w:lang w:val="en"/>
        </w:rPr>
        <w:t xml:space="preserve"> </w:t>
      </w:r>
      <w:r>
        <w:rPr>
          <w:sz w:val="26"/>
          <w:szCs w:val="26"/>
          <w:lang w:val="en"/>
        </w:rPr>
        <w:t>C.S. § 3310(c).</w:t>
      </w:r>
    </w:p>
    <w:p w14:paraId="364A4151" w14:textId="77777777" w:rsidR="009C32E9" w:rsidRDefault="009C32E9" w:rsidP="009C32E9">
      <w:pPr>
        <w:widowControl/>
        <w:shd w:val="clear" w:color="auto" w:fill="FFFFFF"/>
        <w:spacing w:line="360" w:lineRule="auto"/>
        <w:rPr>
          <w:color w:val="212121"/>
          <w:sz w:val="26"/>
          <w:szCs w:val="26"/>
          <w:lang w:val="en"/>
        </w:rPr>
      </w:pPr>
    </w:p>
    <w:p w14:paraId="0FC145A8" w14:textId="77777777" w:rsidR="00440CA1" w:rsidRDefault="00440CA1" w:rsidP="009C32E9">
      <w:pPr>
        <w:widowControl/>
        <w:spacing w:line="360" w:lineRule="auto"/>
        <w:rPr>
          <w:sz w:val="26"/>
          <w:szCs w:val="26"/>
        </w:rPr>
      </w:pPr>
      <w:r>
        <w:rPr>
          <w:sz w:val="26"/>
          <w:szCs w:val="26"/>
        </w:rPr>
        <w:tab/>
      </w:r>
      <w:r>
        <w:rPr>
          <w:sz w:val="26"/>
          <w:szCs w:val="26"/>
        </w:rPr>
        <w:tab/>
        <w:t xml:space="preserve">We note that this is the Respondent’s first offense and that the Respondent admitted: (1) that it held itself out to provide or furnish the transportation of household property between points within the Commonwealth by motor vehicle for compensation without a Certificate in violation of the Code; and (2) that it is subject to the corresponding penalty under Section 3310(c) of $5,000. </w:t>
      </w:r>
    </w:p>
    <w:p w14:paraId="049A0644" w14:textId="77777777" w:rsidR="00440CA1" w:rsidRDefault="00440CA1" w:rsidP="00440CA1">
      <w:pPr>
        <w:widowControl/>
        <w:spacing w:line="360" w:lineRule="auto"/>
        <w:ind w:firstLine="1440"/>
        <w:rPr>
          <w:sz w:val="26"/>
          <w:szCs w:val="26"/>
        </w:rPr>
      </w:pPr>
    </w:p>
    <w:p w14:paraId="23EF1614" w14:textId="456C4943" w:rsidR="00440CA1" w:rsidRDefault="00440CA1" w:rsidP="00440CA1">
      <w:pPr>
        <w:widowControl/>
        <w:spacing w:line="360" w:lineRule="auto"/>
        <w:ind w:firstLine="1440"/>
        <w:rPr>
          <w:sz w:val="26"/>
          <w:szCs w:val="26"/>
        </w:rPr>
      </w:pPr>
      <w:r>
        <w:rPr>
          <w:sz w:val="26"/>
          <w:szCs w:val="26"/>
        </w:rPr>
        <w:t>Based on our foregoing analysis, we find that it is appropriate to assess a penalty of $5,000 for the Respondent’s violation of operating without a Certificate</w:t>
      </w:r>
      <w:r w:rsidR="004F727E">
        <w:rPr>
          <w:sz w:val="26"/>
          <w:szCs w:val="26"/>
        </w:rPr>
        <w:t xml:space="preserve"> </w:t>
      </w:r>
      <w:r>
        <w:rPr>
          <w:sz w:val="26"/>
          <w:szCs w:val="26"/>
        </w:rPr>
        <w:t>in violation of the Code and that it would be sufficient to deter the Respondent from engaging in similar activities in the future.  Thus, we shall impose a penalty of $5,000 according to the Section 3310(c) of the Code.</w:t>
      </w:r>
    </w:p>
    <w:p w14:paraId="262EB9A9" w14:textId="77777777" w:rsidR="0070278A" w:rsidRDefault="0070278A" w:rsidP="00440CA1">
      <w:pPr>
        <w:widowControl/>
        <w:spacing w:line="360" w:lineRule="auto"/>
        <w:ind w:firstLine="1440"/>
        <w:rPr>
          <w:sz w:val="26"/>
          <w:szCs w:val="26"/>
        </w:rPr>
      </w:pPr>
    </w:p>
    <w:p w14:paraId="69954B4E" w14:textId="77777777" w:rsidR="00440CA1" w:rsidRDefault="00440CA1" w:rsidP="00440CA1">
      <w:pPr>
        <w:keepNext/>
        <w:widowControl/>
        <w:spacing w:line="360" w:lineRule="auto"/>
        <w:jc w:val="center"/>
        <w:rPr>
          <w:b/>
          <w:sz w:val="26"/>
          <w:szCs w:val="26"/>
        </w:rPr>
      </w:pPr>
      <w:r>
        <w:rPr>
          <w:b/>
          <w:sz w:val="26"/>
          <w:szCs w:val="26"/>
        </w:rPr>
        <w:t>Conclusion</w:t>
      </w:r>
    </w:p>
    <w:p w14:paraId="1F76D10B" w14:textId="77777777" w:rsidR="00440CA1" w:rsidRDefault="00440CA1" w:rsidP="00440CA1">
      <w:pPr>
        <w:keepNext/>
        <w:widowControl/>
        <w:spacing w:line="360" w:lineRule="auto"/>
        <w:ind w:firstLine="1440"/>
        <w:rPr>
          <w:sz w:val="26"/>
          <w:szCs w:val="26"/>
        </w:rPr>
      </w:pPr>
    </w:p>
    <w:p w14:paraId="2C3E6771" w14:textId="77777777" w:rsidR="00440CA1" w:rsidRDefault="00440CA1" w:rsidP="00440CA1">
      <w:pPr>
        <w:widowControl/>
        <w:spacing w:line="360" w:lineRule="auto"/>
        <w:ind w:firstLine="1440"/>
        <w:rPr>
          <w:sz w:val="26"/>
          <w:szCs w:val="26"/>
        </w:rPr>
      </w:pPr>
      <w:r>
        <w:rPr>
          <w:sz w:val="26"/>
          <w:szCs w:val="26"/>
        </w:rPr>
        <w:t xml:space="preserve">Based on our review of the record, the averments in the Motion, and the applicable law, we shall grant I&amp;E’s Motion, consistent with this Opinion and </w:t>
      </w:r>
      <w:proofErr w:type="gramStart"/>
      <w:r>
        <w:rPr>
          <w:sz w:val="26"/>
          <w:szCs w:val="26"/>
        </w:rPr>
        <w:t>Order;</w:t>
      </w:r>
      <w:proofErr w:type="gramEnd"/>
      <w:r>
        <w:rPr>
          <w:sz w:val="26"/>
          <w:szCs w:val="26"/>
        </w:rPr>
        <w:t xml:space="preserve"> </w:t>
      </w:r>
    </w:p>
    <w:p w14:paraId="711328B9" w14:textId="77777777" w:rsidR="00440CA1" w:rsidRDefault="00440CA1" w:rsidP="00440CA1">
      <w:pPr>
        <w:widowControl/>
        <w:spacing w:line="360" w:lineRule="auto"/>
        <w:rPr>
          <w:b/>
          <w:sz w:val="26"/>
          <w:szCs w:val="26"/>
        </w:rPr>
      </w:pPr>
      <w:r>
        <w:rPr>
          <w:b/>
          <w:sz w:val="26"/>
          <w:szCs w:val="26"/>
        </w:rPr>
        <w:t>THEREFORE,</w:t>
      </w:r>
    </w:p>
    <w:p w14:paraId="070E36C6" w14:textId="77777777" w:rsidR="00440CA1" w:rsidRDefault="00440CA1" w:rsidP="00440CA1">
      <w:pPr>
        <w:widowControl/>
        <w:spacing w:line="360" w:lineRule="auto"/>
        <w:ind w:firstLine="1440"/>
        <w:rPr>
          <w:b/>
          <w:sz w:val="26"/>
          <w:szCs w:val="26"/>
        </w:rPr>
      </w:pPr>
    </w:p>
    <w:p w14:paraId="4757FD41" w14:textId="77777777" w:rsidR="00440CA1" w:rsidRDefault="00440CA1" w:rsidP="00440CA1">
      <w:pPr>
        <w:keepNext/>
        <w:widowControl/>
        <w:spacing w:line="360" w:lineRule="auto"/>
        <w:ind w:firstLine="1440"/>
        <w:rPr>
          <w:b/>
          <w:sz w:val="26"/>
          <w:szCs w:val="26"/>
        </w:rPr>
      </w:pPr>
      <w:r>
        <w:rPr>
          <w:b/>
          <w:sz w:val="26"/>
          <w:szCs w:val="26"/>
        </w:rPr>
        <w:lastRenderedPageBreak/>
        <w:t>IT IS ORDERED:</w:t>
      </w:r>
    </w:p>
    <w:p w14:paraId="159B90B7" w14:textId="77777777" w:rsidR="00440CA1" w:rsidRDefault="00440CA1" w:rsidP="00440CA1">
      <w:pPr>
        <w:keepNext/>
        <w:widowControl/>
        <w:spacing w:line="360" w:lineRule="auto"/>
        <w:ind w:firstLine="1440"/>
        <w:rPr>
          <w:sz w:val="26"/>
          <w:szCs w:val="26"/>
        </w:rPr>
      </w:pPr>
    </w:p>
    <w:p w14:paraId="0C0B77C1" w14:textId="239393D4" w:rsidR="00440CA1" w:rsidRDefault="00440CA1" w:rsidP="00440CA1">
      <w:pPr>
        <w:widowControl/>
        <w:spacing w:line="360" w:lineRule="auto"/>
        <w:ind w:firstLine="1440"/>
        <w:rPr>
          <w:sz w:val="26"/>
          <w:szCs w:val="26"/>
        </w:rPr>
      </w:pPr>
      <w:r>
        <w:rPr>
          <w:sz w:val="26"/>
          <w:szCs w:val="26"/>
        </w:rPr>
        <w:t>1.</w:t>
      </w:r>
      <w:r>
        <w:rPr>
          <w:sz w:val="26"/>
          <w:szCs w:val="26"/>
        </w:rPr>
        <w:tab/>
        <w:t xml:space="preserve">That the Motion for Default Judgment </w:t>
      </w:r>
      <w:r>
        <w:rPr>
          <w:sz w:val="26"/>
        </w:rPr>
        <w:t xml:space="preserve">filed by the Commission’s Bureau of Investigation and Enforcement on December </w:t>
      </w:r>
      <w:r w:rsidR="007D10A9">
        <w:rPr>
          <w:sz w:val="26"/>
        </w:rPr>
        <w:t>2</w:t>
      </w:r>
      <w:r>
        <w:rPr>
          <w:sz w:val="26"/>
        </w:rPr>
        <w:t xml:space="preserve">, 2019, </w:t>
      </w:r>
      <w:r>
        <w:rPr>
          <w:sz w:val="26"/>
          <w:szCs w:val="26"/>
        </w:rPr>
        <w:t>is granted, consistent with this Opinion and Order.</w:t>
      </w:r>
    </w:p>
    <w:p w14:paraId="2EFDCE3A" w14:textId="77777777" w:rsidR="00440CA1" w:rsidRDefault="00440CA1" w:rsidP="00440CA1">
      <w:pPr>
        <w:widowControl/>
        <w:spacing w:line="360" w:lineRule="auto"/>
        <w:ind w:firstLine="1440"/>
        <w:rPr>
          <w:sz w:val="26"/>
          <w:szCs w:val="26"/>
        </w:rPr>
      </w:pPr>
    </w:p>
    <w:p w14:paraId="59DD59DD" w14:textId="77777777" w:rsidR="00440CA1" w:rsidRDefault="00440CA1" w:rsidP="00440CA1">
      <w:pPr>
        <w:widowControl/>
        <w:spacing w:line="360" w:lineRule="auto"/>
        <w:ind w:firstLine="1440"/>
        <w:rPr>
          <w:sz w:val="26"/>
          <w:szCs w:val="26"/>
        </w:rPr>
      </w:pPr>
      <w:r>
        <w:rPr>
          <w:sz w:val="26"/>
          <w:szCs w:val="26"/>
        </w:rPr>
        <w:t>2.</w:t>
      </w:r>
      <w:r>
        <w:rPr>
          <w:sz w:val="26"/>
          <w:szCs w:val="26"/>
        </w:rPr>
        <w:tab/>
        <w:t xml:space="preserve">That the allegations in the Commission’s Bureau of Investigation and Enforcement’s </w:t>
      </w:r>
      <w:r w:rsidR="007D10A9">
        <w:rPr>
          <w:sz w:val="26"/>
          <w:szCs w:val="26"/>
        </w:rPr>
        <w:t xml:space="preserve">Formal </w:t>
      </w:r>
      <w:r>
        <w:rPr>
          <w:sz w:val="26"/>
          <w:szCs w:val="26"/>
        </w:rPr>
        <w:t>Complaint are deemed admitted, and the Complaint is thereby sustained, consistent with the Opinion and Order.</w:t>
      </w:r>
    </w:p>
    <w:p w14:paraId="1BCD687A" w14:textId="77777777" w:rsidR="00440CA1" w:rsidRDefault="00440CA1" w:rsidP="00440CA1">
      <w:pPr>
        <w:widowControl/>
        <w:spacing w:line="360" w:lineRule="auto"/>
        <w:ind w:firstLine="1440"/>
        <w:rPr>
          <w:sz w:val="26"/>
          <w:szCs w:val="26"/>
        </w:rPr>
      </w:pPr>
    </w:p>
    <w:p w14:paraId="322DC718" w14:textId="432C9B20" w:rsidR="00440CA1" w:rsidRDefault="00440CA1" w:rsidP="00440CA1">
      <w:pPr>
        <w:widowControl/>
        <w:spacing w:line="360" w:lineRule="auto"/>
        <w:ind w:firstLine="1440"/>
        <w:rPr>
          <w:sz w:val="26"/>
          <w:szCs w:val="24"/>
        </w:rPr>
      </w:pPr>
      <w:r>
        <w:rPr>
          <w:sz w:val="26"/>
          <w:szCs w:val="26"/>
        </w:rPr>
        <w:t>3.</w:t>
      </w:r>
      <w:r>
        <w:rPr>
          <w:sz w:val="26"/>
          <w:szCs w:val="26"/>
        </w:rPr>
        <w:tab/>
        <w:t xml:space="preserve">That, within thirty (30) days of the entry date of this Opinion and Order, </w:t>
      </w:r>
      <w:r w:rsidR="009001F3">
        <w:rPr>
          <w:sz w:val="26"/>
          <w:szCs w:val="26"/>
        </w:rPr>
        <w:t xml:space="preserve">Calypso </w:t>
      </w:r>
      <w:r>
        <w:rPr>
          <w:sz w:val="26"/>
          <w:szCs w:val="26"/>
        </w:rPr>
        <w:t xml:space="preserve">Moving </w:t>
      </w:r>
      <w:r w:rsidR="009001F3">
        <w:rPr>
          <w:sz w:val="26"/>
          <w:szCs w:val="26"/>
        </w:rPr>
        <w:t>LLC</w:t>
      </w:r>
      <w:r>
        <w:rPr>
          <w:sz w:val="26"/>
          <w:szCs w:val="26"/>
        </w:rPr>
        <w:t xml:space="preserve"> </w:t>
      </w:r>
      <w:r>
        <w:rPr>
          <w:sz w:val="26"/>
          <w:szCs w:val="24"/>
        </w:rPr>
        <w:t>shall remit $5,000, payable by certified check or money order, to “Commonwealth of Pennsylvania” and sent to:</w:t>
      </w:r>
    </w:p>
    <w:p w14:paraId="213BB518" w14:textId="77777777" w:rsidR="00440CA1" w:rsidRDefault="00440CA1" w:rsidP="00440CA1">
      <w:pPr>
        <w:widowControl/>
        <w:rPr>
          <w:sz w:val="26"/>
          <w:szCs w:val="24"/>
        </w:rPr>
      </w:pPr>
    </w:p>
    <w:p w14:paraId="0A9F173D" w14:textId="77777777" w:rsidR="00440CA1" w:rsidRDefault="00440CA1" w:rsidP="00440CA1">
      <w:pPr>
        <w:keepNext/>
        <w:keepLines/>
        <w:widowControl/>
        <w:ind w:firstLine="2160"/>
        <w:rPr>
          <w:sz w:val="26"/>
          <w:szCs w:val="24"/>
        </w:rPr>
      </w:pPr>
      <w:r>
        <w:rPr>
          <w:sz w:val="26"/>
          <w:szCs w:val="24"/>
        </w:rPr>
        <w:t>Rosemary Chiavetta, Secretary</w:t>
      </w:r>
    </w:p>
    <w:p w14:paraId="144B3782" w14:textId="77777777" w:rsidR="00440CA1" w:rsidRDefault="00440CA1" w:rsidP="00440CA1">
      <w:pPr>
        <w:keepNext/>
        <w:keepLines/>
        <w:widowControl/>
        <w:ind w:firstLine="2160"/>
        <w:rPr>
          <w:sz w:val="26"/>
          <w:szCs w:val="24"/>
        </w:rPr>
      </w:pPr>
      <w:r>
        <w:rPr>
          <w:sz w:val="26"/>
          <w:szCs w:val="24"/>
        </w:rPr>
        <w:t>Pennsylvania Public Utility Commission</w:t>
      </w:r>
    </w:p>
    <w:p w14:paraId="249D407C" w14:textId="77777777" w:rsidR="00440CA1" w:rsidRDefault="00440CA1" w:rsidP="00440CA1">
      <w:pPr>
        <w:keepNext/>
        <w:keepLines/>
        <w:widowControl/>
        <w:ind w:firstLine="2160"/>
        <w:rPr>
          <w:sz w:val="26"/>
          <w:szCs w:val="24"/>
        </w:rPr>
      </w:pPr>
      <w:r>
        <w:rPr>
          <w:sz w:val="26"/>
          <w:szCs w:val="24"/>
        </w:rPr>
        <w:t>Commonwealth Keystone Building</w:t>
      </w:r>
    </w:p>
    <w:p w14:paraId="3FBF88BF" w14:textId="77777777" w:rsidR="00440CA1" w:rsidRDefault="00440CA1" w:rsidP="00440CA1">
      <w:pPr>
        <w:keepNext/>
        <w:keepLines/>
        <w:widowControl/>
        <w:ind w:firstLine="2160"/>
        <w:rPr>
          <w:sz w:val="26"/>
          <w:szCs w:val="24"/>
        </w:rPr>
      </w:pPr>
      <w:r>
        <w:rPr>
          <w:sz w:val="26"/>
          <w:szCs w:val="24"/>
        </w:rPr>
        <w:t>400 North Street, 2</w:t>
      </w:r>
      <w:r>
        <w:rPr>
          <w:sz w:val="26"/>
          <w:szCs w:val="24"/>
          <w:vertAlign w:val="superscript"/>
        </w:rPr>
        <w:t>nd</w:t>
      </w:r>
      <w:r>
        <w:rPr>
          <w:sz w:val="26"/>
          <w:szCs w:val="24"/>
        </w:rPr>
        <w:t xml:space="preserve"> Floor</w:t>
      </w:r>
    </w:p>
    <w:p w14:paraId="31EDEDF7" w14:textId="79F17016" w:rsidR="00440CA1" w:rsidRDefault="00440CA1" w:rsidP="002A32FA">
      <w:pPr>
        <w:keepNext/>
        <w:keepLines/>
        <w:widowControl/>
        <w:spacing w:line="360" w:lineRule="auto"/>
        <w:ind w:firstLine="2160"/>
        <w:rPr>
          <w:sz w:val="26"/>
          <w:szCs w:val="24"/>
        </w:rPr>
      </w:pPr>
      <w:r>
        <w:rPr>
          <w:sz w:val="26"/>
          <w:szCs w:val="24"/>
        </w:rPr>
        <w:t>Harrisburg, PA</w:t>
      </w:r>
      <w:r w:rsidR="002A32FA">
        <w:rPr>
          <w:sz w:val="26"/>
          <w:szCs w:val="24"/>
        </w:rPr>
        <w:t xml:space="preserve"> </w:t>
      </w:r>
      <w:r>
        <w:rPr>
          <w:sz w:val="26"/>
          <w:szCs w:val="24"/>
        </w:rPr>
        <w:t xml:space="preserve"> 17120</w:t>
      </w:r>
    </w:p>
    <w:p w14:paraId="0FCEE9C3" w14:textId="77777777" w:rsidR="00440CA1" w:rsidRDefault="00440CA1" w:rsidP="002A32FA">
      <w:pPr>
        <w:widowControl/>
        <w:spacing w:line="360" w:lineRule="auto"/>
        <w:ind w:firstLine="1440"/>
        <w:rPr>
          <w:sz w:val="26"/>
          <w:szCs w:val="24"/>
        </w:rPr>
      </w:pPr>
    </w:p>
    <w:p w14:paraId="0FEA86D4" w14:textId="6F743B2A" w:rsidR="00CC4A0B" w:rsidRDefault="00CC4A0B" w:rsidP="002A32FA">
      <w:pPr>
        <w:widowControl/>
        <w:spacing w:line="360" w:lineRule="auto"/>
        <w:ind w:firstLine="1440"/>
        <w:rPr>
          <w:sz w:val="26"/>
          <w:szCs w:val="26"/>
        </w:rPr>
      </w:pPr>
      <w:r>
        <w:rPr>
          <w:sz w:val="26"/>
          <w:szCs w:val="26"/>
        </w:rPr>
        <w:t>4.</w:t>
      </w:r>
      <w:r w:rsidR="00494D94">
        <w:rPr>
          <w:sz w:val="26"/>
          <w:szCs w:val="26"/>
        </w:rPr>
        <w:tab/>
      </w:r>
      <w:r>
        <w:rPr>
          <w:sz w:val="26"/>
          <w:szCs w:val="26"/>
        </w:rPr>
        <w:t>That a copy of this Opinion and Order shall be served upon the Financial and Assessment Chief, Office of Administrative Services.</w:t>
      </w:r>
    </w:p>
    <w:p w14:paraId="33433434" w14:textId="77777777" w:rsidR="00CC4A0B" w:rsidRDefault="00CC4A0B" w:rsidP="00440CA1">
      <w:pPr>
        <w:widowControl/>
        <w:spacing w:line="360" w:lineRule="auto"/>
        <w:ind w:firstLine="1440"/>
        <w:rPr>
          <w:sz w:val="26"/>
          <w:szCs w:val="24"/>
        </w:rPr>
      </w:pPr>
    </w:p>
    <w:p w14:paraId="343689C8" w14:textId="66436954" w:rsidR="00440CA1" w:rsidRDefault="00CC4A0B" w:rsidP="00440CA1">
      <w:pPr>
        <w:widowControl/>
        <w:spacing w:line="360" w:lineRule="auto"/>
        <w:ind w:firstLine="1440"/>
        <w:rPr>
          <w:sz w:val="26"/>
          <w:szCs w:val="26"/>
        </w:rPr>
      </w:pPr>
      <w:r>
        <w:rPr>
          <w:sz w:val="26"/>
          <w:szCs w:val="26"/>
        </w:rPr>
        <w:t>5</w:t>
      </w:r>
      <w:r w:rsidR="00440CA1">
        <w:rPr>
          <w:sz w:val="26"/>
          <w:szCs w:val="26"/>
        </w:rPr>
        <w:t>.</w:t>
      </w:r>
      <w:r w:rsidR="00440CA1">
        <w:rPr>
          <w:sz w:val="26"/>
          <w:szCs w:val="26"/>
        </w:rPr>
        <w:tab/>
        <w:t xml:space="preserve">That, if </w:t>
      </w:r>
      <w:r w:rsidR="009001F3">
        <w:rPr>
          <w:sz w:val="26"/>
          <w:szCs w:val="26"/>
        </w:rPr>
        <w:t>Calypso</w:t>
      </w:r>
      <w:r w:rsidR="00440CA1">
        <w:rPr>
          <w:sz w:val="26"/>
          <w:szCs w:val="26"/>
        </w:rPr>
        <w:t xml:space="preserve"> Moving </w:t>
      </w:r>
      <w:r w:rsidR="009001F3">
        <w:rPr>
          <w:sz w:val="26"/>
          <w:szCs w:val="26"/>
        </w:rPr>
        <w:t>LLC</w:t>
      </w:r>
      <w:r w:rsidR="00440CA1">
        <w:rPr>
          <w:sz w:val="26"/>
          <w:szCs w:val="26"/>
        </w:rPr>
        <w:t xml:space="preserve"> fails to make the payment required by Ordering Paragraph No. 3, above, within thirty (30) days of the entry date of this Opinion and Order, the Commission’s Bureau of Administrative Services, Assessment Section, shall refer this matter to the Pennsylvania Office of Attorney General for appropriate action.</w:t>
      </w:r>
    </w:p>
    <w:p w14:paraId="2B507DCC" w14:textId="77777777" w:rsidR="009001F3" w:rsidRDefault="009001F3" w:rsidP="00440CA1">
      <w:pPr>
        <w:widowControl/>
        <w:spacing w:line="360" w:lineRule="auto"/>
        <w:ind w:firstLine="1440"/>
        <w:rPr>
          <w:sz w:val="26"/>
          <w:szCs w:val="26"/>
        </w:rPr>
      </w:pPr>
    </w:p>
    <w:p w14:paraId="49F6C12B" w14:textId="498EEE56" w:rsidR="00440CA1" w:rsidRDefault="00CC4A0B" w:rsidP="00440CA1">
      <w:pPr>
        <w:widowControl/>
        <w:spacing w:line="360" w:lineRule="auto"/>
        <w:ind w:firstLine="1440"/>
        <w:rPr>
          <w:sz w:val="26"/>
        </w:rPr>
      </w:pPr>
      <w:r>
        <w:rPr>
          <w:sz w:val="26"/>
        </w:rPr>
        <w:lastRenderedPageBreak/>
        <w:t>6</w:t>
      </w:r>
      <w:r w:rsidR="00440CA1">
        <w:rPr>
          <w:sz w:val="26"/>
        </w:rPr>
        <w:t>.</w:t>
      </w:r>
      <w:r w:rsidR="00440CA1">
        <w:rPr>
          <w:sz w:val="26"/>
        </w:rPr>
        <w:tab/>
        <w:t>That upon receipt of the payment of $5,000 by</w:t>
      </w:r>
      <w:r w:rsidR="00440CA1">
        <w:rPr>
          <w:sz w:val="26"/>
          <w:szCs w:val="26"/>
        </w:rPr>
        <w:t xml:space="preserve"> </w:t>
      </w:r>
      <w:r w:rsidR="009001F3">
        <w:rPr>
          <w:sz w:val="26"/>
          <w:szCs w:val="26"/>
        </w:rPr>
        <w:t xml:space="preserve">Calypso </w:t>
      </w:r>
      <w:r w:rsidR="00440CA1">
        <w:rPr>
          <w:sz w:val="26"/>
          <w:szCs w:val="26"/>
        </w:rPr>
        <w:t xml:space="preserve">Moving </w:t>
      </w:r>
      <w:r w:rsidR="009001F3">
        <w:rPr>
          <w:sz w:val="26"/>
          <w:szCs w:val="26"/>
        </w:rPr>
        <w:t>LLC</w:t>
      </w:r>
      <w:r w:rsidR="00440CA1">
        <w:rPr>
          <w:sz w:val="26"/>
          <w:szCs w:val="26"/>
        </w:rPr>
        <w:t>, as directed by Ordering Paragraph No. 3</w:t>
      </w:r>
      <w:r w:rsidR="00440CA1">
        <w:rPr>
          <w:sz w:val="26"/>
        </w:rPr>
        <w:t xml:space="preserve"> above, this proceeding shall be marked closed.</w:t>
      </w:r>
    </w:p>
    <w:p w14:paraId="0B88F389" w14:textId="77777777" w:rsidR="00204305" w:rsidRDefault="00204305" w:rsidP="00204305">
      <w:pPr>
        <w:rPr>
          <w:sz w:val="26"/>
          <w:szCs w:val="26"/>
        </w:rPr>
      </w:pPr>
    </w:p>
    <w:p w14:paraId="1FF386D1" w14:textId="53F68963" w:rsidR="00CC4A0B" w:rsidRPr="00027664" w:rsidRDefault="007F4EB0" w:rsidP="002A32FA">
      <w:pPr>
        <w:widowControl/>
        <w:spacing w:line="360" w:lineRule="auto"/>
        <w:ind w:firstLine="5040"/>
        <w:rPr>
          <w:sz w:val="26"/>
          <w:szCs w:val="26"/>
        </w:rPr>
      </w:pPr>
      <w:bookmarkStart w:id="1" w:name="_GoBack"/>
      <w:r w:rsidRPr="009F01BA">
        <w:rPr>
          <w:b/>
          <w:noProof/>
        </w:rPr>
        <w:drawing>
          <wp:anchor distT="0" distB="0" distL="114300" distR="114300" simplePos="0" relativeHeight="251659264" behindDoc="1" locked="0" layoutInCell="1" allowOverlap="1" wp14:anchorId="103A9022" wp14:editId="22AC1810">
            <wp:simplePos x="0" y="0"/>
            <wp:positionH relativeFrom="column">
              <wp:posOffset>3019425</wp:posOffset>
            </wp:positionH>
            <wp:positionV relativeFrom="paragraph">
              <wp:posOffset>112395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CC4A0B" w:rsidRPr="00027664">
        <w:rPr>
          <w:b/>
          <w:sz w:val="26"/>
          <w:szCs w:val="26"/>
        </w:rPr>
        <w:t>BY THE COMMISSION,</w:t>
      </w:r>
    </w:p>
    <w:p w14:paraId="5C87D4AB" w14:textId="7DB5E8C0" w:rsidR="00CC4A0B" w:rsidRPr="00027664" w:rsidRDefault="00CC4A0B" w:rsidP="002A32FA">
      <w:pPr>
        <w:widowControl/>
        <w:ind w:firstLine="5040"/>
        <w:rPr>
          <w:sz w:val="26"/>
          <w:szCs w:val="26"/>
        </w:rPr>
      </w:pPr>
    </w:p>
    <w:p w14:paraId="61F68EAB" w14:textId="45C28F0C" w:rsidR="00CC4A0B" w:rsidRDefault="00CC4A0B" w:rsidP="002A32FA">
      <w:pPr>
        <w:widowControl/>
        <w:ind w:firstLine="5040"/>
        <w:rPr>
          <w:sz w:val="26"/>
          <w:szCs w:val="26"/>
        </w:rPr>
      </w:pPr>
    </w:p>
    <w:p w14:paraId="4ACC1B33" w14:textId="77777777" w:rsidR="00CC4A0B" w:rsidRDefault="00CC4A0B" w:rsidP="002A32FA">
      <w:pPr>
        <w:widowControl/>
        <w:ind w:firstLine="5040"/>
        <w:rPr>
          <w:sz w:val="26"/>
          <w:szCs w:val="26"/>
        </w:rPr>
      </w:pPr>
    </w:p>
    <w:p w14:paraId="133C4EA5" w14:textId="77777777" w:rsidR="00CC4A0B" w:rsidRPr="00027664" w:rsidRDefault="00CC4A0B" w:rsidP="002A32FA">
      <w:pPr>
        <w:widowControl/>
        <w:ind w:firstLine="5040"/>
        <w:rPr>
          <w:sz w:val="26"/>
          <w:szCs w:val="26"/>
        </w:rPr>
      </w:pPr>
      <w:r>
        <w:rPr>
          <w:sz w:val="26"/>
          <w:szCs w:val="26"/>
        </w:rPr>
        <w:t>Rosemary Chiavetta</w:t>
      </w:r>
    </w:p>
    <w:p w14:paraId="0BA1BEA0" w14:textId="77777777" w:rsidR="00CC4A0B" w:rsidRDefault="00CC4A0B" w:rsidP="002A32FA">
      <w:pPr>
        <w:widowControl/>
        <w:ind w:firstLine="5040"/>
        <w:rPr>
          <w:sz w:val="26"/>
          <w:szCs w:val="26"/>
        </w:rPr>
      </w:pPr>
      <w:r w:rsidRPr="00027664">
        <w:rPr>
          <w:sz w:val="26"/>
          <w:szCs w:val="26"/>
        </w:rPr>
        <w:t>Secretary</w:t>
      </w:r>
    </w:p>
    <w:p w14:paraId="571AB9D2" w14:textId="77777777" w:rsidR="00CC4A0B" w:rsidRPr="00027664" w:rsidRDefault="00CC4A0B" w:rsidP="00CC4A0B">
      <w:pPr>
        <w:widowControl/>
        <w:ind w:firstLine="5760"/>
        <w:rPr>
          <w:sz w:val="26"/>
          <w:szCs w:val="26"/>
        </w:rPr>
      </w:pPr>
    </w:p>
    <w:p w14:paraId="375781E2" w14:textId="40CD7757" w:rsidR="00CC4A0B" w:rsidRDefault="00CC4A0B" w:rsidP="00CC4A0B">
      <w:pPr>
        <w:widowControl/>
        <w:rPr>
          <w:sz w:val="26"/>
          <w:szCs w:val="26"/>
        </w:rPr>
      </w:pPr>
      <w:r w:rsidRPr="00027664">
        <w:rPr>
          <w:sz w:val="26"/>
          <w:szCs w:val="26"/>
        </w:rPr>
        <w:t>(SEAL)</w:t>
      </w:r>
    </w:p>
    <w:p w14:paraId="25682C4F" w14:textId="77777777" w:rsidR="002A32FA" w:rsidRPr="00027664" w:rsidRDefault="002A32FA" w:rsidP="00CC4A0B">
      <w:pPr>
        <w:widowControl/>
        <w:rPr>
          <w:sz w:val="26"/>
          <w:szCs w:val="26"/>
        </w:rPr>
      </w:pPr>
    </w:p>
    <w:p w14:paraId="37AF0E70" w14:textId="77777777" w:rsidR="00CC4A0B" w:rsidRDefault="00CC4A0B" w:rsidP="00CC4A0B">
      <w:pPr>
        <w:widowControl/>
        <w:rPr>
          <w:sz w:val="26"/>
          <w:szCs w:val="26"/>
        </w:rPr>
      </w:pPr>
      <w:r>
        <w:rPr>
          <w:sz w:val="26"/>
          <w:szCs w:val="26"/>
        </w:rPr>
        <w:t>ORDER ADOPTED:  May 21, 2020</w:t>
      </w:r>
    </w:p>
    <w:p w14:paraId="59F66936" w14:textId="77777777" w:rsidR="001B3BCF" w:rsidRDefault="001B3BCF" w:rsidP="00494D94">
      <w:pPr>
        <w:widowControl/>
        <w:rPr>
          <w:sz w:val="26"/>
          <w:szCs w:val="26"/>
        </w:rPr>
      </w:pPr>
    </w:p>
    <w:p w14:paraId="777FEEE6" w14:textId="4A3D8956" w:rsidR="00F272E7" w:rsidRPr="00B44F45" w:rsidRDefault="00CC4A0B" w:rsidP="00494D94">
      <w:pPr>
        <w:widowControl/>
        <w:rPr>
          <w:b/>
          <w:sz w:val="26"/>
        </w:rPr>
      </w:pPr>
      <w:r w:rsidRPr="00027664">
        <w:rPr>
          <w:sz w:val="26"/>
          <w:szCs w:val="26"/>
        </w:rPr>
        <w:t>ORDER ENTERED:</w:t>
      </w:r>
      <w:r>
        <w:rPr>
          <w:sz w:val="26"/>
          <w:szCs w:val="26"/>
        </w:rPr>
        <w:t xml:space="preserve">  </w:t>
      </w:r>
      <w:r w:rsidR="007F4EB0">
        <w:rPr>
          <w:sz w:val="26"/>
          <w:szCs w:val="26"/>
        </w:rPr>
        <w:t>May 21, 2020</w:t>
      </w:r>
    </w:p>
    <w:sectPr w:rsidR="00F272E7" w:rsidRPr="00B44F45"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80DB0" w14:textId="77777777" w:rsidR="008904C6" w:rsidRDefault="008904C6">
      <w:r>
        <w:separator/>
      </w:r>
    </w:p>
  </w:endnote>
  <w:endnote w:type="continuationSeparator" w:id="0">
    <w:p w14:paraId="5DA1965E" w14:textId="77777777" w:rsidR="008904C6" w:rsidRDefault="0089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5D5C3" w14:textId="77777777"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65B2E" w14:textId="77777777"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D943E" w14:textId="77777777"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311446">
      <w:rPr>
        <w:rStyle w:val="PageNumber"/>
        <w:noProof/>
        <w:sz w:val="26"/>
      </w:rPr>
      <w:t>22</w:t>
    </w:r>
    <w:r w:rsidRPr="00C7667D">
      <w:rPr>
        <w:rStyle w:val="PageNumber"/>
        <w:sz w:val="26"/>
      </w:rPr>
      <w:fldChar w:fldCharType="end"/>
    </w:r>
  </w:p>
  <w:p w14:paraId="3FACFBB2" w14:textId="77777777"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8D4B0" w14:textId="77777777" w:rsidR="008904C6" w:rsidRDefault="008904C6">
      <w:r>
        <w:separator/>
      </w:r>
    </w:p>
  </w:footnote>
  <w:footnote w:type="continuationSeparator" w:id="0">
    <w:p w14:paraId="64113278" w14:textId="77777777" w:rsidR="008904C6" w:rsidRDefault="008904C6">
      <w:r>
        <w:continuationSeparator/>
      </w:r>
    </w:p>
  </w:footnote>
  <w:footnote w:id="1">
    <w:p w14:paraId="4BECAB9F" w14:textId="49D1B213" w:rsidR="00F8518D" w:rsidRPr="00F82C8E" w:rsidRDefault="00F8518D" w:rsidP="00E45803">
      <w:pPr>
        <w:pStyle w:val="FootnoteText"/>
        <w:spacing w:after="120"/>
        <w:ind w:firstLine="720"/>
        <w:rPr>
          <w:sz w:val="26"/>
          <w:szCs w:val="26"/>
        </w:rPr>
      </w:pPr>
      <w:r w:rsidRPr="00F82C8E">
        <w:rPr>
          <w:rStyle w:val="FootnoteReference"/>
          <w:sz w:val="26"/>
          <w:szCs w:val="26"/>
        </w:rPr>
        <w:footnoteRef/>
      </w:r>
      <w:r w:rsidRPr="00F82C8E">
        <w:rPr>
          <w:sz w:val="26"/>
          <w:szCs w:val="26"/>
        </w:rPr>
        <w:t xml:space="preserve"> </w:t>
      </w:r>
      <w:r w:rsidRPr="00F82C8E">
        <w:rPr>
          <w:sz w:val="26"/>
          <w:szCs w:val="26"/>
        </w:rPr>
        <w:tab/>
      </w:r>
      <w:r w:rsidRPr="00F82C8E">
        <w:rPr>
          <w:bCs/>
          <w:sz w:val="26"/>
          <w:szCs w:val="26"/>
        </w:rPr>
        <w:t xml:space="preserve">Calypso </w:t>
      </w:r>
      <w:r w:rsidR="008C12E4">
        <w:rPr>
          <w:bCs/>
          <w:sz w:val="26"/>
          <w:szCs w:val="26"/>
        </w:rPr>
        <w:t xml:space="preserve">Moving </w:t>
      </w:r>
      <w:r w:rsidRPr="00F82C8E">
        <w:rPr>
          <w:bCs/>
          <w:sz w:val="26"/>
          <w:szCs w:val="26"/>
        </w:rPr>
        <w:t>is a registered Limited Liability Company in Pennsylvania.</w:t>
      </w:r>
    </w:p>
  </w:footnote>
  <w:footnote w:id="2">
    <w:p w14:paraId="5180CB07" w14:textId="5F638FEE" w:rsidR="00F8518D" w:rsidRPr="0017179F" w:rsidRDefault="00F8518D" w:rsidP="00E45803">
      <w:pPr>
        <w:pStyle w:val="FootnoteText"/>
        <w:spacing w:after="120"/>
        <w:ind w:firstLine="720"/>
        <w:rPr>
          <w:sz w:val="26"/>
          <w:szCs w:val="26"/>
        </w:rPr>
      </w:pPr>
      <w:r w:rsidRPr="0017179F">
        <w:rPr>
          <w:rStyle w:val="FootnoteReference"/>
          <w:sz w:val="26"/>
          <w:szCs w:val="26"/>
        </w:rPr>
        <w:footnoteRef/>
      </w:r>
      <w:r w:rsidRPr="0017179F">
        <w:rPr>
          <w:sz w:val="26"/>
          <w:szCs w:val="26"/>
        </w:rPr>
        <w:tab/>
        <w:t>Although the Answer to</w:t>
      </w:r>
      <w:r w:rsidR="00DE6B0C">
        <w:rPr>
          <w:sz w:val="26"/>
          <w:szCs w:val="26"/>
        </w:rPr>
        <w:t xml:space="preserve"> </w:t>
      </w:r>
      <w:r w:rsidRPr="0017179F">
        <w:rPr>
          <w:sz w:val="26"/>
          <w:szCs w:val="26"/>
        </w:rPr>
        <w:t>Motion is labeled as</w:t>
      </w:r>
      <w:r>
        <w:rPr>
          <w:sz w:val="26"/>
          <w:szCs w:val="26"/>
        </w:rPr>
        <w:t xml:space="preserve"> “A</w:t>
      </w:r>
      <w:r w:rsidRPr="0017179F">
        <w:rPr>
          <w:sz w:val="26"/>
          <w:szCs w:val="26"/>
        </w:rPr>
        <w:t>nswer to Commission Complaint</w:t>
      </w:r>
      <w:r>
        <w:rPr>
          <w:sz w:val="26"/>
          <w:szCs w:val="26"/>
        </w:rPr>
        <w:t>”</w:t>
      </w:r>
      <w:r w:rsidRPr="0017179F">
        <w:rPr>
          <w:sz w:val="26"/>
          <w:szCs w:val="26"/>
        </w:rPr>
        <w:t xml:space="preserve"> in the Commission’s case management system, we</w:t>
      </w:r>
      <w:r>
        <w:rPr>
          <w:sz w:val="26"/>
          <w:szCs w:val="26"/>
        </w:rPr>
        <w:t xml:space="preserve"> shall consider</w:t>
      </w:r>
      <w:r w:rsidRPr="0017179F">
        <w:rPr>
          <w:sz w:val="26"/>
          <w:szCs w:val="26"/>
        </w:rPr>
        <w:t xml:space="preserve"> the Respondent’s filing </w:t>
      </w:r>
      <w:r>
        <w:rPr>
          <w:sz w:val="26"/>
          <w:szCs w:val="26"/>
        </w:rPr>
        <w:t>as a</w:t>
      </w:r>
      <w:r w:rsidR="00ED232A">
        <w:rPr>
          <w:sz w:val="26"/>
          <w:szCs w:val="26"/>
        </w:rPr>
        <w:t>n Answer</w:t>
      </w:r>
      <w:r w:rsidRPr="0017179F">
        <w:rPr>
          <w:sz w:val="26"/>
          <w:szCs w:val="26"/>
        </w:rPr>
        <w:t xml:space="preserve"> to the Motion.</w:t>
      </w:r>
    </w:p>
  </w:footnote>
  <w:footnote w:id="3">
    <w:p w14:paraId="54F9A455" w14:textId="5E7D2FCC" w:rsidR="00DF53E1" w:rsidRPr="00E45803" w:rsidRDefault="00DF53E1" w:rsidP="00D70BCE">
      <w:pPr>
        <w:pStyle w:val="FootnoteText"/>
        <w:spacing w:after="120"/>
        <w:ind w:firstLine="720"/>
        <w:rPr>
          <w:sz w:val="26"/>
          <w:szCs w:val="26"/>
        </w:rPr>
      </w:pPr>
      <w:r w:rsidRPr="00D70BCE">
        <w:rPr>
          <w:rStyle w:val="FootnoteReference"/>
          <w:sz w:val="26"/>
          <w:szCs w:val="26"/>
        </w:rPr>
        <w:footnoteRef/>
      </w:r>
      <w:r w:rsidRPr="00E45803">
        <w:rPr>
          <w:sz w:val="26"/>
          <w:szCs w:val="26"/>
        </w:rPr>
        <w:tab/>
        <w:t>The information described herein is contained in the Formal Complaint filed against the Respondent by I&amp;E (Complaint).</w:t>
      </w:r>
    </w:p>
  </w:footnote>
  <w:footnote w:id="4">
    <w:p w14:paraId="08223416" w14:textId="1D689354" w:rsidR="009D0589" w:rsidRPr="00D70BCE" w:rsidRDefault="009D0589" w:rsidP="00D70BCE">
      <w:pPr>
        <w:pStyle w:val="FootnoteText"/>
        <w:ind w:firstLine="720"/>
        <w:rPr>
          <w:sz w:val="26"/>
          <w:szCs w:val="26"/>
        </w:rPr>
      </w:pPr>
      <w:r w:rsidRPr="00D70BCE">
        <w:rPr>
          <w:rStyle w:val="FootnoteReference"/>
          <w:sz w:val="26"/>
          <w:szCs w:val="26"/>
        </w:rPr>
        <w:footnoteRef/>
      </w:r>
      <w:r w:rsidRPr="00E45803">
        <w:rPr>
          <w:sz w:val="26"/>
          <w:szCs w:val="26"/>
        </w:rPr>
        <w:tab/>
        <w:t>The application was denied because it was deficient and did not contain relevant information needed for</w:t>
      </w:r>
      <w:r>
        <w:rPr>
          <w:sz w:val="26"/>
          <w:szCs w:val="26"/>
        </w:rPr>
        <w:t xml:space="preserve"> the</w:t>
      </w:r>
      <w:r w:rsidRPr="00D70BCE">
        <w:rPr>
          <w:sz w:val="26"/>
          <w:szCs w:val="26"/>
        </w:rPr>
        <w:t xml:space="preserve"> issuance of a Certificate.  </w:t>
      </w:r>
      <w:r w:rsidRPr="00D70BCE">
        <w:rPr>
          <w:i/>
          <w:iCs/>
          <w:sz w:val="26"/>
          <w:szCs w:val="26"/>
        </w:rPr>
        <w:t>See</w:t>
      </w:r>
      <w:r w:rsidRPr="00D70BCE">
        <w:rPr>
          <w:sz w:val="26"/>
          <w:szCs w:val="26"/>
        </w:rPr>
        <w:t xml:space="preserve"> </w:t>
      </w:r>
      <w:proofErr w:type="spellStart"/>
      <w:r w:rsidRPr="00D70BCE">
        <w:rPr>
          <w:sz w:val="26"/>
          <w:szCs w:val="26"/>
        </w:rPr>
        <w:t>Exh</w:t>
      </w:r>
      <w:proofErr w:type="spellEnd"/>
      <w:r w:rsidRPr="00D70BCE">
        <w:rPr>
          <w:sz w:val="26"/>
          <w:szCs w:val="26"/>
        </w:rPr>
        <w:t xml:space="preserve">. </w:t>
      </w:r>
      <w:r w:rsidR="002074F3">
        <w:rPr>
          <w:sz w:val="26"/>
          <w:szCs w:val="26"/>
        </w:rPr>
        <w:t>I&amp;E-</w:t>
      </w:r>
      <w:r w:rsidRPr="00D70BCE">
        <w:rPr>
          <w:sz w:val="26"/>
          <w:szCs w:val="26"/>
        </w:rPr>
        <w:t>2.</w:t>
      </w:r>
    </w:p>
  </w:footnote>
  <w:footnote w:id="5">
    <w:p w14:paraId="2334F65A" w14:textId="68025A4A" w:rsidR="00AC12AC" w:rsidRPr="0017179F" w:rsidRDefault="00AC12AC" w:rsidP="00D70BCE">
      <w:pPr>
        <w:pStyle w:val="FootnoteText"/>
        <w:spacing w:after="120"/>
        <w:ind w:firstLine="720"/>
        <w:rPr>
          <w:sz w:val="26"/>
          <w:szCs w:val="26"/>
        </w:rPr>
      </w:pPr>
      <w:r w:rsidRPr="0017179F">
        <w:rPr>
          <w:rStyle w:val="FootnoteReference"/>
          <w:sz w:val="26"/>
          <w:szCs w:val="26"/>
        </w:rPr>
        <w:footnoteRef/>
      </w:r>
      <w:r w:rsidRPr="0017179F">
        <w:rPr>
          <w:sz w:val="26"/>
          <w:szCs w:val="26"/>
        </w:rPr>
        <w:tab/>
        <w:t xml:space="preserve">I&amp;E noted that it is not requesting confiscation and impoundment of the vehicle which was used to provide common carrier or contract carrier by motor vehicle without Commission approval as the vehicle used in the provision of service that is the subject of this Complaint was a rented “U-Haul” truck.  Complaint at 6; </w:t>
      </w:r>
      <w:proofErr w:type="spellStart"/>
      <w:r w:rsidRPr="0017179F">
        <w:rPr>
          <w:sz w:val="26"/>
          <w:szCs w:val="26"/>
        </w:rPr>
        <w:t>Exh</w:t>
      </w:r>
      <w:proofErr w:type="spellEnd"/>
      <w:r w:rsidRPr="0017179F">
        <w:rPr>
          <w:sz w:val="26"/>
          <w:szCs w:val="26"/>
        </w:rPr>
        <w:t xml:space="preserve">. </w:t>
      </w:r>
      <w:r w:rsidR="000E13CF" w:rsidRPr="0017179F">
        <w:rPr>
          <w:sz w:val="26"/>
          <w:szCs w:val="26"/>
        </w:rPr>
        <w:t>I&amp;E</w:t>
      </w:r>
      <w:r w:rsidR="000E13CF">
        <w:rPr>
          <w:sz w:val="26"/>
          <w:szCs w:val="26"/>
        </w:rPr>
        <w:t>-</w:t>
      </w:r>
      <w:r w:rsidRPr="0017179F">
        <w:rPr>
          <w:sz w:val="26"/>
          <w:szCs w:val="26"/>
        </w:rPr>
        <w:t>3.</w:t>
      </w:r>
    </w:p>
  </w:footnote>
  <w:footnote w:id="6">
    <w:p w14:paraId="41DBA3AD" w14:textId="4800FE83" w:rsidR="001B7490" w:rsidRPr="00464109" w:rsidRDefault="001B7490" w:rsidP="00464109">
      <w:pPr>
        <w:pStyle w:val="FootnoteText"/>
        <w:spacing w:after="120"/>
        <w:ind w:firstLine="720"/>
        <w:rPr>
          <w:sz w:val="26"/>
          <w:szCs w:val="26"/>
        </w:rPr>
      </w:pPr>
      <w:r w:rsidRPr="00464109">
        <w:rPr>
          <w:rStyle w:val="FootnoteReference"/>
          <w:sz w:val="26"/>
          <w:szCs w:val="26"/>
        </w:rPr>
        <w:footnoteRef/>
      </w:r>
      <w:r w:rsidRPr="00464109">
        <w:rPr>
          <w:sz w:val="26"/>
          <w:szCs w:val="26"/>
        </w:rPr>
        <w:tab/>
        <w:t xml:space="preserve">Also attached to the Answer </w:t>
      </w:r>
      <w:r w:rsidR="00AC12AC">
        <w:rPr>
          <w:sz w:val="26"/>
          <w:szCs w:val="26"/>
        </w:rPr>
        <w:t>to</w:t>
      </w:r>
      <w:r w:rsidR="00D76D5B">
        <w:rPr>
          <w:sz w:val="26"/>
          <w:szCs w:val="26"/>
        </w:rPr>
        <w:t xml:space="preserve"> </w:t>
      </w:r>
      <w:r w:rsidR="00AC12AC">
        <w:rPr>
          <w:sz w:val="26"/>
          <w:szCs w:val="26"/>
        </w:rPr>
        <w:t xml:space="preserve">Motion </w:t>
      </w:r>
      <w:r w:rsidRPr="00494D94">
        <w:rPr>
          <w:sz w:val="26"/>
          <w:szCs w:val="26"/>
        </w:rPr>
        <w:t>is a business card with</w:t>
      </w:r>
      <w:r>
        <w:rPr>
          <w:sz w:val="26"/>
          <w:szCs w:val="26"/>
        </w:rPr>
        <w:t xml:space="preserve"> the name and </w:t>
      </w:r>
      <w:r w:rsidRPr="00464109">
        <w:rPr>
          <w:sz w:val="26"/>
          <w:szCs w:val="26"/>
        </w:rPr>
        <w:t>phone number for the Respondent.</w:t>
      </w:r>
    </w:p>
  </w:footnote>
  <w:footnote w:id="7">
    <w:p w14:paraId="2222FA8B" w14:textId="0CB2C71E" w:rsidR="007F5ECF" w:rsidRPr="0017179F" w:rsidRDefault="007F5ECF" w:rsidP="00464109">
      <w:pPr>
        <w:pStyle w:val="FootnoteText"/>
        <w:spacing w:after="120"/>
        <w:ind w:firstLine="720"/>
        <w:rPr>
          <w:sz w:val="26"/>
          <w:szCs w:val="26"/>
        </w:rPr>
      </w:pPr>
      <w:r w:rsidRPr="0017179F">
        <w:rPr>
          <w:rStyle w:val="FootnoteReference"/>
          <w:sz w:val="26"/>
          <w:szCs w:val="26"/>
        </w:rPr>
        <w:footnoteRef/>
      </w:r>
      <w:r w:rsidRPr="0017179F">
        <w:rPr>
          <w:sz w:val="26"/>
          <w:szCs w:val="26"/>
        </w:rPr>
        <w:tab/>
        <w:t xml:space="preserve">Our </w:t>
      </w:r>
      <w:r w:rsidR="00464109" w:rsidRPr="0017179F">
        <w:rPr>
          <w:sz w:val="26"/>
          <w:szCs w:val="26"/>
        </w:rPr>
        <w:t>Regulations require</w:t>
      </w:r>
      <w:r w:rsidRPr="0017179F">
        <w:rPr>
          <w:sz w:val="26"/>
          <w:szCs w:val="26"/>
        </w:rPr>
        <w:t xml:space="preserve"> that persons, other than individuals, </w:t>
      </w:r>
      <w:r w:rsidRPr="00494D94">
        <w:rPr>
          <w:i/>
          <w:iCs/>
          <w:sz w:val="26"/>
          <w:szCs w:val="26"/>
        </w:rPr>
        <w:t>i.e.</w:t>
      </w:r>
      <w:r w:rsidRPr="0017179F">
        <w:rPr>
          <w:sz w:val="26"/>
          <w:szCs w:val="26"/>
        </w:rPr>
        <w:t xml:space="preserve"> corporations, partnerships associations and other business organizations, be represented by counsel.</w:t>
      </w:r>
      <w:r w:rsidR="00494D94">
        <w:rPr>
          <w:sz w:val="26"/>
          <w:szCs w:val="26"/>
        </w:rPr>
        <w:t xml:space="preserve"> </w:t>
      </w:r>
      <w:r w:rsidRPr="0017179F">
        <w:rPr>
          <w:sz w:val="26"/>
          <w:szCs w:val="26"/>
        </w:rPr>
        <w:t xml:space="preserve"> </w:t>
      </w:r>
      <w:r w:rsidR="00D70BCE" w:rsidRPr="00464109">
        <w:rPr>
          <w:sz w:val="26"/>
          <w:szCs w:val="26"/>
        </w:rPr>
        <w:t>52 Pa. Code §</w:t>
      </w:r>
      <w:r w:rsidR="00D70BCE" w:rsidRPr="00432752">
        <w:rPr>
          <w:sz w:val="26"/>
          <w:szCs w:val="26"/>
        </w:rPr>
        <w:t>§</w:t>
      </w:r>
      <w:r w:rsidRPr="0017179F">
        <w:rPr>
          <w:sz w:val="26"/>
          <w:szCs w:val="26"/>
        </w:rPr>
        <w:t xml:space="preserve"> </w:t>
      </w:r>
      <w:r w:rsidR="001B3BCF">
        <w:rPr>
          <w:sz w:val="26"/>
          <w:szCs w:val="26"/>
        </w:rPr>
        <w:t xml:space="preserve">1.8; </w:t>
      </w:r>
      <w:r w:rsidRPr="0017179F">
        <w:rPr>
          <w:sz w:val="26"/>
          <w:szCs w:val="26"/>
        </w:rPr>
        <w:t xml:space="preserve">1.21-1.23.  Thus, as a registered limited liability corporation (LLC) in Pennsylvania, Calypso Moving must be represented by an attorney.  </w:t>
      </w:r>
    </w:p>
  </w:footnote>
  <w:footnote w:id="8">
    <w:p w14:paraId="2E2E2B34" w14:textId="08A41727" w:rsidR="00745891" w:rsidRPr="00E719C1" w:rsidRDefault="00957E88" w:rsidP="009A492C">
      <w:pPr>
        <w:pStyle w:val="FootnoteText"/>
        <w:ind w:firstLine="720"/>
        <w:rPr>
          <w:sz w:val="26"/>
          <w:szCs w:val="26"/>
        </w:rPr>
      </w:pPr>
      <w:r w:rsidRPr="00E719C1">
        <w:rPr>
          <w:rStyle w:val="FootnoteReference"/>
          <w:sz w:val="26"/>
          <w:szCs w:val="26"/>
        </w:rPr>
        <w:footnoteRef/>
      </w:r>
      <w:r>
        <w:rPr>
          <w:sz w:val="26"/>
          <w:szCs w:val="26"/>
        </w:rPr>
        <w:tab/>
      </w:r>
      <w:r w:rsidR="00AC12AC">
        <w:rPr>
          <w:sz w:val="26"/>
          <w:szCs w:val="26"/>
        </w:rPr>
        <w:t xml:space="preserve">As earlier indicated, we consider the Respondent’s filing as an </w:t>
      </w:r>
      <w:r w:rsidR="00D76D5B">
        <w:rPr>
          <w:sz w:val="26"/>
          <w:szCs w:val="26"/>
        </w:rPr>
        <w:t>a</w:t>
      </w:r>
      <w:r w:rsidR="00AC12AC">
        <w:rPr>
          <w:sz w:val="26"/>
          <w:szCs w:val="26"/>
        </w:rPr>
        <w:t>n</w:t>
      </w:r>
      <w:r w:rsidR="00D76D5B">
        <w:rPr>
          <w:sz w:val="26"/>
          <w:szCs w:val="26"/>
        </w:rPr>
        <w:t>swer</w:t>
      </w:r>
      <w:r w:rsidR="00AC12AC">
        <w:rPr>
          <w:sz w:val="26"/>
          <w:szCs w:val="26"/>
        </w:rPr>
        <w:t xml:space="preserve"> to the Motion and not an answer to I&amp;E’s Complaint.  Therefore, in</w:t>
      </w:r>
      <w:r>
        <w:rPr>
          <w:sz w:val="26"/>
          <w:szCs w:val="26"/>
        </w:rPr>
        <w:t xml:space="preserve"> accordance with Section 5.61(c) of the Commission’s Regulations, a Respondent who fails to file an answer to a Complaint within the 20-day response period may be deemed in default, and the relevant facts stated in the Complaint may be deemed admitted.  </w:t>
      </w:r>
    </w:p>
  </w:footnote>
  <w:footnote w:id="9">
    <w:p w14:paraId="66E716DF" w14:textId="03E5A397" w:rsidR="00E9598B" w:rsidRPr="00EB1309" w:rsidRDefault="00E9598B" w:rsidP="005D76E4">
      <w:pPr>
        <w:pStyle w:val="FootnoteText"/>
        <w:ind w:firstLine="720"/>
        <w:rPr>
          <w:sz w:val="26"/>
          <w:szCs w:val="26"/>
        </w:rPr>
      </w:pPr>
      <w:r w:rsidRPr="00464109">
        <w:rPr>
          <w:rStyle w:val="FootnoteReference"/>
          <w:sz w:val="26"/>
          <w:szCs w:val="26"/>
        </w:rPr>
        <w:footnoteRef/>
      </w:r>
      <w:r w:rsidRPr="00432752">
        <w:rPr>
          <w:sz w:val="26"/>
          <w:szCs w:val="26"/>
        </w:rPr>
        <w:tab/>
        <w:t xml:space="preserve">This Commission has held that pleadings must be filed by an attorney in good standing to practice before a Court of record of the Commonwealth of Pennsylvania.  </w:t>
      </w:r>
      <w:r w:rsidRPr="00432752">
        <w:rPr>
          <w:i/>
          <w:sz w:val="26"/>
          <w:szCs w:val="26"/>
        </w:rPr>
        <w:t>See</w:t>
      </w:r>
      <w:r w:rsidRPr="00432752">
        <w:rPr>
          <w:sz w:val="26"/>
          <w:szCs w:val="26"/>
        </w:rPr>
        <w:t xml:space="preserve"> </w:t>
      </w:r>
      <w:r w:rsidRPr="00432752">
        <w:rPr>
          <w:i/>
          <w:iCs/>
          <w:sz w:val="26"/>
          <w:szCs w:val="26"/>
        </w:rPr>
        <w:t xml:space="preserve">In Re: </w:t>
      </w:r>
      <w:r w:rsidR="00D70BCE" w:rsidRPr="00464109">
        <w:rPr>
          <w:i/>
          <w:sz w:val="26"/>
          <w:szCs w:val="26"/>
        </w:rPr>
        <w:t>Checker Cab</w:t>
      </w:r>
      <w:r w:rsidR="00D70BCE" w:rsidRPr="00464109">
        <w:rPr>
          <w:sz w:val="26"/>
          <w:szCs w:val="26"/>
        </w:rPr>
        <w:t>, 49 Pa. P</w:t>
      </w:r>
      <w:r w:rsidR="00CC6E8C">
        <w:rPr>
          <w:sz w:val="26"/>
          <w:szCs w:val="26"/>
        </w:rPr>
        <w:t>.</w:t>
      </w:r>
      <w:r w:rsidR="00D70BCE" w:rsidRPr="00464109">
        <w:rPr>
          <w:sz w:val="26"/>
          <w:szCs w:val="26"/>
        </w:rPr>
        <w:t>U</w:t>
      </w:r>
      <w:r w:rsidR="00CC6E8C">
        <w:rPr>
          <w:sz w:val="26"/>
          <w:szCs w:val="26"/>
        </w:rPr>
        <w:t>.</w:t>
      </w:r>
      <w:r w:rsidR="00D70BCE" w:rsidRPr="00464109">
        <w:rPr>
          <w:sz w:val="26"/>
          <w:szCs w:val="26"/>
        </w:rPr>
        <w:t>C</w:t>
      </w:r>
      <w:r w:rsidR="00CC6E8C">
        <w:rPr>
          <w:sz w:val="26"/>
          <w:szCs w:val="26"/>
        </w:rPr>
        <w:t>.</w:t>
      </w:r>
      <w:r w:rsidR="00D70BCE" w:rsidRPr="00464109">
        <w:rPr>
          <w:sz w:val="26"/>
          <w:szCs w:val="26"/>
        </w:rPr>
        <w:t xml:space="preserve"> 159, 160 (1975)</w:t>
      </w:r>
      <w:r w:rsidRPr="00432752">
        <w:rPr>
          <w:sz w:val="26"/>
          <w:szCs w:val="26"/>
        </w:rPr>
        <w:t xml:space="preserve"> (Pleadings must be filed by an attorney in good standing to practice </w:t>
      </w:r>
      <w:r w:rsidRPr="00F77C5A">
        <w:rPr>
          <w:sz w:val="26"/>
          <w:szCs w:val="26"/>
        </w:rPr>
        <w:t xml:space="preserve">before a Court of record of the Commonwealth </w:t>
      </w:r>
      <w:r w:rsidRPr="009319CE">
        <w:rPr>
          <w:sz w:val="26"/>
          <w:szCs w:val="26"/>
        </w:rPr>
        <w:t xml:space="preserve">of Pennsylvania. Letter from manager filed as response to order to show cause rejected.); </w:t>
      </w:r>
      <w:r w:rsidR="00D70BCE" w:rsidRPr="009319CE">
        <w:rPr>
          <w:i/>
          <w:sz w:val="26"/>
          <w:szCs w:val="26"/>
        </w:rPr>
        <w:t>Moore v. I. Berman and Cross, Inc.</w:t>
      </w:r>
      <w:r w:rsidR="00D70BCE" w:rsidRPr="009319CE">
        <w:rPr>
          <w:sz w:val="26"/>
          <w:szCs w:val="26"/>
        </w:rPr>
        <w:t>, 49 Pa.</w:t>
      </w:r>
      <w:r w:rsidR="005875F5" w:rsidRPr="009319CE">
        <w:rPr>
          <w:sz w:val="26"/>
          <w:szCs w:val="26"/>
        </w:rPr>
        <w:t xml:space="preserve"> </w:t>
      </w:r>
      <w:r w:rsidR="00D70BCE" w:rsidRPr="009319CE">
        <w:rPr>
          <w:sz w:val="26"/>
          <w:szCs w:val="26"/>
        </w:rPr>
        <w:t>P</w:t>
      </w:r>
      <w:r w:rsidR="00EA7F30" w:rsidRPr="009319CE">
        <w:rPr>
          <w:sz w:val="26"/>
          <w:szCs w:val="26"/>
        </w:rPr>
        <w:t>.</w:t>
      </w:r>
      <w:r w:rsidR="00D70BCE" w:rsidRPr="009319CE">
        <w:rPr>
          <w:sz w:val="26"/>
          <w:szCs w:val="26"/>
        </w:rPr>
        <w:t>U</w:t>
      </w:r>
      <w:r w:rsidR="00EA7F30" w:rsidRPr="009319CE">
        <w:rPr>
          <w:sz w:val="26"/>
          <w:szCs w:val="26"/>
        </w:rPr>
        <w:t>.</w:t>
      </w:r>
      <w:r w:rsidR="00D70BCE" w:rsidRPr="009319CE">
        <w:rPr>
          <w:sz w:val="26"/>
          <w:szCs w:val="26"/>
        </w:rPr>
        <w:t>C</w:t>
      </w:r>
      <w:r w:rsidR="00EA7F30" w:rsidRPr="009319CE">
        <w:rPr>
          <w:sz w:val="26"/>
          <w:szCs w:val="26"/>
        </w:rPr>
        <w:t>.</w:t>
      </w:r>
      <w:r w:rsidR="00D70BCE" w:rsidRPr="009319CE">
        <w:rPr>
          <w:sz w:val="26"/>
          <w:szCs w:val="26"/>
        </w:rPr>
        <w:t xml:space="preserve"> 427, 428 (1975)</w:t>
      </w:r>
      <w:r w:rsidRPr="009319CE">
        <w:rPr>
          <w:sz w:val="26"/>
          <w:szCs w:val="26"/>
        </w:rPr>
        <w:t xml:space="preserve"> (Officer cannot appear on behalf of corporation).</w:t>
      </w:r>
      <w:r w:rsidR="00464109" w:rsidRPr="009319CE">
        <w:rPr>
          <w:sz w:val="26"/>
          <w:szCs w:val="26"/>
        </w:rPr>
        <w:t xml:space="preserve"> </w:t>
      </w:r>
      <w:r w:rsidRPr="009319CE">
        <w:rPr>
          <w:sz w:val="26"/>
          <w:szCs w:val="26"/>
        </w:rPr>
        <w:t xml:space="preserve"> </w:t>
      </w:r>
      <w:r w:rsidRPr="005328C9">
        <w:rPr>
          <w:i/>
          <w:sz w:val="26"/>
          <w:szCs w:val="26"/>
        </w:rPr>
        <w:t>See also</w:t>
      </w:r>
      <w:r w:rsidRPr="005328C9">
        <w:rPr>
          <w:sz w:val="26"/>
          <w:szCs w:val="26"/>
        </w:rPr>
        <w:t xml:space="preserve"> </w:t>
      </w:r>
      <w:proofErr w:type="spellStart"/>
      <w:r w:rsidR="00F77C5A" w:rsidRPr="005328C9">
        <w:rPr>
          <w:i/>
          <w:iCs/>
          <w:sz w:val="26"/>
          <w:szCs w:val="26"/>
        </w:rPr>
        <w:t>Shortz</w:t>
      </w:r>
      <w:proofErr w:type="spellEnd"/>
      <w:r w:rsidR="00F77C5A" w:rsidRPr="005328C9">
        <w:rPr>
          <w:i/>
          <w:iCs/>
          <w:sz w:val="26"/>
          <w:szCs w:val="26"/>
        </w:rPr>
        <w:t xml:space="preserve"> v. Farrell</w:t>
      </w:r>
      <w:r w:rsidR="00F77C5A" w:rsidRPr="005328C9">
        <w:rPr>
          <w:sz w:val="26"/>
          <w:szCs w:val="26"/>
        </w:rPr>
        <w:t>, 327 Pa. 81, 193 S. 20 (1937)</w:t>
      </w:r>
      <w:r w:rsidRPr="005328C9">
        <w:rPr>
          <w:sz w:val="26"/>
          <w:szCs w:val="26"/>
        </w:rPr>
        <w:t xml:space="preserve">; </w:t>
      </w:r>
      <w:r w:rsidRPr="005328C9">
        <w:rPr>
          <w:i/>
          <w:iCs/>
          <w:sz w:val="26"/>
          <w:szCs w:val="26"/>
        </w:rPr>
        <w:t>Franconia Mennonite Conference v. Verizon Pennsylvania Inc.</w:t>
      </w:r>
      <w:r w:rsidRPr="005328C9">
        <w:rPr>
          <w:sz w:val="26"/>
          <w:szCs w:val="26"/>
        </w:rPr>
        <w:t xml:space="preserve">, Docket No. C-20029008 (Final Order entered June 6, 2003).  Therefore, we will disregard the Answer </w:t>
      </w:r>
      <w:r w:rsidR="008759F4" w:rsidRPr="005328C9">
        <w:rPr>
          <w:sz w:val="26"/>
          <w:szCs w:val="26"/>
        </w:rPr>
        <w:t>t</w:t>
      </w:r>
      <w:r w:rsidR="00C25D35" w:rsidRPr="005328C9">
        <w:rPr>
          <w:sz w:val="26"/>
          <w:szCs w:val="26"/>
        </w:rPr>
        <w:t>o</w:t>
      </w:r>
      <w:r w:rsidR="008759F4" w:rsidRPr="005328C9">
        <w:rPr>
          <w:sz w:val="26"/>
          <w:szCs w:val="26"/>
        </w:rPr>
        <w:t xml:space="preserve"> Motion </w:t>
      </w:r>
      <w:r w:rsidRPr="005328C9">
        <w:rPr>
          <w:sz w:val="26"/>
          <w:szCs w:val="26"/>
        </w:rPr>
        <w:t xml:space="preserve">since it was not filed by </w:t>
      </w:r>
      <w:r w:rsidR="00C25D35" w:rsidRPr="005328C9">
        <w:rPr>
          <w:sz w:val="26"/>
          <w:szCs w:val="26"/>
        </w:rPr>
        <w:t xml:space="preserve">an </w:t>
      </w:r>
      <w:r w:rsidRPr="005328C9">
        <w:rPr>
          <w:sz w:val="26"/>
          <w:szCs w:val="26"/>
        </w:rPr>
        <w:t>attorney but by the owner of Calypso Moving.</w:t>
      </w:r>
      <w:r w:rsidRPr="008C0647">
        <w:rPr>
          <w:sz w:val="26"/>
          <w:szCs w:val="26"/>
        </w:rPr>
        <w:t xml:space="preserve">  </w:t>
      </w:r>
    </w:p>
  </w:footnote>
  <w:footnote w:id="10">
    <w:p w14:paraId="2A85EE13" w14:textId="4BFBDAE7" w:rsidR="00440CA1" w:rsidRDefault="00440CA1" w:rsidP="007D7995">
      <w:pPr>
        <w:keepNext/>
        <w:keepLines/>
        <w:widowControl/>
        <w:autoSpaceDE w:val="0"/>
        <w:autoSpaceDN w:val="0"/>
        <w:adjustRightInd w:val="0"/>
        <w:ind w:firstLine="720"/>
        <w:rPr>
          <w:sz w:val="26"/>
          <w:szCs w:val="26"/>
        </w:rPr>
      </w:pPr>
      <w:r>
        <w:rPr>
          <w:rStyle w:val="FootnoteReference"/>
          <w:sz w:val="26"/>
          <w:szCs w:val="26"/>
        </w:rPr>
        <w:footnoteRef/>
      </w:r>
      <w:r>
        <w:rPr>
          <w:sz w:val="26"/>
          <w:szCs w:val="26"/>
        </w:rPr>
        <w:tab/>
        <w:t>Section 3310 of the Code, 66 Pa.</w:t>
      </w:r>
      <w:r w:rsidR="00C25D35">
        <w:rPr>
          <w:sz w:val="26"/>
          <w:szCs w:val="26"/>
        </w:rPr>
        <w:t xml:space="preserve"> </w:t>
      </w:r>
      <w:r>
        <w:rPr>
          <w:sz w:val="26"/>
          <w:szCs w:val="26"/>
        </w:rPr>
        <w:t xml:space="preserve">C.S. § 3310(c), which was amended and made effective on February 20, 2018, authorizes the Commission to impose the following penalties on any person or corporation who </w:t>
      </w:r>
      <w:r w:rsidR="008C12E4">
        <w:rPr>
          <w:sz w:val="26"/>
          <w:szCs w:val="26"/>
        </w:rPr>
        <w:t>operates in violation of 66 Pa.</w:t>
      </w:r>
      <w:r w:rsidR="004F727E">
        <w:rPr>
          <w:sz w:val="26"/>
          <w:szCs w:val="26"/>
        </w:rPr>
        <w:t xml:space="preserve"> </w:t>
      </w:r>
      <w:r>
        <w:rPr>
          <w:sz w:val="26"/>
          <w:szCs w:val="26"/>
        </w:rPr>
        <w:t>C.S. § 3310(b) as a common carrier or contract carrier by motor vehicle without a certificate of public convenience, permit, or license: (1) A $5,000 administrative penalty shall be imposed for a first violation and $10,000 for a second or subsequent violation; (2) Suspension of the registration of any vehicle whereby a determination has been made that it operated as a common carrier or contract carrier by motor vehicle without the approval of the</w:t>
      </w:r>
      <w:r w:rsidR="00745891">
        <w:rPr>
          <w:sz w:val="26"/>
          <w:szCs w:val="26"/>
        </w:rPr>
        <w:t xml:space="preserve"> </w:t>
      </w:r>
      <w:r>
        <w:rPr>
          <w:sz w:val="26"/>
          <w:szCs w:val="26"/>
        </w:rPr>
        <w:t>Commi</w:t>
      </w:r>
      <w:r w:rsidR="008C12E4">
        <w:rPr>
          <w:sz w:val="26"/>
          <w:szCs w:val="26"/>
        </w:rPr>
        <w:t>ssion in accordance with 75 Pa.</w:t>
      </w:r>
      <w:r w:rsidR="004F727E">
        <w:rPr>
          <w:sz w:val="26"/>
          <w:szCs w:val="26"/>
        </w:rPr>
        <w:t xml:space="preserve"> </w:t>
      </w:r>
      <w:r>
        <w:rPr>
          <w:sz w:val="26"/>
          <w:szCs w:val="26"/>
        </w:rPr>
        <w:t xml:space="preserve">C.S. § 1375; and (3) Confiscation and impoundment of vehicles which have been used to provide common carrier or </w:t>
      </w:r>
      <w:r>
        <w:rPr>
          <w:i/>
          <w:iCs/>
          <w:sz w:val="26"/>
          <w:szCs w:val="26"/>
        </w:rPr>
        <w:t xml:space="preserve">contract </w:t>
      </w:r>
      <w:r>
        <w:rPr>
          <w:sz w:val="26"/>
          <w:szCs w:val="26"/>
        </w:rPr>
        <w:t>carrier by motor vehicle without Commission approval, subject to the process for the disposition of impounded veh</w:t>
      </w:r>
      <w:r w:rsidR="008C12E4">
        <w:rPr>
          <w:sz w:val="26"/>
          <w:szCs w:val="26"/>
        </w:rPr>
        <w:t>icles as set forth under 75 Pa.</w:t>
      </w:r>
      <w:r w:rsidR="004F727E">
        <w:rPr>
          <w:sz w:val="26"/>
          <w:szCs w:val="26"/>
        </w:rPr>
        <w:t xml:space="preserve"> </w:t>
      </w:r>
      <w:r>
        <w:rPr>
          <w:sz w:val="26"/>
          <w:szCs w:val="26"/>
        </w:rPr>
        <w:t>C.S. § 6310.</w:t>
      </w:r>
    </w:p>
  </w:footnote>
  <w:footnote w:id="11">
    <w:p w14:paraId="185527A6" w14:textId="7ED35188" w:rsidR="009001F3" w:rsidRPr="00EB1309" w:rsidRDefault="009001F3" w:rsidP="00494D94">
      <w:pPr>
        <w:widowControl/>
        <w:ind w:firstLine="720"/>
      </w:pPr>
      <w:r w:rsidRPr="00EB1309">
        <w:rPr>
          <w:rStyle w:val="FootnoteReference"/>
          <w:sz w:val="26"/>
          <w:szCs w:val="26"/>
        </w:rPr>
        <w:footnoteRef/>
      </w:r>
      <w:r w:rsidRPr="00EB1309">
        <w:rPr>
          <w:sz w:val="26"/>
          <w:szCs w:val="26"/>
        </w:rPr>
        <w:tab/>
        <w:t xml:space="preserve">It is well settled that “indiscriminate holding out to the general public” as a common carrier is a violation of the Code.  </w:t>
      </w:r>
      <w:r w:rsidRPr="00EB1309">
        <w:rPr>
          <w:i/>
          <w:sz w:val="26"/>
          <w:szCs w:val="26"/>
        </w:rPr>
        <w:t>Commonwealth v. Babb</w:t>
      </w:r>
      <w:r w:rsidRPr="00EB1309">
        <w:rPr>
          <w:sz w:val="26"/>
          <w:szCs w:val="26"/>
        </w:rPr>
        <w:t>,</w:t>
      </w:r>
      <w:r w:rsidRPr="00EB1309">
        <w:rPr>
          <w:i/>
          <w:sz w:val="26"/>
          <w:szCs w:val="26"/>
        </w:rPr>
        <w:t xml:space="preserve"> </w:t>
      </w:r>
      <w:r w:rsidRPr="00EB1309">
        <w:rPr>
          <w:sz w:val="26"/>
          <w:szCs w:val="26"/>
        </w:rPr>
        <w:t>70 A.2d 660, 602 (Pa. Super. 1950) (</w:t>
      </w:r>
      <w:r w:rsidRPr="00EB1309">
        <w:rPr>
          <w:i/>
          <w:sz w:val="26"/>
          <w:szCs w:val="26"/>
        </w:rPr>
        <w:t>Babb</w:t>
      </w:r>
      <w:r w:rsidRPr="00EB1309">
        <w:rPr>
          <w:sz w:val="26"/>
          <w:szCs w:val="26"/>
        </w:rPr>
        <w:t xml:space="preserve">); </w:t>
      </w:r>
      <w:r w:rsidRPr="00EB1309">
        <w:rPr>
          <w:i/>
          <w:sz w:val="26"/>
          <w:szCs w:val="26"/>
        </w:rPr>
        <w:t>see also, Application of Moselle Morris</w:t>
      </w:r>
      <w:r w:rsidRPr="00EB1309">
        <w:rPr>
          <w:sz w:val="26"/>
          <w:szCs w:val="26"/>
        </w:rPr>
        <w:t>, Docket No. A</w:t>
      </w:r>
      <w:r w:rsidR="000E4558">
        <w:rPr>
          <w:sz w:val="26"/>
          <w:szCs w:val="26"/>
        </w:rPr>
        <w:noBreakHyphen/>
      </w:r>
      <w:r w:rsidRPr="00EB1309">
        <w:rPr>
          <w:sz w:val="26"/>
          <w:szCs w:val="26"/>
        </w:rPr>
        <w:t>2009</w:t>
      </w:r>
      <w:r w:rsidR="000E4558">
        <w:rPr>
          <w:sz w:val="26"/>
          <w:szCs w:val="26"/>
        </w:rPr>
        <w:noBreakHyphen/>
      </w:r>
      <w:r w:rsidRPr="00EB1309">
        <w:rPr>
          <w:sz w:val="26"/>
          <w:szCs w:val="26"/>
        </w:rPr>
        <w:t xml:space="preserve">2098317 (Final Order entered December 3, 2009).  The Commission has found that the holding out to provide passenger transportation service without first obtaining a Certificate from the Commission is a violation of Section 1101 of the Code, even when there is no evidence that the transportation service was actually rendered or that compensation was received for such service.  </w:t>
      </w:r>
      <w:r w:rsidRPr="00EB1309">
        <w:rPr>
          <w:i/>
          <w:sz w:val="26"/>
          <w:szCs w:val="26"/>
        </w:rPr>
        <w:t>See Pa. PUC v. Applegate</w:t>
      </w:r>
      <w:r w:rsidRPr="00EB1309">
        <w:rPr>
          <w:sz w:val="26"/>
          <w:szCs w:val="26"/>
        </w:rPr>
        <w:t>, Docket No. C</w:t>
      </w:r>
      <w:r w:rsidR="00745891">
        <w:rPr>
          <w:sz w:val="26"/>
          <w:szCs w:val="26"/>
        </w:rPr>
        <w:noBreakHyphen/>
      </w:r>
      <w:r w:rsidRPr="00EB1309">
        <w:rPr>
          <w:sz w:val="26"/>
          <w:szCs w:val="26"/>
        </w:rPr>
        <w:t xml:space="preserve">2015-2451749 (Final Order entered May 23, 2016) and </w:t>
      </w:r>
      <w:r w:rsidRPr="00EB1309">
        <w:rPr>
          <w:i/>
          <w:sz w:val="26"/>
          <w:szCs w:val="26"/>
        </w:rPr>
        <w:t>Pa. PUC v. Cintron</w:t>
      </w:r>
      <w:r w:rsidRPr="00EB1309">
        <w:rPr>
          <w:sz w:val="26"/>
          <w:szCs w:val="26"/>
        </w:rPr>
        <w:t xml:space="preserve">, Docket No. C-2015-2473286 (Final Order entered February 1, 2016).  Additionally, it is not necessary for an entity to charge a specific fee or even ask for compensation for the Commission to conclude that the entity operated as a common carrier without a Certificate.  </w:t>
      </w:r>
      <w:r w:rsidRPr="00EB1309">
        <w:rPr>
          <w:i/>
          <w:sz w:val="26"/>
          <w:szCs w:val="26"/>
        </w:rPr>
        <w:t>Babb</w:t>
      </w:r>
      <w:r w:rsidRPr="009C32E9">
        <w:rPr>
          <w:iCs/>
          <w:sz w:val="26"/>
          <w:szCs w:val="26"/>
        </w:rPr>
        <w:t>,</w:t>
      </w:r>
      <w:r w:rsidRPr="00EB1309">
        <w:rPr>
          <w:i/>
          <w:sz w:val="26"/>
          <w:szCs w:val="26"/>
        </w:rPr>
        <w:t xml:space="preserve"> </w:t>
      </w:r>
      <w:r w:rsidRPr="00EB1309">
        <w:rPr>
          <w:sz w:val="26"/>
          <w:szCs w:val="26"/>
        </w:rPr>
        <w:t>70 A.2d at 663.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64C0F68"/>
    <w:multiLevelType w:val="hybridMultilevel"/>
    <w:tmpl w:val="D5743F9A"/>
    <w:lvl w:ilvl="0" w:tplc="E9D880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05FA"/>
    <w:rsid w:val="00001380"/>
    <w:rsid w:val="00001873"/>
    <w:rsid w:val="00002203"/>
    <w:rsid w:val="00002348"/>
    <w:rsid w:val="00002CE4"/>
    <w:rsid w:val="00002F2A"/>
    <w:rsid w:val="00002F49"/>
    <w:rsid w:val="000038D3"/>
    <w:rsid w:val="0000415E"/>
    <w:rsid w:val="00005EE1"/>
    <w:rsid w:val="00005F78"/>
    <w:rsid w:val="000065AF"/>
    <w:rsid w:val="00007161"/>
    <w:rsid w:val="00007440"/>
    <w:rsid w:val="000074DC"/>
    <w:rsid w:val="00007597"/>
    <w:rsid w:val="00007888"/>
    <w:rsid w:val="0001099D"/>
    <w:rsid w:val="00010B66"/>
    <w:rsid w:val="00010E45"/>
    <w:rsid w:val="00012D0C"/>
    <w:rsid w:val="000138C9"/>
    <w:rsid w:val="00013B61"/>
    <w:rsid w:val="00013FDE"/>
    <w:rsid w:val="000146EC"/>
    <w:rsid w:val="00014C68"/>
    <w:rsid w:val="000158F2"/>
    <w:rsid w:val="00015A01"/>
    <w:rsid w:val="00020552"/>
    <w:rsid w:val="00020E43"/>
    <w:rsid w:val="00021A75"/>
    <w:rsid w:val="00022D45"/>
    <w:rsid w:val="00022F69"/>
    <w:rsid w:val="00023536"/>
    <w:rsid w:val="0002355F"/>
    <w:rsid w:val="00030A78"/>
    <w:rsid w:val="000310BE"/>
    <w:rsid w:val="000323A8"/>
    <w:rsid w:val="00033C9A"/>
    <w:rsid w:val="00034A5D"/>
    <w:rsid w:val="00034CD7"/>
    <w:rsid w:val="00035CE7"/>
    <w:rsid w:val="00036927"/>
    <w:rsid w:val="000369A9"/>
    <w:rsid w:val="00042F9E"/>
    <w:rsid w:val="000438A2"/>
    <w:rsid w:val="00044CC4"/>
    <w:rsid w:val="00045A7A"/>
    <w:rsid w:val="00045D01"/>
    <w:rsid w:val="000505E5"/>
    <w:rsid w:val="000510B7"/>
    <w:rsid w:val="00051647"/>
    <w:rsid w:val="00052BDC"/>
    <w:rsid w:val="00053CED"/>
    <w:rsid w:val="000549A7"/>
    <w:rsid w:val="00056AD8"/>
    <w:rsid w:val="00057057"/>
    <w:rsid w:val="00057859"/>
    <w:rsid w:val="000579BA"/>
    <w:rsid w:val="000606AA"/>
    <w:rsid w:val="000610F9"/>
    <w:rsid w:val="00061850"/>
    <w:rsid w:val="000620D6"/>
    <w:rsid w:val="0006229E"/>
    <w:rsid w:val="00062705"/>
    <w:rsid w:val="000629CD"/>
    <w:rsid w:val="00063028"/>
    <w:rsid w:val="00063701"/>
    <w:rsid w:val="00063979"/>
    <w:rsid w:val="00064692"/>
    <w:rsid w:val="00065DB6"/>
    <w:rsid w:val="00065E03"/>
    <w:rsid w:val="00066C24"/>
    <w:rsid w:val="00067196"/>
    <w:rsid w:val="000673D1"/>
    <w:rsid w:val="00067A0D"/>
    <w:rsid w:val="00067CDB"/>
    <w:rsid w:val="0007054A"/>
    <w:rsid w:val="00071064"/>
    <w:rsid w:val="00071A8A"/>
    <w:rsid w:val="00072374"/>
    <w:rsid w:val="00072AC2"/>
    <w:rsid w:val="00072D9D"/>
    <w:rsid w:val="00073870"/>
    <w:rsid w:val="00075210"/>
    <w:rsid w:val="00075C6D"/>
    <w:rsid w:val="00075F0C"/>
    <w:rsid w:val="00077515"/>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304"/>
    <w:rsid w:val="000A35F4"/>
    <w:rsid w:val="000A4770"/>
    <w:rsid w:val="000A59F2"/>
    <w:rsid w:val="000A7169"/>
    <w:rsid w:val="000A748C"/>
    <w:rsid w:val="000A7D89"/>
    <w:rsid w:val="000A7DDC"/>
    <w:rsid w:val="000A7F91"/>
    <w:rsid w:val="000A7F96"/>
    <w:rsid w:val="000B2875"/>
    <w:rsid w:val="000B2B80"/>
    <w:rsid w:val="000B3003"/>
    <w:rsid w:val="000B465F"/>
    <w:rsid w:val="000B4ED0"/>
    <w:rsid w:val="000B6379"/>
    <w:rsid w:val="000B6B86"/>
    <w:rsid w:val="000B6C00"/>
    <w:rsid w:val="000B729D"/>
    <w:rsid w:val="000C0702"/>
    <w:rsid w:val="000C22A2"/>
    <w:rsid w:val="000C474C"/>
    <w:rsid w:val="000C70B2"/>
    <w:rsid w:val="000C742F"/>
    <w:rsid w:val="000C7C92"/>
    <w:rsid w:val="000D03DD"/>
    <w:rsid w:val="000D11D9"/>
    <w:rsid w:val="000D2456"/>
    <w:rsid w:val="000D7483"/>
    <w:rsid w:val="000E014F"/>
    <w:rsid w:val="000E13CF"/>
    <w:rsid w:val="000E3C57"/>
    <w:rsid w:val="000E3D4A"/>
    <w:rsid w:val="000E3D4C"/>
    <w:rsid w:val="000E4558"/>
    <w:rsid w:val="000E4BED"/>
    <w:rsid w:val="000E4C0F"/>
    <w:rsid w:val="000E515B"/>
    <w:rsid w:val="000E5370"/>
    <w:rsid w:val="000E570C"/>
    <w:rsid w:val="000E5BCD"/>
    <w:rsid w:val="000E65B0"/>
    <w:rsid w:val="000F086A"/>
    <w:rsid w:val="000F1318"/>
    <w:rsid w:val="000F22DA"/>
    <w:rsid w:val="000F2540"/>
    <w:rsid w:val="000F2935"/>
    <w:rsid w:val="000F35E6"/>
    <w:rsid w:val="000F3795"/>
    <w:rsid w:val="000F3896"/>
    <w:rsid w:val="000F3AD3"/>
    <w:rsid w:val="000F4467"/>
    <w:rsid w:val="000F4F95"/>
    <w:rsid w:val="000F69B0"/>
    <w:rsid w:val="000F6D5A"/>
    <w:rsid w:val="000F6FB4"/>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C9A"/>
    <w:rsid w:val="00114D80"/>
    <w:rsid w:val="0011580C"/>
    <w:rsid w:val="001164C8"/>
    <w:rsid w:val="001170DB"/>
    <w:rsid w:val="00120FCD"/>
    <w:rsid w:val="00121111"/>
    <w:rsid w:val="00122941"/>
    <w:rsid w:val="00123375"/>
    <w:rsid w:val="00123802"/>
    <w:rsid w:val="0012456C"/>
    <w:rsid w:val="00125890"/>
    <w:rsid w:val="001260A0"/>
    <w:rsid w:val="0012697D"/>
    <w:rsid w:val="00130471"/>
    <w:rsid w:val="00131517"/>
    <w:rsid w:val="00131A77"/>
    <w:rsid w:val="00131B43"/>
    <w:rsid w:val="00132C3A"/>
    <w:rsid w:val="00133684"/>
    <w:rsid w:val="00134874"/>
    <w:rsid w:val="00134C35"/>
    <w:rsid w:val="00134D3A"/>
    <w:rsid w:val="00140EBD"/>
    <w:rsid w:val="00141760"/>
    <w:rsid w:val="00141DBB"/>
    <w:rsid w:val="001437B9"/>
    <w:rsid w:val="001437FC"/>
    <w:rsid w:val="00145223"/>
    <w:rsid w:val="00150989"/>
    <w:rsid w:val="00151166"/>
    <w:rsid w:val="00153234"/>
    <w:rsid w:val="00153B73"/>
    <w:rsid w:val="00154F21"/>
    <w:rsid w:val="0015662E"/>
    <w:rsid w:val="0015669F"/>
    <w:rsid w:val="0015686E"/>
    <w:rsid w:val="00156BE1"/>
    <w:rsid w:val="0015798E"/>
    <w:rsid w:val="00157A84"/>
    <w:rsid w:val="00157BA2"/>
    <w:rsid w:val="0016005F"/>
    <w:rsid w:val="00160565"/>
    <w:rsid w:val="001606BC"/>
    <w:rsid w:val="00160B7C"/>
    <w:rsid w:val="00161471"/>
    <w:rsid w:val="00161E6E"/>
    <w:rsid w:val="001620E4"/>
    <w:rsid w:val="00162420"/>
    <w:rsid w:val="00163AA3"/>
    <w:rsid w:val="001658B7"/>
    <w:rsid w:val="00165945"/>
    <w:rsid w:val="00167F11"/>
    <w:rsid w:val="00170F24"/>
    <w:rsid w:val="001716CD"/>
    <w:rsid w:val="00172C4A"/>
    <w:rsid w:val="001730AD"/>
    <w:rsid w:val="001738D5"/>
    <w:rsid w:val="00174D7D"/>
    <w:rsid w:val="00175A0C"/>
    <w:rsid w:val="00175B2F"/>
    <w:rsid w:val="00177A43"/>
    <w:rsid w:val="00180ACF"/>
    <w:rsid w:val="00182179"/>
    <w:rsid w:val="0018236E"/>
    <w:rsid w:val="001827DB"/>
    <w:rsid w:val="00183632"/>
    <w:rsid w:val="001836EC"/>
    <w:rsid w:val="001847E8"/>
    <w:rsid w:val="00185B5E"/>
    <w:rsid w:val="00186183"/>
    <w:rsid w:val="00186887"/>
    <w:rsid w:val="001870DE"/>
    <w:rsid w:val="0019093F"/>
    <w:rsid w:val="00191574"/>
    <w:rsid w:val="00191851"/>
    <w:rsid w:val="001921A9"/>
    <w:rsid w:val="00192EBC"/>
    <w:rsid w:val="00193CEB"/>
    <w:rsid w:val="00193D64"/>
    <w:rsid w:val="00196484"/>
    <w:rsid w:val="001967BB"/>
    <w:rsid w:val="00196BDC"/>
    <w:rsid w:val="00197F3D"/>
    <w:rsid w:val="001A1010"/>
    <w:rsid w:val="001A17C3"/>
    <w:rsid w:val="001A29C7"/>
    <w:rsid w:val="001A4A0C"/>
    <w:rsid w:val="001A53C8"/>
    <w:rsid w:val="001A6370"/>
    <w:rsid w:val="001B1A49"/>
    <w:rsid w:val="001B3BCF"/>
    <w:rsid w:val="001B4783"/>
    <w:rsid w:val="001B48DC"/>
    <w:rsid w:val="001B54B3"/>
    <w:rsid w:val="001B5664"/>
    <w:rsid w:val="001B5969"/>
    <w:rsid w:val="001B66E1"/>
    <w:rsid w:val="001B6B53"/>
    <w:rsid w:val="001B6C9B"/>
    <w:rsid w:val="001B73A5"/>
    <w:rsid w:val="001B7490"/>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3011"/>
    <w:rsid w:val="001D412C"/>
    <w:rsid w:val="001D5393"/>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0DA4"/>
    <w:rsid w:val="002013B2"/>
    <w:rsid w:val="00201CF3"/>
    <w:rsid w:val="00201F63"/>
    <w:rsid w:val="0020406A"/>
    <w:rsid w:val="00204305"/>
    <w:rsid w:val="00205839"/>
    <w:rsid w:val="00206720"/>
    <w:rsid w:val="002068D2"/>
    <w:rsid w:val="00206C74"/>
    <w:rsid w:val="002071C1"/>
    <w:rsid w:val="002074F3"/>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4D5D"/>
    <w:rsid w:val="00225BD2"/>
    <w:rsid w:val="00226222"/>
    <w:rsid w:val="0022734C"/>
    <w:rsid w:val="00230396"/>
    <w:rsid w:val="00230BAB"/>
    <w:rsid w:val="00231CDD"/>
    <w:rsid w:val="00233E2F"/>
    <w:rsid w:val="0023535F"/>
    <w:rsid w:val="002365DC"/>
    <w:rsid w:val="00237CB3"/>
    <w:rsid w:val="00241B87"/>
    <w:rsid w:val="00246BA0"/>
    <w:rsid w:val="00247BB1"/>
    <w:rsid w:val="00252D9D"/>
    <w:rsid w:val="00252E14"/>
    <w:rsid w:val="00252FE2"/>
    <w:rsid w:val="00253F56"/>
    <w:rsid w:val="00253FD2"/>
    <w:rsid w:val="00255A6D"/>
    <w:rsid w:val="0025691E"/>
    <w:rsid w:val="00256A4C"/>
    <w:rsid w:val="00260041"/>
    <w:rsid w:val="00260547"/>
    <w:rsid w:val="00260A97"/>
    <w:rsid w:val="0026191C"/>
    <w:rsid w:val="00262AF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0985"/>
    <w:rsid w:val="00281D3B"/>
    <w:rsid w:val="00282D52"/>
    <w:rsid w:val="002836FA"/>
    <w:rsid w:val="002838E3"/>
    <w:rsid w:val="00285550"/>
    <w:rsid w:val="00285919"/>
    <w:rsid w:val="00285E1B"/>
    <w:rsid w:val="00285E73"/>
    <w:rsid w:val="0028615A"/>
    <w:rsid w:val="002864C6"/>
    <w:rsid w:val="00286F7C"/>
    <w:rsid w:val="0028716F"/>
    <w:rsid w:val="00287BE6"/>
    <w:rsid w:val="0029085A"/>
    <w:rsid w:val="002931D9"/>
    <w:rsid w:val="002956A8"/>
    <w:rsid w:val="002958B5"/>
    <w:rsid w:val="00296612"/>
    <w:rsid w:val="00297C2E"/>
    <w:rsid w:val="00297D79"/>
    <w:rsid w:val="002A0136"/>
    <w:rsid w:val="002A1C25"/>
    <w:rsid w:val="002A1E1B"/>
    <w:rsid w:val="002A2303"/>
    <w:rsid w:val="002A2A68"/>
    <w:rsid w:val="002A32FA"/>
    <w:rsid w:val="002A38C3"/>
    <w:rsid w:val="002A3A6E"/>
    <w:rsid w:val="002A3AC8"/>
    <w:rsid w:val="002A4B76"/>
    <w:rsid w:val="002A53EA"/>
    <w:rsid w:val="002A5B9B"/>
    <w:rsid w:val="002A5CB7"/>
    <w:rsid w:val="002A6384"/>
    <w:rsid w:val="002A63DE"/>
    <w:rsid w:val="002A6C1F"/>
    <w:rsid w:val="002A6EA1"/>
    <w:rsid w:val="002A6F9C"/>
    <w:rsid w:val="002A71F9"/>
    <w:rsid w:val="002A740E"/>
    <w:rsid w:val="002A75B8"/>
    <w:rsid w:val="002B14F1"/>
    <w:rsid w:val="002B2121"/>
    <w:rsid w:val="002B3767"/>
    <w:rsid w:val="002B3979"/>
    <w:rsid w:val="002B45BA"/>
    <w:rsid w:val="002B4AF8"/>
    <w:rsid w:val="002B4B0D"/>
    <w:rsid w:val="002B574E"/>
    <w:rsid w:val="002B576A"/>
    <w:rsid w:val="002B6031"/>
    <w:rsid w:val="002C0012"/>
    <w:rsid w:val="002C002A"/>
    <w:rsid w:val="002C011D"/>
    <w:rsid w:val="002C19D9"/>
    <w:rsid w:val="002C254C"/>
    <w:rsid w:val="002C3A79"/>
    <w:rsid w:val="002C4BF6"/>
    <w:rsid w:val="002C5E4C"/>
    <w:rsid w:val="002C5EE0"/>
    <w:rsid w:val="002C6BD7"/>
    <w:rsid w:val="002C6E17"/>
    <w:rsid w:val="002C718B"/>
    <w:rsid w:val="002C7874"/>
    <w:rsid w:val="002D1465"/>
    <w:rsid w:val="002D1892"/>
    <w:rsid w:val="002D1C86"/>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37F8"/>
    <w:rsid w:val="002E54EF"/>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446"/>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27B1"/>
    <w:rsid w:val="003432AF"/>
    <w:rsid w:val="003438A0"/>
    <w:rsid w:val="00343BD1"/>
    <w:rsid w:val="00345135"/>
    <w:rsid w:val="003470A4"/>
    <w:rsid w:val="00350145"/>
    <w:rsid w:val="00351DD4"/>
    <w:rsid w:val="003525D9"/>
    <w:rsid w:val="0035299F"/>
    <w:rsid w:val="0035328D"/>
    <w:rsid w:val="00353974"/>
    <w:rsid w:val="00353BD2"/>
    <w:rsid w:val="00353E07"/>
    <w:rsid w:val="003550FF"/>
    <w:rsid w:val="003551C4"/>
    <w:rsid w:val="00357947"/>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1778"/>
    <w:rsid w:val="00372D2A"/>
    <w:rsid w:val="003738CB"/>
    <w:rsid w:val="00373F74"/>
    <w:rsid w:val="003742CF"/>
    <w:rsid w:val="00374344"/>
    <w:rsid w:val="00375080"/>
    <w:rsid w:val="0037692B"/>
    <w:rsid w:val="00376E3D"/>
    <w:rsid w:val="003806A7"/>
    <w:rsid w:val="00380889"/>
    <w:rsid w:val="0038121C"/>
    <w:rsid w:val="003813B6"/>
    <w:rsid w:val="00381C7A"/>
    <w:rsid w:val="0038291F"/>
    <w:rsid w:val="00382A4B"/>
    <w:rsid w:val="00383539"/>
    <w:rsid w:val="00384D26"/>
    <w:rsid w:val="00385595"/>
    <w:rsid w:val="00386039"/>
    <w:rsid w:val="00387542"/>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BD7"/>
    <w:rsid w:val="003B3CEA"/>
    <w:rsid w:val="003B4CDB"/>
    <w:rsid w:val="003B55BA"/>
    <w:rsid w:val="003B561F"/>
    <w:rsid w:val="003B5CC0"/>
    <w:rsid w:val="003B6407"/>
    <w:rsid w:val="003B6A0D"/>
    <w:rsid w:val="003B6F63"/>
    <w:rsid w:val="003C042A"/>
    <w:rsid w:val="003C0BFD"/>
    <w:rsid w:val="003C0DCF"/>
    <w:rsid w:val="003C0F72"/>
    <w:rsid w:val="003C135E"/>
    <w:rsid w:val="003C16B0"/>
    <w:rsid w:val="003C1A37"/>
    <w:rsid w:val="003C2071"/>
    <w:rsid w:val="003C4355"/>
    <w:rsid w:val="003C4DEE"/>
    <w:rsid w:val="003C5CBD"/>
    <w:rsid w:val="003C61AD"/>
    <w:rsid w:val="003C6576"/>
    <w:rsid w:val="003C6624"/>
    <w:rsid w:val="003C6BFF"/>
    <w:rsid w:val="003D06FF"/>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E7B8A"/>
    <w:rsid w:val="003F07AF"/>
    <w:rsid w:val="003F08B3"/>
    <w:rsid w:val="003F27D1"/>
    <w:rsid w:val="003F287E"/>
    <w:rsid w:val="003F4A44"/>
    <w:rsid w:val="003F4B65"/>
    <w:rsid w:val="003F5C07"/>
    <w:rsid w:val="003F7000"/>
    <w:rsid w:val="00400A85"/>
    <w:rsid w:val="004023F4"/>
    <w:rsid w:val="00402479"/>
    <w:rsid w:val="0040255A"/>
    <w:rsid w:val="0040425C"/>
    <w:rsid w:val="00404D47"/>
    <w:rsid w:val="00406562"/>
    <w:rsid w:val="0040672B"/>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0ECC"/>
    <w:rsid w:val="00431521"/>
    <w:rsid w:val="00432752"/>
    <w:rsid w:val="004327CF"/>
    <w:rsid w:val="004327EA"/>
    <w:rsid w:val="00433069"/>
    <w:rsid w:val="004337A1"/>
    <w:rsid w:val="00434436"/>
    <w:rsid w:val="00437F57"/>
    <w:rsid w:val="00440CA1"/>
    <w:rsid w:val="004420AA"/>
    <w:rsid w:val="004429F2"/>
    <w:rsid w:val="00442A6D"/>
    <w:rsid w:val="00442CCD"/>
    <w:rsid w:val="0044695E"/>
    <w:rsid w:val="00446BF2"/>
    <w:rsid w:val="00447015"/>
    <w:rsid w:val="0044738E"/>
    <w:rsid w:val="00450B3B"/>
    <w:rsid w:val="0045283E"/>
    <w:rsid w:val="00452F66"/>
    <w:rsid w:val="0045374A"/>
    <w:rsid w:val="00455DFC"/>
    <w:rsid w:val="00456DED"/>
    <w:rsid w:val="00457051"/>
    <w:rsid w:val="0045711B"/>
    <w:rsid w:val="0045730E"/>
    <w:rsid w:val="004600FF"/>
    <w:rsid w:val="004635D2"/>
    <w:rsid w:val="00464109"/>
    <w:rsid w:val="00464917"/>
    <w:rsid w:val="00464C0F"/>
    <w:rsid w:val="004650C9"/>
    <w:rsid w:val="00465BFC"/>
    <w:rsid w:val="00467C2D"/>
    <w:rsid w:val="00467DF7"/>
    <w:rsid w:val="00470B07"/>
    <w:rsid w:val="00471CE8"/>
    <w:rsid w:val="00472342"/>
    <w:rsid w:val="004723A2"/>
    <w:rsid w:val="004724DE"/>
    <w:rsid w:val="00472F90"/>
    <w:rsid w:val="0047373F"/>
    <w:rsid w:val="00473CA5"/>
    <w:rsid w:val="0047531A"/>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037C"/>
    <w:rsid w:val="004920D8"/>
    <w:rsid w:val="004938FA"/>
    <w:rsid w:val="00493EA2"/>
    <w:rsid w:val="0049470B"/>
    <w:rsid w:val="004949D0"/>
    <w:rsid w:val="00494D94"/>
    <w:rsid w:val="00495074"/>
    <w:rsid w:val="004950CB"/>
    <w:rsid w:val="0049615E"/>
    <w:rsid w:val="00496DAA"/>
    <w:rsid w:val="004970D4"/>
    <w:rsid w:val="0049745E"/>
    <w:rsid w:val="0049771B"/>
    <w:rsid w:val="004A04D3"/>
    <w:rsid w:val="004A0B21"/>
    <w:rsid w:val="004A0DCD"/>
    <w:rsid w:val="004A0E34"/>
    <w:rsid w:val="004A34D5"/>
    <w:rsid w:val="004A43F1"/>
    <w:rsid w:val="004A45DC"/>
    <w:rsid w:val="004A4D14"/>
    <w:rsid w:val="004A548F"/>
    <w:rsid w:val="004A6496"/>
    <w:rsid w:val="004A6520"/>
    <w:rsid w:val="004A663E"/>
    <w:rsid w:val="004A7831"/>
    <w:rsid w:val="004A7DF6"/>
    <w:rsid w:val="004A7E33"/>
    <w:rsid w:val="004B04B3"/>
    <w:rsid w:val="004B2C2C"/>
    <w:rsid w:val="004B2FCC"/>
    <w:rsid w:val="004B3505"/>
    <w:rsid w:val="004B3A1B"/>
    <w:rsid w:val="004B3A7B"/>
    <w:rsid w:val="004B3BCD"/>
    <w:rsid w:val="004B430B"/>
    <w:rsid w:val="004B486A"/>
    <w:rsid w:val="004B50C5"/>
    <w:rsid w:val="004B5169"/>
    <w:rsid w:val="004B5F0B"/>
    <w:rsid w:val="004C11B5"/>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D72"/>
    <w:rsid w:val="004D5E02"/>
    <w:rsid w:val="004D5EB9"/>
    <w:rsid w:val="004D652F"/>
    <w:rsid w:val="004D667C"/>
    <w:rsid w:val="004D7545"/>
    <w:rsid w:val="004D78EC"/>
    <w:rsid w:val="004E2942"/>
    <w:rsid w:val="004E371F"/>
    <w:rsid w:val="004E4DA0"/>
    <w:rsid w:val="004E52A7"/>
    <w:rsid w:val="004E5323"/>
    <w:rsid w:val="004E58C3"/>
    <w:rsid w:val="004F1C71"/>
    <w:rsid w:val="004F2383"/>
    <w:rsid w:val="004F454F"/>
    <w:rsid w:val="004F5854"/>
    <w:rsid w:val="004F59CD"/>
    <w:rsid w:val="004F637D"/>
    <w:rsid w:val="004F6709"/>
    <w:rsid w:val="004F6A40"/>
    <w:rsid w:val="004F7249"/>
    <w:rsid w:val="004F727E"/>
    <w:rsid w:val="004F7A65"/>
    <w:rsid w:val="00500B53"/>
    <w:rsid w:val="00501313"/>
    <w:rsid w:val="00505654"/>
    <w:rsid w:val="00505658"/>
    <w:rsid w:val="00505BA0"/>
    <w:rsid w:val="00505E50"/>
    <w:rsid w:val="00506679"/>
    <w:rsid w:val="005121D5"/>
    <w:rsid w:val="005125C4"/>
    <w:rsid w:val="005129AA"/>
    <w:rsid w:val="005135AB"/>
    <w:rsid w:val="00515014"/>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1568"/>
    <w:rsid w:val="005321F4"/>
    <w:rsid w:val="005328C9"/>
    <w:rsid w:val="005332F5"/>
    <w:rsid w:val="00533BBA"/>
    <w:rsid w:val="00534A1D"/>
    <w:rsid w:val="0053555D"/>
    <w:rsid w:val="00536217"/>
    <w:rsid w:val="00536591"/>
    <w:rsid w:val="005406D3"/>
    <w:rsid w:val="005417B5"/>
    <w:rsid w:val="005429B4"/>
    <w:rsid w:val="00542BE8"/>
    <w:rsid w:val="00543E4D"/>
    <w:rsid w:val="00544F99"/>
    <w:rsid w:val="005455AB"/>
    <w:rsid w:val="00545FB5"/>
    <w:rsid w:val="0054694B"/>
    <w:rsid w:val="005515C2"/>
    <w:rsid w:val="005516F8"/>
    <w:rsid w:val="005521B1"/>
    <w:rsid w:val="00552997"/>
    <w:rsid w:val="0055414F"/>
    <w:rsid w:val="00555069"/>
    <w:rsid w:val="005556B4"/>
    <w:rsid w:val="005568E5"/>
    <w:rsid w:val="005579ED"/>
    <w:rsid w:val="005579F7"/>
    <w:rsid w:val="00557A09"/>
    <w:rsid w:val="005605A1"/>
    <w:rsid w:val="00560E96"/>
    <w:rsid w:val="0056119D"/>
    <w:rsid w:val="005621B2"/>
    <w:rsid w:val="005626BA"/>
    <w:rsid w:val="00562E63"/>
    <w:rsid w:val="00562EA4"/>
    <w:rsid w:val="0056338F"/>
    <w:rsid w:val="00564E19"/>
    <w:rsid w:val="00566759"/>
    <w:rsid w:val="00567D40"/>
    <w:rsid w:val="005703A8"/>
    <w:rsid w:val="00570BF1"/>
    <w:rsid w:val="00570C3F"/>
    <w:rsid w:val="00571F7E"/>
    <w:rsid w:val="00574303"/>
    <w:rsid w:val="00574ED6"/>
    <w:rsid w:val="00575107"/>
    <w:rsid w:val="0057514C"/>
    <w:rsid w:val="00577814"/>
    <w:rsid w:val="0057789B"/>
    <w:rsid w:val="00577B05"/>
    <w:rsid w:val="00581FA1"/>
    <w:rsid w:val="005823D7"/>
    <w:rsid w:val="00583090"/>
    <w:rsid w:val="0058331B"/>
    <w:rsid w:val="00583807"/>
    <w:rsid w:val="00584BB2"/>
    <w:rsid w:val="00584FE6"/>
    <w:rsid w:val="00585213"/>
    <w:rsid w:val="0058529B"/>
    <w:rsid w:val="00587173"/>
    <w:rsid w:val="005875F5"/>
    <w:rsid w:val="0058773B"/>
    <w:rsid w:val="00592CAB"/>
    <w:rsid w:val="0059612F"/>
    <w:rsid w:val="0059626E"/>
    <w:rsid w:val="005A08BE"/>
    <w:rsid w:val="005A0CF6"/>
    <w:rsid w:val="005A1734"/>
    <w:rsid w:val="005A1997"/>
    <w:rsid w:val="005A1BD4"/>
    <w:rsid w:val="005A2BAC"/>
    <w:rsid w:val="005A2D70"/>
    <w:rsid w:val="005A4358"/>
    <w:rsid w:val="005A4418"/>
    <w:rsid w:val="005A4D2D"/>
    <w:rsid w:val="005A6378"/>
    <w:rsid w:val="005A6C35"/>
    <w:rsid w:val="005A6DEC"/>
    <w:rsid w:val="005B01F2"/>
    <w:rsid w:val="005B09A1"/>
    <w:rsid w:val="005B1396"/>
    <w:rsid w:val="005B1F31"/>
    <w:rsid w:val="005B3EB6"/>
    <w:rsid w:val="005B4D82"/>
    <w:rsid w:val="005B4DDD"/>
    <w:rsid w:val="005B5F54"/>
    <w:rsid w:val="005C0A52"/>
    <w:rsid w:val="005C0B7F"/>
    <w:rsid w:val="005C1FAF"/>
    <w:rsid w:val="005C25B9"/>
    <w:rsid w:val="005C27AF"/>
    <w:rsid w:val="005C4A52"/>
    <w:rsid w:val="005C70E8"/>
    <w:rsid w:val="005C7772"/>
    <w:rsid w:val="005C78FA"/>
    <w:rsid w:val="005D0628"/>
    <w:rsid w:val="005D14A8"/>
    <w:rsid w:val="005D14FC"/>
    <w:rsid w:val="005D18D2"/>
    <w:rsid w:val="005D2D5F"/>
    <w:rsid w:val="005D353A"/>
    <w:rsid w:val="005D3582"/>
    <w:rsid w:val="005D482A"/>
    <w:rsid w:val="005D60FE"/>
    <w:rsid w:val="005D60FF"/>
    <w:rsid w:val="005D73C6"/>
    <w:rsid w:val="005D7586"/>
    <w:rsid w:val="005D76E4"/>
    <w:rsid w:val="005E0114"/>
    <w:rsid w:val="005E0DB4"/>
    <w:rsid w:val="005E138C"/>
    <w:rsid w:val="005E14FC"/>
    <w:rsid w:val="005E2082"/>
    <w:rsid w:val="005E4293"/>
    <w:rsid w:val="005E5004"/>
    <w:rsid w:val="005E6F70"/>
    <w:rsid w:val="005F2384"/>
    <w:rsid w:val="005F28ED"/>
    <w:rsid w:val="005F37D2"/>
    <w:rsid w:val="005F39F5"/>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B48"/>
    <w:rsid w:val="00605D8F"/>
    <w:rsid w:val="00605DED"/>
    <w:rsid w:val="00607554"/>
    <w:rsid w:val="0060758C"/>
    <w:rsid w:val="0060782B"/>
    <w:rsid w:val="00610A49"/>
    <w:rsid w:val="00610AEB"/>
    <w:rsid w:val="006114D8"/>
    <w:rsid w:val="006115CF"/>
    <w:rsid w:val="00613C23"/>
    <w:rsid w:val="00613FE9"/>
    <w:rsid w:val="0061418D"/>
    <w:rsid w:val="006158BA"/>
    <w:rsid w:val="0061594D"/>
    <w:rsid w:val="006161D8"/>
    <w:rsid w:val="00616CFC"/>
    <w:rsid w:val="00616EA7"/>
    <w:rsid w:val="00617175"/>
    <w:rsid w:val="0061739E"/>
    <w:rsid w:val="00617607"/>
    <w:rsid w:val="006209DD"/>
    <w:rsid w:val="0062143F"/>
    <w:rsid w:val="0062433C"/>
    <w:rsid w:val="00625036"/>
    <w:rsid w:val="00625B6D"/>
    <w:rsid w:val="00625C7F"/>
    <w:rsid w:val="00626FD4"/>
    <w:rsid w:val="006301EB"/>
    <w:rsid w:val="0063290C"/>
    <w:rsid w:val="00632CDD"/>
    <w:rsid w:val="00632DA5"/>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364"/>
    <w:rsid w:val="00643BA9"/>
    <w:rsid w:val="00644C8C"/>
    <w:rsid w:val="00645898"/>
    <w:rsid w:val="006464FE"/>
    <w:rsid w:val="00646811"/>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6388"/>
    <w:rsid w:val="006675B8"/>
    <w:rsid w:val="0066765C"/>
    <w:rsid w:val="00667DA0"/>
    <w:rsid w:val="0067116A"/>
    <w:rsid w:val="00672682"/>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87D63"/>
    <w:rsid w:val="00690248"/>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062C"/>
    <w:rsid w:val="006B1632"/>
    <w:rsid w:val="006B2529"/>
    <w:rsid w:val="006B2CA4"/>
    <w:rsid w:val="006B2D7F"/>
    <w:rsid w:val="006B54BB"/>
    <w:rsid w:val="006B6994"/>
    <w:rsid w:val="006B6D80"/>
    <w:rsid w:val="006B6DB3"/>
    <w:rsid w:val="006B6F21"/>
    <w:rsid w:val="006B7130"/>
    <w:rsid w:val="006C0CD5"/>
    <w:rsid w:val="006C12F2"/>
    <w:rsid w:val="006C1813"/>
    <w:rsid w:val="006C2A53"/>
    <w:rsid w:val="006C48BC"/>
    <w:rsid w:val="006C4B3A"/>
    <w:rsid w:val="006C5BFF"/>
    <w:rsid w:val="006C5DAF"/>
    <w:rsid w:val="006C778F"/>
    <w:rsid w:val="006D16EE"/>
    <w:rsid w:val="006D1F59"/>
    <w:rsid w:val="006D3169"/>
    <w:rsid w:val="006D3F69"/>
    <w:rsid w:val="006D44CC"/>
    <w:rsid w:val="006D50F7"/>
    <w:rsid w:val="006D52BB"/>
    <w:rsid w:val="006D5883"/>
    <w:rsid w:val="006E05E8"/>
    <w:rsid w:val="006E0927"/>
    <w:rsid w:val="006E144E"/>
    <w:rsid w:val="006E26F2"/>
    <w:rsid w:val="006E37C1"/>
    <w:rsid w:val="006E40D4"/>
    <w:rsid w:val="006E4730"/>
    <w:rsid w:val="006E4F8A"/>
    <w:rsid w:val="006E6140"/>
    <w:rsid w:val="006E7C00"/>
    <w:rsid w:val="006E7EAD"/>
    <w:rsid w:val="006F0316"/>
    <w:rsid w:val="006F1FC8"/>
    <w:rsid w:val="006F35C0"/>
    <w:rsid w:val="006F381F"/>
    <w:rsid w:val="006F3A31"/>
    <w:rsid w:val="006F3BFD"/>
    <w:rsid w:val="006F4482"/>
    <w:rsid w:val="006F57F7"/>
    <w:rsid w:val="006F5C22"/>
    <w:rsid w:val="006F611E"/>
    <w:rsid w:val="006F6CED"/>
    <w:rsid w:val="006F7821"/>
    <w:rsid w:val="0070000C"/>
    <w:rsid w:val="0070149C"/>
    <w:rsid w:val="00702633"/>
    <w:rsid w:val="0070278A"/>
    <w:rsid w:val="00702EF7"/>
    <w:rsid w:val="0070733F"/>
    <w:rsid w:val="007074F3"/>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09DF"/>
    <w:rsid w:val="00721B23"/>
    <w:rsid w:val="007221DD"/>
    <w:rsid w:val="00722821"/>
    <w:rsid w:val="007228F5"/>
    <w:rsid w:val="007239D3"/>
    <w:rsid w:val="00723DBC"/>
    <w:rsid w:val="00724B2D"/>
    <w:rsid w:val="00725DC7"/>
    <w:rsid w:val="00726535"/>
    <w:rsid w:val="00727214"/>
    <w:rsid w:val="007272EB"/>
    <w:rsid w:val="00731185"/>
    <w:rsid w:val="0073214E"/>
    <w:rsid w:val="00733B06"/>
    <w:rsid w:val="0073497A"/>
    <w:rsid w:val="00734BA4"/>
    <w:rsid w:val="00734D57"/>
    <w:rsid w:val="0073522D"/>
    <w:rsid w:val="0073545F"/>
    <w:rsid w:val="00737F05"/>
    <w:rsid w:val="007417C5"/>
    <w:rsid w:val="007417DE"/>
    <w:rsid w:val="0074182D"/>
    <w:rsid w:val="00742FDA"/>
    <w:rsid w:val="00743A74"/>
    <w:rsid w:val="007446FC"/>
    <w:rsid w:val="00744ED9"/>
    <w:rsid w:val="00745184"/>
    <w:rsid w:val="00745891"/>
    <w:rsid w:val="00745908"/>
    <w:rsid w:val="0074721E"/>
    <w:rsid w:val="007477F4"/>
    <w:rsid w:val="00750358"/>
    <w:rsid w:val="00750B73"/>
    <w:rsid w:val="00752F02"/>
    <w:rsid w:val="007538C7"/>
    <w:rsid w:val="00754ADB"/>
    <w:rsid w:val="00755201"/>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6F"/>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9B2"/>
    <w:rsid w:val="00795F22"/>
    <w:rsid w:val="00797D32"/>
    <w:rsid w:val="00797EC8"/>
    <w:rsid w:val="007A1051"/>
    <w:rsid w:val="007A20AD"/>
    <w:rsid w:val="007A3733"/>
    <w:rsid w:val="007A48FE"/>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B55"/>
    <w:rsid w:val="007B7CC9"/>
    <w:rsid w:val="007C1D2C"/>
    <w:rsid w:val="007C2AD4"/>
    <w:rsid w:val="007C2DD4"/>
    <w:rsid w:val="007C3B06"/>
    <w:rsid w:val="007C3E46"/>
    <w:rsid w:val="007C3F63"/>
    <w:rsid w:val="007C4F78"/>
    <w:rsid w:val="007C5024"/>
    <w:rsid w:val="007C5CBD"/>
    <w:rsid w:val="007C6FEF"/>
    <w:rsid w:val="007C73B8"/>
    <w:rsid w:val="007D012D"/>
    <w:rsid w:val="007D07AE"/>
    <w:rsid w:val="007D10A9"/>
    <w:rsid w:val="007D2582"/>
    <w:rsid w:val="007D3420"/>
    <w:rsid w:val="007D3687"/>
    <w:rsid w:val="007D4EA3"/>
    <w:rsid w:val="007D5362"/>
    <w:rsid w:val="007D7995"/>
    <w:rsid w:val="007E000F"/>
    <w:rsid w:val="007E1135"/>
    <w:rsid w:val="007E1D38"/>
    <w:rsid w:val="007E2056"/>
    <w:rsid w:val="007E29CF"/>
    <w:rsid w:val="007E35D8"/>
    <w:rsid w:val="007E3C7C"/>
    <w:rsid w:val="007E496A"/>
    <w:rsid w:val="007E4CD7"/>
    <w:rsid w:val="007E4D69"/>
    <w:rsid w:val="007E6599"/>
    <w:rsid w:val="007E6661"/>
    <w:rsid w:val="007E6721"/>
    <w:rsid w:val="007F1D5B"/>
    <w:rsid w:val="007F2E32"/>
    <w:rsid w:val="007F3880"/>
    <w:rsid w:val="007F3B8C"/>
    <w:rsid w:val="007F421B"/>
    <w:rsid w:val="007F4EB0"/>
    <w:rsid w:val="007F51CA"/>
    <w:rsid w:val="007F5CFE"/>
    <w:rsid w:val="007F5ECF"/>
    <w:rsid w:val="00800C4F"/>
    <w:rsid w:val="00804D26"/>
    <w:rsid w:val="008060D2"/>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3A4"/>
    <w:rsid w:val="00820CE5"/>
    <w:rsid w:val="00820E00"/>
    <w:rsid w:val="008213F1"/>
    <w:rsid w:val="00822C5F"/>
    <w:rsid w:val="008230BB"/>
    <w:rsid w:val="00823319"/>
    <w:rsid w:val="00825D43"/>
    <w:rsid w:val="00830148"/>
    <w:rsid w:val="00830FD2"/>
    <w:rsid w:val="008316AD"/>
    <w:rsid w:val="00832A66"/>
    <w:rsid w:val="00833286"/>
    <w:rsid w:val="0083378E"/>
    <w:rsid w:val="00833C7E"/>
    <w:rsid w:val="00834FD5"/>
    <w:rsid w:val="00835878"/>
    <w:rsid w:val="008363A2"/>
    <w:rsid w:val="00836AF5"/>
    <w:rsid w:val="00837125"/>
    <w:rsid w:val="00840A7D"/>
    <w:rsid w:val="00841DAA"/>
    <w:rsid w:val="00842834"/>
    <w:rsid w:val="00843697"/>
    <w:rsid w:val="008438D2"/>
    <w:rsid w:val="008445D4"/>
    <w:rsid w:val="008446F1"/>
    <w:rsid w:val="0084629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59F4"/>
    <w:rsid w:val="0087635E"/>
    <w:rsid w:val="00876880"/>
    <w:rsid w:val="00876921"/>
    <w:rsid w:val="00876B68"/>
    <w:rsid w:val="0088013C"/>
    <w:rsid w:val="00881830"/>
    <w:rsid w:val="008821C7"/>
    <w:rsid w:val="00882750"/>
    <w:rsid w:val="0088286F"/>
    <w:rsid w:val="00883EAF"/>
    <w:rsid w:val="00884452"/>
    <w:rsid w:val="00886D40"/>
    <w:rsid w:val="0088703E"/>
    <w:rsid w:val="008875DE"/>
    <w:rsid w:val="008904C6"/>
    <w:rsid w:val="008905D7"/>
    <w:rsid w:val="00890679"/>
    <w:rsid w:val="00890929"/>
    <w:rsid w:val="008926C3"/>
    <w:rsid w:val="00893951"/>
    <w:rsid w:val="00893FC1"/>
    <w:rsid w:val="008955C5"/>
    <w:rsid w:val="00895B87"/>
    <w:rsid w:val="00896511"/>
    <w:rsid w:val="00896A37"/>
    <w:rsid w:val="00897763"/>
    <w:rsid w:val="00897A5A"/>
    <w:rsid w:val="008A0709"/>
    <w:rsid w:val="008A08D2"/>
    <w:rsid w:val="008A15D7"/>
    <w:rsid w:val="008A15E6"/>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647"/>
    <w:rsid w:val="008C074A"/>
    <w:rsid w:val="008C10DE"/>
    <w:rsid w:val="008C12E4"/>
    <w:rsid w:val="008C1703"/>
    <w:rsid w:val="008C184C"/>
    <w:rsid w:val="008C1B0A"/>
    <w:rsid w:val="008C2078"/>
    <w:rsid w:val="008C2964"/>
    <w:rsid w:val="008C4D02"/>
    <w:rsid w:val="008C520E"/>
    <w:rsid w:val="008C5CA5"/>
    <w:rsid w:val="008C5FE2"/>
    <w:rsid w:val="008C7368"/>
    <w:rsid w:val="008C73D6"/>
    <w:rsid w:val="008C7B4E"/>
    <w:rsid w:val="008D0C62"/>
    <w:rsid w:val="008D250E"/>
    <w:rsid w:val="008D2528"/>
    <w:rsid w:val="008D2533"/>
    <w:rsid w:val="008D2CD6"/>
    <w:rsid w:val="008D39B0"/>
    <w:rsid w:val="008D4440"/>
    <w:rsid w:val="008D462B"/>
    <w:rsid w:val="008D4939"/>
    <w:rsid w:val="008D4F0B"/>
    <w:rsid w:val="008D549E"/>
    <w:rsid w:val="008D5DBA"/>
    <w:rsid w:val="008D6613"/>
    <w:rsid w:val="008D7D72"/>
    <w:rsid w:val="008E0465"/>
    <w:rsid w:val="008E1195"/>
    <w:rsid w:val="008E32F9"/>
    <w:rsid w:val="008E3AEA"/>
    <w:rsid w:val="008E3D60"/>
    <w:rsid w:val="008E517B"/>
    <w:rsid w:val="008E6B47"/>
    <w:rsid w:val="008E6B68"/>
    <w:rsid w:val="008E7390"/>
    <w:rsid w:val="008E762D"/>
    <w:rsid w:val="008F000D"/>
    <w:rsid w:val="008F0960"/>
    <w:rsid w:val="008F151B"/>
    <w:rsid w:val="008F179B"/>
    <w:rsid w:val="008F1F00"/>
    <w:rsid w:val="008F32A1"/>
    <w:rsid w:val="008F4712"/>
    <w:rsid w:val="008F6D15"/>
    <w:rsid w:val="008F6E84"/>
    <w:rsid w:val="008F6EAC"/>
    <w:rsid w:val="008F7EBB"/>
    <w:rsid w:val="008F7ED1"/>
    <w:rsid w:val="009001B6"/>
    <w:rsid w:val="009001F3"/>
    <w:rsid w:val="0090056C"/>
    <w:rsid w:val="00900939"/>
    <w:rsid w:val="00900DF0"/>
    <w:rsid w:val="00903621"/>
    <w:rsid w:val="00903B01"/>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0D3"/>
    <w:rsid w:val="009259EF"/>
    <w:rsid w:val="009267FE"/>
    <w:rsid w:val="00927725"/>
    <w:rsid w:val="00930782"/>
    <w:rsid w:val="00930FFB"/>
    <w:rsid w:val="00931452"/>
    <w:rsid w:val="009319CE"/>
    <w:rsid w:val="009320E8"/>
    <w:rsid w:val="009332EE"/>
    <w:rsid w:val="0093355A"/>
    <w:rsid w:val="009335BA"/>
    <w:rsid w:val="00934660"/>
    <w:rsid w:val="00934E21"/>
    <w:rsid w:val="00934FD0"/>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57E88"/>
    <w:rsid w:val="00960A89"/>
    <w:rsid w:val="00961F4C"/>
    <w:rsid w:val="00962287"/>
    <w:rsid w:val="00962690"/>
    <w:rsid w:val="00962C8F"/>
    <w:rsid w:val="00971077"/>
    <w:rsid w:val="00971B25"/>
    <w:rsid w:val="0097220B"/>
    <w:rsid w:val="00972EDB"/>
    <w:rsid w:val="00973FD3"/>
    <w:rsid w:val="00973FE6"/>
    <w:rsid w:val="009740C4"/>
    <w:rsid w:val="00976F69"/>
    <w:rsid w:val="00977958"/>
    <w:rsid w:val="00981F79"/>
    <w:rsid w:val="009825C9"/>
    <w:rsid w:val="009850EF"/>
    <w:rsid w:val="00985278"/>
    <w:rsid w:val="00985C17"/>
    <w:rsid w:val="009868FC"/>
    <w:rsid w:val="00990A70"/>
    <w:rsid w:val="00991558"/>
    <w:rsid w:val="00991A16"/>
    <w:rsid w:val="00992433"/>
    <w:rsid w:val="00992BE2"/>
    <w:rsid w:val="009941C2"/>
    <w:rsid w:val="0099562E"/>
    <w:rsid w:val="0099598E"/>
    <w:rsid w:val="00996DDC"/>
    <w:rsid w:val="0099744B"/>
    <w:rsid w:val="009A2E41"/>
    <w:rsid w:val="009A492C"/>
    <w:rsid w:val="009A52C1"/>
    <w:rsid w:val="009A5EA7"/>
    <w:rsid w:val="009A76E5"/>
    <w:rsid w:val="009B05E3"/>
    <w:rsid w:val="009B24AE"/>
    <w:rsid w:val="009B3D0E"/>
    <w:rsid w:val="009B455D"/>
    <w:rsid w:val="009B4E8F"/>
    <w:rsid w:val="009B5EBC"/>
    <w:rsid w:val="009B6DAA"/>
    <w:rsid w:val="009B7059"/>
    <w:rsid w:val="009B7769"/>
    <w:rsid w:val="009C2436"/>
    <w:rsid w:val="009C2A3B"/>
    <w:rsid w:val="009C32E9"/>
    <w:rsid w:val="009C441C"/>
    <w:rsid w:val="009C4E6C"/>
    <w:rsid w:val="009C6168"/>
    <w:rsid w:val="009C6DC7"/>
    <w:rsid w:val="009D0462"/>
    <w:rsid w:val="009D0589"/>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392F"/>
    <w:rsid w:val="00A043FE"/>
    <w:rsid w:val="00A05729"/>
    <w:rsid w:val="00A05803"/>
    <w:rsid w:val="00A05916"/>
    <w:rsid w:val="00A06E1B"/>
    <w:rsid w:val="00A0794D"/>
    <w:rsid w:val="00A10898"/>
    <w:rsid w:val="00A1290A"/>
    <w:rsid w:val="00A16741"/>
    <w:rsid w:val="00A16986"/>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09F9"/>
    <w:rsid w:val="00A31536"/>
    <w:rsid w:val="00A31956"/>
    <w:rsid w:val="00A33C0B"/>
    <w:rsid w:val="00A33DC9"/>
    <w:rsid w:val="00A33F77"/>
    <w:rsid w:val="00A3490C"/>
    <w:rsid w:val="00A35831"/>
    <w:rsid w:val="00A36CCE"/>
    <w:rsid w:val="00A36E14"/>
    <w:rsid w:val="00A37283"/>
    <w:rsid w:val="00A3743F"/>
    <w:rsid w:val="00A378E5"/>
    <w:rsid w:val="00A40872"/>
    <w:rsid w:val="00A412EF"/>
    <w:rsid w:val="00A42EF2"/>
    <w:rsid w:val="00A44D84"/>
    <w:rsid w:val="00A4560F"/>
    <w:rsid w:val="00A45BD2"/>
    <w:rsid w:val="00A46F60"/>
    <w:rsid w:val="00A4716C"/>
    <w:rsid w:val="00A479EA"/>
    <w:rsid w:val="00A50436"/>
    <w:rsid w:val="00A514C2"/>
    <w:rsid w:val="00A5275D"/>
    <w:rsid w:val="00A52A12"/>
    <w:rsid w:val="00A52ED5"/>
    <w:rsid w:val="00A53706"/>
    <w:rsid w:val="00A5372E"/>
    <w:rsid w:val="00A54194"/>
    <w:rsid w:val="00A543F8"/>
    <w:rsid w:val="00A54E6E"/>
    <w:rsid w:val="00A5515B"/>
    <w:rsid w:val="00A55C32"/>
    <w:rsid w:val="00A56953"/>
    <w:rsid w:val="00A56C19"/>
    <w:rsid w:val="00A574CB"/>
    <w:rsid w:val="00A5774E"/>
    <w:rsid w:val="00A578D4"/>
    <w:rsid w:val="00A61015"/>
    <w:rsid w:val="00A61D6F"/>
    <w:rsid w:val="00A61D7A"/>
    <w:rsid w:val="00A63622"/>
    <w:rsid w:val="00A64735"/>
    <w:rsid w:val="00A64A5F"/>
    <w:rsid w:val="00A653BF"/>
    <w:rsid w:val="00A654E5"/>
    <w:rsid w:val="00A659E2"/>
    <w:rsid w:val="00A65F01"/>
    <w:rsid w:val="00A71241"/>
    <w:rsid w:val="00A72F5E"/>
    <w:rsid w:val="00A7322E"/>
    <w:rsid w:val="00A73FFB"/>
    <w:rsid w:val="00A766F9"/>
    <w:rsid w:val="00A77B8C"/>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1C2B"/>
    <w:rsid w:val="00A92240"/>
    <w:rsid w:val="00A931DE"/>
    <w:rsid w:val="00A93D89"/>
    <w:rsid w:val="00A95566"/>
    <w:rsid w:val="00A95A99"/>
    <w:rsid w:val="00A95EB3"/>
    <w:rsid w:val="00A964C1"/>
    <w:rsid w:val="00AA0AB4"/>
    <w:rsid w:val="00AA1034"/>
    <w:rsid w:val="00AA29BC"/>
    <w:rsid w:val="00AA4A4A"/>
    <w:rsid w:val="00AA548E"/>
    <w:rsid w:val="00AA5C5A"/>
    <w:rsid w:val="00AA6178"/>
    <w:rsid w:val="00AB0E6C"/>
    <w:rsid w:val="00AB2251"/>
    <w:rsid w:val="00AB2C4F"/>
    <w:rsid w:val="00AB5F73"/>
    <w:rsid w:val="00AB6968"/>
    <w:rsid w:val="00AB77C7"/>
    <w:rsid w:val="00AC014D"/>
    <w:rsid w:val="00AC12AC"/>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5FD3"/>
    <w:rsid w:val="00AE661A"/>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1615A"/>
    <w:rsid w:val="00B210A2"/>
    <w:rsid w:val="00B216E3"/>
    <w:rsid w:val="00B217E8"/>
    <w:rsid w:val="00B21E03"/>
    <w:rsid w:val="00B22FC7"/>
    <w:rsid w:val="00B23540"/>
    <w:rsid w:val="00B24B12"/>
    <w:rsid w:val="00B258FE"/>
    <w:rsid w:val="00B26A9D"/>
    <w:rsid w:val="00B26BB7"/>
    <w:rsid w:val="00B30888"/>
    <w:rsid w:val="00B3107C"/>
    <w:rsid w:val="00B310CB"/>
    <w:rsid w:val="00B3123C"/>
    <w:rsid w:val="00B31E3B"/>
    <w:rsid w:val="00B32D74"/>
    <w:rsid w:val="00B3398A"/>
    <w:rsid w:val="00B3556D"/>
    <w:rsid w:val="00B35C62"/>
    <w:rsid w:val="00B35E0E"/>
    <w:rsid w:val="00B36C27"/>
    <w:rsid w:val="00B40231"/>
    <w:rsid w:val="00B407DD"/>
    <w:rsid w:val="00B407F3"/>
    <w:rsid w:val="00B41911"/>
    <w:rsid w:val="00B44F45"/>
    <w:rsid w:val="00B4513A"/>
    <w:rsid w:val="00B45526"/>
    <w:rsid w:val="00B46787"/>
    <w:rsid w:val="00B47681"/>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40A4"/>
    <w:rsid w:val="00B67C28"/>
    <w:rsid w:val="00B70517"/>
    <w:rsid w:val="00B713D0"/>
    <w:rsid w:val="00B715C6"/>
    <w:rsid w:val="00B71ED5"/>
    <w:rsid w:val="00B74A81"/>
    <w:rsid w:val="00B74EE2"/>
    <w:rsid w:val="00B75272"/>
    <w:rsid w:val="00B75BB3"/>
    <w:rsid w:val="00B76878"/>
    <w:rsid w:val="00B76A44"/>
    <w:rsid w:val="00B76BFB"/>
    <w:rsid w:val="00B772E4"/>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1FD9"/>
    <w:rsid w:val="00B922CA"/>
    <w:rsid w:val="00B94FA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BCC"/>
    <w:rsid w:val="00BB4EEB"/>
    <w:rsid w:val="00BB58F1"/>
    <w:rsid w:val="00BB5B0A"/>
    <w:rsid w:val="00BB5B74"/>
    <w:rsid w:val="00BB6E7C"/>
    <w:rsid w:val="00BB7A47"/>
    <w:rsid w:val="00BC06C3"/>
    <w:rsid w:val="00BC1764"/>
    <w:rsid w:val="00BC4B1E"/>
    <w:rsid w:val="00BC55DE"/>
    <w:rsid w:val="00BC5B74"/>
    <w:rsid w:val="00BC5C7E"/>
    <w:rsid w:val="00BC67A3"/>
    <w:rsid w:val="00BD019D"/>
    <w:rsid w:val="00BD0BDE"/>
    <w:rsid w:val="00BD1988"/>
    <w:rsid w:val="00BD481F"/>
    <w:rsid w:val="00BD4AA6"/>
    <w:rsid w:val="00BD4FD8"/>
    <w:rsid w:val="00BE0304"/>
    <w:rsid w:val="00BE11FA"/>
    <w:rsid w:val="00BE17D6"/>
    <w:rsid w:val="00BE1981"/>
    <w:rsid w:val="00BE25C9"/>
    <w:rsid w:val="00BE37E1"/>
    <w:rsid w:val="00BE4E81"/>
    <w:rsid w:val="00BE5EA8"/>
    <w:rsid w:val="00BE6BBF"/>
    <w:rsid w:val="00BE78A4"/>
    <w:rsid w:val="00BF1182"/>
    <w:rsid w:val="00BF4C43"/>
    <w:rsid w:val="00BF773A"/>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656"/>
    <w:rsid w:val="00C167D1"/>
    <w:rsid w:val="00C17D3D"/>
    <w:rsid w:val="00C212AB"/>
    <w:rsid w:val="00C214F0"/>
    <w:rsid w:val="00C221E0"/>
    <w:rsid w:val="00C25D35"/>
    <w:rsid w:val="00C25F59"/>
    <w:rsid w:val="00C26422"/>
    <w:rsid w:val="00C26C7C"/>
    <w:rsid w:val="00C3269F"/>
    <w:rsid w:val="00C3288D"/>
    <w:rsid w:val="00C342DB"/>
    <w:rsid w:val="00C34896"/>
    <w:rsid w:val="00C34F0D"/>
    <w:rsid w:val="00C40581"/>
    <w:rsid w:val="00C40EF8"/>
    <w:rsid w:val="00C417FE"/>
    <w:rsid w:val="00C42785"/>
    <w:rsid w:val="00C43321"/>
    <w:rsid w:val="00C44280"/>
    <w:rsid w:val="00C44A63"/>
    <w:rsid w:val="00C45243"/>
    <w:rsid w:val="00C4681F"/>
    <w:rsid w:val="00C50450"/>
    <w:rsid w:val="00C504ED"/>
    <w:rsid w:val="00C505A2"/>
    <w:rsid w:val="00C52184"/>
    <w:rsid w:val="00C5255F"/>
    <w:rsid w:val="00C52F28"/>
    <w:rsid w:val="00C53234"/>
    <w:rsid w:val="00C533F3"/>
    <w:rsid w:val="00C53989"/>
    <w:rsid w:val="00C53AF1"/>
    <w:rsid w:val="00C53E83"/>
    <w:rsid w:val="00C54F52"/>
    <w:rsid w:val="00C553B7"/>
    <w:rsid w:val="00C5798E"/>
    <w:rsid w:val="00C57D4A"/>
    <w:rsid w:val="00C60A09"/>
    <w:rsid w:val="00C628DF"/>
    <w:rsid w:val="00C64AE9"/>
    <w:rsid w:val="00C65356"/>
    <w:rsid w:val="00C65A41"/>
    <w:rsid w:val="00C67C95"/>
    <w:rsid w:val="00C67EE6"/>
    <w:rsid w:val="00C70497"/>
    <w:rsid w:val="00C70D5A"/>
    <w:rsid w:val="00C71284"/>
    <w:rsid w:val="00C71AC2"/>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657"/>
    <w:rsid w:val="00CA3A19"/>
    <w:rsid w:val="00CA44E8"/>
    <w:rsid w:val="00CA6A22"/>
    <w:rsid w:val="00CA6E12"/>
    <w:rsid w:val="00CB004D"/>
    <w:rsid w:val="00CB08D8"/>
    <w:rsid w:val="00CB0B66"/>
    <w:rsid w:val="00CB0E84"/>
    <w:rsid w:val="00CB34CC"/>
    <w:rsid w:val="00CB42F2"/>
    <w:rsid w:val="00CB4618"/>
    <w:rsid w:val="00CB510C"/>
    <w:rsid w:val="00CB67BD"/>
    <w:rsid w:val="00CC04CB"/>
    <w:rsid w:val="00CC14C4"/>
    <w:rsid w:val="00CC17D6"/>
    <w:rsid w:val="00CC4A0B"/>
    <w:rsid w:val="00CC4EAB"/>
    <w:rsid w:val="00CC5527"/>
    <w:rsid w:val="00CC6E8C"/>
    <w:rsid w:val="00CC7645"/>
    <w:rsid w:val="00CD04C5"/>
    <w:rsid w:val="00CD1C68"/>
    <w:rsid w:val="00CD312E"/>
    <w:rsid w:val="00CD32A8"/>
    <w:rsid w:val="00CD437D"/>
    <w:rsid w:val="00CD46D5"/>
    <w:rsid w:val="00CD682B"/>
    <w:rsid w:val="00CD6D3D"/>
    <w:rsid w:val="00CD7068"/>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8FF"/>
    <w:rsid w:val="00CF0D25"/>
    <w:rsid w:val="00CF0D61"/>
    <w:rsid w:val="00CF38F4"/>
    <w:rsid w:val="00CF44B5"/>
    <w:rsid w:val="00CF5879"/>
    <w:rsid w:val="00CF7D6F"/>
    <w:rsid w:val="00D00375"/>
    <w:rsid w:val="00D01935"/>
    <w:rsid w:val="00D01F7E"/>
    <w:rsid w:val="00D022DC"/>
    <w:rsid w:val="00D0253C"/>
    <w:rsid w:val="00D03292"/>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36EA1"/>
    <w:rsid w:val="00D40DAC"/>
    <w:rsid w:val="00D41625"/>
    <w:rsid w:val="00D416AA"/>
    <w:rsid w:val="00D416F5"/>
    <w:rsid w:val="00D42D72"/>
    <w:rsid w:val="00D4403B"/>
    <w:rsid w:val="00D44111"/>
    <w:rsid w:val="00D444A1"/>
    <w:rsid w:val="00D4621F"/>
    <w:rsid w:val="00D4625B"/>
    <w:rsid w:val="00D4655A"/>
    <w:rsid w:val="00D46A93"/>
    <w:rsid w:val="00D47D5B"/>
    <w:rsid w:val="00D50EE4"/>
    <w:rsid w:val="00D51945"/>
    <w:rsid w:val="00D522BB"/>
    <w:rsid w:val="00D52328"/>
    <w:rsid w:val="00D53045"/>
    <w:rsid w:val="00D5474F"/>
    <w:rsid w:val="00D55056"/>
    <w:rsid w:val="00D5547C"/>
    <w:rsid w:val="00D55C90"/>
    <w:rsid w:val="00D56022"/>
    <w:rsid w:val="00D61635"/>
    <w:rsid w:val="00D626A9"/>
    <w:rsid w:val="00D628C5"/>
    <w:rsid w:val="00D63DB5"/>
    <w:rsid w:val="00D7066E"/>
    <w:rsid w:val="00D7078F"/>
    <w:rsid w:val="00D70BCE"/>
    <w:rsid w:val="00D72BC6"/>
    <w:rsid w:val="00D74447"/>
    <w:rsid w:val="00D7481F"/>
    <w:rsid w:val="00D75DD0"/>
    <w:rsid w:val="00D76D5B"/>
    <w:rsid w:val="00D76EF3"/>
    <w:rsid w:val="00D77FB0"/>
    <w:rsid w:val="00D80DD7"/>
    <w:rsid w:val="00D82050"/>
    <w:rsid w:val="00D8378D"/>
    <w:rsid w:val="00D838FD"/>
    <w:rsid w:val="00D83927"/>
    <w:rsid w:val="00D8400C"/>
    <w:rsid w:val="00D84E23"/>
    <w:rsid w:val="00D851FC"/>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904"/>
    <w:rsid w:val="00DA6AA2"/>
    <w:rsid w:val="00DA7199"/>
    <w:rsid w:val="00DB07BF"/>
    <w:rsid w:val="00DB0C5B"/>
    <w:rsid w:val="00DB1A45"/>
    <w:rsid w:val="00DB1EB8"/>
    <w:rsid w:val="00DB675D"/>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998"/>
    <w:rsid w:val="00DD0AC0"/>
    <w:rsid w:val="00DD111C"/>
    <w:rsid w:val="00DD1C92"/>
    <w:rsid w:val="00DD331A"/>
    <w:rsid w:val="00DD461A"/>
    <w:rsid w:val="00DD4CBC"/>
    <w:rsid w:val="00DD58FD"/>
    <w:rsid w:val="00DD6697"/>
    <w:rsid w:val="00DD6765"/>
    <w:rsid w:val="00DD75E5"/>
    <w:rsid w:val="00DD7963"/>
    <w:rsid w:val="00DE04DD"/>
    <w:rsid w:val="00DE1461"/>
    <w:rsid w:val="00DE1E03"/>
    <w:rsid w:val="00DE2406"/>
    <w:rsid w:val="00DE252A"/>
    <w:rsid w:val="00DE2736"/>
    <w:rsid w:val="00DE2F69"/>
    <w:rsid w:val="00DE49C0"/>
    <w:rsid w:val="00DE5402"/>
    <w:rsid w:val="00DE5864"/>
    <w:rsid w:val="00DE6B0C"/>
    <w:rsid w:val="00DE7564"/>
    <w:rsid w:val="00DE7AB3"/>
    <w:rsid w:val="00DE7F24"/>
    <w:rsid w:val="00DF0036"/>
    <w:rsid w:val="00DF013F"/>
    <w:rsid w:val="00DF0724"/>
    <w:rsid w:val="00DF1C9D"/>
    <w:rsid w:val="00DF2929"/>
    <w:rsid w:val="00DF4709"/>
    <w:rsid w:val="00DF53E1"/>
    <w:rsid w:val="00DF5DEB"/>
    <w:rsid w:val="00DF62E4"/>
    <w:rsid w:val="00DF7501"/>
    <w:rsid w:val="00DF7886"/>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5D7C"/>
    <w:rsid w:val="00E16CC8"/>
    <w:rsid w:val="00E2019B"/>
    <w:rsid w:val="00E2096B"/>
    <w:rsid w:val="00E20C02"/>
    <w:rsid w:val="00E21838"/>
    <w:rsid w:val="00E21A2E"/>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04"/>
    <w:rsid w:val="00E4428D"/>
    <w:rsid w:val="00E45397"/>
    <w:rsid w:val="00E45803"/>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6472"/>
    <w:rsid w:val="00E66A5E"/>
    <w:rsid w:val="00E66AB0"/>
    <w:rsid w:val="00E719C1"/>
    <w:rsid w:val="00E71CCA"/>
    <w:rsid w:val="00E743CA"/>
    <w:rsid w:val="00E7534B"/>
    <w:rsid w:val="00E75F7D"/>
    <w:rsid w:val="00E77401"/>
    <w:rsid w:val="00E80FAC"/>
    <w:rsid w:val="00E824D1"/>
    <w:rsid w:val="00E82AFE"/>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98B"/>
    <w:rsid w:val="00E95F0D"/>
    <w:rsid w:val="00E966E3"/>
    <w:rsid w:val="00E968B2"/>
    <w:rsid w:val="00E96E6E"/>
    <w:rsid w:val="00E96FC9"/>
    <w:rsid w:val="00EA12AE"/>
    <w:rsid w:val="00EA193D"/>
    <w:rsid w:val="00EA1B47"/>
    <w:rsid w:val="00EA1C91"/>
    <w:rsid w:val="00EA1EDB"/>
    <w:rsid w:val="00EA4B71"/>
    <w:rsid w:val="00EA4EBA"/>
    <w:rsid w:val="00EA6567"/>
    <w:rsid w:val="00EA7585"/>
    <w:rsid w:val="00EA79E3"/>
    <w:rsid w:val="00EA7A0B"/>
    <w:rsid w:val="00EA7D9B"/>
    <w:rsid w:val="00EA7F30"/>
    <w:rsid w:val="00EB1309"/>
    <w:rsid w:val="00EB24BD"/>
    <w:rsid w:val="00EB2F11"/>
    <w:rsid w:val="00EB40AE"/>
    <w:rsid w:val="00EB51CF"/>
    <w:rsid w:val="00EC0156"/>
    <w:rsid w:val="00EC0860"/>
    <w:rsid w:val="00EC18D0"/>
    <w:rsid w:val="00EC2F0A"/>
    <w:rsid w:val="00EC382C"/>
    <w:rsid w:val="00EC44CE"/>
    <w:rsid w:val="00EC4AB0"/>
    <w:rsid w:val="00EC4E83"/>
    <w:rsid w:val="00EC56D6"/>
    <w:rsid w:val="00EC5EF0"/>
    <w:rsid w:val="00EC6384"/>
    <w:rsid w:val="00EC6DD3"/>
    <w:rsid w:val="00EC7055"/>
    <w:rsid w:val="00EC7477"/>
    <w:rsid w:val="00EC7841"/>
    <w:rsid w:val="00ED1ED0"/>
    <w:rsid w:val="00ED232A"/>
    <w:rsid w:val="00ED250C"/>
    <w:rsid w:val="00ED3709"/>
    <w:rsid w:val="00ED3B3B"/>
    <w:rsid w:val="00ED3C7F"/>
    <w:rsid w:val="00ED44C9"/>
    <w:rsid w:val="00ED46F3"/>
    <w:rsid w:val="00ED4AB7"/>
    <w:rsid w:val="00ED524E"/>
    <w:rsid w:val="00ED63EA"/>
    <w:rsid w:val="00ED76C6"/>
    <w:rsid w:val="00ED785A"/>
    <w:rsid w:val="00ED7D8E"/>
    <w:rsid w:val="00ED7F27"/>
    <w:rsid w:val="00EE17D4"/>
    <w:rsid w:val="00EE415D"/>
    <w:rsid w:val="00EE4B52"/>
    <w:rsid w:val="00EE60D8"/>
    <w:rsid w:val="00EE7916"/>
    <w:rsid w:val="00EE7A1F"/>
    <w:rsid w:val="00EE7F74"/>
    <w:rsid w:val="00EF00C2"/>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615E"/>
    <w:rsid w:val="00F07004"/>
    <w:rsid w:val="00F07424"/>
    <w:rsid w:val="00F079B7"/>
    <w:rsid w:val="00F101E4"/>
    <w:rsid w:val="00F10C02"/>
    <w:rsid w:val="00F10EEE"/>
    <w:rsid w:val="00F11287"/>
    <w:rsid w:val="00F1477D"/>
    <w:rsid w:val="00F147F9"/>
    <w:rsid w:val="00F150FF"/>
    <w:rsid w:val="00F15558"/>
    <w:rsid w:val="00F15724"/>
    <w:rsid w:val="00F15A5B"/>
    <w:rsid w:val="00F162F1"/>
    <w:rsid w:val="00F167D4"/>
    <w:rsid w:val="00F167EB"/>
    <w:rsid w:val="00F16A42"/>
    <w:rsid w:val="00F16E62"/>
    <w:rsid w:val="00F175F4"/>
    <w:rsid w:val="00F177E3"/>
    <w:rsid w:val="00F20CC9"/>
    <w:rsid w:val="00F21D0F"/>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76"/>
    <w:rsid w:val="00F408A7"/>
    <w:rsid w:val="00F409F0"/>
    <w:rsid w:val="00F43B25"/>
    <w:rsid w:val="00F4477B"/>
    <w:rsid w:val="00F50C10"/>
    <w:rsid w:val="00F52C7E"/>
    <w:rsid w:val="00F53844"/>
    <w:rsid w:val="00F5537D"/>
    <w:rsid w:val="00F55602"/>
    <w:rsid w:val="00F55C05"/>
    <w:rsid w:val="00F56020"/>
    <w:rsid w:val="00F5729E"/>
    <w:rsid w:val="00F605A4"/>
    <w:rsid w:val="00F6208C"/>
    <w:rsid w:val="00F622E2"/>
    <w:rsid w:val="00F6311D"/>
    <w:rsid w:val="00F63B96"/>
    <w:rsid w:val="00F63B9D"/>
    <w:rsid w:val="00F642F3"/>
    <w:rsid w:val="00F64418"/>
    <w:rsid w:val="00F648A1"/>
    <w:rsid w:val="00F64FAE"/>
    <w:rsid w:val="00F65F60"/>
    <w:rsid w:val="00F6665C"/>
    <w:rsid w:val="00F673C0"/>
    <w:rsid w:val="00F67F35"/>
    <w:rsid w:val="00F7068C"/>
    <w:rsid w:val="00F71424"/>
    <w:rsid w:val="00F72200"/>
    <w:rsid w:val="00F74B38"/>
    <w:rsid w:val="00F755DA"/>
    <w:rsid w:val="00F7790D"/>
    <w:rsid w:val="00F77C5A"/>
    <w:rsid w:val="00F80010"/>
    <w:rsid w:val="00F805B1"/>
    <w:rsid w:val="00F814EE"/>
    <w:rsid w:val="00F8156C"/>
    <w:rsid w:val="00F8487F"/>
    <w:rsid w:val="00F8518D"/>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AFD"/>
    <w:rsid w:val="00FA6C19"/>
    <w:rsid w:val="00FA6C75"/>
    <w:rsid w:val="00FB0722"/>
    <w:rsid w:val="00FB434F"/>
    <w:rsid w:val="00FB4C38"/>
    <w:rsid w:val="00FB65AC"/>
    <w:rsid w:val="00FB7B78"/>
    <w:rsid w:val="00FC10D7"/>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93E"/>
    <w:rsid w:val="00FD1C3A"/>
    <w:rsid w:val="00FD2521"/>
    <w:rsid w:val="00FD2638"/>
    <w:rsid w:val="00FD2B91"/>
    <w:rsid w:val="00FD34AB"/>
    <w:rsid w:val="00FD3B29"/>
    <w:rsid w:val="00FD4FB3"/>
    <w:rsid w:val="00FD564A"/>
    <w:rsid w:val="00FD5776"/>
    <w:rsid w:val="00FD5BB3"/>
    <w:rsid w:val="00FD7C06"/>
    <w:rsid w:val="00FE0C89"/>
    <w:rsid w:val="00FE1841"/>
    <w:rsid w:val="00FE1B00"/>
    <w:rsid w:val="00FE3446"/>
    <w:rsid w:val="00FE4072"/>
    <w:rsid w:val="00FE4AD9"/>
    <w:rsid w:val="00FE6467"/>
    <w:rsid w:val="00FE6936"/>
    <w:rsid w:val="00FE7C3C"/>
    <w:rsid w:val="00FF0555"/>
    <w:rsid w:val="00FF1289"/>
    <w:rsid w:val="00FF24BC"/>
    <w:rsid w:val="00FF4CF7"/>
    <w:rsid w:val="00FF4F7F"/>
    <w:rsid w:val="00FF5B31"/>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CBA09"/>
  <w15:docId w15:val="{4DE0A50D-F433-49F2-8C2E-7B46C40D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aliases w:val="fr,o,Style 6,Style 20,Style 9,footnote tex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paragraph" w:styleId="BodyText2">
    <w:name w:val="Body Text 2"/>
    <w:basedOn w:val="Normal"/>
    <w:link w:val="BodyText2Char"/>
    <w:rsid w:val="00175A0C"/>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175A0C"/>
    <w:rPr>
      <w:sz w:val="26"/>
      <w:szCs w:val="26"/>
    </w:rPr>
  </w:style>
  <w:style w:type="character" w:styleId="CommentReference">
    <w:name w:val="annotation reference"/>
    <w:basedOn w:val="DefaultParagraphFont"/>
    <w:semiHidden/>
    <w:unhideWhenUsed/>
    <w:rsid w:val="005B09A1"/>
    <w:rPr>
      <w:sz w:val="16"/>
      <w:szCs w:val="16"/>
    </w:rPr>
  </w:style>
  <w:style w:type="paragraph" w:styleId="CommentText">
    <w:name w:val="annotation text"/>
    <w:basedOn w:val="Normal"/>
    <w:link w:val="CommentTextChar"/>
    <w:semiHidden/>
    <w:unhideWhenUsed/>
    <w:rsid w:val="005B09A1"/>
  </w:style>
  <w:style w:type="character" w:customStyle="1" w:styleId="CommentTextChar">
    <w:name w:val="Comment Text Char"/>
    <w:basedOn w:val="DefaultParagraphFont"/>
    <w:link w:val="CommentText"/>
    <w:semiHidden/>
    <w:rsid w:val="005B09A1"/>
  </w:style>
  <w:style w:type="paragraph" w:styleId="CommentSubject">
    <w:name w:val="annotation subject"/>
    <w:basedOn w:val="CommentText"/>
    <w:next w:val="CommentText"/>
    <w:link w:val="CommentSubjectChar"/>
    <w:semiHidden/>
    <w:unhideWhenUsed/>
    <w:rsid w:val="005B09A1"/>
    <w:rPr>
      <w:b/>
      <w:bCs/>
    </w:rPr>
  </w:style>
  <w:style w:type="character" w:customStyle="1" w:styleId="CommentSubjectChar">
    <w:name w:val="Comment Subject Char"/>
    <w:basedOn w:val="CommentTextChar"/>
    <w:link w:val="CommentSubject"/>
    <w:semiHidden/>
    <w:rsid w:val="005B09A1"/>
    <w:rPr>
      <w:b/>
      <w:bCs/>
    </w:rPr>
  </w:style>
  <w:style w:type="character" w:customStyle="1" w:styleId="FootnoteTextChar">
    <w:name w:val="Footnote Text Char"/>
    <w:basedOn w:val="DefaultParagraphFont"/>
    <w:link w:val="FootnoteText"/>
    <w:semiHidden/>
    <w:rsid w:val="0044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6227">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821584765">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BD1F-9E17-4BCB-A369-C97CAA26B123}">
  <ds:schemaRefs>
    <ds:schemaRef ds:uri="http://schemas.microsoft.com/sharepoint/v3/contenttype/forms"/>
  </ds:schemaRefs>
</ds:datastoreItem>
</file>

<file path=customXml/itemProps2.xml><?xml version="1.0" encoding="utf-8"?>
<ds:datastoreItem xmlns:ds="http://schemas.openxmlformats.org/officeDocument/2006/customXml" ds:itemID="{B297EFE9-ACE8-4D53-AD30-73ABCEA5B2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AA6407-6C55-49A8-8CA2-FA7A0AFAD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DA122-1021-4458-8369-BC7798FAC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17318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Sheffer, Ryan</cp:lastModifiedBy>
  <cp:revision>44</cp:revision>
  <cp:lastPrinted>2017-09-19T20:03:00Z</cp:lastPrinted>
  <dcterms:created xsi:type="dcterms:W3CDTF">2020-05-01T14:39:00Z</dcterms:created>
  <dcterms:modified xsi:type="dcterms:W3CDTF">2020-05-21T17:18:00Z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