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58E4D" w14:textId="77777777" w:rsidR="004E72C7" w:rsidRDefault="004E72C7" w:rsidP="004E72C7">
      <w:pPr>
        <w:tabs>
          <w:tab w:val="center" w:pos="5148"/>
        </w:tabs>
        <w:suppressAutoHyphens/>
        <w:jc w:val="center"/>
        <w:rPr>
          <w:rFonts w:ascii="Arial" w:hAnsi="Arial"/>
        </w:rPr>
      </w:pPr>
      <w:r>
        <w:rPr>
          <w:rFonts w:ascii="Arial" w:hAnsi="Arial"/>
        </w:rPr>
        <w:t>BEFORE THE</w:t>
      </w:r>
    </w:p>
    <w:p w14:paraId="0BA1240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EEC99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3198"/>
      </w:tblGrid>
      <w:tr w:rsidR="004E72C7" w14:paraId="1F9536AA" w14:textId="77777777" w:rsidTr="00ED15EF">
        <w:trPr>
          <w:trHeight w:val="98"/>
        </w:trPr>
        <w:tc>
          <w:tcPr>
            <w:tcW w:w="5761" w:type="dxa"/>
          </w:tcPr>
          <w:p w14:paraId="46B7E15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198" w:type="dxa"/>
          </w:tcPr>
          <w:p w14:paraId="174DD29B" w14:textId="77777777" w:rsidR="004E72C7" w:rsidRDefault="004E72C7" w:rsidP="009C07F4">
            <w:pPr>
              <w:tabs>
                <w:tab w:val="center" w:pos="5148"/>
              </w:tabs>
              <w:suppressAutoHyphens/>
              <w:rPr>
                <w:rFonts w:ascii="Arial" w:hAnsi="Arial"/>
              </w:rPr>
            </w:pPr>
            <w:r>
              <w:rPr>
                <w:rFonts w:ascii="Arial" w:hAnsi="Arial"/>
              </w:rPr>
              <w:t>:</w:t>
            </w:r>
          </w:p>
        </w:tc>
      </w:tr>
      <w:tr w:rsidR="004E72C7" w14:paraId="3CDEA77C" w14:textId="77777777" w:rsidTr="00ED15EF">
        <w:trPr>
          <w:trHeight w:val="98"/>
        </w:trPr>
        <w:tc>
          <w:tcPr>
            <w:tcW w:w="5761" w:type="dxa"/>
          </w:tcPr>
          <w:p w14:paraId="3A5ECDA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198" w:type="dxa"/>
          </w:tcPr>
          <w:p w14:paraId="62038A54" w14:textId="77777777" w:rsidR="004E72C7" w:rsidRDefault="004E72C7" w:rsidP="009C07F4">
            <w:pPr>
              <w:tabs>
                <w:tab w:val="center" w:pos="5148"/>
              </w:tabs>
              <w:suppressAutoHyphens/>
              <w:rPr>
                <w:rFonts w:ascii="Arial" w:hAnsi="Arial"/>
              </w:rPr>
            </w:pPr>
            <w:r>
              <w:rPr>
                <w:rFonts w:ascii="Arial" w:hAnsi="Arial"/>
              </w:rPr>
              <w:t>:</w:t>
            </w:r>
          </w:p>
        </w:tc>
      </w:tr>
      <w:tr w:rsidR="004E72C7" w14:paraId="6FEE888E" w14:textId="77777777" w:rsidTr="00ED15EF">
        <w:trPr>
          <w:trHeight w:val="98"/>
        </w:trPr>
        <w:tc>
          <w:tcPr>
            <w:tcW w:w="5761" w:type="dxa"/>
          </w:tcPr>
          <w:p w14:paraId="44CC1A43" w14:textId="77777777" w:rsidR="004E72C7" w:rsidRDefault="004E72C7" w:rsidP="009C07F4">
            <w:pPr>
              <w:tabs>
                <w:tab w:val="center" w:pos="5148"/>
              </w:tabs>
              <w:suppressAutoHyphens/>
              <w:rPr>
                <w:rFonts w:ascii="Arial" w:hAnsi="Arial"/>
              </w:rPr>
            </w:pPr>
          </w:p>
        </w:tc>
        <w:tc>
          <w:tcPr>
            <w:tcW w:w="3198" w:type="dxa"/>
          </w:tcPr>
          <w:p w14:paraId="65184A7D" w14:textId="77777777" w:rsidR="004E72C7" w:rsidRDefault="004E72C7" w:rsidP="009C07F4">
            <w:pPr>
              <w:tabs>
                <w:tab w:val="center" w:pos="5148"/>
              </w:tabs>
              <w:suppressAutoHyphens/>
              <w:rPr>
                <w:rFonts w:ascii="Arial" w:hAnsi="Arial"/>
              </w:rPr>
            </w:pPr>
            <w:r>
              <w:rPr>
                <w:rFonts w:ascii="Arial" w:hAnsi="Arial"/>
              </w:rPr>
              <w:t>:</w:t>
            </w:r>
          </w:p>
        </w:tc>
      </w:tr>
      <w:tr w:rsidR="004E72C7" w14:paraId="169ECE90" w14:textId="77777777" w:rsidTr="00ED15EF">
        <w:trPr>
          <w:trHeight w:val="98"/>
        </w:trPr>
        <w:tc>
          <w:tcPr>
            <w:tcW w:w="5761" w:type="dxa"/>
            <w:vAlign w:val="center"/>
          </w:tcPr>
          <w:p w14:paraId="2CF9A60D" w14:textId="77777777" w:rsidR="004E72C7" w:rsidRDefault="004E72C7" w:rsidP="009C07F4">
            <w:pPr>
              <w:tabs>
                <w:tab w:val="center" w:pos="5148"/>
              </w:tabs>
              <w:suppressAutoHyphens/>
              <w:jc w:val="center"/>
              <w:rPr>
                <w:rFonts w:ascii="Arial" w:hAnsi="Arial"/>
              </w:rPr>
            </w:pPr>
            <w:r>
              <w:rPr>
                <w:rFonts w:ascii="Arial" w:hAnsi="Arial"/>
              </w:rPr>
              <w:t>V.</w:t>
            </w:r>
          </w:p>
        </w:tc>
        <w:tc>
          <w:tcPr>
            <w:tcW w:w="3198" w:type="dxa"/>
          </w:tcPr>
          <w:p w14:paraId="0063FAF2" w14:textId="4590790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097E">
              <w:rPr>
                <w:rFonts w:ascii="Arial" w:hAnsi="Arial"/>
              </w:rPr>
              <w:t>C-2020-</w:t>
            </w:r>
            <w:r w:rsidR="0048398C" w:rsidRPr="0048398C">
              <w:rPr>
                <w:rFonts w:ascii="Arial" w:hAnsi="Arial"/>
              </w:rPr>
              <w:t>3019928</w:t>
            </w:r>
          </w:p>
        </w:tc>
      </w:tr>
      <w:tr w:rsidR="004E72C7" w14:paraId="67C217C3" w14:textId="77777777" w:rsidTr="00ED15EF">
        <w:trPr>
          <w:trHeight w:val="98"/>
        </w:trPr>
        <w:tc>
          <w:tcPr>
            <w:tcW w:w="5761" w:type="dxa"/>
            <w:vAlign w:val="center"/>
          </w:tcPr>
          <w:p w14:paraId="65672A13" w14:textId="77777777" w:rsidR="004E72C7" w:rsidRDefault="004E72C7" w:rsidP="009C07F4">
            <w:pPr>
              <w:tabs>
                <w:tab w:val="center" w:pos="5148"/>
              </w:tabs>
              <w:suppressAutoHyphens/>
              <w:jc w:val="center"/>
              <w:rPr>
                <w:rFonts w:ascii="Arial" w:hAnsi="Arial"/>
              </w:rPr>
            </w:pPr>
          </w:p>
        </w:tc>
        <w:tc>
          <w:tcPr>
            <w:tcW w:w="3198" w:type="dxa"/>
          </w:tcPr>
          <w:p w14:paraId="41C61937" w14:textId="77777777" w:rsidR="004E72C7" w:rsidRDefault="004E72C7" w:rsidP="009C07F4">
            <w:pPr>
              <w:tabs>
                <w:tab w:val="center" w:pos="5148"/>
              </w:tabs>
              <w:suppressAutoHyphens/>
              <w:rPr>
                <w:rFonts w:ascii="Arial" w:hAnsi="Arial"/>
              </w:rPr>
            </w:pPr>
            <w:r>
              <w:rPr>
                <w:rFonts w:ascii="Arial" w:hAnsi="Arial"/>
              </w:rPr>
              <w:t>:</w:t>
            </w:r>
          </w:p>
        </w:tc>
      </w:tr>
      <w:tr w:rsidR="004E72C7" w14:paraId="12CD75C7" w14:textId="77777777" w:rsidTr="00ED15EF">
        <w:trPr>
          <w:trHeight w:val="1125"/>
        </w:trPr>
        <w:tc>
          <w:tcPr>
            <w:tcW w:w="5761" w:type="dxa"/>
          </w:tcPr>
          <w:p w14:paraId="1C168A4E" w14:textId="77777777" w:rsidR="004E72C7" w:rsidRDefault="0075097E" w:rsidP="009C07F4">
            <w:pPr>
              <w:tabs>
                <w:tab w:val="center" w:pos="5148"/>
              </w:tabs>
              <w:suppressAutoHyphens/>
              <w:rPr>
                <w:rFonts w:ascii="Arial" w:hAnsi="Arial"/>
              </w:rPr>
            </w:pPr>
            <w:bookmarkStart w:id="1" w:name="CompName1"/>
            <w:bookmarkEnd w:id="1"/>
            <w:r>
              <w:rPr>
                <w:rFonts w:ascii="Arial" w:hAnsi="Arial"/>
              </w:rPr>
              <w:t>BEKINS A-1 MOVERS INC</w:t>
            </w:r>
          </w:p>
          <w:p w14:paraId="27C48C7B" w14:textId="77777777" w:rsidR="0075097E" w:rsidRDefault="0075097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ACE MOVING &amp; STORAGE</w:t>
            </w:r>
          </w:p>
          <w:p w14:paraId="3A4E22BA" w14:textId="77777777" w:rsidR="0075097E" w:rsidRDefault="0075097E" w:rsidP="009C07F4">
            <w:pPr>
              <w:tabs>
                <w:tab w:val="center" w:pos="5148"/>
              </w:tabs>
              <w:suppressAutoHyphens/>
              <w:rPr>
                <w:rFonts w:ascii="Arial" w:hAnsi="Arial"/>
              </w:rPr>
            </w:pPr>
            <w:r>
              <w:rPr>
                <w:rFonts w:ascii="Arial" w:hAnsi="Arial"/>
              </w:rPr>
              <w:t>T/A ACE MOVING AND STORAGE</w:t>
            </w:r>
          </w:p>
          <w:p w14:paraId="6296FD74" w14:textId="77777777" w:rsidR="004E72C7" w:rsidRDefault="0075097E" w:rsidP="009C07F4">
            <w:pPr>
              <w:tabs>
                <w:tab w:val="center" w:pos="5148"/>
              </w:tabs>
              <w:suppressAutoHyphens/>
              <w:rPr>
                <w:rFonts w:ascii="Arial" w:hAnsi="Arial"/>
              </w:rPr>
            </w:pPr>
            <w:r>
              <w:rPr>
                <w:rFonts w:ascii="Arial" w:hAnsi="Arial"/>
              </w:rPr>
              <w:t>125 STEWART ROAD</w:t>
            </w:r>
          </w:p>
          <w:p w14:paraId="55863AB5" w14:textId="77777777" w:rsidR="004E72C7" w:rsidRDefault="0075097E" w:rsidP="009C07F4">
            <w:pPr>
              <w:tabs>
                <w:tab w:val="center" w:pos="5148"/>
              </w:tabs>
              <w:suppressAutoHyphens/>
              <w:rPr>
                <w:rFonts w:ascii="Arial" w:hAnsi="Arial"/>
              </w:rPr>
            </w:pPr>
            <w:bookmarkStart w:id="4" w:name="CompLine3"/>
            <w:bookmarkEnd w:id="4"/>
            <w:r>
              <w:rPr>
                <w:rFonts w:ascii="Arial" w:hAnsi="Arial"/>
              </w:rPr>
              <w:t>WILKES BARRE, PA  18706</w:t>
            </w:r>
          </w:p>
          <w:p w14:paraId="19871D5B" w14:textId="77777777" w:rsidR="004E72C7" w:rsidRDefault="004E72C7" w:rsidP="009C07F4">
            <w:pPr>
              <w:tabs>
                <w:tab w:val="center" w:pos="5148"/>
              </w:tabs>
              <w:suppressAutoHyphens/>
              <w:rPr>
                <w:rFonts w:ascii="Arial" w:hAnsi="Arial"/>
              </w:rPr>
            </w:pPr>
            <w:bookmarkStart w:id="5" w:name="CompLine4"/>
            <w:bookmarkEnd w:id="5"/>
          </w:p>
        </w:tc>
        <w:tc>
          <w:tcPr>
            <w:tcW w:w="3198" w:type="dxa"/>
          </w:tcPr>
          <w:p w14:paraId="6F7DD93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A03E74E" w14:textId="77777777" w:rsidR="004E72C7" w:rsidRDefault="004E72C7" w:rsidP="009C07F4">
            <w:pPr>
              <w:tabs>
                <w:tab w:val="center" w:pos="5148"/>
              </w:tabs>
              <w:suppressAutoHyphens/>
              <w:rPr>
                <w:rFonts w:ascii="Arial" w:hAnsi="Arial"/>
              </w:rPr>
            </w:pPr>
            <w:r>
              <w:rPr>
                <w:rFonts w:ascii="Arial" w:hAnsi="Arial"/>
              </w:rPr>
              <w:t>:</w:t>
            </w:r>
          </w:p>
        </w:tc>
      </w:tr>
    </w:tbl>
    <w:p w14:paraId="086E1556" w14:textId="77777777" w:rsidR="004E72C7" w:rsidRDefault="004E72C7" w:rsidP="004E72C7">
      <w:pPr>
        <w:tabs>
          <w:tab w:val="center" w:pos="5490"/>
        </w:tabs>
        <w:suppressAutoHyphens/>
        <w:rPr>
          <w:rFonts w:ascii="Arial" w:hAnsi="Arial"/>
        </w:rPr>
      </w:pPr>
    </w:p>
    <w:p w14:paraId="02352F2E" w14:textId="77777777" w:rsidR="004E72C7" w:rsidRDefault="004E72C7" w:rsidP="004E72C7">
      <w:pPr>
        <w:suppressAutoHyphens/>
        <w:jc w:val="center"/>
        <w:rPr>
          <w:rFonts w:ascii="Arial" w:hAnsi="Arial"/>
        </w:rPr>
      </w:pPr>
      <w:r>
        <w:rPr>
          <w:rFonts w:ascii="Arial" w:hAnsi="Arial"/>
          <w:u w:val="single"/>
        </w:rPr>
        <w:t>COMPLAINT</w:t>
      </w:r>
    </w:p>
    <w:p w14:paraId="4D5FAE42" w14:textId="77777777" w:rsidR="004E72C7" w:rsidRDefault="004E72C7" w:rsidP="004E72C7">
      <w:pPr>
        <w:tabs>
          <w:tab w:val="left" w:pos="-720"/>
        </w:tabs>
        <w:suppressAutoHyphens/>
        <w:rPr>
          <w:rFonts w:ascii="Arial" w:hAnsi="Arial"/>
        </w:rPr>
      </w:pPr>
    </w:p>
    <w:p w14:paraId="6AACFCC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6B7216" w14:textId="77777777" w:rsidR="00F6461B" w:rsidRDefault="00F6461B" w:rsidP="00117B9E">
      <w:pPr>
        <w:tabs>
          <w:tab w:val="left" w:pos="-720"/>
          <w:tab w:val="left" w:pos="9630"/>
        </w:tabs>
        <w:suppressAutoHyphens/>
        <w:ind w:right="936"/>
        <w:rPr>
          <w:rFonts w:ascii="Arial" w:hAnsi="Arial"/>
        </w:rPr>
      </w:pPr>
    </w:p>
    <w:p w14:paraId="7A04642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097E">
        <w:rPr>
          <w:rFonts w:ascii="Arial" w:hAnsi="Arial"/>
        </w:rPr>
        <w:t>BEKINS A-1 MOVERS INC</w:t>
      </w:r>
      <w:r w:rsidR="00282E77">
        <w:rPr>
          <w:rFonts w:ascii="Arial" w:hAnsi="Arial"/>
        </w:rPr>
        <w:t>,</w:t>
      </w:r>
      <w:r w:rsidR="00036841">
        <w:rPr>
          <w:rFonts w:ascii="Arial" w:hAnsi="Arial"/>
        </w:rPr>
        <w:t xml:space="preserve"> </w:t>
      </w:r>
      <w:bookmarkStart w:id="7" w:name="BMtradingAsName2"/>
      <w:bookmarkEnd w:id="7"/>
      <w:r w:rsidR="0075097E">
        <w:rPr>
          <w:rFonts w:ascii="Arial" w:hAnsi="Arial"/>
        </w:rPr>
        <w:t xml:space="preserve">T/A ACE MOVING &amp; STORAGE, T/A ACE MOVING AND STORAGE,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097E">
        <w:rPr>
          <w:rFonts w:ascii="Arial" w:hAnsi="Arial"/>
        </w:rPr>
        <w:t>April 01, 2020</w:t>
      </w:r>
      <w:r w:rsidRPr="008D1E5E">
        <w:rPr>
          <w:rFonts w:ascii="Arial" w:hAnsi="Arial"/>
        </w:rPr>
        <w:t xml:space="preserve"> for failure to maintain evidence of insurance on file with this Commission.</w:t>
      </w:r>
    </w:p>
    <w:p w14:paraId="1582DB73" w14:textId="77777777" w:rsidR="006D0AF4" w:rsidRDefault="006D0AF4" w:rsidP="00804394">
      <w:pPr>
        <w:tabs>
          <w:tab w:val="left" w:pos="-720"/>
        </w:tabs>
        <w:suppressAutoHyphens/>
        <w:ind w:firstLine="1440"/>
        <w:rPr>
          <w:rFonts w:ascii="Arial" w:hAnsi="Arial"/>
        </w:rPr>
      </w:pPr>
    </w:p>
    <w:p w14:paraId="582995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097E">
        <w:rPr>
          <w:rFonts w:ascii="Arial" w:hAnsi="Arial"/>
        </w:rPr>
        <w:t>125 STEWART ROAD, WILKES BARRE, PA  18706</w:t>
      </w:r>
      <w:r w:rsidR="00F6461B">
        <w:rPr>
          <w:rFonts w:ascii="Arial" w:hAnsi="Arial"/>
        </w:rPr>
        <w:t>.</w:t>
      </w:r>
    </w:p>
    <w:p w14:paraId="4E69AC6B" w14:textId="77777777" w:rsidR="00F6461B" w:rsidRDefault="00F6461B">
      <w:pPr>
        <w:tabs>
          <w:tab w:val="left" w:pos="-720"/>
        </w:tabs>
        <w:suppressAutoHyphens/>
        <w:ind w:left="1440"/>
        <w:rPr>
          <w:rFonts w:ascii="Arial" w:hAnsi="Arial"/>
        </w:rPr>
      </w:pPr>
    </w:p>
    <w:p w14:paraId="4708605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097E">
        <w:rPr>
          <w:rFonts w:ascii="Arial" w:hAnsi="Arial"/>
        </w:rPr>
        <w:t>January 03, 1990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097E">
        <w:rPr>
          <w:rFonts w:ascii="Arial" w:hAnsi="Arial"/>
        </w:rPr>
        <w:t>A-00108519</w:t>
      </w:r>
      <w:r w:rsidR="00F6461B">
        <w:rPr>
          <w:rFonts w:ascii="Arial" w:hAnsi="Arial"/>
        </w:rPr>
        <w:t>.</w:t>
      </w:r>
    </w:p>
    <w:p w14:paraId="27657AF2" w14:textId="77777777" w:rsidR="00F6461B" w:rsidRDefault="00F6461B" w:rsidP="00117B9E">
      <w:pPr>
        <w:tabs>
          <w:tab w:val="left" w:pos="-720"/>
          <w:tab w:val="left" w:pos="9630"/>
        </w:tabs>
        <w:suppressAutoHyphens/>
        <w:ind w:right="936"/>
        <w:rPr>
          <w:rFonts w:ascii="Arial" w:hAnsi="Arial"/>
        </w:rPr>
      </w:pPr>
    </w:p>
    <w:p w14:paraId="7B2A615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5097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E6299E" w14:textId="77777777" w:rsidR="00F6461B" w:rsidRDefault="00F6461B" w:rsidP="00117B9E">
      <w:pPr>
        <w:tabs>
          <w:tab w:val="left" w:pos="-720"/>
        </w:tabs>
        <w:suppressAutoHyphens/>
        <w:rPr>
          <w:rFonts w:ascii="Arial" w:hAnsi="Arial"/>
        </w:rPr>
      </w:pPr>
    </w:p>
    <w:p w14:paraId="0D9C8738" w14:textId="0ED853F6" w:rsidR="00ED15EF" w:rsidRDefault="007C7AAD" w:rsidP="00ED15EF">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7B7F34" w14:textId="73C953B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097E">
        <w:rPr>
          <w:rFonts w:ascii="Arial" w:hAnsi="Arial"/>
        </w:rPr>
        <w:t>A-00108519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6CDC3AB" w14:textId="77777777" w:rsidR="00ED15EF" w:rsidRDefault="00ED15EF" w:rsidP="00117B9E">
      <w:pPr>
        <w:tabs>
          <w:tab w:val="left" w:pos="-720"/>
          <w:tab w:val="left" w:pos="0"/>
        </w:tabs>
        <w:suppressAutoHyphens/>
        <w:rPr>
          <w:rFonts w:ascii="Arial" w:hAnsi="Arial"/>
        </w:rPr>
      </w:pPr>
    </w:p>
    <w:p w14:paraId="46BB532D" w14:textId="503906FC"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827C7B" w14:textId="378BCF90" w:rsidR="000A4804" w:rsidRDefault="00ED15EF" w:rsidP="00ED15EF">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1A6FDFE0" wp14:editId="50EC623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EE5E6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7A8D94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3A471A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A8ECF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99846C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1E11CB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173DB9" w14:textId="77777777" w:rsidR="00F6461B" w:rsidRDefault="00F6461B" w:rsidP="00150564">
      <w:pPr>
        <w:tabs>
          <w:tab w:val="left" w:pos="-720"/>
        </w:tabs>
        <w:suppressAutoHyphens/>
        <w:rPr>
          <w:rFonts w:ascii="Arial" w:hAnsi="Arial"/>
        </w:rPr>
      </w:pPr>
    </w:p>
    <w:p w14:paraId="7AA7A03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BB9105" w14:textId="77777777" w:rsidR="00DB467F" w:rsidRDefault="00DB467F" w:rsidP="00DB467F">
      <w:pPr>
        <w:ind w:right="90"/>
        <w:rPr>
          <w:rFonts w:ascii="Arial" w:hAnsi="Arial" w:cs="Arial"/>
        </w:rPr>
      </w:pPr>
    </w:p>
    <w:p w14:paraId="35B7114F" w14:textId="77777777" w:rsidR="00BD2DC2" w:rsidRDefault="00BD2DC2" w:rsidP="00DB467F">
      <w:pPr>
        <w:ind w:right="90"/>
        <w:rPr>
          <w:rFonts w:ascii="Arial" w:hAnsi="Arial" w:cs="Arial"/>
        </w:rPr>
      </w:pPr>
    </w:p>
    <w:p w14:paraId="4B1FC8C8" w14:textId="77777777" w:rsidR="00BD2DC2" w:rsidRDefault="00BD2DC2" w:rsidP="00DB467F">
      <w:pPr>
        <w:ind w:right="90"/>
        <w:rPr>
          <w:rFonts w:ascii="Arial" w:hAnsi="Arial" w:cs="Arial"/>
        </w:rPr>
      </w:pPr>
    </w:p>
    <w:p w14:paraId="1D668CA1" w14:textId="77777777" w:rsidR="00BB5F42" w:rsidRDefault="00BB5F42" w:rsidP="00DB467F">
      <w:pPr>
        <w:ind w:right="90"/>
        <w:rPr>
          <w:rFonts w:ascii="Arial" w:hAnsi="Arial" w:cs="Arial"/>
        </w:rPr>
      </w:pPr>
    </w:p>
    <w:p w14:paraId="022DCC84" w14:textId="77777777" w:rsidR="00BD2DC2" w:rsidRDefault="00BD2DC2" w:rsidP="00DB467F">
      <w:pPr>
        <w:ind w:right="90"/>
        <w:rPr>
          <w:rFonts w:ascii="Arial" w:hAnsi="Arial" w:cs="Arial"/>
        </w:rPr>
      </w:pPr>
    </w:p>
    <w:p w14:paraId="320B9721" w14:textId="47856C9A" w:rsidR="00DB467F" w:rsidRDefault="00333CB4" w:rsidP="00862743">
      <w:pPr>
        <w:tabs>
          <w:tab w:val="left" w:pos="4950"/>
        </w:tabs>
        <w:ind w:right="90"/>
        <w:rPr>
          <w:rFonts w:ascii="Arial" w:hAnsi="Arial" w:cs="Arial"/>
        </w:rPr>
      </w:pPr>
      <w:r>
        <w:rPr>
          <w:rFonts w:ascii="Arial" w:hAnsi="Arial" w:cs="Arial"/>
        </w:rPr>
        <w:t xml:space="preserve">Date:  </w:t>
      </w:r>
      <w:r w:rsidR="00ED15EF">
        <w:rPr>
          <w:rFonts w:ascii="Arial" w:hAnsi="Arial" w:cs="Arial"/>
        </w:rPr>
        <w:t>06/10/2020</w:t>
      </w:r>
      <w:bookmarkStart w:id="14" w:name="_GoBack"/>
      <w:bookmarkEnd w:id="14"/>
      <w:r>
        <w:rPr>
          <w:rFonts w:ascii="Arial" w:hAnsi="Arial" w:cs="Arial"/>
        </w:rPr>
        <w:tab/>
      </w:r>
      <w:r w:rsidR="00ED15EF">
        <w:rPr>
          <w:noProof/>
        </w:rPr>
        <w:drawing>
          <wp:inline distT="0" distB="0" distL="0" distR="0" wp14:anchorId="77D28049" wp14:editId="61907896">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B1A92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B317A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A0583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E65E777" w14:textId="77777777" w:rsidR="00F6461B" w:rsidRDefault="00F6461B" w:rsidP="00DB467F">
      <w:pPr>
        <w:tabs>
          <w:tab w:val="left" w:pos="-720"/>
        </w:tabs>
        <w:suppressAutoHyphens/>
        <w:ind w:right="90"/>
        <w:rPr>
          <w:rFonts w:ascii="Arial" w:hAnsi="Arial"/>
        </w:rPr>
      </w:pPr>
    </w:p>
    <w:p w14:paraId="666D88C2" w14:textId="77777777" w:rsidR="00F6461B" w:rsidRDefault="00BD6010" w:rsidP="00150564">
      <w:pPr>
        <w:tabs>
          <w:tab w:val="center" w:pos="4680"/>
        </w:tabs>
        <w:suppressAutoHyphens/>
        <w:rPr>
          <w:rFonts w:ascii="Arial" w:hAnsi="Arial"/>
        </w:rPr>
      </w:pPr>
      <w:r>
        <w:rPr>
          <w:rFonts w:ascii="Arial" w:hAnsi="Arial"/>
        </w:rPr>
        <w:br w:type="page"/>
      </w:r>
    </w:p>
    <w:p w14:paraId="132474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864243" w14:textId="77777777" w:rsidR="00104196" w:rsidRPr="00AB24E9" w:rsidRDefault="00104196" w:rsidP="00104196">
      <w:pPr>
        <w:tabs>
          <w:tab w:val="left" w:pos="-720"/>
        </w:tabs>
        <w:suppressAutoHyphens/>
        <w:rPr>
          <w:rFonts w:ascii="Arial" w:hAnsi="Arial"/>
          <w:sz w:val="18"/>
          <w:szCs w:val="18"/>
        </w:rPr>
      </w:pPr>
    </w:p>
    <w:p w14:paraId="51A8EF1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E9FF3B" w14:textId="77777777" w:rsidR="007A36E0" w:rsidRPr="00905337" w:rsidRDefault="007A36E0" w:rsidP="007A36E0">
      <w:pPr>
        <w:tabs>
          <w:tab w:val="left" w:pos="360"/>
        </w:tabs>
        <w:rPr>
          <w:rFonts w:ascii="Arial" w:hAnsi="Arial" w:cs="Arial"/>
          <w:sz w:val="18"/>
          <w:szCs w:val="18"/>
        </w:rPr>
      </w:pPr>
    </w:p>
    <w:p w14:paraId="23F1502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9CBA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A0A5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0755F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79C04B" w14:textId="77777777" w:rsidR="00690037" w:rsidRPr="00690037" w:rsidRDefault="00690037" w:rsidP="00690037">
      <w:pPr>
        <w:ind w:left="720" w:hanging="360"/>
        <w:rPr>
          <w:rFonts w:ascii="Arial" w:hAnsi="Arial"/>
        </w:rPr>
      </w:pPr>
    </w:p>
    <w:p w14:paraId="39D2D5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85E7AFD" w14:textId="77777777" w:rsidR="00703137" w:rsidRPr="00905337" w:rsidRDefault="00703137" w:rsidP="00703137">
      <w:pPr>
        <w:tabs>
          <w:tab w:val="left" w:pos="3336"/>
        </w:tabs>
        <w:ind w:left="360" w:hanging="360"/>
        <w:rPr>
          <w:rFonts w:ascii="Arial" w:hAnsi="Arial" w:cs="Arial"/>
          <w:sz w:val="16"/>
          <w:szCs w:val="16"/>
        </w:rPr>
      </w:pPr>
    </w:p>
    <w:p w14:paraId="0BA139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318FB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0709D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4488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24669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8173A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3F50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0A73E6" w14:textId="77777777" w:rsidR="00703137" w:rsidRPr="00D92F56" w:rsidRDefault="00703137" w:rsidP="00690037">
      <w:pPr>
        <w:ind w:left="360" w:hanging="360"/>
        <w:rPr>
          <w:rFonts w:ascii="Arial" w:hAnsi="Arial" w:cs="Arial"/>
          <w:sz w:val="16"/>
          <w:szCs w:val="16"/>
        </w:rPr>
      </w:pPr>
    </w:p>
    <w:p w14:paraId="670D32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617EEB" w14:textId="77777777" w:rsidR="00703137" w:rsidRPr="00D92F56" w:rsidRDefault="00703137" w:rsidP="00703137">
      <w:pPr>
        <w:ind w:left="360" w:hanging="360"/>
        <w:rPr>
          <w:rFonts w:ascii="Arial" w:hAnsi="Arial" w:cs="Arial"/>
          <w:sz w:val="16"/>
          <w:szCs w:val="16"/>
        </w:rPr>
      </w:pPr>
    </w:p>
    <w:p w14:paraId="374EBE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F14ED6" w14:textId="77777777" w:rsidR="00703137" w:rsidRPr="00D92F56" w:rsidRDefault="00703137" w:rsidP="00703137">
      <w:pPr>
        <w:rPr>
          <w:rFonts w:ascii="Arial" w:hAnsi="Arial" w:cs="Arial"/>
          <w:sz w:val="16"/>
          <w:szCs w:val="16"/>
        </w:rPr>
      </w:pPr>
    </w:p>
    <w:p w14:paraId="5E6A5C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70741E" w14:textId="77777777" w:rsidR="00703137" w:rsidRPr="00D92F56" w:rsidRDefault="00703137" w:rsidP="00703137">
      <w:pPr>
        <w:pStyle w:val="BodyText2"/>
        <w:ind w:right="0"/>
        <w:rPr>
          <w:rFonts w:ascii="Arial" w:hAnsi="Arial" w:cs="Arial"/>
          <w:sz w:val="16"/>
          <w:szCs w:val="16"/>
        </w:rPr>
      </w:pPr>
    </w:p>
    <w:p w14:paraId="42235E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1E904B5" w14:textId="77777777" w:rsidR="00703137" w:rsidRPr="00D92F56" w:rsidRDefault="00703137" w:rsidP="00703137">
      <w:pPr>
        <w:pStyle w:val="BodyText2"/>
        <w:ind w:left="360" w:right="0"/>
        <w:rPr>
          <w:rFonts w:ascii="Arial" w:hAnsi="Arial" w:cs="Arial"/>
          <w:sz w:val="16"/>
          <w:szCs w:val="16"/>
        </w:rPr>
      </w:pPr>
    </w:p>
    <w:p w14:paraId="436680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5E71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2877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7F62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00C826" w14:textId="77777777" w:rsidR="00703137" w:rsidRPr="00D92F56" w:rsidRDefault="00703137" w:rsidP="00690037">
      <w:pPr>
        <w:pStyle w:val="BodyText2"/>
        <w:ind w:left="720" w:right="0"/>
        <w:rPr>
          <w:rFonts w:ascii="Arial" w:hAnsi="Arial" w:cs="Arial"/>
          <w:sz w:val="16"/>
          <w:szCs w:val="16"/>
        </w:rPr>
      </w:pPr>
    </w:p>
    <w:p w14:paraId="1E0B2A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59232B" w14:textId="77777777" w:rsidR="00703137" w:rsidRPr="00D92F56" w:rsidRDefault="00703137" w:rsidP="00703137">
      <w:pPr>
        <w:pStyle w:val="BodyText2"/>
        <w:ind w:left="360" w:right="0"/>
        <w:rPr>
          <w:rFonts w:ascii="Arial" w:hAnsi="Arial" w:cs="Arial"/>
          <w:sz w:val="16"/>
          <w:szCs w:val="16"/>
        </w:rPr>
      </w:pPr>
    </w:p>
    <w:p w14:paraId="4FA6F8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950B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F52C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AC7C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3A0F96" w14:textId="77777777" w:rsidR="00703137" w:rsidRPr="00D92F56" w:rsidRDefault="00703137" w:rsidP="00690037">
      <w:pPr>
        <w:pStyle w:val="BodyText2"/>
        <w:ind w:left="720" w:right="0"/>
        <w:rPr>
          <w:rFonts w:ascii="Arial" w:hAnsi="Arial" w:cs="Arial"/>
          <w:sz w:val="16"/>
          <w:szCs w:val="16"/>
        </w:rPr>
      </w:pPr>
    </w:p>
    <w:p w14:paraId="7D74DE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93911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3147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8F7799" w14:textId="77777777" w:rsidR="00703137" w:rsidRPr="00D92F56" w:rsidRDefault="00703137" w:rsidP="00703137">
      <w:pPr>
        <w:pStyle w:val="ListParagraph"/>
        <w:ind w:left="360" w:hanging="360"/>
        <w:rPr>
          <w:rFonts w:ascii="Arial" w:hAnsi="Arial" w:cs="Arial"/>
          <w:sz w:val="16"/>
          <w:szCs w:val="16"/>
        </w:rPr>
      </w:pPr>
    </w:p>
    <w:p w14:paraId="1EEBFA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F5089D" w14:textId="77777777" w:rsidR="00703137" w:rsidRPr="00D92F56" w:rsidRDefault="00703137" w:rsidP="00703137">
      <w:pPr>
        <w:pStyle w:val="ListParagraph"/>
        <w:ind w:left="360" w:hanging="360"/>
        <w:rPr>
          <w:rFonts w:ascii="Arial" w:hAnsi="Arial" w:cs="Arial"/>
          <w:sz w:val="16"/>
          <w:szCs w:val="16"/>
        </w:rPr>
      </w:pPr>
    </w:p>
    <w:p w14:paraId="1C5857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187238" w14:textId="77777777" w:rsidR="00703137" w:rsidRPr="00D92F56" w:rsidRDefault="00703137" w:rsidP="00703137">
      <w:pPr>
        <w:pStyle w:val="ListParagraph"/>
        <w:ind w:left="360" w:hanging="360"/>
        <w:rPr>
          <w:rFonts w:ascii="Arial" w:hAnsi="Arial" w:cs="Arial"/>
          <w:sz w:val="16"/>
          <w:szCs w:val="16"/>
        </w:rPr>
      </w:pPr>
    </w:p>
    <w:p w14:paraId="38E28FC2" w14:textId="77777777" w:rsidR="00A5595E" w:rsidRDefault="00A5595E" w:rsidP="00A5595E">
      <w:pPr>
        <w:tabs>
          <w:tab w:val="left" w:pos="-720"/>
        </w:tabs>
        <w:suppressAutoHyphens/>
        <w:rPr>
          <w:rFonts w:ascii="Arial" w:hAnsi="Arial" w:cs="Arial"/>
          <w:sz w:val="18"/>
          <w:szCs w:val="18"/>
        </w:rPr>
      </w:pPr>
    </w:p>
    <w:p w14:paraId="66B1CEE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09EE0" w14:textId="77777777" w:rsidR="00240F80" w:rsidRDefault="00240F80">
      <w:pPr>
        <w:spacing w:line="20" w:lineRule="exact"/>
        <w:rPr>
          <w:sz w:val="24"/>
        </w:rPr>
      </w:pPr>
    </w:p>
  </w:endnote>
  <w:endnote w:type="continuationSeparator" w:id="0">
    <w:p w14:paraId="64BCE0A9" w14:textId="77777777" w:rsidR="00240F80" w:rsidRDefault="00240F80">
      <w:r>
        <w:rPr>
          <w:sz w:val="24"/>
        </w:rPr>
        <w:t xml:space="preserve"> </w:t>
      </w:r>
    </w:p>
  </w:endnote>
  <w:endnote w:type="continuationNotice" w:id="1">
    <w:p w14:paraId="4E257342" w14:textId="77777777" w:rsidR="00240F80" w:rsidRDefault="00240F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2BB85" w14:textId="77777777" w:rsidR="009C07F4" w:rsidRDefault="009C07F4">
    <w:pPr>
      <w:spacing w:before="140" w:line="100" w:lineRule="exact"/>
      <w:rPr>
        <w:sz w:val="10"/>
      </w:rPr>
    </w:pPr>
  </w:p>
  <w:p w14:paraId="07809B4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E9509" w14:textId="77777777" w:rsidR="00240F80" w:rsidRDefault="00240F80">
      <w:r>
        <w:rPr>
          <w:sz w:val="24"/>
        </w:rPr>
        <w:separator/>
      </w:r>
    </w:p>
  </w:footnote>
  <w:footnote w:type="continuationSeparator" w:id="0">
    <w:p w14:paraId="58C50745" w14:textId="77777777" w:rsidR="00240F80" w:rsidRDefault="0024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0F80"/>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8398C"/>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097E"/>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2DAF"/>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15E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64D909"/>
  <w15:docId w15:val="{7C3F3890-6899-48A7-8766-369495D2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2020-04-11T10:35:00Z</dcterms:created>
  <dcterms:modified xsi:type="dcterms:W3CDTF">2020-06-10T15:14:00Z</dcterms:modified>
</cp:coreProperties>
</file>