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54441" w14:textId="77777777" w:rsidR="003A751A" w:rsidRPr="003A751A" w:rsidRDefault="003A751A" w:rsidP="003A751A">
      <w:pPr>
        <w:autoSpaceDE w:val="0"/>
        <w:autoSpaceDN w:val="0"/>
        <w:spacing w:line="240" w:lineRule="auto"/>
        <w:jc w:val="center"/>
        <w:rPr>
          <w:rFonts w:eastAsia="Times New Roman"/>
          <w:b/>
          <w:szCs w:val="24"/>
        </w:rPr>
      </w:pPr>
      <w:r w:rsidRPr="003A751A">
        <w:rPr>
          <w:rFonts w:eastAsia="Times New Roman"/>
          <w:b/>
          <w:szCs w:val="24"/>
        </w:rPr>
        <w:t>BEFORE THE</w:t>
      </w:r>
    </w:p>
    <w:p w14:paraId="68C86AB2" w14:textId="77777777" w:rsidR="003A751A" w:rsidRPr="003A751A" w:rsidRDefault="003A751A" w:rsidP="003A751A">
      <w:pPr>
        <w:tabs>
          <w:tab w:val="center" w:pos="4680"/>
        </w:tabs>
        <w:suppressAutoHyphens/>
        <w:autoSpaceDE w:val="0"/>
        <w:autoSpaceDN w:val="0"/>
        <w:spacing w:line="240" w:lineRule="auto"/>
        <w:jc w:val="center"/>
        <w:rPr>
          <w:rFonts w:eastAsia="Times New Roman"/>
          <w:b/>
          <w:bCs/>
          <w:spacing w:val="-3"/>
          <w:szCs w:val="24"/>
        </w:rPr>
      </w:pPr>
      <w:r w:rsidRPr="003A751A">
        <w:rPr>
          <w:rFonts w:eastAsia="Times New Roman"/>
          <w:b/>
          <w:bCs/>
          <w:spacing w:val="-3"/>
          <w:szCs w:val="24"/>
        </w:rPr>
        <w:t>PENNSYLVANIA PUBLIC UTILITY COMMISSION</w:t>
      </w:r>
    </w:p>
    <w:p w14:paraId="32B702A8" w14:textId="77777777" w:rsidR="003A751A" w:rsidRDefault="003A751A" w:rsidP="003A751A">
      <w:pPr>
        <w:spacing w:line="240" w:lineRule="auto"/>
        <w:rPr>
          <w:spacing w:val="-3"/>
          <w:szCs w:val="24"/>
        </w:rPr>
      </w:pPr>
    </w:p>
    <w:p w14:paraId="0715F352" w14:textId="77777777" w:rsidR="003A751A" w:rsidRDefault="003A751A" w:rsidP="003A751A">
      <w:pPr>
        <w:spacing w:line="240" w:lineRule="auto"/>
        <w:rPr>
          <w:spacing w:val="-3"/>
          <w:szCs w:val="24"/>
        </w:rPr>
      </w:pPr>
    </w:p>
    <w:p w14:paraId="39226479" w14:textId="77777777" w:rsidR="003A751A" w:rsidRDefault="003A751A" w:rsidP="003A751A">
      <w:pPr>
        <w:spacing w:line="240" w:lineRule="auto"/>
        <w:rPr>
          <w:spacing w:val="-3"/>
          <w:szCs w:val="24"/>
        </w:rPr>
      </w:pPr>
    </w:p>
    <w:p w14:paraId="2F3A8DCD" w14:textId="40D9F87A" w:rsidR="003A751A" w:rsidRPr="003A751A" w:rsidRDefault="00106F6D" w:rsidP="003A751A">
      <w:pPr>
        <w:spacing w:line="240" w:lineRule="auto"/>
        <w:rPr>
          <w:spacing w:val="-3"/>
          <w:szCs w:val="24"/>
        </w:rPr>
      </w:pPr>
      <w:r w:rsidRPr="00106F6D">
        <w:rPr>
          <w:spacing w:val="-3"/>
          <w:szCs w:val="24"/>
        </w:rPr>
        <w:t>Jeffrey Armstrong</w:t>
      </w:r>
      <w:r w:rsidR="003A751A" w:rsidRPr="003A751A">
        <w:rPr>
          <w:spacing w:val="-3"/>
          <w:szCs w:val="24"/>
        </w:rPr>
        <w:tab/>
      </w:r>
      <w:r w:rsidR="003A751A" w:rsidRPr="003A751A">
        <w:rPr>
          <w:spacing w:val="-3"/>
          <w:szCs w:val="24"/>
        </w:rPr>
        <w:tab/>
      </w:r>
      <w:r w:rsidR="003A751A" w:rsidRPr="003A751A">
        <w:rPr>
          <w:spacing w:val="-3"/>
          <w:szCs w:val="24"/>
        </w:rPr>
        <w:tab/>
      </w:r>
      <w:r w:rsidR="003A751A" w:rsidRPr="003A751A">
        <w:rPr>
          <w:spacing w:val="-3"/>
          <w:szCs w:val="24"/>
        </w:rPr>
        <w:tab/>
      </w:r>
      <w:r w:rsidR="003A751A" w:rsidRPr="003A751A">
        <w:rPr>
          <w:spacing w:val="-3"/>
          <w:szCs w:val="24"/>
        </w:rPr>
        <w:tab/>
        <w:t>:</w:t>
      </w:r>
    </w:p>
    <w:p w14:paraId="745ECA09"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7379AFEE"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1E5F369F" w14:textId="219E5B45" w:rsidR="003A751A" w:rsidRPr="003A751A" w:rsidRDefault="003A751A" w:rsidP="003A751A">
      <w:pPr>
        <w:spacing w:line="240" w:lineRule="auto"/>
        <w:rPr>
          <w:szCs w:val="24"/>
        </w:rPr>
      </w:pPr>
      <w:r w:rsidRPr="003A751A">
        <w:rPr>
          <w:szCs w:val="24"/>
        </w:rPr>
        <w:tab/>
        <w:t>v.</w:t>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r w:rsidRPr="003A751A">
        <w:rPr>
          <w:szCs w:val="24"/>
        </w:rPr>
        <w:tab/>
      </w:r>
      <w:r w:rsidRPr="003A751A">
        <w:rPr>
          <w:szCs w:val="24"/>
        </w:rPr>
        <w:tab/>
      </w:r>
      <w:bookmarkStart w:id="0" w:name="_GoBack"/>
      <w:r w:rsidR="00106F6D" w:rsidRPr="00106F6D">
        <w:rPr>
          <w:spacing w:val="-3"/>
          <w:szCs w:val="24"/>
        </w:rPr>
        <w:t>C-2020-3019011</w:t>
      </w:r>
      <w:bookmarkEnd w:id="0"/>
    </w:p>
    <w:p w14:paraId="45BF40A9" w14:textId="77777777" w:rsidR="003A751A" w:rsidRPr="003A751A" w:rsidRDefault="003A751A" w:rsidP="003A751A">
      <w:pPr>
        <w:spacing w:line="240" w:lineRule="auto"/>
        <w:rPr>
          <w:szCs w:val="24"/>
        </w:rPr>
      </w:pP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r>
      <w:r w:rsidRPr="003A751A">
        <w:rPr>
          <w:szCs w:val="24"/>
        </w:rPr>
        <w:tab/>
        <w:t>:</w:t>
      </w:r>
    </w:p>
    <w:p w14:paraId="5520777F" w14:textId="77777777" w:rsidR="003A751A" w:rsidRPr="003A751A" w:rsidRDefault="003A751A" w:rsidP="003A751A">
      <w:pPr>
        <w:spacing w:line="240" w:lineRule="auto"/>
        <w:rPr>
          <w:szCs w:val="24"/>
        </w:rPr>
      </w:pPr>
      <w:r w:rsidRPr="003A751A">
        <w:rPr>
          <w:szCs w:val="24"/>
        </w:rPr>
        <w:t>West Penn Power Company</w:t>
      </w:r>
      <w:r w:rsidRPr="003A751A">
        <w:rPr>
          <w:szCs w:val="24"/>
        </w:rPr>
        <w:tab/>
      </w:r>
      <w:r w:rsidRPr="003A751A">
        <w:rPr>
          <w:szCs w:val="24"/>
        </w:rPr>
        <w:tab/>
      </w:r>
      <w:r w:rsidRPr="003A751A">
        <w:rPr>
          <w:szCs w:val="24"/>
        </w:rPr>
        <w:tab/>
      </w:r>
      <w:r w:rsidRPr="003A751A">
        <w:rPr>
          <w:szCs w:val="24"/>
        </w:rPr>
        <w:tab/>
        <w:t>:</w:t>
      </w:r>
    </w:p>
    <w:p w14:paraId="132D88C3" w14:textId="7D7C40FA" w:rsidR="00792796" w:rsidRDefault="00792796" w:rsidP="003A751A">
      <w:pPr>
        <w:spacing w:line="240" w:lineRule="auto"/>
      </w:pPr>
    </w:p>
    <w:p w14:paraId="22D5BB25" w14:textId="7C794BE3" w:rsidR="003A751A" w:rsidRDefault="003A751A" w:rsidP="003A751A">
      <w:pPr>
        <w:spacing w:line="240" w:lineRule="auto"/>
      </w:pPr>
    </w:p>
    <w:p w14:paraId="54612E50" w14:textId="77777777" w:rsidR="003A751A" w:rsidRDefault="003A751A" w:rsidP="003A751A">
      <w:pPr>
        <w:spacing w:line="240" w:lineRule="auto"/>
      </w:pPr>
    </w:p>
    <w:p w14:paraId="20ECC986" w14:textId="2D109BB7" w:rsidR="002813A4" w:rsidRPr="008A075B" w:rsidRDefault="002813A4" w:rsidP="003A751A">
      <w:pPr>
        <w:spacing w:line="240" w:lineRule="auto"/>
        <w:jc w:val="center"/>
        <w:rPr>
          <w:b/>
          <w:bCs/>
        </w:rPr>
      </w:pPr>
      <w:r w:rsidRPr="008A075B">
        <w:rPr>
          <w:b/>
          <w:bCs/>
        </w:rPr>
        <w:t>INTERIM ORDER</w:t>
      </w:r>
    </w:p>
    <w:p w14:paraId="71328C8D" w14:textId="3B4C5237" w:rsidR="002813A4" w:rsidRPr="008A075B" w:rsidRDefault="006B1116" w:rsidP="003A751A">
      <w:pPr>
        <w:spacing w:line="240" w:lineRule="auto"/>
        <w:jc w:val="center"/>
        <w:rPr>
          <w:b/>
          <w:bCs/>
          <w:u w:val="single"/>
        </w:rPr>
      </w:pPr>
      <w:r w:rsidRPr="008A075B">
        <w:rPr>
          <w:b/>
          <w:bCs/>
          <w:u w:val="single"/>
        </w:rPr>
        <w:t>HOLDING</w:t>
      </w:r>
      <w:r w:rsidR="002813A4" w:rsidRPr="008A075B">
        <w:rPr>
          <w:b/>
          <w:bCs/>
          <w:u w:val="single"/>
        </w:rPr>
        <w:t xml:space="preserve"> PRELIMINARY OBJECTIONS</w:t>
      </w:r>
      <w:r w:rsidRPr="008A075B">
        <w:rPr>
          <w:b/>
          <w:bCs/>
          <w:u w:val="single"/>
        </w:rPr>
        <w:t xml:space="preserve"> IN ABEYANCE</w:t>
      </w:r>
    </w:p>
    <w:p w14:paraId="7F2F6CF5" w14:textId="5973DFB9" w:rsidR="002813A4" w:rsidRDefault="002813A4" w:rsidP="00106F6D"/>
    <w:p w14:paraId="30E658CF" w14:textId="64463A39" w:rsidR="002813A4" w:rsidRDefault="006B1116" w:rsidP="00106F6D">
      <w:r>
        <w:tab/>
      </w:r>
      <w:r>
        <w:tab/>
        <w:t xml:space="preserve">On </w:t>
      </w:r>
      <w:r w:rsidR="008A075B">
        <w:t xml:space="preserve">February 14, 2020, Jeffrey Armstrong (Complainant) filed a </w:t>
      </w:r>
      <w:r w:rsidR="00106F6D">
        <w:t>F</w:t>
      </w:r>
      <w:r w:rsidR="008A075B">
        <w:t xml:space="preserve">ormal </w:t>
      </w:r>
      <w:r w:rsidR="00106F6D">
        <w:t>C</w:t>
      </w:r>
      <w:r w:rsidR="008A075B">
        <w:t xml:space="preserve">omplaint against West Penn Power Company (West Penn).  The Complainant alleges that </w:t>
      </w:r>
      <w:r w:rsidR="00106F6D">
        <w:t>he</w:t>
      </w:r>
      <w:r w:rsidR="008A075B">
        <w:t xml:space="preserve"> is having a reliability problem with his electric service.  Specifically he alleges he has suffered four power surges over the last five years which have resulted in damages to his appliances.  As relief he seeks a monetary settlement and requests the Commission to order West Penn to take measures to ensure that the power surge issues are alleviated.</w:t>
      </w:r>
    </w:p>
    <w:p w14:paraId="7DB939B8" w14:textId="45E83C95" w:rsidR="008A075B" w:rsidRDefault="008A075B" w:rsidP="00106F6D"/>
    <w:p w14:paraId="5134A508" w14:textId="64162DDD" w:rsidR="008A075B" w:rsidRDefault="008A075B" w:rsidP="00106F6D">
      <w:r>
        <w:tab/>
      </w:r>
      <w:r>
        <w:tab/>
        <w:t xml:space="preserve">On March 23, 2020, West Penn filed an </w:t>
      </w:r>
      <w:r w:rsidR="00106F6D">
        <w:t>A</w:t>
      </w:r>
      <w:r>
        <w:t xml:space="preserve">nswer and </w:t>
      </w:r>
      <w:r w:rsidR="00106F6D">
        <w:t>P</w:t>
      </w:r>
      <w:r>
        <w:t xml:space="preserve">reliminary </w:t>
      </w:r>
      <w:r w:rsidR="00106F6D">
        <w:t>O</w:t>
      </w:r>
      <w:r>
        <w:t>bjections.</w:t>
      </w:r>
      <w:r w:rsidRPr="008A075B">
        <w:t xml:space="preserve"> </w:t>
      </w:r>
      <w:r>
        <w:t>The basis for the Preliminary Objections is that the Commission does not have jurisdiction to award monetary damages, therefore this allegation in the Complaint should be dismissed.  The Complainant did not file a response to the Preliminary Objection</w:t>
      </w:r>
      <w:bookmarkStart w:id="1" w:name="_Hlk505609875"/>
      <w:r>
        <w:t>s.</w:t>
      </w:r>
      <w:bookmarkEnd w:id="1"/>
    </w:p>
    <w:p w14:paraId="6BAC0995" w14:textId="77777777" w:rsidR="008A075B" w:rsidRDefault="008A075B" w:rsidP="00106F6D"/>
    <w:p w14:paraId="1619ECC5" w14:textId="56A9F552" w:rsidR="002813A4" w:rsidRDefault="008A075B" w:rsidP="00106F6D">
      <w:r>
        <w:tab/>
      </w:r>
      <w:r>
        <w:tab/>
        <w:t>This matter was assigned to me by hearing notice dated June 10, 2020.  A hearing on the Complaint is currently scheduled to take place on August 13, 2020.</w:t>
      </w:r>
    </w:p>
    <w:p w14:paraId="4F299BE7" w14:textId="306998B9" w:rsidR="002813A4" w:rsidRDefault="002813A4" w:rsidP="00106F6D"/>
    <w:p w14:paraId="49677F3D" w14:textId="163B892C" w:rsidR="00440022" w:rsidRDefault="00440022" w:rsidP="00106F6D">
      <w:r>
        <w:rPr>
          <w:szCs w:val="24"/>
        </w:rPr>
        <w:tab/>
      </w:r>
      <w:r>
        <w:rPr>
          <w:szCs w:val="24"/>
        </w:rPr>
        <w:tab/>
        <w:t xml:space="preserve">The Complainant is currently self-represented.  </w:t>
      </w:r>
      <w:r>
        <w:t>A ruling on Penn Power’s Preliminary Objections will be held in abeyance pending a hearing on the Complaint.  In</w:t>
      </w:r>
      <w:r w:rsidRPr="00982AC1">
        <w:t xml:space="preserve"> </w:t>
      </w:r>
      <w:r w:rsidRPr="00982AC1">
        <w:rPr>
          <w:i/>
        </w:rPr>
        <w:t>Carlock v. The United Telephone Company of Pennsylvania</w:t>
      </w:r>
      <w:r w:rsidRPr="00982AC1">
        <w:t>, Docket No. F</w:t>
      </w:r>
      <w:r w:rsidRPr="00982AC1">
        <w:noBreakHyphen/>
        <w:t>00163617 (Order entered July</w:t>
      </w:r>
      <w:r>
        <w:t> </w:t>
      </w:r>
      <w:r w:rsidRPr="00982AC1">
        <w:t>14, 1993), th</w:t>
      </w:r>
      <w:r>
        <w:t>e</w:t>
      </w:r>
      <w:r w:rsidRPr="00982AC1">
        <w:t xml:space="preserve"> Commission held that, in the normal course, </w:t>
      </w:r>
      <w:r>
        <w:t xml:space="preserve">the Commission </w:t>
      </w:r>
      <w:r w:rsidRPr="00982AC1">
        <w:t xml:space="preserve">would not </w:t>
      </w:r>
      <w:r w:rsidRPr="00982AC1">
        <w:lastRenderedPageBreak/>
        <w:t>dismiss a complaint</w:t>
      </w:r>
      <w:r>
        <w:t xml:space="preserve"> of a self-represented person</w:t>
      </w:r>
      <w:r w:rsidRPr="00982AC1">
        <w:t xml:space="preserve"> without first providing a hearing during which </w:t>
      </w:r>
      <w:r w:rsidRPr="00D50FE1">
        <w:t>self</w:t>
      </w:r>
      <w:r>
        <w:noBreakHyphen/>
      </w:r>
      <w:r w:rsidRPr="00D50FE1">
        <w:t>represented</w:t>
      </w:r>
      <w:r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Pr>
          <w:rStyle w:val="FootnoteReference"/>
        </w:rPr>
        <w:footnoteReference w:id="1"/>
      </w:r>
      <w:r w:rsidRPr="00982AC1">
        <w:t xml:space="preserve">  </w:t>
      </w:r>
      <w:r>
        <w:rPr>
          <w:spacing w:val="-3"/>
          <w:szCs w:val="24"/>
        </w:rPr>
        <w:t xml:space="preserve">The preliminary objections do not raise a novel issue of law.  Holding a ruling on the </w:t>
      </w:r>
      <w:r w:rsidR="00106F6D">
        <w:rPr>
          <w:spacing w:val="-3"/>
          <w:szCs w:val="24"/>
        </w:rPr>
        <w:t>P</w:t>
      </w:r>
      <w:r>
        <w:rPr>
          <w:spacing w:val="-3"/>
          <w:szCs w:val="24"/>
        </w:rPr>
        <w:t xml:space="preserve">reliminary </w:t>
      </w:r>
      <w:r w:rsidR="00106F6D">
        <w:rPr>
          <w:spacing w:val="-3"/>
          <w:szCs w:val="24"/>
        </w:rPr>
        <w:t>O</w:t>
      </w:r>
      <w:r>
        <w:rPr>
          <w:spacing w:val="-3"/>
          <w:szCs w:val="24"/>
        </w:rPr>
        <w:t xml:space="preserve">bjections in abeyance will not prejudice </w:t>
      </w:r>
      <w:r w:rsidR="006263C6">
        <w:rPr>
          <w:spacing w:val="-3"/>
          <w:szCs w:val="24"/>
        </w:rPr>
        <w:t>the utility</w:t>
      </w:r>
      <w:r>
        <w:rPr>
          <w:spacing w:val="-3"/>
          <w:szCs w:val="24"/>
        </w:rPr>
        <w:t>.</w:t>
      </w:r>
    </w:p>
    <w:p w14:paraId="3A7C7E01" w14:textId="477F15A3" w:rsidR="003478D2" w:rsidRDefault="003478D2" w:rsidP="00106F6D">
      <w:r>
        <w:tab/>
      </w:r>
      <w:r>
        <w:tab/>
      </w:r>
    </w:p>
    <w:p w14:paraId="63262C45" w14:textId="53203A36" w:rsidR="003478D2" w:rsidRDefault="00440022" w:rsidP="00106F6D">
      <w:r>
        <w:tab/>
      </w:r>
      <w:r w:rsidR="00106F6D">
        <w:tab/>
      </w:r>
      <w:r w:rsidR="003478D2">
        <w:t>THEREFORE,</w:t>
      </w:r>
    </w:p>
    <w:p w14:paraId="4A7D4C60" w14:textId="77777777" w:rsidR="003478D2" w:rsidRDefault="003478D2" w:rsidP="00106F6D"/>
    <w:p w14:paraId="43E7DBA3" w14:textId="77777777" w:rsidR="003478D2" w:rsidRDefault="003478D2" w:rsidP="00106F6D">
      <w:r>
        <w:tab/>
      </w:r>
      <w:r>
        <w:tab/>
        <w:t>IT IS ORDERED:</w:t>
      </w:r>
    </w:p>
    <w:p w14:paraId="30E1D11C" w14:textId="77777777" w:rsidR="003478D2" w:rsidRDefault="003478D2" w:rsidP="00106F6D"/>
    <w:p w14:paraId="621FF14B" w14:textId="309EE310" w:rsidR="003478D2" w:rsidRDefault="003478D2" w:rsidP="00106F6D">
      <w:pPr>
        <w:pStyle w:val="ListParagraph"/>
      </w:pPr>
      <w:r>
        <w:t xml:space="preserve">That the Preliminary Objections of </w:t>
      </w:r>
      <w:r w:rsidR="006263C6">
        <w:t xml:space="preserve">West </w:t>
      </w:r>
      <w:r>
        <w:t xml:space="preserve">Penn Power seeking dismissal of the claim for money damages will be held in abeyance until the hearing scheduled for </w:t>
      </w:r>
      <w:r w:rsidR="00440022">
        <w:t>August 13, 2020</w:t>
      </w:r>
      <w:r>
        <w:t>.</w:t>
      </w:r>
    </w:p>
    <w:p w14:paraId="7E78A714" w14:textId="77777777" w:rsidR="003478D2" w:rsidRDefault="003478D2" w:rsidP="00106F6D"/>
    <w:p w14:paraId="75AEAC7D" w14:textId="77777777" w:rsidR="003478D2" w:rsidRDefault="003478D2" w:rsidP="00106F6D">
      <w:pPr>
        <w:tabs>
          <w:tab w:val="left" w:pos="1440"/>
          <w:tab w:val="left" w:pos="2160"/>
          <w:tab w:val="left" w:pos="2880"/>
        </w:tabs>
        <w:jc w:val="both"/>
        <w:rPr>
          <w:spacing w:val="-3"/>
          <w:szCs w:val="24"/>
        </w:rPr>
      </w:pPr>
    </w:p>
    <w:p w14:paraId="491C2BEC" w14:textId="116C884B" w:rsidR="003478D2" w:rsidRPr="008479B8" w:rsidRDefault="003478D2" w:rsidP="003478D2">
      <w:pPr>
        <w:spacing w:line="240" w:lineRule="auto"/>
        <w:rPr>
          <w:rFonts w:eastAsia="Times New Roman"/>
          <w:szCs w:val="24"/>
        </w:rPr>
      </w:pPr>
      <w:r w:rsidRPr="00EE4E58">
        <w:rPr>
          <w:rFonts w:eastAsia="Times New Roman"/>
          <w:szCs w:val="24"/>
        </w:rPr>
        <w:t xml:space="preserve">Date:  </w:t>
      </w:r>
      <w:r w:rsidR="00440022">
        <w:rPr>
          <w:rFonts w:eastAsia="Times New Roman"/>
          <w:szCs w:val="24"/>
          <w:u w:val="single"/>
        </w:rPr>
        <w:t>June 11, 2020</w:t>
      </w:r>
      <w:r w:rsidRPr="00EE4E58">
        <w:rPr>
          <w:szCs w:val="24"/>
        </w:rPr>
        <w:tab/>
      </w:r>
      <w:r w:rsidRPr="00EE4E58">
        <w:rPr>
          <w:szCs w:val="24"/>
        </w:rPr>
        <w:tab/>
      </w:r>
      <w:r w:rsidRPr="00EE4E58">
        <w:rPr>
          <w:szCs w:val="24"/>
        </w:rPr>
        <w:tab/>
      </w:r>
      <w:r w:rsidRPr="00EE4E58">
        <w:rPr>
          <w:szCs w:val="24"/>
        </w:rPr>
        <w:tab/>
      </w:r>
      <w:r w:rsidR="00106F6D">
        <w:rPr>
          <w:szCs w:val="24"/>
        </w:rPr>
        <w:tab/>
      </w:r>
      <w:r w:rsidRPr="008479B8">
        <w:rPr>
          <w:rFonts w:eastAsia="Times New Roman"/>
          <w:szCs w:val="24"/>
          <w:u w:val="single"/>
        </w:rPr>
        <w:tab/>
      </w:r>
      <w:r w:rsidRPr="008479B8">
        <w:rPr>
          <w:rFonts w:eastAsia="Times New Roman"/>
          <w:szCs w:val="24"/>
          <w:u w:val="single"/>
        </w:rPr>
        <w:tab/>
        <w:t>/s/</w:t>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r w:rsidRPr="008479B8">
        <w:rPr>
          <w:rFonts w:eastAsia="Times New Roman"/>
          <w:szCs w:val="24"/>
          <w:u w:val="single"/>
        </w:rPr>
        <w:tab/>
      </w:r>
    </w:p>
    <w:p w14:paraId="58CDE7F5" w14:textId="77777777" w:rsidR="003478D2" w:rsidRDefault="003478D2" w:rsidP="003478D2">
      <w:pPr>
        <w:spacing w:line="240" w:lineRule="auto"/>
      </w:pP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rsidRPr="008479B8">
        <w:rPr>
          <w:rFonts w:eastAsia="Times New Roman"/>
          <w:szCs w:val="24"/>
        </w:rPr>
        <w:tab/>
      </w:r>
      <w:r>
        <w:t>Mary D. Long</w:t>
      </w:r>
    </w:p>
    <w:p w14:paraId="6E487911" w14:textId="77777777" w:rsidR="003478D2" w:rsidRDefault="003478D2" w:rsidP="003478D2">
      <w:pPr>
        <w:spacing w:line="240" w:lineRule="auto"/>
      </w:pPr>
      <w:r>
        <w:tab/>
      </w:r>
      <w:r>
        <w:tab/>
      </w:r>
      <w:r>
        <w:tab/>
      </w:r>
      <w:r>
        <w:tab/>
      </w:r>
      <w:r>
        <w:tab/>
      </w:r>
      <w:r>
        <w:tab/>
      </w:r>
      <w:r>
        <w:tab/>
        <w:t>Administrative Law Judge</w:t>
      </w:r>
    </w:p>
    <w:p w14:paraId="6D5983EC" w14:textId="77777777" w:rsidR="003478D2" w:rsidRDefault="003478D2" w:rsidP="003478D2">
      <w:pPr>
        <w:spacing w:line="240" w:lineRule="auto"/>
      </w:pPr>
    </w:p>
    <w:p w14:paraId="0441C709" w14:textId="77777777" w:rsidR="00106F6D" w:rsidRDefault="00106F6D">
      <w:pPr>
        <w:sectPr w:rsidR="00106F6D" w:rsidSect="00106F6D">
          <w:footerReference w:type="default" r:id="rId8"/>
          <w:pgSz w:w="12240" w:h="15840"/>
          <w:pgMar w:top="1440" w:right="1440" w:bottom="1440" w:left="1440" w:header="720" w:footer="720" w:gutter="0"/>
          <w:cols w:space="720"/>
          <w:titlePg/>
          <w:docGrid w:linePitch="360"/>
        </w:sectPr>
      </w:pPr>
    </w:p>
    <w:p w14:paraId="0CDC0F95" w14:textId="77777777" w:rsidR="00106F6D" w:rsidRPr="00106F6D" w:rsidRDefault="00106F6D" w:rsidP="00106F6D">
      <w:pPr>
        <w:spacing w:line="240" w:lineRule="auto"/>
        <w:rPr>
          <w:rFonts w:ascii="Helvetica" w:eastAsia="Times New Roman" w:hAnsi="Helvetica" w:cs="Helvetica"/>
          <w:color w:val="FFFFFF"/>
          <w:sz w:val="18"/>
          <w:szCs w:val="18"/>
        </w:rPr>
      </w:pPr>
      <w:r w:rsidRPr="00106F6D">
        <w:rPr>
          <w:rFonts w:ascii="Microsoft Sans Serif" w:eastAsia="Microsoft Sans Serif" w:hAnsi="Microsoft Sans Serif" w:cs="Microsoft Sans Serif"/>
          <w:b/>
          <w:szCs w:val="20"/>
          <w:u w:val="single"/>
        </w:rPr>
        <w:lastRenderedPageBreak/>
        <w:t>C-2020-3019011 - JEFFREY ARMSTRONG V. WEST PENN POWER CO.</w:t>
      </w:r>
      <w:r w:rsidRPr="00106F6D">
        <w:rPr>
          <w:rFonts w:ascii="Microsoft Sans Serif" w:eastAsia="Microsoft Sans Serif" w:hAnsi="Microsoft Sans Serif" w:cs="Microsoft Sans Serif"/>
          <w:b/>
          <w:szCs w:val="20"/>
          <w:u w:val="single"/>
        </w:rPr>
        <w:cr/>
      </w:r>
      <w:r w:rsidRPr="00106F6D">
        <w:rPr>
          <w:rFonts w:ascii="Microsoft Sans Serif" w:eastAsia="Microsoft Sans Serif" w:hAnsi="Microsoft Sans Serif" w:cs="Microsoft Sans Serif"/>
          <w:b/>
          <w:szCs w:val="24"/>
          <w:u w:val="single"/>
        </w:rPr>
        <w:cr/>
      </w:r>
      <w:r w:rsidRPr="00106F6D">
        <w:rPr>
          <w:rFonts w:ascii="Microsoft Sans Serif" w:eastAsia="Microsoft Sans Serif" w:hAnsi="Microsoft Sans Serif" w:cs="Microsoft Sans Serif"/>
          <w:szCs w:val="24"/>
        </w:rPr>
        <w:t>JEFFREY ARMSTRONG</w:t>
      </w:r>
      <w:r w:rsidRPr="00106F6D">
        <w:rPr>
          <w:rFonts w:ascii="Microsoft Sans Serif" w:eastAsia="Microsoft Sans Serif" w:hAnsi="Microsoft Sans Serif" w:cs="Microsoft Sans Serif"/>
          <w:szCs w:val="24"/>
        </w:rPr>
        <w:cr/>
        <w:t>439 BUTLER STREET</w:t>
      </w:r>
      <w:r w:rsidRPr="00106F6D">
        <w:rPr>
          <w:rFonts w:ascii="Microsoft Sans Serif" w:eastAsia="Microsoft Sans Serif" w:hAnsi="Microsoft Sans Serif" w:cs="Microsoft Sans Serif"/>
          <w:szCs w:val="24"/>
        </w:rPr>
        <w:cr/>
        <w:t>SPRINGDALE PA  15144</w:t>
      </w:r>
      <w:r w:rsidRPr="00106F6D">
        <w:rPr>
          <w:rFonts w:ascii="Microsoft Sans Serif" w:eastAsia="Microsoft Sans Serif" w:hAnsi="Microsoft Sans Serif" w:cs="Microsoft Sans Serif"/>
          <w:szCs w:val="24"/>
        </w:rPr>
        <w:cr/>
      </w:r>
      <w:r w:rsidRPr="00106F6D">
        <w:rPr>
          <w:rFonts w:ascii="Microsoft Sans Serif" w:eastAsia="Microsoft Sans Serif" w:hAnsi="Microsoft Sans Serif" w:cs="Microsoft Sans Serif"/>
          <w:b/>
          <w:bCs/>
          <w:szCs w:val="24"/>
        </w:rPr>
        <w:t>724.274.2954</w:t>
      </w:r>
      <w:r w:rsidRPr="00106F6D">
        <w:rPr>
          <w:rFonts w:ascii="Microsoft Sans Serif" w:eastAsia="Microsoft Sans Serif" w:hAnsi="Microsoft Sans Serif" w:cs="Microsoft Sans Serif"/>
          <w:b/>
          <w:bCs/>
          <w:szCs w:val="24"/>
        </w:rPr>
        <w:br/>
      </w:r>
      <w:r w:rsidRPr="00106F6D">
        <w:rPr>
          <w:rFonts w:ascii="Microsoft Sans Serif" w:eastAsia="Times New Roman" w:hAnsi="Microsoft Sans Serif" w:cs="Microsoft Sans Serif"/>
          <w:b/>
          <w:bCs/>
          <w:szCs w:val="24"/>
        </w:rPr>
        <w:t>JEFF2832@OUTLOOK.COM</w:t>
      </w:r>
      <w:r w:rsidRPr="00106F6D">
        <w:rPr>
          <w:rFonts w:ascii="Microsoft Sans Serif" w:eastAsia="Microsoft Sans Serif" w:hAnsi="Microsoft Sans Serif" w:cs="Microsoft Sans Serif"/>
          <w:szCs w:val="24"/>
        </w:rPr>
        <w:cr/>
      </w:r>
      <w:r w:rsidRPr="00106F6D">
        <w:rPr>
          <w:rFonts w:ascii="Microsoft Sans Serif" w:eastAsia="Microsoft Sans Serif" w:hAnsi="Microsoft Sans Serif" w:cs="Microsoft Sans Serif"/>
          <w:szCs w:val="20"/>
        </w:rPr>
        <w:cr/>
        <w:t>MARGARET MORRIS ESQUIRE</w:t>
      </w:r>
      <w:r w:rsidRPr="00106F6D">
        <w:rPr>
          <w:rFonts w:ascii="Microsoft Sans Serif" w:eastAsia="Microsoft Sans Serif" w:hAnsi="Microsoft Sans Serif" w:cs="Microsoft Sans Serif"/>
          <w:szCs w:val="20"/>
        </w:rPr>
        <w:cr/>
      </w:r>
      <w:proofErr w:type="spellStart"/>
      <w:r w:rsidRPr="00106F6D">
        <w:rPr>
          <w:rFonts w:ascii="Microsoft Sans Serif" w:eastAsia="Microsoft Sans Serif" w:hAnsi="Microsoft Sans Serif" w:cs="Microsoft Sans Serif"/>
          <w:szCs w:val="20"/>
        </w:rPr>
        <w:t>REGER</w:t>
      </w:r>
      <w:proofErr w:type="spellEnd"/>
      <w:r w:rsidRPr="00106F6D">
        <w:rPr>
          <w:rFonts w:ascii="Microsoft Sans Serif" w:eastAsia="Microsoft Sans Serif" w:hAnsi="Microsoft Sans Serif" w:cs="Microsoft Sans Serif"/>
          <w:szCs w:val="20"/>
        </w:rPr>
        <w:t xml:space="preserve"> RIZZO &amp; </w:t>
      </w:r>
      <w:proofErr w:type="spellStart"/>
      <w:r w:rsidRPr="00106F6D">
        <w:rPr>
          <w:rFonts w:ascii="Microsoft Sans Serif" w:eastAsia="Microsoft Sans Serif" w:hAnsi="Microsoft Sans Serif" w:cs="Microsoft Sans Serif"/>
          <w:szCs w:val="20"/>
        </w:rPr>
        <w:t>DARNALL</w:t>
      </w:r>
      <w:proofErr w:type="spellEnd"/>
      <w:r w:rsidRPr="00106F6D">
        <w:rPr>
          <w:rFonts w:ascii="Microsoft Sans Serif" w:eastAsia="Microsoft Sans Serif" w:hAnsi="Microsoft Sans Serif" w:cs="Microsoft Sans Serif"/>
          <w:szCs w:val="20"/>
        </w:rPr>
        <w:cr/>
        <w:t>CIRA CENTRE 13TH FL</w:t>
      </w:r>
      <w:r w:rsidRPr="00106F6D">
        <w:rPr>
          <w:rFonts w:ascii="Microsoft Sans Serif" w:eastAsia="Microsoft Sans Serif" w:hAnsi="Microsoft Sans Serif" w:cs="Microsoft Sans Serif"/>
          <w:szCs w:val="20"/>
        </w:rPr>
        <w:cr/>
        <w:t>2929 ARCH STREET</w:t>
      </w:r>
      <w:r w:rsidRPr="00106F6D">
        <w:rPr>
          <w:rFonts w:ascii="Microsoft Sans Serif" w:eastAsia="Microsoft Sans Serif" w:hAnsi="Microsoft Sans Serif" w:cs="Microsoft Sans Serif"/>
          <w:szCs w:val="20"/>
        </w:rPr>
        <w:cr/>
        <w:t>PHILADELPHIA PA  19104</w:t>
      </w:r>
      <w:r w:rsidRPr="00106F6D">
        <w:rPr>
          <w:rFonts w:ascii="Microsoft Sans Serif" w:eastAsia="Microsoft Sans Serif" w:hAnsi="Microsoft Sans Serif" w:cs="Microsoft Sans Serif"/>
          <w:szCs w:val="20"/>
        </w:rPr>
        <w:cr/>
      </w:r>
      <w:r w:rsidRPr="00106F6D">
        <w:rPr>
          <w:rFonts w:ascii="Microsoft Sans Serif" w:eastAsia="Microsoft Sans Serif" w:hAnsi="Microsoft Sans Serif" w:cs="Microsoft Sans Serif"/>
          <w:b/>
          <w:bCs/>
          <w:szCs w:val="20"/>
        </w:rPr>
        <w:t>215.495.6524</w:t>
      </w:r>
      <w:r w:rsidRPr="00106F6D">
        <w:rPr>
          <w:rFonts w:ascii="Microsoft Sans Serif" w:eastAsia="Microsoft Sans Serif" w:hAnsi="Microsoft Sans Serif" w:cs="Microsoft Sans Serif"/>
          <w:b/>
          <w:bCs/>
          <w:szCs w:val="20"/>
        </w:rPr>
        <w:br/>
      </w:r>
      <w:r w:rsidRPr="00106F6D">
        <w:rPr>
          <w:rFonts w:ascii="Microsoft Sans Serif" w:eastAsia="Microsoft Sans Serif" w:hAnsi="Microsoft Sans Serif" w:cs="Microsoft Sans Serif"/>
          <w:b/>
          <w:bCs/>
          <w:i/>
          <w:iCs/>
          <w:szCs w:val="20"/>
          <w:u w:val="single"/>
        </w:rPr>
        <w:t>ACCEPTS E-SERVICE</w:t>
      </w:r>
      <w:r w:rsidRPr="00106F6D">
        <w:rPr>
          <w:rFonts w:ascii="Microsoft Sans Serif" w:eastAsia="Microsoft Sans Serif" w:hAnsi="Microsoft Sans Serif" w:cs="Microsoft Sans Serif"/>
          <w:b/>
          <w:bCs/>
          <w:i/>
          <w:iCs/>
          <w:szCs w:val="20"/>
          <w:u w:val="single"/>
        </w:rPr>
        <w:cr/>
      </w:r>
    </w:p>
    <w:p w14:paraId="5E14D04A" w14:textId="5A36D2CC" w:rsidR="002813A4" w:rsidRDefault="002813A4"/>
    <w:sectPr w:rsidR="002813A4" w:rsidSect="00106F6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212C7" w14:textId="77777777" w:rsidR="00324BBC" w:rsidRDefault="00324BBC" w:rsidP="00440022">
      <w:pPr>
        <w:spacing w:line="240" w:lineRule="auto"/>
      </w:pPr>
      <w:r>
        <w:separator/>
      </w:r>
    </w:p>
  </w:endnote>
  <w:endnote w:type="continuationSeparator" w:id="0">
    <w:p w14:paraId="78B00DA7" w14:textId="77777777" w:rsidR="00324BBC" w:rsidRDefault="00324BBC" w:rsidP="00440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367570"/>
      <w:docPartObj>
        <w:docPartGallery w:val="Page Numbers (Bottom of Page)"/>
        <w:docPartUnique/>
      </w:docPartObj>
    </w:sdtPr>
    <w:sdtEndPr>
      <w:rPr>
        <w:noProof/>
      </w:rPr>
    </w:sdtEndPr>
    <w:sdtContent>
      <w:p w14:paraId="2F569644" w14:textId="5E09C170" w:rsidR="00106F6D" w:rsidRDefault="00106F6D">
        <w:pPr>
          <w:pStyle w:val="Footer"/>
          <w:jc w:val="center"/>
        </w:pPr>
        <w:r w:rsidRPr="00106F6D">
          <w:rPr>
            <w:sz w:val="20"/>
            <w:szCs w:val="20"/>
          </w:rPr>
          <w:fldChar w:fldCharType="begin"/>
        </w:r>
        <w:r w:rsidRPr="00106F6D">
          <w:rPr>
            <w:sz w:val="20"/>
            <w:szCs w:val="20"/>
          </w:rPr>
          <w:instrText xml:space="preserve"> PAGE   \* MERGEFORMAT </w:instrText>
        </w:r>
        <w:r w:rsidRPr="00106F6D">
          <w:rPr>
            <w:sz w:val="20"/>
            <w:szCs w:val="20"/>
          </w:rPr>
          <w:fldChar w:fldCharType="separate"/>
        </w:r>
        <w:r w:rsidRPr="00106F6D">
          <w:rPr>
            <w:noProof/>
            <w:sz w:val="20"/>
            <w:szCs w:val="20"/>
          </w:rPr>
          <w:t>2</w:t>
        </w:r>
        <w:r w:rsidRPr="00106F6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32C05" w14:textId="77777777" w:rsidR="00324BBC" w:rsidRDefault="00324BBC" w:rsidP="00440022">
      <w:pPr>
        <w:spacing w:line="240" w:lineRule="auto"/>
      </w:pPr>
      <w:r>
        <w:separator/>
      </w:r>
    </w:p>
  </w:footnote>
  <w:footnote w:type="continuationSeparator" w:id="0">
    <w:p w14:paraId="5F78175E" w14:textId="77777777" w:rsidR="00324BBC" w:rsidRDefault="00324BBC" w:rsidP="00440022">
      <w:pPr>
        <w:spacing w:line="240" w:lineRule="auto"/>
      </w:pPr>
      <w:r>
        <w:continuationSeparator/>
      </w:r>
    </w:p>
  </w:footnote>
  <w:footnote w:id="1">
    <w:p w14:paraId="22892E43" w14:textId="77777777" w:rsidR="00440022" w:rsidRDefault="00440022" w:rsidP="00440022">
      <w:pPr>
        <w:pStyle w:val="FootnoteText"/>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80744"/>
    <w:multiLevelType w:val="hybridMultilevel"/>
    <w:tmpl w:val="4356C35C"/>
    <w:lvl w:ilvl="0" w:tplc="194AA9AE">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86B5C"/>
    <w:multiLevelType w:val="hybridMultilevel"/>
    <w:tmpl w:val="8BF4B0DA"/>
    <w:lvl w:ilvl="0" w:tplc="08A03C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21"/>
  </w:num>
  <w:num w:numId="3">
    <w:abstractNumId w:val="29"/>
  </w:num>
  <w:num w:numId="4">
    <w:abstractNumId w:val="33"/>
  </w:num>
  <w:num w:numId="5">
    <w:abstractNumId w:val="11"/>
  </w:num>
  <w:num w:numId="6">
    <w:abstractNumId w:val="8"/>
  </w:num>
  <w:num w:numId="7">
    <w:abstractNumId w:val="6"/>
  </w:num>
  <w:num w:numId="8">
    <w:abstractNumId w:val="32"/>
  </w:num>
  <w:num w:numId="9">
    <w:abstractNumId w:val="3"/>
  </w:num>
  <w:num w:numId="10">
    <w:abstractNumId w:val="23"/>
  </w:num>
  <w:num w:numId="11">
    <w:abstractNumId w:val="28"/>
  </w:num>
  <w:num w:numId="12">
    <w:abstractNumId w:val="16"/>
  </w:num>
  <w:num w:numId="13">
    <w:abstractNumId w:val="24"/>
  </w:num>
  <w:num w:numId="14">
    <w:abstractNumId w:val="30"/>
  </w:num>
  <w:num w:numId="15">
    <w:abstractNumId w:val="0"/>
  </w:num>
  <w:num w:numId="16">
    <w:abstractNumId w:val="22"/>
  </w:num>
  <w:num w:numId="17">
    <w:abstractNumId w:val="22"/>
  </w:num>
  <w:num w:numId="18">
    <w:abstractNumId w:val="10"/>
  </w:num>
  <w:num w:numId="19">
    <w:abstractNumId w:val="17"/>
  </w:num>
  <w:num w:numId="20">
    <w:abstractNumId w:val="34"/>
  </w:num>
  <w:num w:numId="21">
    <w:abstractNumId w:val="14"/>
  </w:num>
  <w:num w:numId="22">
    <w:abstractNumId w:val="5"/>
  </w:num>
  <w:num w:numId="23">
    <w:abstractNumId w:val="15"/>
  </w:num>
  <w:num w:numId="24">
    <w:abstractNumId w:val="37"/>
  </w:num>
  <w:num w:numId="25">
    <w:abstractNumId w:val="1"/>
  </w:num>
  <w:num w:numId="26">
    <w:abstractNumId w:val="7"/>
  </w:num>
  <w:num w:numId="27">
    <w:abstractNumId w:val="27"/>
  </w:num>
  <w:num w:numId="28">
    <w:abstractNumId w:val="13"/>
  </w:num>
  <w:num w:numId="29">
    <w:abstractNumId w:val="9"/>
  </w:num>
  <w:num w:numId="30">
    <w:abstractNumId w:val="20"/>
  </w:num>
  <w:num w:numId="31">
    <w:abstractNumId w:val="35"/>
  </w:num>
  <w:num w:numId="32">
    <w:abstractNumId w:val="36"/>
  </w:num>
  <w:num w:numId="33">
    <w:abstractNumId w:val="25"/>
  </w:num>
  <w:num w:numId="34">
    <w:abstractNumId w:val="4"/>
  </w:num>
  <w:num w:numId="35">
    <w:abstractNumId w:val="18"/>
  </w:num>
  <w:num w:numId="36">
    <w:abstractNumId w:val="2"/>
  </w:num>
  <w:num w:numId="37">
    <w:abstractNumId w:val="12"/>
  </w:num>
  <w:num w:numId="38">
    <w:abstractNumId w:val="2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A4"/>
    <w:rsid w:val="00004C37"/>
    <w:rsid w:val="000066B3"/>
    <w:rsid w:val="00066D87"/>
    <w:rsid w:val="00083973"/>
    <w:rsid w:val="000E3EDE"/>
    <w:rsid w:val="00106F6D"/>
    <w:rsid w:val="00107E82"/>
    <w:rsid w:val="001A21B6"/>
    <w:rsid w:val="001B1CBA"/>
    <w:rsid w:val="001D2AF7"/>
    <w:rsid w:val="00207743"/>
    <w:rsid w:val="00213167"/>
    <w:rsid w:val="002512F9"/>
    <w:rsid w:val="00267405"/>
    <w:rsid w:val="002813A4"/>
    <w:rsid w:val="003145FA"/>
    <w:rsid w:val="00324BBC"/>
    <w:rsid w:val="003478D2"/>
    <w:rsid w:val="00367A41"/>
    <w:rsid w:val="00393C92"/>
    <w:rsid w:val="003A1A41"/>
    <w:rsid w:val="003A3E09"/>
    <w:rsid w:val="003A751A"/>
    <w:rsid w:val="00417566"/>
    <w:rsid w:val="00440022"/>
    <w:rsid w:val="004D523C"/>
    <w:rsid w:val="00512F92"/>
    <w:rsid w:val="00547539"/>
    <w:rsid w:val="005A1C17"/>
    <w:rsid w:val="005A2ABA"/>
    <w:rsid w:val="005D180A"/>
    <w:rsid w:val="005E7B69"/>
    <w:rsid w:val="00613EA9"/>
    <w:rsid w:val="0061775F"/>
    <w:rsid w:val="006263C6"/>
    <w:rsid w:val="00696C0D"/>
    <w:rsid w:val="006B1116"/>
    <w:rsid w:val="006C6A0D"/>
    <w:rsid w:val="006F0329"/>
    <w:rsid w:val="00700807"/>
    <w:rsid w:val="00712E58"/>
    <w:rsid w:val="007407AC"/>
    <w:rsid w:val="00755D72"/>
    <w:rsid w:val="00792796"/>
    <w:rsid w:val="00796B64"/>
    <w:rsid w:val="007E6779"/>
    <w:rsid w:val="00820B4C"/>
    <w:rsid w:val="0083239D"/>
    <w:rsid w:val="008529D2"/>
    <w:rsid w:val="0088105E"/>
    <w:rsid w:val="008A075B"/>
    <w:rsid w:val="00917DCA"/>
    <w:rsid w:val="00926DE3"/>
    <w:rsid w:val="00994A91"/>
    <w:rsid w:val="00A47096"/>
    <w:rsid w:val="00AA2EC5"/>
    <w:rsid w:val="00AB4C73"/>
    <w:rsid w:val="00AD27C0"/>
    <w:rsid w:val="00AE6F47"/>
    <w:rsid w:val="00B91E47"/>
    <w:rsid w:val="00BC6B21"/>
    <w:rsid w:val="00C04D8A"/>
    <w:rsid w:val="00C87E57"/>
    <w:rsid w:val="00CF6143"/>
    <w:rsid w:val="00D14843"/>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186"/>
  <w15:chartTrackingRefBased/>
  <w15:docId w15:val="{0D7F042E-EAF1-4D94-B9F4-97D17413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05"/>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106F6D"/>
    <w:pPr>
      <w:numPr>
        <w:numId w:val="39"/>
      </w:numPr>
      <w:ind w:left="0"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440022"/>
    <w:rPr>
      <w:rFonts w:ascii="Times New Roman" w:hAnsi="Times New Roman"/>
      <w:vertAlign w:val="superscript"/>
    </w:rPr>
  </w:style>
  <w:style w:type="paragraph" w:styleId="Header">
    <w:name w:val="header"/>
    <w:basedOn w:val="Normal"/>
    <w:link w:val="HeaderChar"/>
    <w:uiPriority w:val="99"/>
    <w:unhideWhenUsed/>
    <w:rsid w:val="00106F6D"/>
    <w:pPr>
      <w:tabs>
        <w:tab w:val="center" w:pos="4680"/>
        <w:tab w:val="right" w:pos="9360"/>
      </w:tabs>
      <w:spacing w:line="240" w:lineRule="auto"/>
    </w:pPr>
  </w:style>
  <w:style w:type="character" w:customStyle="1" w:styleId="HeaderChar">
    <w:name w:val="Header Char"/>
    <w:basedOn w:val="DefaultParagraphFont"/>
    <w:link w:val="Header"/>
    <w:uiPriority w:val="99"/>
    <w:rsid w:val="00106F6D"/>
    <w:rPr>
      <w:szCs w:val="22"/>
    </w:rPr>
  </w:style>
  <w:style w:type="paragraph" w:styleId="Footer">
    <w:name w:val="footer"/>
    <w:basedOn w:val="Normal"/>
    <w:link w:val="FooterChar"/>
    <w:uiPriority w:val="99"/>
    <w:unhideWhenUsed/>
    <w:rsid w:val="00106F6D"/>
    <w:pPr>
      <w:tabs>
        <w:tab w:val="center" w:pos="4680"/>
        <w:tab w:val="right" w:pos="9360"/>
      </w:tabs>
      <w:spacing w:line="240" w:lineRule="auto"/>
    </w:pPr>
  </w:style>
  <w:style w:type="character" w:customStyle="1" w:styleId="FooterChar">
    <w:name w:val="Footer Char"/>
    <w:basedOn w:val="DefaultParagraphFont"/>
    <w:link w:val="Footer"/>
    <w:uiPriority w:val="99"/>
    <w:rsid w:val="00106F6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07F9-44DA-4E08-A302-D768714C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Miskanic, Nicholas</cp:lastModifiedBy>
  <cp:revision>2</cp:revision>
  <dcterms:created xsi:type="dcterms:W3CDTF">2020-06-11T13:26:00Z</dcterms:created>
  <dcterms:modified xsi:type="dcterms:W3CDTF">2020-06-11T13:26:00Z</dcterms:modified>
</cp:coreProperties>
</file>