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BDEBE" w14:textId="77777777" w:rsidR="007264FA" w:rsidRPr="00FC3109" w:rsidRDefault="007264FA" w:rsidP="00E35DA8">
      <w:pPr>
        <w:autoSpaceDE w:val="0"/>
        <w:autoSpaceDN w:val="0"/>
        <w:spacing w:after="0" w:line="240" w:lineRule="auto"/>
        <w:jc w:val="center"/>
        <w:rPr>
          <w:rFonts w:ascii="Times New Roman" w:hAnsi="Times New Roman" w:cs="Times New Roman"/>
          <w:b/>
          <w:bCs/>
          <w:sz w:val="24"/>
          <w:szCs w:val="24"/>
        </w:rPr>
      </w:pPr>
      <w:r w:rsidRPr="00FC3109">
        <w:rPr>
          <w:rFonts w:ascii="Times New Roman" w:hAnsi="Times New Roman" w:cs="Times New Roman"/>
          <w:b/>
          <w:bCs/>
          <w:sz w:val="24"/>
          <w:szCs w:val="24"/>
        </w:rPr>
        <w:t>BEFORE THE</w:t>
      </w:r>
    </w:p>
    <w:p w14:paraId="088CE9BB" w14:textId="77777777" w:rsidR="007264FA" w:rsidRPr="00FC3109" w:rsidRDefault="007264FA" w:rsidP="00E35DA8">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FC3109">
        <w:rPr>
          <w:rFonts w:ascii="Times New Roman" w:hAnsi="Times New Roman" w:cs="Times New Roman"/>
          <w:b/>
          <w:bCs/>
          <w:spacing w:val="-3"/>
          <w:sz w:val="24"/>
          <w:szCs w:val="24"/>
        </w:rPr>
        <w:t>PENNSYLVANIA PUBLIC UTILITY COMMISSION</w:t>
      </w:r>
    </w:p>
    <w:p w14:paraId="20EF6215" w14:textId="77777777" w:rsidR="007264FA" w:rsidRPr="00FC3109" w:rsidRDefault="007264FA" w:rsidP="00E35DA8">
      <w:pPr>
        <w:tabs>
          <w:tab w:val="left" w:pos="-720"/>
        </w:tabs>
        <w:suppressAutoHyphens/>
        <w:autoSpaceDE w:val="0"/>
        <w:autoSpaceDN w:val="0"/>
        <w:spacing w:after="0" w:line="240" w:lineRule="auto"/>
        <w:rPr>
          <w:rFonts w:ascii="Times New Roman" w:hAnsi="Times New Roman" w:cs="Times New Roman"/>
          <w:bCs/>
          <w:spacing w:val="-3"/>
          <w:sz w:val="24"/>
          <w:szCs w:val="24"/>
        </w:rPr>
      </w:pPr>
    </w:p>
    <w:p w14:paraId="1A928D7B" w14:textId="77777777" w:rsidR="007264FA" w:rsidRPr="00FC3109" w:rsidRDefault="007264FA" w:rsidP="00E35DA8">
      <w:pPr>
        <w:tabs>
          <w:tab w:val="left" w:pos="-720"/>
        </w:tabs>
        <w:suppressAutoHyphens/>
        <w:autoSpaceDE w:val="0"/>
        <w:autoSpaceDN w:val="0"/>
        <w:spacing w:after="0" w:line="240" w:lineRule="auto"/>
        <w:rPr>
          <w:rFonts w:ascii="Times New Roman" w:hAnsi="Times New Roman" w:cs="Times New Roman"/>
          <w:bCs/>
          <w:spacing w:val="-3"/>
          <w:sz w:val="24"/>
          <w:szCs w:val="24"/>
        </w:rPr>
      </w:pPr>
    </w:p>
    <w:p w14:paraId="034A76F6" w14:textId="77777777" w:rsidR="007264FA" w:rsidRPr="00FC3109" w:rsidRDefault="007264FA" w:rsidP="00E35DA8">
      <w:pPr>
        <w:tabs>
          <w:tab w:val="left" w:pos="-720"/>
        </w:tabs>
        <w:suppressAutoHyphens/>
        <w:autoSpaceDE w:val="0"/>
        <w:autoSpaceDN w:val="0"/>
        <w:spacing w:after="0" w:line="240" w:lineRule="auto"/>
        <w:jc w:val="both"/>
        <w:rPr>
          <w:rFonts w:ascii="Times New Roman" w:hAnsi="Times New Roman" w:cs="Times New Roman"/>
          <w:bCs/>
          <w:spacing w:val="-3"/>
          <w:sz w:val="24"/>
          <w:szCs w:val="24"/>
        </w:rPr>
      </w:pPr>
    </w:p>
    <w:p w14:paraId="5AC27596" w14:textId="77777777" w:rsidR="007264FA" w:rsidRPr="00FC3109" w:rsidRDefault="007264FA" w:rsidP="00E35DA8">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 xml:space="preserve">Liza Mousios </w:t>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t>:</w:t>
      </w:r>
    </w:p>
    <w:p w14:paraId="7125DA80" w14:textId="77777777" w:rsidR="007264FA" w:rsidRPr="00FC3109" w:rsidRDefault="007264FA" w:rsidP="00E35DA8">
      <w:pPr>
        <w:tabs>
          <w:tab w:val="left" w:pos="-720"/>
        </w:tabs>
        <w:suppressAutoHyphens/>
        <w:autoSpaceDE w:val="0"/>
        <w:autoSpaceDN w:val="0"/>
        <w:spacing w:after="0" w:line="240" w:lineRule="auto"/>
        <w:jc w:val="both"/>
        <w:rPr>
          <w:rFonts w:ascii="Times New Roman" w:hAnsi="Times New Roman" w:cs="Times New Roman"/>
          <w:bCs/>
          <w:spacing w:val="-3"/>
          <w:sz w:val="24"/>
          <w:szCs w:val="24"/>
        </w:rPr>
      </w:pP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t>:</w:t>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z w:val="24"/>
          <w:szCs w:val="24"/>
        </w:rPr>
        <w:t xml:space="preserve">C-2019-3007989 </w:t>
      </w:r>
    </w:p>
    <w:p w14:paraId="543C5DA1" w14:textId="77777777" w:rsidR="007264FA" w:rsidRPr="00FC3109" w:rsidRDefault="007264FA" w:rsidP="00E35DA8">
      <w:pPr>
        <w:tabs>
          <w:tab w:val="left" w:pos="-720"/>
        </w:tabs>
        <w:suppressAutoHyphens/>
        <w:autoSpaceDE w:val="0"/>
        <w:autoSpaceDN w:val="0"/>
        <w:spacing w:after="0" w:line="240" w:lineRule="auto"/>
        <w:jc w:val="both"/>
        <w:rPr>
          <w:rFonts w:ascii="Times New Roman" w:hAnsi="Times New Roman" w:cs="Times New Roman"/>
          <w:bCs/>
          <w:spacing w:val="-3"/>
          <w:sz w:val="24"/>
          <w:szCs w:val="24"/>
        </w:rPr>
      </w:pPr>
      <w:r w:rsidRPr="00FC3109">
        <w:rPr>
          <w:rFonts w:ascii="Times New Roman" w:hAnsi="Times New Roman" w:cs="Times New Roman"/>
          <w:bCs/>
          <w:spacing w:val="-3"/>
          <w:sz w:val="24"/>
          <w:szCs w:val="24"/>
        </w:rPr>
        <w:tab/>
        <w:t>v.</w:t>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t>:</w:t>
      </w:r>
    </w:p>
    <w:p w14:paraId="2AE0D084" w14:textId="77777777" w:rsidR="007264FA" w:rsidRPr="00FC3109" w:rsidRDefault="007264FA" w:rsidP="00E35DA8">
      <w:pPr>
        <w:tabs>
          <w:tab w:val="left" w:pos="-720"/>
        </w:tabs>
        <w:suppressAutoHyphens/>
        <w:autoSpaceDE w:val="0"/>
        <w:autoSpaceDN w:val="0"/>
        <w:spacing w:after="0" w:line="240" w:lineRule="auto"/>
        <w:jc w:val="both"/>
        <w:rPr>
          <w:rFonts w:ascii="Times New Roman" w:hAnsi="Times New Roman" w:cs="Times New Roman"/>
          <w:bCs/>
          <w:sz w:val="24"/>
          <w:szCs w:val="24"/>
        </w:rPr>
      </w:pP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pacing w:val="-3"/>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t>:</w:t>
      </w:r>
    </w:p>
    <w:p w14:paraId="0DAC286E" w14:textId="77777777" w:rsidR="007264FA" w:rsidRPr="00FC3109" w:rsidRDefault="007264FA" w:rsidP="00E35DA8">
      <w:pPr>
        <w:tabs>
          <w:tab w:val="left" w:pos="-720"/>
          <w:tab w:val="left" w:pos="5040"/>
        </w:tabs>
        <w:suppressAutoHyphens/>
        <w:autoSpaceDE w:val="0"/>
        <w:autoSpaceDN w:val="0"/>
        <w:spacing w:after="0" w:line="240" w:lineRule="auto"/>
        <w:jc w:val="both"/>
        <w:rPr>
          <w:rFonts w:ascii="Times New Roman" w:hAnsi="Times New Roman" w:cs="Times New Roman"/>
          <w:bCs/>
          <w:i/>
          <w:spacing w:val="-3"/>
          <w:sz w:val="24"/>
          <w:szCs w:val="24"/>
        </w:rPr>
      </w:pPr>
      <w:r w:rsidRPr="00FC3109">
        <w:rPr>
          <w:rFonts w:ascii="Times New Roman" w:hAnsi="Times New Roman" w:cs="Times New Roman"/>
          <w:bCs/>
          <w:sz w:val="24"/>
          <w:szCs w:val="24"/>
        </w:rPr>
        <w:t>Metropolitan Edison Company</w:t>
      </w:r>
      <w:r w:rsidRPr="00FC3109">
        <w:rPr>
          <w:rFonts w:ascii="Times New Roman" w:hAnsi="Times New Roman" w:cs="Times New Roman"/>
          <w:bCs/>
          <w:sz w:val="24"/>
          <w:szCs w:val="24"/>
        </w:rPr>
        <w:tab/>
        <w:t>:</w:t>
      </w:r>
    </w:p>
    <w:p w14:paraId="2097BA96" w14:textId="77777777" w:rsidR="007264FA" w:rsidRPr="00FC3109" w:rsidRDefault="007264FA" w:rsidP="00E35DA8">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r w:rsidRPr="00FC3109">
        <w:rPr>
          <w:rFonts w:ascii="Times New Roman" w:hAnsi="Times New Roman" w:cs="Times New Roman"/>
          <w:bCs/>
          <w:spacing w:val="-3"/>
          <w:sz w:val="24"/>
          <w:szCs w:val="24"/>
        </w:rPr>
        <w:tab/>
        <w:t>:</w:t>
      </w:r>
    </w:p>
    <w:p w14:paraId="77DDCFED" w14:textId="77777777" w:rsidR="007264FA" w:rsidRPr="00FC3109" w:rsidRDefault="007264FA" w:rsidP="00E35DA8">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r w:rsidRPr="00FC3109">
        <w:rPr>
          <w:rFonts w:ascii="Times New Roman" w:hAnsi="Times New Roman" w:cs="Times New Roman"/>
          <w:bCs/>
          <w:spacing w:val="-3"/>
          <w:sz w:val="24"/>
          <w:szCs w:val="24"/>
        </w:rPr>
        <w:tab/>
        <w:t>:</w:t>
      </w:r>
    </w:p>
    <w:p w14:paraId="137EA339" w14:textId="77777777" w:rsidR="007264FA" w:rsidRPr="00FC3109" w:rsidRDefault="007264FA" w:rsidP="00E35DA8">
      <w:pPr>
        <w:pStyle w:val="NoSpacing"/>
        <w:rPr>
          <w:bCs/>
        </w:rPr>
      </w:pPr>
      <w:r w:rsidRPr="00FC3109">
        <w:rPr>
          <w:bCs/>
        </w:rPr>
        <w:t>Roy Cumming</w:t>
      </w:r>
      <w:r w:rsidRPr="00FC3109">
        <w:rPr>
          <w:bCs/>
        </w:rPr>
        <w:tab/>
      </w:r>
      <w:r w:rsidRPr="00FC3109">
        <w:rPr>
          <w:bCs/>
        </w:rPr>
        <w:tab/>
      </w:r>
      <w:r w:rsidRPr="00FC3109">
        <w:rPr>
          <w:bCs/>
        </w:rPr>
        <w:tab/>
      </w:r>
      <w:r w:rsidRPr="00FC3109">
        <w:rPr>
          <w:bCs/>
        </w:rPr>
        <w:tab/>
      </w:r>
      <w:r w:rsidRPr="00FC3109">
        <w:rPr>
          <w:bCs/>
        </w:rPr>
        <w:tab/>
      </w:r>
      <w:r w:rsidRPr="00FC3109">
        <w:rPr>
          <w:bCs/>
        </w:rPr>
        <w:tab/>
        <w:t>:</w:t>
      </w:r>
    </w:p>
    <w:p w14:paraId="7C487960" w14:textId="77777777" w:rsidR="007264FA" w:rsidRPr="00FC3109" w:rsidRDefault="007264FA" w:rsidP="00E35DA8">
      <w:pPr>
        <w:pStyle w:val="NoSpacing"/>
        <w:rPr>
          <w:bCs/>
        </w:rPr>
      </w:pPr>
      <w:r w:rsidRPr="00FC3109">
        <w:rPr>
          <w:bCs/>
        </w:rPr>
        <w:tab/>
      </w:r>
      <w:r w:rsidRPr="00FC3109">
        <w:rPr>
          <w:bCs/>
        </w:rPr>
        <w:tab/>
      </w:r>
      <w:r w:rsidRPr="00FC3109">
        <w:rPr>
          <w:bCs/>
        </w:rPr>
        <w:tab/>
      </w:r>
      <w:r w:rsidRPr="00FC3109">
        <w:rPr>
          <w:bCs/>
        </w:rPr>
        <w:tab/>
      </w:r>
      <w:r w:rsidRPr="00FC3109">
        <w:rPr>
          <w:bCs/>
        </w:rPr>
        <w:tab/>
      </w:r>
      <w:r w:rsidRPr="00FC3109">
        <w:rPr>
          <w:bCs/>
        </w:rPr>
        <w:tab/>
      </w:r>
      <w:r w:rsidRPr="00FC3109">
        <w:rPr>
          <w:bCs/>
        </w:rPr>
        <w:tab/>
        <w:t>:</w:t>
      </w:r>
    </w:p>
    <w:p w14:paraId="03655682" w14:textId="77777777" w:rsidR="007264FA" w:rsidRPr="00FC3109" w:rsidRDefault="007264FA" w:rsidP="00E35DA8">
      <w:pPr>
        <w:pStyle w:val="NoSpacing"/>
        <w:ind w:firstLine="720"/>
        <w:rPr>
          <w:bCs/>
        </w:rPr>
      </w:pPr>
      <w:r w:rsidRPr="00FC3109">
        <w:rPr>
          <w:bCs/>
        </w:rPr>
        <w:t>v.</w:t>
      </w:r>
      <w:r w:rsidRPr="00FC3109">
        <w:rPr>
          <w:bCs/>
        </w:rPr>
        <w:tab/>
      </w:r>
      <w:r w:rsidRPr="00FC3109">
        <w:rPr>
          <w:bCs/>
        </w:rPr>
        <w:tab/>
      </w:r>
      <w:r w:rsidRPr="00FC3109">
        <w:rPr>
          <w:bCs/>
        </w:rPr>
        <w:tab/>
      </w:r>
      <w:r w:rsidRPr="00FC3109">
        <w:rPr>
          <w:bCs/>
        </w:rPr>
        <w:tab/>
      </w:r>
      <w:r w:rsidRPr="00FC3109">
        <w:rPr>
          <w:bCs/>
        </w:rPr>
        <w:tab/>
      </w:r>
      <w:r w:rsidRPr="00FC3109">
        <w:rPr>
          <w:bCs/>
        </w:rPr>
        <w:tab/>
        <w:t>:</w:t>
      </w:r>
      <w:r w:rsidRPr="00FC3109">
        <w:rPr>
          <w:bCs/>
        </w:rPr>
        <w:tab/>
      </w:r>
      <w:r w:rsidRPr="00FC3109">
        <w:rPr>
          <w:bCs/>
        </w:rPr>
        <w:tab/>
        <w:t>C-2019-3007995</w:t>
      </w:r>
    </w:p>
    <w:p w14:paraId="61B46BCD" w14:textId="77777777" w:rsidR="007264FA" w:rsidRPr="00FC3109" w:rsidRDefault="007264FA" w:rsidP="00E35DA8">
      <w:pPr>
        <w:pStyle w:val="NoSpacing"/>
        <w:rPr>
          <w:bCs/>
        </w:rPr>
      </w:pPr>
      <w:r w:rsidRPr="00FC3109">
        <w:rPr>
          <w:bCs/>
        </w:rPr>
        <w:tab/>
      </w:r>
      <w:r w:rsidRPr="00FC3109">
        <w:rPr>
          <w:bCs/>
        </w:rPr>
        <w:tab/>
      </w:r>
      <w:r w:rsidRPr="00FC3109">
        <w:rPr>
          <w:bCs/>
        </w:rPr>
        <w:tab/>
      </w:r>
      <w:r w:rsidRPr="00FC3109">
        <w:rPr>
          <w:bCs/>
        </w:rPr>
        <w:tab/>
      </w:r>
      <w:r w:rsidRPr="00FC3109">
        <w:rPr>
          <w:bCs/>
        </w:rPr>
        <w:tab/>
      </w:r>
      <w:r w:rsidRPr="00FC3109">
        <w:rPr>
          <w:bCs/>
        </w:rPr>
        <w:tab/>
      </w:r>
      <w:r w:rsidRPr="00FC3109">
        <w:rPr>
          <w:bCs/>
        </w:rPr>
        <w:tab/>
        <w:t>:</w:t>
      </w:r>
    </w:p>
    <w:p w14:paraId="6198889D" w14:textId="77777777" w:rsidR="007264FA" w:rsidRPr="00FC3109" w:rsidRDefault="007264FA" w:rsidP="00E35DA8">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r w:rsidRPr="00FC3109">
        <w:rPr>
          <w:rFonts w:ascii="Times New Roman" w:hAnsi="Times New Roman" w:cs="Times New Roman"/>
          <w:bCs/>
          <w:sz w:val="24"/>
          <w:szCs w:val="24"/>
        </w:rPr>
        <w:t>Metropolitan Edison Company</w:t>
      </w:r>
    </w:p>
    <w:p w14:paraId="33BDD384" w14:textId="77777777" w:rsidR="007264FA" w:rsidRPr="00FC3109" w:rsidRDefault="007264FA" w:rsidP="00E35DA8">
      <w:pPr>
        <w:tabs>
          <w:tab w:val="left" w:pos="-720"/>
          <w:tab w:val="left" w:pos="5040"/>
        </w:tabs>
        <w:suppressAutoHyphens/>
        <w:autoSpaceDE w:val="0"/>
        <w:autoSpaceDN w:val="0"/>
        <w:spacing w:after="0" w:line="240" w:lineRule="auto"/>
        <w:jc w:val="both"/>
        <w:rPr>
          <w:rFonts w:ascii="Times New Roman" w:hAnsi="Times New Roman" w:cs="Times New Roman"/>
          <w:bCs/>
          <w:spacing w:val="-3"/>
          <w:sz w:val="24"/>
          <w:szCs w:val="24"/>
        </w:rPr>
      </w:pPr>
    </w:p>
    <w:p w14:paraId="227BF18D" w14:textId="303EAF40" w:rsidR="002F214B" w:rsidRDefault="002F214B" w:rsidP="00E35DA8">
      <w:pPr>
        <w:spacing w:after="0" w:line="240" w:lineRule="auto"/>
        <w:rPr>
          <w:rFonts w:ascii="Times New Roman" w:hAnsi="Times New Roman" w:cs="Times New Roman"/>
          <w:sz w:val="24"/>
          <w:szCs w:val="24"/>
        </w:rPr>
      </w:pPr>
    </w:p>
    <w:p w14:paraId="6FD5E90A" w14:textId="77777777" w:rsidR="00E35DA8" w:rsidRPr="00FC3109" w:rsidRDefault="00E35DA8" w:rsidP="00E35DA8">
      <w:pPr>
        <w:spacing w:after="0" w:line="240" w:lineRule="auto"/>
        <w:rPr>
          <w:rFonts w:ascii="Times New Roman" w:hAnsi="Times New Roman" w:cs="Times New Roman"/>
          <w:sz w:val="24"/>
          <w:szCs w:val="24"/>
        </w:rPr>
      </w:pPr>
    </w:p>
    <w:p w14:paraId="7D536138" w14:textId="4D43A5A7" w:rsidR="007264FA" w:rsidRPr="00FA7148" w:rsidRDefault="007264FA" w:rsidP="00CD1C0C">
      <w:pPr>
        <w:jc w:val="center"/>
        <w:rPr>
          <w:rFonts w:ascii="Times New Roman" w:hAnsi="Times New Roman" w:cs="Times New Roman"/>
          <w:sz w:val="24"/>
          <w:szCs w:val="24"/>
          <w:u w:val="single"/>
        </w:rPr>
      </w:pPr>
      <w:r w:rsidRPr="00FA7148">
        <w:rPr>
          <w:rFonts w:ascii="Times New Roman" w:hAnsi="Times New Roman" w:cs="Times New Roman"/>
          <w:sz w:val="24"/>
          <w:szCs w:val="24"/>
          <w:u w:val="single"/>
        </w:rPr>
        <w:t>ORDER</w:t>
      </w:r>
    </w:p>
    <w:p w14:paraId="3736D9D3" w14:textId="4E4F4B8B" w:rsidR="007264FA" w:rsidRPr="00FC3109" w:rsidRDefault="007264FA" w:rsidP="002B321B">
      <w:pPr>
        <w:spacing w:after="0" w:line="360" w:lineRule="auto"/>
        <w:rPr>
          <w:rFonts w:ascii="Times New Roman" w:hAnsi="Times New Roman" w:cs="Times New Roman"/>
          <w:sz w:val="24"/>
          <w:szCs w:val="24"/>
        </w:rPr>
      </w:pPr>
    </w:p>
    <w:p w14:paraId="517CF4FC" w14:textId="7E0A1338" w:rsidR="00114821" w:rsidRPr="00FC3109" w:rsidRDefault="007264FA" w:rsidP="00FC3109">
      <w:pPr>
        <w:spacing w:line="360" w:lineRule="auto"/>
        <w:rPr>
          <w:rFonts w:ascii="Times New Roman" w:hAnsi="Times New Roman" w:cs="Times New Roman"/>
          <w:sz w:val="24"/>
          <w:szCs w:val="24"/>
        </w:rPr>
      </w:pPr>
      <w:r w:rsidRPr="00FC3109">
        <w:rPr>
          <w:rFonts w:ascii="Times New Roman" w:hAnsi="Times New Roman" w:cs="Times New Roman"/>
          <w:sz w:val="24"/>
          <w:szCs w:val="24"/>
        </w:rPr>
        <w:tab/>
        <w:t xml:space="preserve">The Complainants </w:t>
      </w:r>
      <w:r w:rsidR="00114821" w:rsidRPr="00FC3109">
        <w:rPr>
          <w:rFonts w:ascii="Times New Roman" w:hAnsi="Times New Roman" w:cs="Times New Roman"/>
          <w:sz w:val="24"/>
          <w:szCs w:val="24"/>
        </w:rPr>
        <w:t xml:space="preserve">have filed a Motion to Stay the proceedings and a Motion for Recusal. </w:t>
      </w:r>
      <w:r w:rsidR="00B061CB">
        <w:rPr>
          <w:rFonts w:ascii="Times New Roman" w:hAnsi="Times New Roman" w:cs="Times New Roman"/>
          <w:sz w:val="24"/>
          <w:szCs w:val="24"/>
        </w:rPr>
        <w:t xml:space="preserve"> </w:t>
      </w:r>
      <w:r w:rsidR="0040758C" w:rsidRPr="00FC3109">
        <w:rPr>
          <w:rFonts w:ascii="Times New Roman" w:hAnsi="Times New Roman" w:cs="Times New Roman"/>
          <w:sz w:val="24"/>
          <w:szCs w:val="24"/>
        </w:rPr>
        <w:t>The Motions will be denied.</w:t>
      </w:r>
    </w:p>
    <w:p w14:paraId="4C679020" w14:textId="77777777" w:rsidR="0040758C" w:rsidRPr="00FC3109" w:rsidRDefault="0040758C" w:rsidP="002B321B">
      <w:pPr>
        <w:spacing w:after="0" w:line="360" w:lineRule="auto"/>
        <w:ind w:left="-90" w:firstLine="1530"/>
        <w:jc w:val="both"/>
        <w:rPr>
          <w:rFonts w:ascii="Times New Roman" w:eastAsia="Calibri" w:hAnsi="Times New Roman" w:cs="Times New Roman"/>
          <w:sz w:val="24"/>
          <w:szCs w:val="24"/>
        </w:rPr>
      </w:pPr>
    </w:p>
    <w:p w14:paraId="3C10FE62" w14:textId="2D036B38" w:rsidR="0040758C" w:rsidRDefault="0040758C" w:rsidP="00475940">
      <w:pPr>
        <w:spacing w:after="0" w:line="360" w:lineRule="auto"/>
        <w:jc w:val="center"/>
        <w:rPr>
          <w:rFonts w:ascii="Times New Roman" w:eastAsia="Times New Roman" w:hAnsi="Times New Roman" w:cs="Times New Roman"/>
          <w:bCs/>
          <w:sz w:val="24"/>
          <w:szCs w:val="24"/>
          <w:u w:val="single"/>
        </w:rPr>
      </w:pPr>
      <w:r w:rsidRPr="00FC3109">
        <w:rPr>
          <w:rFonts w:ascii="Times New Roman" w:eastAsia="Times New Roman" w:hAnsi="Times New Roman" w:cs="Times New Roman"/>
          <w:bCs/>
          <w:sz w:val="24"/>
          <w:szCs w:val="24"/>
          <w:u w:val="single"/>
        </w:rPr>
        <w:t>RELEVANT HISTORY OF THE PROCEEDINGS</w:t>
      </w:r>
    </w:p>
    <w:p w14:paraId="1B4F5A0A" w14:textId="77777777" w:rsidR="008D77CC" w:rsidRPr="00FC3109" w:rsidRDefault="008D77CC" w:rsidP="002B321B">
      <w:pPr>
        <w:spacing w:after="0" w:line="360" w:lineRule="auto"/>
        <w:ind w:left="-90" w:firstLine="1530"/>
        <w:jc w:val="both"/>
        <w:rPr>
          <w:rFonts w:ascii="Times New Roman" w:eastAsia="Calibri" w:hAnsi="Times New Roman" w:cs="Times New Roman"/>
          <w:sz w:val="24"/>
          <w:szCs w:val="24"/>
          <w:u w:val="single"/>
        </w:rPr>
      </w:pPr>
    </w:p>
    <w:p w14:paraId="08216743" w14:textId="2965F8DB" w:rsidR="00E4689F" w:rsidRDefault="00403826" w:rsidP="00575B19">
      <w:pPr>
        <w:spacing w:after="0" w:line="360" w:lineRule="auto"/>
        <w:ind w:firstLine="14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w:t>
      </w:r>
      <w:r w:rsidR="008E29FB">
        <w:rPr>
          <w:rFonts w:ascii="Times New Roman" w:eastAsia="Times New Roman" w:hAnsi="Times New Roman" w:cs="Times New Roman"/>
          <w:bCs/>
          <w:sz w:val="24"/>
          <w:szCs w:val="24"/>
        </w:rPr>
        <w:t>z</w:t>
      </w:r>
      <w:r w:rsidR="008E29FB" w:rsidRPr="008E29FB">
        <w:rPr>
          <w:rFonts w:ascii="Times New Roman" w:eastAsia="Times New Roman" w:hAnsi="Times New Roman" w:cs="Times New Roman"/>
          <w:bCs/>
          <w:sz w:val="24"/>
          <w:szCs w:val="24"/>
        </w:rPr>
        <w:t xml:space="preserve"> </w:t>
      </w:r>
      <w:r w:rsidR="007E0795">
        <w:rPr>
          <w:rFonts w:ascii="Times New Roman" w:eastAsia="Times New Roman" w:hAnsi="Times New Roman" w:cs="Times New Roman"/>
          <w:bCs/>
          <w:sz w:val="24"/>
          <w:szCs w:val="24"/>
        </w:rPr>
        <w:t xml:space="preserve">Mousios and Roy Cummings each filed a Complaint </w:t>
      </w:r>
      <w:r w:rsidR="00D73FC3">
        <w:rPr>
          <w:rFonts w:ascii="Times New Roman" w:eastAsia="Times New Roman" w:hAnsi="Times New Roman" w:cs="Times New Roman"/>
          <w:bCs/>
          <w:sz w:val="24"/>
          <w:szCs w:val="24"/>
        </w:rPr>
        <w:t xml:space="preserve">against Metropolitan Edison Company </w:t>
      </w:r>
      <w:r w:rsidR="007E0795">
        <w:rPr>
          <w:rFonts w:ascii="Times New Roman" w:eastAsia="Times New Roman" w:hAnsi="Times New Roman" w:cs="Times New Roman"/>
          <w:bCs/>
          <w:sz w:val="24"/>
          <w:szCs w:val="24"/>
        </w:rPr>
        <w:t xml:space="preserve">on February 11, 2019. </w:t>
      </w:r>
      <w:r w:rsidR="00575B19">
        <w:rPr>
          <w:rFonts w:ascii="Times New Roman" w:eastAsia="Times New Roman" w:hAnsi="Times New Roman" w:cs="Times New Roman"/>
          <w:bCs/>
          <w:sz w:val="24"/>
          <w:szCs w:val="24"/>
        </w:rPr>
        <w:t xml:space="preserve"> </w:t>
      </w:r>
      <w:r w:rsidR="00E4689F">
        <w:rPr>
          <w:rFonts w:ascii="Times New Roman" w:eastAsia="Times New Roman" w:hAnsi="Times New Roman" w:cs="Times New Roman"/>
          <w:bCs/>
          <w:sz w:val="24"/>
          <w:szCs w:val="24"/>
        </w:rPr>
        <w:t xml:space="preserve">The Complainants are seeking to prevent installation of an AMI meter, also known as a </w:t>
      </w:r>
      <w:r>
        <w:rPr>
          <w:rFonts w:ascii="Times New Roman" w:eastAsia="Times New Roman" w:hAnsi="Times New Roman" w:cs="Times New Roman"/>
          <w:bCs/>
          <w:sz w:val="24"/>
          <w:szCs w:val="24"/>
        </w:rPr>
        <w:t>“</w:t>
      </w:r>
      <w:r w:rsidR="00E4689F">
        <w:rPr>
          <w:rFonts w:ascii="Times New Roman" w:eastAsia="Times New Roman" w:hAnsi="Times New Roman" w:cs="Times New Roman"/>
          <w:bCs/>
          <w:sz w:val="24"/>
          <w:szCs w:val="24"/>
        </w:rPr>
        <w:t>smart meter</w:t>
      </w:r>
      <w:r>
        <w:rPr>
          <w:rFonts w:ascii="Times New Roman" w:eastAsia="Times New Roman" w:hAnsi="Times New Roman" w:cs="Times New Roman"/>
          <w:bCs/>
          <w:sz w:val="24"/>
          <w:szCs w:val="24"/>
        </w:rPr>
        <w:t>,” at their residence</w:t>
      </w:r>
      <w:r w:rsidR="00E4689F">
        <w:rPr>
          <w:rFonts w:ascii="Times New Roman" w:eastAsia="Times New Roman" w:hAnsi="Times New Roman" w:cs="Times New Roman"/>
          <w:bCs/>
          <w:sz w:val="24"/>
          <w:szCs w:val="24"/>
        </w:rPr>
        <w:t xml:space="preserve">. </w:t>
      </w:r>
      <w:r w:rsidR="00575B19">
        <w:rPr>
          <w:rFonts w:ascii="Times New Roman" w:eastAsia="Times New Roman" w:hAnsi="Times New Roman" w:cs="Times New Roman"/>
          <w:bCs/>
          <w:sz w:val="24"/>
          <w:szCs w:val="24"/>
        </w:rPr>
        <w:t xml:space="preserve"> </w:t>
      </w:r>
      <w:r w:rsidR="00E4689F">
        <w:rPr>
          <w:rFonts w:ascii="Times New Roman" w:eastAsia="Times New Roman" w:hAnsi="Times New Roman" w:cs="Times New Roman"/>
          <w:bCs/>
          <w:sz w:val="24"/>
          <w:szCs w:val="24"/>
        </w:rPr>
        <w:t xml:space="preserve">The Complaints were </w:t>
      </w:r>
      <w:r w:rsidR="0040758C" w:rsidRPr="00FC3109">
        <w:rPr>
          <w:rFonts w:ascii="Times New Roman" w:eastAsia="Times New Roman" w:hAnsi="Times New Roman" w:cs="Times New Roman"/>
          <w:bCs/>
          <w:sz w:val="24"/>
          <w:szCs w:val="24"/>
        </w:rPr>
        <w:t>initially assigned to Administrative Law Judge Emily I. DeVoe</w:t>
      </w:r>
      <w:r>
        <w:rPr>
          <w:rFonts w:ascii="Times New Roman" w:eastAsia="Times New Roman" w:hAnsi="Times New Roman" w:cs="Times New Roman"/>
          <w:bCs/>
          <w:sz w:val="24"/>
          <w:szCs w:val="24"/>
        </w:rPr>
        <w:t xml:space="preserve"> and the matters consolidated</w:t>
      </w:r>
      <w:r w:rsidR="0040758C" w:rsidRPr="00FC3109">
        <w:rPr>
          <w:rFonts w:ascii="Times New Roman" w:eastAsia="Times New Roman" w:hAnsi="Times New Roman" w:cs="Times New Roman"/>
          <w:bCs/>
          <w:sz w:val="24"/>
          <w:szCs w:val="24"/>
        </w:rPr>
        <w:t xml:space="preserve">. </w:t>
      </w:r>
    </w:p>
    <w:p w14:paraId="39344F68" w14:textId="77777777" w:rsidR="00E4689F" w:rsidRDefault="00E4689F" w:rsidP="002B321B">
      <w:pPr>
        <w:spacing w:after="0" w:line="360" w:lineRule="auto"/>
        <w:ind w:firstLine="1440"/>
        <w:rPr>
          <w:rFonts w:ascii="Times New Roman" w:eastAsia="Times New Roman" w:hAnsi="Times New Roman" w:cs="Times New Roman"/>
          <w:bCs/>
          <w:sz w:val="24"/>
          <w:szCs w:val="24"/>
        </w:rPr>
      </w:pPr>
    </w:p>
    <w:p w14:paraId="3DE25B4C" w14:textId="1E540763" w:rsidR="0040758C" w:rsidRDefault="0040758C" w:rsidP="0040758C">
      <w:pPr>
        <w:spacing w:line="360" w:lineRule="auto"/>
        <w:ind w:firstLine="1440"/>
        <w:rPr>
          <w:rFonts w:ascii="Times New Roman" w:hAnsi="Times New Roman" w:cs="Times New Roman"/>
          <w:bCs/>
          <w:sz w:val="24"/>
          <w:szCs w:val="24"/>
        </w:rPr>
      </w:pPr>
      <w:r w:rsidRPr="00FC3109">
        <w:rPr>
          <w:rFonts w:ascii="Times New Roman" w:eastAsia="Times New Roman" w:hAnsi="Times New Roman" w:cs="Times New Roman"/>
          <w:bCs/>
          <w:sz w:val="24"/>
          <w:szCs w:val="24"/>
        </w:rPr>
        <w:t xml:space="preserve">On October 1, 2019, a Call-In Evidentiary Hearing Notice was issued setting the hearing for </w:t>
      </w:r>
      <w:r w:rsidRPr="00FC3109">
        <w:rPr>
          <w:rFonts w:ascii="Times New Roman" w:hAnsi="Times New Roman" w:cs="Times New Roman"/>
          <w:bCs/>
          <w:sz w:val="24"/>
          <w:szCs w:val="24"/>
        </w:rPr>
        <w:t xml:space="preserve">October 28 -29, 2019.  A Pre-hearing Order setting forth procedural information was issued on October 4, 2019. </w:t>
      </w:r>
      <w:r w:rsidR="00E4689F">
        <w:rPr>
          <w:rFonts w:ascii="Times New Roman" w:hAnsi="Times New Roman" w:cs="Times New Roman"/>
          <w:bCs/>
          <w:sz w:val="24"/>
          <w:szCs w:val="24"/>
        </w:rPr>
        <w:t xml:space="preserve"> </w:t>
      </w:r>
    </w:p>
    <w:p w14:paraId="18AC169E" w14:textId="77777777" w:rsidR="00F12236" w:rsidRPr="00FC3109" w:rsidRDefault="00F12236" w:rsidP="00F12236">
      <w:pPr>
        <w:spacing w:after="0" w:line="360" w:lineRule="auto"/>
        <w:ind w:firstLine="1440"/>
        <w:rPr>
          <w:rFonts w:ascii="Times New Roman" w:hAnsi="Times New Roman" w:cs="Times New Roman"/>
          <w:bCs/>
          <w:sz w:val="24"/>
          <w:szCs w:val="24"/>
        </w:rPr>
      </w:pPr>
    </w:p>
    <w:p w14:paraId="2413B2C3" w14:textId="02188838" w:rsidR="0040758C" w:rsidRPr="00FC3109" w:rsidRDefault="0040758C" w:rsidP="00F12236">
      <w:pPr>
        <w:spacing w:after="0" w:line="360" w:lineRule="auto"/>
        <w:ind w:firstLine="1440"/>
        <w:rPr>
          <w:rFonts w:ascii="Times New Roman" w:hAnsi="Times New Roman" w:cs="Times New Roman"/>
          <w:bCs/>
          <w:sz w:val="24"/>
          <w:szCs w:val="24"/>
        </w:rPr>
      </w:pPr>
      <w:r w:rsidRPr="00FC3109">
        <w:rPr>
          <w:rFonts w:ascii="Times New Roman" w:hAnsi="Times New Roman" w:cs="Times New Roman"/>
          <w:bCs/>
          <w:sz w:val="24"/>
          <w:szCs w:val="24"/>
        </w:rPr>
        <w:lastRenderedPageBreak/>
        <w:t xml:space="preserve">By letter received by the Commission on October 7, 2019, the Complainants refused a telephonic hearing and demanded an in-person hearing. </w:t>
      </w:r>
      <w:r w:rsidR="002B321B">
        <w:rPr>
          <w:rFonts w:ascii="Times New Roman" w:hAnsi="Times New Roman" w:cs="Times New Roman"/>
          <w:bCs/>
          <w:sz w:val="24"/>
          <w:szCs w:val="24"/>
        </w:rPr>
        <w:t xml:space="preserve"> </w:t>
      </w:r>
    </w:p>
    <w:p w14:paraId="30350312" w14:textId="77777777" w:rsidR="00946ABD" w:rsidRDefault="00946ABD" w:rsidP="0040758C">
      <w:pPr>
        <w:pStyle w:val="NoSpacing"/>
        <w:spacing w:line="360" w:lineRule="auto"/>
        <w:ind w:firstLine="1440"/>
        <w:rPr>
          <w:bCs/>
        </w:rPr>
      </w:pPr>
    </w:p>
    <w:p w14:paraId="6264033F" w14:textId="46A4BC12" w:rsidR="0040758C" w:rsidRPr="00FC3109" w:rsidRDefault="0040758C" w:rsidP="0040758C">
      <w:pPr>
        <w:pStyle w:val="NoSpacing"/>
        <w:spacing w:line="360" w:lineRule="auto"/>
        <w:ind w:firstLine="1440"/>
        <w:rPr>
          <w:bCs/>
        </w:rPr>
      </w:pPr>
      <w:r w:rsidRPr="00FC3109">
        <w:rPr>
          <w:bCs/>
        </w:rPr>
        <w:t>The telephonic hearing was cancelled, and this matter was transferred to the undersigned on October 21, 2019.  Also</w:t>
      </w:r>
      <w:r w:rsidR="006A18C4">
        <w:rPr>
          <w:bCs/>
        </w:rPr>
        <w:t>,</w:t>
      </w:r>
      <w:r w:rsidRPr="00FC3109">
        <w:rPr>
          <w:bCs/>
        </w:rPr>
        <w:t xml:space="preserve"> on October 21, 2019, an in-person hearing was scheduled for January 14-15, 2020, beginning at 9:30 a.m. each day.  </w:t>
      </w:r>
    </w:p>
    <w:p w14:paraId="31DD6B05" w14:textId="77777777" w:rsidR="0040758C" w:rsidRPr="00FC3109" w:rsidRDefault="0040758C" w:rsidP="0040758C">
      <w:pPr>
        <w:pStyle w:val="NoSpacing"/>
        <w:spacing w:line="360" w:lineRule="auto"/>
        <w:ind w:firstLine="1440"/>
        <w:rPr>
          <w:bCs/>
        </w:rPr>
      </w:pPr>
    </w:p>
    <w:p w14:paraId="165F5E35" w14:textId="77777777" w:rsidR="0040758C" w:rsidRPr="00FC3109" w:rsidRDefault="0040758C" w:rsidP="0040758C">
      <w:pPr>
        <w:pStyle w:val="NoSpacing"/>
        <w:spacing w:line="360" w:lineRule="auto"/>
        <w:ind w:firstLine="1440"/>
        <w:rPr>
          <w:bCs/>
        </w:rPr>
      </w:pPr>
      <w:r w:rsidRPr="00FC3109">
        <w:rPr>
          <w:bCs/>
        </w:rPr>
        <w:t xml:space="preserve">The Complainants filed a Motion to Delay the hearing on November 20, 2019.  They asked for a continuance until smart meter cases pending before the Commonwealth Court have been adjudicated.  The Motion to Delay was denied on December 13, 2019.  </w:t>
      </w:r>
    </w:p>
    <w:p w14:paraId="63ADE45A" w14:textId="77777777" w:rsidR="0040758C" w:rsidRPr="00FC3109" w:rsidRDefault="0040758C" w:rsidP="0040758C">
      <w:pPr>
        <w:pStyle w:val="NoSpacing"/>
        <w:spacing w:line="360" w:lineRule="auto"/>
        <w:ind w:firstLine="1440"/>
        <w:rPr>
          <w:bCs/>
        </w:rPr>
      </w:pPr>
    </w:p>
    <w:p w14:paraId="211E4D61" w14:textId="083B2BF9" w:rsidR="0040758C" w:rsidRPr="00FC3109" w:rsidRDefault="0040758C" w:rsidP="0040758C">
      <w:pPr>
        <w:pStyle w:val="NoSpacing"/>
        <w:spacing w:line="360" w:lineRule="auto"/>
        <w:ind w:firstLine="1440"/>
        <w:rPr>
          <w:bCs/>
        </w:rPr>
      </w:pPr>
      <w:r w:rsidRPr="00FC3109">
        <w:rPr>
          <w:bCs/>
        </w:rPr>
        <w:t>On January 3, 2020, Complainants filed a Motion to Stay Hearing, asserting that the matter should be stayed until another pending smart meter matter was decided.  Also</w:t>
      </w:r>
      <w:r w:rsidR="00A16B58">
        <w:rPr>
          <w:bCs/>
        </w:rPr>
        <w:t>,</w:t>
      </w:r>
      <w:r w:rsidRPr="00FC3109">
        <w:rPr>
          <w:bCs/>
        </w:rPr>
        <w:t xml:space="preserve"> therein, the Complainants indicated that they needed additional time</w:t>
      </w:r>
      <w:r w:rsidR="00A16B58">
        <w:rPr>
          <w:bCs/>
        </w:rPr>
        <w:t xml:space="preserve"> </w:t>
      </w:r>
      <w:r w:rsidRPr="00FC3109">
        <w:rPr>
          <w:bCs/>
        </w:rPr>
        <w:t xml:space="preserve">for </w:t>
      </w:r>
      <w:r w:rsidR="00A16B58">
        <w:rPr>
          <w:bCs/>
        </w:rPr>
        <w:t xml:space="preserve">their expert witness, </w:t>
      </w:r>
      <w:r w:rsidRPr="00FC3109">
        <w:rPr>
          <w:bCs/>
        </w:rPr>
        <w:t>Mr. </w:t>
      </w:r>
      <w:r w:rsidR="00A16B58">
        <w:rPr>
          <w:bCs/>
        </w:rPr>
        <w:t xml:space="preserve">William </w:t>
      </w:r>
      <w:r w:rsidRPr="00FC3109">
        <w:rPr>
          <w:bCs/>
        </w:rPr>
        <w:t>Bathgate</w:t>
      </w:r>
      <w:r w:rsidR="00A16B58">
        <w:rPr>
          <w:bCs/>
        </w:rPr>
        <w:t>,</w:t>
      </w:r>
      <w:r w:rsidRPr="00FC3109">
        <w:rPr>
          <w:bCs/>
        </w:rPr>
        <w:t xml:space="preserve"> to perform various measurements concerning smart meters.  </w:t>
      </w:r>
      <w:r w:rsidR="00695AFA" w:rsidRPr="00FC3109">
        <w:rPr>
          <w:bCs/>
        </w:rPr>
        <w:t>The</w:t>
      </w:r>
      <w:r w:rsidR="00A16B58">
        <w:rPr>
          <w:bCs/>
        </w:rPr>
        <w:t xml:space="preserve">y </w:t>
      </w:r>
      <w:r w:rsidR="00695AFA" w:rsidRPr="00FC3109">
        <w:rPr>
          <w:bCs/>
        </w:rPr>
        <w:t xml:space="preserve">contended that Mr. Bathgate could not travel due to the weather and his schedule until the spring of 2020. </w:t>
      </w:r>
    </w:p>
    <w:p w14:paraId="228B3F4F" w14:textId="77777777" w:rsidR="0040758C" w:rsidRPr="00FC3109" w:rsidRDefault="0040758C" w:rsidP="0040758C">
      <w:pPr>
        <w:pStyle w:val="NoSpacing"/>
        <w:spacing w:line="360" w:lineRule="auto"/>
        <w:ind w:firstLine="1440"/>
        <w:rPr>
          <w:bCs/>
        </w:rPr>
      </w:pPr>
    </w:p>
    <w:p w14:paraId="53086E99" w14:textId="3BC70E0F" w:rsidR="0040758C" w:rsidRPr="00FC3109" w:rsidRDefault="0040758C" w:rsidP="00463F09">
      <w:pPr>
        <w:pStyle w:val="NoSpacing"/>
        <w:spacing w:line="360" w:lineRule="auto"/>
        <w:ind w:firstLine="1440"/>
        <w:rPr>
          <w:bCs/>
        </w:rPr>
      </w:pPr>
      <w:r w:rsidRPr="00FC3109">
        <w:rPr>
          <w:bCs/>
        </w:rPr>
        <w:t xml:space="preserve">On January 8, 2018, Complainant Liza Mousios telephoned the Commission and requested that the hearing be conducted in writing.  She averred that she was also speaking on behalf of Mr. Cumming.  Ms. Mousios also stated in the phone call that she is ill and cannot attend the hearing in person.  Ms. Mousios also averred that Mr. Cumming had no objection to a "hearing in writing."  </w:t>
      </w:r>
    </w:p>
    <w:p w14:paraId="0587C691" w14:textId="77777777" w:rsidR="0040758C" w:rsidRPr="00FC3109" w:rsidRDefault="0040758C" w:rsidP="0040758C">
      <w:pPr>
        <w:pStyle w:val="NoSpacing"/>
        <w:spacing w:line="360" w:lineRule="auto"/>
        <w:ind w:firstLine="1440"/>
        <w:rPr>
          <w:bCs/>
        </w:rPr>
      </w:pPr>
    </w:p>
    <w:p w14:paraId="44D95A21" w14:textId="611294FF" w:rsidR="0040758C" w:rsidRPr="00FC3109" w:rsidRDefault="0040758C" w:rsidP="0040758C">
      <w:pPr>
        <w:pStyle w:val="NoSpacing"/>
        <w:spacing w:line="360" w:lineRule="auto"/>
        <w:ind w:firstLine="1440"/>
        <w:rPr>
          <w:bCs/>
        </w:rPr>
      </w:pPr>
      <w:r w:rsidRPr="00FC3109">
        <w:rPr>
          <w:bCs/>
        </w:rPr>
        <w:t>On January 9, 2020</w:t>
      </w:r>
      <w:r w:rsidR="000014B2">
        <w:rPr>
          <w:bCs/>
        </w:rPr>
        <w:t>,</w:t>
      </w:r>
      <w:r w:rsidRPr="00FC3109">
        <w:rPr>
          <w:bCs/>
        </w:rPr>
        <w:t xml:space="preserve"> an Order was issued that granted, in part, and denied, in part, the relief requested by the Complainants.  The Complainants' request for written proceedings was granted. The request to delay the hearing until the decision on another smart meter matter was issued was denied.  The </w:t>
      </w:r>
      <w:r w:rsidRPr="00FC3109">
        <w:t xml:space="preserve">in-person hearing scheduled for January 14 and 15, 2020 was cancelled and a modified procedural schedule for written testimony was issued.  </w:t>
      </w:r>
    </w:p>
    <w:p w14:paraId="61637954" w14:textId="77777777" w:rsidR="0040758C" w:rsidRPr="00FC3109" w:rsidRDefault="0040758C" w:rsidP="0040758C">
      <w:pPr>
        <w:pStyle w:val="NoSpacing"/>
        <w:spacing w:line="360" w:lineRule="auto"/>
        <w:ind w:firstLine="1440"/>
        <w:rPr>
          <w:bCs/>
        </w:rPr>
      </w:pPr>
    </w:p>
    <w:p w14:paraId="78FF73E1" w14:textId="77777777" w:rsidR="0040758C" w:rsidRPr="00FC3109" w:rsidRDefault="0040758C" w:rsidP="0040758C">
      <w:pPr>
        <w:spacing w:line="360" w:lineRule="auto"/>
        <w:ind w:left="-90" w:firstLine="1440"/>
        <w:rPr>
          <w:rFonts w:ascii="Times New Roman" w:eastAsia="Times New Roman" w:hAnsi="Times New Roman" w:cs="Times New Roman"/>
          <w:bCs/>
          <w:sz w:val="24"/>
          <w:szCs w:val="24"/>
        </w:rPr>
      </w:pPr>
      <w:r w:rsidRPr="00FC3109">
        <w:rPr>
          <w:rFonts w:ascii="Times New Roman" w:hAnsi="Times New Roman" w:cs="Times New Roman"/>
          <w:sz w:val="24"/>
          <w:szCs w:val="24"/>
        </w:rPr>
        <w:lastRenderedPageBreak/>
        <w:t xml:space="preserve">On </w:t>
      </w:r>
      <w:r w:rsidRPr="00FC3109">
        <w:rPr>
          <w:rFonts w:ascii="Times New Roman" w:eastAsia="Times New Roman" w:hAnsi="Times New Roman" w:cs="Times New Roman"/>
          <w:bCs/>
          <w:sz w:val="24"/>
          <w:szCs w:val="24"/>
        </w:rPr>
        <w:t xml:space="preserve">January 15, 2020, Complainants filed a "Motion for Supplemental Exhibits </w:t>
      </w:r>
      <w:r w:rsidRPr="00FC3109">
        <w:rPr>
          <w:rFonts w:ascii="Times New Roman" w:eastAsia="Calibri" w:hAnsi="Times New Roman" w:cs="Times New Roman"/>
          <w:sz w:val="24"/>
          <w:szCs w:val="24"/>
        </w:rPr>
        <w:t>for Continuing In-Writing Hearing.”</w:t>
      </w:r>
      <w:r w:rsidRPr="00FC3109">
        <w:rPr>
          <w:rFonts w:ascii="Times New Roman" w:eastAsia="Times New Roman" w:hAnsi="Times New Roman" w:cs="Times New Roman"/>
          <w:bCs/>
          <w:sz w:val="24"/>
          <w:szCs w:val="24"/>
        </w:rPr>
        <w:t xml:space="preserve"> </w:t>
      </w:r>
    </w:p>
    <w:p w14:paraId="7B0D88AE" w14:textId="77777777" w:rsidR="0040758C" w:rsidRPr="00FC3109" w:rsidRDefault="0040758C" w:rsidP="0040758C">
      <w:pPr>
        <w:pStyle w:val="ListParagraph"/>
        <w:tabs>
          <w:tab w:val="left" w:pos="-720"/>
          <w:tab w:val="left" w:pos="2160"/>
        </w:tabs>
        <w:suppressAutoHyphens/>
        <w:spacing w:line="360" w:lineRule="auto"/>
        <w:ind w:left="-90" w:firstLine="1440"/>
        <w:rPr>
          <w:rFonts w:ascii="Times New Roman" w:eastAsia="Times New Roman" w:hAnsi="Times New Roman"/>
          <w:bCs/>
        </w:rPr>
      </w:pPr>
    </w:p>
    <w:p w14:paraId="504A026D" w14:textId="3E7ECAC9" w:rsidR="0040758C" w:rsidRPr="00FC3109" w:rsidRDefault="0040758C" w:rsidP="0040758C">
      <w:pPr>
        <w:spacing w:line="360" w:lineRule="auto"/>
        <w:ind w:left="-90" w:firstLine="1440"/>
        <w:rPr>
          <w:rFonts w:ascii="Times New Roman" w:eastAsia="Times New Roman" w:hAnsi="Times New Roman" w:cs="Times New Roman"/>
          <w:bCs/>
          <w:sz w:val="24"/>
          <w:szCs w:val="24"/>
        </w:rPr>
      </w:pPr>
      <w:r w:rsidRPr="00FC3109">
        <w:rPr>
          <w:rFonts w:ascii="Times New Roman" w:eastAsia="Calibri" w:hAnsi="Times New Roman" w:cs="Times New Roman"/>
          <w:sz w:val="24"/>
          <w:szCs w:val="24"/>
        </w:rPr>
        <w:t>On January 29, 2020, the Complainants filed a “Motion for Judge Heep to Vacate Her Own Violation of Complainants’ Right to Due Process and Right to Preserve Their Issues on Appeal In Her Preventing Their Use of Their Expert Witness” and “Motion and Request to Deputy Chief Administrative Law Judge Christopher Pell for a Different Judge Such As Administrative Judge DeVoe Whom We Previously Had.”</w:t>
      </w:r>
      <w:r w:rsidRPr="00FC3109">
        <w:rPr>
          <w:rFonts w:ascii="Times New Roman" w:eastAsia="Times New Roman" w:hAnsi="Times New Roman" w:cs="Times New Roman"/>
          <w:bCs/>
          <w:sz w:val="24"/>
          <w:szCs w:val="24"/>
        </w:rPr>
        <w:t xml:space="preserve"> </w:t>
      </w:r>
      <w:r w:rsidR="006B021D">
        <w:rPr>
          <w:rFonts w:ascii="Times New Roman" w:eastAsia="Times New Roman" w:hAnsi="Times New Roman" w:cs="Times New Roman"/>
          <w:bCs/>
          <w:sz w:val="24"/>
          <w:szCs w:val="24"/>
        </w:rPr>
        <w:t xml:space="preserve"> </w:t>
      </w:r>
    </w:p>
    <w:p w14:paraId="424C0084" w14:textId="77777777" w:rsidR="0040758C" w:rsidRPr="002B321B" w:rsidRDefault="0040758C" w:rsidP="002B321B">
      <w:pPr>
        <w:spacing w:after="0" w:line="360" w:lineRule="auto"/>
        <w:ind w:left="-90" w:firstLine="1440"/>
        <w:rPr>
          <w:rFonts w:ascii="Times New Roman" w:eastAsia="Calibri" w:hAnsi="Times New Roman" w:cs="Times New Roman"/>
          <w:sz w:val="24"/>
          <w:szCs w:val="24"/>
          <w:u w:val="single"/>
        </w:rPr>
      </w:pPr>
    </w:p>
    <w:p w14:paraId="78BC9786" w14:textId="725B0B97" w:rsidR="0040758C" w:rsidRPr="00FC3109" w:rsidRDefault="0040758C" w:rsidP="0040758C">
      <w:pPr>
        <w:spacing w:line="360" w:lineRule="auto"/>
        <w:ind w:left="-90" w:firstLine="1440"/>
        <w:rPr>
          <w:rFonts w:ascii="Times New Roman" w:eastAsia="Calibri" w:hAnsi="Times New Roman" w:cs="Times New Roman"/>
          <w:sz w:val="24"/>
          <w:szCs w:val="24"/>
        </w:rPr>
      </w:pPr>
      <w:r w:rsidRPr="00FC3109">
        <w:rPr>
          <w:rFonts w:ascii="Times New Roman" w:eastAsia="Calibri" w:hAnsi="Times New Roman" w:cs="Times New Roman"/>
          <w:sz w:val="24"/>
          <w:szCs w:val="24"/>
        </w:rPr>
        <w:t>On January 31, 2020, an Order was issued that denied the Complainants' request for Disqualification of a Presiding Officer.  The Order also granted the Complainants additional time to submit written testimony and exhibits</w:t>
      </w:r>
      <w:r w:rsidR="00177E45" w:rsidRPr="00FC3109">
        <w:rPr>
          <w:rFonts w:ascii="Times New Roman" w:eastAsia="Calibri" w:hAnsi="Times New Roman" w:cs="Times New Roman"/>
          <w:sz w:val="24"/>
          <w:szCs w:val="24"/>
        </w:rPr>
        <w:t xml:space="preserve"> with due dates</w:t>
      </w:r>
      <w:r w:rsidRPr="00FC3109">
        <w:rPr>
          <w:rFonts w:ascii="Times New Roman" w:eastAsia="Calibri" w:hAnsi="Times New Roman" w:cs="Times New Roman"/>
          <w:sz w:val="24"/>
          <w:szCs w:val="24"/>
        </w:rPr>
        <w:t xml:space="preserve"> as follows:</w:t>
      </w:r>
    </w:p>
    <w:p w14:paraId="2ABFF0BC" w14:textId="77777777" w:rsidR="0040758C" w:rsidRPr="00FC3109" w:rsidRDefault="0040758C" w:rsidP="0040758C">
      <w:pPr>
        <w:pStyle w:val="ListParagraph"/>
        <w:tabs>
          <w:tab w:val="left" w:pos="-720"/>
          <w:tab w:val="left" w:pos="2160"/>
        </w:tabs>
        <w:suppressAutoHyphens/>
        <w:spacing w:line="360" w:lineRule="auto"/>
        <w:ind w:left="1350"/>
        <w:rPr>
          <w:rFonts w:ascii="Times New Roman" w:eastAsia="Times New Roman" w:hAnsi="Times New Roman"/>
          <w:bCs/>
        </w:rPr>
      </w:pPr>
    </w:p>
    <w:p w14:paraId="20831AA4" w14:textId="5141858D" w:rsidR="0040758C" w:rsidRPr="00FC3109" w:rsidRDefault="0040758C" w:rsidP="0040758C">
      <w:pPr>
        <w:pStyle w:val="ListParagraph"/>
        <w:numPr>
          <w:ilvl w:val="1"/>
          <w:numId w:val="1"/>
        </w:numPr>
        <w:tabs>
          <w:tab w:val="left" w:pos="-720"/>
          <w:tab w:val="left" w:pos="2160"/>
        </w:tabs>
        <w:suppressAutoHyphens/>
        <w:ind w:left="1350" w:right="1440" w:firstLine="0"/>
        <w:rPr>
          <w:rFonts w:ascii="Times New Roman" w:eastAsia="Times New Roman" w:hAnsi="Times New Roman"/>
          <w:bCs/>
        </w:rPr>
      </w:pPr>
      <w:r w:rsidRPr="00FC3109">
        <w:rPr>
          <w:rFonts w:ascii="Times New Roman" w:eastAsia="Times New Roman" w:hAnsi="Times New Roman"/>
          <w:bCs/>
        </w:rPr>
        <w:t>Direct written testimony of the Complainants and Complainants' witnesses, with Exhibits - 2/28/2020</w:t>
      </w:r>
      <w:r w:rsidR="006B021D">
        <w:rPr>
          <w:rFonts w:ascii="Times New Roman" w:eastAsia="Times New Roman" w:hAnsi="Times New Roman"/>
          <w:bCs/>
        </w:rPr>
        <w:t>.</w:t>
      </w:r>
    </w:p>
    <w:p w14:paraId="60A1BDD9" w14:textId="59AD453E" w:rsidR="0040758C" w:rsidRPr="00FC3109" w:rsidRDefault="0040758C" w:rsidP="0040758C">
      <w:pPr>
        <w:pStyle w:val="ListParagraph"/>
        <w:numPr>
          <w:ilvl w:val="1"/>
          <w:numId w:val="1"/>
        </w:numPr>
        <w:tabs>
          <w:tab w:val="left" w:pos="-720"/>
          <w:tab w:val="left" w:pos="2160"/>
        </w:tabs>
        <w:suppressAutoHyphens/>
        <w:ind w:left="1350" w:right="1440" w:firstLine="0"/>
        <w:rPr>
          <w:rFonts w:ascii="Times New Roman" w:eastAsia="Times New Roman" w:hAnsi="Times New Roman"/>
          <w:bCs/>
        </w:rPr>
      </w:pPr>
      <w:r w:rsidRPr="00FC3109">
        <w:rPr>
          <w:rFonts w:ascii="Times New Roman" w:eastAsia="Times New Roman" w:hAnsi="Times New Roman"/>
          <w:bCs/>
        </w:rPr>
        <w:t>Rebuttal written testimony of the Respondent witnesses, with Exhibits - 3/20/2020</w:t>
      </w:r>
      <w:r w:rsidR="006B021D">
        <w:rPr>
          <w:rFonts w:ascii="Times New Roman" w:eastAsia="Times New Roman" w:hAnsi="Times New Roman"/>
          <w:bCs/>
        </w:rPr>
        <w:t>.</w:t>
      </w:r>
    </w:p>
    <w:p w14:paraId="37FD177B" w14:textId="5363F025" w:rsidR="0040758C" w:rsidRPr="00FC3109" w:rsidRDefault="0040758C" w:rsidP="0040758C">
      <w:pPr>
        <w:pStyle w:val="ListParagraph"/>
        <w:numPr>
          <w:ilvl w:val="1"/>
          <w:numId w:val="1"/>
        </w:numPr>
        <w:tabs>
          <w:tab w:val="left" w:pos="-720"/>
          <w:tab w:val="left" w:pos="2160"/>
        </w:tabs>
        <w:suppressAutoHyphens/>
        <w:ind w:left="1350" w:right="1440" w:firstLine="0"/>
        <w:rPr>
          <w:rFonts w:ascii="Times New Roman" w:eastAsia="Times New Roman" w:hAnsi="Times New Roman"/>
          <w:bCs/>
        </w:rPr>
      </w:pPr>
      <w:r w:rsidRPr="00FC3109">
        <w:rPr>
          <w:rFonts w:ascii="Times New Roman" w:eastAsia="Times New Roman" w:hAnsi="Times New Roman"/>
          <w:bCs/>
        </w:rPr>
        <w:t>Surrebuttal written testimony of the Complainants, and testimony and exhibits of Mr. Bathgate - April 10, 2020</w:t>
      </w:r>
      <w:r w:rsidR="001F524E">
        <w:rPr>
          <w:rFonts w:ascii="Times New Roman" w:eastAsia="Times New Roman" w:hAnsi="Times New Roman"/>
          <w:bCs/>
        </w:rPr>
        <w:t>.</w:t>
      </w:r>
    </w:p>
    <w:p w14:paraId="037AA7DF" w14:textId="67463F40" w:rsidR="0040758C" w:rsidRPr="00FC3109" w:rsidRDefault="0040758C" w:rsidP="0040758C">
      <w:pPr>
        <w:pStyle w:val="ListParagraph"/>
        <w:numPr>
          <w:ilvl w:val="1"/>
          <w:numId w:val="1"/>
        </w:numPr>
        <w:tabs>
          <w:tab w:val="left" w:pos="-720"/>
          <w:tab w:val="left" w:pos="2160"/>
        </w:tabs>
        <w:suppressAutoHyphens/>
        <w:ind w:left="1350" w:right="1440" w:firstLine="0"/>
        <w:rPr>
          <w:rFonts w:ascii="Times New Roman" w:eastAsia="Times New Roman" w:hAnsi="Times New Roman"/>
          <w:bCs/>
        </w:rPr>
      </w:pPr>
      <w:r w:rsidRPr="00FC3109">
        <w:rPr>
          <w:rFonts w:ascii="Times New Roman" w:eastAsia="Times New Roman" w:hAnsi="Times New Roman"/>
          <w:bCs/>
        </w:rPr>
        <w:t>Respondent Rebuttal testimony and evidence to Mr.</w:t>
      </w:r>
      <w:r w:rsidR="006B021D">
        <w:rPr>
          <w:rFonts w:ascii="Times New Roman" w:eastAsia="Times New Roman" w:hAnsi="Times New Roman"/>
          <w:bCs/>
        </w:rPr>
        <w:t> </w:t>
      </w:r>
      <w:r w:rsidRPr="00FC3109">
        <w:rPr>
          <w:rFonts w:ascii="Times New Roman" w:eastAsia="Times New Roman" w:hAnsi="Times New Roman"/>
          <w:bCs/>
        </w:rPr>
        <w:t xml:space="preserve">Bathgate - April 24, 2019. </w:t>
      </w:r>
      <w:r w:rsidR="006B021D">
        <w:rPr>
          <w:rFonts w:ascii="Times New Roman" w:eastAsia="Times New Roman" w:hAnsi="Times New Roman"/>
          <w:bCs/>
        </w:rPr>
        <w:t xml:space="preserve"> </w:t>
      </w:r>
    </w:p>
    <w:p w14:paraId="1386D5DB" w14:textId="77777777" w:rsidR="0040758C" w:rsidRPr="00FC3109" w:rsidRDefault="0040758C" w:rsidP="0040758C">
      <w:pPr>
        <w:pStyle w:val="ListParagraph"/>
        <w:tabs>
          <w:tab w:val="left" w:pos="-720"/>
          <w:tab w:val="left" w:pos="2160"/>
        </w:tabs>
        <w:suppressAutoHyphens/>
        <w:spacing w:line="360" w:lineRule="auto"/>
        <w:ind w:left="1350" w:right="1440"/>
        <w:rPr>
          <w:rFonts w:ascii="Times New Roman" w:eastAsia="Times New Roman" w:hAnsi="Times New Roman"/>
          <w:bCs/>
        </w:rPr>
      </w:pPr>
    </w:p>
    <w:p w14:paraId="5A32DA3C" w14:textId="6066F1BA" w:rsidR="00114511" w:rsidRDefault="00695AFA" w:rsidP="00114511">
      <w:pPr>
        <w:spacing w:line="360" w:lineRule="auto"/>
        <w:ind w:firstLine="1440"/>
        <w:rPr>
          <w:rFonts w:ascii="Times New Roman" w:eastAsia="Times New Roman" w:hAnsi="Times New Roman" w:cs="Times New Roman"/>
          <w:bCs/>
          <w:sz w:val="24"/>
          <w:szCs w:val="24"/>
        </w:rPr>
      </w:pPr>
      <w:r w:rsidRPr="00FC3109">
        <w:rPr>
          <w:rFonts w:ascii="Times New Roman" w:eastAsia="Times New Roman" w:hAnsi="Times New Roman" w:cs="Times New Roman"/>
          <w:bCs/>
          <w:sz w:val="24"/>
          <w:szCs w:val="24"/>
        </w:rPr>
        <w:t xml:space="preserve">Various </w:t>
      </w:r>
      <w:r w:rsidR="00114511">
        <w:rPr>
          <w:rFonts w:ascii="Times New Roman" w:eastAsia="Times New Roman" w:hAnsi="Times New Roman" w:cs="Times New Roman"/>
          <w:bCs/>
          <w:sz w:val="24"/>
          <w:szCs w:val="24"/>
        </w:rPr>
        <w:t>m</w:t>
      </w:r>
      <w:r w:rsidRPr="00FC3109">
        <w:rPr>
          <w:rFonts w:ascii="Times New Roman" w:eastAsia="Times New Roman" w:hAnsi="Times New Roman" w:cs="Times New Roman"/>
          <w:bCs/>
          <w:sz w:val="24"/>
          <w:szCs w:val="24"/>
        </w:rPr>
        <w:t xml:space="preserve">otions and cross </w:t>
      </w:r>
      <w:r w:rsidR="00A16B58">
        <w:rPr>
          <w:rFonts w:ascii="Times New Roman" w:eastAsia="Times New Roman" w:hAnsi="Times New Roman" w:cs="Times New Roman"/>
          <w:bCs/>
          <w:sz w:val="24"/>
          <w:szCs w:val="24"/>
        </w:rPr>
        <w:t>pleadings</w:t>
      </w:r>
      <w:r w:rsidRPr="00FC3109">
        <w:rPr>
          <w:rFonts w:ascii="Times New Roman" w:eastAsia="Times New Roman" w:hAnsi="Times New Roman" w:cs="Times New Roman"/>
          <w:bCs/>
          <w:sz w:val="24"/>
          <w:szCs w:val="24"/>
        </w:rPr>
        <w:t xml:space="preserve"> were filed by the parties.  </w:t>
      </w:r>
    </w:p>
    <w:p w14:paraId="46A973A5" w14:textId="77777777" w:rsidR="002B321B" w:rsidRDefault="002B321B" w:rsidP="002B321B">
      <w:pPr>
        <w:spacing w:after="0" w:line="360" w:lineRule="auto"/>
        <w:ind w:firstLine="1440"/>
        <w:rPr>
          <w:rFonts w:ascii="Times New Roman" w:eastAsia="Times New Roman" w:hAnsi="Times New Roman" w:cs="Times New Roman"/>
          <w:bCs/>
          <w:sz w:val="24"/>
          <w:szCs w:val="24"/>
        </w:rPr>
      </w:pPr>
    </w:p>
    <w:p w14:paraId="55FCBFAD" w14:textId="6DC66531" w:rsidR="00DE44EE" w:rsidRDefault="00DE44EE" w:rsidP="00114511">
      <w:pPr>
        <w:spacing w:line="360" w:lineRule="auto"/>
        <w:ind w:firstLine="1440"/>
        <w:rPr>
          <w:rFonts w:ascii="Times New Roman" w:eastAsia="Times New Roman" w:hAnsi="Times New Roman" w:cs="Times New Roman"/>
          <w:bCs/>
          <w:sz w:val="24"/>
          <w:szCs w:val="24"/>
        </w:rPr>
      </w:pPr>
      <w:r w:rsidRPr="00FC3109">
        <w:rPr>
          <w:rFonts w:ascii="Times New Roman" w:eastAsia="Times New Roman" w:hAnsi="Times New Roman" w:cs="Times New Roman"/>
          <w:bCs/>
          <w:sz w:val="24"/>
          <w:szCs w:val="24"/>
        </w:rPr>
        <w:t xml:space="preserve">Work from home orders were issued by the Commission in March of 2020 due to the COVID-19 pandemic.  </w:t>
      </w:r>
      <w:r w:rsidR="00114511">
        <w:rPr>
          <w:rFonts w:ascii="Times New Roman" w:eastAsia="Times New Roman" w:hAnsi="Times New Roman" w:cs="Times New Roman"/>
          <w:bCs/>
          <w:sz w:val="24"/>
          <w:szCs w:val="24"/>
        </w:rPr>
        <w:t>Efforts were made by the Commission to contact a</w:t>
      </w:r>
      <w:r w:rsidRPr="00FC3109">
        <w:rPr>
          <w:rFonts w:ascii="Times New Roman" w:eastAsia="Times New Roman" w:hAnsi="Times New Roman" w:cs="Times New Roman"/>
          <w:bCs/>
          <w:sz w:val="24"/>
          <w:szCs w:val="24"/>
        </w:rPr>
        <w:t xml:space="preserve">ll parties with pending actions who had not provided an email address to obtain an email address.  It was also suggested that parties sign up for the Commission’s electronic service.  Commission records contained an email address for the Complaints as Mr. Cumming had previously contacted the Commission on behalf of himself and Ms. Mousios by email. </w:t>
      </w:r>
      <w:r w:rsidR="00114511">
        <w:rPr>
          <w:rFonts w:ascii="Times New Roman" w:eastAsia="Times New Roman" w:hAnsi="Times New Roman" w:cs="Times New Roman"/>
          <w:bCs/>
          <w:sz w:val="24"/>
          <w:szCs w:val="24"/>
        </w:rPr>
        <w:t xml:space="preserve"> </w:t>
      </w:r>
    </w:p>
    <w:p w14:paraId="6F250A59" w14:textId="77777777" w:rsidR="002B321B" w:rsidRPr="00FC3109" w:rsidRDefault="002B321B" w:rsidP="00CD1C0C">
      <w:pPr>
        <w:spacing w:after="0" w:line="360" w:lineRule="auto"/>
        <w:ind w:firstLine="1440"/>
        <w:rPr>
          <w:rFonts w:ascii="Times New Roman" w:eastAsia="Times New Roman" w:hAnsi="Times New Roman" w:cs="Times New Roman"/>
          <w:bCs/>
          <w:sz w:val="24"/>
          <w:szCs w:val="24"/>
        </w:rPr>
      </w:pPr>
    </w:p>
    <w:p w14:paraId="63AAAA8F" w14:textId="7B0AFAC7" w:rsidR="00DE44EE" w:rsidRDefault="00DE44EE" w:rsidP="00114511">
      <w:pPr>
        <w:spacing w:line="360" w:lineRule="auto"/>
        <w:ind w:firstLine="720"/>
        <w:rPr>
          <w:rFonts w:ascii="Times New Roman" w:hAnsi="Times New Roman" w:cs="Times New Roman"/>
          <w:sz w:val="24"/>
          <w:szCs w:val="24"/>
        </w:rPr>
      </w:pPr>
      <w:r w:rsidRPr="00FC3109">
        <w:rPr>
          <w:rFonts w:ascii="Times New Roman" w:eastAsia="Times New Roman" w:hAnsi="Times New Roman" w:cs="Times New Roman"/>
          <w:bCs/>
          <w:sz w:val="24"/>
          <w:szCs w:val="24"/>
        </w:rPr>
        <w:lastRenderedPageBreak/>
        <w:tab/>
        <w:t>O</w:t>
      </w:r>
      <w:r w:rsidRPr="00FC3109">
        <w:rPr>
          <w:rFonts w:ascii="Times New Roman" w:hAnsi="Times New Roman" w:cs="Times New Roman"/>
          <w:sz w:val="24"/>
          <w:szCs w:val="24"/>
        </w:rPr>
        <w:t xml:space="preserve">n April 14, 2020, the undersigned issued an Order extending deadlines and due dates. The Order </w:t>
      </w:r>
      <w:r w:rsidR="00114511">
        <w:rPr>
          <w:rFonts w:ascii="Times New Roman" w:hAnsi="Times New Roman" w:cs="Times New Roman"/>
          <w:sz w:val="24"/>
          <w:szCs w:val="24"/>
        </w:rPr>
        <w:t>stated</w:t>
      </w:r>
      <w:r w:rsidRPr="00FC3109">
        <w:rPr>
          <w:rFonts w:ascii="Times New Roman" w:hAnsi="Times New Roman" w:cs="Times New Roman"/>
          <w:sz w:val="24"/>
          <w:szCs w:val="24"/>
        </w:rPr>
        <w:t xml:space="preserve"> the following deadlines:</w:t>
      </w:r>
    </w:p>
    <w:p w14:paraId="6F43ADA2" w14:textId="77777777" w:rsidR="002B321B" w:rsidRPr="00FC3109" w:rsidRDefault="002B321B" w:rsidP="002B321B">
      <w:pPr>
        <w:spacing w:after="0" w:line="360" w:lineRule="auto"/>
        <w:ind w:firstLine="720"/>
        <w:rPr>
          <w:rFonts w:ascii="Times New Roman" w:hAnsi="Times New Roman" w:cs="Times New Roman"/>
          <w:sz w:val="24"/>
          <w:szCs w:val="24"/>
        </w:rPr>
      </w:pPr>
    </w:p>
    <w:p w14:paraId="255E2B82" w14:textId="3C009F06" w:rsidR="00DE44EE" w:rsidRPr="00FC3109" w:rsidRDefault="00DE44EE" w:rsidP="00DE44EE">
      <w:pPr>
        <w:pStyle w:val="ListParagraph"/>
        <w:numPr>
          <w:ilvl w:val="4"/>
          <w:numId w:val="1"/>
        </w:numPr>
        <w:tabs>
          <w:tab w:val="left" w:pos="-720"/>
          <w:tab w:val="left" w:pos="2610"/>
        </w:tabs>
        <w:suppressAutoHyphens/>
        <w:ind w:left="2880" w:right="1440"/>
        <w:rPr>
          <w:rFonts w:ascii="Times New Roman" w:hAnsi="Times New Roman"/>
        </w:rPr>
      </w:pPr>
      <w:r w:rsidRPr="00FC3109">
        <w:rPr>
          <w:rFonts w:ascii="Times New Roman" w:eastAsia="Times New Roman" w:hAnsi="Times New Roman"/>
          <w:bCs/>
        </w:rPr>
        <w:t xml:space="preserve">Rebuttal written testimony of the Respondent witnesses, with exhibits – </w:t>
      </w:r>
      <w:r w:rsidRPr="00FC3109">
        <w:rPr>
          <w:rFonts w:ascii="Times New Roman" w:eastAsia="Times New Roman" w:hAnsi="Times New Roman"/>
          <w:b/>
        </w:rPr>
        <w:t>June 18, 2020</w:t>
      </w:r>
      <w:r w:rsidR="001F524E">
        <w:rPr>
          <w:rFonts w:ascii="Times New Roman" w:eastAsia="Times New Roman" w:hAnsi="Times New Roman"/>
          <w:b/>
        </w:rPr>
        <w:t>.</w:t>
      </w:r>
    </w:p>
    <w:p w14:paraId="28B7E1DC" w14:textId="7EE16C03" w:rsidR="00DE44EE" w:rsidRPr="00FC3109" w:rsidRDefault="00DE44EE" w:rsidP="00DE44EE">
      <w:pPr>
        <w:pStyle w:val="ListParagraph"/>
        <w:numPr>
          <w:ilvl w:val="1"/>
          <w:numId w:val="1"/>
        </w:numPr>
        <w:tabs>
          <w:tab w:val="left" w:pos="-720"/>
          <w:tab w:val="left" w:pos="2160"/>
        </w:tabs>
        <w:suppressAutoHyphens/>
        <w:ind w:left="2880" w:right="1440"/>
        <w:rPr>
          <w:rFonts w:ascii="Times New Roman" w:eastAsia="Times New Roman" w:hAnsi="Times New Roman"/>
          <w:b/>
        </w:rPr>
      </w:pPr>
      <w:r w:rsidRPr="00FC3109">
        <w:rPr>
          <w:rFonts w:ascii="Times New Roman" w:eastAsia="Times New Roman" w:hAnsi="Times New Roman"/>
          <w:bCs/>
        </w:rPr>
        <w:t xml:space="preserve">Surrebuttal written testimony of the Complainants, and testimony and exhibits of Mr. Bathgate - </w:t>
      </w:r>
      <w:r w:rsidRPr="00FC3109">
        <w:rPr>
          <w:rFonts w:ascii="Times New Roman" w:eastAsia="Times New Roman" w:hAnsi="Times New Roman"/>
          <w:b/>
        </w:rPr>
        <w:t>July</w:t>
      </w:r>
      <w:r w:rsidR="006B021D">
        <w:rPr>
          <w:rFonts w:ascii="Times New Roman" w:eastAsia="Times New Roman" w:hAnsi="Times New Roman"/>
          <w:b/>
        </w:rPr>
        <w:t> </w:t>
      </w:r>
      <w:r w:rsidRPr="00FC3109">
        <w:rPr>
          <w:rFonts w:ascii="Times New Roman" w:eastAsia="Times New Roman" w:hAnsi="Times New Roman"/>
          <w:b/>
        </w:rPr>
        <w:t>9, 2020</w:t>
      </w:r>
      <w:r w:rsidR="001F524E">
        <w:rPr>
          <w:rFonts w:ascii="Times New Roman" w:eastAsia="Times New Roman" w:hAnsi="Times New Roman"/>
          <w:b/>
        </w:rPr>
        <w:t>.</w:t>
      </w:r>
    </w:p>
    <w:p w14:paraId="31608146" w14:textId="0DE92072" w:rsidR="00DE44EE" w:rsidRPr="00FC3109" w:rsidRDefault="00DE44EE" w:rsidP="00DE44EE">
      <w:pPr>
        <w:pStyle w:val="ListParagraph"/>
        <w:numPr>
          <w:ilvl w:val="1"/>
          <w:numId w:val="1"/>
        </w:numPr>
        <w:tabs>
          <w:tab w:val="left" w:pos="-720"/>
          <w:tab w:val="left" w:pos="2160"/>
        </w:tabs>
        <w:suppressAutoHyphens/>
        <w:ind w:left="2880" w:right="1440"/>
        <w:rPr>
          <w:rFonts w:ascii="Times New Roman" w:eastAsia="Times New Roman" w:hAnsi="Times New Roman"/>
          <w:bCs/>
        </w:rPr>
      </w:pPr>
      <w:r w:rsidRPr="00FC3109">
        <w:rPr>
          <w:rFonts w:ascii="Times New Roman" w:eastAsia="Times New Roman" w:hAnsi="Times New Roman"/>
          <w:bCs/>
        </w:rPr>
        <w:t xml:space="preserve">Respondent Rebuttal testimony and evidence regarding Mr. Bathgate – </w:t>
      </w:r>
      <w:r w:rsidRPr="00FC3109">
        <w:rPr>
          <w:rFonts w:ascii="Times New Roman" w:eastAsia="Times New Roman" w:hAnsi="Times New Roman"/>
          <w:b/>
        </w:rPr>
        <w:t>July 23, 2020</w:t>
      </w:r>
      <w:r w:rsidR="001F524E">
        <w:rPr>
          <w:rFonts w:ascii="Times New Roman" w:eastAsia="Times New Roman" w:hAnsi="Times New Roman"/>
          <w:bCs/>
        </w:rPr>
        <w:t>.</w:t>
      </w:r>
    </w:p>
    <w:p w14:paraId="5E4C37CA" w14:textId="77777777" w:rsidR="00DE44EE" w:rsidRPr="00FC3109" w:rsidRDefault="00DE44EE" w:rsidP="002B321B">
      <w:pPr>
        <w:spacing w:after="0" w:line="360" w:lineRule="auto"/>
        <w:ind w:firstLine="720"/>
        <w:rPr>
          <w:rFonts w:ascii="Times New Roman" w:hAnsi="Times New Roman" w:cs="Times New Roman"/>
          <w:sz w:val="24"/>
          <w:szCs w:val="24"/>
        </w:rPr>
      </w:pPr>
    </w:p>
    <w:p w14:paraId="0D38859F" w14:textId="16D4CEA3" w:rsidR="00EB3E06" w:rsidRDefault="00DE44EE" w:rsidP="002B321B">
      <w:pPr>
        <w:spacing w:after="0" w:line="360" w:lineRule="auto"/>
        <w:rPr>
          <w:rFonts w:ascii="Times New Roman" w:hAnsi="Times New Roman" w:cs="Times New Roman"/>
          <w:sz w:val="24"/>
          <w:szCs w:val="24"/>
        </w:rPr>
      </w:pPr>
      <w:r w:rsidRPr="00FC3109">
        <w:rPr>
          <w:rFonts w:ascii="Times New Roman" w:hAnsi="Times New Roman" w:cs="Times New Roman"/>
          <w:sz w:val="24"/>
          <w:szCs w:val="24"/>
        </w:rPr>
        <w:t xml:space="preserve">The </w:t>
      </w:r>
      <w:r w:rsidR="00A16B58">
        <w:rPr>
          <w:rFonts w:ascii="Times New Roman" w:hAnsi="Times New Roman" w:cs="Times New Roman"/>
          <w:sz w:val="24"/>
          <w:szCs w:val="24"/>
        </w:rPr>
        <w:t>O</w:t>
      </w:r>
      <w:r w:rsidRPr="00FC3109">
        <w:rPr>
          <w:rFonts w:ascii="Times New Roman" w:hAnsi="Times New Roman" w:cs="Times New Roman"/>
          <w:sz w:val="24"/>
          <w:szCs w:val="24"/>
        </w:rPr>
        <w:t>rder extending the deadlines and due date</w:t>
      </w:r>
      <w:r w:rsidR="00A16B58">
        <w:rPr>
          <w:rFonts w:ascii="Times New Roman" w:hAnsi="Times New Roman" w:cs="Times New Roman"/>
          <w:sz w:val="24"/>
          <w:szCs w:val="24"/>
        </w:rPr>
        <w:t>s</w:t>
      </w:r>
      <w:r w:rsidRPr="00FC3109">
        <w:rPr>
          <w:rFonts w:ascii="Times New Roman" w:hAnsi="Times New Roman" w:cs="Times New Roman"/>
          <w:sz w:val="24"/>
          <w:szCs w:val="24"/>
        </w:rPr>
        <w:t xml:space="preserve"> was emailed to Complainants on A</w:t>
      </w:r>
      <w:r w:rsidR="00EB3E06">
        <w:rPr>
          <w:rFonts w:ascii="Times New Roman" w:hAnsi="Times New Roman" w:cs="Times New Roman"/>
          <w:sz w:val="24"/>
          <w:szCs w:val="24"/>
        </w:rPr>
        <w:t>p</w:t>
      </w:r>
      <w:r w:rsidRPr="00FC3109">
        <w:rPr>
          <w:rFonts w:ascii="Times New Roman" w:hAnsi="Times New Roman" w:cs="Times New Roman"/>
          <w:sz w:val="24"/>
          <w:szCs w:val="24"/>
        </w:rPr>
        <w:t>ril 17, 2020.</w:t>
      </w:r>
    </w:p>
    <w:p w14:paraId="64572C94" w14:textId="77777777" w:rsidR="002B321B" w:rsidRDefault="002B321B" w:rsidP="002B321B">
      <w:pPr>
        <w:spacing w:after="0" w:line="360" w:lineRule="auto"/>
        <w:rPr>
          <w:rFonts w:ascii="Times New Roman" w:hAnsi="Times New Roman" w:cs="Times New Roman"/>
          <w:sz w:val="24"/>
          <w:szCs w:val="24"/>
        </w:rPr>
      </w:pPr>
    </w:p>
    <w:p w14:paraId="14ECE0C9" w14:textId="5D0B4DB9" w:rsidR="00695AFA" w:rsidRDefault="00695AFA" w:rsidP="00EB3E06">
      <w:pPr>
        <w:spacing w:line="360" w:lineRule="auto"/>
        <w:ind w:firstLine="1440"/>
        <w:rPr>
          <w:rFonts w:ascii="Times New Roman" w:hAnsi="Times New Roman" w:cs="Times New Roman"/>
          <w:sz w:val="24"/>
          <w:szCs w:val="24"/>
        </w:rPr>
      </w:pPr>
      <w:r w:rsidRPr="00FC3109">
        <w:rPr>
          <w:rFonts w:ascii="Times New Roman" w:hAnsi="Times New Roman" w:cs="Times New Roman"/>
          <w:sz w:val="24"/>
          <w:szCs w:val="24"/>
        </w:rPr>
        <w:t xml:space="preserve">On June 2, 2020, the Complainants emailed </w:t>
      </w:r>
      <w:r w:rsidR="00A16B58">
        <w:rPr>
          <w:rFonts w:ascii="Times New Roman" w:hAnsi="Times New Roman" w:cs="Times New Roman"/>
          <w:sz w:val="24"/>
          <w:szCs w:val="24"/>
        </w:rPr>
        <w:t xml:space="preserve">to the Commission </w:t>
      </w:r>
      <w:r w:rsidRPr="00FC3109">
        <w:rPr>
          <w:rFonts w:ascii="Times New Roman" w:hAnsi="Times New Roman" w:cs="Times New Roman"/>
          <w:sz w:val="24"/>
          <w:szCs w:val="24"/>
        </w:rPr>
        <w:t>a Motion to Stay the proceedings.</w:t>
      </w:r>
      <w:r w:rsidR="00DE44EE" w:rsidRPr="00FC3109">
        <w:rPr>
          <w:rFonts w:ascii="Times New Roman" w:hAnsi="Times New Roman" w:cs="Times New Roman"/>
          <w:sz w:val="24"/>
          <w:szCs w:val="24"/>
        </w:rPr>
        <w:t xml:space="preserve"> </w:t>
      </w:r>
      <w:r w:rsidRPr="00FC3109">
        <w:rPr>
          <w:rFonts w:ascii="Times New Roman" w:hAnsi="Times New Roman" w:cs="Times New Roman"/>
          <w:sz w:val="24"/>
          <w:szCs w:val="24"/>
        </w:rPr>
        <w:t xml:space="preserve">On June 4, 2020, the Complainants emailed </w:t>
      </w:r>
      <w:r w:rsidR="00A16B58">
        <w:rPr>
          <w:rFonts w:ascii="Times New Roman" w:hAnsi="Times New Roman" w:cs="Times New Roman"/>
          <w:sz w:val="24"/>
          <w:szCs w:val="24"/>
        </w:rPr>
        <w:t xml:space="preserve">to the Commission </w:t>
      </w:r>
      <w:r w:rsidR="00EB3E06">
        <w:rPr>
          <w:rFonts w:ascii="Times New Roman" w:hAnsi="Times New Roman" w:cs="Times New Roman"/>
          <w:sz w:val="24"/>
          <w:szCs w:val="24"/>
        </w:rPr>
        <w:t>a</w:t>
      </w:r>
      <w:r w:rsidRPr="00FC3109">
        <w:rPr>
          <w:rFonts w:ascii="Times New Roman" w:hAnsi="Times New Roman" w:cs="Times New Roman"/>
          <w:sz w:val="24"/>
          <w:szCs w:val="24"/>
        </w:rPr>
        <w:t xml:space="preserve"> Motion for Recusal. </w:t>
      </w:r>
      <w:r w:rsidR="002B321B">
        <w:rPr>
          <w:rFonts w:ascii="Times New Roman" w:hAnsi="Times New Roman" w:cs="Times New Roman"/>
          <w:sz w:val="24"/>
          <w:szCs w:val="24"/>
        </w:rPr>
        <w:t xml:space="preserve"> </w:t>
      </w:r>
    </w:p>
    <w:p w14:paraId="1FFAF5EB" w14:textId="77777777" w:rsidR="002B321B" w:rsidRPr="00FC3109" w:rsidRDefault="002B321B" w:rsidP="002B321B">
      <w:pPr>
        <w:spacing w:after="0" w:line="360" w:lineRule="auto"/>
        <w:ind w:firstLine="1440"/>
        <w:rPr>
          <w:rFonts w:ascii="Times New Roman" w:hAnsi="Times New Roman" w:cs="Times New Roman"/>
          <w:sz w:val="24"/>
          <w:szCs w:val="24"/>
        </w:rPr>
      </w:pPr>
    </w:p>
    <w:p w14:paraId="0EA934ED" w14:textId="4F0DBFBF" w:rsidR="00886769" w:rsidRDefault="00114821" w:rsidP="00EB3E06">
      <w:pPr>
        <w:spacing w:line="360" w:lineRule="auto"/>
        <w:ind w:firstLine="1440"/>
        <w:rPr>
          <w:rFonts w:ascii="Times New Roman" w:hAnsi="Times New Roman" w:cs="Times New Roman"/>
          <w:sz w:val="24"/>
          <w:szCs w:val="24"/>
        </w:rPr>
      </w:pPr>
      <w:r w:rsidRPr="00FC3109">
        <w:rPr>
          <w:rFonts w:ascii="Times New Roman" w:hAnsi="Times New Roman" w:cs="Times New Roman"/>
          <w:sz w:val="24"/>
          <w:szCs w:val="24"/>
        </w:rPr>
        <w:t>In the Motion for Stay, Complainants contend that</w:t>
      </w:r>
      <w:r w:rsidR="00886769" w:rsidRPr="00FC3109">
        <w:rPr>
          <w:rFonts w:ascii="Times New Roman" w:hAnsi="Times New Roman" w:cs="Times New Roman"/>
          <w:sz w:val="24"/>
          <w:szCs w:val="24"/>
        </w:rPr>
        <w:t>: 1)</w:t>
      </w:r>
      <w:r w:rsidRPr="00FC3109">
        <w:rPr>
          <w:rFonts w:ascii="Times New Roman" w:hAnsi="Times New Roman" w:cs="Times New Roman"/>
          <w:sz w:val="24"/>
          <w:szCs w:val="24"/>
        </w:rPr>
        <w:t xml:space="preserve"> </w:t>
      </w:r>
      <w:r w:rsidR="008E29FB" w:rsidRPr="00FC3109">
        <w:rPr>
          <w:rFonts w:ascii="Times New Roman" w:hAnsi="Times New Roman" w:cs="Times New Roman"/>
          <w:sz w:val="24"/>
          <w:szCs w:val="24"/>
        </w:rPr>
        <w:t>their expert witness is sheltering in place, “self-quarantining</w:t>
      </w:r>
      <w:r w:rsidR="008E29FB">
        <w:rPr>
          <w:rFonts w:ascii="Times New Roman" w:hAnsi="Times New Roman" w:cs="Times New Roman"/>
          <w:sz w:val="24"/>
          <w:szCs w:val="24"/>
        </w:rPr>
        <w:t>,</w:t>
      </w:r>
      <w:r w:rsidR="008E29FB" w:rsidRPr="00FC3109">
        <w:rPr>
          <w:rFonts w:ascii="Times New Roman" w:hAnsi="Times New Roman" w:cs="Times New Roman"/>
          <w:sz w:val="24"/>
          <w:szCs w:val="24"/>
        </w:rPr>
        <w:t xml:space="preserve">” </w:t>
      </w:r>
      <w:r w:rsidR="008E29FB">
        <w:rPr>
          <w:rFonts w:ascii="Times New Roman" w:hAnsi="Times New Roman" w:cs="Times New Roman"/>
          <w:sz w:val="24"/>
          <w:szCs w:val="24"/>
        </w:rPr>
        <w:t xml:space="preserve"> 2) </w:t>
      </w:r>
      <w:r w:rsidRPr="00FC3109">
        <w:rPr>
          <w:rFonts w:ascii="Times New Roman" w:hAnsi="Times New Roman" w:cs="Times New Roman"/>
          <w:sz w:val="24"/>
          <w:szCs w:val="24"/>
        </w:rPr>
        <w:t>the undersigned has refused to rule on Complainant</w:t>
      </w:r>
      <w:r w:rsidR="00A16B58">
        <w:rPr>
          <w:rFonts w:ascii="Times New Roman" w:hAnsi="Times New Roman" w:cs="Times New Roman"/>
          <w:sz w:val="24"/>
          <w:szCs w:val="24"/>
        </w:rPr>
        <w:t>s’</w:t>
      </w:r>
      <w:r w:rsidRPr="00FC3109">
        <w:rPr>
          <w:rFonts w:ascii="Times New Roman" w:hAnsi="Times New Roman" w:cs="Times New Roman"/>
          <w:sz w:val="24"/>
          <w:szCs w:val="24"/>
        </w:rPr>
        <w:t xml:space="preserve"> Motion to Compel</w:t>
      </w:r>
      <w:r w:rsidR="00886769" w:rsidRPr="00FC3109">
        <w:rPr>
          <w:rFonts w:ascii="Times New Roman" w:hAnsi="Times New Roman" w:cs="Times New Roman"/>
          <w:sz w:val="24"/>
          <w:szCs w:val="24"/>
        </w:rPr>
        <w:t>,</w:t>
      </w:r>
      <w:r w:rsidR="008E29FB">
        <w:rPr>
          <w:rFonts w:ascii="Times New Roman" w:hAnsi="Times New Roman" w:cs="Times New Roman"/>
          <w:sz w:val="24"/>
          <w:szCs w:val="24"/>
        </w:rPr>
        <w:t xml:space="preserve"> and 3</w:t>
      </w:r>
      <w:r w:rsidR="00886769" w:rsidRPr="00FC3109">
        <w:rPr>
          <w:rFonts w:ascii="Times New Roman" w:hAnsi="Times New Roman" w:cs="Times New Roman"/>
          <w:sz w:val="24"/>
          <w:szCs w:val="24"/>
        </w:rPr>
        <w:t>)</w:t>
      </w:r>
      <w:r w:rsidRPr="00FC3109">
        <w:rPr>
          <w:rFonts w:ascii="Times New Roman" w:hAnsi="Times New Roman" w:cs="Times New Roman"/>
          <w:sz w:val="24"/>
          <w:szCs w:val="24"/>
        </w:rPr>
        <w:t xml:space="preserve"> the matter should be held in abeyance pending the outcome of appeals in other smart meter cases</w:t>
      </w:r>
      <w:r w:rsidR="008E29FB">
        <w:rPr>
          <w:rFonts w:ascii="Times New Roman" w:hAnsi="Times New Roman" w:cs="Times New Roman"/>
          <w:sz w:val="24"/>
          <w:szCs w:val="24"/>
        </w:rPr>
        <w:t>.</w:t>
      </w:r>
      <w:r w:rsidR="00A16B58" w:rsidRPr="00A16B58">
        <w:rPr>
          <w:rStyle w:val="FootnoteReference"/>
          <w:rFonts w:ascii="Times New Roman" w:hAnsi="Times New Roman" w:cs="Times New Roman"/>
          <w:sz w:val="24"/>
          <w:szCs w:val="24"/>
        </w:rPr>
        <w:t xml:space="preserve"> </w:t>
      </w:r>
      <w:r w:rsidR="00A16B58">
        <w:rPr>
          <w:rStyle w:val="FootnoteReference"/>
          <w:rFonts w:ascii="Times New Roman" w:hAnsi="Times New Roman" w:cs="Times New Roman"/>
          <w:sz w:val="24"/>
          <w:szCs w:val="24"/>
        </w:rPr>
        <w:footnoteReference w:id="1"/>
      </w:r>
      <w:r w:rsidR="00FA7148">
        <w:rPr>
          <w:rFonts w:ascii="Times New Roman" w:hAnsi="Times New Roman" w:cs="Times New Roman"/>
          <w:sz w:val="24"/>
          <w:szCs w:val="24"/>
        </w:rPr>
        <w:t xml:space="preserve">  </w:t>
      </w:r>
    </w:p>
    <w:p w14:paraId="644AB3E3" w14:textId="77777777" w:rsidR="002B321B" w:rsidRPr="00FC3109" w:rsidRDefault="002B321B" w:rsidP="002B321B">
      <w:pPr>
        <w:spacing w:after="0" w:line="360" w:lineRule="auto"/>
        <w:ind w:firstLine="1440"/>
        <w:rPr>
          <w:rFonts w:ascii="Times New Roman" w:hAnsi="Times New Roman" w:cs="Times New Roman"/>
          <w:sz w:val="24"/>
          <w:szCs w:val="24"/>
        </w:rPr>
      </w:pPr>
      <w:bookmarkStart w:id="0" w:name="_GoBack"/>
      <w:bookmarkEnd w:id="0"/>
    </w:p>
    <w:p w14:paraId="21B9A0F9" w14:textId="6636D515" w:rsidR="00886769" w:rsidRDefault="00886769" w:rsidP="00EB3E06">
      <w:pPr>
        <w:spacing w:line="360" w:lineRule="auto"/>
        <w:ind w:firstLine="1440"/>
        <w:rPr>
          <w:rFonts w:ascii="Times New Roman" w:hAnsi="Times New Roman" w:cs="Times New Roman"/>
          <w:sz w:val="24"/>
          <w:szCs w:val="24"/>
        </w:rPr>
      </w:pPr>
      <w:r w:rsidRPr="00FC3109">
        <w:rPr>
          <w:rFonts w:ascii="Times New Roman" w:hAnsi="Times New Roman" w:cs="Times New Roman"/>
          <w:sz w:val="24"/>
          <w:szCs w:val="24"/>
        </w:rPr>
        <w:t>Respondent opposes this Motion. The company first notes that on April 14, 2020, the undersigned issued an Order extending testimony deadlines due to the COVID-19 circumstance.</w:t>
      </w:r>
      <w:r w:rsidR="00CD1C0C">
        <w:rPr>
          <w:rFonts w:ascii="Times New Roman" w:hAnsi="Times New Roman" w:cs="Times New Roman"/>
          <w:sz w:val="24"/>
          <w:szCs w:val="24"/>
        </w:rPr>
        <w:t xml:space="preserve"> </w:t>
      </w:r>
      <w:r w:rsidRPr="00FC3109">
        <w:rPr>
          <w:rFonts w:ascii="Times New Roman" w:hAnsi="Times New Roman" w:cs="Times New Roman"/>
          <w:sz w:val="24"/>
          <w:szCs w:val="24"/>
        </w:rPr>
        <w:t xml:space="preserve"> The company also notes that the Complainants have on at least three previous occasions prior to the COVID-19 </w:t>
      </w:r>
      <w:r w:rsidR="008D77CC">
        <w:rPr>
          <w:rFonts w:ascii="Times New Roman" w:hAnsi="Times New Roman" w:cs="Times New Roman"/>
          <w:sz w:val="24"/>
          <w:szCs w:val="24"/>
        </w:rPr>
        <w:t>orders</w:t>
      </w:r>
      <w:r w:rsidRPr="00FC3109">
        <w:rPr>
          <w:rFonts w:ascii="Times New Roman" w:hAnsi="Times New Roman" w:cs="Times New Roman"/>
          <w:sz w:val="24"/>
          <w:szCs w:val="24"/>
        </w:rPr>
        <w:t xml:space="preserve"> sought to extend, delay or stay this matter</w:t>
      </w:r>
      <w:r w:rsidR="00C11B93" w:rsidRPr="00FC3109">
        <w:rPr>
          <w:rFonts w:ascii="Times New Roman" w:hAnsi="Times New Roman" w:cs="Times New Roman"/>
          <w:sz w:val="24"/>
          <w:szCs w:val="24"/>
        </w:rPr>
        <w:t xml:space="preserve"> and that the </w:t>
      </w:r>
      <w:r w:rsidRPr="00FC3109">
        <w:rPr>
          <w:rFonts w:ascii="Times New Roman" w:hAnsi="Times New Roman" w:cs="Times New Roman"/>
          <w:sz w:val="24"/>
          <w:szCs w:val="24"/>
        </w:rPr>
        <w:lastRenderedPageBreak/>
        <w:t xml:space="preserve">Complainants have been afforded adequate time to coordinate the preparation and submission of written testimony by their witness. </w:t>
      </w:r>
    </w:p>
    <w:p w14:paraId="60998315" w14:textId="77777777" w:rsidR="00CD1C0C" w:rsidRPr="00FC3109" w:rsidRDefault="00CD1C0C" w:rsidP="00CD1C0C">
      <w:pPr>
        <w:spacing w:after="0" w:line="360" w:lineRule="auto"/>
        <w:ind w:firstLine="1440"/>
        <w:rPr>
          <w:rFonts w:ascii="Times New Roman" w:hAnsi="Times New Roman" w:cs="Times New Roman"/>
          <w:sz w:val="24"/>
          <w:szCs w:val="24"/>
        </w:rPr>
      </w:pPr>
    </w:p>
    <w:p w14:paraId="626B5762" w14:textId="00E3DD24" w:rsidR="00E266F2" w:rsidRDefault="00886769" w:rsidP="00D66101">
      <w:pPr>
        <w:spacing w:after="0" w:line="360" w:lineRule="auto"/>
        <w:ind w:firstLine="1440"/>
        <w:rPr>
          <w:rFonts w:ascii="Times New Roman" w:hAnsi="Times New Roman" w:cs="Times New Roman"/>
          <w:sz w:val="24"/>
          <w:szCs w:val="24"/>
        </w:rPr>
      </w:pPr>
      <w:r w:rsidRPr="00FC3109">
        <w:rPr>
          <w:rFonts w:ascii="Times New Roman" w:hAnsi="Times New Roman" w:cs="Times New Roman"/>
          <w:sz w:val="24"/>
          <w:szCs w:val="24"/>
        </w:rPr>
        <w:t xml:space="preserve">Met-Ed </w:t>
      </w:r>
      <w:r w:rsidR="00C11B93" w:rsidRPr="00FC3109">
        <w:rPr>
          <w:rFonts w:ascii="Times New Roman" w:hAnsi="Times New Roman" w:cs="Times New Roman"/>
          <w:sz w:val="24"/>
          <w:szCs w:val="24"/>
        </w:rPr>
        <w:t xml:space="preserve">also </w:t>
      </w:r>
      <w:r w:rsidRPr="00FC3109">
        <w:rPr>
          <w:rFonts w:ascii="Times New Roman" w:hAnsi="Times New Roman" w:cs="Times New Roman"/>
          <w:sz w:val="24"/>
          <w:szCs w:val="24"/>
        </w:rPr>
        <w:t>opposes the Complainants’ request to stay this proceeding pending the outcomes of the Commonwealth Court’s decisions.</w:t>
      </w:r>
      <w:r w:rsidR="00E266F2">
        <w:rPr>
          <w:rFonts w:ascii="Times New Roman" w:hAnsi="Times New Roman" w:cs="Times New Roman"/>
          <w:sz w:val="24"/>
          <w:szCs w:val="24"/>
        </w:rPr>
        <w:t xml:space="preserve"> </w:t>
      </w:r>
      <w:r w:rsidR="00C11B93" w:rsidRPr="00FC3109">
        <w:rPr>
          <w:rFonts w:ascii="Times New Roman" w:hAnsi="Times New Roman" w:cs="Times New Roman"/>
          <w:sz w:val="24"/>
          <w:szCs w:val="24"/>
        </w:rPr>
        <w:t>The Respondent states</w:t>
      </w:r>
      <w:r w:rsidR="00E266F2">
        <w:rPr>
          <w:rFonts w:ascii="Times New Roman" w:hAnsi="Times New Roman" w:cs="Times New Roman"/>
          <w:sz w:val="24"/>
          <w:szCs w:val="24"/>
        </w:rPr>
        <w:t>:</w:t>
      </w:r>
    </w:p>
    <w:p w14:paraId="1AEF0FAF" w14:textId="77777777" w:rsidR="00206A15" w:rsidRDefault="00206A15" w:rsidP="00D66101">
      <w:pPr>
        <w:spacing w:after="0" w:line="360" w:lineRule="auto"/>
        <w:ind w:firstLine="1440"/>
        <w:rPr>
          <w:rFonts w:ascii="Times New Roman" w:hAnsi="Times New Roman" w:cs="Times New Roman"/>
          <w:sz w:val="24"/>
          <w:szCs w:val="24"/>
        </w:rPr>
      </w:pPr>
    </w:p>
    <w:p w14:paraId="683A5F27" w14:textId="6C4C9A5A" w:rsidR="00114821" w:rsidRDefault="00E266F2" w:rsidP="00E266F2">
      <w:pPr>
        <w:spacing w:line="240" w:lineRule="auto"/>
        <w:ind w:left="1440"/>
        <w:rPr>
          <w:rFonts w:ascii="Times New Roman" w:hAnsi="Times New Roman" w:cs="Times New Roman"/>
          <w:sz w:val="24"/>
          <w:szCs w:val="24"/>
        </w:rPr>
      </w:pPr>
      <w:r>
        <w:rPr>
          <w:rFonts w:ascii="Times New Roman" w:hAnsi="Times New Roman" w:cs="Times New Roman"/>
          <w:sz w:val="24"/>
          <w:szCs w:val="24"/>
        </w:rPr>
        <w:t>N</w:t>
      </w:r>
      <w:r w:rsidR="00886769" w:rsidRPr="00FC3109">
        <w:rPr>
          <w:rFonts w:ascii="Times New Roman" w:hAnsi="Times New Roman" w:cs="Times New Roman"/>
          <w:sz w:val="24"/>
          <w:szCs w:val="24"/>
        </w:rPr>
        <w:t>o reason exists to postpone the hearings in this case due to these appeals pending before the Commonwealth Court.  This case has been in litigation for over 14 months and must finally proceed in accordance with the schedule set forth</w:t>
      </w:r>
      <w:r w:rsidR="009D2545" w:rsidRPr="00FC3109">
        <w:rPr>
          <w:rFonts w:ascii="Times New Roman" w:hAnsi="Times New Roman" w:cs="Times New Roman"/>
          <w:sz w:val="24"/>
          <w:szCs w:val="24"/>
        </w:rPr>
        <w:t xml:space="preserve">” and that </w:t>
      </w:r>
      <w:r w:rsidR="00886769" w:rsidRPr="00FC3109">
        <w:rPr>
          <w:rFonts w:ascii="Times New Roman" w:hAnsi="Times New Roman" w:cs="Times New Roman"/>
          <w:sz w:val="24"/>
          <w:szCs w:val="24"/>
        </w:rPr>
        <w:t>judicial economy demands that this case proceed in accordance with the schedule set forth in ALJ Heep’s April 14, 2020 Order Extending Time, and that the Complainants’ latest attempt to delay these proceedings be denied.</w:t>
      </w:r>
      <w:r w:rsidR="00695AFA" w:rsidRPr="00FC3109">
        <w:rPr>
          <w:rFonts w:ascii="Times New Roman" w:hAnsi="Times New Roman" w:cs="Times New Roman"/>
          <w:sz w:val="24"/>
          <w:szCs w:val="24"/>
        </w:rPr>
        <w:t>”</w:t>
      </w:r>
    </w:p>
    <w:p w14:paraId="51CA696D" w14:textId="77777777" w:rsidR="00E266F2" w:rsidRDefault="00E266F2" w:rsidP="00D66101">
      <w:pPr>
        <w:spacing w:after="0" w:line="240" w:lineRule="auto"/>
        <w:ind w:left="1440"/>
        <w:rPr>
          <w:rFonts w:ascii="Times New Roman" w:hAnsi="Times New Roman" w:cs="Times New Roman"/>
          <w:sz w:val="24"/>
          <w:szCs w:val="24"/>
        </w:rPr>
      </w:pPr>
    </w:p>
    <w:p w14:paraId="1E31C9B2" w14:textId="24CF575C" w:rsidR="00E266F2" w:rsidRDefault="00E266F2" w:rsidP="00306486">
      <w:pPr>
        <w:spacing w:after="0" w:line="360" w:lineRule="auto"/>
        <w:rPr>
          <w:rFonts w:ascii="Times New Roman" w:hAnsi="Times New Roman" w:cs="Times New Roman"/>
          <w:sz w:val="24"/>
          <w:szCs w:val="24"/>
        </w:rPr>
      </w:pPr>
      <w:r w:rsidRPr="00E266F2">
        <w:rPr>
          <w:rFonts w:ascii="Times New Roman" w:hAnsi="Times New Roman" w:cs="Times New Roman"/>
          <w:sz w:val="24"/>
          <w:szCs w:val="24"/>
        </w:rPr>
        <w:t>ANSWER OF METROPOLITAN EDISON COMPANY TO THE JUNE 1, 2020 MOTION TO STAY AND THE JUNE 4, 2020 MOTION TO RECUSE</w:t>
      </w:r>
      <w:r>
        <w:rPr>
          <w:rFonts w:ascii="Times New Roman" w:hAnsi="Times New Roman" w:cs="Times New Roman"/>
          <w:sz w:val="24"/>
          <w:szCs w:val="24"/>
        </w:rPr>
        <w:t xml:space="preserve"> at 3. </w:t>
      </w:r>
      <w:r w:rsidR="00D66101">
        <w:rPr>
          <w:rFonts w:ascii="Times New Roman" w:hAnsi="Times New Roman" w:cs="Times New Roman"/>
          <w:sz w:val="24"/>
          <w:szCs w:val="24"/>
        </w:rPr>
        <w:t xml:space="preserve"> </w:t>
      </w:r>
    </w:p>
    <w:p w14:paraId="4B30FB2F" w14:textId="77777777" w:rsidR="00E266F2" w:rsidRPr="00FC3109" w:rsidRDefault="00E266F2" w:rsidP="00306486">
      <w:pPr>
        <w:spacing w:after="0" w:line="360" w:lineRule="auto"/>
        <w:rPr>
          <w:rFonts w:ascii="Times New Roman" w:hAnsi="Times New Roman" w:cs="Times New Roman"/>
          <w:sz w:val="24"/>
          <w:szCs w:val="24"/>
        </w:rPr>
      </w:pPr>
    </w:p>
    <w:p w14:paraId="7D8F23D9" w14:textId="4D2B2C9F" w:rsidR="00E27F3A" w:rsidRDefault="00114821" w:rsidP="00206A15">
      <w:pPr>
        <w:spacing w:after="0" w:line="360" w:lineRule="auto"/>
        <w:rPr>
          <w:rFonts w:ascii="Times New Roman" w:hAnsi="Times New Roman" w:cs="Times New Roman"/>
          <w:sz w:val="24"/>
          <w:szCs w:val="24"/>
        </w:rPr>
      </w:pPr>
      <w:r w:rsidRPr="00FC3109">
        <w:rPr>
          <w:rFonts w:ascii="Times New Roman" w:hAnsi="Times New Roman" w:cs="Times New Roman"/>
          <w:sz w:val="24"/>
          <w:szCs w:val="24"/>
        </w:rPr>
        <w:tab/>
      </w:r>
      <w:r w:rsidR="00081CE8" w:rsidRPr="00FC3109">
        <w:rPr>
          <w:rFonts w:ascii="Times New Roman" w:hAnsi="Times New Roman" w:cs="Times New Roman"/>
          <w:sz w:val="24"/>
          <w:szCs w:val="24"/>
        </w:rPr>
        <w:tab/>
      </w:r>
      <w:r w:rsidR="00E266F2">
        <w:rPr>
          <w:rFonts w:ascii="Times New Roman" w:hAnsi="Times New Roman" w:cs="Times New Roman"/>
          <w:sz w:val="24"/>
          <w:szCs w:val="24"/>
        </w:rPr>
        <w:t xml:space="preserve">The Complaints </w:t>
      </w:r>
      <w:r w:rsidR="008D77CC">
        <w:rPr>
          <w:rFonts w:ascii="Times New Roman" w:hAnsi="Times New Roman" w:cs="Times New Roman"/>
          <w:sz w:val="24"/>
          <w:szCs w:val="24"/>
        </w:rPr>
        <w:t xml:space="preserve">here </w:t>
      </w:r>
      <w:r w:rsidR="00E266F2">
        <w:rPr>
          <w:rFonts w:ascii="Times New Roman" w:hAnsi="Times New Roman" w:cs="Times New Roman"/>
          <w:sz w:val="24"/>
          <w:szCs w:val="24"/>
        </w:rPr>
        <w:t xml:space="preserve">were filed in February of 2019. </w:t>
      </w:r>
      <w:r w:rsidR="00E27F3A" w:rsidRPr="00FC3109">
        <w:rPr>
          <w:rFonts w:ascii="Times New Roman" w:hAnsi="Times New Roman" w:cs="Times New Roman"/>
          <w:sz w:val="24"/>
          <w:szCs w:val="24"/>
        </w:rPr>
        <w:t xml:space="preserve"> </w:t>
      </w:r>
      <w:r w:rsidR="002E400E">
        <w:rPr>
          <w:rFonts w:ascii="Times New Roman" w:hAnsi="Times New Roman" w:cs="Times New Roman"/>
          <w:sz w:val="24"/>
          <w:szCs w:val="24"/>
        </w:rPr>
        <w:t>The Complainants identified Mr. Bathgate as an expert witness as early as August of 2019.</w:t>
      </w:r>
      <w:r w:rsidR="009D2545" w:rsidRPr="00FC3109">
        <w:rPr>
          <w:rFonts w:ascii="Times New Roman" w:hAnsi="Times New Roman" w:cs="Times New Roman"/>
          <w:sz w:val="24"/>
          <w:szCs w:val="24"/>
        </w:rPr>
        <w:t xml:space="preserve"> </w:t>
      </w:r>
      <w:r w:rsidR="00D66101">
        <w:rPr>
          <w:rFonts w:ascii="Times New Roman" w:hAnsi="Times New Roman" w:cs="Times New Roman"/>
          <w:sz w:val="24"/>
          <w:szCs w:val="24"/>
        </w:rPr>
        <w:t xml:space="preserve"> </w:t>
      </w:r>
      <w:r w:rsidR="009D2545" w:rsidRPr="00FC3109">
        <w:rPr>
          <w:rFonts w:ascii="Times New Roman" w:hAnsi="Times New Roman" w:cs="Times New Roman"/>
          <w:sz w:val="24"/>
          <w:szCs w:val="24"/>
        </w:rPr>
        <w:t>Additionally, the previous Administrative Law Judge to which this matter was assigned as well as the undersigned have granted the Complainants several extensions of time prior to the C</w:t>
      </w:r>
      <w:r w:rsidR="00DE44EE" w:rsidRPr="00FC3109">
        <w:rPr>
          <w:rFonts w:ascii="Times New Roman" w:hAnsi="Times New Roman" w:cs="Times New Roman"/>
          <w:sz w:val="24"/>
          <w:szCs w:val="24"/>
        </w:rPr>
        <w:t>O</w:t>
      </w:r>
      <w:r w:rsidR="009D2545" w:rsidRPr="00FC3109">
        <w:rPr>
          <w:rFonts w:ascii="Times New Roman" w:hAnsi="Times New Roman" w:cs="Times New Roman"/>
          <w:sz w:val="24"/>
          <w:szCs w:val="24"/>
        </w:rPr>
        <w:t>VID</w:t>
      </w:r>
      <w:r w:rsidR="00DE44EE" w:rsidRPr="00FC3109">
        <w:rPr>
          <w:rFonts w:ascii="Times New Roman" w:hAnsi="Times New Roman" w:cs="Times New Roman"/>
          <w:sz w:val="24"/>
          <w:szCs w:val="24"/>
        </w:rPr>
        <w:t>-</w:t>
      </w:r>
      <w:r w:rsidR="009D2545" w:rsidRPr="00FC3109">
        <w:rPr>
          <w:rFonts w:ascii="Times New Roman" w:hAnsi="Times New Roman" w:cs="Times New Roman"/>
          <w:sz w:val="24"/>
          <w:szCs w:val="24"/>
        </w:rPr>
        <w:t xml:space="preserve">19 stay home orders. </w:t>
      </w:r>
      <w:r w:rsidR="00E27F3A" w:rsidRPr="00FC3109">
        <w:rPr>
          <w:rFonts w:ascii="Times New Roman" w:hAnsi="Times New Roman" w:cs="Times New Roman"/>
          <w:sz w:val="24"/>
          <w:szCs w:val="24"/>
        </w:rPr>
        <w:t xml:space="preserve"> Stay at home orders have been relaxed since May of 2020. </w:t>
      </w:r>
      <w:r w:rsidR="00D66101">
        <w:rPr>
          <w:rFonts w:ascii="Times New Roman" w:hAnsi="Times New Roman" w:cs="Times New Roman"/>
          <w:sz w:val="24"/>
          <w:szCs w:val="24"/>
        </w:rPr>
        <w:t xml:space="preserve"> </w:t>
      </w:r>
      <w:r w:rsidR="00DE44EE" w:rsidRPr="00FC3109">
        <w:rPr>
          <w:rFonts w:ascii="Times New Roman" w:hAnsi="Times New Roman" w:cs="Times New Roman"/>
          <w:sz w:val="24"/>
          <w:szCs w:val="24"/>
        </w:rPr>
        <w:t>The</w:t>
      </w:r>
      <w:r w:rsidR="00523944" w:rsidRPr="00FC3109">
        <w:rPr>
          <w:rFonts w:ascii="Times New Roman" w:hAnsi="Times New Roman" w:cs="Times New Roman"/>
          <w:sz w:val="24"/>
          <w:szCs w:val="24"/>
        </w:rPr>
        <w:t xml:space="preserve"> extended deadlines</w:t>
      </w:r>
      <w:r w:rsidR="00DE44EE" w:rsidRPr="00FC3109">
        <w:rPr>
          <w:rFonts w:ascii="Times New Roman" w:hAnsi="Times New Roman" w:cs="Times New Roman"/>
          <w:sz w:val="24"/>
          <w:szCs w:val="24"/>
        </w:rPr>
        <w:t xml:space="preserve"> in the April</w:t>
      </w:r>
      <w:r w:rsidR="00D66101">
        <w:rPr>
          <w:rFonts w:ascii="Times New Roman" w:hAnsi="Times New Roman" w:cs="Times New Roman"/>
          <w:sz w:val="24"/>
          <w:szCs w:val="24"/>
        </w:rPr>
        <w:t> </w:t>
      </w:r>
      <w:r w:rsidR="00DE44EE" w:rsidRPr="00FC3109">
        <w:rPr>
          <w:rFonts w:ascii="Times New Roman" w:hAnsi="Times New Roman" w:cs="Times New Roman"/>
          <w:sz w:val="24"/>
          <w:szCs w:val="24"/>
        </w:rPr>
        <w:t>14, 2020</w:t>
      </w:r>
      <w:r w:rsidR="008D77CC">
        <w:rPr>
          <w:rFonts w:ascii="Times New Roman" w:hAnsi="Times New Roman" w:cs="Times New Roman"/>
          <w:sz w:val="24"/>
          <w:szCs w:val="24"/>
        </w:rPr>
        <w:t xml:space="preserve"> Order</w:t>
      </w:r>
      <w:r w:rsidR="00E27F3A" w:rsidRPr="00FC3109">
        <w:rPr>
          <w:rFonts w:ascii="Times New Roman" w:hAnsi="Times New Roman" w:cs="Times New Roman"/>
          <w:sz w:val="24"/>
          <w:szCs w:val="24"/>
        </w:rPr>
        <w:t xml:space="preserve">, at least the third such extension, </w:t>
      </w:r>
      <w:r w:rsidR="006A18C4">
        <w:rPr>
          <w:rFonts w:ascii="Times New Roman" w:hAnsi="Times New Roman" w:cs="Times New Roman"/>
          <w:sz w:val="24"/>
          <w:szCs w:val="24"/>
        </w:rPr>
        <w:t>gives</w:t>
      </w:r>
      <w:r w:rsidR="00523944" w:rsidRPr="00FC3109">
        <w:rPr>
          <w:rFonts w:ascii="Times New Roman" w:hAnsi="Times New Roman" w:cs="Times New Roman"/>
          <w:sz w:val="24"/>
          <w:szCs w:val="24"/>
        </w:rPr>
        <w:t xml:space="preserve"> the Complainant</w:t>
      </w:r>
      <w:r w:rsidR="00E27F3A" w:rsidRPr="00FC3109">
        <w:rPr>
          <w:rFonts w:ascii="Times New Roman" w:hAnsi="Times New Roman" w:cs="Times New Roman"/>
          <w:sz w:val="24"/>
          <w:szCs w:val="24"/>
        </w:rPr>
        <w:t>s until July</w:t>
      </w:r>
      <w:r w:rsidR="00523944" w:rsidRPr="00FC3109">
        <w:rPr>
          <w:rFonts w:ascii="Times New Roman" w:hAnsi="Times New Roman" w:cs="Times New Roman"/>
          <w:sz w:val="24"/>
          <w:szCs w:val="24"/>
        </w:rPr>
        <w:t xml:space="preserve"> </w:t>
      </w:r>
      <w:r w:rsidR="00E27F3A" w:rsidRPr="00FC3109">
        <w:rPr>
          <w:rFonts w:ascii="Times New Roman" w:hAnsi="Times New Roman" w:cs="Times New Roman"/>
          <w:sz w:val="24"/>
          <w:szCs w:val="24"/>
        </w:rPr>
        <w:t xml:space="preserve">9, 2020 to provide written testimony and exhibits from Mr. Bathgate. </w:t>
      </w:r>
      <w:r w:rsidR="00BE52C9">
        <w:rPr>
          <w:rFonts w:ascii="Times New Roman" w:hAnsi="Times New Roman" w:cs="Times New Roman"/>
          <w:sz w:val="24"/>
          <w:szCs w:val="24"/>
        </w:rPr>
        <w:t xml:space="preserve"> </w:t>
      </w:r>
      <w:r w:rsidR="002E400E" w:rsidRPr="00FC3109">
        <w:rPr>
          <w:rFonts w:ascii="Times New Roman" w:hAnsi="Times New Roman" w:cs="Times New Roman"/>
          <w:sz w:val="24"/>
          <w:szCs w:val="24"/>
        </w:rPr>
        <w:t xml:space="preserve">The Complainants have </w:t>
      </w:r>
      <w:r w:rsidR="00021307">
        <w:rPr>
          <w:rFonts w:ascii="Times New Roman" w:hAnsi="Times New Roman" w:cs="Times New Roman"/>
          <w:sz w:val="24"/>
          <w:szCs w:val="24"/>
        </w:rPr>
        <w:t>been provided</w:t>
      </w:r>
      <w:r w:rsidR="002E400E" w:rsidRPr="00FC3109">
        <w:rPr>
          <w:rFonts w:ascii="Times New Roman" w:hAnsi="Times New Roman" w:cs="Times New Roman"/>
          <w:sz w:val="24"/>
          <w:szCs w:val="24"/>
        </w:rPr>
        <w:t xml:space="preserve"> more than ample time to determine witnesses and prepare testimony.</w:t>
      </w:r>
    </w:p>
    <w:p w14:paraId="2886A66B" w14:textId="50AB265F" w:rsidR="00C4704E" w:rsidRDefault="00C4704E" w:rsidP="00BE52C9">
      <w:pPr>
        <w:spacing w:after="0" w:line="360" w:lineRule="auto"/>
        <w:rPr>
          <w:rFonts w:ascii="Times New Roman" w:hAnsi="Times New Roman" w:cs="Times New Roman"/>
          <w:sz w:val="24"/>
          <w:szCs w:val="24"/>
        </w:rPr>
      </w:pPr>
    </w:p>
    <w:p w14:paraId="50EBD9A3" w14:textId="438E6452" w:rsidR="00C4704E" w:rsidRDefault="00C4704E" w:rsidP="00053F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 for the Motion to Compel the Complainants contend is pending, a review of the record does not reveal such a motion. On May 1, 2020, May 13, 2020 and June 1, 2020, email was sent to the Complainants requesting that they submit a copy of the motion or a list of the discovery requests to which they seek responses. </w:t>
      </w:r>
      <w:r w:rsidR="001F524E">
        <w:rPr>
          <w:rFonts w:ascii="Times New Roman" w:hAnsi="Times New Roman" w:cs="Times New Roman"/>
          <w:sz w:val="24"/>
          <w:szCs w:val="24"/>
        </w:rPr>
        <w:t xml:space="preserve"> </w:t>
      </w:r>
      <w:r>
        <w:rPr>
          <w:rFonts w:ascii="Times New Roman" w:hAnsi="Times New Roman" w:cs="Times New Roman"/>
          <w:sz w:val="24"/>
          <w:szCs w:val="24"/>
        </w:rPr>
        <w:t xml:space="preserve">The Complainants have not provided either.  </w:t>
      </w:r>
    </w:p>
    <w:p w14:paraId="01D8F8BE" w14:textId="7BCB4180" w:rsidR="008D77CC" w:rsidRDefault="008D77CC" w:rsidP="00053FF3">
      <w:pPr>
        <w:spacing w:after="0" w:line="360" w:lineRule="auto"/>
        <w:rPr>
          <w:rFonts w:ascii="Times New Roman" w:hAnsi="Times New Roman" w:cs="Times New Roman"/>
          <w:sz w:val="24"/>
          <w:szCs w:val="24"/>
        </w:rPr>
      </w:pPr>
    </w:p>
    <w:p w14:paraId="2405B113" w14:textId="78E1481F" w:rsidR="00081CE8" w:rsidRPr="00C4704E" w:rsidRDefault="00C4704E" w:rsidP="00053FF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C4704E">
        <w:rPr>
          <w:rFonts w:ascii="Times New Roman" w:hAnsi="Times New Roman" w:cs="Times New Roman"/>
          <w:sz w:val="24"/>
          <w:szCs w:val="24"/>
        </w:rPr>
        <w:t xml:space="preserve">With </w:t>
      </w:r>
      <w:r w:rsidR="008D77CC" w:rsidRPr="00C4704E">
        <w:rPr>
          <w:rFonts w:ascii="Times New Roman" w:hAnsi="Times New Roman" w:cs="Times New Roman"/>
          <w:sz w:val="24"/>
          <w:szCs w:val="24"/>
        </w:rPr>
        <w:t xml:space="preserve">respect to the pending matters on appeal, </w:t>
      </w:r>
      <w:r w:rsidR="00E266F2" w:rsidRPr="00C4704E">
        <w:rPr>
          <w:rFonts w:ascii="Times New Roman" w:hAnsi="Times New Roman" w:cs="Times New Roman"/>
          <w:bCs/>
          <w:sz w:val="24"/>
          <w:szCs w:val="24"/>
        </w:rPr>
        <w:t>a</w:t>
      </w:r>
      <w:r w:rsidR="00081CE8" w:rsidRPr="00C4704E">
        <w:rPr>
          <w:rFonts w:ascii="Times New Roman" w:hAnsi="Times New Roman" w:cs="Times New Roman"/>
          <w:bCs/>
          <w:sz w:val="24"/>
          <w:szCs w:val="24"/>
        </w:rPr>
        <w:t>s the Commission has noted, action should not be taken based on speculation.</w:t>
      </w:r>
      <w:r w:rsidR="00081CE8" w:rsidRPr="00C4704E">
        <w:rPr>
          <w:rFonts w:ascii="Times New Roman" w:hAnsi="Times New Roman" w:cs="Times New Roman"/>
          <w:i/>
          <w:iCs/>
          <w:sz w:val="24"/>
          <w:szCs w:val="24"/>
        </w:rPr>
        <w:t xml:space="preserve">  Pa. PUC v. Duquesne Light Company</w:t>
      </w:r>
      <w:r w:rsidR="00081CE8" w:rsidRPr="00C4704E">
        <w:rPr>
          <w:rFonts w:ascii="Times New Roman" w:hAnsi="Times New Roman" w:cs="Times New Roman"/>
          <w:sz w:val="24"/>
          <w:szCs w:val="24"/>
        </w:rPr>
        <w:t xml:space="preserve">, 1987 </w:t>
      </w:r>
      <w:r w:rsidR="00081CE8" w:rsidRPr="00C4704E">
        <w:rPr>
          <w:rFonts w:ascii="Times New Roman" w:hAnsi="Times New Roman" w:cs="Times New Roman"/>
          <w:sz w:val="24"/>
          <w:szCs w:val="24"/>
        </w:rPr>
        <w:lastRenderedPageBreak/>
        <w:t xml:space="preserve">Pa. PUC Lexis 342; </w:t>
      </w:r>
      <w:r w:rsidR="00081CE8" w:rsidRPr="00C4704E">
        <w:rPr>
          <w:rFonts w:ascii="Times New Roman" w:hAnsi="Times New Roman" w:cs="Times New Roman"/>
          <w:i/>
          <w:iCs/>
          <w:sz w:val="24"/>
          <w:szCs w:val="24"/>
        </w:rPr>
        <w:t>Commonwealth v. Thomas</w:t>
      </w:r>
      <w:r w:rsidR="00081CE8" w:rsidRPr="00C4704E">
        <w:rPr>
          <w:rFonts w:ascii="Times New Roman" w:hAnsi="Times New Roman" w:cs="Times New Roman"/>
          <w:sz w:val="24"/>
          <w:szCs w:val="24"/>
        </w:rPr>
        <w:t xml:space="preserve">, 51 A.3d 255 (Pa. Super. Ct. 2012)).  That there are appeals pending </w:t>
      </w:r>
      <w:r w:rsidR="00E266F2" w:rsidRPr="00C4704E">
        <w:rPr>
          <w:rFonts w:ascii="Times New Roman" w:hAnsi="Times New Roman" w:cs="Times New Roman"/>
          <w:sz w:val="24"/>
          <w:szCs w:val="24"/>
        </w:rPr>
        <w:t xml:space="preserve">in cases </w:t>
      </w:r>
      <w:r w:rsidR="00081CE8" w:rsidRPr="00C4704E">
        <w:rPr>
          <w:rFonts w:ascii="Times New Roman" w:hAnsi="Times New Roman" w:cs="Times New Roman"/>
          <w:sz w:val="24"/>
          <w:szCs w:val="24"/>
        </w:rPr>
        <w:t xml:space="preserve">that involve smart meters is not a basis upon which to stay </w:t>
      </w:r>
      <w:r w:rsidR="008D77CC" w:rsidRPr="00C4704E">
        <w:rPr>
          <w:rFonts w:ascii="Times New Roman" w:hAnsi="Times New Roman" w:cs="Times New Roman"/>
          <w:sz w:val="24"/>
          <w:szCs w:val="24"/>
        </w:rPr>
        <w:t>the instant proceedings.</w:t>
      </w:r>
    </w:p>
    <w:p w14:paraId="754CEF7F" w14:textId="77777777" w:rsidR="00EB3E06" w:rsidRPr="00FC3109" w:rsidRDefault="00EB3E06" w:rsidP="00306486">
      <w:pPr>
        <w:pStyle w:val="NoSpacing"/>
        <w:spacing w:line="360" w:lineRule="auto"/>
        <w:ind w:firstLine="1440"/>
      </w:pPr>
    </w:p>
    <w:p w14:paraId="0966E5BF" w14:textId="59EBAC02" w:rsidR="00081CE8" w:rsidRPr="00FC3109" w:rsidRDefault="00081CE8" w:rsidP="00081CE8">
      <w:pPr>
        <w:pStyle w:val="NoSpacing"/>
        <w:spacing w:line="360" w:lineRule="auto"/>
        <w:ind w:firstLine="1440"/>
      </w:pPr>
      <w:r w:rsidRPr="00E266F2">
        <w:rPr>
          <w:rStyle w:val="Hyperlink"/>
          <w:bCs/>
          <w:color w:val="auto"/>
        </w:rPr>
        <w:t>The Commission should not delay or halt matters pending uncertain outcomes or actions or in anticipation of a change in the law, particularly given uncertain time schedules and resolution.  As noted in the January 9, 2020 Order denying the Motion for Stay previously filed by the Complainants, t</w:t>
      </w:r>
      <w:r w:rsidRPr="00E266F2">
        <w:t xml:space="preserve">here is no inclination or reason here to wait until petitions </w:t>
      </w:r>
      <w:r w:rsidRPr="00FC3109">
        <w:t xml:space="preserve">for reconsideration or any appeals are settled in other smart meter matters.  See </w:t>
      </w:r>
      <w:r w:rsidRPr="00FC3109">
        <w:rPr>
          <w:i/>
          <w:iCs/>
        </w:rPr>
        <w:t>Assumption of Commission Jurisdiction Over Pole Attachments from the Federal Communications Commission</w:t>
      </w:r>
      <w:r w:rsidRPr="00FC3109">
        <w:t xml:space="preserve">, Docket Number L-2018-3002672 (Order entered September 3, 2019).  </w:t>
      </w:r>
      <w:r w:rsidR="00E266F2">
        <w:t xml:space="preserve">The request for a stay will be denied. </w:t>
      </w:r>
      <w:r w:rsidR="00292BE6">
        <w:t xml:space="preserve"> </w:t>
      </w:r>
    </w:p>
    <w:p w14:paraId="374E9C3C" w14:textId="5DCC8236" w:rsidR="00081CE8" w:rsidRPr="00FC3109" w:rsidRDefault="00081CE8" w:rsidP="00306486">
      <w:pPr>
        <w:spacing w:after="0" w:line="360" w:lineRule="auto"/>
        <w:rPr>
          <w:rFonts w:ascii="Times New Roman" w:hAnsi="Times New Roman" w:cs="Times New Roman"/>
          <w:sz w:val="24"/>
          <w:szCs w:val="24"/>
        </w:rPr>
      </w:pPr>
    </w:p>
    <w:p w14:paraId="64932C5D" w14:textId="65FEB7C5" w:rsidR="00111D37" w:rsidRDefault="00081CE8" w:rsidP="00053FF3">
      <w:pPr>
        <w:spacing w:after="0" w:line="360" w:lineRule="auto"/>
        <w:ind w:firstLine="1440"/>
        <w:rPr>
          <w:rFonts w:ascii="Times New Roman" w:hAnsi="Times New Roman" w:cs="Times New Roman"/>
          <w:sz w:val="24"/>
          <w:szCs w:val="24"/>
        </w:rPr>
      </w:pPr>
      <w:r w:rsidRPr="00FC3109">
        <w:rPr>
          <w:rFonts w:ascii="Times New Roman" w:hAnsi="Times New Roman" w:cs="Times New Roman"/>
          <w:sz w:val="24"/>
          <w:szCs w:val="24"/>
        </w:rPr>
        <w:t xml:space="preserve">The Complainants have also filed a Motion for Recusal of the undersigned. </w:t>
      </w:r>
      <w:r w:rsidR="00DA78F2">
        <w:rPr>
          <w:rFonts w:ascii="Times New Roman" w:hAnsi="Times New Roman" w:cs="Times New Roman"/>
          <w:sz w:val="24"/>
          <w:szCs w:val="24"/>
        </w:rPr>
        <w:t xml:space="preserve"> In the Motion</w:t>
      </w:r>
      <w:r w:rsidR="008D77CC">
        <w:rPr>
          <w:rFonts w:ascii="Times New Roman" w:hAnsi="Times New Roman" w:cs="Times New Roman"/>
          <w:sz w:val="24"/>
          <w:szCs w:val="24"/>
        </w:rPr>
        <w:t>,</w:t>
      </w:r>
      <w:r w:rsidR="00DA78F2">
        <w:rPr>
          <w:rFonts w:ascii="Times New Roman" w:hAnsi="Times New Roman" w:cs="Times New Roman"/>
          <w:sz w:val="24"/>
          <w:szCs w:val="24"/>
        </w:rPr>
        <w:t xml:space="preserve"> the Complainants aver as</w:t>
      </w:r>
      <w:r w:rsidR="008D77CC">
        <w:rPr>
          <w:rFonts w:ascii="Times New Roman" w:hAnsi="Times New Roman" w:cs="Times New Roman"/>
          <w:sz w:val="24"/>
          <w:szCs w:val="24"/>
        </w:rPr>
        <w:t xml:space="preserve"> </w:t>
      </w:r>
      <w:r w:rsidR="00615610">
        <w:rPr>
          <w:rFonts w:ascii="Times New Roman" w:hAnsi="Times New Roman" w:cs="Times New Roman"/>
          <w:sz w:val="24"/>
          <w:szCs w:val="24"/>
        </w:rPr>
        <w:t xml:space="preserve">Complainants’ </w:t>
      </w:r>
      <w:r w:rsidR="008D77CC">
        <w:rPr>
          <w:rFonts w:ascii="Times New Roman" w:hAnsi="Times New Roman" w:cs="Times New Roman"/>
          <w:sz w:val="24"/>
          <w:szCs w:val="24"/>
        </w:rPr>
        <w:t>reasons</w:t>
      </w:r>
      <w:r w:rsidR="00DA78F2">
        <w:rPr>
          <w:rFonts w:ascii="Times New Roman" w:hAnsi="Times New Roman" w:cs="Times New Roman"/>
          <w:sz w:val="24"/>
          <w:szCs w:val="24"/>
        </w:rPr>
        <w:t xml:space="preserve"> for recusal that</w:t>
      </w:r>
      <w:r w:rsidR="002E400E">
        <w:rPr>
          <w:rFonts w:ascii="Times New Roman" w:hAnsi="Times New Roman" w:cs="Times New Roman"/>
          <w:sz w:val="24"/>
          <w:szCs w:val="24"/>
        </w:rPr>
        <w:t>:</w:t>
      </w:r>
      <w:r w:rsidR="00DA78F2">
        <w:rPr>
          <w:rFonts w:ascii="Times New Roman" w:hAnsi="Times New Roman" w:cs="Times New Roman"/>
          <w:sz w:val="24"/>
          <w:szCs w:val="24"/>
        </w:rPr>
        <w:t xml:space="preserve"> 1) the undersigned granted the Respondent’s Objections in three days and did not allow the Complainants time to </w:t>
      </w:r>
      <w:r w:rsidR="00111D37">
        <w:rPr>
          <w:rFonts w:ascii="Times New Roman" w:hAnsi="Times New Roman" w:cs="Times New Roman"/>
          <w:sz w:val="24"/>
          <w:szCs w:val="24"/>
        </w:rPr>
        <w:t>respond i</w:t>
      </w:r>
      <w:r w:rsidR="00DA78F2">
        <w:rPr>
          <w:rFonts w:ascii="Times New Roman" w:hAnsi="Times New Roman" w:cs="Times New Roman"/>
          <w:sz w:val="24"/>
          <w:szCs w:val="24"/>
        </w:rPr>
        <w:t>n December of 2019, 2)</w:t>
      </w:r>
      <w:r w:rsidR="00111D37">
        <w:rPr>
          <w:rFonts w:ascii="Times New Roman" w:hAnsi="Times New Roman" w:cs="Times New Roman"/>
          <w:sz w:val="24"/>
          <w:szCs w:val="24"/>
        </w:rPr>
        <w:t xml:space="preserve"> the undersigned granted the Respondent’s Motion to Compel Answers to Interrogatories despite the fact that they were already answered, 3) the undersigned never ruled on the Complainant’s Motion to Compel, 4) the undersigned ordered the Respondents to reply by June 5, 2020 without addressing the Complainant’s Motion to Compel, 5) the Complainants reminded the undersigned in their latest correspondence that there was not a ruling in the Complainant’s Motion to Compel, 6) there is “ex parte corruption</w:t>
      </w:r>
      <w:r w:rsidR="002E400E">
        <w:rPr>
          <w:rFonts w:ascii="Times New Roman" w:hAnsi="Times New Roman" w:cs="Times New Roman"/>
          <w:sz w:val="24"/>
          <w:szCs w:val="24"/>
        </w:rPr>
        <w:t>,</w:t>
      </w:r>
      <w:r w:rsidR="00111D37">
        <w:rPr>
          <w:rFonts w:ascii="Times New Roman" w:hAnsi="Times New Roman" w:cs="Times New Roman"/>
          <w:sz w:val="24"/>
          <w:szCs w:val="24"/>
        </w:rPr>
        <w:t xml:space="preserve"> “</w:t>
      </w:r>
      <w:r w:rsidR="002E400E">
        <w:rPr>
          <w:rFonts w:ascii="Times New Roman" w:hAnsi="Times New Roman" w:cs="Times New Roman"/>
          <w:sz w:val="24"/>
          <w:szCs w:val="24"/>
        </w:rPr>
        <w:t xml:space="preserve"> and </w:t>
      </w:r>
      <w:r w:rsidR="00111D37">
        <w:rPr>
          <w:rFonts w:ascii="Times New Roman" w:hAnsi="Times New Roman" w:cs="Times New Roman"/>
          <w:sz w:val="24"/>
          <w:szCs w:val="24"/>
        </w:rPr>
        <w:t xml:space="preserve"> 7) there is a “bedfellow relationship “ with the Respondent. </w:t>
      </w:r>
      <w:r w:rsidR="002324F4">
        <w:rPr>
          <w:rFonts w:ascii="Times New Roman" w:hAnsi="Times New Roman" w:cs="Times New Roman"/>
          <w:sz w:val="24"/>
          <w:szCs w:val="24"/>
        </w:rPr>
        <w:t xml:space="preserve">The Complainants also again raise the issue of the availability of Mr. Bathgate, </w:t>
      </w:r>
    </w:p>
    <w:p w14:paraId="09AEAF50" w14:textId="77777777" w:rsidR="00E56B81" w:rsidRDefault="00E56B81" w:rsidP="00053FF3">
      <w:pPr>
        <w:spacing w:after="0" w:line="360" w:lineRule="auto"/>
        <w:ind w:firstLine="1440"/>
        <w:rPr>
          <w:rFonts w:ascii="Times New Roman" w:hAnsi="Times New Roman" w:cs="Times New Roman"/>
          <w:sz w:val="24"/>
          <w:szCs w:val="24"/>
        </w:rPr>
      </w:pPr>
    </w:p>
    <w:p w14:paraId="641AF566" w14:textId="398B0EF8" w:rsidR="00111D37" w:rsidRDefault="00111D37" w:rsidP="00053FF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Respondent answers that the Complainants have not provided a sworn affidavit and therefore is on its face deficient, that the averments of the Complaints are in large part </w:t>
      </w:r>
      <w:r w:rsidRPr="008E29FB">
        <w:rPr>
          <w:rFonts w:ascii="Times New Roman" w:hAnsi="Times New Roman" w:cs="Times New Roman"/>
          <w:i/>
          <w:iCs/>
          <w:sz w:val="24"/>
          <w:szCs w:val="24"/>
        </w:rPr>
        <w:t>ad hominem</w:t>
      </w:r>
      <w:r>
        <w:rPr>
          <w:rFonts w:ascii="Times New Roman" w:hAnsi="Times New Roman" w:cs="Times New Roman"/>
          <w:sz w:val="24"/>
          <w:szCs w:val="24"/>
        </w:rPr>
        <w:t xml:space="preserve"> attacks, that the Complainants have misrepresented the facts, that there is no Motion to Compel in the docket of this matter</w:t>
      </w:r>
      <w:r w:rsidR="002324F4">
        <w:rPr>
          <w:rFonts w:ascii="Times New Roman" w:hAnsi="Times New Roman" w:cs="Times New Roman"/>
          <w:sz w:val="24"/>
          <w:szCs w:val="24"/>
        </w:rPr>
        <w:t xml:space="preserve">, that </w:t>
      </w:r>
      <w:r w:rsidR="002324F4" w:rsidRPr="002324F4">
        <w:rPr>
          <w:rFonts w:ascii="Times New Roman" w:hAnsi="Times New Roman" w:cs="Times New Roman"/>
          <w:sz w:val="24"/>
          <w:szCs w:val="24"/>
        </w:rPr>
        <w:t>the Complainants do not identify what Order issued is being disputed and do not explain how such Order evidences personal bias or other disqualificatio</w:t>
      </w:r>
      <w:r w:rsidR="002324F4">
        <w:rPr>
          <w:rFonts w:ascii="Times New Roman" w:hAnsi="Times New Roman" w:cs="Times New Roman"/>
          <w:sz w:val="24"/>
          <w:szCs w:val="24"/>
        </w:rPr>
        <w:t>n</w:t>
      </w:r>
      <w:r w:rsidR="008E29FB">
        <w:rPr>
          <w:rFonts w:ascii="Times New Roman" w:hAnsi="Times New Roman" w:cs="Times New Roman"/>
          <w:sz w:val="24"/>
          <w:szCs w:val="24"/>
        </w:rPr>
        <w:t>,</w:t>
      </w:r>
      <w:r w:rsidR="002324F4">
        <w:rPr>
          <w:rFonts w:ascii="Times New Roman" w:hAnsi="Times New Roman" w:cs="Times New Roman"/>
          <w:sz w:val="24"/>
          <w:szCs w:val="24"/>
        </w:rPr>
        <w:t xml:space="preserve"> and that a</w:t>
      </w:r>
      <w:r w:rsidR="002324F4" w:rsidRPr="002324F4">
        <w:rPr>
          <w:rFonts w:ascii="Times New Roman" w:hAnsi="Times New Roman" w:cs="Times New Roman"/>
          <w:sz w:val="24"/>
          <w:szCs w:val="24"/>
        </w:rPr>
        <w:t xml:space="preserve">t the time </w:t>
      </w:r>
      <w:r w:rsidR="002324F4">
        <w:rPr>
          <w:rFonts w:ascii="Times New Roman" w:hAnsi="Times New Roman" w:cs="Times New Roman"/>
          <w:sz w:val="24"/>
          <w:szCs w:val="24"/>
        </w:rPr>
        <w:t xml:space="preserve">the Respondent’s Motion to Compel </w:t>
      </w:r>
      <w:r w:rsidR="002324F4" w:rsidRPr="002324F4">
        <w:rPr>
          <w:rFonts w:ascii="Times New Roman" w:hAnsi="Times New Roman" w:cs="Times New Roman"/>
          <w:sz w:val="24"/>
          <w:szCs w:val="24"/>
        </w:rPr>
        <w:t xml:space="preserve">was filed, the </w:t>
      </w:r>
      <w:r w:rsidR="002324F4" w:rsidRPr="002324F4">
        <w:rPr>
          <w:rFonts w:ascii="Times New Roman" w:hAnsi="Times New Roman" w:cs="Times New Roman"/>
          <w:sz w:val="24"/>
          <w:szCs w:val="24"/>
        </w:rPr>
        <w:lastRenderedPageBreak/>
        <w:t xml:space="preserve">Complainants had neither objected nor responded to any of the Company’s Set III Discovery Requests.  </w:t>
      </w:r>
    </w:p>
    <w:p w14:paraId="6576A67A" w14:textId="77777777" w:rsidR="00111D37" w:rsidRDefault="00111D37" w:rsidP="00053FF3">
      <w:pPr>
        <w:spacing w:after="0" w:line="360" w:lineRule="auto"/>
        <w:ind w:firstLine="1440"/>
        <w:rPr>
          <w:rFonts w:ascii="Times New Roman" w:hAnsi="Times New Roman" w:cs="Times New Roman"/>
          <w:sz w:val="24"/>
          <w:szCs w:val="24"/>
        </w:rPr>
      </w:pPr>
    </w:p>
    <w:p w14:paraId="6ADEE750" w14:textId="1EE0B4E5" w:rsidR="00081CE8" w:rsidRPr="00FC3109" w:rsidRDefault="00111D37" w:rsidP="00E56B8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w:t>
      </w:r>
      <w:r w:rsidR="00081CE8" w:rsidRPr="00FC3109">
        <w:rPr>
          <w:rFonts w:ascii="Times New Roman" w:hAnsi="Times New Roman" w:cs="Times New Roman"/>
          <w:sz w:val="24"/>
          <w:szCs w:val="24"/>
        </w:rPr>
        <w:t>he Complainant</w:t>
      </w:r>
      <w:r w:rsidR="006A18C4">
        <w:rPr>
          <w:rFonts w:ascii="Times New Roman" w:hAnsi="Times New Roman" w:cs="Times New Roman"/>
          <w:sz w:val="24"/>
          <w:szCs w:val="24"/>
        </w:rPr>
        <w:t>s’</w:t>
      </w:r>
      <w:r w:rsidR="00081CE8" w:rsidRPr="00FC3109">
        <w:rPr>
          <w:rFonts w:ascii="Times New Roman" w:hAnsi="Times New Roman" w:cs="Times New Roman"/>
          <w:sz w:val="24"/>
          <w:szCs w:val="24"/>
        </w:rPr>
        <w:t xml:space="preserve"> Motion </w:t>
      </w:r>
      <w:r w:rsidR="008E29FB">
        <w:rPr>
          <w:rFonts w:ascii="Times New Roman" w:hAnsi="Times New Roman" w:cs="Times New Roman"/>
          <w:sz w:val="24"/>
          <w:szCs w:val="24"/>
        </w:rPr>
        <w:t xml:space="preserve">for Recusal </w:t>
      </w:r>
      <w:r w:rsidR="00081CE8" w:rsidRPr="00FC3109">
        <w:rPr>
          <w:rFonts w:ascii="Times New Roman" w:hAnsi="Times New Roman" w:cs="Times New Roman"/>
          <w:sz w:val="24"/>
          <w:szCs w:val="24"/>
        </w:rPr>
        <w:t xml:space="preserve">will be treated as a Motion for Disqualification of Presiding Officer.  Commission Rules of Practice and Procedure permit parties to file a motion for disqualification of a presiding officer, pursuant to 52 Pa. Code </w:t>
      </w:r>
      <w:r w:rsidR="00081CE8" w:rsidRPr="00FC3109">
        <w:rPr>
          <w:rFonts w:ascii="Times New Roman" w:hAnsi="Times New Roman" w:cs="Times New Roman"/>
          <w:bCs/>
          <w:sz w:val="24"/>
          <w:szCs w:val="24"/>
        </w:rPr>
        <w:t xml:space="preserve">§ 5.482, which states </w:t>
      </w:r>
      <w:r w:rsidR="0068108D">
        <w:rPr>
          <w:rFonts w:ascii="Times New Roman" w:hAnsi="Times New Roman" w:cs="Times New Roman"/>
          <w:bCs/>
          <w:sz w:val="24"/>
          <w:szCs w:val="24"/>
        </w:rPr>
        <w:t xml:space="preserve">in part </w:t>
      </w:r>
      <w:r w:rsidR="00081CE8" w:rsidRPr="00FC3109">
        <w:rPr>
          <w:rFonts w:ascii="Times New Roman" w:hAnsi="Times New Roman" w:cs="Times New Roman"/>
          <w:bCs/>
          <w:sz w:val="24"/>
          <w:szCs w:val="24"/>
        </w:rPr>
        <w:t>as follows</w:t>
      </w:r>
      <w:r w:rsidR="00081CE8" w:rsidRPr="00FC3109">
        <w:rPr>
          <w:rFonts w:ascii="Times New Roman" w:hAnsi="Times New Roman" w:cs="Times New Roman"/>
          <w:sz w:val="24"/>
          <w:szCs w:val="24"/>
        </w:rPr>
        <w:t>:</w:t>
      </w:r>
    </w:p>
    <w:p w14:paraId="045CEAE4" w14:textId="77777777" w:rsidR="00081CE8" w:rsidRPr="00FC3109" w:rsidRDefault="00081CE8" w:rsidP="00053FF3">
      <w:pPr>
        <w:spacing w:after="0"/>
        <w:rPr>
          <w:rFonts w:ascii="Times New Roman" w:hAnsi="Times New Roman" w:cs="Times New Roman"/>
          <w:sz w:val="24"/>
          <w:szCs w:val="24"/>
        </w:rPr>
      </w:pPr>
    </w:p>
    <w:p w14:paraId="7BABE5FF" w14:textId="77777777" w:rsidR="00081CE8" w:rsidRPr="00FC3109" w:rsidRDefault="00081CE8" w:rsidP="00E56B81">
      <w:pPr>
        <w:spacing w:after="0"/>
        <w:ind w:left="1440" w:right="1440"/>
        <w:rPr>
          <w:rFonts w:ascii="Times New Roman" w:hAnsi="Times New Roman" w:cs="Times New Roman"/>
          <w:b/>
          <w:bCs/>
          <w:sz w:val="24"/>
          <w:szCs w:val="24"/>
        </w:rPr>
      </w:pPr>
      <w:r w:rsidRPr="00FC3109">
        <w:rPr>
          <w:rFonts w:ascii="Times New Roman" w:hAnsi="Times New Roman" w:cs="Times New Roman"/>
          <w:b/>
          <w:bCs/>
          <w:sz w:val="24"/>
          <w:szCs w:val="24"/>
        </w:rPr>
        <w:t>§ 5.482. Disqualification of a presiding officer.</w:t>
      </w:r>
    </w:p>
    <w:p w14:paraId="0CA3582F" w14:textId="77777777" w:rsidR="00081CE8" w:rsidRPr="00E56B81" w:rsidRDefault="00081CE8" w:rsidP="00E56B81">
      <w:pPr>
        <w:spacing w:after="0" w:line="240" w:lineRule="auto"/>
        <w:ind w:left="1440" w:right="1440"/>
        <w:rPr>
          <w:rFonts w:ascii="Times New Roman" w:hAnsi="Times New Roman" w:cs="Times New Roman"/>
          <w:sz w:val="24"/>
          <w:szCs w:val="24"/>
        </w:rPr>
      </w:pPr>
    </w:p>
    <w:p w14:paraId="717AAFF4" w14:textId="0D8849D6" w:rsidR="00081CE8" w:rsidRPr="00FC3109" w:rsidRDefault="00081CE8" w:rsidP="00E56B81">
      <w:pPr>
        <w:spacing w:line="240" w:lineRule="auto"/>
        <w:ind w:left="1440" w:right="1440"/>
        <w:rPr>
          <w:rFonts w:ascii="Times New Roman" w:hAnsi="Times New Roman" w:cs="Times New Roman"/>
          <w:sz w:val="24"/>
          <w:szCs w:val="24"/>
        </w:rPr>
      </w:pPr>
      <w:r w:rsidRPr="00FC3109">
        <w:rPr>
          <w:rFonts w:ascii="Times New Roman" w:hAnsi="Times New Roman" w:cs="Times New Roman"/>
          <w:sz w:val="24"/>
          <w:szCs w:val="24"/>
        </w:rPr>
        <w:t xml:space="preserve"> (a)  A party may file a motion for disqualification of a presiding officer which shall be accompanied by affidavits alleging personal bias or other disqualification. </w:t>
      </w:r>
    </w:p>
    <w:p w14:paraId="0ABD1C47" w14:textId="77777777" w:rsidR="00081CE8" w:rsidRPr="00FC3109" w:rsidRDefault="00081CE8" w:rsidP="00E56B81">
      <w:pPr>
        <w:spacing w:after="0" w:line="240" w:lineRule="auto"/>
        <w:ind w:left="1440" w:right="1440"/>
        <w:rPr>
          <w:rFonts w:ascii="Times New Roman" w:hAnsi="Times New Roman" w:cs="Times New Roman"/>
          <w:sz w:val="24"/>
          <w:szCs w:val="24"/>
        </w:rPr>
      </w:pPr>
    </w:p>
    <w:p w14:paraId="0E4E222F" w14:textId="6237F834" w:rsidR="00081CE8" w:rsidRPr="00FC3109" w:rsidRDefault="00081CE8" w:rsidP="00E56B81">
      <w:pPr>
        <w:spacing w:line="240" w:lineRule="auto"/>
        <w:ind w:left="1440" w:right="1440"/>
        <w:rPr>
          <w:rFonts w:ascii="Times New Roman" w:hAnsi="Times New Roman" w:cs="Times New Roman"/>
          <w:sz w:val="24"/>
          <w:szCs w:val="24"/>
        </w:rPr>
      </w:pPr>
      <w:r w:rsidRPr="00FC3109">
        <w:rPr>
          <w:rFonts w:ascii="Times New Roman" w:hAnsi="Times New Roman" w:cs="Times New Roman"/>
          <w:sz w:val="24"/>
          <w:szCs w:val="24"/>
        </w:rPr>
        <w:t> (b)  A presiding officer may withdraw from a proceeding when deemed disqualified in accordance with law.</w:t>
      </w:r>
    </w:p>
    <w:p w14:paraId="490B34B9" w14:textId="40854BF1" w:rsidR="00081CE8" w:rsidRPr="00FC3109" w:rsidRDefault="00081CE8" w:rsidP="00E56B81">
      <w:pPr>
        <w:spacing w:after="0" w:line="240" w:lineRule="auto"/>
        <w:ind w:left="1440" w:right="1440"/>
        <w:rPr>
          <w:rFonts w:ascii="Times New Roman" w:hAnsi="Times New Roman" w:cs="Times New Roman"/>
          <w:sz w:val="24"/>
          <w:szCs w:val="24"/>
        </w:rPr>
      </w:pPr>
    </w:p>
    <w:p w14:paraId="4DF281C3" w14:textId="2AE2A1E0" w:rsidR="00081CE8" w:rsidRPr="00FC3109" w:rsidRDefault="008A221F" w:rsidP="00E56B81">
      <w:pPr>
        <w:spacing w:after="0" w:line="360" w:lineRule="auto"/>
        <w:ind w:firstLine="1440"/>
        <w:rPr>
          <w:rFonts w:ascii="Times New Roman" w:hAnsi="Times New Roman" w:cs="Times New Roman"/>
          <w:sz w:val="24"/>
          <w:szCs w:val="24"/>
        </w:rPr>
      </w:pPr>
      <w:r w:rsidRPr="00FC3109">
        <w:rPr>
          <w:rFonts w:ascii="Times New Roman" w:hAnsi="Times New Roman" w:cs="Times New Roman"/>
          <w:sz w:val="24"/>
          <w:szCs w:val="24"/>
        </w:rPr>
        <w:t xml:space="preserve">Parties to a proceeding are entitled to a fair hearing without bias, hostility, or prejudgment.  </w:t>
      </w:r>
      <w:r w:rsidRPr="00FC3109">
        <w:rPr>
          <w:rFonts w:ascii="Times New Roman" w:hAnsi="Times New Roman" w:cs="Times New Roman"/>
          <w:i/>
          <w:sz w:val="24"/>
          <w:szCs w:val="24"/>
        </w:rPr>
        <w:t>Pennsylvania Publications v. Public Utility Commission</w:t>
      </w:r>
      <w:r w:rsidRPr="00FC3109">
        <w:rPr>
          <w:rFonts w:ascii="Times New Roman" w:hAnsi="Times New Roman" w:cs="Times New Roman"/>
          <w:sz w:val="24"/>
          <w:szCs w:val="24"/>
        </w:rPr>
        <w:t xml:space="preserve">, 152 Pa. Superior Ct. 279, 32 A.2d 40, </w:t>
      </w:r>
      <w:r w:rsidRPr="00FC3109">
        <w:rPr>
          <w:rFonts w:ascii="Times New Roman" w:hAnsi="Times New Roman" w:cs="Times New Roman"/>
          <w:i/>
          <w:sz w:val="24"/>
          <w:szCs w:val="24"/>
        </w:rPr>
        <w:t>reversed on other grounds</w:t>
      </w:r>
      <w:r w:rsidRPr="00FC3109">
        <w:rPr>
          <w:rFonts w:ascii="Times New Roman" w:hAnsi="Times New Roman" w:cs="Times New Roman"/>
          <w:sz w:val="24"/>
          <w:szCs w:val="24"/>
        </w:rPr>
        <w:t xml:space="preserve">, 349 Pa. 184, 36 A.2d 777, 153 ALR 457 (1943).  </w:t>
      </w:r>
      <w:r w:rsidR="00081CE8" w:rsidRPr="00FC3109">
        <w:rPr>
          <w:rFonts w:ascii="Times New Roman" w:hAnsi="Times New Roman" w:cs="Times New Roman"/>
          <w:sz w:val="24"/>
          <w:szCs w:val="24"/>
        </w:rPr>
        <w:t xml:space="preserve">It is the duty of the presiding officer “to decide whether he feels he can hear and dispose of the case fairly and without prejudice . . .”  </w:t>
      </w:r>
      <w:r w:rsidR="00081CE8" w:rsidRPr="00FC3109">
        <w:rPr>
          <w:rFonts w:ascii="Times New Roman" w:hAnsi="Times New Roman" w:cs="Times New Roman"/>
          <w:i/>
          <w:sz w:val="24"/>
          <w:szCs w:val="24"/>
        </w:rPr>
        <w:t xml:space="preserve">Reilly v. Southeastern Pennsylvania Transportation </w:t>
      </w:r>
      <w:r w:rsidR="001656F7" w:rsidRPr="00FC3109">
        <w:rPr>
          <w:rFonts w:ascii="Times New Roman" w:hAnsi="Times New Roman" w:cs="Times New Roman"/>
          <w:i/>
          <w:sz w:val="24"/>
          <w:szCs w:val="24"/>
        </w:rPr>
        <w:t>Authority (</w:t>
      </w:r>
      <w:r w:rsidR="00081CE8" w:rsidRPr="00FC3109">
        <w:rPr>
          <w:rFonts w:ascii="Times New Roman" w:hAnsi="Times New Roman" w:cs="Times New Roman"/>
          <w:i/>
          <w:sz w:val="24"/>
          <w:szCs w:val="24"/>
        </w:rPr>
        <w:t>SEPTA)</w:t>
      </w:r>
      <w:r w:rsidR="00081CE8" w:rsidRPr="00FC3109">
        <w:rPr>
          <w:rFonts w:ascii="Times New Roman" w:hAnsi="Times New Roman" w:cs="Times New Roman"/>
          <w:sz w:val="24"/>
          <w:szCs w:val="24"/>
        </w:rPr>
        <w:t xml:space="preserve">, 507 Pa. 204, 489 A.2d 1291, 1300 (1985). The Pennsylvania Supreme Court further explained in </w:t>
      </w:r>
      <w:r w:rsidR="00081CE8" w:rsidRPr="00FC3109">
        <w:rPr>
          <w:rFonts w:ascii="Times New Roman" w:hAnsi="Times New Roman" w:cs="Times New Roman"/>
          <w:i/>
          <w:sz w:val="24"/>
          <w:szCs w:val="24"/>
        </w:rPr>
        <w:t>Commonwealth v. Blakeney</w:t>
      </w:r>
      <w:r w:rsidR="00081CE8" w:rsidRPr="00FC3109">
        <w:rPr>
          <w:rFonts w:ascii="Times New Roman" w:hAnsi="Times New Roman" w:cs="Times New Roman"/>
          <w:sz w:val="24"/>
          <w:szCs w:val="24"/>
        </w:rPr>
        <w:t xml:space="preserve">, 596 Pa. 510; </w:t>
      </w:r>
      <w:r w:rsidR="00081CE8" w:rsidRPr="00FC3109">
        <w:rPr>
          <w:rFonts w:ascii="Times New Roman" w:hAnsi="Times New Roman" w:cs="Times New Roman"/>
          <w:bCs/>
          <w:sz w:val="24"/>
          <w:szCs w:val="24"/>
        </w:rPr>
        <w:t>946 A.2d 645, 662 (2008)</w:t>
      </w:r>
      <w:r w:rsidR="00081CE8" w:rsidRPr="00FC3109">
        <w:rPr>
          <w:rFonts w:ascii="Times New Roman" w:hAnsi="Times New Roman" w:cs="Times New Roman"/>
          <w:sz w:val="24"/>
          <w:szCs w:val="24"/>
        </w:rPr>
        <w:t>:</w:t>
      </w:r>
    </w:p>
    <w:p w14:paraId="6B68E689" w14:textId="77777777" w:rsidR="00081CE8" w:rsidRPr="00FC3109" w:rsidRDefault="00081CE8" w:rsidP="00D5790A">
      <w:pPr>
        <w:spacing w:after="0" w:line="240" w:lineRule="auto"/>
        <w:rPr>
          <w:rFonts w:ascii="Times New Roman" w:hAnsi="Times New Roman" w:cs="Times New Roman"/>
          <w:sz w:val="24"/>
          <w:szCs w:val="24"/>
        </w:rPr>
      </w:pPr>
    </w:p>
    <w:p w14:paraId="326107A9" w14:textId="300F2A0A" w:rsidR="00081CE8" w:rsidRPr="00FC3109" w:rsidRDefault="00081CE8" w:rsidP="00081CE8">
      <w:pPr>
        <w:ind w:left="1440" w:right="1440"/>
        <w:rPr>
          <w:rFonts w:ascii="Times New Roman" w:hAnsi="Times New Roman" w:cs="Times New Roman"/>
          <w:sz w:val="24"/>
          <w:szCs w:val="24"/>
        </w:rPr>
      </w:pPr>
      <w:r w:rsidRPr="00FC3109">
        <w:rPr>
          <w:rFonts w:ascii="Times New Roman" w:hAnsi="Times New Roman" w:cs="Times New Roman"/>
          <w:sz w:val="24"/>
          <w:szCs w:val="24"/>
        </w:rPr>
        <w:t xml:space="preserve">“A trial judge should recuse himself whenever he has any doubt as to his ability to preside impartially in a criminal case or whenever he believes his impartiality can be reasonably questioned.”  </w:t>
      </w:r>
      <w:r w:rsidRPr="00FC3109">
        <w:rPr>
          <w:rFonts w:ascii="Times New Roman" w:hAnsi="Times New Roman" w:cs="Times New Roman"/>
          <w:i/>
          <w:sz w:val="24"/>
          <w:szCs w:val="24"/>
        </w:rPr>
        <w:t>Commonwealth v. Goodman</w:t>
      </w:r>
      <w:r w:rsidRPr="00FC3109">
        <w:rPr>
          <w:rFonts w:ascii="Times New Roman" w:hAnsi="Times New Roman" w:cs="Times New Roman"/>
          <w:sz w:val="24"/>
          <w:szCs w:val="24"/>
        </w:rPr>
        <w:t xml:space="preserve">, 454 Pa. 358, 311 A.2d 652, 654 (Pa. 1973).  It is presumed that the judge </w:t>
      </w:r>
      <w:proofErr w:type="gramStart"/>
      <w:r w:rsidRPr="00FC3109">
        <w:rPr>
          <w:rFonts w:ascii="Times New Roman" w:hAnsi="Times New Roman" w:cs="Times New Roman"/>
          <w:sz w:val="24"/>
          <w:szCs w:val="24"/>
        </w:rPr>
        <w:t>has the ability to</w:t>
      </w:r>
      <w:proofErr w:type="gramEnd"/>
      <w:r w:rsidRPr="00FC3109">
        <w:rPr>
          <w:rFonts w:ascii="Times New Roman" w:hAnsi="Times New Roman" w:cs="Times New Roman"/>
          <w:sz w:val="24"/>
          <w:szCs w:val="24"/>
        </w:rPr>
        <w:t xml:space="preserve"> determine whether he will be able to rule impartially and without prejudice, and his assessment is personal, unreviewable, and final. </w:t>
      </w:r>
      <w:r w:rsidRPr="00FC3109">
        <w:rPr>
          <w:rFonts w:ascii="Times New Roman" w:hAnsi="Times New Roman" w:cs="Times New Roman"/>
          <w:i/>
          <w:sz w:val="24"/>
          <w:szCs w:val="24"/>
        </w:rPr>
        <w:t>Commonwealth v. Druce</w:t>
      </w:r>
      <w:r w:rsidRPr="00FC3109">
        <w:rPr>
          <w:rFonts w:ascii="Times New Roman" w:hAnsi="Times New Roman" w:cs="Times New Roman"/>
          <w:sz w:val="24"/>
          <w:szCs w:val="24"/>
        </w:rPr>
        <w:t xml:space="preserve">, 577 Pa. 581, 848 A.2d 104, 108 (Pa. 2004).  “Where a jurist rules that he or she can hear and dispose of a case fairly and without prejudice, that decision will not be overturned on appeal but for an abuse of discretion.”  </w:t>
      </w:r>
      <w:r w:rsidRPr="00FC3109">
        <w:rPr>
          <w:rFonts w:ascii="Times New Roman" w:hAnsi="Times New Roman" w:cs="Times New Roman"/>
          <w:i/>
          <w:sz w:val="24"/>
          <w:szCs w:val="24"/>
        </w:rPr>
        <w:lastRenderedPageBreak/>
        <w:t>Commonwealth v. Abu-Jamal</w:t>
      </w:r>
      <w:r w:rsidRPr="00FC3109">
        <w:rPr>
          <w:rFonts w:ascii="Times New Roman" w:hAnsi="Times New Roman" w:cs="Times New Roman"/>
          <w:sz w:val="24"/>
          <w:szCs w:val="24"/>
        </w:rPr>
        <w:t>, 553 Pa. 485, 720 A.2d 79, 89 (Pa. 1998).</w:t>
      </w:r>
    </w:p>
    <w:p w14:paraId="50CC9CAC" w14:textId="77777777" w:rsidR="00081CE8" w:rsidRPr="00FC3109" w:rsidRDefault="00081CE8" w:rsidP="0083372F">
      <w:pPr>
        <w:spacing w:after="0" w:line="360" w:lineRule="auto"/>
        <w:ind w:left="1440" w:right="1440"/>
        <w:rPr>
          <w:rFonts w:ascii="Times New Roman" w:hAnsi="Times New Roman" w:cs="Times New Roman"/>
          <w:sz w:val="24"/>
          <w:szCs w:val="24"/>
        </w:rPr>
      </w:pPr>
    </w:p>
    <w:p w14:paraId="13253147" w14:textId="36354BB6" w:rsidR="00C0266B" w:rsidRDefault="00081CE8" w:rsidP="008A221F">
      <w:pPr>
        <w:spacing w:after="0" w:line="360" w:lineRule="auto"/>
        <w:rPr>
          <w:rFonts w:ascii="Times New Roman" w:hAnsi="Times New Roman" w:cs="Times New Roman"/>
          <w:sz w:val="24"/>
          <w:szCs w:val="24"/>
        </w:rPr>
      </w:pPr>
      <w:r w:rsidRPr="00FC3109">
        <w:rPr>
          <w:rFonts w:ascii="Times New Roman" w:hAnsi="Times New Roman" w:cs="Times New Roman"/>
          <w:sz w:val="24"/>
          <w:szCs w:val="24"/>
        </w:rPr>
        <w:tab/>
      </w:r>
      <w:r w:rsidRPr="00FC3109">
        <w:rPr>
          <w:rFonts w:ascii="Times New Roman" w:hAnsi="Times New Roman" w:cs="Times New Roman"/>
          <w:sz w:val="24"/>
          <w:szCs w:val="24"/>
        </w:rPr>
        <w:tab/>
      </w:r>
      <w:r w:rsidR="00111D37">
        <w:rPr>
          <w:rFonts w:ascii="Times New Roman" w:hAnsi="Times New Roman" w:cs="Times New Roman"/>
          <w:sz w:val="24"/>
          <w:szCs w:val="24"/>
        </w:rPr>
        <w:t>Complainants’ averments</w:t>
      </w:r>
      <w:r w:rsidR="003A1800">
        <w:rPr>
          <w:rFonts w:ascii="Times New Roman" w:hAnsi="Times New Roman" w:cs="Times New Roman"/>
          <w:sz w:val="24"/>
          <w:szCs w:val="24"/>
        </w:rPr>
        <w:t xml:space="preserve"> regarding Mr. Bathgate and numbers</w:t>
      </w:r>
      <w:r w:rsidR="00111D37">
        <w:rPr>
          <w:rFonts w:ascii="Times New Roman" w:hAnsi="Times New Roman" w:cs="Times New Roman"/>
          <w:sz w:val="24"/>
          <w:szCs w:val="24"/>
        </w:rPr>
        <w:t xml:space="preserve"> </w:t>
      </w:r>
      <w:r w:rsidR="003A1800">
        <w:rPr>
          <w:rFonts w:ascii="Times New Roman" w:hAnsi="Times New Roman" w:cs="Times New Roman"/>
          <w:sz w:val="24"/>
          <w:szCs w:val="24"/>
        </w:rPr>
        <w:t>3,</w:t>
      </w:r>
      <w:r w:rsidR="00F63EE5">
        <w:rPr>
          <w:rFonts w:ascii="Times New Roman" w:hAnsi="Times New Roman" w:cs="Times New Roman"/>
          <w:sz w:val="24"/>
          <w:szCs w:val="24"/>
        </w:rPr>
        <w:t xml:space="preserve"> </w:t>
      </w:r>
      <w:r w:rsidR="003A1800">
        <w:rPr>
          <w:rFonts w:ascii="Times New Roman" w:hAnsi="Times New Roman" w:cs="Times New Roman"/>
          <w:sz w:val="24"/>
          <w:szCs w:val="24"/>
        </w:rPr>
        <w:t>4</w:t>
      </w:r>
      <w:r w:rsidR="00F63EE5">
        <w:rPr>
          <w:rFonts w:ascii="Times New Roman" w:hAnsi="Times New Roman" w:cs="Times New Roman"/>
          <w:sz w:val="24"/>
          <w:szCs w:val="24"/>
        </w:rPr>
        <w:t>,</w:t>
      </w:r>
      <w:r w:rsidR="003A1800">
        <w:rPr>
          <w:rFonts w:ascii="Times New Roman" w:hAnsi="Times New Roman" w:cs="Times New Roman"/>
          <w:sz w:val="24"/>
          <w:szCs w:val="24"/>
        </w:rPr>
        <w:t xml:space="preserve"> and 5</w:t>
      </w:r>
      <w:r w:rsidR="009F76E7" w:rsidRPr="00FC3109">
        <w:rPr>
          <w:rFonts w:ascii="Times New Roman" w:hAnsi="Times New Roman" w:cs="Times New Roman"/>
          <w:sz w:val="24"/>
          <w:szCs w:val="24"/>
        </w:rPr>
        <w:t xml:space="preserve"> </w:t>
      </w:r>
      <w:r w:rsidR="003A1800">
        <w:rPr>
          <w:rFonts w:ascii="Times New Roman" w:hAnsi="Times New Roman" w:cs="Times New Roman"/>
          <w:sz w:val="24"/>
          <w:szCs w:val="24"/>
        </w:rPr>
        <w:t xml:space="preserve">pertaining to a Motion to Compel have been addressed in the discussion regarding the Motion to Stay and will not be addressed again here. </w:t>
      </w:r>
      <w:r w:rsidR="007E327E">
        <w:rPr>
          <w:rFonts w:ascii="Times New Roman" w:hAnsi="Times New Roman" w:cs="Times New Roman"/>
          <w:sz w:val="24"/>
          <w:szCs w:val="24"/>
        </w:rPr>
        <w:t xml:space="preserve"> </w:t>
      </w:r>
      <w:r w:rsidR="003A1800">
        <w:rPr>
          <w:rFonts w:ascii="Times New Roman" w:hAnsi="Times New Roman" w:cs="Times New Roman"/>
          <w:sz w:val="24"/>
          <w:szCs w:val="24"/>
        </w:rPr>
        <w:t>As f</w:t>
      </w:r>
      <w:r w:rsidR="008E29FB">
        <w:rPr>
          <w:rFonts w:ascii="Times New Roman" w:hAnsi="Times New Roman" w:cs="Times New Roman"/>
          <w:sz w:val="24"/>
          <w:szCs w:val="24"/>
        </w:rPr>
        <w:t>o</w:t>
      </w:r>
      <w:r w:rsidR="003A1800">
        <w:rPr>
          <w:rFonts w:ascii="Times New Roman" w:hAnsi="Times New Roman" w:cs="Times New Roman"/>
          <w:sz w:val="24"/>
          <w:szCs w:val="24"/>
        </w:rPr>
        <w:t xml:space="preserve">r averments 1 and 2, the timing and efficiency of the </w:t>
      </w:r>
      <w:r w:rsidR="00C0266B">
        <w:rPr>
          <w:rFonts w:ascii="Times New Roman" w:hAnsi="Times New Roman" w:cs="Times New Roman"/>
          <w:sz w:val="24"/>
          <w:szCs w:val="24"/>
        </w:rPr>
        <w:t xml:space="preserve">issuance of orders do not </w:t>
      </w:r>
      <w:r w:rsidR="003A1800">
        <w:rPr>
          <w:rFonts w:ascii="Times New Roman" w:hAnsi="Times New Roman" w:cs="Times New Roman"/>
          <w:sz w:val="24"/>
          <w:szCs w:val="24"/>
        </w:rPr>
        <w:t>support a finding of bias</w:t>
      </w:r>
      <w:r w:rsidR="00C0266B">
        <w:rPr>
          <w:rFonts w:ascii="Times New Roman" w:hAnsi="Times New Roman" w:cs="Times New Roman"/>
          <w:sz w:val="24"/>
          <w:szCs w:val="24"/>
        </w:rPr>
        <w:t xml:space="preserve"> and there is nothing in the record showing that the Complainants</w:t>
      </w:r>
      <w:r w:rsidR="006A18C4">
        <w:rPr>
          <w:rFonts w:ascii="Times New Roman" w:hAnsi="Times New Roman" w:cs="Times New Roman"/>
          <w:sz w:val="24"/>
          <w:szCs w:val="24"/>
        </w:rPr>
        <w:t>’</w:t>
      </w:r>
      <w:r w:rsidR="00C0266B">
        <w:rPr>
          <w:rFonts w:ascii="Times New Roman" w:hAnsi="Times New Roman" w:cs="Times New Roman"/>
          <w:sz w:val="24"/>
          <w:szCs w:val="24"/>
        </w:rPr>
        <w:t xml:space="preserve"> pleadings were not considered whenever filed.</w:t>
      </w:r>
      <w:r w:rsidR="003A1800">
        <w:rPr>
          <w:rFonts w:ascii="Times New Roman" w:hAnsi="Times New Roman" w:cs="Times New Roman"/>
          <w:sz w:val="24"/>
          <w:szCs w:val="24"/>
        </w:rPr>
        <w:t xml:space="preserve"> </w:t>
      </w:r>
    </w:p>
    <w:p w14:paraId="1C9A5647" w14:textId="77777777" w:rsidR="00FA4155" w:rsidRDefault="00FA4155" w:rsidP="0083192F">
      <w:pPr>
        <w:spacing w:after="0" w:line="360" w:lineRule="auto"/>
        <w:ind w:firstLine="1440"/>
        <w:rPr>
          <w:rFonts w:ascii="Times New Roman" w:hAnsi="Times New Roman" w:cs="Times New Roman"/>
          <w:sz w:val="24"/>
          <w:szCs w:val="24"/>
        </w:rPr>
      </w:pPr>
    </w:p>
    <w:p w14:paraId="4F6FBBD4" w14:textId="4DF6BD6F" w:rsidR="00081CE8" w:rsidRPr="00FC3109" w:rsidRDefault="003A1800" w:rsidP="00FA415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Averments 6 and 7 are mere </w:t>
      </w:r>
      <w:r w:rsidR="008D77CC">
        <w:rPr>
          <w:rFonts w:ascii="Times New Roman" w:hAnsi="Times New Roman" w:cs="Times New Roman"/>
          <w:sz w:val="24"/>
          <w:szCs w:val="24"/>
        </w:rPr>
        <w:t>assertions</w:t>
      </w:r>
      <w:r>
        <w:rPr>
          <w:rFonts w:ascii="Times New Roman" w:hAnsi="Times New Roman" w:cs="Times New Roman"/>
          <w:sz w:val="24"/>
          <w:szCs w:val="24"/>
        </w:rPr>
        <w:t>.</w:t>
      </w:r>
      <w:r w:rsidR="00292BE6">
        <w:rPr>
          <w:rFonts w:ascii="Times New Roman" w:hAnsi="Times New Roman" w:cs="Times New Roman"/>
          <w:sz w:val="24"/>
          <w:szCs w:val="24"/>
        </w:rPr>
        <w:t xml:space="preserve"> </w:t>
      </w:r>
      <w:r>
        <w:rPr>
          <w:rFonts w:ascii="Times New Roman" w:hAnsi="Times New Roman" w:cs="Times New Roman"/>
          <w:sz w:val="24"/>
          <w:szCs w:val="24"/>
        </w:rPr>
        <w:t xml:space="preserve"> </w:t>
      </w:r>
      <w:r w:rsidR="009F76E7" w:rsidRPr="00FC3109">
        <w:rPr>
          <w:rFonts w:ascii="Times New Roman" w:hAnsi="Times New Roman" w:cs="Times New Roman"/>
          <w:sz w:val="24"/>
          <w:szCs w:val="24"/>
        </w:rPr>
        <w:t>Complainants have not established, nor does the record support a finding, that there is bias or unfairness</w:t>
      </w:r>
      <w:r w:rsidR="0068108D">
        <w:rPr>
          <w:rFonts w:ascii="Times New Roman" w:hAnsi="Times New Roman" w:cs="Times New Roman"/>
          <w:sz w:val="24"/>
          <w:szCs w:val="24"/>
        </w:rPr>
        <w:t xml:space="preserve"> or any other basis for disqualification</w:t>
      </w:r>
      <w:r w:rsidR="009F76E7" w:rsidRPr="00FC3109">
        <w:rPr>
          <w:rFonts w:ascii="Times New Roman" w:hAnsi="Times New Roman" w:cs="Times New Roman"/>
          <w:sz w:val="24"/>
          <w:szCs w:val="24"/>
        </w:rPr>
        <w:t xml:space="preserve"> </w:t>
      </w:r>
      <w:r w:rsidR="008D77CC">
        <w:rPr>
          <w:rFonts w:ascii="Times New Roman" w:hAnsi="Times New Roman" w:cs="Times New Roman"/>
          <w:sz w:val="24"/>
          <w:szCs w:val="24"/>
        </w:rPr>
        <w:t xml:space="preserve">of the undersigned </w:t>
      </w:r>
      <w:r w:rsidR="009F76E7" w:rsidRPr="00FC3109">
        <w:rPr>
          <w:rFonts w:ascii="Times New Roman" w:hAnsi="Times New Roman" w:cs="Times New Roman"/>
          <w:sz w:val="24"/>
          <w:szCs w:val="24"/>
        </w:rPr>
        <w:t xml:space="preserve">in this matter. </w:t>
      </w:r>
      <w:r w:rsidR="00292BE6">
        <w:rPr>
          <w:rFonts w:ascii="Times New Roman" w:hAnsi="Times New Roman" w:cs="Times New Roman"/>
          <w:sz w:val="24"/>
          <w:szCs w:val="24"/>
        </w:rPr>
        <w:t xml:space="preserve"> </w:t>
      </w:r>
    </w:p>
    <w:p w14:paraId="0C85A144" w14:textId="77777777" w:rsidR="00081CE8" w:rsidRPr="00FC3109" w:rsidRDefault="00081CE8" w:rsidP="0083192F">
      <w:pPr>
        <w:spacing w:after="0" w:line="360" w:lineRule="auto"/>
        <w:rPr>
          <w:rFonts w:ascii="Times New Roman" w:hAnsi="Times New Roman" w:cs="Times New Roman"/>
          <w:sz w:val="24"/>
          <w:szCs w:val="24"/>
        </w:rPr>
      </w:pPr>
    </w:p>
    <w:p w14:paraId="7D885ABB" w14:textId="3812D254" w:rsidR="00081CE8" w:rsidRPr="00FC3109" w:rsidRDefault="00081CE8" w:rsidP="00FA4155">
      <w:pPr>
        <w:spacing w:after="0" w:line="360" w:lineRule="auto"/>
        <w:rPr>
          <w:rFonts w:ascii="Times New Roman" w:hAnsi="Times New Roman" w:cs="Times New Roman"/>
          <w:sz w:val="24"/>
          <w:szCs w:val="24"/>
        </w:rPr>
      </w:pPr>
      <w:r w:rsidRPr="00FC3109">
        <w:rPr>
          <w:rFonts w:ascii="Times New Roman" w:hAnsi="Times New Roman" w:cs="Times New Roman"/>
          <w:sz w:val="24"/>
          <w:szCs w:val="24"/>
        </w:rPr>
        <w:tab/>
      </w:r>
      <w:r w:rsidRPr="00FC3109">
        <w:rPr>
          <w:rFonts w:ascii="Times New Roman" w:hAnsi="Times New Roman" w:cs="Times New Roman"/>
          <w:sz w:val="24"/>
          <w:szCs w:val="24"/>
        </w:rPr>
        <w:tab/>
        <w:t xml:space="preserve">The Complainants </w:t>
      </w:r>
      <w:r w:rsidR="009F76E7" w:rsidRPr="00FC3109">
        <w:rPr>
          <w:rFonts w:ascii="Times New Roman" w:hAnsi="Times New Roman" w:cs="Times New Roman"/>
          <w:sz w:val="24"/>
          <w:szCs w:val="24"/>
        </w:rPr>
        <w:t xml:space="preserve">have been provided due process and the ability to be heard. The </w:t>
      </w:r>
      <w:r w:rsidR="0068108D">
        <w:rPr>
          <w:rFonts w:ascii="Times New Roman" w:hAnsi="Times New Roman" w:cs="Times New Roman"/>
          <w:sz w:val="24"/>
          <w:szCs w:val="24"/>
        </w:rPr>
        <w:t>method and manner</w:t>
      </w:r>
      <w:r w:rsidR="009F76E7" w:rsidRPr="00FC3109">
        <w:rPr>
          <w:rFonts w:ascii="Times New Roman" w:hAnsi="Times New Roman" w:cs="Times New Roman"/>
          <w:sz w:val="24"/>
          <w:szCs w:val="24"/>
        </w:rPr>
        <w:t xml:space="preserve"> by which the Complainants will be heard has been changed from telephonic to in</w:t>
      </w:r>
      <w:r w:rsidR="0068108D">
        <w:rPr>
          <w:rFonts w:ascii="Times New Roman" w:hAnsi="Times New Roman" w:cs="Times New Roman"/>
          <w:sz w:val="24"/>
          <w:szCs w:val="24"/>
        </w:rPr>
        <w:t>-</w:t>
      </w:r>
      <w:r w:rsidR="009F76E7" w:rsidRPr="00FC3109">
        <w:rPr>
          <w:rFonts w:ascii="Times New Roman" w:hAnsi="Times New Roman" w:cs="Times New Roman"/>
          <w:sz w:val="24"/>
          <w:szCs w:val="24"/>
        </w:rPr>
        <w:t xml:space="preserve">person to written proceedings at the request of the Complainants. </w:t>
      </w:r>
      <w:r w:rsidR="00292BE6">
        <w:rPr>
          <w:rFonts w:ascii="Times New Roman" w:hAnsi="Times New Roman" w:cs="Times New Roman"/>
          <w:sz w:val="24"/>
          <w:szCs w:val="24"/>
        </w:rPr>
        <w:t xml:space="preserve"> </w:t>
      </w:r>
      <w:r w:rsidR="009F76E7" w:rsidRPr="00FC3109">
        <w:rPr>
          <w:rFonts w:ascii="Times New Roman" w:hAnsi="Times New Roman" w:cs="Times New Roman"/>
          <w:sz w:val="24"/>
          <w:szCs w:val="24"/>
        </w:rPr>
        <w:t xml:space="preserve">Previous requests by the Complainants for extensions of time have been granted. </w:t>
      </w:r>
      <w:r w:rsidR="00292BE6">
        <w:rPr>
          <w:rFonts w:ascii="Times New Roman" w:hAnsi="Times New Roman" w:cs="Times New Roman"/>
          <w:sz w:val="24"/>
          <w:szCs w:val="24"/>
        </w:rPr>
        <w:t xml:space="preserve"> </w:t>
      </w:r>
      <w:r w:rsidR="009F76E7" w:rsidRPr="00FC3109">
        <w:rPr>
          <w:rFonts w:ascii="Times New Roman" w:hAnsi="Times New Roman" w:cs="Times New Roman"/>
          <w:sz w:val="24"/>
          <w:szCs w:val="24"/>
          <w:lang w:val="en"/>
        </w:rPr>
        <w:t>There is nothing in the record showing that the undersigned cannot "</w:t>
      </w:r>
      <w:r w:rsidR="009F76E7" w:rsidRPr="00FC3109">
        <w:rPr>
          <w:rFonts w:ascii="Times New Roman" w:hAnsi="Times New Roman" w:cs="Times New Roman"/>
          <w:sz w:val="24"/>
          <w:szCs w:val="24"/>
        </w:rPr>
        <w:t xml:space="preserve">hear and dispose of the case fairly and without prejudice."  </w:t>
      </w:r>
      <w:r w:rsidR="009F76E7" w:rsidRPr="00FC3109">
        <w:rPr>
          <w:rFonts w:ascii="Times New Roman" w:hAnsi="Times New Roman" w:cs="Times New Roman"/>
          <w:i/>
          <w:sz w:val="24"/>
          <w:szCs w:val="24"/>
        </w:rPr>
        <w:t xml:space="preserve">Reilly v. SEPTA, supra.  </w:t>
      </w:r>
      <w:r w:rsidR="009F76E7" w:rsidRPr="00FC3109">
        <w:rPr>
          <w:rFonts w:ascii="Times New Roman" w:hAnsi="Times New Roman" w:cs="Times New Roman"/>
          <w:sz w:val="24"/>
          <w:szCs w:val="24"/>
          <w:lang w:val="en"/>
        </w:rPr>
        <w:t xml:space="preserve">There is no valid reason to recuse here and the Motion for Disqualification will be denied. </w:t>
      </w:r>
    </w:p>
    <w:p w14:paraId="730DBE81" w14:textId="77777777" w:rsidR="00081CE8" w:rsidRPr="00FC3109" w:rsidRDefault="00081CE8" w:rsidP="00FA4155">
      <w:pPr>
        <w:spacing w:after="0" w:line="360" w:lineRule="auto"/>
        <w:rPr>
          <w:rFonts w:ascii="Times New Roman" w:hAnsi="Times New Roman" w:cs="Times New Roman"/>
          <w:sz w:val="24"/>
          <w:szCs w:val="24"/>
        </w:rPr>
      </w:pPr>
    </w:p>
    <w:p w14:paraId="67B06D98" w14:textId="77777777" w:rsidR="0002396F" w:rsidRDefault="0002396F">
      <w:pPr>
        <w:rPr>
          <w:rFonts w:ascii="Times New Roman" w:eastAsia="Calibri" w:hAnsi="Times New Roman" w:cs="Times New Roman"/>
          <w:bCs/>
          <w:sz w:val="24"/>
          <w:szCs w:val="24"/>
        </w:rPr>
      </w:pPr>
      <w:r>
        <w:rPr>
          <w:bCs/>
        </w:rPr>
        <w:br w:type="page"/>
      </w:r>
    </w:p>
    <w:p w14:paraId="638048D6" w14:textId="1BD579DA" w:rsidR="009F76E7" w:rsidRPr="00FC3109" w:rsidRDefault="009F76E7" w:rsidP="009F76E7">
      <w:pPr>
        <w:pStyle w:val="NoSpacing"/>
        <w:spacing w:line="360" w:lineRule="auto"/>
        <w:ind w:firstLine="1440"/>
        <w:rPr>
          <w:rFonts w:eastAsia="Times New Roman"/>
          <w:bCs/>
        </w:rPr>
      </w:pPr>
      <w:r w:rsidRPr="00FC3109">
        <w:rPr>
          <w:bCs/>
        </w:rPr>
        <w:lastRenderedPageBreak/>
        <w:t>THEREFORE,</w:t>
      </w:r>
    </w:p>
    <w:p w14:paraId="4B77329A" w14:textId="77777777" w:rsidR="009F76E7" w:rsidRPr="00FC3109" w:rsidRDefault="009F76E7" w:rsidP="009F76E7">
      <w:pPr>
        <w:pStyle w:val="NoSpacing"/>
        <w:spacing w:line="360" w:lineRule="auto"/>
        <w:rPr>
          <w:rFonts w:eastAsia="Times New Roman"/>
          <w:bCs/>
        </w:rPr>
      </w:pPr>
    </w:p>
    <w:p w14:paraId="36DD1743" w14:textId="77777777" w:rsidR="009F76E7" w:rsidRPr="00FC3109" w:rsidRDefault="009F76E7" w:rsidP="009F76E7">
      <w:pPr>
        <w:pStyle w:val="NoSpacing"/>
        <w:spacing w:line="360" w:lineRule="auto"/>
        <w:ind w:firstLine="1440"/>
        <w:rPr>
          <w:rFonts w:eastAsia="Times New Roman"/>
          <w:bCs/>
        </w:rPr>
      </w:pPr>
      <w:r w:rsidRPr="00FC3109">
        <w:rPr>
          <w:rFonts w:eastAsia="Times New Roman"/>
          <w:bCs/>
        </w:rPr>
        <w:t>IT IS ORDERED:</w:t>
      </w:r>
    </w:p>
    <w:p w14:paraId="5AD22C98" w14:textId="77777777" w:rsidR="009F76E7" w:rsidRPr="00FC3109" w:rsidRDefault="009F76E7" w:rsidP="009F76E7">
      <w:pPr>
        <w:pStyle w:val="NoSpacing"/>
        <w:spacing w:line="360" w:lineRule="auto"/>
        <w:ind w:firstLine="1440"/>
        <w:rPr>
          <w:rFonts w:eastAsia="Times New Roman"/>
          <w:bCs/>
        </w:rPr>
      </w:pPr>
    </w:p>
    <w:p w14:paraId="4C05B975" w14:textId="76695268" w:rsidR="009F76E7" w:rsidRPr="00FC3109" w:rsidRDefault="009F76E7" w:rsidP="009F76E7">
      <w:pPr>
        <w:pStyle w:val="NoSpacing"/>
        <w:numPr>
          <w:ilvl w:val="0"/>
          <w:numId w:val="2"/>
        </w:numPr>
        <w:spacing w:line="360" w:lineRule="auto"/>
        <w:ind w:left="0" w:firstLine="1440"/>
        <w:rPr>
          <w:rFonts w:eastAsia="Times New Roman"/>
          <w:bCs/>
        </w:rPr>
      </w:pPr>
      <w:r w:rsidRPr="00FC3109">
        <w:rPr>
          <w:spacing w:val="-3"/>
        </w:rPr>
        <w:t xml:space="preserve">That the Motion for Stay of the proceedings </w:t>
      </w:r>
      <w:r w:rsidRPr="00FC3109">
        <w:t xml:space="preserve">at consolidated Docket Numbers </w:t>
      </w:r>
      <w:r w:rsidRPr="00FC3109">
        <w:rPr>
          <w:bCs/>
        </w:rPr>
        <w:t xml:space="preserve">C-2019-3007989 and C-2019-3007995 is denied.  </w:t>
      </w:r>
    </w:p>
    <w:p w14:paraId="12A8891C" w14:textId="77777777" w:rsidR="009F76E7" w:rsidRPr="00FC3109" w:rsidRDefault="009F76E7" w:rsidP="009F76E7">
      <w:pPr>
        <w:pStyle w:val="NoSpacing"/>
        <w:spacing w:line="360" w:lineRule="auto"/>
        <w:ind w:firstLine="1440"/>
        <w:rPr>
          <w:bCs/>
        </w:rPr>
      </w:pPr>
    </w:p>
    <w:p w14:paraId="4C9C52D8" w14:textId="3030E3F6" w:rsidR="009F76E7" w:rsidRPr="00FC3109" w:rsidRDefault="009F76E7" w:rsidP="009F76E7">
      <w:pPr>
        <w:pStyle w:val="NoSpacing"/>
        <w:numPr>
          <w:ilvl w:val="0"/>
          <w:numId w:val="2"/>
        </w:numPr>
        <w:spacing w:line="360" w:lineRule="auto"/>
        <w:ind w:left="0" w:firstLine="1440"/>
        <w:rPr>
          <w:rFonts w:eastAsia="Times New Roman"/>
          <w:bCs/>
        </w:rPr>
      </w:pPr>
      <w:r w:rsidRPr="00FC3109">
        <w:rPr>
          <w:bCs/>
        </w:rPr>
        <w:t xml:space="preserve">That </w:t>
      </w:r>
      <w:r w:rsidRPr="00FC3109">
        <w:t xml:space="preserve">the Motion </w:t>
      </w:r>
      <w:r w:rsidR="0050155C">
        <w:t xml:space="preserve">for </w:t>
      </w:r>
      <w:r w:rsidR="0044716E" w:rsidRPr="00FC3109">
        <w:t>Recusal</w:t>
      </w:r>
      <w:r w:rsidRPr="00FC3109">
        <w:t xml:space="preserve"> at consolidated Docket Numbers </w:t>
      </w:r>
      <w:r w:rsidRPr="00FC3109">
        <w:rPr>
          <w:bCs/>
        </w:rPr>
        <w:t xml:space="preserve">C-2019-3007989 and C-2019-3007995 is denied.  </w:t>
      </w:r>
    </w:p>
    <w:p w14:paraId="38D4D21F" w14:textId="77777777" w:rsidR="009F76E7" w:rsidRPr="00FC3109" w:rsidRDefault="009F76E7" w:rsidP="009F76E7">
      <w:pPr>
        <w:pStyle w:val="ListParagraph"/>
        <w:rPr>
          <w:rFonts w:ascii="Times New Roman" w:eastAsia="Times New Roman" w:hAnsi="Times New Roman"/>
          <w:bCs/>
        </w:rPr>
      </w:pPr>
    </w:p>
    <w:p w14:paraId="21B85D02" w14:textId="78864606" w:rsidR="009F76E7" w:rsidRPr="00FC3109" w:rsidRDefault="009F76E7" w:rsidP="009F76E7">
      <w:pPr>
        <w:pStyle w:val="NoSpacing"/>
        <w:numPr>
          <w:ilvl w:val="0"/>
          <w:numId w:val="2"/>
        </w:numPr>
        <w:spacing w:line="360" w:lineRule="auto"/>
        <w:ind w:left="0" w:firstLine="1440"/>
        <w:rPr>
          <w:rFonts w:eastAsia="Times New Roman"/>
          <w:bCs/>
        </w:rPr>
      </w:pPr>
      <w:r w:rsidRPr="00FC3109">
        <w:rPr>
          <w:rFonts w:eastAsia="Times New Roman"/>
          <w:bCs/>
        </w:rPr>
        <w:t xml:space="preserve">That the parties should </w:t>
      </w:r>
      <w:r w:rsidR="0044716E" w:rsidRPr="00FC3109">
        <w:rPr>
          <w:rFonts w:eastAsia="Times New Roman"/>
          <w:bCs/>
        </w:rPr>
        <w:t>contact</w:t>
      </w:r>
      <w:r w:rsidRPr="00FC3109">
        <w:rPr>
          <w:rFonts w:eastAsia="Times New Roman"/>
          <w:bCs/>
        </w:rPr>
        <w:t xml:space="preserve"> Legal Assistant Pamel</w:t>
      </w:r>
      <w:r w:rsidR="0044716E" w:rsidRPr="00FC3109">
        <w:rPr>
          <w:rFonts w:eastAsia="Times New Roman"/>
          <w:bCs/>
        </w:rPr>
        <w:t>a</w:t>
      </w:r>
      <w:r w:rsidRPr="00FC3109">
        <w:rPr>
          <w:rFonts w:eastAsia="Times New Roman"/>
          <w:bCs/>
        </w:rPr>
        <w:t xml:space="preserve"> McNeal</w:t>
      </w:r>
      <w:r w:rsidR="0044716E" w:rsidRPr="00FC3109">
        <w:rPr>
          <w:rFonts w:eastAsia="Times New Roman"/>
          <w:bCs/>
        </w:rPr>
        <w:t xml:space="preserve"> at</w:t>
      </w:r>
      <w:r w:rsidRPr="00FC3109">
        <w:rPr>
          <w:rFonts w:eastAsia="Times New Roman"/>
          <w:bCs/>
        </w:rPr>
        <w:t xml:space="preserve"> </w:t>
      </w:r>
      <w:hyperlink r:id="rId8" w:history="1">
        <w:r w:rsidRPr="00FC3109">
          <w:rPr>
            <w:rStyle w:val="Hyperlink"/>
            <w:rFonts w:eastAsia="Times New Roman"/>
            <w:bCs/>
          </w:rPr>
          <w:t>pmcneal@pa.gov</w:t>
        </w:r>
      </w:hyperlink>
      <w:r w:rsidR="0044716E" w:rsidRPr="00FC3109">
        <w:rPr>
          <w:rFonts w:eastAsia="Times New Roman"/>
          <w:bCs/>
        </w:rPr>
        <w:t xml:space="preserve"> if there are </w:t>
      </w:r>
      <w:r w:rsidRPr="00FC3109">
        <w:rPr>
          <w:rFonts w:eastAsia="Times New Roman"/>
          <w:bCs/>
        </w:rPr>
        <w:t xml:space="preserve">any email </w:t>
      </w:r>
      <w:r w:rsidR="0044716E" w:rsidRPr="00FC3109">
        <w:rPr>
          <w:rFonts w:eastAsia="Times New Roman"/>
          <w:bCs/>
        </w:rPr>
        <w:t>or other contact information changes or additions</w:t>
      </w:r>
      <w:r w:rsidRPr="00FC3109">
        <w:rPr>
          <w:rFonts w:eastAsia="Times New Roman"/>
          <w:bCs/>
        </w:rPr>
        <w:t xml:space="preserve"> and</w:t>
      </w:r>
      <w:r w:rsidR="0044716E" w:rsidRPr="00FC3109">
        <w:rPr>
          <w:rFonts w:eastAsia="Times New Roman"/>
          <w:bCs/>
        </w:rPr>
        <w:t xml:space="preserve"> consider signing up for eservice on the Commission’s website at </w:t>
      </w:r>
      <w:hyperlink r:id="rId9" w:history="1">
        <w:r w:rsidR="0044716E" w:rsidRPr="00FC3109">
          <w:rPr>
            <w:rStyle w:val="Hyperlink"/>
            <w:rFonts w:eastAsia="Times New Roman"/>
            <w:bCs/>
          </w:rPr>
          <w:t>http://www.puc.state.pa.us/</w:t>
        </w:r>
      </w:hyperlink>
      <w:r w:rsidR="0044716E" w:rsidRPr="00FC3109">
        <w:rPr>
          <w:rFonts w:eastAsia="Times New Roman"/>
          <w:bCs/>
        </w:rPr>
        <w:t xml:space="preserve"> .</w:t>
      </w:r>
      <w:r w:rsidRPr="00FC3109">
        <w:rPr>
          <w:rFonts w:eastAsia="Times New Roman"/>
          <w:bCs/>
        </w:rPr>
        <w:t xml:space="preserve"> </w:t>
      </w:r>
    </w:p>
    <w:p w14:paraId="19B14E18" w14:textId="02CFF10B" w:rsidR="009F76E7" w:rsidRDefault="009F76E7" w:rsidP="00891EB0">
      <w:pPr>
        <w:pStyle w:val="ListParagraph"/>
        <w:spacing w:line="360" w:lineRule="auto"/>
        <w:rPr>
          <w:rFonts w:ascii="Times New Roman" w:eastAsia="Times New Roman" w:hAnsi="Times New Roman"/>
          <w:bCs/>
        </w:rPr>
      </w:pPr>
    </w:p>
    <w:p w14:paraId="7E5ED203" w14:textId="77777777" w:rsidR="00891EB0" w:rsidRPr="00FC3109" w:rsidRDefault="00891EB0" w:rsidP="00891EB0">
      <w:pPr>
        <w:pStyle w:val="ListParagraph"/>
        <w:spacing w:line="360" w:lineRule="auto"/>
        <w:rPr>
          <w:rFonts w:ascii="Times New Roman" w:eastAsia="Times New Roman" w:hAnsi="Times New Roman"/>
          <w:bCs/>
        </w:rPr>
      </w:pPr>
    </w:p>
    <w:p w14:paraId="23815E0E" w14:textId="418B5917" w:rsidR="009F76E7" w:rsidRPr="00FC3109" w:rsidRDefault="009F76E7" w:rsidP="0002396F">
      <w:pPr>
        <w:spacing w:after="0" w:line="240" w:lineRule="auto"/>
        <w:rPr>
          <w:rFonts w:ascii="Times New Roman" w:hAnsi="Times New Roman" w:cs="Times New Roman"/>
          <w:bCs/>
          <w:sz w:val="24"/>
          <w:szCs w:val="24"/>
          <w:u w:val="single"/>
        </w:rPr>
      </w:pPr>
      <w:r w:rsidRPr="00FC3109">
        <w:rPr>
          <w:rFonts w:ascii="Times New Roman" w:hAnsi="Times New Roman" w:cs="Times New Roman"/>
          <w:bCs/>
          <w:sz w:val="24"/>
          <w:szCs w:val="24"/>
        </w:rPr>
        <w:t>Date:</w:t>
      </w:r>
      <w:r w:rsidRPr="00FC3109">
        <w:rPr>
          <w:rFonts w:ascii="Times New Roman" w:hAnsi="Times New Roman" w:cs="Times New Roman"/>
          <w:bCs/>
          <w:sz w:val="24"/>
          <w:szCs w:val="24"/>
        </w:rPr>
        <w:tab/>
      </w:r>
      <w:r w:rsidR="00FC3109">
        <w:rPr>
          <w:rFonts w:ascii="Times New Roman" w:hAnsi="Times New Roman" w:cs="Times New Roman"/>
          <w:bCs/>
          <w:sz w:val="24"/>
          <w:szCs w:val="24"/>
          <w:u w:val="single"/>
        </w:rPr>
        <w:t>June 15</w:t>
      </w:r>
      <w:r w:rsidRPr="00FC3109">
        <w:rPr>
          <w:rFonts w:ascii="Times New Roman" w:hAnsi="Times New Roman" w:cs="Times New Roman"/>
          <w:bCs/>
          <w:sz w:val="24"/>
          <w:szCs w:val="24"/>
          <w:u w:val="single"/>
        </w:rPr>
        <w:t>, 2020</w:t>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0002396F">
        <w:rPr>
          <w:rFonts w:ascii="Times New Roman" w:hAnsi="Times New Roman" w:cs="Times New Roman"/>
          <w:bCs/>
          <w:sz w:val="24"/>
          <w:szCs w:val="24"/>
        </w:rPr>
        <w:tab/>
      </w:r>
      <w:r w:rsidRPr="00FC3109">
        <w:rPr>
          <w:rFonts w:ascii="Times New Roman" w:hAnsi="Times New Roman" w:cs="Times New Roman"/>
          <w:bCs/>
          <w:sz w:val="24"/>
          <w:szCs w:val="24"/>
          <w:u w:val="single"/>
        </w:rPr>
        <w:tab/>
      </w:r>
      <w:r w:rsidRPr="00FC3109">
        <w:rPr>
          <w:rFonts w:ascii="Times New Roman" w:hAnsi="Times New Roman" w:cs="Times New Roman"/>
          <w:bCs/>
          <w:sz w:val="24"/>
          <w:szCs w:val="24"/>
          <w:u w:val="single"/>
        </w:rPr>
        <w:tab/>
        <w:t>/s/</w:t>
      </w:r>
      <w:r w:rsidRPr="00FC3109">
        <w:rPr>
          <w:rFonts w:ascii="Times New Roman" w:hAnsi="Times New Roman" w:cs="Times New Roman"/>
          <w:bCs/>
          <w:sz w:val="24"/>
          <w:szCs w:val="24"/>
          <w:u w:val="single"/>
        </w:rPr>
        <w:tab/>
      </w:r>
      <w:r w:rsidRPr="00FC3109">
        <w:rPr>
          <w:rFonts w:ascii="Times New Roman" w:hAnsi="Times New Roman" w:cs="Times New Roman"/>
          <w:bCs/>
          <w:sz w:val="24"/>
          <w:szCs w:val="24"/>
          <w:u w:val="single"/>
        </w:rPr>
        <w:tab/>
      </w:r>
      <w:r w:rsidRPr="00FC3109">
        <w:rPr>
          <w:rFonts w:ascii="Times New Roman" w:hAnsi="Times New Roman" w:cs="Times New Roman"/>
          <w:bCs/>
          <w:sz w:val="24"/>
          <w:szCs w:val="24"/>
          <w:u w:val="single"/>
        </w:rPr>
        <w:tab/>
      </w:r>
    </w:p>
    <w:p w14:paraId="35020E83" w14:textId="77777777" w:rsidR="009F76E7" w:rsidRPr="00FC3109" w:rsidRDefault="009F76E7" w:rsidP="0002396F">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t>Darlene D. Heep</w:t>
      </w:r>
    </w:p>
    <w:p w14:paraId="2AF37FBF" w14:textId="77777777" w:rsidR="009F76E7" w:rsidRPr="00FC3109" w:rsidRDefault="009F76E7" w:rsidP="0002396F">
      <w:pPr>
        <w:spacing w:after="0" w:line="240" w:lineRule="auto"/>
        <w:ind w:firstLine="720"/>
        <w:rPr>
          <w:rFonts w:ascii="Times New Roman" w:hAnsi="Times New Roman" w:cs="Times New Roman"/>
          <w:bCs/>
          <w:sz w:val="24"/>
          <w:szCs w:val="24"/>
        </w:rPr>
      </w:pP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r>
      <w:r w:rsidRPr="00FC3109">
        <w:rPr>
          <w:rFonts w:ascii="Times New Roman" w:hAnsi="Times New Roman" w:cs="Times New Roman"/>
          <w:bCs/>
          <w:sz w:val="24"/>
          <w:szCs w:val="24"/>
        </w:rPr>
        <w:tab/>
        <w:t>Administrative Law Judge</w:t>
      </w:r>
    </w:p>
    <w:p w14:paraId="5A789927" w14:textId="77777777" w:rsidR="009F76E7" w:rsidRPr="00FC3109" w:rsidRDefault="009F76E7" w:rsidP="0002396F">
      <w:pPr>
        <w:spacing w:after="0"/>
        <w:rPr>
          <w:rFonts w:ascii="Times New Roman" w:hAnsi="Times New Roman" w:cs="Times New Roman"/>
          <w:bCs/>
          <w:sz w:val="24"/>
          <w:szCs w:val="24"/>
        </w:rPr>
      </w:pPr>
      <w:r w:rsidRPr="00FC3109">
        <w:rPr>
          <w:rFonts w:ascii="Times New Roman" w:hAnsi="Times New Roman" w:cs="Times New Roman"/>
          <w:bCs/>
          <w:sz w:val="24"/>
          <w:szCs w:val="24"/>
        </w:rPr>
        <w:br w:type="page"/>
      </w:r>
    </w:p>
    <w:p w14:paraId="5F98540B" w14:textId="77777777" w:rsidR="009F76E7" w:rsidRPr="00FC3109" w:rsidRDefault="009F76E7" w:rsidP="007938FD">
      <w:pPr>
        <w:spacing w:after="0" w:line="240" w:lineRule="auto"/>
        <w:rPr>
          <w:rFonts w:ascii="Times New Roman" w:hAnsi="Times New Roman" w:cs="Times New Roman"/>
          <w:b/>
          <w:bCs/>
          <w:sz w:val="24"/>
          <w:szCs w:val="24"/>
          <w:u w:val="single"/>
        </w:rPr>
      </w:pPr>
      <w:r w:rsidRPr="00FC3109">
        <w:rPr>
          <w:rFonts w:ascii="Times New Roman" w:hAnsi="Times New Roman" w:cs="Times New Roman"/>
          <w:b/>
          <w:bCs/>
          <w:sz w:val="24"/>
          <w:szCs w:val="24"/>
          <w:u w:val="single"/>
        </w:rPr>
        <w:lastRenderedPageBreak/>
        <w:t>C-2019-3007989 – LIZA MOUSIOS v. METROPOLITAN EDISON COMPANY</w:t>
      </w:r>
    </w:p>
    <w:p w14:paraId="71DD12E5" w14:textId="77777777" w:rsidR="009F76E7" w:rsidRPr="00674B81" w:rsidRDefault="009F76E7" w:rsidP="00674B81">
      <w:pPr>
        <w:spacing w:after="0"/>
        <w:rPr>
          <w:rFonts w:ascii="Times New Roman" w:hAnsi="Times New Roman" w:cs="Times New Roman"/>
          <w:sz w:val="24"/>
          <w:szCs w:val="24"/>
          <w:u w:val="single"/>
        </w:rPr>
      </w:pPr>
    </w:p>
    <w:p w14:paraId="492AC06B" w14:textId="77777777" w:rsidR="009F76E7" w:rsidRPr="00FC3109" w:rsidRDefault="009F76E7" w:rsidP="007938FD">
      <w:pPr>
        <w:spacing w:after="0" w:line="240" w:lineRule="auto"/>
        <w:rPr>
          <w:rFonts w:ascii="Times New Roman" w:hAnsi="Times New Roman" w:cs="Times New Roman"/>
          <w:b/>
          <w:bCs/>
          <w:sz w:val="24"/>
          <w:szCs w:val="24"/>
          <w:u w:val="single"/>
        </w:rPr>
      </w:pPr>
      <w:r w:rsidRPr="00FC3109">
        <w:rPr>
          <w:rFonts w:ascii="Times New Roman" w:hAnsi="Times New Roman" w:cs="Times New Roman"/>
          <w:b/>
          <w:bCs/>
          <w:sz w:val="24"/>
          <w:szCs w:val="24"/>
          <w:u w:val="single"/>
        </w:rPr>
        <w:t>C-2019-3007995 – ROY CUMMING v. METROPOLITAN EDISON COMPANY</w:t>
      </w:r>
    </w:p>
    <w:p w14:paraId="0824B200" w14:textId="77777777" w:rsidR="009F76E7" w:rsidRPr="00FC3109" w:rsidRDefault="009F76E7" w:rsidP="00674B81">
      <w:pPr>
        <w:spacing w:after="0" w:line="240" w:lineRule="auto"/>
        <w:rPr>
          <w:rFonts w:ascii="Times New Roman" w:eastAsia="Microsoft Sans Serif" w:hAnsi="Times New Roman" w:cs="Times New Roman"/>
          <w:bCs/>
          <w:sz w:val="24"/>
          <w:szCs w:val="24"/>
          <w:u w:val="single"/>
        </w:rPr>
      </w:pPr>
    </w:p>
    <w:p w14:paraId="1A9F0D78" w14:textId="77777777" w:rsidR="009F76E7" w:rsidRPr="00FC3109" w:rsidRDefault="009F76E7" w:rsidP="00674B81">
      <w:pPr>
        <w:spacing w:after="0" w:line="240" w:lineRule="auto"/>
        <w:rPr>
          <w:rFonts w:ascii="Times New Roman" w:eastAsia="Microsoft Sans Serif" w:hAnsi="Times New Roman" w:cs="Times New Roman"/>
          <w:bCs/>
          <w:sz w:val="24"/>
          <w:szCs w:val="24"/>
          <w:u w:val="single"/>
        </w:rPr>
      </w:pPr>
    </w:p>
    <w:p w14:paraId="62D48285" w14:textId="77777777" w:rsidR="009F76E7" w:rsidRPr="00FC3109" w:rsidRDefault="009F76E7" w:rsidP="009F76E7">
      <w:pPr>
        <w:spacing w:after="0"/>
        <w:rPr>
          <w:rFonts w:ascii="Times New Roman" w:eastAsia="Microsoft Sans Serif" w:hAnsi="Times New Roman" w:cs="Times New Roman"/>
          <w:bCs/>
          <w:sz w:val="24"/>
          <w:szCs w:val="24"/>
        </w:rPr>
      </w:pPr>
      <w:bookmarkStart w:id="1" w:name="_Hlk27146753"/>
      <w:r w:rsidRPr="00FC3109">
        <w:rPr>
          <w:rFonts w:ascii="Times New Roman" w:eastAsia="Microsoft Sans Serif" w:hAnsi="Times New Roman" w:cs="Times New Roman"/>
          <w:bCs/>
          <w:sz w:val="24"/>
          <w:szCs w:val="24"/>
        </w:rPr>
        <w:t>LIZA MOUSIOS</w:t>
      </w:r>
      <w:r w:rsidRPr="00FC3109">
        <w:rPr>
          <w:rFonts w:ascii="Times New Roman" w:eastAsia="Microsoft Sans Serif" w:hAnsi="Times New Roman" w:cs="Times New Roman"/>
          <w:bCs/>
          <w:sz w:val="24"/>
          <w:szCs w:val="24"/>
        </w:rPr>
        <w:br/>
        <w:t>PO BOX 116</w:t>
      </w:r>
    </w:p>
    <w:p w14:paraId="0DA01591" w14:textId="6E9E04B5" w:rsidR="009F76E7" w:rsidRPr="00FC3109" w:rsidRDefault="009F76E7" w:rsidP="00674B81">
      <w:pPr>
        <w:spacing w:after="0" w:line="240" w:lineRule="auto"/>
        <w:rPr>
          <w:rFonts w:ascii="Times New Roman" w:eastAsia="Microsoft Sans Serif" w:hAnsi="Times New Roman" w:cs="Times New Roman"/>
          <w:bCs/>
          <w:sz w:val="24"/>
          <w:szCs w:val="24"/>
        </w:rPr>
      </w:pPr>
      <w:r w:rsidRPr="00FC3109">
        <w:rPr>
          <w:rFonts w:ascii="Times New Roman" w:eastAsia="Microsoft Sans Serif" w:hAnsi="Times New Roman" w:cs="Times New Roman"/>
          <w:bCs/>
          <w:sz w:val="24"/>
          <w:szCs w:val="24"/>
        </w:rPr>
        <w:t>68 MARIENSTEIN RD</w:t>
      </w:r>
      <w:r w:rsidRPr="00FC3109">
        <w:rPr>
          <w:rFonts w:ascii="Times New Roman" w:eastAsia="Microsoft Sans Serif" w:hAnsi="Times New Roman" w:cs="Times New Roman"/>
          <w:bCs/>
          <w:sz w:val="24"/>
          <w:szCs w:val="24"/>
        </w:rPr>
        <w:br/>
        <w:t>REVERE PA 18953</w:t>
      </w:r>
      <w:bookmarkEnd w:id="1"/>
      <w:r w:rsidRPr="00FC3109">
        <w:rPr>
          <w:rFonts w:ascii="Times New Roman" w:eastAsia="Microsoft Sans Serif" w:hAnsi="Times New Roman" w:cs="Times New Roman"/>
          <w:bCs/>
          <w:sz w:val="24"/>
          <w:szCs w:val="24"/>
        </w:rPr>
        <w:br/>
        <w:t>610.847.2744</w:t>
      </w:r>
    </w:p>
    <w:p w14:paraId="3F27734A" w14:textId="60B76948" w:rsidR="009F76E7" w:rsidRPr="00FC3109" w:rsidRDefault="002F0600" w:rsidP="00674B81">
      <w:pPr>
        <w:spacing w:after="0" w:line="240" w:lineRule="auto"/>
        <w:rPr>
          <w:rFonts w:ascii="Times New Roman" w:eastAsia="Microsoft Sans Serif" w:hAnsi="Times New Roman" w:cs="Times New Roman"/>
          <w:bCs/>
          <w:sz w:val="24"/>
          <w:szCs w:val="24"/>
        </w:rPr>
      </w:pPr>
      <w:hyperlink r:id="rId10" w:history="1">
        <w:r w:rsidR="009F76E7" w:rsidRPr="00FC3109">
          <w:rPr>
            <w:rStyle w:val="Hyperlink"/>
            <w:rFonts w:ascii="Times New Roman" w:hAnsi="Times New Roman" w:cs="Times New Roman"/>
            <w:sz w:val="24"/>
            <w:szCs w:val="24"/>
          </w:rPr>
          <w:t>cumming@epix.net</w:t>
        </w:r>
      </w:hyperlink>
    </w:p>
    <w:p w14:paraId="516808B5" w14:textId="77777777" w:rsidR="009F76E7" w:rsidRPr="00FC3109" w:rsidRDefault="009F76E7" w:rsidP="00674B81">
      <w:pPr>
        <w:spacing w:after="0" w:line="240" w:lineRule="auto"/>
        <w:rPr>
          <w:rFonts w:ascii="Times New Roman" w:eastAsia="Microsoft Sans Serif" w:hAnsi="Times New Roman" w:cs="Times New Roman"/>
          <w:bCs/>
          <w:sz w:val="24"/>
          <w:szCs w:val="24"/>
        </w:rPr>
      </w:pPr>
    </w:p>
    <w:p w14:paraId="1F22E7F7" w14:textId="77777777" w:rsidR="009F76E7" w:rsidRPr="00FC3109" w:rsidRDefault="009F76E7" w:rsidP="00674B81">
      <w:pPr>
        <w:spacing w:after="0" w:line="240" w:lineRule="auto"/>
        <w:rPr>
          <w:rFonts w:ascii="Times New Roman" w:eastAsia="Microsoft Sans Serif" w:hAnsi="Times New Roman" w:cs="Times New Roman"/>
          <w:bCs/>
          <w:sz w:val="24"/>
          <w:szCs w:val="24"/>
        </w:rPr>
      </w:pPr>
      <w:bookmarkStart w:id="2" w:name="_Hlk27146791"/>
      <w:r w:rsidRPr="00FC3109">
        <w:rPr>
          <w:rFonts w:ascii="Times New Roman" w:eastAsia="Microsoft Sans Serif" w:hAnsi="Times New Roman" w:cs="Times New Roman"/>
          <w:bCs/>
          <w:sz w:val="24"/>
          <w:szCs w:val="24"/>
        </w:rPr>
        <w:t>ROY CUMMING</w:t>
      </w:r>
      <w:r w:rsidRPr="00FC3109">
        <w:rPr>
          <w:rFonts w:ascii="Times New Roman" w:eastAsia="Microsoft Sans Serif" w:hAnsi="Times New Roman" w:cs="Times New Roman"/>
          <w:bCs/>
          <w:sz w:val="24"/>
          <w:szCs w:val="24"/>
        </w:rPr>
        <w:br/>
        <w:t>PO BOX 396</w:t>
      </w:r>
    </w:p>
    <w:p w14:paraId="1929AAE7" w14:textId="774ED2E2" w:rsidR="009F76E7" w:rsidRPr="00FC3109" w:rsidRDefault="009F76E7" w:rsidP="00674B81">
      <w:pPr>
        <w:spacing w:after="0" w:line="240" w:lineRule="auto"/>
        <w:rPr>
          <w:rFonts w:ascii="Times New Roman" w:eastAsia="Microsoft Sans Serif" w:hAnsi="Times New Roman" w:cs="Times New Roman"/>
          <w:bCs/>
          <w:sz w:val="24"/>
          <w:szCs w:val="24"/>
        </w:rPr>
      </w:pPr>
      <w:r w:rsidRPr="00FC3109">
        <w:rPr>
          <w:rFonts w:ascii="Times New Roman" w:eastAsia="Microsoft Sans Serif" w:hAnsi="Times New Roman" w:cs="Times New Roman"/>
          <w:bCs/>
          <w:sz w:val="24"/>
          <w:szCs w:val="24"/>
        </w:rPr>
        <w:t>68 MARIENSTEIN RD</w:t>
      </w:r>
      <w:r w:rsidRPr="00FC3109">
        <w:rPr>
          <w:rFonts w:ascii="Times New Roman" w:eastAsia="Microsoft Sans Serif" w:hAnsi="Times New Roman" w:cs="Times New Roman"/>
          <w:bCs/>
          <w:sz w:val="24"/>
          <w:szCs w:val="24"/>
        </w:rPr>
        <w:br/>
        <w:t>REVERE PA 18953</w:t>
      </w:r>
      <w:bookmarkEnd w:id="2"/>
      <w:r w:rsidRPr="00FC3109">
        <w:rPr>
          <w:rFonts w:ascii="Times New Roman" w:eastAsia="Microsoft Sans Serif" w:hAnsi="Times New Roman" w:cs="Times New Roman"/>
          <w:bCs/>
          <w:sz w:val="24"/>
          <w:szCs w:val="24"/>
        </w:rPr>
        <w:br/>
        <w:t>610.847.2744</w:t>
      </w:r>
    </w:p>
    <w:p w14:paraId="25FD1F3D" w14:textId="459CBDE2" w:rsidR="009F76E7" w:rsidRPr="00FC3109" w:rsidRDefault="002F0600" w:rsidP="00674B81">
      <w:pPr>
        <w:spacing w:after="0" w:line="240" w:lineRule="auto"/>
        <w:rPr>
          <w:rFonts w:ascii="Times New Roman" w:eastAsia="Microsoft Sans Serif" w:hAnsi="Times New Roman" w:cs="Times New Roman"/>
          <w:bCs/>
          <w:sz w:val="24"/>
          <w:szCs w:val="24"/>
        </w:rPr>
      </w:pPr>
      <w:hyperlink r:id="rId11" w:history="1">
        <w:r w:rsidR="009F76E7" w:rsidRPr="00FC3109">
          <w:rPr>
            <w:rStyle w:val="Hyperlink"/>
            <w:rFonts w:ascii="Times New Roman" w:hAnsi="Times New Roman" w:cs="Times New Roman"/>
            <w:sz w:val="24"/>
            <w:szCs w:val="24"/>
          </w:rPr>
          <w:t>cumming@epix.net</w:t>
        </w:r>
      </w:hyperlink>
    </w:p>
    <w:p w14:paraId="6E8E0DEC" w14:textId="77777777" w:rsidR="009F76E7" w:rsidRPr="00FC3109" w:rsidRDefault="009F76E7" w:rsidP="00674B81">
      <w:pPr>
        <w:spacing w:after="0" w:line="240" w:lineRule="auto"/>
        <w:rPr>
          <w:rFonts w:ascii="Times New Roman" w:eastAsia="Microsoft Sans Serif" w:hAnsi="Times New Roman" w:cs="Times New Roman"/>
          <w:bCs/>
          <w:sz w:val="24"/>
          <w:szCs w:val="24"/>
        </w:rPr>
      </w:pPr>
    </w:p>
    <w:p w14:paraId="5AB904CE"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TORI L GIESLER ESQUIRE</w:t>
      </w:r>
    </w:p>
    <w:p w14:paraId="06FA263C"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FIRSTENERGY SERVICES CO</w:t>
      </w:r>
    </w:p>
    <w:p w14:paraId="459985A4"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2800 POTTSVILLE PIKE</w:t>
      </w:r>
    </w:p>
    <w:p w14:paraId="2DA8C71C"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PO BOX 16001</w:t>
      </w:r>
    </w:p>
    <w:p w14:paraId="3EEB518B"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READING PA  19612</w:t>
      </w:r>
    </w:p>
    <w:p w14:paraId="64A40933"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610.921.6203</w:t>
      </w:r>
    </w:p>
    <w:p w14:paraId="0401E337" w14:textId="77777777" w:rsidR="009F76E7" w:rsidRPr="00FC3109" w:rsidRDefault="009F76E7" w:rsidP="009F76E7">
      <w:pPr>
        <w:spacing w:after="0" w:line="240" w:lineRule="auto"/>
        <w:rPr>
          <w:rFonts w:ascii="Times New Roman" w:hAnsi="Times New Roman" w:cs="Times New Roman"/>
          <w:bCs/>
          <w:sz w:val="24"/>
          <w:szCs w:val="24"/>
        </w:rPr>
      </w:pPr>
      <w:r w:rsidRPr="00FC3109">
        <w:rPr>
          <w:rFonts w:ascii="Times New Roman" w:hAnsi="Times New Roman" w:cs="Times New Roman"/>
          <w:bCs/>
          <w:sz w:val="24"/>
          <w:szCs w:val="24"/>
        </w:rPr>
        <w:t>610.921.6658</w:t>
      </w:r>
    </w:p>
    <w:p w14:paraId="577667DB" w14:textId="77777777" w:rsidR="009F76E7" w:rsidRPr="00674B81" w:rsidRDefault="009F76E7" w:rsidP="009F76E7">
      <w:pPr>
        <w:spacing w:after="0" w:line="240" w:lineRule="auto"/>
        <w:rPr>
          <w:rFonts w:ascii="Times New Roman" w:hAnsi="Times New Roman" w:cs="Times New Roman"/>
          <w:b/>
          <w:bCs/>
          <w:i/>
          <w:sz w:val="24"/>
          <w:szCs w:val="24"/>
          <w:u w:val="single"/>
        </w:rPr>
      </w:pPr>
      <w:r w:rsidRPr="00674B81">
        <w:rPr>
          <w:rFonts w:ascii="Times New Roman" w:hAnsi="Times New Roman" w:cs="Times New Roman"/>
          <w:b/>
          <w:bCs/>
          <w:i/>
          <w:sz w:val="24"/>
          <w:szCs w:val="24"/>
          <w:u w:val="single"/>
        </w:rPr>
        <w:t>ACCEPTS E-SERVICE</w:t>
      </w:r>
    </w:p>
    <w:sectPr w:rsidR="009F76E7" w:rsidRPr="00674B81" w:rsidSect="002B321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02B63" w14:textId="77777777" w:rsidR="002F0600" w:rsidRDefault="002F0600" w:rsidP="0040758C">
      <w:pPr>
        <w:spacing w:after="0" w:line="240" w:lineRule="auto"/>
      </w:pPr>
      <w:r>
        <w:separator/>
      </w:r>
    </w:p>
  </w:endnote>
  <w:endnote w:type="continuationSeparator" w:id="0">
    <w:p w14:paraId="7FF2E53A" w14:textId="77777777" w:rsidR="002F0600" w:rsidRDefault="002F0600" w:rsidP="00407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383553"/>
      <w:docPartObj>
        <w:docPartGallery w:val="Page Numbers (Bottom of Page)"/>
        <w:docPartUnique/>
      </w:docPartObj>
    </w:sdtPr>
    <w:sdtEndPr>
      <w:rPr>
        <w:rFonts w:ascii="Times New Roman" w:hAnsi="Times New Roman" w:cs="Times New Roman"/>
        <w:noProof/>
        <w:sz w:val="20"/>
        <w:szCs w:val="20"/>
      </w:rPr>
    </w:sdtEndPr>
    <w:sdtContent>
      <w:p w14:paraId="385EA9A0" w14:textId="2A301696" w:rsidR="008E29FB" w:rsidRPr="002B321B" w:rsidRDefault="008E29FB">
        <w:pPr>
          <w:pStyle w:val="Footer"/>
          <w:jc w:val="center"/>
          <w:rPr>
            <w:rFonts w:ascii="Times New Roman" w:hAnsi="Times New Roman" w:cs="Times New Roman"/>
            <w:sz w:val="20"/>
            <w:szCs w:val="20"/>
          </w:rPr>
        </w:pPr>
        <w:r w:rsidRPr="002B321B">
          <w:rPr>
            <w:rFonts w:ascii="Times New Roman" w:hAnsi="Times New Roman" w:cs="Times New Roman"/>
            <w:sz w:val="20"/>
            <w:szCs w:val="20"/>
          </w:rPr>
          <w:fldChar w:fldCharType="begin"/>
        </w:r>
        <w:r w:rsidRPr="002B321B">
          <w:rPr>
            <w:rFonts w:ascii="Times New Roman" w:hAnsi="Times New Roman" w:cs="Times New Roman"/>
            <w:sz w:val="20"/>
            <w:szCs w:val="20"/>
          </w:rPr>
          <w:instrText xml:space="preserve"> PAGE   \* MERGEFORMAT </w:instrText>
        </w:r>
        <w:r w:rsidRPr="002B321B">
          <w:rPr>
            <w:rFonts w:ascii="Times New Roman" w:hAnsi="Times New Roman" w:cs="Times New Roman"/>
            <w:sz w:val="20"/>
            <w:szCs w:val="20"/>
          </w:rPr>
          <w:fldChar w:fldCharType="separate"/>
        </w:r>
        <w:r w:rsidRPr="002B321B">
          <w:rPr>
            <w:rFonts w:ascii="Times New Roman" w:hAnsi="Times New Roman" w:cs="Times New Roman"/>
            <w:noProof/>
            <w:sz w:val="20"/>
            <w:szCs w:val="20"/>
          </w:rPr>
          <w:t>2</w:t>
        </w:r>
        <w:r w:rsidRPr="002B321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FC1D" w14:textId="77777777" w:rsidR="002F0600" w:rsidRDefault="002F0600" w:rsidP="0040758C">
      <w:pPr>
        <w:spacing w:after="0" w:line="240" w:lineRule="auto"/>
      </w:pPr>
      <w:r>
        <w:separator/>
      </w:r>
    </w:p>
  </w:footnote>
  <w:footnote w:type="continuationSeparator" w:id="0">
    <w:p w14:paraId="42085581" w14:textId="77777777" w:rsidR="002F0600" w:rsidRDefault="002F0600" w:rsidP="0040758C">
      <w:pPr>
        <w:spacing w:after="0" w:line="240" w:lineRule="auto"/>
      </w:pPr>
      <w:r>
        <w:continuationSeparator/>
      </w:r>
    </w:p>
  </w:footnote>
  <w:footnote w:id="1">
    <w:p w14:paraId="71226D13" w14:textId="35A644A8" w:rsidR="00A16B58" w:rsidRPr="00EB3E06" w:rsidRDefault="00A16B58" w:rsidP="00A16B58">
      <w:pPr>
        <w:pStyle w:val="PlainText"/>
        <w:rPr>
          <w:rFonts w:ascii="Times New Roman" w:hAnsi="Times New Roman" w:cs="Times New Roman"/>
          <w:sz w:val="20"/>
          <w:szCs w:val="20"/>
        </w:rPr>
      </w:pPr>
      <w:r>
        <w:rPr>
          <w:rStyle w:val="FootnoteReference"/>
        </w:rPr>
        <w:footnoteRef/>
      </w:r>
      <w:r>
        <w:t xml:space="preserve">  </w:t>
      </w:r>
      <w:r>
        <w:tab/>
      </w:r>
      <w:r w:rsidRPr="00EB3E06">
        <w:rPr>
          <w:rFonts w:ascii="Times New Roman" w:hAnsi="Times New Roman" w:cs="Times New Roman"/>
          <w:sz w:val="20"/>
          <w:szCs w:val="20"/>
        </w:rPr>
        <w:t xml:space="preserve">The Complainants reference the pending </w:t>
      </w:r>
      <w:r>
        <w:rPr>
          <w:rFonts w:ascii="Times New Roman" w:hAnsi="Times New Roman" w:cs="Times New Roman"/>
          <w:sz w:val="20"/>
          <w:szCs w:val="20"/>
        </w:rPr>
        <w:t>appeals</w:t>
      </w:r>
      <w:r w:rsidRPr="00EB3E06">
        <w:rPr>
          <w:rFonts w:ascii="Times New Roman" w:hAnsi="Times New Roman" w:cs="Times New Roman"/>
          <w:sz w:val="20"/>
          <w:szCs w:val="20"/>
        </w:rPr>
        <w:t xml:space="preserve"> as follows: Maria Povasz v. Public Utility Commission No. 492 C.D.2019 B Laura Sunstein  Murphy 606 C.D. 2019 C Amicus Brief  of Laura  Sunstein Murphy{ see above} D Cynthia Randall and Paul Albrecht No.607 C.D.2019 E  Mary  Paul 460C.D. 2019 F Evangeline Hoffman-Lorah712 C.D. 2019 G Dr. and Dr.</w:t>
      </w:r>
      <w:r w:rsidR="006A18C4">
        <w:rPr>
          <w:rFonts w:ascii="Times New Roman" w:hAnsi="Times New Roman" w:cs="Times New Roman"/>
          <w:sz w:val="20"/>
          <w:szCs w:val="20"/>
        </w:rPr>
        <w:t xml:space="preserve"> </w:t>
      </w:r>
      <w:r w:rsidRPr="00EB3E06">
        <w:rPr>
          <w:rFonts w:ascii="Times New Roman" w:hAnsi="Times New Roman" w:cs="Times New Roman"/>
          <w:sz w:val="20"/>
          <w:szCs w:val="20"/>
        </w:rPr>
        <w:t>Alexia and Lawrence  McKnight1253C.D.2019 H Richard N.Meyers 1337 C.D. 2019 I  Willard and Elsbeth Sunstein 1581 C.D. 2019 J Janice Denito Branagh 1857C.D.2019 KOrpheus and Kimberly Hanley 172 C.D. 2020</w:t>
      </w:r>
      <w:r>
        <w:rPr>
          <w:rFonts w:ascii="Times New Roman" w:hAnsi="Times New Roman" w:cs="Times New Roman"/>
          <w:sz w:val="20"/>
          <w:szCs w:val="20"/>
        </w:rPr>
        <w:t xml:space="preserve">. </w:t>
      </w:r>
    </w:p>
    <w:p w14:paraId="50BF6511" w14:textId="77777777" w:rsidR="00A16B58" w:rsidRPr="00EB3E06" w:rsidRDefault="00A16B58" w:rsidP="00A16B58">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108D8"/>
    <w:multiLevelType w:val="hybridMultilevel"/>
    <w:tmpl w:val="4198CE72"/>
    <w:lvl w:ilvl="0" w:tplc="FDF4318C">
      <w:start w:val="4"/>
      <w:numFmt w:val="decimal"/>
      <w:lvlText w:val="%1."/>
      <w:lvlJc w:val="left"/>
      <w:pPr>
        <w:ind w:left="1800" w:hanging="360"/>
      </w:pPr>
      <w:rPr>
        <w:rFonts w:ascii="CG Times" w:eastAsiaTheme="minorHAnsi" w:hAnsi="CG Time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6EA91E57"/>
    <w:multiLevelType w:val="hybridMultilevel"/>
    <w:tmpl w:val="F648F15A"/>
    <w:lvl w:ilvl="0" w:tplc="BFB056D0">
      <w:start w:val="1"/>
      <w:numFmt w:val="decimal"/>
      <w:lvlText w:val="%1."/>
      <w:lvlJc w:val="left"/>
      <w:pPr>
        <w:ind w:left="2160" w:hanging="720"/>
      </w:pPr>
      <w:rPr>
        <w:rFonts w:eastAsia="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FA"/>
    <w:rsid w:val="000014B2"/>
    <w:rsid w:val="00021307"/>
    <w:rsid w:val="0002396F"/>
    <w:rsid w:val="00053FF3"/>
    <w:rsid w:val="00081CE8"/>
    <w:rsid w:val="000D0611"/>
    <w:rsid w:val="00111D37"/>
    <w:rsid w:val="00113B85"/>
    <w:rsid w:val="00114511"/>
    <w:rsid w:val="00114821"/>
    <w:rsid w:val="001656F7"/>
    <w:rsid w:val="00177E45"/>
    <w:rsid w:val="0019347A"/>
    <w:rsid w:val="001F524E"/>
    <w:rsid w:val="00206A15"/>
    <w:rsid w:val="002324F4"/>
    <w:rsid w:val="002344B1"/>
    <w:rsid w:val="00292BE6"/>
    <w:rsid w:val="002B1254"/>
    <w:rsid w:val="002B321B"/>
    <w:rsid w:val="002E400E"/>
    <w:rsid w:val="002F0600"/>
    <w:rsid w:val="002F214B"/>
    <w:rsid w:val="00306486"/>
    <w:rsid w:val="003346F6"/>
    <w:rsid w:val="003A1800"/>
    <w:rsid w:val="004003FC"/>
    <w:rsid w:val="00403826"/>
    <w:rsid w:val="0040758C"/>
    <w:rsid w:val="00412A71"/>
    <w:rsid w:val="00414314"/>
    <w:rsid w:val="0044716E"/>
    <w:rsid w:val="00463F09"/>
    <w:rsid w:val="00475940"/>
    <w:rsid w:val="004C4696"/>
    <w:rsid w:val="004E577A"/>
    <w:rsid w:val="0050155C"/>
    <w:rsid w:val="00523944"/>
    <w:rsid w:val="00575B19"/>
    <w:rsid w:val="005800D9"/>
    <w:rsid w:val="00615610"/>
    <w:rsid w:val="00674B81"/>
    <w:rsid w:val="0068108D"/>
    <w:rsid w:val="00695AFA"/>
    <w:rsid w:val="006A18C4"/>
    <w:rsid w:val="006B021D"/>
    <w:rsid w:val="007264FA"/>
    <w:rsid w:val="007938FD"/>
    <w:rsid w:val="007E0795"/>
    <w:rsid w:val="007E327E"/>
    <w:rsid w:val="0083192F"/>
    <w:rsid w:val="0083372F"/>
    <w:rsid w:val="00886020"/>
    <w:rsid w:val="00886769"/>
    <w:rsid w:val="00891EB0"/>
    <w:rsid w:val="008A221F"/>
    <w:rsid w:val="008D77CC"/>
    <w:rsid w:val="008E29FB"/>
    <w:rsid w:val="00946ABD"/>
    <w:rsid w:val="0096188E"/>
    <w:rsid w:val="009D2545"/>
    <w:rsid w:val="009F76E7"/>
    <w:rsid w:val="00A16B58"/>
    <w:rsid w:val="00A473C2"/>
    <w:rsid w:val="00B061CB"/>
    <w:rsid w:val="00B84BF6"/>
    <w:rsid w:val="00BE52C9"/>
    <w:rsid w:val="00BE678E"/>
    <w:rsid w:val="00C0266B"/>
    <w:rsid w:val="00C11B93"/>
    <w:rsid w:val="00C341A5"/>
    <w:rsid w:val="00C4704E"/>
    <w:rsid w:val="00C8029F"/>
    <w:rsid w:val="00CD1C0C"/>
    <w:rsid w:val="00D5790A"/>
    <w:rsid w:val="00D66101"/>
    <w:rsid w:val="00D67A6E"/>
    <w:rsid w:val="00D73FC3"/>
    <w:rsid w:val="00DA78F2"/>
    <w:rsid w:val="00DE44EE"/>
    <w:rsid w:val="00E266F2"/>
    <w:rsid w:val="00E27F3A"/>
    <w:rsid w:val="00E35DA8"/>
    <w:rsid w:val="00E4689F"/>
    <w:rsid w:val="00E56B81"/>
    <w:rsid w:val="00EB3E06"/>
    <w:rsid w:val="00F12236"/>
    <w:rsid w:val="00F63EE5"/>
    <w:rsid w:val="00F874DC"/>
    <w:rsid w:val="00FA4155"/>
    <w:rsid w:val="00FA7148"/>
    <w:rsid w:val="00FC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6772"/>
  <w15:chartTrackingRefBased/>
  <w15:docId w15:val="{2C006E92-A35C-428E-BC61-998889B6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4FA"/>
    <w:pPr>
      <w:spacing w:after="0" w:line="240" w:lineRule="auto"/>
    </w:pPr>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40758C"/>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40758C"/>
    <w:rPr>
      <w:rFonts w:ascii="Calibri" w:hAnsi="Calibri" w:cs="Times New Roman"/>
      <w:sz w:val="20"/>
      <w:szCs w:val="20"/>
    </w:rPr>
  </w:style>
  <w:style w:type="paragraph" w:styleId="ListParagraph">
    <w:name w:val="List Paragraph"/>
    <w:basedOn w:val="Normal"/>
    <w:uiPriority w:val="34"/>
    <w:qFormat/>
    <w:rsid w:val="0040758C"/>
    <w:pPr>
      <w:autoSpaceDE w:val="0"/>
      <w:autoSpaceDN w:val="0"/>
      <w:spacing w:after="0" w:line="240" w:lineRule="auto"/>
      <w:ind w:left="720"/>
    </w:pPr>
    <w:rPr>
      <w:rFonts w:ascii="CG Times" w:hAnsi="CG Times" w:cs="Times New Roman"/>
      <w:sz w:val="24"/>
      <w:szCs w:val="24"/>
    </w:rPr>
  </w:style>
  <w:style w:type="character" w:styleId="FootnoteReference">
    <w:name w:val="footnote reference"/>
    <w:basedOn w:val="DefaultParagraphFont"/>
    <w:uiPriority w:val="99"/>
    <w:semiHidden/>
    <w:unhideWhenUsed/>
    <w:rsid w:val="0040758C"/>
    <w:rPr>
      <w:vertAlign w:val="superscript"/>
    </w:rPr>
  </w:style>
  <w:style w:type="character" w:customStyle="1" w:styleId="sssh">
    <w:name w:val="ss_sh"/>
    <w:rsid w:val="00081CE8"/>
  </w:style>
  <w:style w:type="character" w:styleId="Hyperlink">
    <w:name w:val="Hyperlink"/>
    <w:basedOn w:val="DefaultParagraphFont"/>
    <w:uiPriority w:val="99"/>
    <w:unhideWhenUsed/>
    <w:rsid w:val="00081CE8"/>
    <w:rPr>
      <w:strike w:val="0"/>
      <w:dstrike w:val="0"/>
      <w:color w:val="004B91"/>
      <w:u w:val="none"/>
      <w:effect w:val="none"/>
    </w:rPr>
  </w:style>
  <w:style w:type="character" w:styleId="UnresolvedMention">
    <w:name w:val="Unresolved Mention"/>
    <w:basedOn w:val="DefaultParagraphFont"/>
    <w:uiPriority w:val="99"/>
    <w:semiHidden/>
    <w:unhideWhenUsed/>
    <w:rsid w:val="009F76E7"/>
    <w:rPr>
      <w:color w:val="605E5C"/>
      <w:shd w:val="clear" w:color="auto" w:fill="E1DFDD"/>
    </w:rPr>
  </w:style>
  <w:style w:type="paragraph" w:styleId="PlainText">
    <w:name w:val="Plain Text"/>
    <w:basedOn w:val="Normal"/>
    <w:link w:val="PlainTextChar"/>
    <w:uiPriority w:val="99"/>
    <w:semiHidden/>
    <w:unhideWhenUsed/>
    <w:rsid w:val="00EB3E0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B3E06"/>
    <w:rPr>
      <w:rFonts w:ascii="Calibri" w:hAnsi="Calibri"/>
      <w:szCs w:val="21"/>
    </w:rPr>
  </w:style>
  <w:style w:type="paragraph" w:styleId="Header">
    <w:name w:val="header"/>
    <w:basedOn w:val="Normal"/>
    <w:link w:val="HeaderChar"/>
    <w:uiPriority w:val="99"/>
    <w:unhideWhenUsed/>
    <w:rsid w:val="008E2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9FB"/>
  </w:style>
  <w:style w:type="paragraph" w:styleId="Footer">
    <w:name w:val="footer"/>
    <w:basedOn w:val="Normal"/>
    <w:link w:val="FooterChar"/>
    <w:uiPriority w:val="99"/>
    <w:unhideWhenUsed/>
    <w:rsid w:val="008E2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9974">
      <w:bodyDiv w:val="1"/>
      <w:marLeft w:val="0"/>
      <w:marRight w:val="0"/>
      <w:marTop w:val="0"/>
      <w:marBottom w:val="0"/>
      <w:divBdr>
        <w:top w:val="none" w:sz="0" w:space="0" w:color="auto"/>
        <w:left w:val="none" w:sz="0" w:space="0" w:color="auto"/>
        <w:bottom w:val="none" w:sz="0" w:space="0" w:color="auto"/>
        <w:right w:val="none" w:sz="0" w:space="0" w:color="auto"/>
      </w:divBdr>
    </w:div>
    <w:div w:id="221405328">
      <w:bodyDiv w:val="1"/>
      <w:marLeft w:val="0"/>
      <w:marRight w:val="0"/>
      <w:marTop w:val="0"/>
      <w:marBottom w:val="0"/>
      <w:divBdr>
        <w:top w:val="none" w:sz="0" w:space="0" w:color="auto"/>
        <w:left w:val="none" w:sz="0" w:space="0" w:color="auto"/>
        <w:bottom w:val="none" w:sz="0" w:space="0" w:color="auto"/>
        <w:right w:val="none" w:sz="0" w:space="0" w:color="auto"/>
      </w:divBdr>
    </w:div>
    <w:div w:id="285086422">
      <w:bodyDiv w:val="1"/>
      <w:marLeft w:val="0"/>
      <w:marRight w:val="0"/>
      <w:marTop w:val="0"/>
      <w:marBottom w:val="0"/>
      <w:divBdr>
        <w:top w:val="none" w:sz="0" w:space="0" w:color="auto"/>
        <w:left w:val="none" w:sz="0" w:space="0" w:color="auto"/>
        <w:bottom w:val="none" w:sz="0" w:space="0" w:color="auto"/>
        <w:right w:val="none" w:sz="0" w:space="0" w:color="auto"/>
      </w:divBdr>
    </w:div>
    <w:div w:id="585841461">
      <w:bodyDiv w:val="1"/>
      <w:marLeft w:val="0"/>
      <w:marRight w:val="0"/>
      <w:marTop w:val="0"/>
      <w:marBottom w:val="0"/>
      <w:divBdr>
        <w:top w:val="none" w:sz="0" w:space="0" w:color="auto"/>
        <w:left w:val="none" w:sz="0" w:space="0" w:color="auto"/>
        <w:bottom w:val="none" w:sz="0" w:space="0" w:color="auto"/>
        <w:right w:val="none" w:sz="0" w:space="0" w:color="auto"/>
      </w:divBdr>
    </w:div>
    <w:div w:id="920022402">
      <w:bodyDiv w:val="1"/>
      <w:marLeft w:val="0"/>
      <w:marRight w:val="0"/>
      <w:marTop w:val="0"/>
      <w:marBottom w:val="0"/>
      <w:divBdr>
        <w:top w:val="none" w:sz="0" w:space="0" w:color="auto"/>
        <w:left w:val="none" w:sz="0" w:space="0" w:color="auto"/>
        <w:bottom w:val="none" w:sz="0" w:space="0" w:color="auto"/>
        <w:right w:val="none" w:sz="0" w:space="0" w:color="auto"/>
      </w:divBdr>
    </w:div>
    <w:div w:id="109000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mming@epix.net" TargetMode="External"/><Relationship Id="rId5" Type="http://schemas.openxmlformats.org/officeDocument/2006/relationships/webSettings" Target="webSettings.xml"/><Relationship Id="rId10" Type="http://schemas.openxmlformats.org/officeDocument/2006/relationships/hyperlink" Target="mailto:cumming@epix.net" TargetMode="External"/><Relationship Id="rId4" Type="http://schemas.openxmlformats.org/officeDocument/2006/relationships/settings" Target="settings.xml"/><Relationship Id="rId9" Type="http://schemas.openxmlformats.org/officeDocument/2006/relationships/hyperlink" Target="http://www.puc.state.p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571C-1EB0-4621-BC14-E28CF3FE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2</cp:revision>
  <dcterms:created xsi:type="dcterms:W3CDTF">2020-06-15T18:55:00Z</dcterms:created>
  <dcterms:modified xsi:type="dcterms:W3CDTF">2020-06-15T18:55:00Z</dcterms:modified>
</cp:coreProperties>
</file>