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82159" w14:textId="77777777" w:rsidR="00C637FE" w:rsidRDefault="00C637FE" w:rsidP="00C637FE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75943257" w14:textId="77777777" w:rsidR="00C637FE" w:rsidRDefault="00C637FE" w:rsidP="00C637FE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515C19BB" w14:textId="59940DF0" w:rsidR="00C637FE" w:rsidRDefault="00C637FE" w:rsidP="00C637FE">
      <w:pPr>
        <w:ind w:right="18"/>
        <w:jc w:val="both"/>
        <w:rPr>
          <w:sz w:val="24"/>
          <w:szCs w:val="24"/>
        </w:rPr>
      </w:pPr>
    </w:p>
    <w:p w14:paraId="1FE792AF" w14:textId="77777777" w:rsidR="00360BBD" w:rsidRDefault="00360BBD" w:rsidP="00C637FE">
      <w:pPr>
        <w:ind w:right="18"/>
        <w:jc w:val="both"/>
        <w:rPr>
          <w:sz w:val="24"/>
          <w:szCs w:val="24"/>
        </w:rPr>
      </w:pPr>
    </w:p>
    <w:p w14:paraId="55540AF3" w14:textId="77777777" w:rsidR="00C637FE" w:rsidRDefault="00C637FE" w:rsidP="00C637FE">
      <w:pPr>
        <w:ind w:right="18"/>
        <w:jc w:val="both"/>
        <w:rPr>
          <w:sz w:val="24"/>
          <w:szCs w:val="24"/>
        </w:rPr>
      </w:pPr>
    </w:p>
    <w:p w14:paraId="1434FB53" w14:textId="77777777" w:rsidR="00C637FE" w:rsidRDefault="00C637FE" w:rsidP="00C637F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F9A59F8" w14:textId="0250E666" w:rsidR="00C637FE" w:rsidRDefault="00C637FE" w:rsidP="00C637FE">
      <w:pPr>
        <w:pStyle w:val="NoSpacing"/>
      </w:pPr>
      <w:r>
        <w:t>Michael Hillman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>fillin "Complainant's name" \d ""</w:instrText>
      </w:r>
      <w:r>
        <w:fldChar w:fldCharType="end"/>
      </w:r>
      <w:r>
        <w:t>:</w:t>
      </w:r>
    </w:p>
    <w:p w14:paraId="6F7A6F7C" w14:textId="77777777" w:rsidR="00C637FE" w:rsidRDefault="00C637FE" w:rsidP="00C637FE">
      <w:pPr>
        <w:pStyle w:val="NoSpacing"/>
        <w:ind w:left="4320" w:firstLine="720"/>
      </w:pPr>
      <w:r>
        <w:t>:</w:t>
      </w:r>
    </w:p>
    <w:p w14:paraId="4713D392" w14:textId="7732956F" w:rsidR="00C637FE" w:rsidRDefault="00C637FE" w:rsidP="00C637FE">
      <w:pPr>
        <w:pStyle w:val="NoSpacing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F-2020-3019051</w:t>
      </w:r>
    </w:p>
    <w:p w14:paraId="5EA854B0" w14:textId="77777777" w:rsidR="00C637FE" w:rsidRDefault="00C637FE" w:rsidP="00C637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7AC5DD2B" w14:textId="77777777" w:rsidR="00C637FE" w:rsidRDefault="00C637FE" w:rsidP="00C637FE">
      <w:pPr>
        <w:pStyle w:val="NoSpacing"/>
        <w:ind w:left="4320" w:firstLine="720"/>
      </w:pPr>
      <w:r>
        <w:t>:</w:t>
      </w:r>
    </w:p>
    <w:p w14:paraId="13C2B6C8" w14:textId="77777777" w:rsidR="00C637FE" w:rsidRDefault="00C637FE" w:rsidP="00C637FE">
      <w:pPr>
        <w:pStyle w:val="NoSpacing"/>
        <w:rPr>
          <w:szCs w:val="24"/>
        </w:rPr>
      </w:pPr>
      <w:r>
        <w:t>PECO Energy Company</w:t>
      </w:r>
      <w:r>
        <w:tab/>
      </w:r>
      <w: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FEAC962" w14:textId="77777777" w:rsidR="00C637FE" w:rsidRDefault="00C637FE" w:rsidP="00C637FE">
      <w:pPr>
        <w:ind w:right="18"/>
        <w:jc w:val="both"/>
        <w:rPr>
          <w:sz w:val="24"/>
          <w:szCs w:val="24"/>
        </w:rPr>
      </w:pPr>
    </w:p>
    <w:p w14:paraId="5D3C8D51" w14:textId="77777777" w:rsidR="00C637FE" w:rsidRDefault="00C637FE" w:rsidP="00C637FE">
      <w:pPr>
        <w:ind w:right="18"/>
        <w:jc w:val="both"/>
        <w:rPr>
          <w:sz w:val="24"/>
          <w:szCs w:val="24"/>
        </w:rPr>
      </w:pPr>
    </w:p>
    <w:p w14:paraId="770638A9" w14:textId="77777777" w:rsidR="00C637FE" w:rsidRDefault="00C637FE" w:rsidP="00C637FE">
      <w:pPr>
        <w:ind w:right="18"/>
        <w:jc w:val="both"/>
        <w:rPr>
          <w:sz w:val="24"/>
          <w:szCs w:val="24"/>
        </w:rPr>
      </w:pPr>
    </w:p>
    <w:p w14:paraId="44B89C3D" w14:textId="77777777" w:rsidR="00C637FE" w:rsidRDefault="00C637FE" w:rsidP="00C637FE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794E98EA" w14:textId="77777777" w:rsidR="00C637FE" w:rsidRDefault="00C637FE" w:rsidP="00360BBD">
      <w:pPr>
        <w:suppressAutoHyphens/>
        <w:autoSpaceDE w:val="0"/>
        <w:autoSpaceDN w:val="0"/>
        <w:spacing w:line="360" w:lineRule="auto"/>
        <w:ind w:right="18"/>
        <w:rPr>
          <w:spacing w:val="-3"/>
          <w:sz w:val="24"/>
          <w:szCs w:val="24"/>
        </w:rPr>
      </w:pPr>
    </w:p>
    <w:p w14:paraId="4763B7F4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5794DF1C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05401C5A" w14:textId="3539C455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D0407C">
        <w:rPr>
          <w:sz w:val="24"/>
          <w:szCs w:val="24"/>
        </w:rPr>
        <w:t>February 25</w:t>
      </w:r>
      <w:r>
        <w:rPr>
          <w:sz w:val="24"/>
          <w:szCs w:val="24"/>
        </w:rPr>
        <w:t xml:space="preserve">, 2020, </w:t>
      </w:r>
      <w:r w:rsidR="001C7179">
        <w:rPr>
          <w:spacing w:val="-3"/>
          <w:sz w:val="24"/>
          <w:szCs w:val="24"/>
        </w:rPr>
        <w:t>Michael Hillman</w:t>
      </w:r>
      <w:r>
        <w:rPr>
          <w:sz w:val="24"/>
          <w:szCs w:val="24"/>
        </w:rPr>
        <w:t xml:space="preserve"> (Complainant) filed a formal complaint against PECO Energy Company (Respondent).  The Complainant alleged that there w</w:t>
      </w:r>
      <w:r w:rsidR="00601F81">
        <w:rPr>
          <w:sz w:val="24"/>
          <w:szCs w:val="24"/>
        </w:rPr>
        <w:t xml:space="preserve">as a foreign load issue </w:t>
      </w:r>
      <w:r w:rsidR="008D6C3F">
        <w:rPr>
          <w:sz w:val="24"/>
          <w:szCs w:val="24"/>
        </w:rPr>
        <w:t>at the service address</w:t>
      </w:r>
      <w:r>
        <w:rPr>
          <w:sz w:val="24"/>
          <w:szCs w:val="24"/>
        </w:rPr>
        <w:t xml:space="preserve">.  </w:t>
      </w:r>
    </w:p>
    <w:p w14:paraId="078C60BF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F682DC5" w14:textId="79C93B7A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7568B0">
        <w:rPr>
          <w:sz w:val="24"/>
          <w:szCs w:val="24"/>
        </w:rPr>
        <w:t>March 23</w:t>
      </w:r>
      <w:r>
        <w:rPr>
          <w:sz w:val="24"/>
          <w:szCs w:val="24"/>
        </w:rPr>
        <w:t xml:space="preserve">, 2020, the Respondent filed an answer to the formal complaint denying the material allegations of the Complaint.  </w:t>
      </w:r>
    </w:p>
    <w:p w14:paraId="4AB0A2C0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56084D3" w14:textId="20DE1ED6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June </w:t>
      </w:r>
      <w:r w:rsidR="007568B0">
        <w:rPr>
          <w:sz w:val="24"/>
          <w:szCs w:val="24"/>
        </w:rPr>
        <w:t>19</w:t>
      </w:r>
      <w:r>
        <w:rPr>
          <w:sz w:val="24"/>
          <w:szCs w:val="24"/>
        </w:rPr>
        <w:t xml:space="preserve">, 2020.  </w:t>
      </w:r>
      <w:r w:rsidR="007568B0">
        <w:rPr>
          <w:sz w:val="24"/>
          <w:szCs w:val="24"/>
        </w:rPr>
        <w:t xml:space="preserve">June </w:t>
      </w:r>
      <w:r w:rsidR="00360BBD">
        <w:rPr>
          <w:sz w:val="24"/>
          <w:szCs w:val="24"/>
        </w:rPr>
        <w:t> </w:t>
      </w:r>
      <w:r w:rsidR="007568B0">
        <w:rPr>
          <w:sz w:val="24"/>
          <w:szCs w:val="24"/>
        </w:rPr>
        <w:t>16, 2020</w:t>
      </w:r>
      <w:r>
        <w:rPr>
          <w:sz w:val="24"/>
          <w:szCs w:val="24"/>
        </w:rPr>
        <w:t xml:space="preserve">, the </w:t>
      </w:r>
      <w:r w:rsidR="0097382F">
        <w:rPr>
          <w:sz w:val="24"/>
          <w:szCs w:val="24"/>
        </w:rPr>
        <w:t>Complainant submitted</w:t>
      </w:r>
      <w:r>
        <w:rPr>
          <w:sz w:val="24"/>
          <w:szCs w:val="24"/>
        </w:rPr>
        <w:t xml:space="preserve"> a </w:t>
      </w:r>
      <w:r w:rsidR="0097382F">
        <w:rPr>
          <w:sz w:val="24"/>
          <w:szCs w:val="24"/>
        </w:rPr>
        <w:t>request for a continuance</w:t>
      </w:r>
      <w:r>
        <w:rPr>
          <w:sz w:val="24"/>
          <w:szCs w:val="24"/>
        </w:rPr>
        <w:t xml:space="preserve">, requesting a continuance of the hearing in the matter due to the COVID-19 pandemic and not being able to </w:t>
      </w:r>
      <w:r w:rsidR="00717AC3">
        <w:rPr>
          <w:sz w:val="24"/>
          <w:szCs w:val="24"/>
        </w:rPr>
        <w:t>prepare for the hearing</w:t>
      </w:r>
      <w:r>
        <w:rPr>
          <w:sz w:val="24"/>
          <w:szCs w:val="24"/>
        </w:rPr>
        <w:t xml:space="preserve">.  The </w:t>
      </w:r>
      <w:r w:rsidR="00717AC3">
        <w:rPr>
          <w:sz w:val="24"/>
          <w:szCs w:val="24"/>
        </w:rPr>
        <w:t>Respondent</w:t>
      </w:r>
      <w:r>
        <w:rPr>
          <w:sz w:val="24"/>
          <w:szCs w:val="24"/>
        </w:rPr>
        <w:t xml:space="preserve"> does not oppose the continuance request.  </w:t>
      </w:r>
    </w:p>
    <w:p w14:paraId="12D49422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0438B09" w14:textId="77777777" w:rsidR="00C637FE" w:rsidRDefault="00C637FE" w:rsidP="00C63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</w:t>
      </w:r>
      <w:proofErr w:type="spellStart"/>
      <w:r>
        <w:rPr>
          <w:sz w:val="24"/>
          <w:szCs w:val="24"/>
        </w:rPr>
        <w:t>Pa.Code</w:t>
      </w:r>
      <w:proofErr w:type="spellEnd"/>
      <w:r>
        <w:rPr>
          <w:sz w:val="24"/>
          <w:szCs w:val="24"/>
        </w:rPr>
        <w:t xml:space="preserve"> </w:t>
      </w:r>
    </w:p>
    <w:p w14:paraId="3A3991F7" w14:textId="4AAE3EB1" w:rsidR="00C637FE" w:rsidRDefault="00C637FE" w:rsidP="00C63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 The fact that the </w:t>
      </w:r>
      <w:r w:rsidR="00122B9E">
        <w:rPr>
          <w:sz w:val="24"/>
          <w:szCs w:val="24"/>
        </w:rPr>
        <w:t>Complainant</w:t>
      </w:r>
      <w:r>
        <w:rPr>
          <w:sz w:val="24"/>
          <w:szCs w:val="24"/>
        </w:rPr>
        <w:t xml:space="preserve"> needs </w:t>
      </w:r>
      <w:r w:rsidR="001646AD">
        <w:rPr>
          <w:sz w:val="24"/>
          <w:szCs w:val="24"/>
        </w:rPr>
        <w:t xml:space="preserve">more time to prepare for the hearing </w:t>
      </w:r>
      <w:r>
        <w:rPr>
          <w:sz w:val="24"/>
          <w:szCs w:val="24"/>
        </w:rPr>
        <w:t>and th</w:t>
      </w:r>
      <w:r w:rsidR="001646AD">
        <w:rPr>
          <w:sz w:val="24"/>
          <w:szCs w:val="24"/>
        </w:rPr>
        <w:t xml:space="preserve">is area is still </w:t>
      </w:r>
      <w:r>
        <w:rPr>
          <w:sz w:val="24"/>
          <w:szCs w:val="24"/>
        </w:rPr>
        <w:t xml:space="preserve">under </w:t>
      </w:r>
      <w:r w:rsidR="008E1DC6">
        <w:rPr>
          <w:sz w:val="24"/>
          <w:szCs w:val="24"/>
        </w:rPr>
        <w:t>restrictions</w:t>
      </w:r>
      <w:r>
        <w:rPr>
          <w:sz w:val="24"/>
          <w:szCs w:val="24"/>
        </w:rPr>
        <w:t xml:space="preserve"> issued by the Governor due to the COVID-19 pandemic, I find there is good cause for a continuance in this matter.</w:t>
      </w:r>
    </w:p>
    <w:p w14:paraId="24CD1655" w14:textId="77777777" w:rsidR="00C637FE" w:rsidRDefault="00C637FE" w:rsidP="00C63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6ADE7D43" w14:textId="77777777" w:rsidR="00C637FE" w:rsidRDefault="00C637FE" w:rsidP="00C637FE">
      <w:pPr>
        <w:spacing w:line="360" w:lineRule="auto"/>
        <w:rPr>
          <w:sz w:val="24"/>
          <w:szCs w:val="24"/>
        </w:rPr>
      </w:pPr>
    </w:p>
    <w:p w14:paraId="747870FE" w14:textId="77777777" w:rsidR="00C637FE" w:rsidRDefault="00C637FE" w:rsidP="00C637F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4B93B1A4" w14:textId="77777777" w:rsidR="00C637FE" w:rsidRDefault="00C637FE" w:rsidP="00C637FE">
      <w:pPr>
        <w:spacing w:line="360" w:lineRule="auto"/>
        <w:rPr>
          <w:sz w:val="24"/>
          <w:szCs w:val="24"/>
        </w:rPr>
      </w:pPr>
    </w:p>
    <w:p w14:paraId="7C12B3AC" w14:textId="391CAA00" w:rsidR="00C637FE" w:rsidRDefault="00C637FE" w:rsidP="00C637F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Complainant’s Request for Continuance is hereby granted.</w:t>
      </w:r>
    </w:p>
    <w:p w14:paraId="7483B82E" w14:textId="77777777" w:rsidR="00C637FE" w:rsidRDefault="00C637FE" w:rsidP="00C637FE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7C3DAFB9" w14:textId="77777777" w:rsidR="00C637FE" w:rsidRDefault="00C637FE" w:rsidP="00C637F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658B4584" w14:textId="77777777" w:rsidR="00C637FE" w:rsidRDefault="00C637FE" w:rsidP="00C637FE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2AF6B5CA" w14:textId="5872BA6E" w:rsidR="00C637FE" w:rsidRDefault="00C637FE" w:rsidP="00C637FE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hearing scheduled for June 19, 2020, is cancelled and continued.</w:t>
      </w:r>
    </w:p>
    <w:p w14:paraId="55A8E23E" w14:textId="77777777" w:rsidR="00C637FE" w:rsidRDefault="00C637FE" w:rsidP="00C637FE">
      <w:pPr>
        <w:spacing w:line="360" w:lineRule="auto"/>
        <w:rPr>
          <w:sz w:val="24"/>
          <w:szCs w:val="24"/>
        </w:rPr>
      </w:pPr>
    </w:p>
    <w:p w14:paraId="4AFC58E3" w14:textId="77777777" w:rsidR="00C637FE" w:rsidRDefault="00C637FE" w:rsidP="00C637FE">
      <w:pPr>
        <w:spacing w:line="360" w:lineRule="auto"/>
        <w:rPr>
          <w:sz w:val="24"/>
          <w:szCs w:val="24"/>
        </w:rPr>
      </w:pPr>
    </w:p>
    <w:p w14:paraId="4DEAD9AD" w14:textId="79B082C5" w:rsidR="00C637FE" w:rsidRDefault="00C637FE" w:rsidP="00C637FE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June 16,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3E1B">
        <w:rPr>
          <w:sz w:val="24"/>
          <w:szCs w:val="24"/>
          <w:u w:val="single"/>
        </w:rPr>
        <w:tab/>
        <w:t>/s/</w:t>
      </w:r>
      <w:r w:rsidR="00D23E1B">
        <w:rPr>
          <w:sz w:val="24"/>
          <w:szCs w:val="24"/>
          <w:u w:val="single"/>
        </w:rPr>
        <w:tab/>
      </w:r>
      <w:r w:rsidR="00D23E1B">
        <w:rPr>
          <w:sz w:val="24"/>
          <w:szCs w:val="24"/>
          <w:u w:val="single"/>
        </w:rPr>
        <w:tab/>
      </w:r>
      <w:r w:rsidR="00D23E1B">
        <w:rPr>
          <w:sz w:val="24"/>
          <w:szCs w:val="24"/>
          <w:u w:val="single"/>
        </w:rPr>
        <w:tab/>
      </w:r>
      <w:r w:rsidR="00D23E1B">
        <w:rPr>
          <w:sz w:val="24"/>
          <w:szCs w:val="24"/>
          <w:u w:val="single"/>
        </w:rPr>
        <w:tab/>
      </w:r>
    </w:p>
    <w:p w14:paraId="45AD9A30" w14:textId="77777777" w:rsidR="00C637FE" w:rsidRDefault="00C637FE" w:rsidP="00C637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30010332" w14:textId="77777777" w:rsidR="00C637FE" w:rsidRDefault="00C637FE" w:rsidP="00C637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31E47440" w14:textId="77777777" w:rsidR="00C637FE" w:rsidRDefault="00C637FE" w:rsidP="00C637FE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44C81FC" w14:textId="77777777" w:rsidR="00C637FE" w:rsidRDefault="00C637FE" w:rsidP="00C637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236602" w14:textId="77777777" w:rsidR="00C637FE" w:rsidRDefault="00C637FE" w:rsidP="00C637FE"/>
    <w:p w14:paraId="26C45B72" w14:textId="5F213091" w:rsidR="00111495" w:rsidRDefault="00111495"/>
    <w:p w14:paraId="2387383A" w14:textId="77777777" w:rsidR="00B609A6" w:rsidRDefault="00B609A6" w:rsidP="00B609A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F-2020-3019051 - MICHAEL HILLMAN v. PECO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ENERGY COMPANY-ELECTRIC</w:t>
      </w:r>
    </w:p>
    <w:p w14:paraId="1584DECB" w14:textId="77777777" w:rsidR="00B609A6" w:rsidRDefault="00B609A6" w:rsidP="00B609A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563BD6E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HILLMAN</w:t>
      </w:r>
    </w:p>
    <w:p w14:paraId="7E66FAD3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27757</w:t>
      </w:r>
    </w:p>
    <w:p w14:paraId="4FB17700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19118</w:t>
      </w:r>
    </w:p>
    <w:p w14:paraId="662F08B3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484.494.4285</w:t>
      </w:r>
    </w:p>
    <w:p w14:paraId="356DA2BB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</w:p>
    <w:p w14:paraId="4A08A265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</w:p>
    <w:p w14:paraId="484ADAF3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7ABE8972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7AABCD33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2BEC2839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1DCFCE94" w14:textId="77777777" w:rsidR="00B609A6" w:rsidRDefault="00B609A6" w:rsidP="00B609A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p w14:paraId="4834BC43" w14:textId="77777777" w:rsidR="00B609A6" w:rsidRDefault="00B609A6" w:rsidP="00B609A6">
      <w:pPr>
        <w:rPr>
          <w:rFonts w:asciiTheme="minorHAnsi" w:eastAsiaTheme="minorEastAsia" w:hAnsiTheme="minorHAnsi" w:cstheme="minorBidi"/>
          <w:sz w:val="22"/>
        </w:rPr>
      </w:pPr>
    </w:p>
    <w:p w14:paraId="2A272E88" w14:textId="77777777" w:rsidR="00B609A6" w:rsidRDefault="00B609A6" w:rsidP="00B609A6"/>
    <w:p w14:paraId="175104F8" w14:textId="77777777" w:rsidR="00B609A6" w:rsidRDefault="00B609A6"/>
    <w:sectPr w:rsidR="00B609A6" w:rsidSect="00360BBD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B205A" w14:textId="77777777" w:rsidR="00A64C93" w:rsidRDefault="00A64C93" w:rsidP="00360BBD">
      <w:r>
        <w:separator/>
      </w:r>
    </w:p>
  </w:endnote>
  <w:endnote w:type="continuationSeparator" w:id="0">
    <w:p w14:paraId="26A13C28" w14:textId="77777777" w:rsidR="00A64C93" w:rsidRDefault="00A64C93" w:rsidP="0036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336460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78049FB" w14:textId="49387489" w:rsidR="00360BBD" w:rsidRPr="00360BBD" w:rsidRDefault="00360BBD">
        <w:pPr>
          <w:pStyle w:val="Footer"/>
          <w:jc w:val="center"/>
          <w:rPr>
            <w:sz w:val="20"/>
          </w:rPr>
        </w:pPr>
        <w:r w:rsidRPr="00360BBD">
          <w:rPr>
            <w:sz w:val="20"/>
          </w:rPr>
          <w:fldChar w:fldCharType="begin"/>
        </w:r>
        <w:r w:rsidRPr="00360BBD">
          <w:rPr>
            <w:sz w:val="20"/>
          </w:rPr>
          <w:instrText xml:space="preserve"> PAGE   \* MERGEFORMAT </w:instrText>
        </w:r>
        <w:r w:rsidRPr="00360BBD">
          <w:rPr>
            <w:sz w:val="20"/>
          </w:rPr>
          <w:fldChar w:fldCharType="separate"/>
        </w:r>
        <w:r w:rsidRPr="00360BBD">
          <w:rPr>
            <w:noProof/>
            <w:sz w:val="20"/>
          </w:rPr>
          <w:t>2</w:t>
        </w:r>
        <w:r w:rsidRPr="00360BBD">
          <w:rPr>
            <w:noProof/>
            <w:sz w:val="20"/>
          </w:rPr>
          <w:fldChar w:fldCharType="end"/>
        </w:r>
      </w:p>
    </w:sdtContent>
  </w:sdt>
  <w:p w14:paraId="5126FDBE" w14:textId="77777777" w:rsidR="00360BBD" w:rsidRDefault="00360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367E0" w14:textId="77777777" w:rsidR="00A64C93" w:rsidRDefault="00A64C93" w:rsidP="00360BBD">
      <w:r>
        <w:separator/>
      </w:r>
    </w:p>
  </w:footnote>
  <w:footnote w:type="continuationSeparator" w:id="0">
    <w:p w14:paraId="7CBE7AC4" w14:textId="77777777" w:rsidR="00A64C93" w:rsidRDefault="00A64C93" w:rsidP="0036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E"/>
    <w:rsid w:val="00111495"/>
    <w:rsid w:val="00122B9E"/>
    <w:rsid w:val="00155211"/>
    <w:rsid w:val="001646AD"/>
    <w:rsid w:val="001C7179"/>
    <w:rsid w:val="00360BBD"/>
    <w:rsid w:val="00362445"/>
    <w:rsid w:val="00601F81"/>
    <w:rsid w:val="00717AC3"/>
    <w:rsid w:val="007568B0"/>
    <w:rsid w:val="008D6C3F"/>
    <w:rsid w:val="008E1DC6"/>
    <w:rsid w:val="0097382F"/>
    <w:rsid w:val="00A64C93"/>
    <w:rsid w:val="00B609A6"/>
    <w:rsid w:val="00C637FE"/>
    <w:rsid w:val="00D0407C"/>
    <w:rsid w:val="00D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2D136B"/>
  <w15:chartTrackingRefBased/>
  <w15:docId w15:val="{632D5333-2111-420B-A047-10044768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37FE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C637FE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C637FE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C637FE"/>
    <w:rPr>
      <w:rFonts w:ascii="Courier" w:eastAsia="Times New Roman" w:hAnsi="Courier" w:cs="Times New Roman"/>
      <w:b/>
      <w:sz w:val="24"/>
      <w:szCs w:val="20"/>
    </w:rPr>
  </w:style>
  <w:style w:type="paragraph" w:styleId="NoSpacing">
    <w:name w:val="No Spacing"/>
    <w:uiPriority w:val="1"/>
    <w:qFormat/>
    <w:rsid w:val="00C637F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637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F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0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BBD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BBD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9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BAEB7-F25D-4B80-B996-EC064C271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50252-ED58-44AA-94E0-8CD118064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5AD691-BCE9-4ED0-8619-9E2CDBB8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5</cp:revision>
  <dcterms:created xsi:type="dcterms:W3CDTF">2020-06-16T15:59:00Z</dcterms:created>
  <dcterms:modified xsi:type="dcterms:W3CDTF">2020-06-16T16:48:00Z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