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2D6AF" w14:textId="77777777" w:rsidR="001B0C5E" w:rsidRDefault="00BB107C" w:rsidP="002625EC">
      <w:pPr>
        <w:widowControl/>
        <w:tabs>
          <w:tab w:val="center" w:pos="4680"/>
        </w:tabs>
        <w:contextualSpacing/>
        <w:jc w:val="center"/>
        <w:rPr>
          <w:b/>
          <w:sz w:val="26"/>
          <w:szCs w:val="26"/>
        </w:rPr>
      </w:pPr>
      <w:r>
        <w:rPr>
          <w:b/>
          <w:sz w:val="26"/>
          <w:szCs w:val="26"/>
        </w:rPr>
        <w:t>P</w:t>
      </w:r>
      <w:r w:rsidR="001B0C5E">
        <w:rPr>
          <w:b/>
          <w:sz w:val="26"/>
          <w:szCs w:val="26"/>
        </w:rPr>
        <w:t>ENNSYLVANIA</w:t>
      </w:r>
    </w:p>
    <w:p w14:paraId="5432D65C" w14:textId="77777777" w:rsidR="001B0C5E" w:rsidRDefault="001B0C5E" w:rsidP="002625EC">
      <w:pPr>
        <w:widowControl/>
        <w:tabs>
          <w:tab w:val="center" w:pos="4680"/>
        </w:tabs>
        <w:contextualSpacing/>
        <w:jc w:val="center"/>
        <w:rPr>
          <w:sz w:val="26"/>
          <w:szCs w:val="26"/>
        </w:rPr>
      </w:pPr>
      <w:r>
        <w:rPr>
          <w:b/>
          <w:sz w:val="26"/>
          <w:szCs w:val="26"/>
        </w:rPr>
        <w:t>PUBLIC UTILITY COMMISSION</w:t>
      </w:r>
    </w:p>
    <w:p w14:paraId="3D5658A5" w14:textId="77777777" w:rsidR="001B0C5E" w:rsidRDefault="001B0C5E" w:rsidP="002625EC">
      <w:pPr>
        <w:widowControl/>
        <w:tabs>
          <w:tab w:val="center" w:pos="4680"/>
        </w:tabs>
        <w:contextualSpacing/>
        <w:jc w:val="center"/>
        <w:rPr>
          <w:sz w:val="26"/>
          <w:szCs w:val="26"/>
        </w:rPr>
      </w:pPr>
      <w:r>
        <w:rPr>
          <w:b/>
          <w:sz w:val="26"/>
          <w:szCs w:val="26"/>
        </w:rPr>
        <w:t>Harrisburg, PA 171</w:t>
      </w:r>
      <w:r w:rsidR="00CB7BC2">
        <w:rPr>
          <w:b/>
          <w:sz w:val="26"/>
          <w:szCs w:val="26"/>
        </w:rPr>
        <w:t>20</w:t>
      </w:r>
    </w:p>
    <w:p w14:paraId="349387E3" w14:textId="77777777" w:rsidR="001B0C5E" w:rsidRDefault="001B0C5E" w:rsidP="002625EC">
      <w:pPr>
        <w:widowControl/>
        <w:contextualSpacing/>
        <w:rPr>
          <w:sz w:val="26"/>
          <w:szCs w:val="26"/>
        </w:rPr>
      </w:pPr>
    </w:p>
    <w:p w14:paraId="1AD0D00E" w14:textId="77777777" w:rsidR="00D13E44" w:rsidRDefault="00D13E44" w:rsidP="002625EC">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538"/>
      </w:tblGrid>
      <w:tr w:rsidR="001B0C5E" w14:paraId="2E5B25CB" w14:textId="77777777" w:rsidTr="003161E5">
        <w:tc>
          <w:tcPr>
            <w:tcW w:w="4878" w:type="dxa"/>
          </w:tcPr>
          <w:p w14:paraId="57CA7297" w14:textId="77777777" w:rsidR="001B0C5E" w:rsidRDefault="001B0C5E" w:rsidP="002625EC">
            <w:pPr>
              <w:widowControl/>
              <w:contextualSpacing/>
              <w:rPr>
                <w:sz w:val="26"/>
                <w:szCs w:val="26"/>
              </w:rPr>
            </w:pPr>
          </w:p>
        </w:tc>
        <w:tc>
          <w:tcPr>
            <w:tcW w:w="4608" w:type="dxa"/>
            <w:hideMark/>
          </w:tcPr>
          <w:p w14:paraId="0C9AEBF7" w14:textId="77777777" w:rsidR="001B0C5E" w:rsidRDefault="003F5257" w:rsidP="002625EC">
            <w:pPr>
              <w:widowControl/>
              <w:contextualSpacing/>
              <w:jc w:val="right"/>
              <w:rPr>
                <w:sz w:val="26"/>
                <w:szCs w:val="26"/>
              </w:rPr>
            </w:pPr>
            <w:r>
              <w:rPr>
                <w:sz w:val="26"/>
                <w:szCs w:val="26"/>
              </w:rPr>
              <w:t xml:space="preserve">Public Meeting held </w:t>
            </w:r>
            <w:r w:rsidR="00030684">
              <w:rPr>
                <w:sz w:val="26"/>
                <w:szCs w:val="26"/>
              </w:rPr>
              <w:t>June 1</w:t>
            </w:r>
            <w:r w:rsidR="00C732EF">
              <w:rPr>
                <w:sz w:val="26"/>
                <w:szCs w:val="26"/>
              </w:rPr>
              <w:t>8</w:t>
            </w:r>
            <w:r w:rsidR="002466C0" w:rsidRPr="00B64336">
              <w:rPr>
                <w:sz w:val="26"/>
                <w:szCs w:val="26"/>
              </w:rPr>
              <w:t>, 2020</w:t>
            </w:r>
          </w:p>
        </w:tc>
      </w:tr>
      <w:tr w:rsidR="001B0C5E" w14:paraId="6FB29EBD" w14:textId="77777777" w:rsidTr="003161E5">
        <w:tc>
          <w:tcPr>
            <w:tcW w:w="4878" w:type="dxa"/>
          </w:tcPr>
          <w:p w14:paraId="79C5A606" w14:textId="77777777" w:rsidR="001B0C5E" w:rsidRDefault="001B0C5E" w:rsidP="002625EC">
            <w:pPr>
              <w:widowControl/>
              <w:contextualSpacing/>
              <w:rPr>
                <w:sz w:val="26"/>
                <w:szCs w:val="26"/>
              </w:rPr>
            </w:pPr>
          </w:p>
          <w:p w14:paraId="2E7F26BF" w14:textId="77777777" w:rsidR="001B0C5E" w:rsidRDefault="001B0C5E" w:rsidP="002625EC">
            <w:pPr>
              <w:widowControl/>
              <w:contextualSpacing/>
              <w:rPr>
                <w:sz w:val="26"/>
                <w:szCs w:val="26"/>
              </w:rPr>
            </w:pPr>
            <w:r>
              <w:rPr>
                <w:sz w:val="26"/>
                <w:szCs w:val="26"/>
              </w:rPr>
              <w:t>Commissioners Present:</w:t>
            </w:r>
          </w:p>
          <w:p w14:paraId="5EFE3CE2" w14:textId="77777777" w:rsidR="001B0C5E" w:rsidRDefault="001B0C5E" w:rsidP="002625EC">
            <w:pPr>
              <w:widowControl/>
              <w:contextualSpacing/>
              <w:rPr>
                <w:sz w:val="26"/>
                <w:szCs w:val="26"/>
              </w:rPr>
            </w:pPr>
          </w:p>
          <w:p w14:paraId="5A729F96" w14:textId="77777777" w:rsidR="001B0C5E" w:rsidRPr="002262C4" w:rsidRDefault="001B0C5E" w:rsidP="002625EC">
            <w:pPr>
              <w:widowControl/>
              <w:tabs>
                <w:tab w:val="left" w:pos="-720"/>
              </w:tabs>
              <w:ind w:left="720"/>
              <w:contextualSpacing/>
              <w:rPr>
                <w:sz w:val="26"/>
                <w:szCs w:val="26"/>
              </w:rPr>
            </w:pPr>
            <w:r w:rsidRPr="002262C4">
              <w:rPr>
                <w:sz w:val="26"/>
                <w:szCs w:val="26"/>
              </w:rPr>
              <w:t>Gladys Brown</w:t>
            </w:r>
            <w:r w:rsidR="00F560AF">
              <w:rPr>
                <w:sz w:val="26"/>
                <w:szCs w:val="26"/>
              </w:rPr>
              <w:t xml:space="preserve"> </w:t>
            </w:r>
            <w:proofErr w:type="spellStart"/>
            <w:r w:rsidR="00F560AF">
              <w:rPr>
                <w:sz w:val="26"/>
                <w:szCs w:val="26"/>
              </w:rPr>
              <w:t>Dutrie</w:t>
            </w:r>
            <w:r w:rsidR="001F39E7">
              <w:rPr>
                <w:sz w:val="26"/>
                <w:szCs w:val="26"/>
              </w:rPr>
              <w:t>u</w:t>
            </w:r>
            <w:r w:rsidR="00F560AF">
              <w:rPr>
                <w:sz w:val="26"/>
                <w:szCs w:val="26"/>
              </w:rPr>
              <w:t>ille</w:t>
            </w:r>
            <w:proofErr w:type="spellEnd"/>
            <w:r w:rsidRPr="002262C4">
              <w:rPr>
                <w:sz w:val="26"/>
                <w:szCs w:val="26"/>
              </w:rPr>
              <w:t>, Chairman</w:t>
            </w:r>
          </w:p>
          <w:p w14:paraId="7A613680" w14:textId="77777777" w:rsidR="001B0C5E" w:rsidRDefault="00894660" w:rsidP="002625EC">
            <w:pPr>
              <w:widowControl/>
              <w:tabs>
                <w:tab w:val="left" w:pos="-720"/>
              </w:tabs>
              <w:ind w:left="720"/>
              <w:contextualSpacing/>
              <w:rPr>
                <w:sz w:val="26"/>
                <w:szCs w:val="26"/>
              </w:rPr>
            </w:pPr>
            <w:r>
              <w:rPr>
                <w:sz w:val="26"/>
                <w:szCs w:val="26"/>
              </w:rPr>
              <w:t>David W. Sweet</w:t>
            </w:r>
            <w:r w:rsidR="001B0C5E" w:rsidRPr="002262C4">
              <w:rPr>
                <w:sz w:val="26"/>
                <w:szCs w:val="26"/>
              </w:rPr>
              <w:t>, Vice Chairman</w:t>
            </w:r>
          </w:p>
          <w:p w14:paraId="7E74B3BF" w14:textId="77777777" w:rsidR="001B0C5E" w:rsidRDefault="001B0C5E" w:rsidP="00C732EF">
            <w:pPr>
              <w:widowControl/>
              <w:tabs>
                <w:tab w:val="left" w:pos="-720"/>
              </w:tabs>
              <w:ind w:left="720"/>
              <w:contextualSpacing/>
              <w:rPr>
                <w:sz w:val="26"/>
                <w:szCs w:val="26"/>
              </w:rPr>
            </w:pPr>
            <w:r w:rsidRPr="002262C4">
              <w:rPr>
                <w:sz w:val="26"/>
                <w:szCs w:val="26"/>
              </w:rPr>
              <w:t xml:space="preserve">John F. Coleman, Jr. </w:t>
            </w:r>
          </w:p>
          <w:p w14:paraId="5E20B247" w14:textId="77777777" w:rsidR="001F39E7" w:rsidRPr="002262C4" w:rsidRDefault="001F39E7" w:rsidP="002625EC">
            <w:pPr>
              <w:widowControl/>
              <w:tabs>
                <w:tab w:val="left" w:pos="-720"/>
              </w:tabs>
              <w:ind w:left="720"/>
              <w:contextualSpacing/>
              <w:rPr>
                <w:sz w:val="26"/>
                <w:szCs w:val="26"/>
              </w:rPr>
            </w:pPr>
            <w:r>
              <w:rPr>
                <w:sz w:val="26"/>
                <w:szCs w:val="26"/>
              </w:rPr>
              <w:t xml:space="preserve">Ralph V. </w:t>
            </w:r>
            <w:proofErr w:type="spellStart"/>
            <w:r>
              <w:rPr>
                <w:sz w:val="26"/>
                <w:szCs w:val="26"/>
              </w:rPr>
              <w:t>Yanora</w:t>
            </w:r>
            <w:proofErr w:type="spellEnd"/>
          </w:p>
          <w:p w14:paraId="27642C6E" w14:textId="77777777" w:rsidR="001B0C5E" w:rsidRDefault="001B0C5E" w:rsidP="002625EC">
            <w:pPr>
              <w:widowControl/>
              <w:contextualSpacing/>
              <w:rPr>
                <w:sz w:val="26"/>
                <w:szCs w:val="26"/>
              </w:rPr>
            </w:pPr>
          </w:p>
        </w:tc>
        <w:tc>
          <w:tcPr>
            <w:tcW w:w="4608" w:type="dxa"/>
          </w:tcPr>
          <w:p w14:paraId="49093B3F" w14:textId="77777777" w:rsidR="001B0C5E" w:rsidRDefault="001B0C5E" w:rsidP="002625EC">
            <w:pPr>
              <w:widowControl/>
              <w:contextualSpacing/>
              <w:jc w:val="right"/>
              <w:rPr>
                <w:sz w:val="26"/>
                <w:szCs w:val="26"/>
              </w:rPr>
            </w:pPr>
          </w:p>
          <w:p w14:paraId="0232BE13" w14:textId="77777777" w:rsidR="001B0C5E" w:rsidRDefault="001B0C5E" w:rsidP="002625EC">
            <w:pPr>
              <w:widowControl/>
              <w:contextualSpacing/>
              <w:jc w:val="right"/>
              <w:rPr>
                <w:sz w:val="26"/>
                <w:szCs w:val="26"/>
              </w:rPr>
            </w:pPr>
          </w:p>
        </w:tc>
      </w:tr>
      <w:tr w:rsidR="001B0C5E" w14:paraId="4956377D" w14:textId="77777777" w:rsidTr="003161E5">
        <w:tc>
          <w:tcPr>
            <w:tcW w:w="4878" w:type="dxa"/>
          </w:tcPr>
          <w:p w14:paraId="3280AF93" w14:textId="77777777" w:rsidR="001B0C5E" w:rsidRPr="00B64336" w:rsidRDefault="001B0C5E" w:rsidP="002625EC">
            <w:pPr>
              <w:widowControl/>
              <w:contextualSpacing/>
              <w:rPr>
                <w:sz w:val="26"/>
                <w:szCs w:val="26"/>
              </w:rPr>
            </w:pPr>
          </w:p>
          <w:p w14:paraId="0DDC6F00" w14:textId="77777777" w:rsidR="00D13E44" w:rsidRPr="00B64336" w:rsidRDefault="00D13E44" w:rsidP="002625EC">
            <w:pPr>
              <w:widowControl/>
              <w:contextualSpacing/>
              <w:rPr>
                <w:sz w:val="26"/>
                <w:szCs w:val="26"/>
              </w:rPr>
            </w:pPr>
          </w:p>
          <w:p w14:paraId="5C9B093F" w14:textId="77777777" w:rsidR="001B0C5E" w:rsidRPr="00B64336" w:rsidRDefault="00B64336" w:rsidP="002625EC">
            <w:pPr>
              <w:widowControl/>
              <w:contextualSpacing/>
              <w:rPr>
                <w:sz w:val="26"/>
                <w:szCs w:val="26"/>
              </w:rPr>
            </w:pPr>
            <w:proofErr w:type="spellStart"/>
            <w:r w:rsidRPr="00B64336">
              <w:rPr>
                <w:sz w:val="26"/>
                <w:szCs w:val="26"/>
              </w:rPr>
              <w:t>Stayce</w:t>
            </w:r>
            <w:proofErr w:type="spellEnd"/>
            <w:r w:rsidRPr="00B64336">
              <w:rPr>
                <w:sz w:val="26"/>
                <w:szCs w:val="26"/>
              </w:rPr>
              <w:t xml:space="preserve"> Norton</w:t>
            </w:r>
          </w:p>
          <w:p w14:paraId="42BEA335" w14:textId="77777777" w:rsidR="001B0C5E" w:rsidRPr="00B64336" w:rsidRDefault="001B0C5E" w:rsidP="002625EC">
            <w:pPr>
              <w:widowControl/>
              <w:contextualSpacing/>
              <w:rPr>
                <w:sz w:val="26"/>
                <w:szCs w:val="26"/>
              </w:rPr>
            </w:pPr>
          </w:p>
        </w:tc>
        <w:tc>
          <w:tcPr>
            <w:tcW w:w="4608" w:type="dxa"/>
            <w:hideMark/>
          </w:tcPr>
          <w:p w14:paraId="2688029F" w14:textId="77777777" w:rsidR="001B0C5E" w:rsidRPr="00B64336" w:rsidRDefault="001B0C5E" w:rsidP="002625EC">
            <w:pPr>
              <w:widowControl/>
              <w:contextualSpacing/>
              <w:jc w:val="right"/>
              <w:rPr>
                <w:sz w:val="26"/>
                <w:szCs w:val="26"/>
              </w:rPr>
            </w:pPr>
          </w:p>
          <w:p w14:paraId="4AD9437C" w14:textId="77777777" w:rsidR="00180BCC" w:rsidRPr="00B64336" w:rsidRDefault="00180BCC" w:rsidP="002625EC">
            <w:pPr>
              <w:widowControl/>
              <w:contextualSpacing/>
              <w:jc w:val="right"/>
              <w:rPr>
                <w:sz w:val="26"/>
                <w:szCs w:val="26"/>
              </w:rPr>
            </w:pPr>
          </w:p>
          <w:p w14:paraId="0BFECEF5" w14:textId="77777777" w:rsidR="001B0C5E" w:rsidRPr="00B64336" w:rsidRDefault="00180BCC" w:rsidP="002625EC">
            <w:pPr>
              <w:widowControl/>
              <w:contextualSpacing/>
              <w:jc w:val="right"/>
              <w:rPr>
                <w:sz w:val="26"/>
                <w:szCs w:val="26"/>
              </w:rPr>
            </w:pPr>
            <w:r w:rsidRPr="00B64336">
              <w:rPr>
                <w:sz w:val="26"/>
                <w:szCs w:val="26"/>
              </w:rPr>
              <w:t>F-2018-300</w:t>
            </w:r>
            <w:r w:rsidR="00B64336" w:rsidRPr="00B64336">
              <w:rPr>
                <w:sz w:val="26"/>
                <w:szCs w:val="26"/>
              </w:rPr>
              <w:t>5030</w:t>
            </w:r>
          </w:p>
        </w:tc>
      </w:tr>
      <w:tr w:rsidR="001B0C5E" w14:paraId="6D2B7BD5" w14:textId="77777777" w:rsidTr="003161E5">
        <w:tc>
          <w:tcPr>
            <w:tcW w:w="4878" w:type="dxa"/>
          </w:tcPr>
          <w:p w14:paraId="0B9B8FE1" w14:textId="77777777" w:rsidR="001B0C5E" w:rsidRDefault="001B0C5E" w:rsidP="002625EC">
            <w:pPr>
              <w:widowControl/>
              <w:ind w:firstLine="720"/>
              <w:contextualSpacing/>
              <w:rPr>
                <w:sz w:val="26"/>
                <w:szCs w:val="26"/>
              </w:rPr>
            </w:pPr>
            <w:r>
              <w:rPr>
                <w:sz w:val="26"/>
                <w:szCs w:val="26"/>
              </w:rPr>
              <w:t>v.</w:t>
            </w:r>
          </w:p>
          <w:p w14:paraId="69EB5991" w14:textId="77777777" w:rsidR="001B0C5E" w:rsidRDefault="001B0C5E" w:rsidP="002625EC">
            <w:pPr>
              <w:widowControl/>
              <w:ind w:firstLine="1440"/>
              <w:contextualSpacing/>
              <w:rPr>
                <w:sz w:val="26"/>
                <w:szCs w:val="26"/>
              </w:rPr>
            </w:pPr>
          </w:p>
        </w:tc>
        <w:tc>
          <w:tcPr>
            <w:tcW w:w="4608" w:type="dxa"/>
          </w:tcPr>
          <w:p w14:paraId="04D7FDAD" w14:textId="77777777" w:rsidR="001B0C5E" w:rsidRDefault="001B0C5E" w:rsidP="002625EC">
            <w:pPr>
              <w:widowControl/>
              <w:contextualSpacing/>
              <w:rPr>
                <w:sz w:val="26"/>
                <w:szCs w:val="26"/>
              </w:rPr>
            </w:pPr>
          </w:p>
        </w:tc>
      </w:tr>
      <w:tr w:rsidR="001B0C5E" w14:paraId="147535D3" w14:textId="77777777" w:rsidTr="003161E5">
        <w:tc>
          <w:tcPr>
            <w:tcW w:w="4878" w:type="dxa"/>
          </w:tcPr>
          <w:p w14:paraId="383A9E1B" w14:textId="77777777" w:rsidR="001B0C5E" w:rsidRDefault="002466C0" w:rsidP="002625EC">
            <w:pPr>
              <w:widowControl/>
              <w:contextualSpacing/>
              <w:rPr>
                <w:sz w:val="26"/>
                <w:szCs w:val="26"/>
              </w:rPr>
            </w:pPr>
            <w:bookmarkStart w:id="0" w:name="_Hlk22554510"/>
            <w:r w:rsidRPr="00B64336">
              <w:rPr>
                <w:sz w:val="26"/>
                <w:szCs w:val="26"/>
              </w:rPr>
              <w:t>P</w:t>
            </w:r>
            <w:r w:rsidR="00B64336" w:rsidRPr="00B64336">
              <w:rPr>
                <w:sz w:val="26"/>
                <w:szCs w:val="26"/>
              </w:rPr>
              <w:t>hiladelphia Gas Works</w:t>
            </w:r>
          </w:p>
          <w:bookmarkEnd w:id="0"/>
          <w:p w14:paraId="3BD031DF" w14:textId="77777777" w:rsidR="001B0C5E" w:rsidRDefault="001B0C5E" w:rsidP="002625EC">
            <w:pPr>
              <w:widowControl/>
              <w:contextualSpacing/>
              <w:rPr>
                <w:sz w:val="26"/>
                <w:szCs w:val="26"/>
              </w:rPr>
            </w:pPr>
          </w:p>
        </w:tc>
        <w:tc>
          <w:tcPr>
            <w:tcW w:w="4608" w:type="dxa"/>
          </w:tcPr>
          <w:p w14:paraId="3D161D77" w14:textId="77777777" w:rsidR="001B0C5E" w:rsidRDefault="001B0C5E" w:rsidP="002625EC">
            <w:pPr>
              <w:widowControl/>
              <w:contextualSpacing/>
              <w:rPr>
                <w:sz w:val="26"/>
                <w:szCs w:val="26"/>
              </w:rPr>
            </w:pPr>
          </w:p>
        </w:tc>
      </w:tr>
    </w:tbl>
    <w:p w14:paraId="6F9EA017" w14:textId="77777777" w:rsidR="001B0C5E" w:rsidRDefault="001B0C5E" w:rsidP="002625EC">
      <w:pPr>
        <w:widowControl/>
        <w:contextualSpacing/>
        <w:rPr>
          <w:sz w:val="26"/>
          <w:szCs w:val="26"/>
        </w:rPr>
      </w:pPr>
    </w:p>
    <w:p w14:paraId="3370744A" w14:textId="77777777" w:rsidR="00D13E44" w:rsidRDefault="00D13E44" w:rsidP="002625EC">
      <w:pPr>
        <w:widowControl/>
        <w:contextualSpacing/>
        <w:rPr>
          <w:sz w:val="26"/>
          <w:szCs w:val="26"/>
        </w:rPr>
      </w:pPr>
    </w:p>
    <w:p w14:paraId="7C29FDF1" w14:textId="77777777" w:rsidR="001B0C5E" w:rsidRDefault="001B0C5E" w:rsidP="002625EC">
      <w:pPr>
        <w:widowControl/>
        <w:contextualSpacing/>
        <w:jc w:val="center"/>
        <w:rPr>
          <w:b/>
          <w:sz w:val="26"/>
          <w:szCs w:val="26"/>
        </w:rPr>
      </w:pPr>
      <w:r>
        <w:rPr>
          <w:b/>
          <w:sz w:val="26"/>
          <w:szCs w:val="26"/>
        </w:rPr>
        <w:t>OPINION AND ORDER</w:t>
      </w:r>
    </w:p>
    <w:p w14:paraId="71FFF631" w14:textId="77777777" w:rsidR="008F5FAC" w:rsidRDefault="008F5FAC" w:rsidP="002625EC">
      <w:pPr>
        <w:widowControl/>
        <w:contextualSpacing/>
        <w:jc w:val="center"/>
        <w:rPr>
          <w:b/>
          <w:sz w:val="26"/>
          <w:szCs w:val="26"/>
        </w:rPr>
      </w:pPr>
    </w:p>
    <w:p w14:paraId="0394A885" w14:textId="77777777" w:rsidR="001B0C5E" w:rsidRDefault="001B0C5E" w:rsidP="002625EC">
      <w:pPr>
        <w:widowControl/>
        <w:contextualSpacing/>
        <w:rPr>
          <w:sz w:val="26"/>
          <w:szCs w:val="26"/>
        </w:rPr>
      </w:pPr>
    </w:p>
    <w:p w14:paraId="7911AD63" w14:textId="77777777" w:rsidR="001B0C5E" w:rsidRDefault="001B0C5E" w:rsidP="002625EC">
      <w:pPr>
        <w:keepNext/>
        <w:widowControl/>
        <w:spacing w:line="360" w:lineRule="auto"/>
        <w:contextualSpacing/>
        <w:rPr>
          <w:b/>
          <w:sz w:val="26"/>
          <w:szCs w:val="26"/>
        </w:rPr>
      </w:pPr>
      <w:r>
        <w:rPr>
          <w:b/>
          <w:sz w:val="26"/>
          <w:szCs w:val="26"/>
        </w:rPr>
        <w:t>BY THE COMMISSION:</w:t>
      </w:r>
    </w:p>
    <w:p w14:paraId="36359C36" w14:textId="77777777" w:rsidR="001B0C5E" w:rsidRDefault="001B0C5E" w:rsidP="002625EC">
      <w:pPr>
        <w:widowControl/>
        <w:spacing w:line="360" w:lineRule="auto"/>
        <w:contextualSpacing/>
        <w:rPr>
          <w:b/>
          <w:sz w:val="26"/>
          <w:szCs w:val="26"/>
        </w:rPr>
      </w:pPr>
    </w:p>
    <w:p w14:paraId="41B6972A" w14:textId="77777777" w:rsidR="001B0C5E" w:rsidRDefault="001B0C5E" w:rsidP="004F7ABC">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Pr>
          <w:color w:val="000000"/>
          <w:sz w:val="26"/>
        </w:rPr>
        <w:t xml:space="preserve">are the Exceptions of </w:t>
      </w:r>
      <w:proofErr w:type="spellStart"/>
      <w:r w:rsidR="00B64336">
        <w:rPr>
          <w:color w:val="000000"/>
          <w:sz w:val="26"/>
        </w:rPr>
        <w:t>Stayce</w:t>
      </w:r>
      <w:proofErr w:type="spellEnd"/>
      <w:r w:rsidR="00B64336">
        <w:rPr>
          <w:color w:val="000000"/>
          <w:sz w:val="26"/>
        </w:rPr>
        <w:t xml:space="preserve"> Norton</w:t>
      </w:r>
      <w:r w:rsidR="005239D3">
        <w:rPr>
          <w:color w:val="000000"/>
          <w:sz w:val="26"/>
        </w:rPr>
        <w:t xml:space="preserve"> </w:t>
      </w:r>
      <w:r w:rsidRPr="00B64336">
        <w:rPr>
          <w:color w:val="000000"/>
          <w:sz w:val="26"/>
        </w:rPr>
        <w:t>(</w:t>
      </w:r>
      <w:r w:rsidR="00216A44" w:rsidRPr="00B64336">
        <w:rPr>
          <w:color w:val="000000"/>
          <w:sz w:val="26"/>
        </w:rPr>
        <w:t>M</w:t>
      </w:r>
      <w:r w:rsidR="00B64336" w:rsidRPr="00B64336">
        <w:rPr>
          <w:color w:val="000000"/>
          <w:sz w:val="26"/>
        </w:rPr>
        <w:t>s. Norton</w:t>
      </w:r>
      <w:r w:rsidR="00216A44" w:rsidRPr="00B64336">
        <w:rPr>
          <w:color w:val="000000"/>
          <w:sz w:val="26"/>
        </w:rPr>
        <w:t xml:space="preserve"> or </w:t>
      </w:r>
      <w:r w:rsidRPr="00B64336">
        <w:rPr>
          <w:color w:val="000000"/>
          <w:sz w:val="26"/>
        </w:rPr>
        <w:t xml:space="preserve">the Complainant) filed on </w:t>
      </w:r>
      <w:r w:rsidR="00B64336">
        <w:rPr>
          <w:color w:val="000000"/>
          <w:sz w:val="26"/>
        </w:rPr>
        <w:t>March 3, 2019</w:t>
      </w:r>
      <w:r w:rsidR="002466C0" w:rsidRPr="00B64336">
        <w:rPr>
          <w:color w:val="000000"/>
          <w:sz w:val="26"/>
        </w:rPr>
        <w:t>,</w:t>
      </w:r>
      <w:r w:rsidRPr="00B64336">
        <w:rPr>
          <w:color w:val="000000"/>
          <w:sz w:val="26"/>
        </w:rPr>
        <w:t xml:space="preserve"> to the Initial Decision (Initial Decision or I.D.) of </w:t>
      </w:r>
      <w:r w:rsidR="00B64336" w:rsidRPr="00B64336">
        <w:rPr>
          <w:color w:val="000000"/>
          <w:sz w:val="26"/>
        </w:rPr>
        <w:t>Special Agent (SA)</w:t>
      </w:r>
      <w:r w:rsidR="00C732EF">
        <w:rPr>
          <w:color w:val="000000"/>
          <w:sz w:val="26"/>
        </w:rPr>
        <w:t>,</w:t>
      </w:r>
      <w:r w:rsidR="00B64336" w:rsidRPr="00B64336">
        <w:rPr>
          <w:color w:val="000000"/>
          <w:sz w:val="26"/>
        </w:rPr>
        <w:t xml:space="preserve"> Gail M. Chiodo</w:t>
      </w:r>
      <w:r w:rsidR="00C732EF">
        <w:rPr>
          <w:color w:val="000000"/>
          <w:sz w:val="26"/>
        </w:rPr>
        <w:t>,</w:t>
      </w:r>
      <w:r w:rsidR="00D521E1" w:rsidRPr="00B64336">
        <w:rPr>
          <w:color w:val="000000"/>
          <w:sz w:val="26"/>
        </w:rPr>
        <w:t xml:space="preserve"> </w:t>
      </w:r>
      <w:r w:rsidRPr="00B64336">
        <w:rPr>
          <w:color w:val="000000"/>
          <w:sz w:val="26"/>
        </w:rPr>
        <w:t>in the above-captioned proceeding</w:t>
      </w:r>
      <w:r w:rsidR="00C346EF" w:rsidRPr="00B64336">
        <w:rPr>
          <w:color w:val="000000"/>
          <w:sz w:val="26"/>
        </w:rPr>
        <w:t xml:space="preserve">, which was </w:t>
      </w:r>
      <w:r w:rsidR="00D2743D">
        <w:rPr>
          <w:color w:val="000000"/>
          <w:sz w:val="26"/>
        </w:rPr>
        <w:t>served</w:t>
      </w:r>
      <w:r w:rsidR="00AA057D">
        <w:rPr>
          <w:color w:val="000000"/>
          <w:sz w:val="26"/>
        </w:rPr>
        <w:t xml:space="preserve"> </w:t>
      </w:r>
      <w:r w:rsidR="00C346EF" w:rsidRPr="00B64336">
        <w:rPr>
          <w:color w:val="000000"/>
          <w:sz w:val="26"/>
        </w:rPr>
        <w:t xml:space="preserve">on </w:t>
      </w:r>
      <w:r w:rsidR="00B64336" w:rsidRPr="00B64336">
        <w:rPr>
          <w:color w:val="000000"/>
          <w:sz w:val="26"/>
        </w:rPr>
        <w:t>February 25, 2019</w:t>
      </w:r>
      <w:r w:rsidR="00C346EF" w:rsidRPr="00B64336">
        <w:rPr>
          <w:color w:val="000000"/>
          <w:sz w:val="26"/>
        </w:rPr>
        <w:t xml:space="preserve">, and which </w:t>
      </w:r>
      <w:r w:rsidR="00084C97">
        <w:rPr>
          <w:color w:val="000000"/>
          <w:sz w:val="26"/>
        </w:rPr>
        <w:t>denied</w:t>
      </w:r>
      <w:r w:rsidR="00C346EF" w:rsidRPr="00B64336">
        <w:rPr>
          <w:color w:val="000000"/>
          <w:sz w:val="26"/>
        </w:rPr>
        <w:t xml:space="preserve"> the Complainant’s Formal Complaint (Complaint).</w:t>
      </w:r>
      <w:r w:rsidR="00216A44" w:rsidRPr="00B64336">
        <w:rPr>
          <w:color w:val="000000"/>
          <w:sz w:val="26"/>
        </w:rPr>
        <w:t xml:space="preserve">  </w:t>
      </w:r>
      <w:r w:rsidR="00030684">
        <w:rPr>
          <w:color w:val="000000"/>
          <w:sz w:val="26"/>
        </w:rPr>
        <w:t xml:space="preserve">On February 10, 2020, </w:t>
      </w:r>
      <w:r w:rsidR="00801017" w:rsidRPr="00B64336">
        <w:rPr>
          <w:color w:val="000000"/>
          <w:sz w:val="26"/>
        </w:rPr>
        <w:t>P</w:t>
      </w:r>
      <w:r w:rsidR="00B64336" w:rsidRPr="00B64336">
        <w:rPr>
          <w:color w:val="000000"/>
          <w:sz w:val="26"/>
        </w:rPr>
        <w:t xml:space="preserve">hiladelphia Gas Works (PGW or the Company) </w:t>
      </w:r>
      <w:r w:rsidR="00030684">
        <w:rPr>
          <w:color w:val="000000"/>
          <w:sz w:val="26"/>
        </w:rPr>
        <w:lastRenderedPageBreak/>
        <w:t>filed</w:t>
      </w:r>
      <w:r w:rsidR="00B64336" w:rsidRPr="00B64336">
        <w:rPr>
          <w:color w:val="000000"/>
          <w:sz w:val="26"/>
        </w:rPr>
        <w:t xml:space="preserve"> </w:t>
      </w:r>
      <w:r w:rsidR="00EF6624" w:rsidRPr="00B64336">
        <w:rPr>
          <w:color w:val="000000"/>
          <w:sz w:val="26"/>
        </w:rPr>
        <w:t>Replies to Exceptions</w:t>
      </w:r>
      <w:r w:rsidR="00B64336" w:rsidRPr="00B64336">
        <w:rPr>
          <w:color w:val="000000"/>
          <w:sz w:val="26"/>
        </w:rPr>
        <w:t>.</w:t>
      </w:r>
      <w:r w:rsidR="00B405DC">
        <w:rPr>
          <w:rStyle w:val="FootnoteReference"/>
          <w:color w:val="000000"/>
          <w:sz w:val="26"/>
        </w:rPr>
        <w:footnoteReference w:id="1"/>
      </w:r>
      <w:r w:rsidR="00EF6624" w:rsidRPr="00B64336">
        <w:rPr>
          <w:color w:val="000000"/>
          <w:sz w:val="26"/>
        </w:rPr>
        <w:t xml:space="preserve">  </w:t>
      </w:r>
      <w:r w:rsidRPr="00B64336">
        <w:rPr>
          <w:sz w:val="26"/>
          <w:szCs w:val="26"/>
        </w:rPr>
        <w:t xml:space="preserve">For the reasons </w:t>
      </w:r>
      <w:r w:rsidR="00C346EF" w:rsidRPr="00B64336">
        <w:rPr>
          <w:sz w:val="26"/>
          <w:szCs w:val="26"/>
        </w:rPr>
        <w:t xml:space="preserve">set forth </w:t>
      </w:r>
      <w:r w:rsidRPr="00B64336">
        <w:rPr>
          <w:sz w:val="26"/>
          <w:szCs w:val="26"/>
        </w:rPr>
        <w:t>below, we</w:t>
      </w:r>
      <w:r w:rsidR="00217816" w:rsidRPr="00B64336">
        <w:rPr>
          <w:sz w:val="26"/>
          <w:szCs w:val="26"/>
        </w:rPr>
        <w:t xml:space="preserve"> </w:t>
      </w:r>
      <w:r w:rsidR="00EF6624" w:rsidRPr="00B64336">
        <w:rPr>
          <w:sz w:val="26"/>
          <w:szCs w:val="26"/>
        </w:rPr>
        <w:t xml:space="preserve">shall </w:t>
      </w:r>
      <w:r w:rsidRPr="00B64336">
        <w:rPr>
          <w:sz w:val="26"/>
          <w:szCs w:val="26"/>
        </w:rPr>
        <w:t>deny the</w:t>
      </w:r>
      <w:r w:rsidR="00217816" w:rsidRPr="00B64336">
        <w:rPr>
          <w:sz w:val="26"/>
          <w:szCs w:val="26"/>
        </w:rPr>
        <w:t xml:space="preserve"> Complainant’s</w:t>
      </w:r>
      <w:r w:rsidRPr="00E8753D">
        <w:rPr>
          <w:sz w:val="26"/>
          <w:szCs w:val="26"/>
        </w:rPr>
        <w:t xml:space="preserve"> Exceptions</w:t>
      </w:r>
      <w:r w:rsidR="00C346EF">
        <w:rPr>
          <w:sz w:val="26"/>
          <w:szCs w:val="26"/>
        </w:rPr>
        <w:t xml:space="preserve">, </w:t>
      </w:r>
      <w:r w:rsidRPr="00E8753D">
        <w:rPr>
          <w:sz w:val="26"/>
          <w:szCs w:val="26"/>
        </w:rPr>
        <w:t>adopt</w:t>
      </w:r>
      <w:r w:rsidR="00FF56AE" w:rsidRPr="00E8753D">
        <w:rPr>
          <w:sz w:val="26"/>
          <w:szCs w:val="26"/>
        </w:rPr>
        <w:t xml:space="preserve"> </w:t>
      </w:r>
      <w:r w:rsidRPr="00E8753D">
        <w:rPr>
          <w:sz w:val="26"/>
          <w:szCs w:val="26"/>
        </w:rPr>
        <w:t xml:space="preserve">the </w:t>
      </w:r>
      <w:r w:rsidR="00C732EF">
        <w:rPr>
          <w:sz w:val="26"/>
          <w:szCs w:val="26"/>
        </w:rPr>
        <w:t>SA</w:t>
      </w:r>
      <w:r w:rsidR="00C346EF">
        <w:rPr>
          <w:sz w:val="26"/>
          <w:szCs w:val="26"/>
        </w:rPr>
        <w:t xml:space="preserve">’s </w:t>
      </w:r>
      <w:r w:rsidRPr="00E8753D">
        <w:rPr>
          <w:sz w:val="26"/>
          <w:szCs w:val="26"/>
        </w:rPr>
        <w:t>Initial Decision</w:t>
      </w:r>
      <w:r w:rsidR="007177AF">
        <w:rPr>
          <w:sz w:val="26"/>
          <w:szCs w:val="26"/>
        </w:rPr>
        <w:t>,</w:t>
      </w:r>
      <w:r w:rsidR="00C346EF">
        <w:rPr>
          <w:sz w:val="26"/>
          <w:szCs w:val="26"/>
        </w:rPr>
        <w:t xml:space="preserve"> and dismiss the Complaint, </w:t>
      </w:r>
      <w:r w:rsidRPr="00E8753D">
        <w:rPr>
          <w:sz w:val="26"/>
          <w:szCs w:val="26"/>
        </w:rPr>
        <w:t>consistent with this Opinion and Order.</w:t>
      </w:r>
    </w:p>
    <w:p w14:paraId="782665DA" w14:textId="77777777" w:rsidR="00B06616" w:rsidRPr="00E8753D" w:rsidRDefault="00B06616" w:rsidP="004F7ABC">
      <w:pPr>
        <w:widowControl/>
        <w:spacing w:line="360" w:lineRule="auto"/>
        <w:ind w:firstLine="1440"/>
        <w:rPr>
          <w:sz w:val="26"/>
          <w:szCs w:val="26"/>
        </w:rPr>
      </w:pPr>
    </w:p>
    <w:p w14:paraId="741E4338" w14:textId="77777777" w:rsidR="00B73D28" w:rsidRDefault="006A5BF4" w:rsidP="00B73D28">
      <w:pPr>
        <w:keepNext/>
        <w:widowControl/>
        <w:spacing w:line="360" w:lineRule="auto"/>
        <w:contextualSpacing/>
        <w:jc w:val="center"/>
        <w:rPr>
          <w:b/>
          <w:bCs/>
          <w:sz w:val="26"/>
          <w:szCs w:val="26"/>
        </w:rPr>
      </w:pPr>
      <w:r w:rsidRPr="00B73D28">
        <w:rPr>
          <w:b/>
          <w:bCs/>
          <w:sz w:val="26"/>
          <w:szCs w:val="26"/>
        </w:rPr>
        <w:t>History of the Proceeding</w:t>
      </w:r>
      <w:r w:rsidR="00B73D28">
        <w:rPr>
          <w:b/>
          <w:bCs/>
          <w:sz w:val="26"/>
          <w:szCs w:val="26"/>
        </w:rPr>
        <w:t xml:space="preserve"> </w:t>
      </w:r>
    </w:p>
    <w:p w14:paraId="4805B241" w14:textId="77777777" w:rsidR="00B73D28" w:rsidRDefault="00B73D28" w:rsidP="00B73D28">
      <w:pPr>
        <w:keepNext/>
        <w:widowControl/>
        <w:spacing w:line="360" w:lineRule="auto"/>
        <w:contextualSpacing/>
        <w:jc w:val="center"/>
        <w:rPr>
          <w:b/>
          <w:bCs/>
          <w:sz w:val="26"/>
          <w:szCs w:val="26"/>
        </w:rPr>
      </w:pPr>
    </w:p>
    <w:p w14:paraId="1D944BA5" w14:textId="77777777" w:rsidR="0036331C" w:rsidRPr="007C40B5" w:rsidRDefault="0036331C" w:rsidP="0036331C">
      <w:pPr>
        <w:widowControl/>
        <w:tabs>
          <w:tab w:val="left" w:pos="720"/>
        </w:tabs>
        <w:spacing w:after="160" w:line="360" w:lineRule="auto"/>
        <w:rPr>
          <w:rFonts w:eastAsiaTheme="minorHAnsi"/>
          <w:sz w:val="26"/>
          <w:szCs w:val="26"/>
        </w:rPr>
      </w:pPr>
      <w:bookmarkStart w:id="1" w:name="_Hlk524016168"/>
      <w:r w:rsidRPr="008425AE">
        <w:rPr>
          <w:rFonts w:eastAsiaTheme="minorHAnsi"/>
          <w:sz w:val="26"/>
          <w:szCs w:val="26"/>
        </w:rPr>
        <w:tab/>
      </w:r>
      <w:r w:rsidRPr="008425AE">
        <w:rPr>
          <w:rFonts w:eastAsiaTheme="minorHAnsi"/>
          <w:sz w:val="26"/>
          <w:szCs w:val="26"/>
        </w:rPr>
        <w:tab/>
      </w:r>
      <w:bookmarkEnd w:id="1"/>
      <w:r w:rsidRPr="007C40B5">
        <w:rPr>
          <w:rFonts w:eastAsiaTheme="minorHAnsi"/>
          <w:sz w:val="26"/>
          <w:szCs w:val="26"/>
        </w:rPr>
        <w:t xml:space="preserve">On </w:t>
      </w:r>
      <w:r w:rsidR="00B87A9B">
        <w:rPr>
          <w:rFonts w:eastAsiaTheme="minorHAnsi"/>
          <w:sz w:val="26"/>
          <w:szCs w:val="26"/>
        </w:rPr>
        <w:t>September 25, 2018</w:t>
      </w:r>
      <w:r w:rsidR="00B64336">
        <w:rPr>
          <w:rFonts w:eastAsiaTheme="minorHAnsi"/>
          <w:sz w:val="26"/>
          <w:szCs w:val="26"/>
        </w:rPr>
        <w:t xml:space="preserve">, </w:t>
      </w:r>
      <w:r w:rsidR="00672496">
        <w:rPr>
          <w:rFonts w:eastAsiaTheme="minorHAnsi"/>
          <w:sz w:val="26"/>
          <w:szCs w:val="26"/>
        </w:rPr>
        <w:t xml:space="preserve">the </w:t>
      </w:r>
      <w:r w:rsidR="00B64336">
        <w:rPr>
          <w:rFonts w:eastAsiaTheme="minorHAnsi"/>
          <w:sz w:val="26"/>
          <w:szCs w:val="26"/>
        </w:rPr>
        <w:t>Complainant</w:t>
      </w:r>
      <w:r w:rsidRPr="007C40B5">
        <w:rPr>
          <w:rFonts w:eastAsiaTheme="minorHAnsi"/>
          <w:sz w:val="26"/>
          <w:szCs w:val="26"/>
        </w:rPr>
        <w:t xml:space="preserve">, acting </w:t>
      </w:r>
      <w:r w:rsidRPr="007C40B5">
        <w:rPr>
          <w:rFonts w:eastAsiaTheme="minorHAnsi"/>
          <w:i/>
          <w:sz w:val="26"/>
          <w:szCs w:val="26"/>
        </w:rPr>
        <w:t>pro se</w:t>
      </w:r>
      <w:r w:rsidRPr="007C40B5">
        <w:rPr>
          <w:rFonts w:eastAsiaTheme="minorHAnsi"/>
          <w:sz w:val="26"/>
          <w:szCs w:val="26"/>
        </w:rPr>
        <w:t xml:space="preserve">, filed </w:t>
      </w:r>
      <w:r w:rsidR="00D91001">
        <w:rPr>
          <w:rFonts w:eastAsiaTheme="minorHAnsi"/>
          <w:sz w:val="26"/>
          <w:szCs w:val="26"/>
        </w:rPr>
        <w:t>the</w:t>
      </w:r>
      <w:r w:rsidR="00466CDF">
        <w:rPr>
          <w:rFonts w:eastAsiaTheme="minorHAnsi"/>
          <w:sz w:val="26"/>
          <w:szCs w:val="26"/>
        </w:rPr>
        <w:t xml:space="preserve"> instant</w:t>
      </w:r>
      <w:r w:rsidRPr="007C40B5">
        <w:rPr>
          <w:rFonts w:eastAsiaTheme="minorHAnsi"/>
          <w:sz w:val="26"/>
          <w:szCs w:val="26"/>
        </w:rPr>
        <w:t xml:space="preserve"> Complaint proceeding at the present docket, </w:t>
      </w:r>
      <w:r w:rsidR="00B87A9B">
        <w:rPr>
          <w:rFonts w:eastAsiaTheme="minorHAnsi"/>
          <w:sz w:val="26"/>
          <w:szCs w:val="26"/>
        </w:rPr>
        <w:t xml:space="preserve">which is a timely appeal of the Bureau of Consumer Services (BCS) informal decision at BCS case No. 3594971, denying the Complainant’s request for </w:t>
      </w:r>
      <w:r w:rsidRPr="007C40B5">
        <w:rPr>
          <w:rFonts w:eastAsiaTheme="minorHAnsi"/>
          <w:sz w:val="26"/>
          <w:szCs w:val="26"/>
        </w:rPr>
        <w:t xml:space="preserve">a </w:t>
      </w:r>
      <w:r w:rsidR="00B56C82">
        <w:rPr>
          <w:rFonts w:eastAsiaTheme="minorHAnsi"/>
          <w:sz w:val="26"/>
          <w:szCs w:val="26"/>
        </w:rPr>
        <w:t>Commission-</w:t>
      </w:r>
      <w:r w:rsidR="00FA34AD">
        <w:rPr>
          <w:rFonts w:eastAsiaTheme="minorHAnsi"/>
          <w:sz w:val="26"/>
          <w:szCs w:val="26"/>
        </w:rPr>
        <w:t>issued</w:t>
      </w:r>
      <w:r w:rsidRPr="007C40B5">
        <w:rPr>
          <w:rFonts w:eastAsiaTheme="minorHAnsi"/>
          <w:sz w:val="26"/>
          <w:szCs w:val="26"/>
        </w:rPr>
        <w:t xml:space="preserve"> payment arrangement or an extension of the existing payment agreement with PGW.  </w:t>
      </w:r>
      <w:r w:rsidR="00F3757C">
        <w:rPr>
          <w:rFonts w:eastAsiaTheme="minorHAnsi"/>
          <w:sz w:val="26"/>
          <w:szCs w:val="26"/>
        </w:rPr>
        <w:t>In her Complaint, Ms. N</w:t>
      </w:r>
      <w:r w:rsidR="00FD0A92">
        <w:rPr>
          <w:rFonts w:eastAsiaTheme="minorHAnsi"/>
          <w:sz w:val="26"/>
          <w:szCs w:val="26"/>
        </w:rPr>
        <w:t xml:space="preserve">orton </w:t>
      </w:r>
      <w:r w:rsidR="000F7D04">
        <w:rPr>
          <w:rFonts w:eastAsiaTheme="minorHAnsi"/>
          <w:sz w:val="26"/>
          <w:szCs w:val="26"/>
        </w:rPr>
        <w:t>alleged that PGW is threatening to shut off her</w:t>
      </w:r>
      <w:r w:rsidR="0024707E">
        <w:rPr>
          <w:rFonts w:eastAsiaTheme="minorHAnsi"/>
          <w:sz w:val="26"/>
          <w:szCs w:val="26"/>
        </w:rPr>
        <w:t xml:space="preserve"> service or has already shut off her </w:t>
      </w:r>
      <w:r w:rsidR="00187807">
        <w:rPr>
          <w:rFonts w:eastAsiaTheme="minorHAnsi"/>
          <w:sz w:val="26"/>
          <w:szCs w:val="26"/>
        </w:rPr>
        <w:t xml:space="preserve">gas </w:t>
      </w:r>
      <w:r w:rsidR="0024707E">
        <w:rPr>
          <w:rFonts w:eastAsiaTheme="minorHAnsi"/>
          <w:sz w:val="26"/>
          <w:szCs w:val="26"/>
        </w:rPr>
        <w:t xml:space="preserve">service.  For relief, the Complainant </w:t>
      </w:r>
      <w:r w:rsidR="00FD0A92">
        <w:rPr>
          <w:rFonts w:eastAsiaTheme="minorHAnsi"/>
          <w:sz w:val="26"/>
          <w:szCs w:val="26"/>
        </w:rPr>
        <w:t>requested a payment arrangement and a resolution of this matter</w:t>
      </w:r>
      <w:r w:rsidR="00EA4B3B">
        <w:rPr>
          <w:rFonts w:eastAsiaTheme="minorHAnsi"/>
          <w:sz w:val="26"/>
          <w:szCs w:val="26"/>
        </w:rPr>
        <w:t xml:space="preserve"> because she has sent</w:t>
      </w:r>
      <w:r w:rsidR="007C3FFF">
        <w:rPr>
          <w:rFonts w:eastAsiaTheme="minorHAnsi"/>
          <w:sz w:val="26"/>
          <w:szCs w:val="26"/>
        </w:rPr>
        <w:t xml:space="preserve"> </w:t>
      </w:r>
      <w:r w:rsidR="000538FB">
        <w:rPr>
          <w:rFonts w:eastAsiaTheme="minorHAnsi"/>
          <w:sz w:val="26"/>
          <w:szCs w:val="26"/>
        </w:rPr>
        <w:t>all requested documents</w:t>
      </w:r>
      <w:r w:rsidR="00FD0A92">
        <w:rPr>
          <w:rFonts w:eastAsiaTheme="minorHAnsi"/>
          <w:sz w:val="26"/>
          <w:szCs w:val="26"/>
        </w:rPr>
        <w:t>.</w:t>
      </w:r>
      <w:r w:rsidR="00942FC5">
        <w:rPr>
          <w:rFonts w:eastAsiaTheme="minorHAnsi"/>
          <w:sz w:val="26"/>
          <w:szCs w:val="26"/>
        </w:rPr>
        <w:t xml:space="preserve">  </w:t>
      </w:r>
      <w:r>
        <w:rPr>
          <w:rFonts w:eastAsiaTheme="minorHAnsi"/>
          <w:sz w:val="26"/>
          <w:szCs w:val="26"/>
        </w:rPr>
        <w:t xml:space="preserve">I.D. at </w:t>
      </w:r>
      <w:r w:rsidRPr="00B87A9B">
        <w:rPr>
          <w:rFonts w:eastAsiaTheme="minorHAnsi"/>
          <w:sz w:val="26"/>
          <w:szCs w:val="26"/>
        </w:rPr>
        <w:t>1</w:t>
      </w:r>
      <w:r w:rsidR="00B87A9B" w:rsidRPr="00B87A9B">
        <w:rPr>
          <w:rFonts w:eastAsiaTheme="minorHAnsi"/>
          <w:sz w:val="26"/>
          <w:szCs w:val="26"/>
        </w:rPr>
        <w:t>-2</w:t>
      </w:r>
      <w:r w:rsidR="00942FC5">
        <w:rPr>
          <w:rFonts w:eastAsiaTheme="minorHAnsi"/>
          <w:sz w:val="26"/>
          <w:szCs w:val="26"/>
        </w:rPr>
        <w:t>; Complaint at 2-3</w:t>
      </w:r>
      <w:r w:rsidR="00B87A9B" w:rsidRPr="00B87A9B">
        <w:rPr>
          <w:rFonts w:eastAsiaTheme="minorHAnsi"/>
          <w:sz w:val="26"/>
          <w:szCs w:val="26"/>
        </w:rPr>
        <w:t>.</w:t>
      </w:r>
    </w:p>
    <w:p w14:paraId="5D26BF39" w14:textId="77777777" w:rsidR="0036331C" w:rsidRPr="00330E08" w:rsidRDefault="0036331C" w:rsidP="00C732EF">
      <w:pPr>
        <w:widowControl/>
        <w:tabs>
          <w:tab w:val="left" w:pos="720"/>
        </w:tabs>
        <w:spacing w:line="360" w:lineRule="auto"/>
        <w:rPr>
          <w:rFonts w:eastAsiaTheme="minorHAnsi"/>
          <w:sz w:val="26"/>
          <w:szCs w:val="26"/>
        </w:rPr>
      </w:pPr>
    </w:p>
    <w:p w14:paraId="3282D615" w14:textId="77777777" w:rsidR="0036331C" w:rsidRDefault="0036331C" w:rsidP="0036331C">
      <w:pPr>
        <w:widowControl/>
        <w:tabs>
          <w:tab w:val="left" w:pos="720"/>
        </w:tabs>
        <w:spacing w:after="160" w:line="360" w:lineRule="auto"/>
        <w:rPr>
          <w:rFonts w:eastAsiaTheme="minorHAnsi"/>
          <w:sz w:val="26"/>
          <w:szCs w:val="26"/>
        </w:rPr>
      </w:pPr>
      <w:r w:rsidRPr="00330E08">
        <w:rPr>
          <w:rFonts w:eastAsiaTheme="minorHAnsi"/>
          <w:sz w:val="26"/>
          <w:szCs w:val="26"/>
        </w:rPr>
        <w:tab/>
      </w:r>
      <w:r w:rsidRPr="00330E08">
        <w:rPr>
          <w:rFonts w:eastAsiaTheme="minorHAnsi"/>
          <w:sz w:val="26"/>
          <w:szCs w:val="26"/>
        </w:rPr>
        <w:tab/>
      </w:r>
      <w:r w:rsidR="00CB6A78">
        <w:rPr>
          <w:rFonts w:eastAsiaTheme="minorHAnsi"/>
          <w:sz w:val="26"/>
          <w:szCs w:val="26"/>
        </w:rPr>
        <w:t xml:space="preserve">On October 22, 2018, </w:t>
      </w:r>
      <w:r w:rsidRPr="00330E08">
        <w:rPr>
          <w:rFonts w:eastAsiaTheme="minorHAnsi"/>
          <w:sz w:val="26"/>
          <w:szCs w:val="26"/>
        </w:rPr>
        <w:t>PGW filed an Answer to the Complaint</w:t>
      </w:r>
      <w:r>
        <w:rPr>
          <w:rFonts w:eastAsiaTheme="minorHAnsi"/>
          <w:sz w:val="26"/>
          <w:szCs w:val="26"/>
        </w:rPr>
        <w:t xml:space="preserve"> (Answer)</w:t>
      </w:r>
      <w:r w:rsidRPr="00330E08">
        <w:rPr>
          <w:rFonts w:eastAsiaTheme="minorHAnsi"/>
          <w:sz w:val="26"/>
          <w:szCs w:val="26"/>
        </w:rPr>
        <w:t xml:space="preserve"> </w:t>
      </w:r>
      <w:r w:rsidRPr="00B87A9B">
        <w:rPr>
          <w:rFonts w:eastAsiaTheme="minorHAnsi"/>
          <w:sz w:val="26"/>
          <w:szCs w:val="26"/>
        </w:rPr>
        <w:t>in</w:t>
      </w:r>
      <w:r w:rsidRPr="00330E08">
        <w:rPr>
          <w:rFonts w:eastAsiaTheme="minorHAnsi"/>
          <w:sz w:val="26"/>
          <w:szCs w:val="26"/>
        </w:rPr>
        <w:t xml:space="preserve"> opposition </w:t>
      </w:r>
      <w:r w:rsidRPr="00B87A9B">
        <w:rPr>
          <w:rFonts w:eastAsiaTheme="minorHAnsi"/>
          <w:sz w:val="26"/>
          <w:szCs w:val="26"/>
        </w:rPr>
        <w:t xml:space="preserve">to Ms. </w:t>
      </w:r>
      <w:r w:rsidR="00B87A9B" w:rsidRPr="00B87A9B">
        <w:rPr>
          <w:rFonts w:eastAsiaTheme="minorHAnsi"/>
          <w:sz w:val="26"/>
          <w:szCs w:val="26"/>
        </w:rPr>
        <w:t xml:space="preserve">Norton’s </w:t>
      </w:r>
      <w:r w:rsidRPr="00B87A9B">
        <w:rPr>
          <w:rFonts w:eastAsiaTheme="minorHAnsi"/>
          <w:sz w:val="26"/>
          <w:szCs w:val="26"/>
        </w:rPr>
        <w:t>request</w:t>
      </w:r>
      <w:r w:rsidRPr="00330E08">
        <w:rPr>
          <w:rFonts w:eastAsiaTheme="minorHAnsi"/>
          <w:sz w:val="26"/>
          <w:szCs w:val="26"/>
        </w:rPr>
        <w:t xml:space="preserve"> for a </w:t>
      </w:r>
      <w:r w:rsidR="00EE2F9F">
        <w:rPr>
          <w:rFonts w:eastAsiaTheme="minorHAnsi"/>
          <w:sz w:val="26"/>
          <w:szCs w:val="26"/>
        </w:rPr>
        <w:t>second</w:t>
      </w:r>
      <w:r w:rsidRPr="00330E08">
        <w:rPr>
          <w:rFonts w:eastAsiaTheme="minorHAnsi"/>
          <w:sz w:val="26"/>
          <w:szCs w:val="26"/>
        </w:rPr>
        <w:t xml:space="preserve"> or extended payment arrangement.  PGW </w:t>
      </w:r>
      <w:r w:rsidRPr="00B87A9B">
        <w:rPr>
          <w:rFonts w:eastAsiaTheme="minorHAnsi"/>
          <w:sz w:val="26"/>
          <w:szCs w:val="26"/>
        </w:rPr>
        <w:t xml:space="preserve">asserted that </w:t>
      </w:r>
      <w:r w:rsidR="00C732EF">
        <w:rPr>
          <w:rFonts w:eastAsiaTheme="minorHAnsi"/>
          <w:sz w:val="26"/>
          <w:szCs w:val="26"/>
        </w:rPr>
        <w:t>Ms. Norton defaulted on the prior</w:t>
      </w:r>
      <w:r w:rsidR="00017BB9">
        <w:rPr>
          <w:rFonts w:eastAsiaTheme="minorHAnsi"/>
          <w:sz w:val="26"/>
          <w:szCs w:val="26"/>
        </w:rPr>
        <w:t xml:space="preserve"> </w:t>
      </w:r>
      <w:r w:rsidR="00B56C82">
        <w:rPr>
          <w:rFonts w:eastAsiaTheme="minorHAnsi"/>
          <w:sz w:val="26"/>
          <w:szCs w:val="26"/>
        </w:rPr>
        <w:t>Commission-</w:t>
      </w:r>
      <w:r w:rsidR="00FA34AD">
        <w:rPr>
          <w:rFonts w:eastAsiaTheme="minorHAnsi"/>
          <w:sz w:val="26"/>
          <w:szCs w:val="26"/>
        </w:rPr>
        <w:t>issued</w:t>
      </w:r>
      <w:r w:rsidR="00017BB9">
        <w:rPr>
          <w:rFonts w:eastAsiaTheme="minorHAnsi"/>
          <w:sz w:val="26"/>
          <w:szCs w:val="26"/>
        </w:rPr>
        <w:t xml:space="preserve"> payment a</w:t>
      </w:r>
      <w:r w:rsidR="004F440A">
        <w:rPr>
          <w:rFonts w:eastAsiaTheme="minorHAnsi"/>
          <w:sz w:val="26"/>
          <w:szCs w:val="26"/>
        </w:rPr>
        <w:t>rrangement</w:t>
      </w:r>
      <w:r w:rsidR="00017BB9">
        <w:rPr>
          <w:rFonts w:eastAsiaTheme="minorHAnsi"/>
          <w:sz w:val="26"/>
          <w:szCs w:val="26"/>
        </w:rPr>
        <w:t xml:space="preserve"> </w:t>
      </w:r>
      <w:r w:rsidR="007F3333">
        <w:rPr>
          <w:rFonts w:eastAsiaTheme="minorHAnsi"/>
          <w:sz w:val="26"/>
          <w:szCs w:val="26"/>
        </w:rPr>
        <w:t>when</w:t>
      </w:r>
      <w:r w:rsidRPr="00B87A9B">
        <w:rPr>
          <w:rFonts w:eastAsiaTheme="minorHAnsi"/>
          <w:sz w:val="26"/>
          <w:szCs w:val="26"/>
        </w:rPr>
        <w:t xml:space="preserve"> </w:t>
      </w:r>
      <w:r w:rsidR="00C732EF">
        <w:rPr>
          <w:rFonts w:eastAsiaTheme="minorHAnsi"/>
          <w:sz w:val="26"/>
          <w:szCs w:val="26"/>
        </w:rPr>
        <w:t>her</w:t>
      </w:r>
      <w:r w:rsidRPr="00B87A9B">
        <w:rPr>
          <w:rFonts w:eastAsiaTheme="minorHAnsi"/>
          <w:sz w:val="26"/>
          <w:szCs w:val="26"/>
        </w:rPr>
        <w:t xml:space="preserve"> </w:t>
      </w:r>
      <w:r w:rsidR="007F3333">
        <w:rPr>
          <w:rFonts w:eastAsiaTheme="minorHAnsi"/>
          <w:sz w:val="26"/>
          <w:szCs w:val="26"/>
        </w:rPr>
        <w:t>January 2018 check for $1,000 was returned due to insufficient funds</w:t>
      </w:r>
      <w:r w:rsidRPr="00330E08">
        <w:rPr>
          <w:rFonts w:eastAsiaTheme="minorHAnsi"/>
          <w:sz w:val="26"/>
          <w:szCs w:val="26"/>
        </w:rPr>
        <w:t xml:space="preserve">.  Therefore, PGW asserted that Ms. </w:t>
      </w:r>
      <w:r w:rsidR="00B87A9B">
        <w:rPr>
          <w:rFonts w:eastAsiaTheme="minorHAnsi"/>
          <w:sz w:val="26"/>
          <w:szCs w:val="26"/>
        </w:rPr>
        <w:t xml:space="preserve">Norton </w:t>
      </w:r>
      <w:r w:rsidRPr="00330E08">
        <w:rPr>
          <w:rFonts w:eastAsiaTheme="minorHAnsi"/>
          <w:sz w:val="26"/>
          <w:szCs w:val="26"/>
        </w:rPr>
        <w:t xml:space="preserve">was entitled to </w:t>
      </w:r>
      <w:r w:rsidR="00483FEF">
        <w:rPr>
          <w:rFonts w:eastAsiaTheme="minorHAnsi"/>
          <w:sz w:val="26"/>
          <w:szCs w:val="26"/>
        </w:rPr>
        <w:t>n</w:t>
      </w:r>
      <w:r w:rsidR="007F3333">
        <w:rPr>
          <w:rFonts w:eastAsiaTheme="minorHAnsi"/>
          <w:sz w:val="26"/>
          <w:szCs w:val="26"/>
        </w:rPr>
        <w:t>either</w:t>
      </w:r>
      <w:r w:rsidR="00483FEF">
        <w:rPr>
          <w:rFonts w:eastAsiaTheme="minorHAnsi"/>
          <w:sz w:val="26"/>
          <w:szCs w:val="26"/>
        </w:rPr>
        <w:t>,</w:t>
      </w:r>
      <w:r w:rsidR="007F3333">
        <w:rPr>
          <w:rFonts w:eastAsiaTheme="minorHAnsi"/>
          <w:sz w:val="26"/>
          <w:szCs w:val="26"/>
        </w:rPr>
        <w:t xml:space="preserve"> </w:t>
      </w:r>
      <w:r w:rsidRPr="00330E08">
        <w:rPr>
          <w:rFonts w:eastAsiaTheme="minorHAnsi"/>
          <w:sz w:val="26"/>
          <w:szCs w:val="26"/>
        </w:rPr>
        <w:t xml:space="preserve">a </w:t>
      </w:r>
      <w:r w:rsidR="00757912">
        <w:rPr>
          <w:rFonts w:eastAsiaTheme="minorHAnsi"/>
          <w:sz w:val="26"/>
          <w:szCs w:val="26"/>
        </w:rPr>
        <w:t>second</w:t>
      </w:r>
      <w:r w:rsidRPr="00330E08">
        <w:rPr>
          <w:rFonts w:eastAsiaTheme="minorHAnsi"/>
          <w:sz w:val="26"/>
          <w:szCs w:val="26"/>
        </w:rPr>
        <w:t xml:space="preserve"> </w:t>
      </w:r>
      <w:r w:rsidR="007F3333">
        <w:rPr>
          <w:rFonts w:eastAsiaTheme="minorHAnsi"/>
          <w:sz w:val="26"/>
          <w:szCs w:val="26"/>
        </w:rPr>
        <w:t>payment arrangement</w:t>
      </w:r>
      <w:r w:rsidR="00483FEF">
        <w:rPr>
          <w:rFonts w:eastAsiaTheme="minorHAnsi"/>
          <w:sz w:val="26"/>
          <w:szCs w:val="26"/>
        </w:rPr>
        <w:t>,</w:t>
      </w:r>
      <w:r w:rsidR="007F3333">
        <w:rPr>
          <w:rFonts w:eastAsiaTheme="minorHAnsi"/>
          <w:sz w:val="26"/>
          <w:szCs w:val="26"/>
        </w:rPr>
        <w:t xml:space="preserve"> </w:t>
      </w:r>
      <w:r w:rsidR="00483FEF">
        <w:rPr>
          <w:rFonts w:eastAsiaTheme="minorHAnsi"/>
          <w:sz w:val="26"/>
          <w:szCs w:val="26"/>
        </w:rPr>
        <w:t>n</w:t>
      </w:r>
      <w:r w:rsidR="007F3333">
        <w:rPr>
          <w:rFonts w:eastAsiaTheme="minorHAnsi"/>
          <w:sz w:val="26"/>
          <w:szCs w:val="26"/>
        </w:rPr>
        <w:t>or</w:t>
      </w:r>
      <w:r w:rsidR="00483FEF">
        <w:rPr>
          <w:rFonts w:eastAsiaTheme="minorHAnsi"/>
          <w:sz w:val="26"/>
          <w:szCs w:val="26"/>
        </w:rPr>
        <w:t>,</w:t>
      </w:r>
      <w:r w:rsidR="007F3333">
        <w:rPr>
          <w:rFonts w:eastAsiaTheme="minorHAnsi"/>
          <w:sz w:val="26"/>
          <w:szCs w:val="26"/>
        </w:rPr>
        <w:t xml:space="preserve"> an</w:t>
      </w:r>
      <w:r w:rsidRPr="00330E08">
        <w:rPr>
          <w:rFonts w:eastAsiaTheme="minorHAnsi"/>
          <w:sz w:val="26"/>
          <w:szCs w:val="26"/>
        </w:rPr>
        <w:t xml:space="preserve"> exten</w:t>
      </w:r>
      <w:r w:rsidR="007F3333">
        <w:rPr>
          <w:rFonts w:eastAsiaTheme="minorHAnsi"/>
          <w:sz w:val="26"/>
          <w:szCs w:val="26"/>
        </w:rPr>
        <w:t xml:space="preserve">sion of her prior </w:t>
      </w:r>
      <w:r w:rsidR="00B56C82">
        <w:rPr>
          <w:rFonts w:eastAsiaTheme="minorHAnsi"/>
          <w:sz w:val="26"/>
          <w:szCs w:val="26"/>
        </w:rPr>
        <w:t>Commission-</w:t>
      </w:r>
      <w:r w:rsidR="00FA34AD">
        <w:rPr>
          <w:rFonts w:eastAsiaTheme="minorHAnsi"/>
          <w:sz w:val="26"/>
          <w:szCs w:val="26"/>
        </w:rPr>
        <w:t xml:space="preserve">issued </w:t>
      </w:r>
      <w:r w:rsidR="007F3333">
        <w:rPr>
          <w:rFonts w:eastAsiaTheme="minorHAnsi"/>
          <w:sz w:val="26"/>
          <w:szCs w:val="26"/>
        </w:rPr>
        <w:t>payment arrangement</w:t>
      </w:r>
      <w:r w:rsidRPr="00330E08">
        <w:rPr>
          <w:rFonts w:eastAsiaTheme="minorHAnsi"/>
          <w:sz w:val="26"/>
          <w:szCs w:val="26"/>
        </w:rPr>
        <w:t>, pursuant to 66 Pa.</w:t>
      </w:r>
      <w:r w:rsidR="00CB50B5">
        <w:rPr>
          <w:rFonts w:eastAsiaTheme="minorHAnsi"/>
          <w:sz w:val="26"/>
          <w:szCs w:val="26"/>
        </w:rPr>
        <w:t xml:space="preserve"> </w:t>
      </w:r>
      <w:r w:rsidRPr="00330E08">
        <w:rPr>
          <w:rFonts w:eastAsiaTheme="minorHAnsi"/>
          <w:sz w:val="26"/>
          <w:szCs w:val="26"/>
        </w:rPr>
        <w:t>C.S. §</w:t>
      </w:r>
      <w:r w:rsidR="00030684">
        <w:rPr>
          <w:rFonts w:eastAsiaTheme="minorHAnsi"/>
          <w:sz w:val="26"/>
          <w:szCs w:val="26"/>
        </w:rPr>
        <w:t xml:space="preserve"> </w:t>
      </w:r>
      <w:r w:rsidRPr="00330E08">
        <w:rPr>
          <w:rFonts w:eastAsiaTheme="minorHAnsi"/>
          <w:sz w:val="26"/>
          <w:szCs w:val="26"/>
        </w:rPr>
        <w:t xml:space="preserve">1405 (pertaining to </w:t>
      </w:r>
      <w:r w:rsidR="006B0827">
        <w:rPr>
          <w:rFonts w:eastAsiaTheme="minorHAnsi"/>
          <w:sz w:val="26"/>
          <w:szCs w:val="26"/>
        </w:rPr>
        <w:t>subsequent</w:t>
      </w:r>
      <w:r>
        <w:rPr>
          <w:rFonts w:eastAsiaTheme="minorHAnsi"/>
          <w:sz w:val="26"/>
          <w:szCs w:val="26"/>
        </w:rPr>
        <w:t xml:space="preserve"> or extended </w:t>
      </w:r>
      <w:r w:rsidR="00B56C82">
        <w:rPr>
          <w:rFonts w:eastAsiaTheme="minorHAnsi"/>
          <w:sz w:val="26"/>
          <w:szCs w:val="26"/>
        </w:rPr>
        <w:t>Commission-</w:t>
      </w:r>
      <w:r w:rsidR="00FA34AD">
        <w:rPr>
          <w:rFonts w:eastAsiaTheme="minorHAnsi"/>
          <w:sz w:val="26"/>
          <w:szCs w:val="26"/>
        </w:rPr>
        <w:t>issued</w:t>
      </w:r>
      <w:r>
        <w:rPr>
          <w:rFonts w:eastAsiaTheme="minorHAnsi"/>
          <w:sz w:val="26"/>
          <w:szCs w:val="26"/>
        </w:rPr>
        <w:t xml:space="preserve"> </w:t>
      </w:r>
      <w:r w:rsidRPr="00330E08">
        <w:rPr>
          <w:rFonts w:eastAsiaTheme="minorHAnsi"/>
          <w:sz w:val="26"/>
          <w:szCs w:val="26"/>
        </w:rPr>
        <w:lastRenderedPageBreak/>
        <w:t>payment arrangement</w:t>
      </w:r>
      <w:r>
        <w:rPr>
          <w:rFonts w:eastAsiaTheme="minorHAnsi"/>
          <w:sz w:val="26"/>
          <w:szCs w:val="26"/>
        </w:rPr>
        <w:t>s following default</w:t>
      </w:r>
      <w:r w:rsidRPr="00330E08">
        <w:rPr>
          <w:rFonts w:eastAsiaTheme="minorHAnsi"/>
          <w:sz w:val="26"/>
          <w:szCs w:val="26"/>
        </w:rPr>
        <w:t>)</w:t>
      </w:r>
      <w:r w:rsidR="00017BB9">
        <w:rPr>
          <w:rFonts w:eastAsiaTheme="minorHAnsi"/>
          <w:sz w:val="26"/>
          <w:szCs w:val="26"/>
        </w:rPr>
        <w:t>.  PGW</w:t>
      </w:r>
      <w:r w:rsidRPr="00330E08">
        <w:rPr>
          <w:rFonts w:eastAsiaTheme="minorHAnsi"/>
          <w:sz w:val="26"/>
          <w:szCs w:val="26"/>
        </w:rPr>
        <w:t xml:space="preserve"> requested that </w:t>
      </w:r>
      <w:r w:rsidRPr="00B87A9B">
        <w:rPr>
          <w:rFonts w:eastAsiaTheme="minorHAnsi"/>
          <w:sz w:val="26"/>
          <w:szCs w:val="26"/>
        </w:rPr>
        <w:t>the Complaint be dismissed.  I.D. at 2; Answer at 1</w:t>
      </w:r>
      <w:r w:rsidR="00F74FA8">
        <w:rPr>
          <w:rFonts w:eastAsiaTheme="minorHAnsi"/>
          <w:sz w:val="26"/>
          <w:szCs w:val="26"/>
        </w:rPr>
        <w:t>-2</w:t>
      </w:r>
      <w:r w:rsidRPr="00B87A9B">
        <w:rPr>
          <w:rFonts w:eastAsiaTheme="minorHAnsi"/>
          <w:sz w:val="26"/>
          <w:szCs w:val="26"/>
        </w:rPr>
        <w:t>.</w:t>
      </w:r>
    </w:p>
    <w:p w14:paraId="605BBE71" w14:textId="77777777" w:rsidR="0036331C" w:rsidRDefault="0036331C" w:rsidP="00C732EF">
      <w:pPr>
        <w:widowControl/>
        <w:tabs>
          <w:tab w:val="left" w:pos="720"/>
        </w:tabs>
        <w:spacing w:line="360" w:lineRule="auto"/>
        <w:rPr>
          <w:rFonts w:eastAsiaTheme="minorHAnsi"/>
          <w:sz w:val="26"/>
          <w:szCs w:val="26"/>
        </w:rPr>
      </w:pPr>
    </w:p>
    <w:p w14:paraId="3AA5D496" w14:textId="77777777" w:rsidR="00B87A9B" w:rsidRDefault="0036331C" w:rsidP="0036331C">
      <w:pPr>
        <w:widowControl/>
        <w:tabs>
          <w:tab w:val="left" w:pos="720"/>
        </w:tabs>
        <w:spacing w:after="160" w:line="360" w:lineRule="auto"/>
        <w:rPr>
          <w:rFonts w:eastAsiaTheme="minorHAnsi"/>
          <w:sz w:val="26"/>
          <w:szCs w:val="26"/>
        </w:rPr>
      </w:pPr>
      <w:r>
        <w:rPr>
          <w:rFonts w:eastAsiaTheme="minorHAnsi"/>
          <w:sz w:val="26"/>
          <w:szCs w:val="26"/>
        </w:rPr>
        <w:tab/>
      </w:r>
      <w:r>
        <w:rPr>
          <w:rFonts w:eastAsiaTheme="minorHAnsi"/>
          <w:sz w:val="26"/>
          <w:szCs w:val="26"/>
        </w:rPr>
        <w:tab/>
      </w:r>
      <w:r w:rsidR="00B87A9B">
        <w:rPr>
          <w:rFonts w:eastAsiaTheme="minorHAnsi"/>
          <w:sz w:val="26"/>
          <w:szCs w:val="26"/>
        </w:rPr>
        <w:t>By Hearing Notice issued on November 1, 2018, the matter was scheduled for telephonic hearing for December 11, 2018.  A Prehearing Order was issued by SA Chiodo on November 13, 2018, setting forth certain procedural requirements</w:t>
      </w:r>
      <w:r w:rsidR="00D2743D">
        <w:rPr>
          <w:rFonts w:eastAsiaTheme="minorHAnsi"/>
          <w:sz w:val="26"/>
          <w:szCs w:val="26"/>
        </w:rPr>
        <w:t>.</w:t>
      </w:r>
      <w:r w:rsidR="009C3378">
        <w:rPr>
          <w:rStyle w:val="FootnoteReference"/>
          <w:rFonts w:eastAsiaTheme="minorHAnsi"/>
          <w:sz w:val="26"/>
          <w:szCs w:val="26"/>
        </w:rPr>
        <w:footnoteReference w:id="2"/>
      </w:r>
      <w:r w:rsidR="00B87A9B">
        <w:rPr>
          <w:rFonts w:eastAsiaTheme="minorHAnsi"/>
          <w:sz w:val="26"/>
          <w:szCs w:val="26"/>
        </w:rPr>
        <w:t xml:space="preserve"> </w:t>
      </w:r>
    </w:p>
    <w:p w14:paraId="6E1FCAF8" w14:textId="77777777" w:rsidR="00B87A9B" w:rsidRDefault="00B87A9B" w:rsidP="0036331C">
      <w:pPr>
        <w:widowControl/>
        <w:tabs>
          <w:tab w:val="left" w:pos="720"/>
        </w:tabs>
        <w:spacing w:after="160" w:line="360" w:lineRule="auto"/>
        <w:rPr>
          <w:rFonts w:eastAsiaTheme="minorHAnsi"/>
          <w:sz w:val="26"/>
          <w:szCs w:val="26"/>
        </w:rPr>
      </w:pPr>
    </w:p>
    <w:p w14:paraId="54BA8840" w14:textId="77777777" w:rsidR="0036331C" w:rsidRDefault="009C3378" w:rsidP="0036331C">
      <w:pPr>
        <w:widowControl/>
        <w:tabs>
          <w:tab w:val="left" w:pos="720"/>
        </w:tabs>
        <w:spacing w:after="160" w:line="360" w:lineRule="auto"/>
        <w:rPr>
          <w:rFonts w:eastAsiaTheme="minorHAnsi"/>
          <w:sz w:val="26"/>
          <w:szCs w:val="26"/>
        </w:rPr>
      </w:pPr>
      <w:r>
        <w:rPr>
          <w:rFonts w:eastAsiaTheme="minorHAnsi"/>
          <w:sz w:val="26"/>
          <w:szCs w:val="26"/>
        </w:rPr>
        <w:tab/>
      </w:r>
      <w:r>
        <w:rPr>
          <w:rFonts w:eastAsiaTheme="minorHAnsi"/>
          <w:sz w:val="26"/>
          <w:szCs w:val="26"/>
        </w:rPr>
        <w:tab/>
      </w:r>
      <w:r w:rsidR="0036331C">
        <w:rPr>
          <w:rFonts w:eastAsiaTheme="minorHAnsi"/>
          <w:sz w:val="26"/>
          <w:szCs w:val="26"/>
        </w:rPr>
        <w:t>An evidentiary hearing was held</w:t>
      </w:r>
      <w:r>
        <w:rPr>
          <w:rFonts w:eastAsiaTheme="minorHAnsi"/>
          <w:sz w:val="26"/>
          <w:szCs w:val="26"/>
        </w:rPr>
        <w:t xml:space="preserve"> on December 11, </w:t>
      </w:r>
      <w:r w:rsidR="005F68EE">
        <w:rPr>
          <w:rFonts w:eastAsiaTheme="minorHAnsi"/>
          <w:sz w:val="26"/>
          <w:szCs w:val="26"/>
        </w:rPr>
        <w:t>2018;</w:t>
      </w:r>
      <w:r>
        <w:rPr>
          <w:rFonts w:eastAsiaTheme="minorHAnsi"/>
          <w:sz w:val="26"/>
          <w:szCs w:val="26"/>
        </w:rPr>
        <w:t xml:space="preserve"> </w:t>
      </w:r>
      <w:r w:rsidR="0036331C">
        <w:rPr>
          <w:rFonts w:eastAsiaTheme="minorHAnsi"/>
          <w:sz w:val="26"/>
          <w:szCs w:val="26"/>
        </w:rPr>
        <w:t xml:space="preserve">at which time the parties </w:t>
      </w:r>
      <w:r>
        <w:rPr>
          <w:rFonts w:eastAsiaTheme="minorHAnsi"/>
          <w:sz w:val="26"/>
          <w:szCs w:val="26"/>
        </w:rPr>
        <w:t xml:space="preserve">had the opportunity to present evidence.  </w:t>
      </w:r>
      <w:r w:rsidR="00672496">
        <w:rPr>
          <w:rFonts w:eastAsiaTheme="minorHAnsi"/>
          <w:sz w:val="26"/>
          <w:szCs w:val="26"/>
        </w:rPr>
        <w:t xml:space="preserve">The </w:t>
      </w:r>
      <w:r>
        <w:rPr>
          <w:rFonts w:eastAsiaTheme="minorHAnsi"/>
          <w:sz w:val="26"/>
          <w:szCs w:val="26"/>
        </w:rPr>
        <w:t xml:space="preserve">Complainant appeared </w:t>
      </w:r>
      <w:r w:rsidRPr="009C3378">
        <w:rPr>
          <w:rFonts w:eastAsiaTheme="minorHAnsi"/>
          <w:i/>
          <w:iCs/>
          <w:sz w:val="26"/>
          <w:szCs w:val="26"/>
        </w:rPr>
        <w:t>pro se</w:t>
      </w:r>
      <w:r>
        <w:rPr>
          <w:rFonts w:eastAsiaTheme="minorHAnsi"/>
          <w:sz w:val="26"/>
          <w:szCs w:val="26"/>
        </w:rPr>
        <w:t xml:space="preserve"> and offered testimony in support of the Compl</w:t>
      </w:r>
      <w:r w:rsidR="002E38BE">
        <w:rPr>
          <w:rFonts w:eastAsiaTheme="minorHAnsi"/>
          <w:sz w:val="26"/>
          <w:szCs w:val="26"/>
        </w:rPr>
        <w:t>ai</w:t>
      </w:r>
      <w:r>
        <w:rPr>
          <w:rFonts w:eastAsiaTheme="minorHAnsi"/>
          <w:sz w:val="26"/>
          <w:szCs w:val="26"/>
        </w:rPr>
        <w:t xml:space="preserve">nt.  </w:t>
      </w:r>
      <w:r w:rsidR="00672496">
        <w:rPr>
          <w:rFonts w:eastAsiaTheme="minorHAnsi"/>
          <w:sz w:val="26"/>
          <w:szCs w:val="26"/>
        </w:rPr>
        <w:t xml:space="preserve">The </w:t>
      </w:r>
      <w:r>
        <w:rPr>
          <w:rFonts w:eastAsiaTheme="minorHAnsi"/>
          <w:sz w:val="26"/>
          <w:szCs w:val="26"/>
        </w:rPr>
        <w:t>Complainant sought, and was granted</w:t>
      </w:r>
      <w:r w:rsidR="00017BB9">
        <w:rPr>
          <w:rFonts w:eastAsiaTheme="minorHAnsi"/>
          <w:sz w:val="26"/>
          <w:szCs w:val="26"/>
        </w:rPr>
        <w:t>,</w:t>
      </w:r>
      <w:r w:rsidR="002E38BE">
        <w:rPr>
          <w:rFonts w:eastAsiaTheme="minorHAnsi"/>
          <w:sz w:val="26"/>
          <w:szCs w:val="26"/>
        </w:rPr>
        <w:t xml:space="preserve"> until December 17, 2018, </w:t>
      </w:r>
      <w:r>
        <w:rPr>
          <w:rFonts w:eastAsiaTheme="minorHAnsi"/>
          <w:sz w:val="26"/>
          <w:szCs w:val="26"/>
        </w:rPr>
        <w:t xml:space="preserve">to submit a late-filed exhibit of her bank statement to </w:t>
      </w:r>
      <w:r w:rsidR="002E38BE">
        <w:rPr>
          <w:rFonts w:eastAsiaTheme="minorHAnsi"/>
          <w:sz w:val="26"/>
          <w:szCs w:val="26"/>
        </w:rPr>
        <w:t>substantiate</w:t>
      </w:r>
      <w:r>
        <w:rPr>
          <w:rFonts w:eastAsiaTheme="minorHAnsi"/>
          <w:sz w:val="26"/>
          <w:szCs w:val="26"/>
        </w:rPr>
        <w:t xml:space="preserve"> her claim that </w:t>
      </w:r>
      <w:r w:rsidR="002E38BE">
        <w:rPr>
          <w:rFonts w:eastAsiaTheme="minorHAnsi"/>
          <w:sz w:val="26"/>
          <w:szCs w:val="26"/>
        </w:rPr>
        <w:t xml:space="preserve">sufficient </w:t>
      </w:r>
      <w:r>
        <w:rPr>
          <w:rFonts w:eastAsiaTheme="minorHAnsi"/>
          <w:sz w:val="26"/>
          <w:szCs w:val="26"/>
        </w:rPr>
        <w:t xml:space="preserve">funds were available in her account on the date </w:t>
      </w:r>
      <w:r w:rsidR="002E38BE">
        <w:rPr>
          <w:rFonts w:eastAsiaTheme="minorHAnsi"/>
          <w:sz w:val="26"/>
          <w:szCs w:val="26"/>
        </w:rPr>
        <w:t xml:space="preserve">her bank retuned it for insufficient funds, in error.  </w:t>
      </w:r>
      <w:r w:rsidR="0036331C" w:rsidRPr="002E38BE">
        <w:rPr>
          <w:rFonts w:eastAsiaTheme="minorHAnsi"/>
          <w:sz w:val="26"/>
          <w:szCs w:val="26"/>
        </w:rPr>
        <w:t xml:space="preserve">PGW </w:t>
      </w:r>
      <w:r w:rsidR="002E38BE" w:rsidRPr="002E38BE">
        <w:rPr>
          <w:rFonts w:eastAsiaTheme="minorHAnsi"/>
          <w:sz w:val="26"/>
          <w:szCs w:val="26"/>
        </w:rPr>
        <w:t xml:space="preserve">appeared represented by counsel, and presented one witness Patricia Bernard, Customer Review Officer for PGW, who sponsored three exhibits: </w:t>
      </w:r>
      <w:bookmarkStart w:id="2" w:name="_Hlk30510704"/>
      <w:r w:rsidR="005801E4">
        <w:rPr>
          <w:rFonts w:eastAsiaTheme="minorHAnsi"/>
          <w:sz w:val="26"/>
          <w:szCs w:val="26"/>
        </w:rPr>
        <w:t xml:space="preserve">(1) </w:t>
      </w:r>
      <w:r w:rsidR="002E38BE" w:rsidRPr="002E38BE">
        <w:rPr>
          <w:rFonts w:eastAsiaTheme="minorHAnsi"/>
          <w:sz w:val="26"/>
          <w:szCs w:val="26"/>
        </w:rPr>
        <w:t xml:space="preserve">PGW </w:t>
      </w:r>
      <w:r w:rsidR="0036331C" w:rsidRPr="002E38BE">
        <w:rPr>
          <w:rFonts w:eastAsiaTheme="minorHAnsi"/>
          <w:sz w:val="26"/>
          <w:szCs w:val="26"/>
        </w:rPr>
        <w:t>Exhibit No.</w:t>
      </w:r>
      <w:r w:rsidR="00CB50B5">
        <w:rPr>
          <w:rFonts w:eastAsiaTheme="minorHAnsi"/>
          <w:sz w:val="26"/>
          <w:szCs w:val="26"/>
        </w:rPr>
        <w:t xml:space="preserve"> </w:t>
      </w:r>
      <w:r w:rsidR="0036331C" w:rsidRPr="002E38BE">
        <w:rPr>
          <w:rFonts w:eastAsiaTheme="minorHAnsi"/>
          <w:sz w:val="26"/>
          <w:szCs w:val="26"/>
        </w:rPr>
        <w:t>1</w:t>
      </w:r>
      <w:r w:rsidR="002E38BE" w:rsidRPr="002E38BE">
        <w:rPr>
          <w:rFonts w:eastAsiaTheme="minorHAnsi"/>
          <w:sz w:val="26"/>
          <w:szCs w:val="26"/>
        </w:rPr>
        <w:t xml:space="preserve"> </w:t>
      </w:r>
      <w:bookmarkEnd w:id="2"/>
      <w:r w:rsidR="002E38BE" w:rsidRPr="002E38BE">
        <w:rPr>
          <w:rFonts w:eastAsiaTheme="minorHAnsi"/>
          <w:sz w:val="26"/>
          <w:szCs w:val="26"/>
        </w:rPr>
        <w:t>(24</w:t>
      </w:r>
      <w:r w:rsidR="004702F0">
        <w:rPr>
          <w:rFonts w:eastAsiaTheme="minorHAnsi"/>
          <w:sz w:val="26"/>
          <w:szCs w:val="26"/>
        </w:rPr>
        <w:t>-</w:t>
      </w:r>
      <w:r w:rsidR="002E38BE" w:rsidRPr="002E38BE">
        <w:rPr>
          <w:rFonts w:eastAsiaTheme="minorHAnsi"/>
          <w:sz w:val="26"/>
          <w:szCs w:val="26"/>
        </w:rPr>
        <w:t xml:space="preserve">month </w:t>
      </w:r>
      <w:r w:rsidR="004702F0">
        <w:rPr>
          <w:rFonts w:eastAsiaTheme="minorHAnsi"/>
          <w:sz w:val="26"/>
          <w:szCs w:val="26"/>
        </w:rPr>
        <w:t>S</w:t>
      </w:r>
      <w:r w:rsidR="002E38BE" w:rsidRPr="002E38BE">
        <w:rPr>
          <w:rFonts w:eastAsiaTheme="minorHAnsi"/>
          <w:sz w:val="26"/>
          <w:szCs w:val="26"/>
        </w:rPr>
        <w:t xml:space="preserve">tatement of </w:t>
      </w:r>
      <w:r w:rsidR="004702F0">
        <w:rPr>
          <w:rFonts w:eastAsiaTheme="minorHAnsi"/>
          <w:sz w:val="26"/>
          <w:szCs w:val="26"/>
        </w:rPr>
        <w:t>A</w:t>
      </w:r>
      <w:r w:rsidR="002E38BE" w:rsidRPr="002E38BE">
        <w:rPr>
          <w:rFonts w:eastAsiaTheme="minorHAnsi"/>
          <w:sz w:val="26"/>
          <w:szCs w:val="26"/>
        </w:rPr>
        <w:t xml:space="preserve">ccount </w:t>
      </w:r>
      <w:r w:rsidR="0036331C" w:rsidRPr="002E38BE">
        <w:rPr>
          <w:rFonts w:eastAsiaTheme="minorHAnsi"/>
          <w:sz w:val="26"/>
          <w:szCs w:val="26"/>
        </w:rPr>
        <w:t>-</w:t>
      </w:r>
      <w:r w:rsidR="002E38BE" w:rsidRPr="002E38BE">
        <w:rPr>
          <w:rFonts w:eastAsiaTheme="minorHAnsi"/>
          <w:sz w:val="26"/>
          <w:szCs w:val="26"/>
        </w:rPr>
        <w:t xml:space="preserve">3 pages); </w:t>
      </w:r>
      <w:r w:rsidR="005801E4">
        <w:rPr>
          <w:rFonts w:eastAsiaTheme="minorHAnsi"/>
          <w:sz w:val="26"/>
          <w:szCs w:val="26"/>
        </w:rPr>
        <w:t xml:space="preserve">(2) </w:t>
      </w:r>
      <w:r w:rsidR="002E38BE" w:rsidRPr="002E38BE">
        <w:rPr>
          <w:rFonts w:eastAsiaTheme="minorHAnsi"/>
          <w:sz w:val="26"/>
          <w:szCs w:val="26"/>
        </w:rPr>
        <w:t>PGW Exhibit No.</w:t>
      </w:r>
      <w:r w:rsidR="00CB50B5">
        <w:rPr>
          <w:rFonts w:eastAsiaTheme="minorHAnsi"/>
          <w:sz w:val="26"/>
          <w:szCs w:val="26"/>
        </w:rPr>
        <w:t xml:space="preserve"> </w:t>
      </w:r>
      <w:r w:rsidR="002E38BE" w:rsidRPr="002E38BE">
        <w:rPr>
          <w:rFonts w:eastAsiaTheme="minorHAnsi"/>
          <w:sz w:val="26"/>
          <w:szCs w:val="26"/>
        </w:rPr>
        <w:t xml:space="preserve">2 (Payment Arrangement History – 5 pages); </w:t>
      </w:r>
      <w:r w:rsidR="005801E4">
        <w:rPr>
          <w:rFonts w:eastAsiaTheme="minorHAnsi"/>
          <w:sz w:val="26"/>
          <w:szCs w:val="26"/>
        </w:rPr>
        <w:t xml:space="preserve">(3) </w:t>
      </w:r>
      <w:r w:rsidR="002E38BE" w:rsidRPr="002E38BE">
        <w:rPr>
          <w:rFonts w:eastAsiaTheme="minorHAnsi"/>
          <w:sz w:val="26"/>
          <w:szCs w:val="26"/>
        </w:rPr>
        <w:t>PGW Exhibit No.</w:t>
      </w:r>
      <w:r w:rsidR="00CB50B5">
        <w:rPr>
          <w:rFonts w:eastAsiaTheme="minorHAnsi"/>
          <w:sz w:val="26"/>
          <w:szCs w:val="26"/>
        </w:rPr>
        <w:t xml:space="preserve"> </w:t>
      </w:r>
      <w:r w:rsidR="002E38BE" w:rsidRPr="002E38BE">
        <w:rPr>
          <w:rFonts w:eastAsiaTheme="minorHAnsi"/>
          <w:sz w:val="26"/>
          <w:szCs w:val="26"/>
        </w:rPr>
        <w:t xml:space="preserve">3 (BCS Complaints, Decisions and Account Records -26 pages).  PGW Exhibits Nos. 1-3 were entered </w:t>
      </w:r>
      <w:r w:rsidR="0036331C" w:rsidRPr="002E38BE">
        <w:rPr>
          <w:rFonts w:eastAsiaTheme="minorHAnsi"/>
          <w:sz w:val="26"/>
          <w:szCs w:val="26"/>
        </w:rPr>
        <w:t>into the record.  I.D. at 2</w:t>
      </w:r>
      <w:r w:rsidR="002E38BE" w:rsidRPr="002E38BE">
        <w:rPr>
          <w:rFonts w:eastAsiaTheme="minorHAnsi"/>
          <w:sz w:val="26"/>
          <w:szCs w:val="26"/>
        </w:rPr>
        <w:t>-3</w:t>
      </w:r>
      <w:r w:rsidR="00030684">
        <w:rPr>
          <w:rFonts w:eastAsiaTheme="minorHAnsi"/>
          <w:sz w:val="26"/>
          <w:szCs w:val="26"/>
        </w:rPr>
        <w:t>.</w:t>
      </w:r>
      <w:r w:rsidR="002E38BE">
        <w:rPr>
          <w:rStyle w:val="FootnoteReference"/>
          <w:rFonts w:eastAsiaTheme="minorHAnsi"/>
          <w:sz w:val="26"/>
          <w:szCs w:val="26"/>
        </w:rPr>
        <w:footnoteReference w:id="3"/>
      </w:r>
    </w:p>
    <w:p w14:paraId="7BBD5A51" w14:textId="77777777" w:rsidR="00134B21" w:rsidRDefault="00134B21" w:rsidP="00C732EF">
      <w:pPr>
        <w:widowControl/>
        <w:tabs>
          <w:tab w:val="left" w:pos="720"/>
        </w:tabs>
        <w:spacing w:line="360" w:lineRule="auto"/>
        <w:rPr>
          <w:rFonts w:eastAsiaTheme="minorHAnsi"/>
          <w:sz w:val="26"/>
          <w:szCs w:val="26"/>
        </w:rPr>
      </w:pPr>
    </w:p>
    <w:p w14:paraId="2A3ED807" w14:textId="77777777" w:rsidR="00B214F2" w:rsidRDefault="005F68EE" w:rsidP="00B214F2">
      <w:pPr>
        <w:widowControl/>
        <w:spacing w:line="360" w:lineRule="auto"/>
        <w:ind w:firstLine="1440"/>
        <w:rPr>
          <w:sz w:val="26"/>
          <w:szCs w:val="26"/>
        </w:rPr>
      </w:pPr>
      <w:r>
        <w:rPr>
          <w:sz w:val="26"/>
          <w:szCs w:val="26"/>
        </w:rPr>
        <w:t xml:space="preserve">The record closed on December 17, </w:t>
      </w:r>
      <w:proofErr w:type="gramStart"/>
      <w:r>
        <w:rPr>
          <w:sz w:val="26"/>
          <w:szCs w:val="26"/>
        </w:rPr>
        <w:t>2018,</w:t>
      </w:r>
      <w:proofErr w:type="gramEnd"/>
      <w:r>
        <w:rPr>
          <w:sz w:val="26"/>
          <w:szCs w:val="26"/>
        </w:rPr>
        <w:t xml:space="preserve"> at which time no exhibit had been submitted by the Complainant.  I.D. at 3. </w:t>
      </w:r>
    </w:p>
    <w:p w14:paraId="47F24F19" w14:textId="77777777" w:rsidR="00B214F2" w:rsidRDefault="00B214F2" w:rsidP="00B214F2">
      <w:pPr>
        <w:widowControl/>
        <w:spacing w:line="360" w:lineRule="auto"/>
        <w:ind w:firstLine="1440"/>
        <w:rPr>
          <w:rFonts w:eastAsiaTheme="minorHAnsi"/>
          <w:color w:val="000000"/>
          <w:sz w:val="26"/>
          <w:szCs w:val="26"/>
        </w:rPr>
      </w:pPr>
      <w:r>
        <w:rPr>
          <w:rFonts w:eastAsiaTheme="minorHAnsi"/>
          <w:color w:val="000000"/>
          <w:sz w:val="26"/>
          <w:szCs w:val="26"/>
        </w:rPr>
        <w:lastRenderedPageBreak/>
        <w:t xml:space="preserve">On </w:t>
      </w:r>
      <w:r w:rsidR="005F68EE">
        <w:rPr>
          <w:rFonts w:eastAsiaTheme="minorHAnsi"/>
          <w:color w:val="000000"/>
          <w:sz w:val="26"/>
          <w:szCs w:val="26"/>
        </w:rPr>
        <w:t xml:space="preserve">February 25, 2019, </w:t>
      </w:r>
      <w:r w:rsidR="00672496">
        <w:rPr>
          <w:rFonts w:eastAsiaTheme="minorHAnsi"/>
          <w:color w:val="000000"/>
          <w:sz w:val="26"/>
          <w:szCs w:val="26"/>
        </w:rPr>
        <w:t>the Commission served S</w:t>
      </w:r>
      <w:r w:rsidR="0041186B">
        <w:rPr>
          <w:rFonts w:eastAsiaTheme="minorHAnsi"/>
          <w:color w:val="000000"/>
          <w:sz w:val="26"/>
          <w:szCs w:val="26"/>
        </w:rPr>
        <w:t>A</w:t>
      </w:r>
      <w:r w:rsidR="00672496">
        <w:rPr>
          <w:rFonts w:eastAsiaTheme="minorHAnsi"/>
          <w:color w:val="000000"/>
          <w:sz w:val="26"/>
          <w:szCs w:val="26"/>
        </w:rPr>
        <w:t xml:space="preserve"> Chi</w:t>
      </w:r>
      <w:r w:rsidR="00FA34AD">
        <w:rPr>
          <w:rFonts w:eastAsiaTheme="minorHAnsi"/>
          <w:color w:val="000000"/>
          <w:sz w:val="26"/>
          <w:szCs w:val="26"/>
        </w:rPr>
        <w:t>o</w:t>
      </w:r>
      <w:r w:rsidR="00672496">
        <w:rPr>
          <w:rFonts w:eastAsiaTheme="minorHAnsi"/>
          <w:color w:val="000000"/>
          <w:sz w:val="26"/>
          <w:szCs w:val="26"/>
        </w:rPr>
        <w:t xml:space="preserve">do’s </w:t>
      </w:r>
      <w:r>
        <w:rPr>
          <w:rFonts w:eastAsiaTheme="minorHAnsi"/>
          <w:color w:val="000000"/>
          <w:sz w:val="26"/>
          <w:szCs w:val="26"/>
        </w:rPr>
        <w:t>Initial Decision on</w:t>
      </w:r>
      <w:r w:rsidR="00017BB9">
        <w:rPr>
          <w:rFonts w:eastAsiaTheme="minorHAnsi"/>
          <w:color w:val="000000"/>
          <w:sz w:val="26"/>
          <w:szCs w:val="26"/>
        </w:rPr>
        <w:t xml:space="preserve"> the parties</w:t>
      </w:r>
      <w:r>
        <w:rPr>
          <w:rFonts w:eastAsiaTheme="minorHAnsi"/>
          <w:color w:val="000000"/>
          <w:sz w:val="26"/>
          <w:szCs w:val="26"/>
        </w:rPr>
        <w:t xml:space="preserve">.  The Initial Decision </w:t>
      </w:r>
      <w:r w:rsidR="0036331C">
        <w:rPr>
          <w:rFonts w:eastAsiaTheme="minorHAnsi"/>
          <w:color w:val="000000"/>
          <w:sz w:val="26"/>
          <w:szCs w:val="26"/>
        </w:rPr>
        <w:t xml:space="preserve">denied the Complaint for failure to carry the burden of proof to establish entitlement to </w:t>
      </w:r>
      <w:r w:rsidR="005F68EE">
        <w:rPr>
          <w:rFonts w:eastAsiaTheme="minorHAnsi"/>
          <w:color w:val="000000"/>
          <w:sz w:val="26"/>
          <w:szCs w:val="26"/>
        </w:rPr>
        <w:t xml:space="preserve">either </w:t>
      </w:r>
      <w:r w:rsidR="0036331C">
        <w:rPr>
          <w:rFonts w:eastAsiaTheme="minorHAnsi"/>
          <w:color w:val="000000"/>
          <w:sz w:val="26"/>
          <w:szCs w:val="26"/>
        </w:rPr>
        <w:t xml:space="preserve">a </w:t>
      </w:r>
      <w:r w:rsidR="00DA217F">
        <w:rPr>
          <w:rFonts w:eastAsiaTheme="minorHAnsi"/>
          <w:color w:val="000000"/>
          <w:sz w:val="26"/>
          <w:szCs w:val="26"/>
        </w:rPr>
        <w:t xml:space="preserve">second </w:t>
      </w:r>
      <w:r w:rsidR="00B56C82">
        <w:rPr>
          <w:rFonts w:eastAsiaTheme="minorHAnsi"/>
          <w:color w:val="000000"/>
          <w:sz w:val="26"/>
          <w:szCs w:val="26"/>
        </w:rPr>
        <w:t>Commission-</w:t>
      </w:r>
      <w:r w:rsidR="00FA34AD">
        <w:rPr>
          <w:rFonts w:eastAsiaTheme="minorHAnsi"/>
          <w:color w:val="000000"/>
          <w:sz w:val="26"/>
          <w:szCs w:val="26"/>
        </w:rPr>
        <w:t>issued</w:t>
      </w:r>
      <w:r w:rsidR="0036331C">
        <w:rPr>
          <w:rFonts w:eastAsiaTheme="minorHAnsi"/>
          <w:color w:val="000000"/>
          <w:sz w:val="26"/>
          <w:szCs w:val="26"/>
        </w:rPr>
        <w:t xml:space="preserve"> payment arrangement</w:t>
      </w:r>
      <w:r w:rsidR="005F68EE">
        <w:rPr>
          <w:rFonts w:eastAsiaTheme="minorHAnsi"/>
          <w:color w:val="000000"/>
          <w:sz w:val="26"/>
          <w:szCs w:val="26"/>
        </w:rPr>
        <w:t xml:space="preserve"> or</w:t>
      </w:r>
      <w:r w:rsidR="00483FEF">
        <w:rPr>
          <w:rFonts w:eastAsiaTheme="minorHAnsi"/>
          <w:color w:val="000000"/>
          <w:sz w:val="26"/>
          <w:szCs w:val="26"/>
        </w:rPr>
        <w:t xml:space="preserve"> </w:t>
      </w:r>
      <w:r w:rsidR="00D2743D">
        <w:rPr>
          <w:rFonts w:eastAsiaTheme="minorHAnsi"/>
          <w:color w:val="000000"/>
          <w:sz w:val="26"/>
          <w:szCs w:val="26"/>
        </w:rPr>
        <w:t xml:space="preserve">an </w:t>
      </w:r>
      <w:r w:rsidR="005F68EE">
        <w:rPr>
          <w:rFonts w:eastAsiaTheme="minorHAnsi"/>
          <w:color w:val="000000"/>
          <w:sz w:val="26"/>
          <w:szCs w:val="26"/>
        </w:rPr>
        <w:t xml:space="preserve">extension of the prior </w:t>
      </w:r>
      <w:r w:rsidR="00B56C82">
        <w:rPr>
          <w:rFonts w:eastAsiaTheme="minorHAnsi"/>
          <w:color w:val="000000"/>
          <w:sz w:val="26"/>
          <w:szCs w:val="26"/>
        </w:rPr>
        <w:t>Commission-</w:t>
      </w:r>
      <w:r w:rsidR="00FA34AD">
        <w:rPr>
          <w:rFonts w:eastAsiaTheme="minorHAnsi"/>
          <w:color w:val="000000"/>
          <w:sz w:val="26"/>
          <w:szCs w:val="26"/>
        </w:rPr>
        <w:t>issued</w:t>
      </w:r>
      <w:r w:rsidR="005F68EE">
        <w:rPr>
          <w:rFonts w:eastAsiaTheme="minorHAnsi"/>
          <w:color w:val="000000"/>
          <w:sz w:val="26"/>
          <w:szCs w:val="26"/>
        </w:rPr>
        <w:t xml:space="preserve"> payment arrangement</w:t>
      </w:r>
      <w:r w:rsidR="00FD274D">
        <w:rPr>
          <w:rFonts w:eastAsiaTheme="minorHAnsi"/>
          <w:color w:val="000000"/>
          <w:sz w:val="26"/>
          <w:szCs w:val="26"/>
        </w:rPr>
        <w:t xml:space="preserve"> pursuant to Section 1405 of the</w:t>
      </w:r>
      <w:r w:rsidR="00846962">
        <w:rPr>
          <w:rFonts w:eastAsiaTheme="minorHAnsi"/>
          <w:color w:val="000000"/>
          <w:sz w:val="26"/>
          <w:szCs w:val="26"/>
        </w:rPr>
        <w:t xml:space="preserve"> Code</w:t>
      </w:r>
      <w:r w:rsidR="00FD274D">
        <w:rPr>
          <w:rFonts w:eastAsiaTheme="minorHAnsi"/>
          <w:color w:val="000000"/>
          <w:sz w:val="26"/>
          <w:szCs w:val="26"/>
        </w:rPr>
        <w:t>.</w:t>
      </w:r>
      <w:r w:rsidR="004C40F3">
        <w:rPr>
          <w:rFonts w:eastAsiaTheme="minorHAnsi"/>
          <w:color w:val="000000"/>
          <w:sz w:val="26"/>
          <w:szCs w:val="26"/>
        </w:rPr>
        <w:t xml:space="preserve">  </w:t>
      </w:r>
      <w:r w:rsidR="00CA1A92">
        <w:rPr>
          <w:rFonts w:eastAsiaTheme="minorHAnsi"/>
          <w:color w:val="000000"/>
          <w:sz w:val="26"/>
          <w:szCs w:val="26"/>
        </w:rPr>
        <w:t>As earlier indicated, t</w:t>
      </w:r>
      <w:r w:rsidR="00CB3A6F">
        <w:rPr>
          <w:rFonts w:eastAsiaTheme="minorHAnsi"/>
          <w:color w:val="000000"/>
          <w:sz w:val="26"/>
          <w:szCs w:val="26"/>
        </w:rPr>
        <w:t>he Initial Decision also d</w:t>
      </w:r>
      <w:r w:rsidR="003F55A2">
        <w:rPr>
          <w:rFonts w:eastAsiaTheme="minorHAnsi"/>
          <w:color w:val="000000"/>
          <w:sz w:val="26"/>
          <w:szCs w:val="26"/>
        </w:rPr>
        <w:t xml:space="preserve">enied PGW’s verbal request that Ms. Norton be barred from </w:t>
      </w:r>
      <w:r w:rsidR="001B1495">
        <w:rPr>
          <w:rFonts w:eastAsiaTheme="minorHAnsi"/>
          <w:color w:val="000000"/>
          <w:sz w:val="26"/>
          <w:szCs w:val="26"/>
        </w:rPr>
        <w:t xml:space="preserve">filing any further complaints, formal or informal, against the utility </w:t>
      </w:r>
      <w:r w:rsidR="00511EB5">
        <w:rPr>
          <w:rFonts w:eastAsiaTheme="minorHAnsi"/>
          <w:color w:val="000000"/>
          <w:sz w:val="26"/>
          <w:szCs w:val="26"/>
        </w:rPr>
        <w:t>until the current outstanding arrearage is paid off.</w:t>
      </w:r>
      <w:r w:rsidR="00A43404">
        <w:rPr>
          <w:rStyle w:val="FootnoteReference"/>
          <w:rFonts w:eastAsiaTheme="minorHAnsi"/>
          <w:color w:val="000000"/>
          <w:sz w:val="26"/>
          <w:szCs w:val="26"/>
        </w:rPr>
        <w:footnoteReference w:id="4"/>
      </w:r>
      <w:r w:rsidR="00511EB5">
        <w:rPr>
          <w:rFonts w:eastAsiaTheme="minorHAnsi"/>
          <w:color w:val="000000"/>
          <w:sz w:val="26"/>
          <w:szCs w:val="26"/>
        </w:rPr>
        <w:t xml:space="preserve">  </w:t>
      </w:r>
      <w:r w:rsidR="00061B71">
        <w:rPr>
          <w:rFonts w:eastAsiaTheme="minorHAnsi"/>
          <w:color w:val="000000"/>
          <w:sz w:val="26"/>
          <w:szCs w:val="26"/>
        </w:rPr>
        <w:t>I.D. at 1,</w:t>
      </w:r>
      <w:r w:rsidR="009B4540">
        <w:rPr>
          <w:rFonts w:eastAsiaTheme="minorHAnsi"/>
          <w:color w:val="000000"/>
          <w:sz w:val="26"/>
          <w:szCs w:val="26"/>
        </w:rPr>
        <w:t xml:space="preserve"> </w:t>
      </w:r>
      <w:r w:rsidR="004C40F3">
        <w:rPr>
          <w:rFonts w:eastAsiaTheme="minorHAnsi"/>
          <w:color w:val="000000"/>
          <w:sz w:val="26"/>
          <w:szCs w:val="26"/>
        </w:rPr>
        <w:t>16.</w:t>
      </w:r>
    </w:p>
    <w:p w14:paraId="37D0A020" w14:textId="77777777" w:rsidR="00D630F2" w:rsidRDefault="00D630F2" w:rsidP="00AA057D">
      <w:pPr>
        <w:widowControl/>
        <w:autoSpaceDE w:val="0"/>
        <w:autoSpaceDN w:val="0"/>
        <w:adjustRightInd w:val="0"/>
        <w:spacing w:line="360" w:lineRule="auto"/>
        <w:rPr>
          <w:sz w:val="26"/>
          <w:szCs w:val="26"/>
        </w:rPr>
      </w:pPr>
    </w:p>
    <w:p w14:paraId="599BBA26" w14:textId="77777777" w:rsidR="00B214F2" w:rsidRDefault="00C4685C" w:rsidP="00B214F2">
      <w:pPr>
        <w:widowControl/>
        <w:spacing w:line="360" w:lineRule="auto"/>
        <w:ind w:firstLine="1440"/>
        <w:rPr>
          <w:sz w:val="26"/>
          <w:szCs w:val="26"/>
        </w:rPr>
      </w:pPr>
      <w:r>
        <w:rPr>
          <w:sz w:val="26"/>
          <w:szCs w:val="26"/>
        </w:rPr>
        <w:t>T</w:t>
      </w:r>
      <w:r w:rsidR="00B214F2">
        <w:rPr>
          <w:sz w:val="26"/>
          <w:szCs w:val="26"/>
        </w:rPr>
        <w:t>he Complainant</w:t>
      </w:r>
      <w:r>
        <w:rPr>
          <w:sz w:val="26"/>
          <w:szCs w:val="26"/>
        </w:rPr>
        <w:t xml:space="preserve">’s </w:t>
      </w:r>
      <w:r w:rsidR="00B214F2">
        <w:rPr>
          <w:sz w:val="26"/>
          <w:szCs w:val="26"/>
        </w:rPr>
        <w:t xml:space="preserve">Exceptions </w:t>
      </w:r>
      <w:r w:rsidR="00620F18">
        <w:rPr>
          <w:sz w:val="26"/>
          <w:szCs w:val="26"/>
        </w:rPr>
        <w:t xml:space="preserve">were filed on </w:t>
      </w:r>
      <w:r>
        <w:rPr>
          <w:sz w:val="26"/>
          <w:szCs w:val="26"/>
        </w:rPr>
        <w:t>March 15, 2019</w:t>
      </w:r>
      <w:r w:rsidR="00030684">
        <w:rPr>
          <w:sz w:val="26"/>
          <w:szCs w:val="26"/>
        </w:rPr>
        <w:t>.</w:t>
      </w:r>
      <w:r w:rsidR="005F68EE">
        <w:rPr>
          <w:rStyle w:val="FootnoteReference"/>
          <w:sz w:val="26"/>
          <w:szCs w:val="26"/>
        </w:rPr>
        <w:footnoteReference w:id="5"/>
      </w:r>
      <w:r w:rsidR="00B214F2">
        <w:rPr>
          <w:sz w:val="26"/>
          <w:szCs w:val="26"/>
        </w:rPr>
        <w:t xml:space="preserve">  </w:t>
      </w:r>
      <w:r w:rsidR="0068200F">
        <w:rPr>
          <w:sz w:val="26"/>
          <w:szCs w:val="26"/>
        </w:rPr>
        <w:t xml:space="preserve">As noted, </w:t>
      </w:r>
      <w:r w:rsidR="0068200F" w:rsidRPr="0068200F">
        <w:rPr>
          <w:i/>
          <w:iCs/>
          <w:sz w:val="26"/>
          <w:szCs w:val="26"/>
        </w:rPr>
        <w:t>supra</w:t>
      </w:r>
      <w:r w:rsidR="0068200F">
        <w:rPr>
          <w:sz w:val="26"/>
          <w:szCs w:val="26"/>
        </w:rPr>
        <w:t xml:space="preserve">., </w:t>
      </w:r>
      <w:r w:rsidR="00483FEF">
        <w:rPr>
          <w:sz w:val="26"/>
          <w:szCs w:val="26"/>
        </w:rPr>
        <w:t>o</w:t>
      </w:r>
      <w:r w:rsidR="00030684">
        <w:rPr>
          <w:sz w:val="26"/>
          <w:szCs w:val="26"/>
        </w:rPr>
        <w:t xml:space="preserve">n February 10, 2020, </w:t>
      </w:r>
      <w:r w:rsidR="00B214F2">
        <w:rPr>
          <w:sz w:val="26"/>
          <w:szCs w:val="26"/>
        </w:rPr>
        <w:t>P</w:t>
      </w:r>
      <w:r w:rsidR="0036331C">
        <w:rPr>
          <w:sz w:val="26"/>
          <w:szCs w:val="26"/>
        </w:rPr>
        <w:t xml:space="preserve">GW </w:t>
      </w:r>
      <w:r w:rsidR="00030684">
        <w:rPr>
          <w:sz w:val="26"/>
          <w:szCs w:val="26"/>
        </w:rPr>
        <w:t xml:space="preserve">filed </w:t>
      </w:r>
      <w:r w:rsidR="0068200F">
        <w:rPr>
          <w:sz w:val="26"/>
          <w:szCs w:val="26"/>
        </w:rPr>
        <w:t xml:space="preserve">timely </w:t>
      </w:r>
      <w:r w:rsidR="00B214F2">
        <w:rPr>
          <w:sz w:val="26"/>
          <w:szCs w:val="26"/>
        </w:rPr>
        <w:t xml:space="preserve">Replies to </w:t>
      </w:r>
      <w:r w:rsidR="00483FEF">
        <w:rPr>
          <w:sz w:val="26"/>
          <w:szCs w:val="26"/>
        </w:rPr>
        <w:t xml:space="preserve">the </w:t>
      </w:r>
      <w:r w:rsidR="00B214F2">
        <w:rPr>
          <w:sz w:val="26"/>
          <w:szCs w:val="26"/>
        </w:rPr>
        <w:t>Exceptions</w:t>
      </w:r>
      <w:r w:rsidR="0036331C">
        <w:rPr>
          <w:sz w:val="26"/>
          <w:szCs w:val="26"/>
        </w:rPr>
        <w:t>.</w:t>
      </w:r>
    </w:p>
    <w:p w14:paraId="4D2BFCD1" w14:textId="77777777" w:rsidR="00B214F2" w:rsidRDefault="00B214F2" w:rsidP="003861FB">
      <w:pPr>
        <w:widowControl/>
        <w:autoSpaceDE w:val="0"/>
        <w:autoSpaceDN w:val="0"/>
        <w:adjustRightInd w:val="0"/>
        <w:spacing w:line="360" w:lineRule="auto"/>
        <w:ind w:firstLine="1440"/>
        <w:rPr>
          <w:sz w:val="26"/>
          <w:szCs w:val="26"/>
        </w:rPr>
      </w:pPr>
    </w:p>
    <w:p w14:paraId="2B8EC04F" w14:textId="77777777" w:rsidR="001B0C5E" w:rsidRPr="00A707C9" w:rsidRDefault="00A707C9" w:rsidP="002625EC">
      <w:pPr>
        <w:keepNext/>
        <w:keepLines/>
        <w:widowControl/>
        <w:spacing w:line="360" w:lineRule="auto"/>
        <w:contextualSpacing/>
        <w:jc w:val="center"/>
        <w:rPr>
          <w:b/>
          <w:sz w:val="26"/>
          <w:szCs w:val="26"/>
        </w:rPr>
      </w:pPr>
      <w:r w:rsidRPr="00A707C9">
        <w:rPr>
          <w:b/>
          <w:sz w:val="26"/>
          <w:szCs w:val="26"/>
        </w:rPr>
        <w:t>Discussion</w:t>
      </w:r>
    </w:p>
    <w:p w14:paraId="1E745D22" w14:textId="77777777" w:rsidR="00A707C9" w:rsidRDefault="00A707C9" w:rsidP="002625EC">
      <w:pPr>
        <w:keepNext/>
        <w:keepLines/>
        <w:widowControl/>
        <w:spacing w:line="360" w:lineRule="auto"/>
        <w:ind w:firstLine="1440"/>
        <w:contextualSpacing/>
        <w:rPr>
          <w:sz w:val="26"/>
          <w:szCs w:val="26"/>
        </w:rPr>
      </w:pPr>
    </w:p>
    <w:p w14:paraId="7125B14C" w14:textId="77777777" w:rsidR="009644F4" w:rsidRPr="00431FCF" w:rsidRDefault="006164CC" w:rsidP="002625EC">
      <w:pPr>
        <w:keepNext/>
        <w:keepLines/>
        <w:widowControl/>
        <w:spacing w:line="360" w:lineRule="auto"/>
        <w:contextualSpacing/>
        <w:rPr>
          <w:b/>
          <w:sz w:val="26"/>
          <w:szCs w:val="26"/>
        </w:rPr>
      </w:pPr>
      <w:r w:rsidRPr="00431FCF">
        <w:rPr>
          <w:b/>
          <w:sz w:val="26"/>
          <w:szCs w:val="26"/>
        </w:rPr>
        <w:t xml:space="preserve">Legal </w:t>
      </w:r>
      <w:r w:rsidR="00431FCF" w:rsidRPr="00431FCF">
        <w:rPr>
          <w:b/>
          <w:sz w:val="26"/>
          <w:szCs w:val="26"/>
        </w:rPr>
        <w:t>Standards</w:t>
      </w:r>
    </w:p>
    <w:p w14:paraId="4E0FA98B" w14:textId="77777777" w:rsidR="006164CC" w:rsidRDefault="006164CC" w:rsidP="002625EC">
      <w:pPr>
        <w:keepNext/>
        <w:keepLines/>
        <w:widowControl/>
        <w:spacing w:line="360" w:lineRule="auto"/>
        <w:contextualSpacing/>
        <w:rPr>
          <w:sz w:val="26"/>
          <w:szCs w:val="26"/>
        </w:rPr>
      </w:pPr>
    </w:p>
    <w:p w14:paraId="49E819EE" w14:textId="77777777" w:rsidR="00A85A38" w:rsidRDefault="00A85A38" w:rsidP="002625EC">
      <w:pPr>
        <w:widowControl/>
        <w:spacing w:line="360" w:lineRule="auto"/>
        <w:ind w:firstLine="1440"/>
        <w:rPr>
          <w:rStyle w:val="Hyperlink"/>
          <w:color w:val="000000"/>
          <w:sz w:val="26"/>
          <w:szCs w:val="26"/>
          <w:u w:val="none"/>
        </w:rPr>
      </w:pPr>
      <w:r w:rsidRPr="002A6750">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1" w:history="1">
        <w:r w:rsidRPr="002A6750">
          <w:rPr>
            <w:rStyle w:val="Emphasis"/>
            <w:color w:val="000000"/>
            <w:sz w:val="26"/>
            <w:szCs w:val="26"/>
          </w:rPr>
          <w:t xml:space="preserve">Consolidated Rail Corp. v. Pa. PUC, </w:t>
        </w:r>
        <w:r w:rsidRPr="002A6750">
          <w:rPr>
            <w:rStyle w:val="Hyperlink"/>
            <w:color w:val="000000"/>
            <w:sz w:val="26"/>
            <w:szCs w:val="26"/>
            <w:u w:val="none"/>
          </w:rPr>
          <w:t xml:space="preserve">625 A.2d 741 (Pa. </w:t>
        </w:r>
        <w:proofErr w:type="spellStart"/>
        <w:r w:rsidRPr="002A6750">
          <w:rPr>
            <w:rStyle w:val="Hyperlink"/>
            <w:color w:val="000000"/>
            <w:sz w:val="26"/>
            <w:szCs w:val="26"/>
            <w:u w:val="none"/>
          </w:rPr>
          <w:t>Cmwlth</w:t>
        </w:r>
        <w:proofErr w:type="spellEnd"/>
        <w:r w:rsidRPr="002A6750">
          <w:rPr>
            <w:rStyle w:val="Hyperlink"/>
            <w:color w:val="000000"/>
            <w:sz w:val="26"/>
            <w:szCs w:val="26"/>
            <w:u w:val="none"/>
          </w:rPr>
          <w:t>. 1993);</w:t>
        </w:r>
      </w:hyperlink>
      <w:r w:rsidRPr="002A6750">
        <w:rPr>
          <w:color w:val="000000"/>
          <w:sz w:val="26"/>
          <w:szCs w:val="26"/>
        </w:rPr>
        <w:t xml:space="preserve"> </w:t>
      </w:r>
      <w:r w:rsidRPr="002A6750">
        <w:rPr>
          <w:i/>
          <w:color w:val="000000"/>
          <w:sz w:val="26"/>
          <w:szCs w:val="26"/>
        </w:rPr>
        <w:t xml:space="preserve">also </w:t>
      </w:r>
      <w:r w:rsidRPr="002A6750">
        <w:rPr>
          <w:rStyle w:val="Emphasis"/>
          <w:color w:val="000000"/>
          <w:sz w:val="26"/>
          <w:szCs w:val="26"/>
        </w:rPr>
        <w:t xml:space="preserve">see, generally, </w:t>
      </w:r>
      <w:hyperlink r:id="rId12" w:history="1">
        <w:r w:rsidRPr="002A6750">
          <w:rPr>
            <w:rStyle w:val="Emphasis"/>
            <w:color w:val="000000"/>
            <w:sz w:val="26"/>
            <w:szCs w:val="26"/>
          </w:rPr>
          <w:t>University of Pennsylvania v. Pa. PUC</w:t>
        </w:r>
        <w:r w:rsidRPr="002A6750">
          <w:rPr>
            <w:rStyle w:val="Hyperlink"/>
            <w:color w:val="000000"/>
            <w:sz w:val="26"/>
            <w:szCs w:val="26"/>
            <w:u w:val="none"/>
          </w:rPr>
          <w:t xml:space="preserve">, 485 A.2d 1217 (Pa. </w:t>
        </w:r>
        <w:proofErr w:type="spellStart"/>
        <w:r w:rsidRPr="002A6750">
          <w:rPr>
            <w:rStyle w:val="Hyperlink"/>
            <w:color w:val="000000"/>
            <w:sz w:val="26"/>
            <w:szCs w:val="26"/>
            <w:u w:val="none"/>
          </w:rPr>
          <w:t>Cmwlth</w:t>
        </w:r>
        <w:proofErr w:type="spellEnd"/>
        <w:r w:rsidRPr="002A6750">
          <w:rPr>
            <w:rStyle w:val="Hyperlink"/>
            <w:color w:val="000000"/>
            <w:sz w:val="26"/>
            <w:szCs w:val="26"/>
            <w:u w:val="none"/>
          </w:rPr>
          <w:t>. 1984).</w:t>
        </w:r>
      </w:hyperlink>
    </w:p>
    <w:p w14:paraId="68379088" w14:textId="77777777" w:rsidR="00AA057D" w:rsidRDefault="00AA057D" w:rsidP="00B214F2">
      <w:pPr>
        <w:widowControl/>
        <w:spacing w:line="360" w:lineRule="auto"/>
        <w:ind w:firstLine="1440"/>
        <w:rPr>
          <w:sz w:val="26"/>
          <w:szCs w:val="26"/>
        </w:rPr>
      </w:pPr>
    </w:p>
    <w:p w14:paraId="36B09FC7" w14:textId="77777777" w:rsidR="00B214F2" w:rsidRDefault="00B214F2" w:rsidP="00B214F2">
      <w:pPr>
        <w:widowControl/>
        <w:spacing w:line="360" w:lineRule="auto"/>
        <w:ind w:firstLine="1440"/>
        <w:rPr>
          <w:sz w:val="26"/>
          <w:szCs w:val="26"/>
        </w:rPr>
      </w:pPr>
      <w:r>
        <w:rPr>
          <w:sz w:val="26"/>
          <w:szCs w:val="26"/>
        </w:rPr>
        <w:lastRenderedPageBreak/>
        <w:t>A</w:t>
      </w:r>
      <w:r w:rsidRPr="00BC7E17">
        <w:rPr>
          <w:sz w:val="26"/>
          <w:szCs w:val="26"/>
        </w:rPr>
        <w:t xml:space="preserve"> complainant, as the party seeking affirmative relief from the Commission, has the burden of proof.  66 Pa.</w:t>
      </w:r>
      <w:r w:rsidR="00D01584">
        <w:rPr>
          <w:sz w:val="26"/>
          <w:szCs w:val="26"/>
        </w:rPr>
        <w:t xml:space="preserve"> </w:t>
      </w:r>
      <w:r w:rsidRPr="00BC7E17">
        <w:rPr>
          <w:sz w:val="26"/>
          <w:szCs w:val="26"/>
        </w:rPr>
        <w:t xml:space="preserve">C.S. § 332(a).  The burden of proof </w:t>
      </w:r>
      <w:r>
        <w:rPr>
          <w:sz w:val="26"/>
          <w:szCs w:val="26"/>
        </w:rPr>
        <w:t xml:space="preserve">in </w:t>
      </w:r>
      <w:r w:rsidRPr="00BC7E17">
        <w:rPr>
          <w:sz w:val="26"/>
          <w:szCs w:val="26"/>
        </w:rPr>
        <w:t xml:space="preserve">actions before the Commission is the “preponderance of the evidence” standard.  </w:t>
      </w:r>
      <w:proofErr w:type="spellStart"/>
      <w:r w:rsidRPr="00BC7E17">
        <w:rPr>
          <w:i/>
          <w:sz w:val="26"/>
          <w:szCs w:val="26"/>
        </w:rPr>
        <w:t>Suber</w:t>
      </w:r>
      <w:proofErr w:type="spellEnd"/>
      <w:r w:rsidRPr="00BC7E17">
        <w:rPr>
          <w:i/>
          <w:sz w:val="26"/>
          <w:szCs w:val="26"/>
        </w:rPr>
        <w:t xml:space="preserve"> v. Pennsylvania </w:t>
      </w:r>
      <w:proofErr w:type="spellStart"/>
      <w:r w:rsidRPr="00BC7E17">
        <w:rPr>
          <w:i/>
          <w:sz w:val="26"/>
          <w:szCs w:val="26"/>
        </w:rPr>
        <w:t>Com’n</w:t>
      </w:r>
      <w:proofErr w:type="spellEnd"/>
      <w:r w:rsidRPr="00BC7E17">
        <w:rPr>
          <w:i/>
          <w:sz w:val="26"/>
          <w:szCs w:val="26"/>
        </w:rPr>
        <w:t xml:space="preserve"> on Crime and Deli</w:t>
      </w:r>
      <w:r w:rsidR="00E04D15">
        <w:rPr>
          <w:i/>
          <w:sz w:val="26"/>
          <w:szCs w:val="26"/>
        </w:rPr>
        <w:t>n</w:t>
      </w:r>
      <w:r w:rsidRPr="00BC7E17">
        <w:rPr>
          <w:i/>
          <w:sz w:val="26"/>
          <w:szCs w:val="26"/>
        </w:rPr>
        <w:t>quency</w:t>
      </w:r>
      <w:r w:rsidRPr="00BC7E17">
        <w:rPr>
          <w:sz w:val="26"/>
          <w:szCs w:val="26"/>
        </w:rPr>
        <w:t xml:space="preserve">, 885 A. 2d 678, 682 (Pa. </w:t>
      </w:r>
      <w:proofErr w:type="spellStart"/>
      <w:r w:rsidRPr="00BC7E17">
        <w:rPr>
          <w:sz w:val="26"/>
          <w:szCs w:val="26"/>
        </w:rPr>
        <w:t>Cmwlth</w:t>
      </w:r>
      <w:proofErr w:type="spellEnd"/>
      <w:r w:rsidRPr="00BC7E17">
        <w:rPr>
          <w:sz w:val="26"/>
          <w:szCs w:val="26"/>
        </w:rPr>
        <w:t>. 2005) (</w:t>
      </w:r>
      <w:proofErr w:type="spellStart"/>
      <w:r w:rsidRPr="00BC7E17">
        <w:rPr>
          <w:i/>
          <w:sz w:val="26"/>
          <w:szCs w:val="26"/>
        </w:rPr>
        <w:t>Suber</w:t>
      </w:r>
      <w:proofErr w:type="spellEnd"/>
      <w:r w:rsidRPr="00BC7E17">
        <w:rPr>
          <w:sz w:val="26"/>
          <w:szCs w:val="26"/>
        </w:rPr>
        <w:t xml:space="preserve">); </w:t>
      </w:r>
      <w:r w:rsidRPr="00BC7E17">
        <w:rPr>
          <w:i/>
          <w:iCs/>
          <w:sz w:val="26"/>
          <w:szCs w:val="26"/>
        </w:rPr>
        <w:t xml:space="preserve">Samuel J. </w:t>
      </w:r>
      <w:proofErr w:type="spellStart"/>
      <w:r w:rsidRPr="00BC7E17">
        <w:rPr>
          <w:i/>
          <w:iCs/>
          <w:sz w:val="26"/>
          <w:szCs w:val="26"/>
        </w:rPr>
        <w:t>Lansberry</w:t>
      </w:r>
      <w:proofErr w:type="spellEnd"/>
      <w:r w:rsidRPr="00BC7E17">
        <w:rPr>
          <w:i/>
          <w:iCs/>
          <w:sz w:val="26"/>
          <w:szCs w:val="26"/>
        </w:rPr>
        <w:t>, Inc. v. Pa. PUC</w:t>
      </w:r>
      <w:r w:rsidRPr="00BC7E17">
        <w:rPr>
          <w:sz w:val="26"/>
          <w:szCs w:val="26"/>
        </w:rPr>
        <w:t xml:space="preserve">, 578 A.2d 600 (Pa. </w:t>
      </w:r>
      <w:proofErr w:type="spellStart"/>
      <w:r w:rsidRPr="00BC7E17">
        <w:rPr>
          <w:sz w:val="26"/>
          <w:szCs w:val="26"/>
        </w:rPr>
        <w:t>Cmwlth</w:t>
      </w:r>
      <w:proofErr w:type="spellEnd"/>
      <w:r w:rsidRPr="00BC7E17">
        <w:rPr>
          <w:sz w:val="26"/>
          <w:szCs w:val="26"/>
        </w:rPr>
        <w:t xml:space="preserve">. 1990), </w:t>
      </w:r>
      <w:proofErr w:type="spellStart"/>
      <w:r w:rsidRPr="00BC7E17">
        <w:rPr>
          <w:i/>
          <w:sz w:val="26"/>
          <w:szCs w:val="26"/>
        </w:rPr>
        <w:t>alloc</w:t>
      </w:r>
      <w:proofErr w:type="spellEnd"/>
      <w:r w:rsidRPr="00BC7E17">
        <w:rPr>
          <w:i/>
          <w:sz w:val="26"/>
          <w:szCs w:val="26"/>
        </w:rPr>
        <w:t>. denied</w:t>
      </w:r>
      <w:r w:rsidRPr="00E04D15">
        <w:rPr>
          <w:iCs/>
          <w:sz w:val="26"/>
          <w:szCs w:val="26"/>
        </w:rPr>
        <w:t xml:space="preserve">, </w:t>
      </w:r>
      <w:r w:rsidRPr="00BC7E17">
        <w:rPr>
          <w:sz w:val="26"/>
          <w:szCs w:val="26"/>
        </w:rPr>
        <w:t>529 Pa. 654, 602 A.2d 863 (1992) (</w:t>
      </w:r>
      <w:proofErr w:type="spellStart"/>
      <w:r w:rsidRPr="00BC7E17">
        <w:rPr>
          <w:i/>
          <w:sz w:val="26"/>
          <w:szCs w:val="26"/>
        </w:rPr>
        <w:t>Lansberry</w:t>
      </w:r>
      <w:proofErr w:type="spellEnd"/>
      <w:r w:rsidRPr="00BC7E17">
        <w:rPr>
          <w:sz w:val="26"/>
          <w:szCs w:val="26"/>
        </w:rPr>
        <w:t xml:space="preserve">); </w:t>
      </w:r>
      <w:r w:rsidRPr="00BC7E17">
        <w:rPr>
          <w:i/>
          <w:sz w:val="26"/>
          <w:szCs w:val="26"/>
        </w:rPr>
        <w:t>see also</w:t>
      </w:r>
      <w:r w:rsidR="00E04D15">
        <w:rPr>
          <w:i/>
          <w:sz w:val="26"/>
          <w:szCs w:val="26"/>
        </w:rPr>
        <w:t>,</w:t>
      </w:r>
      <w:r w:rsidRPr="00BC7E17">
        <w:rPr>
          <w:rFonts w:ascii="Arial" w:hAnsi="Arial" w:cs="Arial"/>
          <w:i/>
          <w:sz w:val="21"/>
          <w:szCs w:val="21"/>
        </w:rPr>
        <w:t xml:space="preserve"> </w:t>
      </w:r>
      <w:r w:rsidRPr="00BC7E17">
        <w:rPr>
          <w:i/>
          <w:iCs/>
          <w:sz w:val="26"/>
          <w:szCs w:val="26"/>
        </w:rPr>
        <w:t>North American Coal Corp. v. Air Pollution Commission</w:t>
      </w:r>
      <w:r w:rsidRPr="00E04D15">
        <w:rPr>
          <w:sz w:val="26"/>
          <w:szCs w:val="26"/>
        </w:rPr>
        <w:t xml:space="preserve">, </w:t>
      </w:r>
      <w:r w:rsidRPr="00BC7E17">
        <w:rPr>
          <w:sz w:val="26"/>
          <w:szCs w:val="26"/>
        </w:rPr>
        <w:t xml:space="preserve">279 A.2d 356 (Pa. </w:t>
      </w:r>
      <w:proofErr w:type="spellStart"/>
      <w:r w:rsidRPr="00BC7E17">
        <w:rPr>
          <w:sz w:val="26"/>
          <w:szCs w:val="26"/>
        </w:rPr>
        <w:t>Cmwlth</w:t>
      </w:r>
      <w:proofErr w:type="spellEnd"/>
      <w:r w:rsidRPr="00BC7E17">
        <w:rPr>
          <w:sz w:val="26"/>
          <w:szCs w:val="26"/>
        </w:rPr>
        <w:t>. 1971).</w:t>
      </w:r>
    </w:p>
    <w:p w14:paraId="30EE5E20" w14:textId="77777777" w:rsidR="00B214F2" w:rsidRPr="002A6750" w:rsidRDefault="00B214F2" w:rsidP="002625EC">
      <w:pPr>
        <w:widowControl/>
        <w:spacing w:line="360" w:lineRule="auto"/>
        <w:ind w:firstLine="1440"/>
        <w:rPr>
          <w:sz w:val="26"/>
          <w:szCs w:val="26"/>
        </w:rPr>
      </w:pPr>
    </w:p>
    <w:p w14:paraId="439DBA61" w14:textId="77777777" w:rsidR="0036331C" w:rsidRPr="00DD4E41" w:rsidRDefault="0036331C" w:rsidP="0036331C">
      <w:pPr>
        <w:widowControl/>
        <w:tabs>
          <w:tab w:val="left" w:pos="720"/>
        </w:tabs>
        <w:spacing w:after="160" w:line="360" w:lineRule="auto"/>
        <w:rPr>
          <w:rFonts w:eastAsiaTheme="minorHAnsi"/>
          <w:sz w:val="26"/>
          <w:szCs w:val="26"/>
        </w:rPr>
      </w:pPr>
      <w:r>
        <w:rPr>
          <w:sz w:val="26"/>
          <w:szCs w:val="26"/>
        </w:rPr>
        <w:tab/>
      </w:r>
      <w:r>
        <w:rPr>
          <w:sz w:val="26"/>
          <w:szCs w:val="26"/>
        </w:rPr>
        <w:tab/>
      </w:r>
      <w:r w:rsidRPr="003A1BE8">
        <w:rPr>
          <w:sz w:val="26"/>
          <w:szCs w:val="26"/>
        </w:rPr>
        <w:t>The Responsible Utility Customer Protection Act, as codified in Chapter 14 of the Code</w:t>
      </w:r>
      <w:r w:rsidR="00E02ADD">
        <w:rPr>
          <w:sz w:val="26"/>
          <w:szCs w:val="26"/>
        </w:rPr>
        <w:t xml:space="preserve"> (Chapter 14)</w:t>
      </w:r>
      <w:r w:rsidRPr="003A1BE8">
        <w:rPr>
          <w:sz w:val="26"/>
          <w:szCs w:val="26"/>
        </w:rPr>
        <w:t>, at 66 Pa.</w:t>
      </w:r>
      <w:r w:rsidR="00D01584">
        <w:rPr>
          <w:sz w:val="26"/>
          <w:szCs w:val="26"/>
        </w:rPr>
        <w:t xml:space="preserve"> </w:t>
      </w:r>
      <w:r w:rsidRPr="003A1BE8">
        <w:rPr>
          <w:sz w:val="26"/>
          <w:szCs w:val="26"/>
        </w:rPr>
        <w:t>C.S. §§ 1401</w:t>
      </w:r>
      <w:r>
        <w:rPr>
          <w:sz w:val="26"/>
          <w:szCs w:val="26"/>
        </w:rPr>
        <w:t xml:space="preserve"> </w:t>
      </w:r>
      <w:r w:rsidRPr="00C578A3">
        <w:rPr>
          <w:i/>
          <w:sz w:val="26"/>
          <w:szCs w:val="26"/>
        </w:rPr>
        <w:t>et seq</w:t>
      </w:r>
      <w:r>
        <w:rPr>
          <w:sz w:val="26"/>
          <w:szCs w:val="26"/>
        </w:rPr>
        <w:t xml:space="preserve">., </w:t>
      </w:r>
      <w:r w:rsidRPr="003A1BE8">
        <w:rPr>
          <w:sz w:val="26"/>
          <w:szCs w:val="26"/>
        </w:rPr>
        <w:t xml:space="preserve">applies to complaints alleging inability to pay and requesting </w:t>
      </w:r>
      <w:r w:rsidR="00B56C82">
        <w:rPr>
          <w:sz w:val="26"/>
          <w:szCs w:val="26"/>
        </w:rPr>
        <w:t>Commission-</w:t>
      </w:r>
      <w:r w:rsidR="00FA34AD">
        <w:rPr>
          <w:sz w:val="26"/>
          <w:szCs w:val="26"/>
        </w:rPr>
        <w:t xml:space="preserve">issued </w:t>
      </w:r>
      <w:r w:rsidR="00B56C82">
        <w:rPr>
          <w:sz w:val="26"/>
          <w:szCs w:val="26"/>
        </w:rPr>
        <w:t>ordered</w:t>
      </w:r>
      <w:r w:rsidRPr="003A1BE8">
        <w:rPr>
          <w:sz w:val="26"/>
          <w:szCs w:val="26"/>
        </w:rPr>
        <w:t xml:space="preserve"> payment arrangements.  </w:t>
      </w:r>
      <w:r w:rsidRPr="00DD4E41">
        <w:rPr>
          <w:sz w:val="26"/>
          <w:szCs w:val="26"/>
        </w:rPr>
        <w:t>A “payment arrangement” is defined as: “[a]</w:t>
      </w:r>
      <w:r w:rsidRPr="00AA057D">
        <w:rPr>
          <w:sz w:val="26"/>
          <w:szCs w:val="26"/>
        </w:rPr>
        <w:t xml:space="preserve">n agreement whereby a customer who admits liability for billed service is permitted to amortize or pay the unpaid balance of the account in one or more payments.”  </w:t>
      </w:r>
      <w:r w:rsidRPr="00DD4E41">
        <w:rPr>
          <w:sz w:val="26"/>
          <w:szCs w:val="26"/>
        </w:rPr>
        <w:t>66 Pa.</w:t>
      </w:r>
      <w:r w:rsidR="00D01584">
        <w:rPr>
          <w:sz w:val="26"/>
          <w:szCs w:val="26"/>
        </w:rPr>
        <w:t xml:space="preserve"> </w:t>
      </w:r>
      <w:r w:rsidRPr="00DD4E41">
        <w:rPr>
          <w:sz w:val="26"/>
          <w:szCs w:val="26"/>
        </w:rPr>
        <w:t>C.S. § 1403.</w:t>
      </w:r>
    </w:p>
    <w:p w14:paraId="15040364" w14:textId="77777777" w:rsidR="0036331C" w:rsidRPr="003A1BE8" w:rsidRDefault="0036331C" w:rsidP="0036331C">
      <w:pPr>
        <w:widowControl/>
        <w:spacing w:line="360" w:lineRule="auto"/>
        <w:ind w:firstLine="1440"/>
        <w:rPr>
          <w:sz w:val="26"/>
          <w:szCs w:val="26"/>
        </w:rPr>
      </w:pPr>
    </w:p>
    <w:p w14:paraId="5602D93C" w14:textId="77777777" w:rsidR="0036331C" w:rsidRPr="003A1BE8" w:rsidRDefault="0036331C" w:rsidP="0036331C">
      <w:pPr>
        <w:widowControl/>
        <w:spacing w:line="360" w:lineRule="auto"/>
        <w:ind w:firstLine="1440"/>
        <w:rPr>
          <w:sz w:val="26"/>
          <w:szCs w:val="26"/>
        </w:rPr>
      </w:pPr>
      <w:r w:rsidRPr="003A1BE8">
        <w:rPr>
          <w:sz w:val="26"/>
          <w:szCs w:val="26"/>
        </w:rPr>
        <w:t xml:space="preserve">Section 1405(a) </w:t>
      </w:r>
      <w:r w:rsidR="00AF7F09">
        <w:rPr>
          <w:sz w:val="26"/>
          <w:szCs w:val="26"/>
        </w:rPr>
        <w:t xml:space="preserve">of the Code </w:t>
      </w:r>
      <w:r w:rsidRPr="003A1BE8">
        <w:rPr>
          <w:sz w:val="26"/>
          <w:szCs w:val="26"/>
        </w:rPr>
        <w:t xml:space="preserve">makes explicit the power of the Commission to investigate payment disputes between a public utility and its applicants and customers.  It also makes explicit the Commission’s authority to establish at least one payment arrangement per customer subject to the limitations of </w:t>
      </w:r>
      <w:r>
        <w:rPr>
          <w:sz w:val="26"/>
          <w:szCs w:val="26"/>
        </w:rPr>
        <w:t>Chapter 14</w:t>
      </w:r>
      <w:r w:rsidRPr="003A1BE8">
        <w:rPr>
          <w:sz w:val="26"/>
          <w:szCs w:val="26"/>
        </w:rPr>
        <w:t xml:space="preserve">.  </w:t>
      </w:r>
      <w:r w:rsidRPr="003A1BE8">
        <w:rPr>
          <w:i/>
          <w:sz w:val="26"/>
          <w:szCs w:val="26"/>
        </w:rPr>
        <w:t xml:space="preserve">See </w:t>
      </w:r>
      <w:r w:rsidRPr="003A1BE8">
        <w:rPr>
          <w:sz w:val="26"/>
          <w:szCs w:val="26"/>
        </w:rPr>
        <w:t>66 Pa.</w:t>
      </w:r>
      <w:r w:rsidR="00D01584">
        <w:rPr>
          <w:sz w:val="26"/>
          <w:szCs w:val="26"/>
        </w:rPr>
        <w:t xml:space="preserve"> </w:t>
      </w:r>
      <w:r w:rsidRPr="003A1BE8">
        <w:rPr>
          <w:sz w:val="26"/>
          <w:szCs w:val="26"/>
        </w:rPr>
        <w:t>C.S. §</w:t>
      </w:r>
      <w:r w:rsidR="0079478E">
        <w:rPr>
          <w:sz w:val="26"/>
          <w:szCs w:val="26"/>
        </w:rPr>
        <w:t> </w:t>
      </w:r>
      <w:r w:rsidRPr="003A1BE8">
        <w:rPr>
          <w:sz w:val="26"/>
          <w:szCs w:val="26"/>
        </w:rPr>
        <w:t>1405(a).</w:t>
      </w:r>
    </w:p>
    <w:p w14:paraId="4654BEB2" w14:textId="77777777" w:rsidR="0036331C" w:rsidRDefault="0036331C" w:rsidP="0036331C">
      <w:pPr>
        <w:widowControl/>
        <w:autoSpaceDE w:val="0"/>
        <w:autoSpaceDN w:val="0"/>
        <w:adjustRightInd w:val="0"/>
        <w:spacing w:line="360" w:lineRule="auto"/>
        <w:rPr>
          <w:sz w:val="26"/>
          <w:szCs w:val="26"/>
        </w:rPr>
      </w:pPr>
    </w:p>
    <w:p w14:paraId="3C247BB8" w14:textId="77777777" w:rsidR="0036331C" w:rsidRPr="00176836" w:rsidRDefault="0036331C" w:rsidP="00E04D15">
      <w:pPr>
        <w:widowControl/>
        <w:spacing w:line="360" w:lineRule="auto"/>
        <w:ind w:firstLine="1440"/>
        <w:rPr>
          <w:sz w:val="26"/>
          <w:szCs w:val="26"/>
        </w:rPr>
      </w:pPr>
      <w:bookmarkStart w:id="3" w:name="_Hlk531871063"/>
      <w:r>
        <w:rPr>
          <w:sz w:val="26"/>
          <w:szCs w:val="26"/>
        </w:rPr>
        <w:t xml:space="preserve">Under Section 1405, however, the Commission’s discretion to issue a </w:t>
      </w:r>
      <w:r w:rsidR="00AB1B44">
        <w:rPr>
          <w:sz w:val="26"/>
          <w:szCs w:val="26"/>
        </w:rPr>
        <w:t>second</w:t>
      </w:r>
      <w:r>
        <w:rPr>
          <w:sz w:val="26"/>
          <w:szCs w:val="26"/>
        </w:rPr>
        <w:t xml:space="preserve"> or extended arrangement to a customer who has defaulted on </w:t>
      </w:r>
      <w:r w:rsidR="00672496">
        <w:rPr>
          <w:sz w:val="26"/>
          <w:szCs w:val="26"/>
        </w:rPr>
        <w:t>a prior</w:t>
      </w:r>
      <w:r>
        <w:rPr>
          <w:sz w:val="26"/>
          <w:szCs w:val="26"/>
        </w:rPr>
        <w:t xml:space="preserve"> </w:t>
      </w:r>
      <w:r w:rsidR="00B56C82">
        <w:rPr>
          <w:sz w:val="26"/>
          <w:szCs w:val="26"/>
        </w:rPr>
        <w:t>Commission-</w:t>
      </w:r>
      <w:r w:rsidR="00FA34AD">
        <w:rPr>
          <w:sz w:val="26"/>
          <w:szCs w:val="26"/>
        </w:rPr>
        <w:t>issued</w:t>
      </w:r>
      <w:r>
        <w:rPr>
          <w:sz w:val="26"/>
          <w:szCs w:val="26"/>
        </w:rPr>
        <w:t xml:space="preserve"> payment arrangement is limited.  Following a default </w:t>
      </w:r>
      <w:r w:rsidRPr="00176836">
        <w:rPr>
          <w:sz w:val="26"/>
          <w:szCs w:val="26"/>
        </w:rPr>
        <w:t xml:space="preserve">on </w:t>
      </w:r>
      <w:r>
        <w:rPr>
          <w:sz w:val="26"/>
          <w:szCs w:val="26"/>
        </w:rPr>
        <w:t>the first</w:t>
      </w:r>
      <w:r w:rsidRPr="00176836">
        <w:rPr>
          <w:sz w:val="26"/>
          <w:szCs w:val="26"/>
        </w:rPr>
        <w:t xml:space="preserve"> </w:t>
      </w:r>
      <w:r w:rsidR="00B56C82">
        <w:rPr>
          <w:sz w:val="26"/>
          <w:szCs w:val="26"/>
        </w:rPr>
        <w:t>Commission-</w:t>
      </w:r>
      <w:r w:rsidR="00FA34AD">
        <w:rPr>
          <w:sz w:val="26"/>
          <w:szCs w:val="26"/>
        </w:rPr>
        <w:t>issued</w:t>
      </w:r>
      <w:r w:rsidRPr="00176836">
        <w:rPr>
          <w:sz w:val="26"/>
          <w:szCs w:val="26"/>
        </w:rPr>
        <w:t xml:space="preserve"> payment arrangement, the customer may receive </w:t>
      </w:r>
      <w:r w:rsidR="00B56C82">
        <w:rPr>
          <w:sz w:val="26"/>
          <w:szCs w:val="26"/>
        </w:rPr>
        <w:t>Commission-</w:t>
      </w:r>
      <w:r w:rsidR="00FA34AD">
        <w:rPr>
          <w:sz w:val="26"/>
          <w:szCs w:val="26"/>
        </w:rPr>
        <w:t>issued</w:t>
      </w:r>
      <w:r>
        <w:rPr>
          <w:sz w:val="26"/>
          <w:szCs w:val="26"/>
        </w:rPr>
        <w:t xml:space="preserve"> </w:t>
      </w:r>
      <w:r w:rsidRPr="00176836">
        <w:rPr>
          <w:sz w:val="26"/>
          <w:szCs w:val="26"/>
        </w:rPr>
        <w:t xml:space="preserve">relief </w:t>
      </w:r>
      <w:r>
        <w:rPr>
          <w:sz w:val="26"/>
          <w:szCs w:val="26"/>
        </w:rPr>
        <w:t xml:space="preserve">in the form of: </w:t>
      </w:r>
      <w:r w:rsidR="00E04D15">
        <w:rPr>
          <w:sz w:val="26"/>
          <w:szCs w:val="26"/>
        </w:rPr>
        <w:t xml:space="preserve"> </w:t>
      </w:r>
      <w:r w:rsidR="00174A3B">
        <w:rPr>
          <w:sz w:val="26"/>
          <w:szCs w:val="26"/>
        </w:rPr>
        <w:t>(</w:t>
      </w:r>
      <w:r>
        <w:rPr>
          <w:sz w:val="26"/>
          <w:szCs w:val="26"/>
        </w:rPr>
        <w:t xml:space="preserve">1) a </w:t>
      </w:r>
      <w:r w:rsidR="004A3B32">
        <w:rPr>
          <w:sz w:val="26"/>
          <w:szCs w:val="26"/>
        </w:rPr>
        <w:t>second</w:t>
      </w:r>
      <w:r>
        <w:rPr>
          <w:sz w:val="26"/>
          <w:szCs w:val="26"/>
        </w:rPr>
        <w:t xml:space="preserve"> or subsequent payment arrangement </w:t>
      </w:r>
      <w:r w:rsidRPr="00176836">
        <w:rPr>
          <w:sz w:val="26"/>
          <w:szCs w:val="26"/>
        </w:rPr>
        <w:t xml:space="preserve">only if the customer </w:t>
      </w:r>
      <w:r w:rsidRPr="00176836">
        <w:rPr>
          <w:sz w:val="26"/>
          <w:szCs w:val="26"/>
        </w:rPr>
        <w:lastRenderedPageBreak/>
        <w:t>demonstrates a “change in income</w:t>
      </w:r>
      <w:r>
        <w:rPr>
          <w:sz w:val="26"/>
          <w:szCs w:val="26"/>
        </w:rPr>
        <w:t>,</w:t>
      </w:r>
      <w:r w:rsidRPr="00176836">
        <w:rPr>
          <w:sz w:val="26"/>
          <w:szCs w:val="26"/>
        </w:rPr>
        <w:t>”</w:t>
      </w:r>
      <w:r>
        <w:rPr>
          <w:rStyle w:val="FootnoteReference"/>
          <w:sz w:val="26"/>
          <w:szCs w:val="26"/>
        </w:rPr>
        <w:footnoteReference w:id="6"/>
      </w:r>
      <w:r w:rsidRPr="00176836">
        <w:rPr>
          <w:sz w:val="26"/>
          <w:szCs w:val="26"/>
        </w:rPr>
        <w:t xml:space="preserve"> or</w:t>
      </w:r>
      <w:r>
        <w:rPr>
          <w:sz w:val="26"/>
          <w:szCs w:val="26"/>
        </w:rPr>
        <w:t xml:space="preserve"> </w:t>
      </w:r>
      <w:r w:rsidR="00174A3B">
        <w:rPr>
          <w:sz w:val="26"/>
          <w:szCs w:val="26"/>
        </w:rPr>
        <w:t>(</w:t>
      </w:r>
      <w:r>
        <w:rPr>
          <w:sz w:val="26"/>
          <w:szCs w:val="26"/>
        </w:rPr>
        <w:t xml:space="preserve">2) a reinstatement or extension of the recently defaulted payment arrangement only if the customer demonstrates a </w:t>
      </w:r>
      <w:r w:rsidRPr="00176836">
        <w:rPr>
          <w:sz w:val="26"/>
          <w:szCs w:val="26"/>
        </w:rPr>
        <w:t>“significant change in circumstance.”</w:t>
      </w:r>
      <w:r>
        <w:rPr>
          <w:rStyle w:val="FootnoteReference"/>
          <w:sz w:val="26"/>
          <w:szCs w:val="26"/>
        </w:rPr>
        <w:footnoteReference w:id="7"/>
      </w:r>
      <w:r w:rsidRPr="00176836">
        <w:rPr>
          <w:sz w:val="26"/>
          <w:szCs w:val="26"/>
        </w:rPr>
        <w:t xml:space="preserve">  66 Pa.</w:t>
      </w:r>
      <w:r w:rsidR="00D01584">
        <w:rPr>
          <w:sz w:val="26"/>
          <w:szCs w:val="26"/>
        </w:rPr>
        <w:t xml:space="preserve"> </w:t>
      </w:r>
      <w:r w:rsidRPr="00176836">
        <w:rPr>
          <w:sz w:val="26"/>
          <w:szCs w:val="26"/>
        </w:rPr>
        <w:t>C.S. § 1405(d), (e).</w:t>
      </w:r>
    </w:p>
    <w:bookmarkEnd w:id="3"/>
    <w:p w14:paraId="083594B4" w14:textId="77777777" w:rsidR="0036331C" w:rsidRDefault="0036331C" w:rsidP="00E04D15">
      <w:pPr>
        <w:widowControl/>
        <w:spacing w:line="360" w:lineRule="auto"/>
        <w:ind w:right="1440"/>
        <w:rPr>
          <w:b/>
          <w:bCs/>
          <w:color w:val="212121"/>
          <w:sz w:val="26"/>
          <w:szCs w:val="26"/>
        </w:rPr>
      </w:pPr>
    </w:p>
    <w:p w14:paraId="0A96785D" w14:textId="77777777" w:rsidR="0036331C" w:rsidRDefault="0036331C" w:rsidP="00E04D15">
      <w:pPr>
        <w:widowControl/>
        <w:autoSpaceDE w:val="0"/>
        <w:autoSpaceDN w:val="0"/>
        <w:adjustRightInd w:val="0"/>
        <w:spacing w:line="360" w:lineRule="auto"/>
        <w:ind w:firstLine="1440"/>
        <w:rPr>
          <w:sz w:val="26"/>
          <w:szCs w:val="26"/>
        </w:rPr>
      </w:pPr>
      <w:r>
        <w:rPr>
          <w:sz w:val="26"/>
          <w:szCs w:val="26"/>
        </w:rPr>
        <w:t>Therefore, i</w:t>
      </w:r>
      <w:r w:rsidRPr="00176836">
        <w:rPr>
          <w:sz w:val="26"/>
          <w:szCs w:val="26"/>
        </w:rPr>
        <w:t xml:space="preserve">f the payment-defaulted customer establishes that </w:t>
      </w:r>
      <w:r>
        <w:rPr>
          <w:sz w:val="26"/>
          <w:szCs w:val="26"/>
        </w:rPr>
        <w:t xml:space="preserve">they </w:t>
      </w:r>
      <w:r w:rsidR="00672496">
        <w:rPr>
          <w:sz w:val="26"/>
          <w:szCs w:val="26"/>
        </w:rPr>
        <w:t xml:space="preserve">have </w:t>
      </w:r>
      <w:r w:rsidRPr="00176836">
        <w:rPr>
          <w:sz w:val="26"/>
          <w:szCs w:val="26"/>
        </w:rPr>
        <w:t>experienced a “change in income</w:t>
      </w:r>
      <w:r>
        <w:rPr>
          <w:sz w:val="26"/>
          <w:szCs w:val="26"/>
        </w:rPr>
        <w:t>,</w:t>
      </w:r>
      <w:r w:rsidRPr="00176836">
        <w:rPr>
          <w:sz w:val="26"/>
          <w:szCs w:val="26"/>
        </w:rPr>
        <w:t>”</w:t>
      </w:r>
      <w:r>
        <w:rPr>
          <w:sz w:val="26"/>
          <w:szCs w:val="26"/>
        </w:rPr>
        <w:t xml:space="preserve"> </w:t>
      </w:r>
      <w:r w:rsidRPr="00176836">
        <w:rPr>
          <w:sz w:val="26"/>
          <w:szCs w:val="26"/>
        </w:rPr>
        <w:t xml:space="preserve">since the time of the previously </w:t>
      </w:r>
      <w:r w:rsidR="00B56C82">
        <w:rPr>
          <w:sz w:val="26"/>
          <w:szCs w:val="26"/>
        </w:rPr>
        <w:t>Commission-</w:t>
      </w:r>
      <w:r w:rsidR="00FA34AD">
        <w:rPr>
          <w:sz w:val="26"/>
          <w:szCs w:val="26"/>
        </w:rPr>
        <w:t>issued</w:t>
      </w:r>
      <w:r w:rsidR="005E2125">
        <w:rPr>
          <w:sz w:val="26"/>
          <w:szCs w:val="26"/>
        </w:rPr>
        <w:t xml:space="preserve"> </w:t>
      </w:r>
      <w:r w:rsidRPr="00176836">
        <w:rPr>
          <w:sz w:val="26"/>
          <w:szCs w:val="26"/>
        </w:rPr>
        <w:t>payment arrangement, the Commission</w:t>
      </w:r>
      <w:r>
        <w:rPr>
          <w:sz w:val="26"/>
          <w:szCs w:val="26"/>
        </w:rPr>
        <w:t xml:space="preserve"> may </w:t>
      </w:r>
      <w:r w:rsidRPr="00176836">
        <w:rPr>
          <w:sz w:val="26"/>
          <w:szCs w:val="26"/>
        </w:rPr>
        <w:t xml:space="preserve">exercise its discretion and grant a second or subsequent payment arrangement to the customer. </w:t>
      </w:r>
      <w:r w:rsidR="00672496">
        <w:rPr>
          <w:sz w:val="26"/>
          <w:szCs w:val="26"/>
        </w:rPr>
        <w:t xml:space="preserve"> </w:t>
      </w:r>
      <w:r w:rsidRPr="00176836">
        <w:rPr>
          <w:sz w:val="26"/>
          <w:szCs w:val="26"/>
        </w:rPr>
        <w:t>66 Pa.</w:t>
      </w:r>
      <w:r w:rsidR="00D01584">
        <w:rPr>
          <w:sz w:val="26"/>
          <w:szCs w:val="26"/>
        </w:rPr>
        <w:t xml:space="preserve"> </w:t>
      </w:r>
      <w:r w:rsidRPr="00176836">
        <w:rPr>
          <w:sz w:val="26"/>
          <w:szCs w:val="26"/>
        </w:rPr>
        <w:t>C.S. § 1405(d).</w:t>
      </w:r>
    </w:p>
    <w:p w14:paraId="49943963" w14:textId="77777777" w:rsidR="0036331C" w:rsidRPr="00176836" w:rsidRDefault="0036331C" w:rsidP="00E04D15">
      <w:pPr>
        <w:widowControl/>
        <w:spacing w:line="360" w:lineRule="auto"/>
        <w:rPr>
          <w:sz w:val="24"/>
        </w:rPr>
      </w:pPr>
    </w:p>
    <w:p w14:paraId="566A6E3E" w14:textId="77777777" w:rsidR="0036331C" w:rsidRDefault="0036331C" w:rsidP="00E04D15">
      <w:pPr>
        <w:widowControl/>
        <w:spacing w:line="360" w:lineRule="auto"/>
        <w:ind w:firstLine="1440"/>
        <w:rPr>
          <w:sz w:val="26"/>
          <w:szCs w:val="26"/>
        </w:rPr>
      </w:pPr>
      <w:bookmarkStart w:id="4" w:name="_Hlk531769778"/>
      <w:r>
        <w:rPr>
          <w:sz w:val="26"/>
          <w:szCs w:val="26"/>
        </w:rPr>
        <w:t xml:space="preserve">Similarly, </w:t>
      </w:r>
      <w:r w:rsidR="00672496">
        <w:rPr>
          <w:sz w:val="26"/>
          <w:szCs w:val="26"/>
        </w:rPr>
        <w:t xml:space="preserve">the </w:t>
      </w:r>
      <w:r>
        <w:rPr>
          <w:sz w:val="26"/>
          <w:szCs w:val="26"/>
        </w:rPr>
        <w:t>Commission</w:t>
      </w:r>
      <w:r w:rsidR="00672496">
        <w:rPr>
          <w:sz w:val="26"/>
          <w:szCs w:val="26"/>
        </w:rPr>
        <w:t>’s</w:t>
      </w:r>
      <w:r>
        <w:rPr>
          <w:sz w:val="26"/>
          <w:szCs w:val="26"/>
        </w:rPr>
        <w:t xml:space="preserve"> discretion to reinstate or extend the terms of the recently defaulted payment arrangement is limited to the explicit circumstances </w:t>
      </w:r>
      <w:r>
        <w:rPr>
          <w:sz w:val="26"/>
          <w:szCs w:val="26"/>
        </w:rPr>
        <w:lastRenderedPageBreak/>
        <w:t xml:space="preserve">defined as </w:t>
      </w:r>
      <w:bookmarkStart w:id="5" w:name="_Hlk532198545"/>
      <w:r>
        <w:rPr>
          <w:sz w:val="26"/>
          <w:szCs w:val="26"/>
        </w:rPr>
        <w:t>a “significant change in circumstances.”</w:t>
      </w:r>
      <w:bookmarkEnd w:id="4"/>
      <w:bookmarkEnd w:id="5"/>
      <w:r>
        <w:rPr>
          <w:sz w:val="26"/>
          <w:szCs w:val="26"/>
        </w:rPr>
        <w:t xml:space="preserve">  Therefore, i</w:t>
      </w:r>
      <w:r w:rsidRPr="00176836">
        <w:rPr>
          <w:sz w:val="26"/>
          <w:szCs w:val="26"/>
        </w:rPr>
        <w:t xml:space="preserve">f the </w:t>
      </w:r>
      <w:r>
        <w:rPr>
          <w:sz w:val="26"/>
          <w:szCs w:val="26"/>
        </w:rPr>
        <w:t>c</w:t>
      </w:r>
      <w:r w:rsidRPr="00176836">
        <w:rPr>
          <w:sz w:val="26"/>
          <w:szCs w:val="26"/>
        </w:rPr>
        <w:t xml:space="preserve">ustomer establishes that </w:t>
      </w:r>
      <w:r>
        <w:rPr>
          <w:sz w:val="26"/>
          <w:szCs w:val="26"/>
        </w:rPr>
        <w:t xml:space="preserve">the </w:t>
      </w:r>
      <w:r w:rsidRPr="00176836">
        <w:rPr>
          <w:sz w:val="26"/>
          <w:szCs w:val="26"/>
        </w:rPr>
        <w:t>default was a result of a “significant change in circumstance,”</w:t>
      </w:r>
      <w:r>
        <w:rPr>
          <w:sz w:val="26"/>
          <w:szCs w:val="26"/>
        </w:rPr>
        <w:t xml:space="preserve"> </w:t>
      </w:r>
      <w:r w:rsidRPr="00176836">
        <w:rPr>
          <w:sz w:val="26"/>
          <w:szCs w:val="26"/>
        </w:rPr>
        <w:t xml:space="preserve">the Commission </w:t>
      </w:r>
      <w:r>
        <w:rPr>
          <w:sz w:val="26"/>
          <w:szCs w:val="26"/>
        </w:rPr>
        <w:t>may</w:t>
      </w:r>
      <w:r w:rsidRPr="00176836">
        <w:rPr>
          <w:sz w:val="26"/>
          <w:szCs w:val="26"/>
        </w:rPr>
        <w:t xml:space="preserve"> reinstate</w:t>
      </w:r>
      <w:r w:rsidRPr="007943B6">
        <w:rPr>
          <w:sz w:val="26"/>
          <w:szCs w:val="26"/>
        </w:rPr>
        <w:t xml:space="preserve"> </w:t>
      </w:r>
      <w:r w:rsidRPr="00176836">
        <w:rPr>
          <w:sz w:val="26"/>
          <w:szCs w:val="26"/>
        </w:rPr>
        <w:t>the pr</w:t>
      </w:r>
      <w:r w:rsidR="00017BB9">
        <w:rPr>
          <w:sz w:val="26"/>
          <w:szCs w:val="26"/>
        </w:rPr>
        <w:t>ior</w:t>
      </w:r>
      <w:r w:rsidRPr="00176836">
        <w:rPr>
          <w:sz w:val="26"/>
          <w:szCs w:val="26"/>
        </w:rPr>
        <w:t xml:space="preserve"> </w:t>
      </w:r>
      <w:r w:rsidR="00B56C82">
        <w:rPr>
          <w:sz w:val="26"/>
          <w:szCs w:val="26"/>
        </w:rPr>
        <w:t>Commission-</w:t>
      </w:r>
      <w:r w:rsidR="00FA34AD">
        <w:rPr>
          <w:sz w:val="26"/>
          <w:szCs w:val="26"/>
        </w:rPr>
        <w:t>issued</w:t>
      </w:r>
      <w:r w:rsidR="005E2125">
        <w:rPr>
          <w:sz w:val="26"/>
          <w:szCs w:val="26"/>
        </w:rPr>
        <w:t xml:space="preserve"> </w:t>
      </w:r>
      <w:r w:rsidRPr="00176836">
        <w:rPr>
          <w:sz w:val="26"/>
          <w:szCs w:val="26"/>
        </w:rPr>
        <w:t>payment arrangement and extend the remaining term for a period of six months.  66 Pa.</w:t>
      </w:r>
      <w:r w:rsidR="00D01584">
        <w:rPr>
          <w:sz w:val="26"/>
          <w:szCs w:val="26"/>
        </w:rPr>
        <w:t xml:space="preserve"> </w:t>
      </w:r>
      <w:r w:rsidRPr="00176836">
        <w:rPr>
          <w:sz w:val="26"/>
          <w:szCs w:val="26"/>
        </w:rPr>
        <w:t>C.S. § 1405(e).</w:t>
      </w:r>
    </w:p>
    <w:p w14:paraId="4C143436" w14:textId="77777777" w:rsidR="00A85A38" w:rsidRPr="00047197" w:rsidRDefault="00A85A38" w:rsidP="002625EC">
      <w:pPr>
        <w:widowControl/>
        <w:spacing w:line="360" w:lineRule="auto"/>
        <w:ind w:firstLine="1440"/>
        <w:rPr>
          <w:sz w:val="26"/>
          <w:szCs w:val="26"/>
        </w:rPr>
      </w:pPr>
    </w:p>
    <w:p w14:paraId="3E23E6D7" w14:textId="77777777" w:rsidR="001B0C5E" w:rsidRPr="00047197" w:rsidRDefault="00C56CC3" w:rsidP="002625EC">
      <w:pPr>
        <w:keepNext/>
        <w:keepLines/>
        <w:widowControl/>
        <w:spacing w:line="360" w:lineRule="auto"/>
        <w:rPr>
          <w:b/>
          <w:sz w:val="26"/>
          <w:szCs w:val="26"/>
        </w:rPr>
      </w:pPr>
      <w:r w:rsidRPr="00047197">
        <w:rPr>
          <w:b/>
          <w:sz w:val="26"/>
          <w:szCs w:val="26"/>
        </w:rPr>
        <w:t>B.</w:t>
      </w:r>
      <w:r w:rsidR="00545BA8" w:rsidRPr="00047197">
        <w:rPr>
          <w:b/>
          <w:sz w:val="26"/>
          <w:szCs w:val="26"/>
        </w:rPr>
        <w:tab/>
      </w:r>
      <w:r w:rsidR="00A675D0" w:rsidRPr="00047197">
        <w:rPr>
          <w:b/>
          <w:sz w:val="26"/>
          <w:szCs w:val="26"/>
        </w:rPr>
        <w:t xml:space="preserve">The </w:t>
      </w:r>
      <w:r w:rsidR="00172DE2">
        <w:rPr>
          <w:b/>
          <w:sz w:val="26"/>
          <w:szCs w:val="26"/>
        </w:rPr>
        <w:t>SA’s</w:t>
      </w:r>
      <w:r w:rsidR="001B0C5E" w:rsidRPr="00047197">
        <w:rPr>
          <w:b/>
          <w:sz w:val="26"/>
          <w:szCs w:val="26"/>
        </w:rPr>
        <w:t xml:space="preserve"> Initial Decision</w:t>
      </w:r>
    </w:p>
    <w:p w14:paraId="025B9D2D" w14:textId="77777777" w:rsidR="001B0C5E" w:rsidRPr="00047197" w:rsidRDefault="001B0C5E" w:rsidP="002625EC">
      <w:pPr>
        <w:keepNext/>
        <w:keepLines/>
        <w:widowControl/>
        <w:spacing w:line="360" w:lineRule="auto"/>
        <w:ind w:firstLine="1440"/>
        <w:contextualSpacing/>
        <w:rPr>
          <w:sz w:val="26"/>
          <w:szCs w:val="26"/>
        </w:rPr>
      </w:pPr>
    </w:p>
    <w:p w14:paraId="0FA97D60" w14:textId="77777777" w:rsidR="000966CC" w:rsidRDefault="0036331C" w:rsidP="001C3DFA">
      <w:pPr>
        <w:widowControl/>
        <w:spacing w:line="360" w:lineRule="auto"/>
        <w:ind w:firstLine="1440"/>
        <w:rPr>
          <w:sz w:val="26"/>
          <w:szCs w:val="26"/>
        </w:rPr>
      </w:pPr>
      <w:r>
        <w:rPr>
          <w:sz w:val="26"/>
          <w:szCs w:val="26"/>
        </w:rPr>
        <w:t xml:space="preserve">Special Agent Chiodo </w:t>
      </w:r>
      <w:r w:rsidR="000966CC" w:rsidRPr="000966CC">
        <w:rPr>
          <w:sz w:val="26"/>
          <w:szCs w:val="26"/>
        </w:rPr>
        <w:t xml:space="preserve">made </w:t>
      </w:r>
      <w:r>
        <w:rPr>
          <w:sz w:val="26"/>
          <w:szCs w:val="26"/>
        </w:rPr>
        <w:t>thirty-nine</w:t>
      </w:r>
      <w:r w:rsidR="00C674B7">
        <w:rPr>
          <w:sz w:val="26"/>
          <w:szCs w:val="26"/>
        </w:rPr>
        <w:t xml:space="preserve"> </w:t>
      </w:r>
      <w:r w:rsidR="000966CC">
        <w:rPr>
          <w:sz w:val="26"/>
          <w:szCs w:val="26"/>
        </w:rPr>
        <w:t>F</w:t>
      </w:r>
      <w:r w:rsidR="000966CC" w:rsidRPr="000966CC">
        <w:rPr>
          <w:sz w:val="26"/>
          <w:szCs w:val="26"/>
        </w:rPr>
        <w:t xml:space="preserve">indings of </w:t>
      </w:r>
      <w:r w:rsidR="000966CC">
        <w:rPr>
          <w:sz w:val="26"/>
          <w:szCs w:val="26"/>
        </w:rPr>
        <w:t>F</w:t>
      </w:r>
      <w:r w:rsidR="000966CC" w:rsidRPr="000966CC">
        <w:rPr>
          <w:sz w:val="26"/>
          <w:szCs w:val="26"/>
        </w:rPr>
        <w:t xml:space="preserve">act and </w:t>
      </w:r>
      <w:r w:rsidR="00D9052D">
        <w:rPr>
          <w:sz w:val="26"/>
          <w:szCs w:val="26"/>
        </w:rPr>
        <w:t xml:space="preserve">reached </w:t>
      </w:r>
      <w:r>
        <w:rPr>
          <w:sz w:val="26"/>
          <w:szCs w:val="26"/>
        </w:rPr>
        <w:t>ten</w:t>
      </w:r>
      <w:r w:rsidR="000966CC">
        <w:rPr>
          <w:sz w:val="26"/>
          <w:szCs w:val="26"/>
        </w:rPr>
        <w:t xml:space="preserve"> </w:t>
      </w:r>
      <w:r w:rsidR="00D9052D">
        <w:rPr>
          <w:sz w:val="26"/>
          <w:szCs w:val="26"/>
        </w:rPr>
        <w:t>C</w:t>
      </w:r>
      <w:r w:rsidR="000966CC" w:rsidRPr="000966CC">
        <w:rPr>
          <w:sz w:val="26"/>
          <w:szCs w:val="26"/>
        </w:rPr>
        <w:t xml:space="preserve">onclusions of </w:t>
      </w:r>
      <w:r w:rsidR="00D9052D">
        <w:rPr>
          <w:sz w:val="26"/>
          <w:szCs w:val="26"/>
        </w:rPr>
        <w:t>L</w:t>
      </w:r>
      <w:r w:rsidR="000966CC" w:rsidRPr="000966CC">
        <w:rPr>
          <w:sz w:val="26"/>
          <w:szCs w:val="26"/>
        </w:rPr>
        <w:t>aw which are incorporated herein by reference</w:t>
      </w:r>
      <w:r w:rsidR="00D9052D">
        <w:rPr>
          <w:sz w:val="26"/>
          <w:szCs w:val="26"/>
        </w:rPr>
        <w:t xml:space="preserve"> and are adopted without comment</w:t>
      </w:r>
      <w:r w:rsidR="000966CC" w:rsidRPr="000966CC">
        <w:rPr>
          <w:sz w:val="26"/>
          <w:szCs w:val="26"/>
        </w:rPr>
        <w:t xml:space="preserve">, unless </w:t>
      </w:r>
      <w:r w:rsidR="00D9052D">
        <w:rPr>
          <w:sz w:val="26"/>
          <w:szCs w:val="26"/>
        </w:rPr>
        <w:t xml:space="preserve">they are either </w:t>
      </w:r>
      <w:r w:rsidR="000966CC" w:rsidRPr="000966CC">
        <w:rPr>
          <w:sz w:val="26"/>
          <w:szCs w:val="26"/>
        </w:rPr>
        <w:t>expressly</w:t>
      </w:r>
      <w:r w:rsidR="00D9052D">
        <w:rPr>
          <w:sz w:val="26"/>
          <w:szCs w:val="26"/>
        </w:rPr>
        <w:t xml:space="preserve"> or by necessary </w:t>
      </w:r>
      <w:r w:rsidR="00F86FAB">
        <w:rPr>
          <w:sz w:val="26"/>
          <w:szCs w:val="26"/>
        </w:rPr>
        <w:t>implication</w:t>
      </w:r>
      <w:r w:rsidR="00D9052D">
        <w:rPr>
          <w:sz w:val="26"/>
          <w:szCs w:val="26"/>
        </w:rPr>
        <w:t>, rejected or modified by this Opinion and Order</w:t>
      </w:r>
      <w:r w:rsidR="000966CC" w:rsidRPr="000966CC">
        <w:rPr>
          <w:sz w:val="26"/>
          <w:szCs w:val="26"/>
        </w:rPr>
        <w:t xml:space="preserve">. </w:t>
      </w:r>
      <w:r w:rsidR="00D9052D">
        <w:rPr>
          <w:sz w:val="26"/>
          <w:szCs w:val="26"/>
        </w:rPr>
        <w:t xml:space="preserve"> </w:t>
      </w:r>
      <w:r w:rsidR="000966CC" w:rsidRPr="000966CC">
        <w:rPr>
          <w:sz w:val="26"/>
          <w:szCs w:val="26"/>
        </w:rPr>
        <w:t xml:space="preserve">I.D. at </w:t>
      </w:r>
      <w:r>
        <w:rPr>
          <w:sz w:val="26"/>
          <w:szCs w:val="26"/>
        </w:rPr>
        <w:t>3-8</w:t>
      </w:r>
      <w:r w:rsidR="000966CC" w:rsidRPr="000966CC">
        <w:rPr>
          <w:sz w:val="26"/>
          <w:szCs w:val="26"/>
        </w:rPr>
        <w:t xml:space="preserve"> and </w:t>
      </w:r>
      <w:r>
        <w:rPr>
          <w:sz w:val="26"/>
          <w:szCs w:val="26"/>
        </w:rPr>
        <w:t>15-16</w:t>
      </w:r>
      <w:r w:rsidR="000966CC" w:rsidRPr="000966CC">
        <w:rPr>
          <w:sz w:val="26"/>
          <w:szCs w:val="26"/>
        </w:rPr>
        <w:t>.</w:t>
      </w:r>
      <w:r w:rsidR="00D9052D">
        <w:rPr>
          <w:sz w:val="26"/>
          <w:szCs w:val="26"/>
        </w:rPr>
        <w:t xml:space="preserve"> </w:t>
      </w:r>
    </w:p>
    <w:p w14:paraId="743B7DED" w14:textId="77777777" w:rsidR="001D5AE7" w:rsidRDefault="001D5AE7" w:rsidP="001C3DFA">
      <w:pPr>
        <w:widowControl/>
        <w:spacing w:line="360" w:lineRule="auto"/>
        <w:ind w:firstLine="1440"/>
        <w:rPr>
          <w:sz w:val="26"/>
          <w:szCs w:val="26"/>
        </w:rPr>
      </w:pPr>
    </w:p>
    <w:p w14:paraId="295AEAD4" w14:textId="77777777" w:rsidR="007A256D" w:rsidRDefault="007A256D" w:rsidP="00284266">
      <w:pPr>
        <w:widowControl/>
        <w:spacing w:line="360" w:lineRule="auto"/>
        <w:ind w:firstLine="1440"/>
        <w:rPr>
          <w:sz w:val="26"/>
          <w:szCs w:val="26"/>
        </w:rPr>
      </w:pPr>
      <w:r>
        <w:rPr>
          <w:sz w:val="26"/>
          <w:szCs w:val="26"/>
        </w:rPr>
        <w:t>As a preliminary matter, t</w:t>
      </w:r>
      <w:r w:rsidR="001D5AE7">
        <w:rPr>
          <w:sz w:val="26"/>
          <w:szCs w:val="26"/>
        </w:rPr>
        <w:t xml:space="preserve">he SA concluded that PGW had established that the Complainant defaulted on </w:t>
      </w:r>
      <w:r>
        <w:rPr>
          <w:sz w:val="26"/>
          <w:szCs w:val="26"/>
        </w:rPr>
        <w:t>a</w:t>
      </w:r>
      <w:r w:rsidR="001D5AE7">
        <w:rPr>
          <w:sz w:val="26"/>
          <w:szCs w:val="26"/>
        </w:rPr>
        <w:t xml:space="preserve"> </w:t>
      </w:r>
      <w:r w:rsidR="008469DF">
        <w:rPr>
          <w:sz w:val="26"/>
          <w:szCs w:val="26"/>
        </w:rPr>
        <w:t>p</w:t>
      </w:r>
      <w:r w:rsidR="008469DF">
        <w:rPr>
          <w:sz w:val="26"/>
        </w:rPr>
        <w:t xml:space="preserve">rior </w:t>
      </w:r>
      <w:r w:rsidR="00B56C82">
        <w:rPr>
          <w:sz w:val="26"/>
        </w:rPr>
        <w:t>Commission-</w:t>
      </w:r>
      <w:r w:rsidR="00FA34AD">
        <w:rPr>
          <w:sz w:val="26"/>
        </w:rPr>
        <w:t>issued</w:t>
      </w:r>
      <w:r w:rsidR="005E2125">
        <w:rPr>
          <w:sz w:val="26"/>
        </w:rPr>
        <w:t xml:space="preserve"> </w:t>
      </w:r>
      <w:r w:rsidR="008469DF">
        <w:rPr>
          <w:sz w:val="26"/>
        </w:rPr>
        <w:t>payment arrangement established by BCS decision</w:t>
      </w:r>
      <w:r w:rsidR="00017BB9">
        <w:rPr>
          <w:sz w:val="26"/>
        </w:rPr>
        <w:t xml:space="preserve"> (</w:t>
      </w:r>
      <w:r w:rsidR="008469DF">
        <w:rPr>
          <w:sz w:val="26"/>
        </w:rPr>
        <w:t>BCS Case No. 3322531</w:t>
      </w:r>
      <w:r w:rsidR="00017BB9">
        <w:rPr>
          <w:sz w:val="26"/>
        </w:rPr>
        <w:t>)</w:t>
      </w:r>
      <w:r w:rsidR="008469DF">
        <w:rPr>
          <w:sz w:val="26"/>
        </w:rPr>
        <w:t xml:space="preserve">, </w:t>
      </w:r>
      <w:r w:rsidR="001D5AE7">
        <w:rPr>
          <w:sz w:val="26"/>
          <w:szCs w:val="26"/>
        </w:rPr>
        <w:t xml:space="preserve">by submitting </w:t>
      </w:r>
      <w:r w:rsidR="00A55B1B">
        <w:rPr>
          <w:sz w:val="26"/>
          <w:szCs w:val="26"/>
        </w:rPr>
        <w:t xml:space="preserve">a </w:t>
      </w:r>
      <w:r w:rsidR="008469DF">
        <w:rPr>
          <w:sz w:val="26"/>
          <w:szCs w:val="26"/>
        </w:rPr>
        <w:t xml:space="preserve">check for $1000 to PGW as payment under the arrangement, which was subsequently returned for insufficient funds.  The SA rejected the </w:t>
      </w:r>
      <w:r w:rsidR="001D5AE7">
        <w:rPr>
          <w:sz w:val="26"/>
          <w:szCs w:val="26"/>
        </w:rPr>
        <w:t xml:space="preserve">Complainant’s contention that she had not defaulted on the </w:t>
      </w:r>
      <w:r w:rsidR="008469DF">
        <w:rPr>
          <w:sz w:val="26"/>
          <w:szCs w:val="26"/>
        </w:rPr>
        <w:t>prior arrangement</w:t>
      </w:r>
      <w:r w:rsidR="00284266">
        <w:rPr>
          <w:sz w:val="26"/>
          <w:szCs w:val="26"/>
        </w:rPr>
        <w:t>.  The SA found that</w:t>
      </w:r>
      <w:r w:rsidR="008469DF">
        <w:rPr>
          <w:sz w:val="26"/>
          <w:szCs w:val="26"/>
        </w:rPr>
        <w:t xml:space="preserve"> the Complainant failed to submit evidence, either at the hearing or during the period of time </w:t>
      </w:r>
      <w:r>
        <w:rPr>
          <w:sz w:val="26"/>
          <w:szCs w:val="26"/>
        </w:rPr>
        <w:t xml:space="preserve">granted </w:t>
      </w:r>
      <w:r w:rsidR="008469DF">
        <w:rPr>
          <w:sz w:val="26"/>
          <w:szCs w:val="26"/>
        </w:rPr>
        <w:t>until December 17, 201</w:t>
      </w:r>
      <w:r w:rsidR="008301C3">
        <w:rPr>
          <w:sz w:val="26"/>
          <w:szCs w:val="26"/>
        </w:rPr>
        <w:t>8</w:t>
      </w:r>
      <w:r w:rsidR="008469DF">
        <w:rPr>
          <w:sz w:val="26"/>
          <w:szCs w:val="26"/>
        </w:rPr>
        <w:t xml:space="preserve">, </w:t>
      </w:r>
      <w:r>
        <w:rPr>
          <w:sz w:val="26"/>
          <w:szCs w:val="26"/>
        </w:rPr>
        <w:t xml:space="preserve">to </w:t>
      </w:r>
      <w:r w:rsidR="008469DF">
        <w:rPr>
          <w:sz w:val="26"/>
          <w:szCs w:val="26"/>
        </w:rPr>
        <w:t>substantiat</w:t>
      </w:r>
      <w:r>
        <w:rPr>
          <w:sz w:val="26"/>
          <w:szCs w:val="26"/>
        </w:rPr>
        <w:t>e</w:t>
      </w:r>
      <w:r w:rsidR="008469DF">
        <w:rPr>
          <w:sz w:val="26"/>
          <w:szCs w:val="26"/>
        </w:rPr>
        <w:t xml:space="preserve"> her claim that sufficient funds were available in her account at the time the check was returned.</w:t>
      </w:r>
      <w:r w:rsidR="00672496">
        <w:rPr>
          <w:sz w:val="26"/>
          <w:szCs w:val="26"/>
        </w:rPr>
        <w:t xml:space="preserve"> </w:t>
      </w:r>
      <w:r w:rsidR="00172DE2">
        <w:rPr>
          <w:sz w:val="26"/>
          <w:szCs w:val="26"/>
        </w:rPr>
        <w:t xml:space="preserve"> I.D. at 12.</w:t>
      </w:r>
    </w:p>
    <w:p w14:paraId="1FEF9910" w14:textId="77777777" w:rsidR="007A256D" w:rsidRDefault="007A256D" w:rsidP="001C3DFA">
      <w:pPr>
        <w:widowControl/>
        <w:spacing w:line="360" w:lineRule="auto"/>
        <w:ind w:firstLine="1440"/>
        <w:rPr>
          <w:sz w:val="26"/>
          <w:szCs w:val="26"/>
        </w:rPr>
      </w:pPr>
    </w:p>
    <w:p w14:paraId="45CFD0AE" w14:textId="77777777" w:rsidR="001D5AE7" w:rsidRPr="00C20ECD" w:rsidRDefault="007A256D" w:rsidP="00C20ECD">
      <w:pPr>
        <w:widowControl/>
        <w:spacing w:line="360" w:lineRule="auto"/>
        <w:ind w:firstLine="1440"/>
        <w:rPr>
          <w:sz w:val="26"/>
        </w:rPr>
      </w:pPr>
      <w:r>
        <w:rPr>
          <w:sz w:val="26"/>
        </w:rPr>
        <w:t xml:space="preserve">The SA concluded that the undisputed facts established that the Complainant had received a prior </w:t>
      </w:r>
      <w:r w:rsidR="00B56C82">
        <w:rPr>
          <w:sz w:val="26"/>
        </w:rPr>
        <w:t>Commission-</w:t>
      </w:r>
      <w:r w:rsidR="00FA34AD">
        <w:rPr>
          <w:sz w:val="26"/>
        </w:rPr>
        <w:t>issued</w:t>
      </w:r>
      <w:r w:rsidR="000C5C19">
        <w:rPr>
          <w:sz w:val="26"/>
        </w:rPr>
        <w:t xml:space="preserve"> </w:t>
      </w:r>
      <w:r>
        <w:rPr>
          <w:sz w:val="26"/>
        </w:rPr>
        <w:t xml:space="preserve">payment arrangement, </w:t>
      </w:r>
      <w:r w:rsidRPr="00A0037B">
        <w:rPr>
          <w:i/>
          <w:iCs/>
          <w:sz w:val="26"/>
        </w:rPr>
        <w:t>via</w:t>
      </w:r>
      <w:r>
        <w:rPr>
          <w:sz w:val="26"/>
        </w:rPr>
        <w:t xml:space="preserve"> the March 2, 2015 BCS decision </w:t>
      </w:r>
      <w:r w:rsidR="000C5C19">
        <w:rPr>
          <w:sz w:val="26"/>
        </w:rPr>
        <w:t>(</w:t>
      </w:r>
      <w:r>
        <w:rPr>
          <w:sz w:val="26"/>
        </w:rPr>
        <w:t>BCS Case No. 3322531</w:t>
      </w:r>
      <w:r w:rsidR="008301C3">
        <w:rPr>
          <w:sz w:val="26"/>
        </w:rPr>
        <w:t>)</w:t>
      </w:r>
      <w:r>
        <w:rPr>
          <w:sz w:val="26"/>
        </w:rPr>
        <w:t>, which the Complainant did not appeal</w:t>
      </w:r>
      <w:r w:rsidR="00227D50">
        <w:rPr>
          <w:sz w:val="26"/>
        </w:rPr>
        <w:t>.  The SA also concluded that</w:t>
      </w:r>
      <w:r>
        <w:rPr>
          <w:sz w:val="26"/>
        </w:rPr>
        <w:t xml:space="preserve"> </w:t>
      </w:r>
      <w:r w:rsidR="00227D50">
        <w:rPr>
          <w:sz w:val="26"/>
        </w:rPr>
        <w:t xml:space="preserve">the </w:t>
      </w:r>
      <w:r>
        <w:rPr>
          <w:sz w:val="26"/>
        </w:rPr>
        <w:t>Complainant subsequently defaulted on</w:t>
      </w:r>
      <w:r w:rsidR="00227D50">
        <w:rPr>
          <w:sz w:val="26"/>
        </w:rPr>
        <w:t xml:space="preserve"> the payment arrangement</w:t>
      </w:r>
      <w:r>
        <w:rPr>
          <w:sz w:val="26"/>
        </w:rPr>
        <w:t xml:space="preserve"> by failing </w:t>
      </w:r>
      <w:r w:rsidR="004B7C8C">
        <w:rPr>
          <w:sz w:val="26"/>
        </w:rPr>
        <w:t xml:space="preserve">to </w:t>
      </w:r>
      <w:r>
        <w:rPr>
          <w:sz w:val="26"/>
        </w:rPr>
        <w:t>make the scheduled payments.  I.D. at 9</w:t>
      </w:r>
      <w:r w:rsidR="00C20ECD">
        <w:rPr>
          <w:sz w:val="26"/>
        </w:rPr>
        <w:t xml:space="preserve">.  </w:t>
      </w:r>
      <w:r>
        <w:rPr>
          <w:sz w:val="26"/>
          <w:szCs w:val="26"/>
        </w:rPr>
        <w:t xml:space="preserve">In the absence of any countervailing evidence, the </w:t>
      </w:r>
      <w:r w:rsidR="004B7C8C">
        <w:rPr>
          <w:sz w:val="26"/>
          <w:szCs w:val="26"/>
        </w:rPr>
        <w:t>SA</w:t>
      </w:r>
      <w:r w:rsidR="008301C3">
        <w:rPr>
          <w:sz w:val="26"/>
          <w:szCs w:val="26"/>
        </w:rPr>
        <w:t xml:space="preserve"> </w:t>
      </w:r>
      <w:r>
        <w:rPr>
          <w:sz w:val="26"/>
          <w:szCs w:val="26"/>
        </w:rPr>
        <w:t xml:space="preserve">concluded that PGW had carried the </w:t>
      </w:r>
      <w:r>
        <w:rPr>
          <w:sz w:val="26"/>
          <w:szCs w:val="26"/>
        </w:rPr>
        <w:lastRenderedPageBreak/>
        <w:t xml:space="preserve">burden of proof to establish Complainant’s default under the prior </w:t>
      </w:r>
      <w:r w:rsidR="00B56C82">
        <w:rPr>
          <w:sz w:val="26"/>
          <w:szCs w:val="26"/>
        </w:rPr>
        <w:t>Commission-</w:t>
      </w:r>
      <w:r w:rsidR="00FA34AD">
        <w:rPr>
          <w:sz w:val="26"/>
          <w:szCs w:val="26"/>
        </w:rPr>
        <w:t>issued</w:t>
      </w:r>
      <w:r>
        <w:rPr>
          <w:sz w:val="26"/>
          <w:szCs w:val="26"/>
        </w:rPr>
        <w:t xml:space="preserve"> payment arrangement.</w:t>
      </w:r>
      <w:r w:rsidR="004B7C8C">
        <w:rPr>
          <w:sz w:val="26"/>
          <w:szCs w:val="26"/>
        </w:rPr>
        <w:t xml:space="preserve"> </w:t>
      </w:r>
      <w:r>
        <w:rPr>
          <w:sz w:val="26"/>
          <w:szCs w:val="26"/>
        </w:rPr>
        <w:t xml:space="preserve"> </w:t>
      </w:r>
      <w:r w:rsidR="00172DE2">
        <w:rPr>
          <w:sz w:val="26"/>
          <w:szCs w:val="26"/>
        </w:rPr>
        <w:t xml:space="preserve">I.D. at </w:t>
      </w:r>
      <w:r>
        <w:rPr>
          <w:sz w:val="26"/>
          <w:szCs w:val="26"/>
        </w:rPr>
        <w:t>12-13.</w:t>
      </w:r>
    </w:p>
    <w:p w14:paraId="50858332" w14:textId="77777777" w:rsidR="000966CC" w:rsidRPr="000966CC" w:rsidRDefault="000966CC" w:rsidP="001C3DFA">
      <w:pPr>
        <w:keepNext/>
        <w:keepLines/>
        <w:widowControl/>
        <w:autoSpaceDE w:val="0"/>
        <w:autoSpaceDN w:val="0"/>
        <w:adjustRightInd w:val="0"/>
        <w:spacing w:line="360" w:lineRule="auto"/>
        <w:ind w:firstLine="1296"/>
        <w:contextualSpacing/>
        <w:rPr>
          <w:sz w:val="26"/>
          <w:szCs w:val="26"/>
        </w:rPr>
      </w:pPr>
    </w:p>
    <w:p w14:paraId="2D06E2CB" w14:textId="402E4CEE" w:rsidR="0036331C" w:rsidRDefault="0036331C" w:rsidP="001D5AE7">
      <w:pPr>
        <w:widowControl/>
        <w:spacing w:line="360" w:lineRule="auto"/>
        <w:rPr>
          <w:sz w:val="26"/>
        </w:rPr>
      </w:pPr>
      <w:r>
        <w:rPr>
          <w:sz w:val="26"/>
        </w:rPr>
        <w:tab/>
      </w:r>
      <w:r>
        <w:rPr>
          <w:sz w:val="26"/>
        </w:rPr>
        <w:tab/>
      </w:r>
      <w:r w:rsidR="007A256D">
        <w:rPr>
          <w:sz w:val="26"/>
        </w:rPr>
        <w:t>Having concluded the Complainant had defaulted under a prio</w:t>
      </w:r>
      <w:r w:rsidR="000C5C19">
        <w:rPr>
          <w:sz w:val="26"/>
        </w:rPr>
        <w:t xml:space="preserve">r </w:t>
      </w:r>
      <w:r w:rsidR="005E2125">
        <w:rPr>
          <w:sz w:val="26"/>
        </w:rPr>
        <w:t>Commission-</w:t>
      </w:r>
      <w:r w:rsidR="00FA34AD">
        <w:rPr>
          <w:sz w:val="26"/>
        </w:rPr>
        <w:t>issued</w:t>
      </w:r>
      <w:r w:rsidR="00F3138A">
        <w:rPr>
          <w:sz w:val="26"/>
        </w:rPr>
        <w:t xml:space="preserve"> </w:t>
      </w:r>
      <w:r w:rsidR="007A256D">
        <w:rPr>
          <w:sz w:val="26"/>
        </w:rPr>
        <w:t xml:space="preserve">payment arrangement, </w:t>
      </w:r>
      <w:r w:rsidR="00A0037B">
        <w:rPr>
          <w:sz w:val="26"/>
        </w:rPr>
        <w:t xml:space="preserve">SA Chiodo reviewed the present proceeding under the standards set forth in </w:t>
      </w:r>
      <w:r w:rsidR="00E02ADD">
        <w:rPr>
          <w:sz w:val="26"/>
        </w:rPr>
        <w:t>Chapter 14</w:t>
      </w:r>
      <w:r w:rsidR="00A0037B">
        <w:rPr>
          <w:sz w:val="26"/>
        </w:rPr>
        <w:t>, 66 Pa.</w:t>
      </w:r>
      <w:r w:rsidR="0012587E">
        <w:rPr>
          <w:sz w:val="26"/>
        </w:rPr>
        <w:t xml:space="preserve"> </w:t>
      </w:r>
      <w:r w:rsidR="00A0037B">
        <w:rPr>
          <w:sz w:val="26"/>
        </w:rPr>
        <w:t>C.</w:t>
      </w:r>
      <w:r w:rsidR="00275EEE">
        <w:rPr>
          <w:sz w:val="26"/>
        </w:rPr>
        <w:t>S</w:t>
      </w:r>
      <w:r w:rsidR="00A0037B">
        <w:rPr>
          <w:sz w:val="26"/>
        </w:rPr>
        <w:t>. §§</w:t>
      </w:r>
      <w:r w:rsidR="00030684">
        <w:rPr>
          <w:sz w:val="26"/>
        </w:rPr>
        <w:t xml:space="preserve"> </w:t>
      </w:r>
      <w:r w:rsidR="00A0037B">
        <w:rPr>
          <w:sz w:val="26"/>
        </w:rPr>
        <w:t>1401-1418</w:t>
      </w:r>
      <w:r w:rsidR="00C20ECD">
        <w:rPr>
          <w:sz w:val="26"/>
        </w:rPr>
        <w:t>.  SA Chiodo found the</w:t>
      </w:r>
      <w:r w:rsidR="001D5AE7">
        <w:rPr>
          <w:sz w:val="26"/>
        </w:rPr>
        <w:t xml:space="preserve"> present Compla</w:t>
      </w:r>
      <w:r w:rsidR="004B7C8C">
        <w:rPr>
          <w:sz w:val="26"/>
        </w:rPr>
        <w:t>i</w:t>
      </w:r>
      <w:r w:rsidR="001D5AE7">
        <w:rPr>
          <w:sz w:val="26"/>
        </w:rPr>
        <w:t xml:space="preserve">nt, </w:t>
      </w:r>
      <w:r w:rsidR="00C20ECD">
        <w:rPr>
          <w:sz w:val="26"/>
        </w:rPr>
        <w:t xml:space="preserve">filed on September 25, 2018, </w:t>
      </w:r>
      <w:r w:rsidR="001D5AE7">
        <w:rPr>
          <w:sz w:val="26"/>
        </w:rPr>
        <w:t>is a timely appeal of the BCS Case. No.</w:t>
      </w:r>
      <w:r w:rsidR="00112EB9">
        <w:rPr>
          <w:sz w:val="26"/>
        </w:rPr>
        <w:t xml:space="preserve"> </w:t>
      </w:r>
      <w:r w:rsidR="00C20ECD">
        <w:rPr>
          <w:sz w:val="26"/>
        </w:rPr>
        <w:t>3594971</w:t>
      </w:r>
      <w:r w:rsidR="001D5AE7">
        <w:rPr>
          <w:sz w:val="26"/>
        </w:rPr>
        <w:t xml:space="preserve">, </w:t>
      </w:r>
      <w:r w:rsidR="00C20ECD">
        <w:rPr>
          <w:sz w:val="26"/>
        </w:rPr>
        <w:t xml:space="preserve">which constitutes </w:t>
      </w:r>
      <w:r w:rsidR="001D5AE7">
        <w:rPr>
          <w:sz w:val="26"/>
        </w:rPr>
        <w:t xml:space="preserve">the Complainant’s second request for a </w:t>
      </w:r>
      <w:r w:rsidR="00B56C82">
        <w:rPr>
          <w:sz w:val="26"/>
        </w:rPr>
        <w:t>Commission-</w:t>
      </w:r>
      <w:r w:rsidR="00FA34AD">
        <w:rPr>
          <w:sz w:val="26"/>
        </w:rPr>
        <w:t>issued</w:t>
      </w:r>
      <w:r w:rsidR="001D5AE7">
        <w:rPr>
          <w:sz w:val="26"/>
        </w:rPr>
        <w:t xml:space="preserve"> payment arrangement or a request to extend the prior arrangement ordered by BCS under Case No. 3322531.</w:t>
      </w:r>
    </w:p>
    <w:p w14:paraId="7C37401D" w14:textId="77777777" w:rsidR="0053184A" w:rsidRPr="000966CC" w:rsidRDefault="0053184A" w:rsidP="001C3DFA">
      <w:pPr>
        <w:widowControl/>
        <w:spacing w:line="360" w:lineRule="auto"/>
        <w:ind w:firstLine="1440"/>
        <w:rPr>
          <w:rFonts w:eastAsia="Calibri"/>
          <w:sz w:val="26"/>
          <w:szCs w:val="26"/>
        </w:rPr>
      </w:pPr>
    </w:p>
    <w:p w14:paraId="6EA3857A" w14:textId="77777777" w:rsidR="0044180F" w:rsidRDefault="00C20ECD" w:rsidP="0044180F">
      <w:pPr>
        <w:pStyle w:val="Default"/>
        <w:spacing w:line="360" w:lineRule="auto"/>
        <w:ind w:firstLine="1440"/>
        <w:rPr>
          <w:sz w:val="26"/>
          <w:szCs w:val="26"/>
        </w:rPr>
      </w:pPr>
      <w:r>
        <w:rPr>
          <w:sz w:val="26"/>
          <w:szCs w:val="26"/>
        </w:rPr>
        <w:t>SA Chiodo concluded that th</w:t>
      </w:r>
      <w:r w:rsidR="00620F18">
        <w:rPr>
          <w:sz w:val="26"/>
          <w:szCs w:val="26"/>
        </w:rPr>
        <w:t>e</w:t>
      </w:r>
      <w:r>
        <w:rPr>
          <w:sz w:val="26"/>
          <w:szCs w:val="26"/>
        </w:rPr>
        <w:t xml:space="preserve"> Complainant failed to carry </w:t>
      </w:r>
      <w:r w:rsidR="00EA1660">
        <w:rPr>
          <w:sz w:val="26"/>
          <w:szCs w:val="26"/>
        </w:rPr>
        <w:t>her</w:t>
      </w:r>
      <w:r>
        <w:rPr>
          <w:sz w:val="26"/>
          <w:szCs w:val="26"/>
        </w:rPr>
        <w:t xml:space="preserve"> burden of proof to satisfy the criteria under either</w:t>
      </w:r>
      <w:r w:rsidR="00227D50">
        <w:rPr>
          <w:sz w:val="26"/>
          <w:szCs w:val="26"/>
        </w:rPr>
        <w:t xml:space="preserve"> </w:t>
      </w:r>
      <w:r w:rsidR="00E02ADD">
        <w:rPr>
          <w:sz w:val="26"/>
          <w:szCs w:val="26"/>
        </w:rPr>
        <w:t xml:space="preserve">Section </w:t>
      </w:r>
      <w:r w:rsidR="00FA34AD">
        <w:rPr>
          <w:sz w:val="26"/>
          <w:szCs w:val="26"/>
        </w:rPr>
        <w:t>1</w:t>
      </w:r>
      <w:r>
        <w:rPr>
          <w:sz w:val="26"/>
          <w:szCs w:val="26"/>
        </w:rPr>
        <w:t>405(d)</w:t>
      </w:r>
      <w:r w:rsidR="008301C3">
        <w:rPr>
          <w:sz w:val="26"/>
          <w:szCs w:val="26"/>
        </w:rPr>
        <w:t>,</w:t>
      </w:r>
      <w:r>
        <w:rPr>
          <w:sz w:val="26"/>
          <w:szCs w:val="26"/>
        </w:rPr>
        <w:t xml:space="preserve"> to be eligible for a second </w:t>
      </w:r>
      <w:r w:rsidR="00B56C82">
        <w:rPr>
          <w:sz w:val="26"/>
          <w:szCs w:val="26"/>
        </w:rPr>
        <w:t>Commission-</w:t>
      </w:r>
      <w:r w:rsidR="00FA34AD">
        <w:rPr>
          <w:sz w:val="26"/>
          <w:szCs w:val="26"/>
        </w:rPr>
        <w:t>issued</w:t>
      </w:r>
      <w:r>
        <w:rPr>
          <w:sz w:val="26"/>
          <w:szCs w:val="26"/>
        </w:rPr>
        <w:t xml:space="preserve"> payment arrangement or </w:t>
      </w:r>
      <w:r w:rsidR="00E02ADD">
        <w:rPr>
          <w:sz w:val="26"/>
          <w:szCs w:val="26"/>
        </w:rPr>
        <w:t>Section</w:t>
      </w:r>
      <w:r>
        <w:rPr>
          <w:sz w:val="26"/>
          <w:szCs w:val="26"/>
        </w:rPr>
        <w:t xml:space="preserve"> 1405(e) to be eligible for an extension of the prior </w:t>
      </w:r>
      <w:r w:rsidR="00B56C82">
        <w:rPr>
          <w:sz w:val="26"/>
          <w:szCs w:val="26"/>
        </w:rPr>
        <w:t>Commission-</w:t>
      </w:r>
      <w:r w:rsidR="00FA34AD">
        <w:rPr>
          <w:sz w:val="26"/>
          <w:szCs w:val="26"/>
        </w:rPr>
        <w:t>issued</w:t>
      </w:r>
      <w:r w:rsidR="00F3138A">
        <w:rPr>
          <w:sz w:val="26"/>
          <w:szCs w:val="26"/>
        </w:rPr>
        <w:t xml:space="preserve"> </w:t>
      </w:r>
      <w:r>
        <w:rPr>
          <w:sz w:val="26"/>
          <w:szCs w:val="26"/>
        </w:rPr>
        <w:t>payment arrangement.</w:t>
      </w:r>
      <w:r w:rsidR="004B7C8C">
        <w:rPr>
          <w:sz w:val="26"/>
          <w:szCs w:val="26"/>
        </w:rPr>
        <w:t xml:space="preserve"> </w:t>
      </w:r>
      <w:r>
        <w:rPr>
          <w:sz w:val="26"/>
          <w:szCs w:val="26"/>
        </w:rPr>
        <w:t xml:space="preserve"> I.D. at </w:t>
      </w:r>
      <w:r w:rsidR="00650B76">
        <w:rPr>
          <w:sz w:val="26"/>
          <w:szCs w:val="26"/>
        </w:rPr>
        <w:t xml:space="preserve">9-12.  Specifically, the SA concluded that the Complainant had failed to </w:t>
      </w:r>
      <w:r w:rsidR="00134B21">
        <w:rPr>
          <w:sz w:val="26"/>
          <w:szCs w:val="26"/>
        </w:rPr>
        <w:t xml:space="preserve">offer any evidence to </w:t>
      </w:r>
      <w:r w:rsidR="00650B76">
        <w:rPr>
          <w:sz w:val="26"/>
          <w:szCs w:val="26"/>
        </w:rPr>
        <w:t xml:space="preserve">show that the Complainant had experienced either a “change in income” or a “significant change in circumstances,” as those terms are defined under Section 1403 of </w:t>
      </w:r>
      <w:r w:rsidR="00E02ADD">
        <w:rPr>
          <w:sz w:val="26"/>
          <w:szCs w:val="26"/>
        </w:rPr>
        <w:t>Chapter 14</w:t>
      </w:r>
      <w:r w:rsidR="00650B76">
        <w:rPr>
          <w:sz w:val="26"/>
          <w:szCs w:val="26"/>
        </w:rPr>
        <w:t>.</w:t>
      </w:r>
      <w:r w:rsidR="004B7C8C">
        <w:rPr>
          <w:sz w:val="26"/>
          <w:szCs w:val="26"/>
        </w:rPr>
        <w:t xml:space="preserve"> </w:t>
      </w:r>
      <w:r w:rsidR="00650B76">
        <w:rPr>
          <w:sz w:val="26"/>
          <w:szCs w:val="26"/>
        </w:rPr>
        <w:t xml:space="preserve"> </w:t>
      </w:r>
      <w:r w:rsidR="00650B76" w:rsidRPr="00650B76">
        <w:rPr>
          <w:i/>
          <w:iCs/>
          <w:sz w:val="26"/>
          <w:szCs w:val="26"/>
        </w:rPr>
        <w:t>Id.</w:t>
      </w:r>
    </w:p>
    <w:p w14:paraId="12449DB9" w14:textId="77777777" w:rsidR="00650B76" w:rsidRDefault="00650B76" w:rsidP="0044180F">
      <w:pPr>
        <w:pStyle w:val="Default"/>
        <w:spacing w:line="360" w:lineRule="auto"/>
        <w:ind w:firstLine="1440"/>
        <w:rPr>
          <w:sz w:val="26"/>
          <w:szCs w:val="26"/>
        </w:rPr>
      </w:pPr>
    </w:p>
    <w:p w14:paraId="6D63742F" w14:textId="77777777" w:rsidR="00650B76" w:rsidRDefault="00650B76" w:rsidP="0044180F">
      <w:pPr>
        <w:pStyle w:val="Default"/>
        <w:spacing w:line="360" w:lineRule="auto"/>
        <w:ind w:firstLine="1440"/>
        <w:rPr>
          <w:sz w:val="26"/>
          <w:szCs w:val="26"/>
        </w:rPr>
      </w:pPr>
      <w:r>
        <w:rPr>
          <w:sz w:val="26"/>
          <w:szCs w:val="26"/>
        </w:rPr>
        <w:t xml:space="preserve">Based upon the Complainant’s failure to carry the burden of proof on the claims raised, the SA denied the Complaint. </w:t>
      </w:r>
      <w:r w:rsidR="004B7C8C">
        <w:rPr>
          <w:sz w:val="26"/>
          <w:szCs w:val="26"/>
        </w:rPr>
        <w:t xml:space="preserve"> </w:t>
      </w:r>
      <w:r>
        <w:rPr>
          <w:sz w:val="26"/>
          <w:szCs w:val="26"/>
        </w:rPr>
        <w:t>I.D. at 16.</w:t>
      </w:r>
    </w:p>
    <w:p w14:paraId="1B6D0ED6" w14:textId="77777777" w:rsidR="00F164DA" w:rsidRPr="0003143A" w:rsidRDefault="00F164DA" w:rsidP="00F164DA">
      <w:pPr>
        <w:pStyle w:val="Default"/>
        <w:spacing w:line="360" w:lineRule="auto"/>
        <w:rPr>
          <w:sz w:val="26"/>
          <w:szCs w:val="26"/>
        </w:rPr>
      </w:pPr>
    </w:p>
    <w:p w14:paraId="41DEE09D" w14:textId="77777777" w:rsidR="0099550A" w:rsidRDefault="0099550A" w:rsidP="00E04D15">
      <w:pPr>
        <w:keepNext/>
        <w:keepLines/>
        <w:widowControl/>
        <w:spacing w:line="360" w:lineRule="auto"/>
        <w:contextualSpacing/>
        <w:rPr>
          <w:b/>
          <w:sz w:val="26"/>
          <w:szCs w:val="26"/>
        </w:rPr>
      </w:pPr>
      <w:r w:rsidRPr="00257308">
        <w:rPr>
          <w:b/>
          <w:bCs/>
          <w:sz w:val="26"/>
          <w:szCs w:val="26"/>
        </w:rPr>
        <w:lastRenderedPageBreak/>
        <w:t>C</w:t>
      </w:r>
      <w:r w:rsidR="00456195" w:rsidRPr="00257308">
        <w:rPr>
          <w:b/>
          <w:bCs/>
          <w:sz w:val="26"/>
          <w:szCs w:val="26"/>
        </w:rPr>
        <w:t>.</w:t>
      </w:r>
      <w:r w:rsidR="00545BA8" w:rsidRPr="00257308">
        <w:rPr>
          <w:b/>
          <w:bCs/>
          <w:sz w:val="26"/>
          <w:szCs w:val="26"/>
        </w:rPr>
        <w:tab/>
      </w:r>
      <w:r w:rsidR="001B0C5E" w:rsidRPr="00456195">
        <w:rPr>
          <w:b/>
          <w:sz w:val="26"/>
          <w:szCs w:val="26"/>
        </w:rPr>
        <w:t>Exceptions</w:t>
      </w:r>
      <w:r w:rsidR="008A0C21">
        <w:rPr>
          <w:b/>
          <w:sz w:val="26"/>
          <w:szCs w:val="26"/>
        </w:rPr>
        <w:t xml:space="preserve"> </w:t>
      </w:r>
      <w:r w:rsidR="00030684">
        <w:rPr>
          <w:b/>
          <w:sz w:val="26"/>
          <w:szCs w:val="26"/>
        </w:rPr>
        <w:t xml:space="preserve">and Replies to Exceptions </w:t>
      </w:r>
    </w:p>
    <w:p w14:paraId="1E5BBBB5" w14:textId="77777777" w:rsidR="008A0C21" w:rsidRDefault="008A0C21" w:rsidP="00E04D15">
      <w:pPr>
        <w:keepNext/>
        <w:keepLines/>
        <w:widowControl/>
        <w:spacing w:line="360" w:lineRule="auto"/>
        <w:contextualSpacing/>
        <w:rPr>
          <w:b/>
          <w:sz w:val="26"/>
          <w:szCs w:val="26"/>
        </w:rPr>
      </w:pPr>
    </w:p>
    <w:p w14:paraId="403CCBF8" w14:textId="77777777" w:rsidR="008A0C21" w:rsidRPr="008A0C21" w:rsidRDefault="00622B35" w:rsidP="00E04D15">
      <w:pPr>
        <w:pStyle w:val="FootnoteText"/>
        <w:keepNext/>
        <w:keepLines/>
        <w:widowControl/>
        <w:spacing w:line="360" w:lineRule="auto"/>
        <w:ind w:firstLine="1440"/>
        <w:rPr>
          <w:sz w:val="26"/>
          <w:szCs w:val="26"/>
        </w:rPr>
      </w:pPr>
      <w:r>
        <w:rPr>
          <w:sz w:val="26"/>
          <w:szCs w:val="26"/>
        </w:rPr>
        <w:t xml:space="preserve">The </w:t>
      </w:r>
      <w:r w:rsidR="008A0C21" w:rsidRPr="008A0C21">
        <w:rPr>
          <w:sz w:val="26"/>
          <w:szCs w:val="26"/>
        </w:rPr>
        <w:t>Complainant’s Exceptions</w:t>
      </w:r>
      <w:r>
        <w:rPr>
          <w:rStyle w:val="FootnoteReference"/>
          <w:sz w:val="26"/>
          <w:szCs w:val="26"/>
        </w:rPr>
        <w:footnoteReference w:id="8"/>
      </w:r>
      <w:r w:rsidR="009710B4" w:rsidRPr="005069AE">
        <w:rPr>
          <w:sz w:val="26"/>
          <w:szCs w:val="26"/>
        </w:rPr>
        <w:t xml:space="preserve"> are not set forth in numbered paragraphs</w:t>
      </w:r>
      <w:r w:rsidR="00257308">
        <w:rPr>
          <w:sz w:val="26"/>
          <w:szCs w:val="26"/>
        </w:rPr>
        <w:t xml:space="preserve"> and do not identify specific findings to be challenged</w:t>
      </w:r>
      <w:r w:rsidR="009710B4" w:rsidRPr="005069AE">
        <w:rPr>
          <w:sz w:val="26"/>
          <w:szCs w:val="26"/>
        </w:rPr>
        <w:t xml:space="preserve">, therefore, </w:t>
      </w:r>
      <w:r w:rsidR="009710B4">
        <w:rPr>
          <w:sz w:val="26"/>
          <w:szCs w:val="26"/>
        </w:rPr>
        <w:t>we shall summarize the claims raised in the Exceptions</w:t>
      </w:r>
      <w:r w:rsidR="00650B76">
        <w:rPr>
          <w:sz w:val="26"/>
          <w:szCs w:val="26"/>
        </w:rPr>
        <w:t>.</w:t>
      </w:r>
    </w:p>
    <w:p w14:paraId="31B561FC" w14:textId="77777777" w:rsidR="008A0C21" w:rsidRPr="008A0C21" w:rsidRDefault="008A0C21" w:rsidP="00257308">
      <w:pPr>
        <w:keepNext/>
        <w:keepLines/>
        <w:widowControl/>
        <w:autoSpaceDE w:val="0"/>
        <w:autoSpaceDN w:val="0"/>
        <w:adjustRightInd w:val="0"/>
        <w:spacing w:line="360" w:lineRule="auto"/>
        <w:contextualSpacing/>
        <w:rPr>
          <w:b/>
          <w:sz w:val="26"/>
          <w:szCs w:val="26"/>
        </w:rPr>
      </w:pPr>
    </w:p>
    <w:p w14:paraId="167CD931" w14:textId="77777777" w:rsidR="00A513EB" w:rsidRDefault="00C83D63" w:rsidP="00257308">
      <w:pPr>
        <w:widowControl/>
        <w:spacing w:line="360" w:lineRule="auto"/>
        <w:ind w:firstLine="1440"/>
        <w:rPr>
          <w:sz w:val="26"/>
          <w:szCs w:val="26"/>
        </w:rPr>
      </w:pPr>
      <w:r>
        <w:rPr>
          <w:sz w:val="26"/>
          <w:szCs w:val="26"/>
        </w:rPr>
        <w:t>On</w:t>
      </w:r>
      <w:r w:rsidR="00227D50">
        <w:rPr>
          <w:sz w:val="26"/>
          <w:szCs w:val="26"/>
        </w:rPr>
        <w:t xml:space="preserve"> </w:t>
      </w:r>
      <w:r w:rsidR="008A0C21" w:rsidRPr="008A0C21">
        <w:rPr>
          <w:sz w:val="26"/>
          <w:szCs w:val="26"/>
        </w:rPr>
        <w:t>Exception</w:t>
      </w:r>
      <w:r w:rsidR="00876ECC">
        <w:rPr>
          <w:sz w:val="26"/>
          <w:szCs w:val="26"/>
        </w:rPr>
        <w:t>s</w:t>
      </w:r>
      <w:r w:rsidR="008A0C21" w:rsidRPr="008A0C21">
        <w:rPr>
          <w:sz w:val="26"/>
          <w:szCs w:val="26"/>
        </w:rPr>
        <w:t>,</w:t>
      </w:r>
      <w:r w:rsidR="008301C3">
        <w:rPr>
          <w:sz w:val="26"/>
          <w:szCs w:val="26"/>
        </w:rPr>
        <w:t xml:space="preserve"> </w:t>
      </w:r>
      <w:r w:rsidR="00227D50">
        <w:rPr>
          <w:sz w:val="26"/>
          <w:szCs w:val="26"/>
        </w:rPr>
        <w:t xml:space="preserve">it appears the </w:t>
      </w:r>
      <w:r w:rsidR="008301C3">
        <w:rPr>
          <w:sz w:val="26"/>
          <w:szCs w:val="26"/>
        </w:rPr>
        <w:t>Complainant</w:t>
      </w:r>
      <w:r w:rsidR="008C7480">
        <w:rPr>
          <w:sz w:val="26"/>
          <w:szCs w:val="26"/>
        </w:rPr>
        <w:t xml:space="preserve"> </w:t>
      </w:r>
      <w:r w:rsidR="00876ECC">
        <w:rPr>
          <w:sz w:val="26"/>
          <w:szCs w:val="26"/>
        </w:rPr>
        <w:t>assert</w:t>
      </w:r>
      <w:r w:rsidR="00227D50">
        <w:rPr>
          <w:sz w:val="26"/>
          <w:szCs w:val="26"/>
        </w:rPr>
        <w:t>s</w:t>
      </w:r>
      <w:r w:rsidR="00876ECC">
        <w:rPr>
          <w:sz w:val="26"/>
          <w:szCs w:val="26"/>
        </w:rPr>
        <w:t xml:space="preserve"> </w:t>
      </w:r>
      <w:r w:rsidR="00227D50">
        <w:rPr>
          <w:sz w:val="26"/>
          <w:szCs w:val="26"/>
        </w:rPr>
        <w:t xml:space="preserve">error based on </w:t>
      </w:r>
      <w:r w:rsidR="00876ECC">
        <w:rPr>
          <w:sz w:val="26"/>
          <w:szCs w:val="26"/>
        </w:rPr>
        <w:t>the SA</w:t>
      </w:r>
      <w:r w:rsidR="00227D50">
        <w:rPr>
          <w:sz w:val="26"/>
          <w:szCs w:val="26"/>
        </w:rPr>
        <w:t>’s</w:t>
      </w:r>
      <w:r w:rsidR="00876ECC">
        <w:rPr>
          <w:sz w:val="26"/>
          <w:szCs w:val="26"/>
        </w:rPr>
        <w:t xml:space="preserve"> finding</w:t>
      </w:r>
      <w:r w:rsidR="00227D50">
        <w:rPr>
          <w:sz w:val="26"/>
          <w:szCs w:val="26"/>
        </w:rPr>
        <w:t xml:space="preserve"> </w:t>
      </w:r>
      <w:r w:rsidR="00876ECC">
        <w:rPr>
          <w:sz w:val="26"/>
          <w:szCs w:val="26"/>
        </w:rPr>
        <w:t>that the Complainant had failed to carry the burden of proof</w:t>
      </w:r>
      <w:r w:rsidR="008C7480">
        <w:rPr>
          <w:sz w:val="26"/>
          <w:szCs w:val="26"/>
        </w:rPr>
        <w:t xml:space="preserve"> regarding the availability of funds for payment of the $1000 check issued to PGW and</w:t>
      </w:r>
      <w:r w:rsidR="00227D50">
        <w:rPr>
          <w:sz w:val="26"/>
          <w:szCs w:val="26"/>
        </w:rPr>
        <w:t xml:space="preserve"> based on the Complainant’s </w:t>
      </w:r>
      <w:r w:rsidR="008C7480">
        <w:rPr>
          <w:sz w:val="26"/>
          <w:szCs w:val="26"/>
        </w:rPr>
        <w:t xml:space="preserve">eligibility for an extension </w:t>
      </w:r>
      <w:r w:rsidR="00227D50">
        <w:rPr>
          <w:sz w:val="26"/>
          <w:szCs w:val="26"/>
        </w:rPr>
        <w:t xml:space="preserve">of the existing payment arrangement </w:t>
      </w:r>
      <w:r w:rsidR="008C7480">
        <w:rPr>
          <w:sz w:val="26"/>
          <w:szCs w:val="26"/>
        </w:rPr>
        <w:t>based on a “significant change in circumstance</w:t>
      </w:r>
      <w:r w:rsidR="00134B21">
        <w:rPr>
          <w:sz w:val="26"/>
          <w:szCs w:val="26"/>
        </w:rPr>
        <w:t>s” as define</w:t>
      </w:r>
      <w:r w:rsidR="00227D50">
        <w:rPr>
          <w:sz w:val="26"/>
          <w:szCs w:val="26"/>
        </w:rPr>
        <w:t>d</w:t>
      </w:r>
      <w:r w:rsidR="00134B21">
        <w:rPr>
          <w:sz w:val="26"/>
          <w:szCs w:val="26"/>
        </w:rPr>
        <w:t xml:space="preserve"> by Section 1403</w:t>
      </w:r>
      <w:r w:rsidR="00E02ADD">
        <w:rPr>
          <w:sz w:val="26"/>
          <w:szCs w:val="26"/>
        </w:rPr>
        <w:t>.</w:t>
      </w:r>
      <w:r w:rsidR="00876ECC">
        <w:rPr>
          <w:sz w:val="26"/>
          <w:szCs w:val="26"/>
        </w:rPr>
        <w:t xml:space="preserve">  </w:t>
      </w:r>
      <w:r w:rsidR="004B7C8C">
        <w:rPr>
          <w:sz w:val="26"/>
          <w:szCs w:val="26"/>
        </w:rPr>
        <w:t xml:space="preserve">The </w:t>
      </w:r>
      <w:r w:rsidR="00134B21">
        <w:rPr>
          <w:sz w:val="26"/>
          <w:szCs w:val="26"/>
        </w:rPr>
        <w:t xml:space="preserve">Complainant’s </w:t>
      </w:r>
      <w:r w:rsidR="005E3817">
        <w:rPr>
          <w:sz w:val="26"/>
          <w:szCs w:val="26"/>
        </w:rPr>
        <w:t xml:space="preserve">submission of a copy of her bank statement for January 12-29, </w:t>
      </w:r>
      <w:r w:rsidR="00876ECC">
        <w:rPr>
          <w:sz w:val="26"/>
          <w:szCs w:val="26"/>
        </w:rPr>
        <w:t xml:space="preserve">appears </w:t>
      </w:r>
      <w:r w:rsidR="00134B21">
        <w:rPr>
          <w:sz w:val="26"/>
          <w:szCs w:val="26"/>
        </w:rPr>
        <w:t>to be evidence</w:t>
      </w:r>
      <w:r w:rsidR="00172DE2">
        <w:rPr>
          <w:sz w:val="26"/>
          <w:szCs w:val="26"/>
        </w:rPr>
        <w:t xml:space="preserve"> offered </w:t>
      </w:r>
      <w:r w:rsidR="00134B21">
        <w:rPr>
          <w:sz w:val="26"/>
          <w:szCs w:val="26"/>
        </w:rPr>
        <w:t xml:space="preserve">to </w:t>
      </w:r>
      <w:r w:rsidR="00876ECC">
        <w:rPr>
          <w:sz w:val="26"/>
          <w:szCs w:val="26"/>
        </w:rPr>
        <w:t xml:space="preserve">dispute </w:t>
      </w:r>
      <w:r w:rsidR="005E3817">
        <w:rPr>
          <w:sz w:val="26"/>
          <w:szCs w:val="26"/>
        </w:rPr>
        <w:t>the finding of in</w:t>
      </w:r>
      <w:r w:rsidR="00876ECC">
        <w:rPr>
          <w:sz w:val="26"/>
          <w:szCs w:val="26"/>
        </w:rPr>
        <w:t xml:space="preserve">sufficient funds </w:t>
      </w:r>
      <w:r w:rsidR="00134B21">
        <w:rPr>
          <w:sz w:val="26"/>
          <w:szCs w:val="26"/>
        </w:rPr>
        <w:t xml:space="preserve">available to pay </w:t>
      </w:r>
      <w:r w:rsidR="00876ECC">
        <w:rPr>
          <w:sz w:val="26"/>
          <w:szCs w:val="26"/>
        </w:rPr>
        <w:t xml:space="preserve">the check for $1000, which </w:t>
      </w:r>
      <w:r w:rsidR="005E3817">
        <w:rPr>
          <w:sz w:val="26"/>
          <w:szCs w:val="26"/>
        </w:rPr>
        <w:t xml:space="preserve">formed the basis of the Complainant’s default on the first </w:t>
      </w:r>
      <w:r w:rsidR="00B56C82">
        <w:rPr>
          <w:sz w:val="26"/>
          <w:szCs w:val="26"/>
        </w:rPr>
        <w:t>Commission-</w:t>
      </w:r>
      <w:r w:rsidR="00FA34AD">
        <w:rPr>
          <w:sz w:val="26"/>
          <w:szCs w:val="26"/>
        </w:rPr>
        <w:t>issued</w:t>
      </w:r>
      <w:r w:rsidR="005E2125">
        <w:rPr>
          <w:sz w:val="26"/>
          <w:szCs w:val="26"/>
        </w:rPr>
        <w:t xml:space="preserve"> </w:t>
      </w:r>
      <w:r w:rsidR="005E3817">
        <w:rPr>
          <w:sz w:val="26"/>
          <w:szCs w:val="26"/>
        </w:rPr>
        <w:t xml:space="preserve">payment arrangement.  In addition, </w:t>
      </w:r>
      <w:r w:rsidR="00E02ADD">
        <w:rPr>
          <w:sz w:val="26"/>
          <w:szCs w:val="26"/>
        </w:rPr>
        <w:t xml:space="preserve">the </w:t>
      </w:r>
      <w:r w:rsidR="00134B21">
        <w:rPr>
          <w:sz w:val="26"/>
          <w:szCs w:val="26"/>
        </w:rPr>
        <w:t xml:space="preserve">Complainant’s </w:t>
      </w:r>
      <w:r w:rsidR="005E3817">
        <w:rPr>
          <w:sz w:val="26"/>
          <w:szCs w:val="26"/>
        </w:rPr>
        <w:t xml:space="preserve">assertion that </w:t>
      </w:r>
      <w:r w:rsidR="00E02ADD">
        <w:rPr>
          <w:sz w:val="26"/>
          <w:szCs w:val="26"/>
        </w:rPr>
        <w:t xml:space="preserve">the </w:t>
      </w:r>
      <w:r w:rsidR="005E3817">
        <w:rPr>
          <w:sz w:val="26"/>
          <w:szCs w:val="26"/>
        </w:rPr>
        <w:t>“</w:t>
      </w:r>
      <w:r w:rsidR="00134B21">
        <w:rPr>
          <w:sz w:val="26"/>
          <w:szCs w:val="26"/>
        </w:rPr>
        <w:t>h</w:t>
      </w:r>
      <w:r w:rsidR="005E3817">
        <w:rPr>
          <w:sz w:val="26"/>
          <w:szCs w:val="26"/>
        </w:rPr>
        <w:t xml:space="preserve">ousehold size has increased” appears </w:t>
      </w:r>
      <w:r w:rsidR="00134B21">
        <w:rPr>
          <w:sz w:val="26"/>
          <w:szCs w:val="26"/>
        </w:rPr>
        <w:t xml:space="preserve">to be an attempt to </w:t>
      </w:r>
      <w:r w:rsidR="00172DE2">
        <w:rPr>
          <w:sz w:val="26"/>
          <w:szCs w:val="26"/>
        </w:rPr>
        <w:t xml:space="preserve">refute </w:t>
      </w:r>
      <w:r w:rsidR="005E3817">
        <w:rPr>
          <w:sz w:val="26"/>
          <w:szCs w:val="26"/>
        </w:rPr>
        <w:t xml:space="preserve">the SA’s conclusion that the Complainant failed to establish the criteria necessary for a “substantial change in circumstances,” which includes an increase in household size, as defined under </w:t>
      </w:r>
      <w:r w:rsidR="00E02ADD">
        <w:rPr>
          <w:sz w:val="26"/>
          <w:szCs w:val="26"/>
        </w:rPr>
        <w:t>Section</w:t>
      </w:r>
      <w:r w:rsidR="00E04D15">
        <w:rPr>
          <w:sz w:val="26"/>
          <w:szCs w:val="26"/>
        </w:rPr>
        <w:t> </w:t>
      </w:r>
      <w:r w:rsidR="005E3817">
        <w:rPr>
          <w:sz w:val="26"/>
          <w:szCs w:val="26"/>
        </w:rPr>
        <w:t>1403</w:t>
      </w:r>
      <w:r w:rsidR="00E02ADD">
        <w:rPr>
          <w:sz w:val="26"/>
          <w:szCs w:val="26"/>
        </w:rPr>
        <w:t>.</w:t>
      </w:r>
      <w:r w:rsidR="005E3817">
        <w:rPr>
          <w:sz w:val="26"/>
          <w:szCs w:val="26"/>
        </w:rPr>
        <w:t xml:space="preserve"> </w:t>
      </w:r>
    </w:p>
    <w:p w14:paraId="4EA4DBB5" w14:textId="77777777" w:rsidR="009710B4" w:rsidRDefault="009710B4" w:rsidP="00257308">
      <w:pPr>
        <w:widowControl/>
        <w:spacing w:line="360" w:lineRule="auto"/>
        <w:ind w:firstLine="1440"/>
        <w:rPr>
          <w:sz w:val="26"/>
          <w:szCs w:val="26"/>
        </w:rPr>
      </w:pPr>
    </w:p>
    <w:p w14:paraId="258D7D5B" w14:textId="77777777" w:rsidR="008A0C21" w:rsidRDefault="008C7480" w:rsidP="00257308">
      <w:pPr>
        <w:widowControl/>
        <w:spacing w:line="360" w:lineRule="auto"/>
        <w:ind w:firstLine="1440"/>
        <w:rPr>
          <w:sz w:val="26"/>
          <w:szCs w:val="26"/>
        </w:rPr>
      </w:pPr>
      <w:r>
        <w:rPr>
          <w:sz w:val="26"/>
          <w:szCs w:val="26"/>
        </w:rPr>
        <w:lastRenderedPageBreak/>
        <w:t>As relief, t</w:t>
      </w:r>
      <w:r w:rsidR="00622B35">
        <w:rPr>
          <w:sz w:val="26"/>
          <w:szCs w:val="26"/>
        </w:rPr>
        <w:t xml:space="preserve">he </w:t>
      </w:r>
      <w:r w:rsidR="008A0C21" w:rsidRPr="008A0C21">
        <w:rPr>
          <w:sz w:val="26"/>
          <w:szCs w:val="26"/>
        </w:rPr>
        <w:t xml:space="preserve">Complainant </w:t>
      </w:r>
      <w:r w:rsidR="005E3817">
        <w:rPr>
          <w:sz w:val="26"/>
          <w:szCs w:val="26"/>
        </w:rPr>
        <w:t xml:space="preserve">appears to seek either a second </w:t>
      </w:r>
      <w:r w:rsidR="00B56C82">
        <w:rPr>
          <w:sz w:val="26"/>
          <w:szCs w:val="26"/>
        </w:rPr>
        <w:t>Commission-</w:t>
      </w:r>
      <w:r w:rsidR="00FA34AD">
        <w:rPr>
          <w:sz w:val="26"/>
          <w:szCs w:val="26"/>
        </w:rPr>
        <w:t>issued</w:t>
      </w:r>
      <w:r w:rsidR="005E2125">
        <w:rPr>
          <w:sz w:val="26"/>
          <w:szCs w:val="26"/>
        </w:rPr>
        <w:t xml:space="preserve"> </w:t>
      </w:r>
      <w:r w:rsidR="005E3817">
        <w:rPr>
          <w:sz w:val="26"/>
          <w:szCs w:val="26"/>
        </w:rPr>
        <w:t xml:space="preserve">payment arrangement or an extension of the prior </w:t>
      </w:r>
      <w:r w:rsidR="00B56C82">
        <w:rPr>
          <w:sz w:val="26"/>
          <w:szCs w:val="26"/>
        </w:rPr>
        <w:t>Commission-</w:t>
      </w:r>
      <w:r w:rsidR="00FA34AD">
        <w:rPr>
          <w:sz w:val="26"/>
          <w:szCs w:val="26"/>
        </w:rPr>
        <w:t>issued</w:t>
      </w:r>
      <w:r w:rsidR="005E2125">
        <w:rPr>
          <w:sz w:val="26"/>
          <w:szCs w:val="26"/>
        </w:rPr>
        <w:t xml:space="preserve"> </w:t>
      </w:r>
      <w:r w:rsidR="005E3817">
        <w:rPr>
          <w:sz w:val="26"/>
          <w:szCs w:val="26"/>
        </w:rPr>
        <w:t xml:space="preserve">payment arrangement. </w:t>
      </w:r>
      <w:r w:rsidR="008A0C21" w:rsidRPr="008A0C21">
        <w:rPr>
          <w:sz w:val="26"/>
          <w:szCs w:val="26"/>
        </w:rPr>
        <w:t xml:space="preserve"> Exc. at </w:t>
      </w:r>
      <w:r w:rsidR="005E3817">
        <w:rPr>
          <w:sz w:val="26"/>
          <w:szCs w:val="26"/>
        </w:rPr>
        <w:t>1</w:t>
      </w:r>
      <w:r w:rsidR="00257308">
        <w:rPr>
          <w:sz w:val="26"/>
          <w:szCs w:val="26"/>
        </w:rPr>
        <w:t>.</w:t>
      </w:r>
    </w:p>
    <w:p w14:paraId="400ED44A" w14:textId="77777777" w:rsidR="00C35632" w:rsidRDefault="00C35632" w:rsidP="00257308">
      <w:pPr>
        <w:widowControl/>
        <w:spacing w:line="360" w:lineRule="auto"/>
        <w:ind w:firstLine="1440"/>
        <w:rPr>
          <w:sz w:val="26"/>
          <w:szCs w:val="26"/>
        </w:rPr>
      </w:pPr>
    </w:p>
    <w:p w14:paraId="13F2F89F" w14:textId="77777777" w:rsidR="00236783" w:rsidRPr="00C732EF" w:rsidRDefault="00030684" w:rsidP="00E04D15">
      <w:pPr>
        <w:widowControl/>
        <w:spacing w:line="360" w:lineRule="auto"/>
        <w:ind w:firstLine="720"/>
        <w:rPr>
          <w:rFonts w:eastAsia="Calibri"/>
          <w:sz w:val="26"/>
          <w:szCs w:val="26"/>
        </w:rPr>
      </w:pPr>
      <w:r>
        <w:rPr>
          <w:rFonts w:ascii="Calibri" w:eastAsia="Calibri" w:hAnsi="Calibri"/>
          <w:sz w:val="26"/>
          <w:szCs w:val="26"/>
        </w:rPr>
        <w:tab/>
      </w:r>
      <w:r w:rsidR="00DE2EF5" w:rsidRPr="00F3138A">
        <w:rPr>
          <w:rFonts w:eastAsia="Calibri"/>
          <w:sz w:val="26"/>
          <w:szCs w:val="26"/>
        </w:rPr>
        <w:t>In</w:t>
      </w:r>
      <w:r w:rsidR="00DE2EF5">
        <w:rPr>
          <w:rFonts w:ascii="Calibri" w:eastAsia="Calibri" w:hAnsi="Calibri"/>
          <w:sz w:val="26"/>
          <w:szCs w:val="26"/>
        </w:rPr>
        <w:t xml:space="preserve"> </w:t>
      </w:r>
      <w:r w:rsidR="00236783" w:rsidRPr="00C732EF">
        <w:rPr>
          <w:rFonts w:eastAsia="Calibri"/>
          <w:sz w:val="26"/>
          <w:szCs w:val="26"/>
        </w:rPr>
        <w:t>its Replies to Exceptions</w:t>
      </w:r>
      <w:r w:rsidR="006978F0">
        <w:rPr>
          <w:rFonts w:eastAsia="Calibri"/>
          <w:sz w:val="26"/>
          <w:szCs w:val="26"/>
        </w:rPr>
        <w:t>,</w:t>
      </w:r>
      <w:r w:rsidR="00236783" w:rsidRPr="00C732EF">
        <w:rPr>
          <w:rFonts w:eastAsia="Calibri"/>
          <w:sz w:val="26"/>
          <w:szCs w:val="26"/>
        </w:rPr>
        <w:t xml:space="preserve"> </w:t>
      </w:r>
      <w:r w:rsidR="008301C3">
        <w:rPr>
          <w:rFonts w:eastAsia="Calibri"/>
          <w:sz w:val="26"/>
          <w:szCs w:val="26"/>
        </w:rPr>
        <w:t xml:space="preserve">PGW </w:t>
      </w:r>
      <w:r w:rsidR="00236783">
        <w:rPr>
          <w:rFonts w:eastAsia="Calibri"/>
          <w:sz w:val="26"/>
          <w:szCs w:val="26"/>
        </w:rPr>
        <w:t xml:space="preserve">contends that the Complainant’s Exceptions: (1) fail to address any error in fact or law contained in the Initial Decision refuting the conclusions that the Complainant failed to sustain her burden of proving that she was entitled to a second </w:t>
      </w:r>
      <w:r w:rsidR="00B56C82">
        <w:rPr>
          <w:rFonts w:eastAsia="Calibri"/>
          <w:sz w:val="26"/>
          <w:szCs w:val="26"/>
        </w:rPr>
        <w:t>Commission-</w:t>
      </w:r>
      <w:r w:rsidR="00FA34AD">
        <w:rPr>
          <w:rFonts w:eastAsia="Calibri"/>
          <w:sz w:val="26"/>
          <w:szCs w:val="26"/>
        </w:rPr>
        <w:t>issued</w:t>
      </w:r>
      <w:r w:rsidR="005E2125">
        <w:rPr>
          <w:rFonts w:eastAsia="Calibri"/>
          <w:sz w:val="26"/>
          <w:szCs w:val="26"/>
        </w:rPr>
        <w:t xml:space="preserve"> </w:t>
      </w:r>
      <w:r w:rsidR="00236783">
        <w:rPr>
          <w:rFonts w:eastAsia="Calibri"/>
          <w:sz w:val="26"/>
          <w:szCs w:val="26"/>
        </w:rPr>
        <w:t xml:space="preserve">payment arrangement or an extension of her prior one; (2) fail </w:t>
      </w:r>
      <w:r w:rsidR="008301C3">
        <w:rPr>
          <w:rFonts w:eastAsia="Calibri"/>
          <w:sz w:val="26"/>
          <w:szCs w:val="26"/>
        </w:rPr>
        <w:t>t</w:t>
      </w:r>
      <w:r w:rsidR="00227D50">
        <w:rPr>
          <w:rFonts w:eastAsia="Calibri"/>
          <w:sz w:val="26"/>
          <w:szCs w:val="26"/>
        </w:rPr>
        <w:t xml:space="preserve">o </w:t>
      </w:r>
      <w:r w:rsidR="00236783">
        <w:rPr>
          <w:rFonts w:eastAsia="Calibri"/>
          <w:sz w:val="26"/>
          <w:szCs w:val="26"/>
        </w:rPr>
        <w:t>demonstrate that the Initial Decision is unsupported by substantial evidence; (3) fail to articulate how her Exceptions relate to the conclusion that she failed to meet her burden</w:t>
      </w:r>
      <w:r w:rsidR="00BF2DE8">
        <w:rPr>
          <w:rFonts w:eastAsia="Calibri"/>
          <w:sz w:val="26"/>
          <w:szCs w:val="26"/>
        </w:rPr>
        <w:t xml:space="preserve"> of proof</w:t>
      </w:r>
      <w:r w:rsidR="00236783">
        <w:rPr>
          <w:rFonts w:eastAsia="Calibri"/>
          <w:sz w:val="26"/>
          <w:szCs w:val="26"/>
        </w:rPr>
        <w:t xml:space="preserve"> in this case; and (4) </w:t>
      </w:r>
      <w:r w:rsidR="00830681">
        <w:rPr>
          <w:rFonts w:eastAsia="Calibri"/>
          <w:sz w:val="26"/>
          <w:szCs w:val="26"/>
        </w:rPr>
        <w:t>appear</w:t>
      </w:r>
      <w:r w:rsidR="00236783">
        <w:rPr>
          <w:rFonts w:eastAsia="Calibri"/>
          <w:sz w:val="26"/>
          <w:szCs w:val="26"/>
        </w:rPr>
        <w:t xml:space="preserve"> to introduce an exhibit, which was not sponsored at the hearing, </w:t>
      </w:r>
      <w:r w:rsidR="008301C3">
        <w:rPr>
          <w:rFonts w:eastAsia="Calibri"/>
          <w:sz w:val="26"/>
          <w:szCs w:val="26"/>
        </w:rPr>
        <w:t xml:space="preserve">to </w:t>
      </w:r>
      <w:r w:rsidR="00236783">
        <w:rPr>
          <w:rFonts w:eastAsia="Calibri"/>
          <w:sz w:val="26"/>
          <w:szCs w:val="26"/>
        </w:rPr>
        <w:t>which PGW objects.</w:t>
      </w:r>
      <w:r w:rsidR="00236783">
        <w:rPr>
          <w:rStyle w:val="FootnoteReference"/>
          <w:rFonts w:eastAsia="Calibri"/>
          <w:sz w:val="26"/>
          <w:szCs w:val="26"/>
        </w:rPr>
        <w:footnoteReference w:id="9"/>
      </w:r>
      <w:r w:rsidR="00840593">
        <w:rPr>
          <w:rFonts w:eastAsia="Calibri"/>
          <w:sz w:val="26"/>
          <w:szCs w:val="26"/>
        </w:rPr>
        <w:t xml:space="preserve">  R. Exc. at </w:t>
      </w:r>
      <w:r w:rsidR="00A4485D">
        <w:rPr>
          <w:rFonts w:eastAsia="Calibri"/>
          <w:sz w:val="26"/>
          <w:szCs w:val="26"/>
        </w:rPr>
        <w:t>2.</w:t>
      </w:r>
    </w:p>
    <w:p w14:paraId="7797C970" w14:textId="77777777" w:rsidR="008C7480" w:rsidRPr="008A0C21" w:rsidRDefault="008C7480" w:rsidP="00E04D15">
      <w:pPr>
        <w:widowControl/>
        <w:spacing w:line="360" w:lineRule="auto"/>
        <w:ind w:firstLine="720"/>
        <w:rPr>
          <w:rFonts w:ascii="Calibri" w:eastAsia="Calibri" w:hAnsi="Calibri"/>
          <w:sz w:val="26"/>
          <w:szCs w:val="26"/>
        </w:rPr>
      </w:pPr>
    </w:p>
    <w:p w14:paraId="1517D5D6" w14:textId="77777777" w:rsidR="00E02A17" w:rsidRDefault="00BE2B16" w:rsidP="00E04D15">
      <w:pPr>
        <w:keepNext/>
        <w:keepLines/>
        <w:widowControl/>
        <w:spacing w:line="360" w:lineRule="auto"/>
        <w:rPr>
          <w:b/>
          <w:sz w:val="26"/>
          <w:szCs w:val="26"/>
        </w:rPr>
      </w:pPr>
      <w:r>
        <w:rPr>
          <w:b/>
          <w:sz w:val="26"/>
          <w:szCs w:val="26"/>
        </w:rPr>
        <w:t xml:space="preserve">D. </w:t>
      </w:r>
      <w:r>
        <w:rPr>
          <w:b/>
          <w:sz w:val="26"/>
          <w:szCs w:val="26"/>
        </w:rPr>
        <w:tab/>
      </w:r>
      <w:r w:rsidR="00783DA0">
        <w:rPr>
          <w:b/>
          <w:sz w:val="26"/>
          <w:szCs w:val="26"/>
        </w:rPr>
        <w:t xml:space="preserve">Disposition </w:t>
      </w:r>
    </w:p>
    <w:p w14:paraId="4E7327DE" w14:textId="77777777" w:rsidR="002E7DBB" w:rsidRDefault="002E7DBB" w:rsidP="00E04D15">
      <w:pPr>
        <w:keepNext/>
        <w:keepLines/>
        <w:widowControl/>
        <w:spacing w:line="360" w:lineRule="auto"/>
        <w:rPr>
          <w:sz w:val="26"/>
          <w:szCs w:val="26"/>
        </w:rPr>
      </w:pPr>
    </w:p>
    <w:p w14:paraId="32CD412C" w14:textId="77777777" w:rsidR="00812F0E" w:rsidRDefault="00645EFF" w:rsidP="00E04D15">
      <w:pPr>
        <w:widowControl/>
        <w:spacing w:line="360" w:lineRule="auto"/>
        <w:ind w:firstLine="1440"/>
        <w:rPr>
          <w:sz w:val="26"/>
          <w:szCs w:val="26"/>
        </w:rPr>
      </w:pPr>
      <w:r>
        <w:rPr>
          <w:sz w:val="26"/>
          <w:szCs w:val="26"/>
        </w:rPr>
        <w:t>U</w:t>
      </w:r>
      <w:r w:rsidRPr="00645EFF">
        <w:rPr>
          <w:sz w:val="26"/>
          <w:szCs w:val="26"/>
        </w:rPr>
        <w:t xml:space="preserve">pon consideration of the </w:t>
      </w:r>
      <w:r w:rsidR="005E3817">
        <w:rPr>
          <w:sz w:val="26"/>
          <w:szCs w:val="26"/>
        </w:rPr>
        <w:t xml:space="preserve">record in this proceeding, the SA’s Initial Decision and </w:t>
      </w:r>
      <w:r w:rsidR="00E02ADD">
        <w:rPr>
          <w:sz w:val="26"/>
          <w:szCs w:val="26"/>
        </w:rPr>
        <w:t xml:space="preserve">the </w:t>
      </w:r>
      <w:r w:rsidR="005E3817">
        <w:rPr>
          <w:sz w:val="26"/>
          <w:szCs w:val="26"/>
        </w:rPr>
        <w:t xml:space="preserve">Complainant’s </w:t>
      </w:r>
      <w:r w:rsidRPr="00645EFF">
        <w:rPr>
          <w:sz w:val="26"/>
          <w:szCs w:val="26"/>
        </w:rPr>
        <w:t>Exceptions</w:t>
      </w:r>
      <w:r w:rsidR="005E3817">
        <w:rPr>
          <w:sz w:val="26"/>
          <w:szCs w:val="26"/>
        </w:rPr>
        <w:t xml:space="preserve">, </w:t>
      </w:r>
      <w:r w:rsidRPr="00645EFF">
        <w:rPr>
          <w:sz w:val="26"/>
          <w:szCs w:val="26"/>
        </w:rPr>
        <w:t xml:space="preserve">we </w:t>
      </w:r>
      <w:r w:rsidR="005E3817">
        <w:rPr>
          <w:sz w:val="26"/>
          <w:szCs w:val="26"/>
        </w:rPr>
        <w:t xml:space="preserve">conclude that the </w:t>
      </w:r>
      <w:r w:rsidRPr="00645EFF">
        <w:rPr>
          <w:sz w:val="26"/>
          <w:szCs w:val="26"/>
        </w:rPr>
        <w:t xml:space="preserve">Complainant’s Exceptions fail to assert any factual or legal error upon which to reverse the </w:t>
      </w:r>
      <w:r w:rsidR="005E3817">
        <w:rPr>
          <w:sz w:val="26"/>
          <w:szCs w:val="26"/>
        </w:rPr>
        <w:t>SA</w:t>
      </w:r>
      <w:r w:rsidRPr="00645EFF">
        <w:rPr>
          <w:sz w:val="26"/>
          <w:szCs w:val="26"/>
        </w:rPr>
        <w:t>’s Initial Decision.</w:t>
      </w:r>
    </w:p>
    <w:p w14:paraId="074A0071" w14:textId="77777777" w:rsidR="00631E04" w:rsidRDefault="00631E04" w:rsidP="00F63D95">
      <w:pPr>
        <w:widowControl/>
        <w:spacing w:line="360" w:lineRule="auto"/>
        <w:ind w:firstLine="1440"/>
        <w:rPr>
          <w:sz w:val="26"/>
          <w:szCs w:val="26"/>
        </w:rPr>
      </w:pPr>
    </w:p>
    <w:p w14:paraId="3CFF9F28" w14:textId="77777777" w:rsidR="00631E04" w:rsidRDefault="005E3817" w:rsidP="00631E04">
      <w:pPr>
        <w:widowControl/>
        <w:spacing w:line="360" w:lineRule="auto"/>
        <w:ind w:firstLine="1440"/>
        <w:rPr>
          <w:rFonts w:eastAsiaTheme="minorHAnsi"/>
          <w:color w:val="000000"/>
          <w:sz w:val="26"/>
          <w:szCs w:val="26"/>
        </w:rPr>
      </w:pPr>
      <w:r>
        <w:rPr>
          <w:rFonts w:eastAsiaTheme="minorHAnsi"/>
          <w:color w:val="000000"/>
          <w:sz w:val="26"/>
          <w:szCs w:val="26"/>
        </w:rPr>
        <w:t xml:space="preserve">We note that SA Chiodo </w:t>
      </w:r>
      <w:r w:rsidR="00631E04">
        <w:rPr>
          <w:rFonts w:eastAsiaTheme="minorHAnsi"/>
          <w:color w:val="000000"/>
          <w:sz w:val="26"/>
          <w:szCs w:val="26"/>
        </w:rPr>
        <w:t xml:space="preserve">afforded the Complainant ample opportunity </w:t>
      </w:r>
      <w:r w:rsidR="00AA4254">
        <w:rPr>
          <w:rFonts w:eastAsiaTheme="minorHAnsi"/>
          <w:color w:val="000000"/>
          <w:sz w:val="26"/>
          <w:szCs w:val="26"/>
        </w:rPr>
        <w:t>following the December 7, 2018</w:t>
      </w:r>
      <w:r w:rsidR="001072D0">
        <w:rPr>
          <w:rFonts w:eastAsiaTheme="minorHAnsi"/>
          <w:color w:val="000000"/>
          <w:sz w:val="26"/>
          <w:szCs w:val="26"/>
        </w:rPr>
        <w:t>,</w:t>
      </w:r>
      <w:r w:rsidR="008301C3">
        <w:rPr>
          <w:rFonts w:eastAsiaTheme="minorHAnsi"/>
          <w:color w:val="000000"/>
          <w:sz w:val="26"/>
          <w:szCs w:val="26"/>
        </w:rPr>
        <w:t xml:space="preserve"> </w:t>
      </w:r>
      <w:r w:rsidR="00AA4254">
        <w:rPr>
          <w:rFonts w:eastAsiaTheme="minorHAnsi"/>
          <w:color w:val="000000"/>
          <w:sz w:val="26"/>
          <w:szCs w:val="26"/>
        </w:rPr>
        <w:t xml:space="preserve">hearing </w:t>
      </w:r>
      <w:r>
        <w:rPr>
          <w:rFonts w:eastAsiaTheme="minorHAnsi"/>
          <w:color w:val="000000"/>
          <w:sz w:val="26"/>
          <w:szCs w:val="26"/>
        </w:rPr>
        <w:t xml:space="preserve">to substantiate </w:t>
      </w:r>
      <w:r w:rsidR="001072D0">
        <w:rPr>
          <w:rFonts w:eastAsiaTheme="minorHAnsi"/>
          <w:color w:val="000000"/>
          <w:sz w:val="26"/>
          <w:szCs w:val="26"/>
        </w:rPr>
        <w:t>her</w:t>
      </w:r>
      <w:r>
        <w:rPr>
          <w:rFonts w:eastAsiaTheme="minorHAnsi"/>
          <w:color w:val="000000"/>
          <w:sz w:val="26"/>
          <w:szCs w:val="26"/>
        </w:rPr>
        <w:t xml:space="preserve"> claim </w:t>
      </w:r>
      <w:r w:rsidR="001072D0">
        <w:rPr>
          <w:rFonts w:eastAsiaTheme="minorHAnsi"/>
          <w:color w:val="000000"/>
          <w:sz w:val="26"/>
          <w:szCs w:val="26"/>
        </w:rPr>
        <w:t>that the</w:t>
      </w:r>
      <w:r w:rsidR="008C7480">
        <w:rPr>
          <w:rFonts w:eastAsiaTheme="minorHAnsi"/>
          <w:color w:val="000000"/>
          <w:sz w:val="26"/>
          <w:szCs w:val="26"/>
        </w:rPr>
        <w:t xml:space="preserve"> </w:t>
      </w:r>
      <w:r>
        <w:rPr>
          <w:rFonts w:eastAsiaTheme="minorHAnsi"/>
          <w:color w:val="000000"/>
          <w:sz w:val="26"/>
          <w:szCs w:val="26"/>
        </w:rPr>
        <w:t xml:space="preserve">check </w:t>
      </w:r>
      <w:r w:rsidR="00AA4254">
        <w:rPr>
          <w:rFonts w:eastAsiaTheme="minorHAnsi"/>
          <w:color w:val="000000"/>
          <w:sz w:val="26"/>
          <w:szCs w:val="26"/>
        </w:rPr>
        <w:t xml:space="preserve">for $1000 </w:t>
      </w:r>
      <w:r>
        <w:rPr>
          <w:rFonts w:eastAsiaTheme="minorHAnsi"/>
          <w:color w:val="000000"/>
          <w:sz w:val="26"/>
          <w:szCs w:val="26"/>
        </w:rPr>
        <w:t>issued to PGW</w:t>
      </w:r>
      <w:r w:rsidR="001072D0">
        <w:rPr>
          <w:rFonts w:eastAsiaTheme="minorHAnsi"/>
          <w:color w:val="000000"/>
          <w:sz w:val="26"/>
          <w:szCs w:val="26"/>
        </w:rPr>
        <w:t xml:space="preserve"> was returned for insufficient funds due to bank error.  The SA </w:t>
      </w:r>
      <w:r w:rsidR="00AA4254">
        <w:rPr>
          <w:rFonts w:eastAsiaTheme="minorHAnsi"/>
          <w:color w:val="000000"/>
          <w:sz w:val="26"/>
          <w:szCs w:val="26"/>
        </w:rPr>
        <w:t>grant</w:t>
      </w:r>
      <w:r w:rsidR="001072D0">
        <w:rPr>
          <w:rFonts w:eastAsiaTheme="minorHAnsi"/>
          <w:color w:val="000000"/>
          <w:sz w:val="26"/>
          <w:szCs w:val="26"/>
        </w:rPr>
        <w:t xml:space="preserve">ed </w:t>
      </w:r>
      <w:r w:rsidR="00E02ADD">
        <w:rPr>
          <w:rFonts w:eastAsiaTheme="minorHAnsi"/>
          <w:color w:val="000000"/>
          <w:sz w:val="26"/>
          <w:szCs w:val="26"/>
        </w:rPr>
        <w:t xml:space="preserve">the </w:t>
      </w:r>
      <w:r w:rsidR="001072D0">
        <w:rPr>
          <w:rFonts w:eastAsiaTheme="minorHAnsi"/>
          <w:color w:val="000000"/>
          <w:sz w:val="26"/>
          <w:szCs w:val="26"/>
        </w:rPr>
        <w:t>Complainant</w:t>
      </w:r>
      <w:r w:rsidR="00AA4254">
        <w:rPr>
          <w:rFonts w:eastAsiaTheme="minorHAnsi"/>
          <w:color w:val="000000"/>
          <w:sz w:val="26"/>
          <w:szCs w:val="26"/>
        </w:rPr>
        <w:t xml:space="preserve"> until December 17, 2018, during which </w:t>
      </w:r>
      <w:r w:rsidR="001072D0">
        <w:rPr>
          <w:rFonts w:eastAsiaTheme="minorHAnsi"/>
          <w:color w:val="000000"/>
          <w:sz w:val="26"/>
          <w:szCs w:val="26"/>
        </w:rPr>
        <w:t xml:space="preserve">time </w:t>
      </w:r>
      <w:r w:rsidR="00AA4254">
        <w:rPr>
          <w:rFonts w:eastAsiaTheme="minorHAnsi"/>
          <w:color w:val="000000"/>
          <w:sz w:val="26"/>
          <w:szCs w:val="26"/>
        </w:rPr>
        <w:t>the record</w:t>
      </w:r>
      <w:r w:rsidR="001072D0">
        <w:rPr>
          <w:rFonts w:eastAsiaTheme="minorHAnsi"/>
          <w:color w:val="000000"/>
          <w:sz w:val="26"/>
          <w:szCs w:val="26"/>
        </w:rPr>
        <w:t xml:space="preserve"> </w:t>
      </w:r>
      <w:r w:rsidR="00AA4254">
        <w:rPr>
          <w:rFonts w:eastAsiaTheme="minorHAnsi"/>
          <w:color w:val="000000"/>
          <w:sz w:val="26"/>
          <w:szCs w:val="26"/>
        </w:rPr>
        <w:t>remain</w:t>
      </w:r>
      <w:r w:rsidR="001072D0">
        <w:rPr>
          <w:rFonts w:eastAsiaTheme="minorHAnsi"/>
          <w:color w:val="000000"/>
          <w:sz w:val="26"/>
          <w:szCs w:val="26"/>
        </w:rPr>
        <w:t>ed</w:t>
      </w:r>
      <w:r w:rsidR="00AA4254">
        <w:rPr>
          <w:rFonts w:eastAsiaTheme="minorHAnsi"/>
          <w:color w:val="000000"/>
          <w:sz w:val="26"/>
          <w:szCs w:val="26"/>
        </w:rPr>
        <w:t xml:space="preserve"> open for the Complainant to submit a late-filed exhibit.  At the close of the </w:t>
      </w:r>
      <w:r w:rsidR="00AA4254">
        <w:rPr>
          <w:rFonts w:eastAsiaTheme="minorHAnsi"/>
          <w:color w:val="000000"/>
          <w:sz w:val="26"/>
          <w:szCs w:val="26"/>
        </w:rPr>
        <w:lastRenderedPageBreak/>
        <w:t>record on December 17, 2018, the Complaina</w:t>
      </w:r>
      <w:r w:rsidR="00202C4C">
        <w:rPr>
          <w:rFonts w:eastAsiaTheme="minorHAnsi"/>
          <w:color w:val="000000"/>
          <w:sz w:val="26"/>
          <w:szCs w:val="26"/>
        </w:rPr>
        <w:t>n</w:t>
      </w:r>
      <w:r w:rsidR="00AA4254">
        <w:rPr>
          <w:rFonts w:eastAsiaTheme="minorHAnsi"/>
          <w:color w:val="000000"/>
          <w:sz w:val="26"/>
          <w:szCs w:val="26"/>
        </w:rPr>
        <w:t>t had offered no additional evidence to substantiate her claims.</w:t>
      </w:r>
    </w:p>
    <w:p w14:paraId="35898C89" w14:textId="77777777" w:rsidR="000E1EF3" w:rsidRDefault="000E1EF3" w:rsidP="00631E04">
      <w:pPr>
        <w:widowControl/>
        <w:spacing w:line="360" w:lineRule="auto"/>
        <w:ind w:firstLine="1440"/>
        <w:rPr>
          <w:rFonts w:eastAsiaTheme="minorHAnsi"/>
          <w:color w:val="000000"/>
          <w:sz w:val="26"/>
          <w:szCs w:val="26"/>
        </w:rPr>
      </w:pPr>
    </w:p>
    <w:p w14:paraId="78E136C9" w14:textId="77777777" w:rsidR="000E1EF3" w:rsidRDefault="008C7480" w:rsidP="000E1EF3">
      <w:pPr>
        <w:widowControl/>
        <w:spacing w:line="360" w:lineRule="auto"/>
        <w:ind w:firstLine="1440"/>
        <w:rPr>
          <w:sz w:val="26"/>
          <w:szCs w:val="26"/>
        </w:rPr>
      </w:pPr>
      <w:r>
        <w:rPr>
          <w:sz w:val="26"/>
          <w:szCs w:val="26"/>
        </w:rPr>
        <w:t xml:space="preserve">Upon review, </w:t>
      </w:r>
      <w:r w:rsidR="008301C3">
        <w:rPr>
          <w:sz w:val="26"/>
          <w:szCs w:val="26"/>
        </w:rPr>
        <w:t xml:space="preserve">we agree with PGW that </w:t>
      </w:r>
      <w:r>
        <w:rPr>
          <w:sz w:val="26"/>
          <w:szCs w:val="26"/>
        </w:rPr>
        <w:t>t</w:t>
      </w:r>
      <w:r w:rsidR="000E1EF3" w:rsidRPr="00631E04">
        <w:rPr>
          <w:sz w:val="26"/>
          <w:szCs w:val="26"/>
        </w:rPr>
        <w:t>he Complainant’s Exceptions d</w:t>
      </w:r>
      <w:r w:rsidR="001072D0">
        <w:rPr>
          <w:sz w:val="26"/>
          <w:szCs w:val="26"/>
        </w:rPr>
        <w:t>o</w:t>
      </w:r>
      <w:r w:rsidR="000E1EF3" w:rsidRPr="00631E04">
        <w:rPr>
          <w:sz w:val="26"/>
          <w:szCs w:val="26"/>
        </w:rPr>
        <w:t xml:space="preserve"> not present any reason why the Complainant failed to</w:t>
      </w:r>
      <w:r w:rsidR="0052792C">
        <w:rPr>
          <w:sz w:val="26"/>
          <w:szCs w:val="26"/>
        </w:rPr>
        <w:t xml:space="preserve"> file</w:t>
      </w:r>
      <w:r w:rsidR="00AA4254">
        <w:rPr>
          <w:sz w:val="26"/>
          <w:szCs w:val="26"/>
        </w:rPr>
        <w:t xml:space="preserve"> </w:t>
      </w:r>
      <w:r w:rsidR="0052792C">
        <w:rPr>
          <w:sz w:val="26"/>
          <w:szCs w:val="26"/>
        </w:rPr>
        <w:t xml:space="preserve">evidence to </w:t>
      </w:r>
      <w:r w:rsidR="00AA4254">
        <w:rPr>
          <w:sz w:val="26"/>
          <w:szCs w:val="26"/>
        </w:rPr>
        <w:t>substantiat</w:t>
      </w:r>
      <w:r w:rsidR="0052792C">
        <w:rPr>
          <w:sz w:val="26"/>
          <w:szCs w:val="26"/>
        </w:rPr>
        <w:t xml:space="preserve">e her claim </w:t>
      </w:r>
      <w:r w:rsidR="00AA4254">
        <w:rPr>
          <w:sz w:val="26"/>
          <w:szCs w:val="26"/>
        </w:rPr>
        <w:t>by December 17, 2018</w:t>
      </w:r>
      <w:r w:rsidR="0052792C">
        <w:rPr>
          <w:sz w:val="26"/>
          <w:szCs w:val="26"/>
        </w:rPr>
        <w:t xml:space="preserve">, </w:t>
      </w:r>
      <w:r w:rsidR="0052792C" w:rsidRPr="001072D0">
        <w:rPr>
          <w:i/>
          <w:iCs/>
          <w:sz w:val="26"/>
          <w:szCs w:val="26"/>
        </w:rPr>
        <w:t>per</w:t>
      </w:r>
      <w:r w:rsidR="0052792C">
        <w:rPr>
          <w:sz w:val="26"/>
          <w:szCs w:val="26"/>
        </w:rPr>
        <w:t xml:space="preserve"> the SA’s order granting </w:t>
      </w:r>
      <w:r w:rsidR="001072D0">
        <w:rPr>
          <w:sz w:val="26"/>
          <w:szCs w:val="26"/>
        </w:rPr>
        <w:t xml:space="preserve">additional </w:t>
      </w:r>
      <w:r w:rsidR="0052792C">
        <w:rPr>
          <w:sz w:val="26"/>
          <w:szCs w:val="26"/>
        </w:rPr>
        <w:t xml:space="preserve">time </w:t>
      </w:r>
      <w:r w:rsidR="001072D0">
        <w:rPr>
          <w:sz w:val="26"/>
          <w:szCs w:val="26"/>
        </w:rPr>
        <w:t>to do so.</w:t>
      </w:r>
      <w:r w:rsidR="00AA4254">
        <w:rPr>
          <w:sz w:val="26"/>
          <w:szCs w:val="26"/>
        </w:rPr>
        <w:t xml:space="preserve">  </w:t>
      </w:r>
      <w:r w:rsidR="000E1EF3" w:rsidRPr="00631E04">
        <w:rPr>
          <w:sz w:val="26"/>
          <w:szCs w:val="26"/>
        </w:rPr>
        <w:t xml:space="preserve">Rather, on Exception, the Complainant </w:t>
      </w:r>
      <w:r w:rsidR="00AA4254">
        <w:rPr>
          <w:sz w:val="26"/>
          <w:szCs w:val="26"/>
        </w:rPr>
        <w:t xml:space="preserve">now </w:t>
      </w:r>
      <w:r w:rsidR="000E1EF3" w:rsidRPr="00631E04">
        <w:rPr>
          <w:sz w:val="26"/>
          <w:szCs w:val="26"/>
        </w:rPr>
        <w:t xml:space="preserve">submits </w:t>
      </w:r>
      <w:r w:rsidR="00AA4254">
        <w:rPr>
          <w:sz w:val="26"/>
          <w:szCs w:val="26"/>
        </w:rPr>
        <w:t>a copy of a bank statement, and for the first time asserts a “change in household size,” purportedly to meet the necessary burden of proof</w:t>
      </w:r>
      <w:r w:rsidR="00134B21">
        <w:rPr>
          <w:sz w:val="26"/>
          <w:szCs w:val="26"/>
        </w:rPr>
        <w:t xml:space="preserve"> under either 66 Pa.</w:t>
      </w:r>
      <w:r w:rsidR="0012587E">
        <w:rPr>
          <w:sz w:val="26"/>
          <w:szCs w:val="26"/>
        </w:rPr>
        <w:t xml:space="preserve"> </w:t>
      </w:r>
      <w:r w:rsidR="00134B21">
        <w:rPr>
          <w:sz w:val="26"/>
          <w:szCs w:val="26"/>
        </w:rPr>
        <w:t>C.S. § 1405(d) or §1405(e)</w:t>
      </w:r>
      <w:r w:rsidR="00AA4254">
        <w:rPr>
          <w:sz w:val="26"/>
          <w:szCs w:val="26"/>
        </w:rPr>
        <w:t>.</w:t>
      </w:r>
      <w:r w:rsidR="00347A79">
        <w:rPr>
          <w:sz w:val="26"/>
          <w:szCs w:val="26"/>
        </w:rPr>
        <w:t xml:space="preserve"> </w:t>
      </w:r>
      <w:r w:rsidR="004B7C8C">
        <w:rPr>
          <w:sz w:val="26"/>
          <w:szCs w:val="26"/>
        </w:rPr>
        <w:t xml:space="preserve"> </w:t>
      </w:r>
      <w:r w:rsidR="00347A79" w:rsidRPr="00C732EF">
        <w:rPr>
          <w:i/>
          <w:sz w:val="26"/>
          <w:szCs w:val="26"/>
        </w:rPr>
        <w:t>See</w:t>
      </w:r>
      <w:r w:rsidR="00347A79">
        <w:rPr>
          <w:sz w:val="26"/>
          <w:szCs w:val="26"/>
        </w:rPr>
        <w:t xml:space="preserve"> Exc. at 1. </w:t>
      </w:r>
    </w:p>
    <w:p w14:paraId="72FFC71C" w14:textId="77777777" w:rsidR="000E1EF3" w:rsidRDefault="000E1EF3" w:rsidP="000E1EF3">
      <w:pPr>
        <w:widowControl/>
        <w:spacing w:line="360" w:lineRule="auto"/>
        <w:ind w:firstLine="1440"/>
        <w:rPr>
          <w:sz w:val="26"/>
          <w:szCs w:val="26"/>
        </w:rPr>
      </w:pPr>
    </w:p>
    <w:p w14:paraId="59867462" w14:textId="77777777" w:rsidR="00202C4C" w:rsidRDefault="00347A79" w:rsidP="00F63D95">
      <w:pPr>
        <w:widowControl/>
        <w:spacing w:line="360" w:lineRule="auto"/>
        <w:ind w:firstLine="1440"/>
        <w:rPr>
          <w:rFonts w:eastAsiaTheme="minorHAnsi"/>
          <w:color w:val="000000"/>
          <w:sz w:val="26"/>
          <w:szCs w:val="26"/>
        </w:rPr>
      </w:pPr>
      <w:r>
        <w:rPr>
          <w:sz w:val="26"/>
          <w:szCs w:val="26"/>
        </w:rPr>
        <w:t>We note that SA Chiodo expressly granted</w:t>
      </w:r>
      <w:r w:rsidR="00E02ADD">
        <w:rPr>
          <w:sz w:val="26"/>
          <w:szCs w:val="26"/>
        </w:rPr>
        <w:t xml:space="preserve"> the </w:t>
      </w:r>
      <w:r>
        <w:rPr>
          <w:sz w:val="26"/>
          <w:szCs w:val="26"/>
        </w:rPr>
        <w:t xml:space="preserve">Complainant the opportunity to offer a late-filed exhibit to support her claim, yet the Complainant failed to do so by the close of the record.  </w:t>
      </w:r>
      <w:r w:rsidR="00E02ADD">
        <w:rPr>
          <w:sz w:val="26"/>
          <w:szCs w:val="26"/>
        </w:rPr>
        <w:t xml:space="preserve">The </w:t>
      </w:r>
      <w:r>
        <w:rPr>
          <w:sz w:val="26"/>
          <w:szCs w:val="26"/>
        </w:rPr>
        <w:t>Complainant</w:t>
      </w:r>
      <w:r w:rsidR="00E02ADD">
        <w:rPr>
          <w:sz w:val="26"/>
          <w:szCs w:val="26"/>
        </w:rPr>
        <w:t xml:space="preserve">, as the party with the burden of proof, </w:t>
      </w:r>
      <w:r>
        <w:rPr>
          <w:sz w:val="26"/>
          <w:szCs w:val="26"/>
        </w:rPr>
        <w:t xml:space="preserve">was obligated to offer any available evidence </w:t>
      </w:r>
      <w:r w:rsidR="001072D0">
        <w:rPr>
          <w:sz w:val="26"/>
          <w:szCs w:val="26"/>
        </w:rPr>
        <w:t xml:space="preserve">or argument </w:t>
      </w:r>
      <w:r>
        <w:rPr>
          <w:sz w:val="26"/>
          <w:szCs w:val="26"/>
        </w:rPr>
        <w:t xml:space="preserve">to support the claims raised in the Complaint at the time of the hearing, or </w:t>
      </w:r>
      <w:r w:rsidR="0052792C">
        <w:rPr>
          <w:sz w:val="26"/>
          <w:szCs w:val="26"/>
        </w:rPr>
        <w:t>once</w:t>
      </w:r>
      <w:r>
        <w:rPr>
          <w:sz w:val="26"/>
          <w:szCs w:val="26"/>
        </w:rPr>
        <w:t xml:space="preserve"> granted permission, until the close of the record.  </w:t>
      </w:r>
      <w:r w:rsidR="008C7480">
        <w:rPr>
          <w:sz w:val="26"/>
          <w:szCs w:val="26"/>
        </w:rPr>
        <w:t>Accordingly, w</w:t>
      </w:r>
      <w:r>
        <w:rPr>
          <w:sz w:val="26"/>
          <w:szCs w:val="26"/>
        </w:rPr>
        <w:t xml:space="preserve">e will not consider </w:t>
      </w:r>
      <w:r w:rsidR="00E02ADD">
        <w:rPr>
          <w:sz w:val="26"/>
          <w:szCs w:val="26"/>
        </w:rPr>
        <w:t xml:space="preserve">any </w:t>
      </w:r>
      <w:r>
        <w:rPr>
          <w:sz w:val="26"/>
          <w:szCs w:val="26"/>
        </w:rPr>
        <w:t xml:space="preserve">evidence and arguments </w:t>
      </w:r>
      <w:r w:rsidR="00E02ADD">
        <w:rPr>
          <w:sz w:val="26"/>
          <w:szCs w:val="26"/>
        </w:rPr>
        <w:t xml:space="preserve">that are offered for the first time in the Exceptions and </w:t>
      </w:r>
      <w:r>
        <w:rPr>
          <w:sz w:val="26"/>
          <w:szCs w:val="26"/>
        </w:rPr>
        <w:t xml:space="preserve">which could have </w:t>
      </w:r>
      <w:r w:rsidR="00F3138A">
        <w:rPr>
          <w:sz w:val="26"/>
          <w:szCs w:val="26"/>
        </w:rPr>
        <w:t>been but</w:t>
      </w:r>
      <w:r>
        <w:rPr>
          <w:sz w:val="26"/>
          <w:szCs w:val="26"/>
        </w:rPr>
        <w:t xml:space="preserve"> were not submitted before the close of the record in th</w:t>
      </w:r>
      <w:r w:rsidR="00611CCD">
        <w:rPr>
          <w:sz w:val="26"/>
          <w:szCs w:val="26"/>
        </w:rPr>
        <w:t>is</w:t>
      </w:r>
      <w:r>
        <w:rPr>
          <w:sz w:val="26"/>
          <w:szCs w:val="26"/>
        </w:rPr>
        <w:t xml:space="preserve"> proceeding before the SA.  Thus, we find that </w:t>
      </w:r>
      <w:r>
        <w:rPr>
          <w:rFonts w:eastAsiaTheme="minorHAnsi"/>
          <w:color w:val="000000"/>
          <w:sz w:val="26"/>
          <w:szCs w:val="26"/>
        </w:rPr>
        <w:t xml:space="preserve">the Complainant’s Exceptions </w:t>
      </w:r>
      <w:r w:rsidR="009A3EC0">
        <w:rPr>
          <w:rFonts w:eastAsiaTheme="minorHAnsi"/>
          <w:color w:val="000000"/>
          <w:sz w:val="26"/>
          <w:szCs w:val="26"/>
        </w:rPr>
        <w:t xml:space="preserve">fail to </w:t>
      </w:r>
      <w:r>
        <w:rPr>
          <w:rFonts w:eastAsiaTheme="minorHAnsi"/>
          <w:color w:val="000000"/>
          <w:sz w:val="26"/>
          <w:szCs w:val="26"/>
        </w:rPr>
        <w:t xml:space="preserve">present </w:t>
      </w:r>
      <w:r w:rsidR="009A3EC0">
        <w:rPr>
          <w:rFonts w:eastAsiaTheme="minorHAnsi"/>
          <w:color w:val="000000"/>
          <w:sz w:val="26"/>
          <w:szCs w:val="26"/>
        </w:rPr>
        <w:t xml:space="preserve">any </w:t>
      </w:r>
      <w:r>
        <w:rPr>
          <w:rFonts w:eastAsiaTheme="minorHAnsi"/>
          <w:color w:val="000000"/>
          <w:sz w:val="26"/>
          <w:szCs w:val="26"/>
        </w:rPr>
        <w:t>basis to conclude that SA Chiodo erred in concluding that the Complainant failed to carry the burden of proof on the claims in the Complain</w:t>
      </w:r>
      <w:r w:rsidR="0052792C">
        <w:rPr>
          <w:rFonts w:eastAsiaTheme="minorHAnsi"/>
          <w:color w:val="000000"/>
          <w:sz w:val="26"/>
          <w:szCs w:val="26"/>
        </w:rPr>
        <w:t>t</w:t>
      </w:r>
      <w:r w:rsidR="00134B21">
        <w:rPr>
          <w:sz w:val="26"/>
          <w:szCs w:val="26"/>
        </w:rPr>
        <w:t>, pursuant to the standards established under both 66 Pa.</w:t>
      </w:r>
      <w:r w:rsidR="0012587E">
        <w:rPr>
          <w:sz w:val="26"/>
          <w:szCs w:val="26"/>
        </w:rPr>
        <w:t xml:space="preserve"> </w:t>
      </w:r>
      <w:r w:rsidR="00134B21">
        <w:rPr>
          <w:sz w:val="26"/>
          <w:szCs w:val="26"/>
        </w:rPr>
        <w:t>C.S. §</w:t>
      </w:r>
      <w:r w:rsidR="004B7C8C">
        <w:rPr>
          <w:sz w:val="26"/>
          <w:szCs w:val="26"/>
        </w:rPr>
        <w:t> </w:t>
      </w:r>
      <w:r w:rsidR="00134B21">
        <w:rPr>
          <w:sz w:val="26"/>
          <w:szCs w:val="26"/>
        </w:rPr>
        <w:t>1405(d) and §</w:t>
      </w:r>
      <w:r w:rsidR="00FA34AD">
        <w:rPr>
          <w:sz w:val="26"/>
          <w:szCs w:val="26"/>
        </w:rPr>
        <w:t> </w:t>
      </w:r>
      <w:r w:rsidR="00134B21">
        <w:rPr>
          <w:sz w:val="26"/>
          <w:szCs w:val="26"/>
        </w:rPr>
        <w:t>1405(e).</w:t>
      </w:r>
    </w:p>
    <w:p w14:paraId="162BAD25" w14:textId="77777777" w:rsidR="00347A79" w:rsidRPr="00645EFF" w:rsidRDefault="00347A79" w:rsidP="00F63D95">
      <w:pPr>
        <w:widowControl/>
        <w:spacing w:line="360" w:lineRule="auto"/>
        <w:ind w:firstLine="1440"/>
        <w:rPr>
          <w:sz w:val="26"/>
          <w:szCs w:val="26"/>
        </w:rPr>
      </w:pPr>
    </w:p>
    <w:p w14:paraId="249E1A3E" w14:textId="77777777" w:rsidR="00BC1DBA" w:rsidRDefault="00BC1DBA" w:rsidP="00BC1DBA">
      <w:pPr>
        <w:widowControl/>
        <w:spacing w:line="360" w:lineRule="auto"/>
        <w:ind w:firstLine="1440"/>
        <w:rPr>
          <w:sz w:val="26"/>
          <w:szCs w:val="26"/>
        </w:rPr>
      </w:pPr>
      <w:r>
        <w:rPr>
          <w:sz w:val="26"/>
          <w:szCs w:val="26"/>
        </w:rPr>
        <w:t xml:space="preserve">Accordingly, for the forgoing reasons, we shall affirm the </w:t>
      </w:r>
      <w:r w:rsidR="001072D0">
        <w:rPr>
          <w:sz w:val="26"/>
          <w:szCs w:val="26"/>
        </w:rPr>
        <w:t xml:space="preserve">SA’s </w:t>
      </w:r>
      <w:r>
        <w:rPr>
          <w:sz w:val="26"/>
          <w:szCs w:val="26"/>
        </w:rPr>
        <w:t xml:space="preserve">Initial Decision and dismiss the Complaint, </w:t>
      </w:r>
      <w:r w:rsidRPr="000616F4">
        <w:rPr>
          <w:sz w:val="26"/>
          <w:szCs w:val="26"/>
        </w:rPr>
        <w:t>with prejudice</w:t>
      </w:r>
      <w:r>
        <w:rPr>
          <w:sz w:val="26"/>
          <w:szCs w:val="26"/>
        </w:rPr>
        <w:t>.  A dismissal “</w:t>
      </w:r>
      <w:r w:rsidRPr="000616F4">
        <w:rPr>
          <w:sz w:val="26"/>
          <w:szCs w:val="26"/>
        </w:rPr>
        <w:t>with prejudice</w:t>
      </w:r>
      <w:r>
        <w:rPr>
          <w:sz w:val="26"/>
          <w:szCs w:val="26"/>
        </w:rPr>
        <w:t>” means that the Complainant</w:t>
      </w:r>
      <w:r w:rsidR="00347A79">
        <w:rPr>
          <w:sz w:val="26"/>
          <w:szCs w:val="26"/>
        </w:rPr>
        <w:t xml:space="preserve"> is</w:t>
      </w:r>
      <w:r>
        <w:rPr>
          <w:sz w:val="26"/>
          <w:szCs w:val="26"/>
        </w:rPr>
        <w:t xml:space="preserve"> barred from filing another complai</w:t>
      </w:r>
      <w:r w:rsidR="008301C3">
        <w:rPr>
          <w:sz w:val="26"/>
          <w:szCs w:val="26"/>
        </w:rPr>
        <w:t>n</w:t>
      </w:r>
      <w:r>
        <w:rPr>
          <w:sz w:val="26"/>
          <w:szCs w:val="26"/>
        </w:rPr>
        <w:t xml:space="preserve">t with the Commission raising </w:t>
      </w:r>
      <w:r w:rsidR="008F2398">
        <w:rPr>
          <w:sz w:val="26"/>
          <w:szCs w:val="26"/>
        </w:rPr>
        <w:t>any</w:t>
      </w:r>
      <w:r>
        <w:rPr>
          <w:sz w:val="26"/>
          <w:szCs w:val="26"/>
        </w:rPr>
        <w:t xml:space="preserve"> issues or claims a</w:t>
      </w:r>
      <w:r w:rsidR="008301C3">
        <w:rPr>
          <w:sz w:val="26"/>
          <w:szCs w:val="26"/>
        </w:rPr>
        <w:t xml:space="preserve">rising under the </w:t>
      </w:r>
      <w:r w:rsidR="008F2398">
        <w:rPr>
          <w:sz w:val="26"/>
          <w:szCs w:val="26"/>
        </w:rPr>
        <w:t>C</w:t>
      </w:r>
      <w:r w:rsidR="008301C3">
        <w:rPr>
          <w:sz w:val="26"/>
          <w:szCs w:val="26"/>
        </w:rPr>
        <w:t>omplaint, which is now</w:t>
      </w:r>
      <w:r>
        <w:rPr>
          <w:sz w:val="26"/>
          <w:szCs w:val="26"/>
        </w:rPr>
        <w:t xml:space="preserve"> dismissed</w:t>
      </w:r>
      <w:r w:rsidR="008301C3">
        <w:rPr>
          <w:sz w:val="26"/>
          <w:szCs w:val="26"/>
        </w:rPr>
        <w:t>.</w:t>
      </w:r>
    </w:p>
    <w:p w14:paraId="60618008" w14:textId="77777777" w:rsidR="00645EFF" w:rsidRPr="00645EFF" w:rsidRDefault="00645EFF" w:rsidP="00645EFF">
      <w:pPr>
        <w:widowControl/>
        <w:spacing w:line="360" w:lineRule="auto"/>
        <w:ind w:firstLine="1440"/>
        <w:rPr>
          <w:sz w:val="26"/>
          <w:szCs w:val="26"/>
        </w:rPr>
      </w:pPr>
    </w:p>
    <w:p w14:paraId="1779A600" w14:textId="77777777" w:rsidR="00645EFF" w:rsidRPr="00645EFF" w:rsidRDefault="00645EFF" w:rsidP="00645EFF">
      <w:pPr>
        <w:widowControl/>
        <w:spacing w:line="360" w:lineRule="auto"/>
        <w:ind w:firstLine="1440"/>
        <w:rPr>
          <w:rFonts w:eastAsia="Calibri"/>
          <w:sz w:val="26"/>
          <w:szCs w:val="26"/>
        </w:rPr>
      </w:pPr>
    </w:p>
    <w:p w14:paraId="30E2017A" w14:textId="77777777" w:rsidR="00645EFF" w:rsidRPr="00645EFF" w:rsidRDefault="00645EFF" w:rsidP="00F164DA">
      <w:pPr>
        <w:keepNext/>
        <w:keepLines/>
        <w:widowControl/>
        <w:suppressAutoHyphens/>
        <w:spacing w:line="360" w:lineRule="auto"/>
        <w:jc w:val="center"/>
        <w:rPr>
          <w:b/>
          <w:sz w:val="26"/>
          <w:szCs w:val="26"/>
        </w:rPr>
      </w:pPr>
      <w:r w:rsidRPr="00645EFF">
        <w:rPr>
          <w:b/>
          <w:sz w:val="26"/>
          <w:szCs w:val="26"/>
        </w:rPr>
        <w:lastRenderedPageBreak/>
        <w:t>Conclusion</w:t>
      </w:r>
    </w:p>
    <w:p w14:paraId="695F76FD" w14:textId="77777777" w:rsidR="00645EFF" w:rsidRDefault="00645EFF" w:rsidP="00645EFF">
      <w:pPr>
        <w:widowControl/>
        <w:spacing w:line="360" w:lineRule="auto"/>
        <w:ind w:firstLine="1440"/>
        <w:rPr>
          <w:sz w:val="26"/>
          <w:szCs w:val="26"/>
        </w:rPr>
      </w:pPr>
    </w:p>
    <w:p w14:paraId="0E64C7AB" w14:textId="77777777" w:rsidR="00645EFF" w:rsidRPr="00645EFF" w:rsidRDefault="001849C0" w:rsidP="00645EFF">
      <w:pPr>
        <w:widowControl/>
        <w:spacing w:line="360" w:lineRule="auto"/>
        <w:ind w:firstLine="1440"/>
        <w:rPr>
          <w:rFonts w:ascii="Calibri" w:eastAsia="Calibri" w:hAnsi="Calibri"/>
          <w:sz w:val="26"/>
          <w:szCs w:val="26"/>
        </w:rPr>
      </w:pPr>
      <w:r w:rsidRPr="002262C4">
        <w:rPr>
          <w:sz w:val="26"/>
          <w:szCs w:val="26"/>
        </w:rPr>
        <w:t xml:space="preserve">Based upon our review of the record and the applicable law, we shall deny the </w:t>
      </w:r>
      <w:r>
        <w:rPr>
          <w:sz w:val="26"/>
          <w:szCs w:val="26"/>
        </w:rPr>
        <w:t>Complainant</w:t>
      </w:r>
      <w:r w:rsidR="00347A79">
        <w:rPr>
          <w:sz w:val="26"/>
          <w:szCs w:val="26"/>
        </w:rPr>
        <w:t>’s</w:t>
      </w:r>
      <w:r>
        <w:rPr>
          <w:sz w:val="26"/>
          <w:szCs w:val="26"/>
        </w:rPr>
        <w:t xml:space="preserve"> </w:t>
      </w:r>
      <w:r w:rsidRPr="002262C4">
        <w:rPr>
          <w:sz w:val="26"/>
          <w:szCs w:val="26"/>
        </w:rPr>
        <w:t xml:space="preserve">Exceptions </w:t>
      </w:r>
      <w:r>
        <w:rPr>
          <w:sz w:val="26"/>
          <w:szCs w:val="26"/>
        </w:rPr>
        <w:t>and</w:t>
      </w:r>
      <w:r w:rsidRPr="002262C4">
        <w:rPr>
          <w:sz w:val="26"/>
          <w:szCs w:val="26"/>
        </w:rPr>
        <w:t xml:space="preserve"> adopt </w:t>
      </w:r>
      <w:r w:rsidR="004B7C8C">
        <w:rPr>
          <w:sz w:val="26"/>
          <w:szCs w:val="26"/>
        </w:rPr>
        <w:t>SA</w:t>
      </w:r>
      <w:r w:rsidR="0052792C">
        <w:rPr>
          <w:sz w:val="26"/>
          <w:szCs w:val="26"/>
        </w:rPr>
        <w:t xml:space="preserve"> Chi</w:t>
      </w:r>
      <w:r w:rsidR="00FA34AD">
        <w:rPr>
          <w:sz w:val="26"/>
          <w:szCs w:val="26"/>
        </w:rPr>
        <w:t>o</w:t>
      </w:r>
      <w:r w:rsidR="0052792C">
        <w:rPr>
          <w:sz w:val="26"/>
          <w:szCs w:val="26"/>
        </w:rPr>
        <w:t>do</w:t>
      </w:r>
      <w:r>
        <w:rPr>
          <w:sz w:val="26"/>
          <w:szCs w:val="26"/>
        </w:rPr>
        <w:t>’s</w:t>
      </w:r>
      <w:r w:rsidRPr="002262C4">
        <w:rPr>
          <w:sz w:val="26"/>
          <w:szCs w:val="26"/>
        </w:rPr>
        <w:t xml:space="preserve"> Initial Decision, consistent with this Opinion and Order</w:t>
      </w:r>
      <w:r>
        <w:rPr>
          <w:sz w:val="26"/>
          <w:szCs w:val="26"/>
        </w:rPr>
        <w:t>;</w:t>
      </w:r>
      <w:r w:rsidR="00645EFF" w:rsidRPr="00645EFF">
        <w:rPr>
          <w:sz w:val="26"/>
          <w:szCs w:val="26"/>
        </w:rPr>
        <w:t xml:space="preserve"> </w:t>
      </w:r>
      <w:r w:rsidR="00645EFF" w:rsidRPr="00645EFF">
        <w:rPr>
          <w:b/>
          <w:sz w:val="26"/>
          <w:szCs w:val="26"/>
        </w:rPr>
        <w:t>THEREFORE,</w:t>
      </w:r>
    </w:p>
    <w:p w14:paraId="4B4C92FC" w14:textId="77777777" w:rsidR="00645EFF" w:rsidRPr="00645EFF" w:rsidRDefault="00645EFF" w:rsidP="00645EFF">
      <w:pPr>
        <w:widowControl/>
        <w:tabs>
          <w:tab w:val="left" w:pos="-720"/>
        </w:tabs>
        <w:suppressAutoHyphens/>
        <w:spacing w:line="360" w:lineRule="auto"/>
        <w:contextualSpacing/>
        <w:rPr>
          <w:sz w:val="26"/>
          <w:szCs w:val="26"/>
        </w:rPr>
      </w:pPr>
    </w:p>
    <w:p w14:paraId="53AF994C" w14:textId="77777777" w:rsidR="00645EFF" w:rsidRPr="00645EFF" w:rsidRDefault="00645EFF" w:rsidP="00645EFF">
      <w:pPr>
        <w:keepNext/>
        <w:widowControl/>
        <w:tabs>
          <w:tab w:val="left" w:pos="-720"/>
        </w:tabs>
        <w:suppressAutoHyphens/>
        <w:spacing w:line="360" w:lineRule="auto"/>
        <w:ind w:firstLine="1440"/>
        <w:contextualSpacing/>
        <w:rPr>
          <w:b/>
          <w:sz w:val="26"/>
          <w:szCs w:val="26"/>
        </w:rPr>
      </w:pPr>
      <w:r w:rsidRPr="00645EFF">
        <w:rPr>
          <w:b/>
          <w:sz w:val="26"/>
          <w:szCs w:val="26"/>
        </w:rPr>
        <w:t>IT IS ORDERED:</w:t>
      </w:r>
    </w:p>
    <w:p w14:paraId="1298EAF4" w14:textId="77777777" w:rsidR="00645EFF" w:rsidRPr="00645EFF" w:rsidRDefault="00645EFF" w:rsidP="00645EFF">
      <w:pPr>
        <w:keepNext/>
        <w:widowControl/>
        <w:tabs>
          <w:tab w:val="left" w:pos="-720"/>
        </w:tabs>
        <w:suppressAutoHyphens/>
        <w:spacing w:line="360" w:lineRule="auto"/>
        <w:contextualSpacing/>
        <w:rPr>
          <w:b/>
          <w:sz w:val="26"/>
          <w:szCs w:val="26"/>
        </w:rPr>
      </w:pPr>
    </w:p>
    <w:p w14:paraId="0F7A4D2A" w14:textId="77777777" w:rsidR="00645EFF" w:rsidRPr="00645EFF" w:rsidRDefault="00645EFF" w:rsidP="00E04D15">
      <w:pPr>
        <w:widowControl/>
        <w:numPr>
          <w:ilvl w:val="0"/>
          <w:numId w:val="21"/>
        </w:numPr>
        <w:tabs>
          <w:tab w:val="left" w:pos="-720"/>
        </w:tabs>
        <w:suppressAutoHyphens/>
        <w:spacing w:after="200" w:line="360" w:lineRule="auto"/>
        <w:ind w:left="0" w:firstLine="1440"/>
        <w:contextualSpacing/>
        <w:rPr>
          <w:sz w:val="26"/>
          <w:szCs w:val="26"/>
        </w:rPr>
      </w:pPr>
      <w:r w:rsidRPr="00645EFF">
        <w:rPr>
          <w:sz w:val="26"/>
          <w:szCs w:val="26"/>
        </w:rPr>
        <w:t>That the Exceptions filed</w:t>
      </w:r>
      <w:r w:rsidR="00622B35">
        <w:rPr>
          <w:sz w:val="26"/>
          <w:szCs w:val="26"/>
        </w:rPr>
        <w:t xml:space="preserve"> by </w:t>
      </w:r>
      <w:proofErr w:type="spellStart"/>
      <w:r w:rsidR="00202C4C">
        <w:rPr>
          <w:sz w:val="26"/>
          <w:szCs w:val="26"/>
        </w:rPr>
        <w:t>Stayce</w:t>
      </w:r>
      <w:proofErr w:type="spellEnd"/>
      <w:r w:rsidR="00202C4C">
        <w:rPr>
          <w:sz w:val="26"/>
          <w:szCs w:val="26"/>
        </w:rPr>
        <w:t xml:space="preserve"> Norton</w:t>
      </w:r>
      <w:r w:rsidR="00E551D7">
        <w:rPr>
          <w:sz w:val="26"/>
          <w:szCs w:val="26"/>
        </w:rPr>
        <w:t xml:space="preserve">, </w:t>
      </w:r>
      <w:r w:rsidR="00622B35">
        <w:rPr>
          <w:sz w:val="26"/>
          <w:szCs w:val="26"/>
        </w:rPr>
        <w:t xml:space="preserve">on </w:t>
      </w:r>
      <w:r w:rsidR="00202C4C">
        <w:rPr>
          <w:sz w:val="26"/>
          <w:szCs w:val="26"/>
        </w:rPr>
        <w:t xml:space="preserve">March 15, 2019 </w:t>
      </w:r>
      <w:r w:rsidRPr="00645EFF">
        <w:rPr>
          <w:sz w:val="26"/>
          <w:szCs w:val="26"/>
        </w:rPr>
        <w:t>at this docket, are denied.</w:t>
      </w:r>
    </w:p>
    <w:p w14:paraId="61EEF269" w14:textId="77777777" w:rsidR="00645EFF" w:rsidRPr="00645EFF" w:rsidRDefault="00645EFF" w:rsidP="00E04D15">
      <w:pPr>
        <w:widowControl/>
        <w:tabs>
          <w:tab w:val="left" w:pos="-720"/>
        </w:tabs>
        <w:suppressAutoHyphens/>
        <w:spacing w:line="360" w:lineRule="auto"/>
        <w:ind w:left="2160"/>
        <w:contextualSpacing/>
        <w:rPr>
          <w:sz w:val="26"/>
          <w:szCs w:val="26"/>
        </w:rPr>
      </w:pPr>
    </w:p>
    <w:p w14:paraId="26D6A227" w14:textId="77777777" w:rsidR="00645EFF" w:rsidRPr="00645EFF" w:rsidRDefault="00645EFF" w:rsidP="00E04D15">
      <w:pPr>
        <w:widowControl/>
        <w:spacing w:line="360" w:lineRule="auto"/>
        <w:ind w:firstLine="1440"/>
        <w:rPr>
          <w:sz w:val="26"/>
          <w:szCs w:val="26"/>
        </w:rPr>
      </w:pPr>
      <w:r w:rsidRPr="00645EFF">
        <w:rPr>
          <w:sz w:val="26"/>
          <w:szCs w:val="26"/>
        </w:rPr>
        <w:t>2.</w:t>
      </w:r>
      <w:r w:rsidRPr="00645EFF">
        <w:rPr>
          <w:sz w:val="26"/>
          <w:szCs w:val="26"/>
        </w:rPr>
        <w:tab/>
        <w:t xml:space="preserve">That the Initial Decision of </w:t>
      </w:r>
      <w:r w:rsidR="00202C4C">
        <w:rPr>
          <w:sz w:val="26"/>
          <w:szCs w:val="26"/>
        </w:rPr>
        <w:t>Special Agent</w:t>
      </w:r>
      <w:r w:rsidR="008F2398">
        <w:rPr>
          <w:sz w:val="26"/>
          <w:szCs w:val="26"/>
        </w:rPr>
        <w:t>,</w:t>
      </w:r>
      <w:r w:rsidR="00202C4C">
        <w:rPr>
          <w:sz w:val="26"/>
          <w:szCs w:val="26"/>
        </w:rPr>
        <w:t xml:space="preserve"> Gail M. Chiodo</w:t>
      </w:r>
      <w:r w:rsidR="008F2398">
        <w:rPr>
          <w:sz w:val="26"/>
          <w:szCs w:val="26"/>
        </w:rPr>
        <w:t>,</w:t>
      </w:r>
      <w:r w:rsidR="00202C4C">
        <w:rPr>
          <w:sz w:val="26"/>
          <w:szCs w:val="26"/>
        </w:rPr>
        <w:t xml:space="preserve"> </w:t>
      </w:r>
      <w:r w:rsidR="000B42AD">
        <w:rPr>
          <w:sz w:val="26"/>
          <w:szCs w:val="26"/>
        </w:rPr>
        <w:t>issued</w:t>
      </w:r>
      <w:r w:rsidRPr="00645EFF">
        <w:rPr>
          <w:sz w:val="26"/>
          <w:szCs w:val="26"/>
        </w:rPr>
        <w:t xml:space="preserve"> on </w:t>
      </w:r>
      <w:r w:rsidR="00202C4C">
        <w:rPr>
          <w:sz w:val="26"/>
          <w:szCs w:val="26"/>
        </w:rPr>
        <w:t xml:space="preserve">February 25, 2019, </w:t>
      </w:r>
      <w:r w:rsidRPr="00645EFF">
        <w:rPr>
          <w:sz w:val="26"/>
          <w:szCs w:val="26"/>
        </w:rPr>
        <w:t>at this docket</w:t>
      </w:r>
      <w:r w:rsidR="004F04F3">
        <w:rPr>
          <w:sz w:val="26"/>
          <w:szCs w:val="26"/>
        </w:rPr>
        <w:t>,</w:t>
      </w:r>
      <w:r w:rsidRPr="00645EFF">
        <w:rPr>
          <w:sz w:val="26"/>
          <w:szCs w:val="26"/>
        </w:rPr>
        <w:t xml:space="preserve"> is </w:t>
      </w:r>
      <w:r w:rsidR="00004757">
        <w:rPr>
          <w:sz w:val="26"/>
          <w:szCs w:val="26"/>
        </w:rPr>
        <w:t>adopted</w:t>
      </w:r>
      <w:r w:rsidRPr="00645EFF">
        <w:rPr>
          <w:sz w:val="26"/>
          <w:szCs w:val="26"/>
        </w:rPr>
        <w:t>.</w:t>
      </w:r>
    </w:p>
    <w:p w14:paraId="13177D40" w14:textId="77777777" w:rsidR="00645EFF" w:rsidRPr="00645EFF" w:rsidRDefault="00645EFF" w:rsidP="00E04D15">
      <w:pPr>
        <w:widowControl/>
        <w:tabs>
          <w:tab w:val="left" w:pos="-720"/>
        </w:tabs>
        <w:suppressAutoHyphens/>
        <w:spacing w:line="360" w:lineRule="auto"/>
        <w:ind w:firstLine="1440"/>
        <w:contextualSpacing/>
        <w:rPr>
          <w:spacing w:val="-3"/>
          <w:sz w:val="26"/>
          <w:szCs w:val="26"/>
        </w:rPr>
      </w:pPr>
    </w:p>
    <w:p w14:paraId="072CB3E1" w14:textId="14130AF1" w:rsidR="00645EFF" w:rsidRDefault="00645EFF" w:rsidP="00E04D15">
      <w:pPr>
        <w:widowControl/>
        <w:tabs>
          <w:tab w:val="left" w:pos="-720"/>
        </w:tabs>
        <w:suppressAutoHyphens/>
        <w:spacing w:line="360" w:lineRule="auto"/>
        <w:ind w:firstLine="1440"/>
        <w:contextualSpacing/>
        <w:rPr>
          <w:sz w:val="26"/>
          <w:szCs w:val="26"/>
        </w:rPr>
      </w:pPr>
      <w:r>
        <w:rPr>
          <w:sz w:val="26"/>
          <w:szCs w:val="22"/>
        </w:rPr>
        <w:t>3.</w:t>
      </w:r>
      <w:r>
        <w:rPr>
          <w:sz w:val="26"/>
          <w:szCs w:val="22"/>
        </w:rPr>
        <w:tab/>
      </w:r>
      <w:r>
        <w:rPr>
          <w:sz w:val="26"/>
          <w:szCs w:val="26"/>
        </w:rPr>
        <w:t xml:space="preserve">That the Formal Complaint filed by </w:t>
      </w:r>
      <w:proofErr w:type="spellStart"/>
      <w:r w:rsidR="00202C4C">
        <w:rPr>
          <w:sz w:val="26"/>
          <w:szCs w:val="26"/>
        </w:rPr>
        <w:t>Stayce</w:t>
      </w:r>
      <w:proofErr w:type="spellEnd"/>
      <w:r w:rsidR="00202C4C">
        <w:rPr>
          <w:sz w:val="26"/>
          <w:szCs w:val="26"/>
        </w:rPr>
        <w:t xml:space="preserve"> Norton</w:t>
      </w:r>
      <w:r>
        <w:rPr>
          <w:sz w:val="26"/>
          <w:szCs w:val="26"/>
        </w:rPr>
        <w:t xml:space="preserve">, </w:t>
      </w:r>
      <w:r w:rsidR="00CE52FE">
        <w:rPr>
          <w:sz w:val="26"/>
          <w:szCs w:val="26"/>
        </w:rPr>
        <w:t>on September</w:t>
      </w:r>
      <w:r w:rsidR="006B0BD0">
        <w:rPr>
          <w:sz w:val="26"/>
          <w:szCs w:val="26"/>
        </w:rPr>
        <w:t> </w:t>
      </w:r>
      <w:r w:rsidR="00CE52FE">
        <w:rPr>
          <w:sz w:val="26"/>
          <w:szCs w:val="26"/>
        </w:rPr>
        <w:t xml:space="preserve">25, 2018, </w:t>
      </w:r>
      <w:r>
        <w:rPr>
          <w:sz w:val="26"/>
          <w:szCs w:val="26"/>
        </w:rPr>
        <w:t>at this docket, is dismissed</w:t>
      </w:r>
      <w:r w:rsidR="00AA4C28">
        <w:rPr>
          <w:sz w:val="26"/>
          <w:szCs w:val="26"/>
        </w:rPr>
        <w:t>, with prejudice</w:t>
      </w:r>
      <w:r>
        <w:rPr>
          <w:sz w:val="26"/>
          <w:szCs w:val="26"/>
        </w:rPr>
        <w:t>.</w:t>
      </w:r>
    </w:p>
    <w:p w14:paraId="58FD77FB" w14:textId="77777777" w:rsidR="00645EFF" w:rsidRDefault="00645EFF" w:rsidP="00E04D15">
      <w:pPr>
        <w:widowControl/>
        <w:tabs>
          <w:tab w:val="left" w:pos="-720"/>
        </w:tabs>
        <w:suppressAutoHyphens/>
        <w:spacing w:line="360" w:lineRule="auto"/>
        <w:ind w:firstLine="1440"/>
        <w:contextualSpacing/>
        <w:rPr>
          <w:sz w:val="26"/>
          <w:szCs w:val="22"/>
        </w:rPr>
      </w:pPr>
    </w:p>
    <w:p w14:paraId="0EF0CFB3" w14:textId="77777777" w:rsidR="00645EFF" w:rsidRDefault="00645EFF" w:rsidP="00E04D15">
      <w:pPr>
        <w:widowControl/>
        <w:tabs>
          <w:tab w:val="left" w:pos="-720"/>
        </w:tabs>
        <w:suppressAutoHyphens/>
        <w:spacing w:line="360" w:lineRule="auto"/>
        <w:ind w:firstLine="1440"/>
        <w:contextualSpacing/>
        <w:rPr>
          <w:spacing w:val="-2"/>
          <w:sz w:val="26"/>
          <w:szCs w:val="22"/>
        </w:rPr>
      </w:pPr>
      <w:r>
        <w:rPr>
          <w:sz w:val="26"/>
          <w:szCs w:val="22"/>
        </w:rPr>
        <w:t>4</w:t>
      </w:r>
      <w:r w:rsidRPr="00645EFF">
        <w:rPr>
          <w:spacing w:val="-2"/>
          <w:sz w:val="26"/>
          <w:szCs w:val="22"/>
        </w:rPr>
        <w:t>.</w:t>
      </w:r>
      <w:r w:rsidRPr="00645EFF">
        <w:rPr>
          <w:spacing w:val="-2"/>
          <w:sz w:val="26"/>
          <w:szCs w:val="22"/>
        </w:rPr>
        <w:tab/>
        <w:t xml:space="preserve">That this docket shall be marked closed. </w:t>
      </w:r>
    </w:p>
    <w:p w14:paraId="475CAEA3" w14:textId="77777777" w:rsidR="00645EFF" w:rsidRDefault="00645EFF" w:rsidP="00645EFF">
      <w:pPr>
        <w:keepNext/>
        <w:keepLines/>
        <w:widowControl/>
        <w:spacing w:line="360" w:lineRule="auto"/>
        <w:contextualSpacing/>
        <w:rPr>
          <w:sz w:val="26"/>
          <w:szCs w:val="26"/>
        </w:rPr>
      </w:pPr>
    </w:p>
    <w:p w14:paraId="49A48E49" w14:textId="40EF6331" w:rsidR="00645EFF" w:rsidRPr="00CA43A5" w:rsidRDefault="0011069E" w:rsidP="00645EFF">
      <w:pPr>
        <w:widowControl/>
        <w:tabs>
          <w:tab w:val="left" w:pos="-720"/>
        </w:tabs>
        <w:ind w:firstLine="5040"/>
        <w:contextualSpacing/>
        <w:rPr>
          <w:sz w:val="26"/>
          <w:szCs w:val="26"/>
        </w:rPr>
      </w:pPr>
      <w:bookmarkStart w:id="6" w:name="_GoBack"/>
      <w:r w:rsidRPr="009F01BA">
        <w:rPr>
          <w:b/>
          <w:noProof/>
        </w:rPr>
        <w:drawing>
          <wp:anchor distT="0" distB="0" distL="114300" distR="114300" simplePos="0" relativeHeight="251659264" behindDoc="1" locked="0" layoutInCell="1" allowOverlap="1" wp14:anchorId="789ECD45" wp14:editId="1B92CF54">
            <wp:simplePos x="0" y="0"/>
            <wp:positionH relativeFrom="column">
              <wp:posOffset>3028950</wp:posOffset>
            </wp:positionH>
            <wp:positionV relativeFrom="paragraph">
              <wp:posOffset>179070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r w:rsidR="00645EFF" w:rsidRPr="00CA43A5">
        <w:rPr>
          <w:b/>
          <w:sz w:val="26"/>
          <w:szCs w:val="26"/>
        </w:rPr>
        <w:t>BY THE COMMISSION,</w:t>
      </w:r>
    </w:p>
    <w:p w14:paraId="48F37603" w14:textId="49586809" w:rsidR="00645EFF" w:rsidRDefault="00645EFF" w:rsidP="00645EFF">
      <w:pPr>
        <w:widowControl/>
        <w:tabs>
          <w:tab w:val="left" w:pos="-720"/>
        </w:tabs>
        <w:contextualSpacing/>
        <w:rPr>
          <w:sz w:val="26"/>
          <w:szCs w:val="26"/>
        </w:rPr>
      </w:pPr>
    </w:p>
    <w:p w14:paraId="3F0335B8" w14:textId="7BBA9B93" w:rsidR="004B7C8C" w:rsidRPr="00CA43A5" w:rsidRDefault="004B7C8C" w:rsidP="00645EFF">
      <w:pPr>
        <w:widowControl/>
        <w:tabs>
          <w:tab w:val="left" w:pos="-720"/>
        </w:tabs>
        <w:contextualSpacing/>
        <w:rPr>
          <w:sz w:val="26"/>
          <w:szCs w:val="26"/>
        </w:rPr>
      </w:pPr>
    </w:p>
    <w:p w14:paraId="7930AB82" w14:textId="77777777" w:rsidR="00645EFF" w:rsidRDefault="00645EFF" w:rsidP="00645EFF">
      <w:pPr>
        <w:widowControl/>
        <w:tabs>
          <w:tab w:val="left" w:pos="-720"/>
        </w:tabs>
        <w:contextualSpacing/>
        <w:rPr>
          <w:sz w:val="26"/>
          <w:szCs w:val="26"/>
        </w:rPr>
      </w:pPr>
    </w:p>
    <w:p w14:paraId="5B3087FF" w14:textId="77777777" w:rsidR="00645EFF" w:rsidRPr="00CA43A5" w:rsidRDefault="00645EFF" w:rsidP="00645EFF">
      <w:pPr>
        <w:widowControl/>
        <w:tabs>
          <w:tab w:val="left" w:pos="-720"/>
        </w:tabs>
        <w:contextualSpacing/>
        <w:rPr>
          <w:sz w:val="26"/>
          <w:szCs w:val="26"/>
        </w:rPr>
      </w:pPr>
    </w:p>
    <w:p w14:paraId="6FDE1F85" w14:textId="77777777" w:rsidR="00645EFF" w:rsidRPr="00CA43A5" w:rsidRDefault="00645EFF" w:rsidP="00645EFF">
      <w:pPr>
        <w:widowControl/>
        <w:tabs>
          <w:tab w:val="left" w:pos="-720"/>
        </w:tabs>
        <w:ind w:firstLine="5040"/>
        <w:contextualSpacing/>
        <w:rPr>
          <w:b/>
          <w:sz w:val="26"/>
          <w:szCs w:val="26"/>
        </w:rPr>
      </w:pPr>
      <w:r>
        <w:rPr>
          <w:sz w:val="26"/>
          <w:szCs w:val="26"/>
        </w:rPr>
        <w:t>Rosemary Chiavetta</w:t>
      </w:r>
    </w:p>
    <w:p w14:paraId="376C2202" w14:textId="77777777" w:rsidR="00645EFF" w:rsidRDefault="00645EFF" w:rsidP="00645EFF">
      <w:pPr>
        <w:widowControl/>
        <w:tabs>
          <w:tab w:val="left" w:pos="-720"/>
        </w:tabs>
        <w:ind w:firstLine="5040"/>
        <w:contextualSpacing/>
        <w:rPr>
          <w:sz w:val="26"/>
          <w:szCs w:val="26"/>
        </w:rPr>
      </w:pPr>
      <w:r w:rsidRPr="00CA43A5">
        <w:rPr>
          <w:sz w:val="26"/>
          <w:szCs w:val="26"/>
        </w:rPr>
        <w:t>Secretary</w:t>
      </w:r>
    </w:p>
    <w:p w14:paraId="4A6187C2" w14:textId="77777777" w:rsidR="00645EFF" w:rsidRPr="00CA43A5" w:rsidRDefault="00645EFF" w:rsidP="00645EFF">
      <w:pPr>
        <w:widowControl/>
        <w:tabs>
          <w:tab w:val="left" w:pos="-720"/>
        </w:tabs>
        <w:ind w:firstLine="5040"/>
        <w:contextualSpacing/>
        <w:rPr>
          <w:sz w:val="26"/>
          <w:szCs w:val="26"/>
        </w:rPr>
      </w:pPr>
    </w:p>
    <w:p w14:paraId="1AA1FFEF" w14:textId="77777777" w:rsidR="00645EFF" w:rsidRPr="00CA43A5" w:rsidRDefault="00645EFF" w:rsidP="00645EFF">
      <w:pPr>
        <w:widowControl/>
        <w:tabs>
          <w:tab w:val="left" w:pos="-720"/>
        </w:tabs>
        <w:contextualSpacing/>
        <w:rPr>
          <w:sz w:val="26"/>
          <w:szCs w:val="26"/>
        </w:rPr>
      </w:pPr>
    </w:p>
    <w:p w14:paraId="53E44139" w14:textId="77777777" w:rsidR="00645EFF" w:rsidRPr="00CA43A5" w:rsidRDefault="00645EFF" w:rsidP="00645EFF">
      <w:pPr>
        <w:widowControl/>
        <w:tabs>
          <w:tab w:val="left" w:pos="-720"/>
        </w:tabs>
        <w:contextualSpacing/>
        <w:rPr>
          <w:sz w:val="26"/>
          <w:szCs w:val="26"/>
        </w:rPr>
      </w:pPr>
      <w:r w:rsidRPr="00CA43A5">
        <w:rPr>
          <w:sz w:val="26"/>
          <w:szCs w:val="26"/>
        </w:rPr>
        <w:t>(SEAL)</w:t>
      </w:r>
    </w:p>
    <w:p w14:paraId="76A719E5" w14:textId="77777777" w:rsidR="00645EFF" w:rsidRPr="00CA43A5" w:rsidRDefault="00645EFF" w:rsidP="00645EFF">
      <w:pPr>
        <w:widowControl/>
        <w:tabs>
          <w:tab w:val="left" w:pos="-720"/>
        </w:tabs>
        <w:contextualSpacing/>
        <w:rPr>
          <w:sz w:val="26"/>
          <w:szCs w:val="26"/>
        </w:rPr>
      </w:pPr>
    </w:p>
    <w:p w14:paraId="03995F81" w14:textId="35B61F53" w:rsidR="00645EFF" w:rsidRPr="00CA43A5" w:rsidRDefault="00645EFF" w:rsidP="00645EFF">
      <w:pPr>
        <w:widowControl/>
        <w:tabs>
          <w:tab w:val="left" w:pos="-720"/>
        </w:tabs>
        <w:contextualSpacing/>
        <w:rPr>
          <w:sz w:val="26"/>
          <w:szCs w:val="26"/>
        </w:rPr>
      </w:pPr>
      <w:r w:rsidRPr="00CA43A5">
        <w:rPr>
          <w:sz w:val="26"/>
          <w:szCs w:val="26"/>
        </w:rPr>
        <w:t>ORDER ADOPTED:</w:t>
      </w:r>
      <w:r>
        <w:rPr>
          <w:sz w:val="26"/>
          <w:szCs w:val="26"/>
        </w:rPr>
        <w:t xml:space="preserve"> </w:t>
      </w:r>
      <w:r w:rsidR="0011069E">
        <w:rPr>
          <w:sz w:val="26"/>
          <w:szCs w:val="26"/>
        </w:rPr>
        <w:t xml:space="preserve"> </w:t>
      </w:r>
      <w:r w:rsidR="0052792C">
        <w:rPr>
          <w:sz w:val="26"/>
          <w:szCs w:val="26"/>
        </w:rPr>
        <w:t>June 18, 2020</w:t>
      </w:r>
    </w:p>
    <w:p w14:paraId="2DF18E56" w14:textId="77777777" w:rsidR="00645EFF" w:rsidRDefault="00645EFF" w:rsidP="00645EFF">
      <w:pPr>
        <w:widowControl/>
        <w:tabs>
          <w:tab w:val="left" w:pos="-720"/>
        </w:tabs>
        <w:contextualSpacing/>
        <w:rPr>
          <w:sz w:val="26"/>
          <w:szCs w:val="26"/>
        </w:rPr>
      </w:pPr>
    </w:p>
    <w:p w14:paraId="26EE551B" w14:textId="1D7F3F8F" w:rsidR="00645EFF" w:rsidRPr="00645EFF" w:rsidRDefault="00645EFF" w:rsidP="00E04D15">
      <w:pPr>
        <w:widowControl/>
        <w:tabs>
          <w:tab w:val="left" w:pos="-720"/>
        </w:tabs>
        <w:contextualSpacing/>
        <w:rPr>
          <w:sz w:val="26"/>
          <w:szCs w:val="26"/>
        </w:rPr>
      </w:pPr>
      <w:r>
        <w:rPr>
          <w:sz w:val="26"/>
          <w:szCs w:val="26"/>
        </w:rPr>
        <w:t xml:space="preserve">ORDER ENTERED:  </w:t>
      </w:r>
      <w:r w:rsidR="0011069E">
        <w:rPr>
          <w:sz w:val="26"/>
          <w:szCs w:val="26"/>
        </w:rPr>
        <w:t>June 18, 2020</w:t>
      </w:r>
    </w:p>
    <w:sectPr w:rsidR="00645EFF" w:rsidRPr="00645EFF" w:rsidSect="003161E5">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26E09" w14:textId="77777777" w:rsidR="009F0A1B" w:rsidRDefault="009F0A1B" w:rsidP="001B0C5E">
      <w:r>
        <w:separator/>
      </w:r>
    </w:p>
  </w:endnote>
  <w:endnote w:type="continuationSeparator" w:id="0">
    <w:p w14:paraId="3A630F50" w14:textId="77777777" w:rsidR="009F0A1B" w:rsidRDefault="009F0A1B" w:rsidP="001B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7760473"/>
      <w:docPartObj>
        <w:docPartGallery w:val="Page Numbers (Bottom of Page)"/>
        <w:docPartUnique/>
      </w:docPartObj>
    </w:sdtPr>
    <w:sdtEndPr>
      <w:rPr>
        <w:noProof/>
        <w:sz w:val="24"/>
        <w:szCs w:val="24"/>
      </w:rPr>
    </w:sdtEndPr>
    <w:sdtContent>
      <w:p w14:paraId="35155663" w14:textId="77777777" w:rsidR="00C20ECD" w:rsidRPr="00E04D15" w:rsidRDefault="00C20ECD" w:rsidP="00E04D15">
        <w:pPr>
          <w:pStyle w:val="Footer"/>
          <w:jc w:val="center"/>
          <w:rPr>
            <w:sz w:val="24"/>
            <w:szCs w:val="24"/>
          </w:rPr>
        </w:pPr>
        <w:r w:rsidRPr="00360CBC">
          <w:rPr>
            <w:sz w:val="24"/>
            <w:szCs w:val="24"/>
          </w:rPr>
          <w:fldChar w:fldCharType="begin"/>
        </w:r>
        <w:r w:rsidRPr="00360CBC">
          <w:rPr>
            <w:sz w:val="24"/>
            <w:szCs w:val="24"/>
          </w:rPr>
          <w:instrText xml:space="preserve"> PAGE   \* MERGEFORMAT </w:instrText>
        </w:r>
        <w:r w:rsidRPr="00360CBC">
          <w:rPr>
            <w:sz w:val="24"/>
            <w:szCs w:val="24"/>
          </w:rPr>
          <w:fldChar w:fldCharType="separate"/>
        </w:r>
        <w:r w:rsidR="00493E05">
          <w:rPr>
            <w:noProof/>
            <w:sz w:val="24"/>
            <w:szCs w:val="24"/>
          </w:rPr>
          <w:t>3</w:t>
        </w:r>
        <w:r w:rsidRPr="00360CBC">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D383A" w14:textId="77777777" w:rsidR="009F0A1B" w:rsidRDefault="009F0A1B" w:rsidP="001B0C5E">
      <w:r>
        <w:separator/>
      </w:r>
    </w:p>
  </w:footnote>
  <w:footnote w:type="continuationSeparator" w:id="0">
    <w:p w14:paraId="53F1486A" w14:textId="77777777" w:rsidR="009F0A1B" w:rsidRDefault="009F0A1B" w:rsidP="001B0C5E">
      <w:r>
        <w:continuationSeparator/>
      </w:r>
    </w:p>
  </w:footnote>
  <w:footnote w:id="1">
    <w:p w14:paraId="3D9BFF65" w14:textId="77777777" w:rsidR="00B405DC" w:rsidRPr="00E04D15" w:rsidRDefault="00B405DC" w:rsidP="00E04D15">
      <w:pPr>
        <w:pStyle w:val="FootnoteText"/>
        <w:keepLines/>
        <w:ind w:firstLine="720"/>
        <w:rPr>
          <w:sz w:val="26"/>
          <w:szCs w:val="26"/>
        </w:rPr>
      </w:pPr>
      <w:r w:rsidRPr="00C732EF">
        <w:rPr>
          <w:rStyle w:val="FootnoteReference"/>
          <w:sz w:val="26"/>
          <w:szCs w:val="26"/>
        </w:rPr>
        <w:footnoteRef/>
      </w:r>
      <w:r w:rsidRPr="00C732EF">
        <w:rPr>
          <w:sz w:val="26"/>
          <w:szCs w:val="26"/>
        </w:rPr>
        <w:t xml:space="preserve"> </w:t>
      </w:r>
      <w:r w:rsidRPr="00C732EF">
        <w:rPr>
          <w:sz w:val="26"/>
          <w:szCs w:val="26"/>
        </w:rPr>
        <w:tab/>
      </w:r>
      <w:r w:rsidR="0068200F">
        <w:rPr>
          <w:sz w:val="26"/>
          <w:szCs w:val="26"/>
        </w:rPr>
        <w:t xml:space="preserve">Upon review by the Commission’s Secretary’s Bureau, it appeared that </w:t>
      </w:r>
      <w:r w:rsidRPr="00C732EF">
        <w:rPr>
          <w:sz w:val="26"/>
          <w:szCs w:val="26"/>
        </w:rPr>
        <w:t>Complainant had failed to serve PGW with</w:t>
      </w:r>
      <w:r w:rsidR="0068200F">
        <w:rPr>
          <w:sz w:val="26"/>
          <w:szCs w:val="26"/>
        </w:rPr>
        <w:t xml:space="preserve"> the Complainant’s</w:t>
      </w:r>
      <w:r w:rsidRPr="00C732EF">
        <w:rPr>
          <w:sz w:val="26"/>
          <w:szCs w:val="26"/>
        </w:rPr>
        <w:t xml:space="preserve"> Exceptions.  Therefore, </w:t>
      </w:r>
      <w:r w:rsidR="0068200F">
        <w:rPr>
          <w:sz w:val="26"/>
          <w:szCs w:val="26"/>
        </w:rPr>
        <w:t xml:space="preserve">to cure the procedural defect, </w:t>
      </w:r>
      <w:r w:rsidRPr="00C732EF">
        <w:rPr>
          <w:sz w:val="26"/>
          <w:szCs w:val="26"/>
        </w:rPr>
        <w:t>by Secretarial Letter dated Ja</w:t>
      </w:r>
      <w:r w:rsidR="003D7FBE">
        <w:rPr>
          <w:sz w:val="26"/>
          <w:szCs w:val="26"/>
        </w:rPr>
        <w:t>n</w:t>
      </w:r>
      <w:r w:rsidRPr="00C732EF">
        <w:rPr>
          <w:sz w:val="26"/>
          <w:szCs w:val="26"/>
        </w:rPr>
        <w:t>uary 29, 2020, the Secretary’s Bureau served a copy of the Complainant’s Exceptions on PG</w:t>
      </w:r>
      <w:r w:rsidR="0068200F">
        <w:rPr>
          <w:sz w:val="26"/>
          <w:szCs w:val="26"/>
        </w:rPr>
        <w:t>W to</w:t>
      </w:r>
      <w:r w:rsidRPr="00C732EF">
        <w:rPr>
          <w:sz w:val="26"/>
          <w:szCs w:val="26"/>
        </w:rPr>
        <w:t xml:space="preserve"> constitut</w:t>
      </w:r>
      <w:r w:rsidR="0068200F">
        <w:rPr>
          <w:sz w:val="26"/>
          <w:szCs w:val="26"/>
        </w:rPr>
        <w:t>e</w:t>
      </w:r>
      <w:r w:rsidR="00483FEF">
        <w:rPr>
          <w:sz w:val="26"/>
          <w:szCs w:val="26"/>
        </w:rPr>
        <w:t xml:space="preserve"> </w:t>
      </w:r>
      <w:r w:rsidRPr="00C732EF">
        <w:rPr>
          <w:sz w:val="26"/>
          <w:szCs w:val="26"/>
        </w:rPr>
        <w:t>service</w:t>
      </w:r>
      <w:r w:rsidR="00483FEF">
        <w:rPr>
          <w:sz w:val="26"/>
          <w:szCs w:val="26"/>
        </w:rPr>
        <w:t>,</w:t>
      </w:r>
      <w:r w:rsidRPr="00C732EF">
        <w:rPr>
          <w:sz w:val="26"/>
          <w:szCs w:val="26"/>
        </w:rPr>
        <w:t xml:space="preserve"> for</w:t>
      </w:r>
      <w:r w:rsidR="00F3138A">
        <w:rPr>
          <w:sz w:val="26"/>
          <w:szCs w:val="26"/>
        </w:rPr>
        <w:t xml:space="preserve"> </w:t>
      </w:r>
      <w:r w:rsidRPr="00C732EF">
        <w:rPr>
          <w:sz w:val="26"/>
          <w:szCs w:val="26"/>
        </w:rPr>
        <w:t xml:space="preserve">purposes of 52 Pa. Code </w:t>
      </w:r>
      <w:r w:rsidR="003D7FBE">
        <w:rPr>
          <w:sz w:val="26"/>
          <w:szCs w:val="26"/>
        </w:rPr>
        <w:t xml:space="preserve">§ </w:t>
      </w:r>
      <w:r w:rsidRPr="00C732EF">
        <w:rPr>
          <w:sz w:val="26"/>
          <w:szCs w:val="26"/>
        </w:rPr>
        <w:t xml:space="preserve">5.533.  Furthermore, due to </w:t>
      </w:r>
      <w:r w:rsidR="0068200F">
        <w:rPr>
          <w:sz w:val="26"/>
          <w:szCs w:val="26"/>
        </w:rPr>
        <w:t xml:space="preserve">Complainant’s </w:t>
      </w:r>
      <w:r w:rsidRPr="00C732EF">
        <w:rPr>
          <w:sz w:val="26"/>
          <w:szCs w:val="26"/>
        </w:rPr>
        <w:t xml:space="preserve">failure to </w:t>
      </w:r>
      <w:r w:rsidR="0068200F">
        <w:rPr>
          <w:sz w:val="26"/>
          <w:szCs w:val="26"/>
        </w:rPr>
        <w:t>serve PGW</w:t>
      </w:r>
      <w:r w:rsidRPr="00C732EF">
        <w:rPr>
          <w:sz w:val="26"/>
          <w:szCs w:val="26"/>
        </w:rPr>
        <w:t>, and to avoid prejudice to any party</w:t>
      </w:r>
      <w:r w:rsidR="00483FEF">
        <w:rPr>
          <w:sz w:val="26"/>
          <w:szCs w:val="26"/>
        </w:rPr>
        <w:t>,</w:t>
      </w:r>
      <w:r w:rsidRPr="00C732EF">
        <w:rPr>
          <w:sz w:val="26"/>
          <w:szCs w:val="26"/>
        </w:rPr>
        <w:t xml:space="preserve"> pursuant to</w:t>
      </w:r>
      <w:r w:rsidR="00483FEF">
        <w:rPr>
          <w:sz w:val="26"/>
          <w:szCs w:val="26"/>
        </w:rPr>
        <w:t xml:space="preserve"> 52 Pa. Code</w:t>
      </w:r>
      <w:r w:rsidRPr="00C732EF">
        <w:rPr>
          <w:sz w:val="26"/>
          <w:szCs w:val="26"/>
        </w:rPr>
        <w:t xml:space="preserve"> </w:t>
      </w:r>
      <w:r w:rsidR="003D7FBE">
        <w:rPr>
          <w:sz w:val="26"/>
          <w:szCs w:val="26"/>
        </w:rPr>
        <w:t xml:space="preserve">§ </w:t>
      </w:r>
      <w:r w:rsidRPr="00C732EF">
        <w:rPr>
          <w:sz w:val="26"/>
          <w:szCs w:val="26"/>
        </w:rPr>
        <w:t xml:space="preserve">5.535, </w:t>
      </w:r>
      <w:r w:rsidR="0068200F">
        <w:rPr>
          <w:sz w:val="26"/>
          <w:szCs w:val="26"/>
        </w:rPr>
        <w:t>PGW was granted</w:t>
      </w:r>
      <w:r w:rsidRPr="00C732EF">
        <w:rPr>
          <w:sz w:val="26"/>
          <w:szCs w:val="26"/>
        </w:rPr>
        <w:t xml:space="preserve"> until February 10,</w:t>
      </w:r>
      <w:r w:rsidRPr="00C732EF">
        <w:rPr>
          <w:sz w:val="26"/>
          <w:szCs w:val="26"/>
          <w:vertAlign w:val="superscript"/>
        </w:rPr>
        <w:t xml:space="preserve"> </w:t>
      </w:r>
      <w:r w:rsidRPr="00C732EF">
        <w:rPr>
          <w:sz w:val="26"/>
          <w:szCs w:val="26"/>
        </w:rPr>
        <w:t>2020</w:t>
      </w:r>
      <w:r w:rsidR="0068200F">
        <w:rPr>
          <w:sz w:val="26"/>
          <w:szCs w:val="26"/>
        </w:rPr>
        <w:t>,</w:t>
      </w:r>
      <w:r w:rsidRPr="00C732EF">
        <w:rPr>
          <w:sz w:val="26"/>
          <w:szCs w:val="26"/>
        </w:rPr>
        <w:t xml:space="preserve"> to file Reply Exceptions.  PGW timely filed its Replies to Exceptions on </w:t>
      </w:r>
      <w:r w:rsidR="003D7FBE">
        <w:rPr>
          <w:sz w:val="26"/>
          <w:szCs w:val="26"/>
        </w:rPr>
        <w:t>that date.</w:t>
      </w:r>
      <w:r w:rsidRPr="00C732EF">
        <w:rPr>
          <w:sz w:val="26"/>
          <w:szCs w:val="26"/>
        </w:rPr>
        <w:t xml:space="preserve"> </w:t>
      </w:r>
    </w:p>
  </w:footnote>
  <w:footnote w:id="2">
    <w:p w14:paraId="24A18E4D" w14:textId="23530EDA" w:rsidR="00C20ECD" w:rsidRPr="009C3378" w:rsidRDefault="00C20ECD" w:rsidP="001C0D87">
      <w:pPr>
        <w:pStyle w:val="FootnoteText"/>
        <w:spacing w:after="120"/>
        <w:ind w:firstLine="720"/>
        <w:rPr>
          <w:sz w:val="26"/>
          <w:szCs w:val="26"/>
        </w:rPr>
      </w:pPr>
      <w:r w:rsidRPr="00C732EF">
        <w:rPr>
          <w:rStyle w:val="FootnoteReference"/>
          <w:sz w:val="26"/>
          <w:szCs w:val="26"/>
        </w:rPr>
        <w:footnoteRef/>
      </w:r>
      <w:r w:rsidRPr="00C732EF">
        <w:rPr>
          <w:sz w:val="26"/>
          <w:szCs w:val="26"/>
        </w:rPr>
        <w:t xml:space="preserve"> </w:t>
      </w:r>
      <w:r>
        <w:tab/>
      </w:r>
      <w:r w:rsidRPr="009C3378">
        <w:rPr>
          <w:sz w:val="26"/>
          <w:szCs w:val="26"/>
        </w:rPr>
        <w:t>The matter was assigned to a Special Agent for review, pursuant to 5</w:t>
      </w:r>
      <w:r w:rsidR="000416E3">
        <w:rPr>
          <w:sz w:val="26"/>
          <w:szCs w:val="26"/>
        </w:rPr>
        <w:t>2</w:t>
      </w:r>
      <w:r w:rsidRPr="009C3378">
        <w:rPr>
          <w:sz w:val="26"/>
          <w:szCs w:val="26"/>
        </w:rPr>
        <w:t xml:space="preserve"> Pa. Code §</w:t>
      </w:r>
      <w:r w:rsidR="00030684">
        <w:rPr>
          <w:sz w:val="26"/>
          <w:szCs w:val="26"/>
        </w:rPr>
        <w:t xml:space="preserve"> </w:t>
      </w:r>
      <w:r w:rsidRPr="009C3378">
        <w:rPr>
          <w:sz w:val="26"/>
          <w:szCs w:val="26"/>
        </w:rPr>
        <w:t>56.174 (prov</w:t>
      </w:r>
      <w:r w:rsidR="00F04645">
        <w:rPr>
          <w:sz w:val="26"/>
          <w:szCs w:val="26"/>
        </w:rPr>
        <w:t>iding</w:t>
      </w:r>
      <w:r w:rsidRPr="009C3378">
        <w:rPr>
          <w:sz w:val="26"/>
          <w:szCs w:val="26"/>
        </w:rPr>
        <w:t xml:space="preserve"> for review by a special agent for cases in which the sole issue is ability to pay). </w:t>
      </w:r>
    </w:p>
  </w:footnote>
  <w:footnote w:id="3">
    <w:p w14:paraId="64DCD3D2" w14:textId="77777777" w:rsidR="00C20ECD" w:rsidRPr="005F68EE" w:rsidRDefault="00C20ECD" w:rsidP="00A5161B">
      <w:pPr>
        <w:pStyle w:val="FootnoteText"/>
        <w:ind w:firstLine="720"/>
        <w:rPr>
          <w:sz w:val="26"/>
          <w:szCs w:val="26"/>
        </w:rPr>
      </w:pPr>
      <w:r w:rsidRPr="00C732EF">
        <w:rPr>
          <w:rStyle w:val="FootnoteReference"/>
          <w:sz w:val="26"/>
          <w:szCs w:val="26"/>
        </w:rPr>
        <w:footnoteRef/>
      </w:r>
      <w:r w:rsidRPr="00C732EF">
        <w:rPr>
          <w:sz w:val="26"/>
          <w:szCs w:val="26"/>
        </w:rPr>
        <w:t xml:space="preserve"> </w:t>
      </w:r>
      <w:r>
        <w:tab/>
      </w:r>
      <w:r w:rsidRPr="005F68EE">
        <w:rPr>
          <w:sz w:val="26"/>
          <w:szCs w:val="26"/>
        </w:rPr>
        <w:t xml:space="preserve">At </w:t>
      </w:r>
      <w:r w:rsidR="00672496">
        <w:rPr>
          <w:sz w:val="26"/>
          <w:szCs w:val="26"/>
        </w:rPr>
        <w:t xml:space="preserve">the </w:t>
      </w:r>
      <w:r w:rsidRPr="005F68EE">
        <w:rPr>
          <w:sz w:val="26"/>
          <w:szCs w:val="26"/>
        </w:rPr>
        <w:t xml:space="preserve">hearing, PGW made a verbal motion for the SA to order a penalty for abuse of process by the </w:t>
      </w:r>
      <w:proofErr w:type="gramStart"/>
      <w:r w:rsidRPr="005F68EE">
        <w:rPr>
          <w:sz w:val="26"/>
          <w:szCs w:val="26"/>
        </w:rPr>
        <w:t>Complainant, and</w:t>
      </w:r>
      <w:proofErr w:type="gramEnd"/>
      <w:r w:rsidRPr="005F68EE">
        <w:rPr>
          <w:sz w:val="26"/>
          <w:szCs w:val="26"/>
        </w:rPr>
        <w:t xml:space="preserve"> requested that the Complainant be precluded from filing any further informal or formal complai</w:t>
      </w:r>
      <w:r w:rsidR="00017BB9">
        <w:rPr>
          <w:sz w:val="26"/>
          <w:szCs w:val="26"/>
        </w:rPr>
        <w:t>n</w:t>
      </w:r>
      <w:r w:rsidRPr="005F68EE">
        <w:rPr>
          <w:sz w:val="26"/>
          <w:szCs w:val="26"/>
        </w:rPr>
        <w:t>ts against PGW until the Complainant resolves her outstanding balance of $4,604.50</w:t>
      </w:r>
      <w:r w:rsidR="00017BB9">
        <w:rPr>
          <w:sz w:val="26"/>
          <w:szCs w:val="26"/>
        </w:rPr>
        <w:t>,</w:t>
      </w:r>
      <w:r w:rsidRPr="005F68EE">
        <w:rPr>
          <w:sz w:val="26"/>
          <w:szCs w:val="26"/>
        </w:rPr>
        <w:t xml:space="preserve"> due to PGW.</w:t>
      </w:r>
      <w:r w:rsidR="00FD274D">
        <w:rPr>
          <w:sz w:val="26"/>
          <w:szCs w:val="26"/>
        </w:rPr>
        <w:t xml:space="preserve"> </w:t>
      </w:r>
      <w:r w:rsidR="00672496">
        <w:rPr>
          <w:sz w:val="26"/>
          <w:szCs w:val="26"/>
        </w:rPr>
        <w:t xml:space="preserve"> </w:t>
      </w:r>
      <w:r w:rsidR="00FD274D">
        <w:rPr>
          <w:sz w:val="26"/>
          <w:szCs w:val="26"/>
        </w:rPr>
        <w:t xml:space="preserve">The Motion was denied by SA Chiodo. </w:t>
      </w:r>
      <w:r w:rsidR="00672496">
        <w:rPr>
          <w:sz w:val="26"/>
          <w:szCs w:val="26"/>
        </w:rPr>
        <w:t xml:space="preserve"> </w:t>
      </w:r>
      <w:r w:rsidR="00FD274D">
        <w:rPr>
          <w:sz w:val="26"/>
          <w:szCs w:val="26"/>
        </w:rPr>
        <w:t>I.D. at 16.</w:t>
      </w:r>
    </w:p>
  </w:footnote>
  <w:footnote w:id="4">
    <w:p w14:paraId="06B713CE" w14:textId="77777777" w:rsidR="00A43404" w:rsidRPr="00F3138A" w:rsidRDefault="00A43404" w:rsidP="00EA65A1">
      <w:pPr>
        <w:pStyle w:val="FootnoteText"/>
        <w:spacing w:after="120"/>
        <w:ind w:firstLine="720"/>
        <w:rPr>
          <w:sz w:val="26"/>
          <w:szCs w:val="26"/>
        </w:rPr>
      </w:pPr>
      <w:r w:rsidRPr="00F3138A">
        <w:rPr>
          <w:rStyle w:val="FootnoteReference"/>
          <w:sz w:val="26"/>
          <w:szCs w:val="26"/>
        </w:rPr>
        <w:footnoteRef/>
      </w:r>
      <w:r w:rsidRPr="00F3138A">
        <w:rPr>
          <w:sz w:val="26"/>
          <w:szCs w:val="26"/>
        </w:rPr>
        <w:t xml:space="preserve"> </w:t>
      </w:r>
      <w:r w:rsidRPr="00F3138A">
        <w:rPr>
          <w:sz w:val="26"/>
          <w:szCs w:val="26"/>
        </w:rPr>
        <w:tab/>
        <w:t xml:space="preserve">The Complainant’s outstanding balance at the time of the hearing was </w:t>
      </w:r>
      <w:r w:rsidR="005617B9" w:rsidRPr="00F3138A">
        <w:rPr>
          <w:sz w:val="26"/>
          <w:szCs w:val="26"/>
        </w:rPr>
        <w:t xml:space="preserve">$4,604.50.  </w:t>
      </w:r>
      <w:r w:rsidR="00F33AAC" w:rsidRPr="00F3138A">
        <w:rPr>
          <w:sz w:val="26"/>
          <w:szCs w:val="26"/>
        </w:rPr>
        <w:t>I.D. at 3.</w:t>
      </w:r>
    </w:p>
  </w:footnote>
  <w:footnote w:id="5">
    <w:p w14:paraId="387F8A9F" w14:textId="77777777" w:rsidR="00C20ECD" w:rsidRPr="00F33AAC" w:rsidRDefault="00C20ECD" w:rsidP="00672496">
      <w:pPr>
        <w:pStyle w:val="FootnoteText"/>
        <w:ind w:firstLine="720"/>
        <w:rPr>
          <w:sz w:val="26"/>
          <w:szCs w:val="26"/>
        </w:rPr>
      </w:pPr>
      <w:r w:rsidRPr="00F33AAC">
        <w:rPr>
          <w:rStyle w:val="FootnoteReference"/>
          <w:sz w:val="26"/>
          <w:szCs w:val="26"/>
        </w:rPr>
        <w:footnoteRef/>
      </w:r>
      <w:r w:rsidRPr="00F33AAC">
        <w:rPr>
          <w:sz w:val="26"/>
          <w:szCs w:val="26"/>
        </w:rPr>
        <w:t xml:space="preserve"> </w:t>
      </w:r>
      <w:r w:rsidRPr="00F3138A">
        <w:rPr>
          <w:sz w:val="26"/>
          <w:szCs w:val="26"/>
        </w:rPr>
        <w:tab/>
      </w:r>
      <w:r w:rsidR="008D614A" w:rsidRPr="00F3138A">
        <w:rPr>
          <w:sz w:val="26"/>
          <w:szCs w:val="26"/>
        </w:rPr>
        <w:t xml:space="preserve">The </w:t>
      </w:r>
      <w:r w:rsidRPr="00F33AAC">
        <w:rPr>
          <w:sz w:val="26"/>
          <w:szCs w:val="26"/>
        </w:rPr>
        <w:t xml:space="preserve">Complainant was advised </w:t>
      </w:r>
      <w:r w:rsidRPr="00EE6F17">
        <w:rPr>
          <w:i/>
          <w:iCs/>
          <w:sz w:val="26"/>
          <w:szCs w:val="26"/>
        </w:rPr>
        <w:t>via</w:t>
      </w:r>
      <w:r w:rsidRPr="00EE6F17">
        <w:rPr>
          <w:sz w:val="26"/>
          <w:szCs w:val="26"/>
        </w:rPr>
        <w:t xml:space="preserve"> </w:t>
      </w:r>
      <w:r w:rsidR="008D614A" w:rsidRPr="00F33AAC">
        <w:rPr>
          <w:sz w:val="26"/>
          <w:szCs w:val="26"/>
        </w:rPr>
        <w:t xml:space="preserve">a </w:t>
      </w:r>
      <w:r w:rsidRPr="00F33AAC">
        <w:rPr>
          <w:sz w:val="26"/>
          <w:szCs w:val="26"/>
        </w:rPr>
        <w:t xml:space="preserve">March 21, 2019 Secretarial letter, of a ministerial defect in the Complainant’s originally filed Exceptions.  Upon curing the defect, </w:t>
      </w:r>
      <w:r w:rsidR="000205F9" w:rsidRPr="00F33AAC">
        <w:rPr>
          <w:sz w:val="26"/>
          <w:szCs w:val="26"/>
        </w:rPr>
        <w:t xml:space="preserve">the </w:t>
      </w:r>
      <w:r w:rsidRPr="00F33AAC">
        <w:rPr>
          <w:sz w:val="26"/>
          <w:szCs w:val="26"/>
        </w:rPr>
        <w:t xml:space="preserve">Complainant’s Exceptions were docketed as filed on March 15, 2019. </w:t>
      </w:r>
    </w:p>
  </w:footnote>
  <w:footnote w:id="6">
    <w:p w14:paraId="0FF5C5DD" w14:textId="77777777" w:rsidR="00C20ECD" w:rsidRPr="00176836" w:rsidRDefault="00C20ECD" w:rsidP="00E04D15">
      <w:pPr>
        <w:keepNext/>
        <w:keepLines/>
        <w:widowControl/>
        <w:ind w:firstLine="720"/>
        <w:rPr>
          <w:sz w:val="26"/>
          <w:szCs w:val="26"/>
        </w:rPr>
      </w:pPr>
      <w:r w:rsidRPr="00C732EF">
        <w:rPr>
          <w:rStyle w:val="FootnoteReference"/>
          <w:sz w:val="26"/>
          <w:szCs w:val="26"/>
        </w:rPr>
        <w:footnoteRef/>
      </w:r>
      <w:r w:rsidRPr="00C732EF">
        <w:rPr>
          <w:sz w:val="26"/>
          <w:szCs w:val="26"/>
        </w:rPr>
        <w:t xml:space="preserve"> </w:t>
      </w:r>
      <w:r w:rsidRPr="00C732EF">
        <w:rPr>
          <w:sz w:val="26"/>
          <w:szCs w:val="26"/>
        </w:rPr>
        <w:tab/>
        <w:t>A</w:t>
      </w:r>
      <w:r w:rsidRPr="00672496">
        <w:rPr>
          <w:sz w:val="26"/>
          <w:szCs w:val="26"/>
        </w:rPr>
        <w:t xml:space="preserve"> “change</w:t>
      </w:r>
      <w:r>
        <w:rPr>
          <w:sz w:val="26"/>
          <w:szCs w:val="26"/>
        </w:rPr>
        <w:t xml:space="preserve"> of income,” is defined as follows</w:t>
      </w:r>
      <w:r w:rsidRPr="00176836">
        <w:rPr>
          <w:sz w:val="26"/>
          <w:szCs w:val="26"/>
        </w:rPr>
        <w:t xml:space="preserve">: </w:t>
      </w:r>
    </w:p>
    <w:p w14:paraId="62B4696D" w14:textId="77777777" w:rsidR="00C20ECD" w:rsidRPr="00176836" w:rsidRDefault="00C20ECD" w:rsidP="00E04D15">
      <w:pPr>
        <w:keepNext/>
        <w:keepLines/>
        <w:widowControl/>
        <w:ind w:firstLine="1440"/>
        <w:rPr>
          <w:sz w:val="26"/>
          <w:szCs w:val="26"/>
        </w:rPr>
      </w:pPr>
    </w:p>
    <w:p w14:paraId="3E3D7901" w14:textId="77777777" w:rsidR="00C20ECD" w:rsidRDefault="00C20ECD" w:rsidP="00E04D15">
      <w:pPr>
        <w:keepNext/>
        <w:keepLines/>
        <w:widowControl/>
        <w:ind w:left="1440" w:right="1440"/>
        <w:rPr>
          <w:color w:val="212121"/>
          <w:sz w:val="26"/>
          <w:szCs w:val="26"/>
        </w:rPr>
      </w:pPr>
      <w:r w:rsidRPr="00176836">
        <w:rPr>
          <w:color w:val="212121"/>
          <w:sz w:val="26"/>
          <w:szCs w:val="26"/>
        </w:rPr>
        <w:t>A decrease in household income of 20% or more if the customer</w:t>
      </w:r>
      <w:r w:rsidR="00E04D15">
        <w:rPr>
          <w:color w:val="212121"/>
          <w:sz w:val="26"/>
          <w:szCs w:val="26"/>
        </w:rPr>
        <w:t>’</w:t>
      </w:r>
      <w:r w:rsidRPr="00176836">
        <w:rPr>
          <w:color w:val="212121"/>
          <w:sz w:val="26"/>
          <w:szCs w:val="26"/>
        </w:rPr>
        <w:t>s household income level exceeds 200% of the Federal poverty level or a decrease in household income of 10% or more if the customer's household income level is 200% or less of the Federal poverty level.</w:t>
      </w:r>
    </w:p>
    <w:p w14:paraId="5757DF3F" w14:textId="77777777" w:rsidR="00C20ECD" w:rsidRDefault="00C20ECD" w:rsidP="00E04D15">
      <w:pPr>
        <w:keepNext/>
        <w:keepLines/>
        <w:widowControl/>
        <w:ind w:left="1440" w:right="1440"/>
        <w:rPr>
          <w:color w:val="212121"/>
          <w:sz w:val="26"/>
          <w:szCs w:val="26"/>
        </w:rPr>
      </w:pPr>
    </w:p>
    <w:p w14:paraId="611C6374" w14:textId="77777777" w:rsidR="00C20ECD" w:rsidRPr="00E04D15" w:rsidRDefault="00C20ECD" w:rsidP="00E04D15">
      <w:pPr>
        <w:keepNext/>
        <w:keepLines/>
        <w:widowControl/>
        <w:spacing w:after="120"/>
        <w:ind w:right="1440"/>
        <w:rPr>
          <w:b/>
          <w:bCs/>
          <w:color w:val="212121"/>
          <w:sz w:val="26"/>
          <w:szCs w:val="26"/>
        </w:rPr>
      </w:pPr>
      <w:r w:rsidRPr="00176836">
        <w:rPr>
          <w:sz w:val="26"/>
          <w:szCs w:val="26"/>
        </w:rPr>
        <w:t>66 Pa.</w:t>
      </w:r>
      <w:r w:rsidR="00D01584">
        <w:rPr>
          <w:sz w:val="26"/>
          <w:szCs w:val="26"/>
        </w:rPr>
        <w:t xml:space="preserve"> </w:t>
      </w:r>
      <w:r w:rsidRPr="00176836">
        <w:rPr>
          <w:sz w:val="26"/>
          <w:szCs w:val="26"/>
        </w:rPr>
        <w:t>C.S. § 1403</w:t>
      </w:r>
      <w:r>
        <w:rPr>
          <w:sz w:val="26"/>
          <w:szCs w:val="26"/>
        </w:rPr>
        <w:t>.</w:t>
      </w:r>
    </w:p>
  </w:footnote>
  <w:footnote w:id="7">
    <w:p w14:paraId="192044BE" w14:textId="77777777" w:rsidR="00C20ECD" w:rsidRPr="00176836" w:rsidRDefault="00C20ECD" w:rsidP="00672496">
      <w:pPr>
        <w:widowControl/>
        <w:spacing w:line="360" w:lineRule="auto"/>
        <w:ind w:firstLine="720"/>
        <w:rPr>
          <w:sz w:val="26"/>
          <w:szCs w:val="26"/>
        </w:rPr>
      </w:pPr>
      <w:r w:rsidRPr="00C732EF">
        <w:rPr>
          <w:rStyle w:val="FootnoteReference"/>
          <w:sz w:val="26"/>
          <w:szCs w:val="26"/>
        </w:rPr>
        <w:footnoteRef/>
      </w:r>
      <w:r w:rsidRPr="00C732EF">
        <w:rPr>
          <w:sz w:val="26"/>
          <w:szCs w:val="26"/>
        </w:rPr>
        <w:t xml:space="preserve"> </w:t>
      </w:r>
      <w:r w:rsidRPr="00C732EF">
        <w:rPr>
          <w:sz w:val="26"/>
          <w:szCs w:val="26"/>
        </w:rPr>
        <w:tab/>
        <w:t>A</w:t>
      </w:r>
      <w:r w:rsidRPr="00672496">
        <w:rPr>
          <w:sz w:val="26"/>
          <w:szCs w:val="26"/>
        </w:rPr>
        <w:t xml:space="preserve"> “</w:t>
      </w:r>
      <w:r>
        <w:rPr>
          <w:sz w:val="26"/>
          <w:szCs w:val="26"/>
        </w:rPr>
        <w:t>significant change in circumstances,”</w:t>
      </w:r>
      <w:r w:rsidRPr="00176836">
        <w:rPr>
          <w:sz w:val="26"/>
          <w:szCs w:val="26"/>
        </w:rPr>
        <w:t xml:space="preserve"> </w:t>
      </w:r>
      <w:r>
        <w:rPr>
          <w:sz w:val="26"/>
          <w:szCs w:val="26"/>
        </w:rPr>
        <w:t xml:space="preserve">is defined </w:t>
      </w:r>
      <w:r w:rsidRPr="00176836">
        <w:rPr>
          <w:sz w:val="26"/>
          <w:szCs w:val="26"/>
        </w:rPr>
        <w:t>at 66 Pa.</w:t>
      </w:r>
      <w:r w:rsidR="00D01584">
        <w:rPr>
          <w:sz w:val="26"/>
          <w:szCs w:val="26"/>
        </w:rPr>
        <w:t xml:space="preserve"> </w:t>
      </w:r>
      <w:r w:rsidRPr="00176836">
        <w:rPr>
          <w:sz w:val="26"/>
          <w:szCs w:val="26"/>
        </w:rPr>
        <w:t xml:space="preserve">C.S. § 1403 as follows: </w:t>
      </w:r>
    </w:p>
    <w:p w14:paraId="05F9DA36" w14:textId="77777777" w:rsidR="00C20ECD" w:rsidRPr="00176836" w:rsidRDefault="00C20ECD" w:rsidP="0036331C">
      <w:pPr>
        <w:widowControl/>
        <w:ind w:left="1440" w:right="1440"/>
        <w:rPr>
          <w:sz w:val="26"/>
          <w:szCs w:val="26"/>
        </w:rPr>
      </w:pPr>
      <w:r w:rsidRPr="00176836">
        <w:rPr>
          <w:sz w:val="26"/>
          <w:szCs w:val="26"/>
        </w:rPr>
        <w:t xml:space="preserve">Any of the following criteria when verified by the public utility and experienced by customers with household income less than 300% of the Federal poverty level: </w:t>
      </w:r>
    </w:p>
    <w:p w14:paraId="5D34EB09" w14:textId="77777777" w:rsidR="00C20ECD" w:rsidRPr="00176836" w:rsidRDefault="00C20ECD" w:rsidP="0036331C">
      <w:pPr>
        <w:widowControl/>
        <w:ind w:left="1440" w:right="1440"/>
        <w:rPr>
          <w:sz w:val="26"/>
          <w:szCs w:val="26"/>
        </w:rPr>
      </w:pPr>
    </w:p>
    <w:p w14:paraId="5229928F" w14:textId="77777777" w:rsidR="00C20ECD" w:rsidRPr="00176836" w:rsidRDefault="00C20ECD" w:rsidP="00E04D15">
      <w:pPr>
        <w:widowControl/>
        <w:numPr>
          <w:ilvl w:val="0"/>
          <w:numId w:val="22"/>
        </w:numPr>
        <w:spacing w:after="120"/>
        <w:ind w:left="2160" w:right="1440" w:hanging="720"/>
        <w:rPr>
          <w:sz w:val="26"/>
          <w:szCs w:val="26"/>
        </w:rPr>
      </w:pPr>
      <w:r w:rsidRPr="00176836">
        <w:rPr>
          <w:sz w:val="26"/>
          <w:szCs w:val="26"/>
        </w:rPr>
        <w:t>The onset of a chronic or acute illness resulting in a significant loss in the customer’s household income.</w:t>
      </w:r>
    </w:p>
    <w:p w14:paraId="1FE84D12" w14:textId="77777777" w:rsidR="00C20ECD" w:rsidRPr="00176836" w:rsidRDefault="00C20ECD" w:rsidP="00E04D15">
      <w:pPr>
        <w:widowControl/>
        <w:numPr>
          <w:ilvl w:val="0"/>
          <w:numId w:val="22"/>
        </w:numPr>
        <w:spacing w:after="120"/>
        <w:ind w:left="2160" w:right="1440" w:hanging="720"/>
        <w:rPr>
          <w:sz w:val="26"/>
          <w:szCs w:val="26"/>
        </w:rPr>
      </w:pPr>
      <w:r w:rsidRPr="00176836">
        <w:rPr>
          <w:sz w:val="26"/>
          <w:szCs w:val="26"/>
        </w:rPr>
        <w:t xml:space="preserve">Catastrophic damage to the customer’s residence resulting in a significant net cost to the customer’s household. </w:t>
      </w:r>
    </w:p>
    <w:p w14:paraId="2DE16C34" w14:textId="77777777" w:rsidR="00C20ECD" w:rsidRPr="00176836" w:rsidRDefault="00C20ECD" w:rsidP="00E04D15">
      <w:pPr>
        <w:widowControl/>
        <w:numPr>
          <w:ilvl w:val="0"/>
          <w:numId w:val="22"/>
        </w:numPr>
        <w:spacing w:after="120"/>
        <w:ind w:left="2160" w:right="1440" w:hanging="720"/>
        <w:rPr>
          <w:sz w:val="26"/>
          <w:szCs w:val="26"/>
        </w:rPr>
      </w:pPr>
      <w:r w:rsidRPr="00176836">
        <w:rPr>
          <w:sz w:val="26"/>
          <w:szCs w:val="26"/>
        </w:rPr>
        <w:t xml:space="preserve">Loss of customer’s residence. </w:t>
      </w:r>
    </w:p>
    <w:p w14:paraId="3C00D75D" w14:textId="274C964A" w:rsidR="00C20ECD" w:rsidRPr="00C8686C" w:rsidRDefault="00C20ECD" w:rsidP="00E04D15">
      <w:pPr>
        <w:widowControl/>
        <w:numPr>
          <w:ilvl w:val="0"/>
          <w:numId w:val="22"/>
        </w:numPr>
        <w:ind w:left="2160" w:right="1440" w:hanging="720"/>
        <w:contextualSpacing/>
        <w:rPr>
          <w:sz w:val="26"/>
          <w:szCs w:val="26"/>
        </w:rPr>
      </w:pPr>
      <w:r w:rsidRPr="00176836">
        <w:rPr>
          <w:sz w:val="26"/>
          <w:szCs w:val="26"/>
        </w:rPr>
        <w:t>Increase in the customer’s number of dependents in the househol</w:t>
      </w:r>
      <w:r>
        <w:rPr>
          <w:sz w:val="26"/>
          <w:szCs w:val="26"/>
        </w:rPr>
        <w:t>d</w:t>
      </w:r>
      <w:r w:rsidR="00112EB9">
        <w:rPr>
          <w:sz w:val="26"/>
          <w:szCs w:val="26"/>
        </w:rPr>
        <w:t>.</w:t>
      </w:r>
    </w:p>
  </w:footnote>
  <w:footnote w:id="8">
    <w:p w14:paraId="0752E7C6" w14:textId="77777777" w:rsidR="00650B76" w:rsidRPr="001A0E5C" w:rsidRDefault="00C20ECD" w:rsidP="00E04D15">
      <w:pPr>
        <w:pStyle w:val="FootnoteText"/>
        <w:spacing w:after="120"/>
        <w:ind w:firstLine="720"/>
        <w:rPr>
          <w:sz w:val="26"/>
          <w:szCs w:val="26"/>
        </w:rPr>
      </w:pPr>
      <w:r w:rsidRPr="00F3138A">
        <w:rPr>
          <w:rStyle w:val="FootnoteReference"/>
          <w:sz w:val="26"/>
          <w:szCs w:val="26"/>
        </w:rPr>
        <w:footnoteRef/>
      </w:r>
      <w:r w:rsidRPr="00F3138A">
        <w:rPr>
          <w:sz w:val="26"/>
          <w:szCs w:val="26"/>
        </w:rPr>
        <w:t xml:space="preserve"> </w:t>
      </w:r>
      <w:r w:rsidRPr="00F3138A">
        <w:rPr>
          <w:sz w:val="26"/>
          <w:szCs w:val="26"/>
        </w:rPr>
        <w:tab/>
      </w:r>
      <w:r w:rsidRPr="001A0E5C">
        <w:rPr>
          <w:sz w:val="26"/>
          <w:szCs w:val="26"/>
        </w:rPr>
        <w:t xml:space="preserve">We note that </w:t>
      </w:r>
      <w:r w:rsidR="00620F18" w:rsidRPr="00DE2EF5">
        <w:rPr>
          <w:sz w:val="26"/>
          <w:szCs w:val="26"/>
        </w:rPr>
        <w:t xml:space="preserve">the </w:t>
      </w:r>
      <w:r w:rsidRPr="001C093E">
        <w:rPr>
          <w:sz w:val="26"/>
          <w:szCs w:val="26"/>
        </w:rPr>
        <w:t>Complainan</w:t>
      </w:r>
      <w:r w:rsidRPr="004E0DDE">
        <w:rPr>
          <w:sz w:val="26"/>
          <w:szCs w:val="26"/>
        </w:rPr>
        <w:t>t’s Exceptions</w:t>
      </w:r>
      <w:r w:rsidR="00876ECC" w:rsidRPr="004E0DDE">
        <w:rPr>
          <w:sz w:val="26"/>
          <w:szCs w:val="26"/>
        </w:rPr>
        <w:t xml:space="preserve"> consists of two pages; one page is a copy of a bank statement and the cover page </w:t>
      </w:r>
      <w:r w:rsidR="00650B76" w:rsidRPr="001A0E5C">
        <w:rPr>
          <w:sz w:val="26"/>
          <w:szCs w:val="26"/>
        </w:rPr>
        <w:t>state</w:t>
      </w:r>
      <w:r w:rsidR="00876ECC" w:rsidRPr="001A0E5C">
        <w:rPr>
          <w:sz w:val="26"/>
          <w:szCs w:val="26"/>
        </w:rPr>
        <w:t>s</w:t>
      </w:r>
      <w:r w:rsidR="00650B76" w:rsidRPr="001A0E5C">
        <w:rPr>
          <w:sz w:val="26"/>
          <w:szCs w:val="26"/>
        </w:rPr>
        <w:t xml:space="preserve"> only the following: </w:t>
      </w:r>
    </w:p>
    <w:p w14:paraId="12925A5E" w14:textId="77777777" w:rsidR="00876ECC" w:rsidRDefault="00650B76" w:rsidP="00622B35">
      <w:pPr>
        <w:pStyle w:val="FootnoteText"/>
        <w:ind w:firstLine="720"/>
        <w:rPr>
          <w:sz w:val="26"/>
          <w:szCs w:val="26"/>
        </w:rPr>
      </w:pPr>
      <w:r>
        <w:rPr>
          <w:sz w:val="26"/>
          <w:szCs w:val="26"/>
        </w:rPr>
        <w:t>Burden of Proof Page 15 #3</w:t>
      </w:r>
    </w:p>
    <w:p w14:paraId="13A18DE9" w14:textId="77777777" w:rsidR="00876ECC" w:rsidRDefault="00876ECC" w:rsidP="00622B35">
      <w:pPr>
        <w:pStyle w:val="FootnoteText"/>
        <w:ind w:firstLine="720"/>
        <w:rPr>
          <w:sz w:val="26"/>
          <w:szCs w:val="26"/>
        </w:rPr>
      </w:pPr>
      <w:r>
        <w:rPr>
          <w:sz w:val="26"/>
          <w:szCs w:val="26"/>
        </w:rPr>
        <w:t xml:space="preserve">Copy of my bank Statement for January 12-29 (enclosed) </w:t>
      </w:r>
    </w:p>
    <w:p w14:paraId="37CDDB3E" w14:textId="77777777" w:rsidR="00876ECC" w:rsidRDefault="00876ECC" w:rsidP="00E04D15">
      <w:pPr>
        <w:pStyle w:val="FootnoteText"/>
        <w:spacing w:after="120"/>
        <w:ind w:firstLine="720"/>
        <w:rPr>
          <w:sz w:val="26"/>
          <w:szCs w:val="26"/>
        </w:rPr>
      </w:pPr>
      <w:r>
        <w:rPr>
          <w:sz w:val="26"/>
          <w:szCs w:val="26"/>
        </w:rPr>
        <w:t>Household size has increased.</w:t>
      </w:r>
    </w:p>
    <w:p w14:paraId="6F60AAD1" w14:textId="77777777" w:rsidR="00C20ECD" w:rsidRPr="008C7480" w:rsidRDefault="00876ECC" w:rsidP="00876ECC">
      <w:pPr>
        <w:pStyle w:val="FootnoteText"/>
        <w:rPr>
          <w:sz w:val="26"/>
          <w:szCs w:val="26"/>
        </w:rPr>
      </w:pPr>
      <w:r>
        <w:rPr>
          <w:sz w:val="26"/>
          <w:szCs w:val="26"/>
        </w:rPr>
        <w:t>Exc. at 1</w:t>
      </w:r>
      <w:r w:rsidR="008C7480">
        <w:rPr>
          <w:sz w:val="26"/>
          <w:szCs w:val="26"/>
        </w:rPr>
        <w:t>.</w:t>
      </w:r>
      <w:r>
        <w:rPr>
          <w:sz w:val="26"/>
          <w:szCs w:val="26"/>
        </w:rPr>
        <w:t xml:space="preserve">  As stated, the Exceptions </w:t>
      </w:r>
      <w:r w:rsidRPr="00257308">
        <w:rPr>
          <w:sz w:val="26"/>
          <w:szCs w:val="26"/>
        </w:rPr>
        <w:t xml:space="preserve">are not set forth in numbered paragraphs and do not identify the finding of fact or conclusion of law </w:t>
      </w:r>
      <w:r>
        <w:rPr>
          <w:sz w:val="26"/>
          <w:szCs w:val="26"/>
        </w:rPr>
        <w:t xml:space="preserve">to be </w:t>
      </w:r>
      <w:r w:rsidRPr="00257308">
        <w:rPr>
          <w:sz w:val="26"/>
          <w:szCs w:val="26"/>
        </w:rPr>
        <w:t>challenged</w:t>
      </w:r>
      <w:r>
        <w:rPr>
          <w:sz w:val="26"/>
          <w:szCs w:val="26"/>
        </w:rPr>
        <w:t xml:space="preserve">, and therefore </w:t>
      </w:r>
      <w:r w:rsidRPr="009710B4">
        <w:rPr>
          <w:sz w:val="26"/>
          <w:szCs w:val="26"/>
        </w:rPr>
        <w:t xml:space="preserve">do not conform with our Regulations </w:t>
      </w:r>
      <w:r>
        <w:rPr>
          <w:sz w:val="26"/>
          <w:szCs w:val="26"/>
        </w:rPr>
        <w:t xml:space="preserve">at </w:t>
      </w:r>
      <w:r w:rsidRPr="008A0C21">
        <w:rPr>
          <w:sz w:val="26"/>
          <w:szCs w:val="26"/>
        </w:rPr>
        <w:t>52 Pa. Code § 5.533</w:t>
      </w:r>
      <w:r>
        <w:rPr>
          <w:sz w:val="26"/>
          <w:szCs w:val="26"/>
        </w:rPr>
        <w:t xml:space="preserve">, </w:t>
      </w:r>
      <w:r w:rsidRPr="009710B4">
        <w:rPr>
          <w:sz w:val="26"/>
          <w:szCs w:val="26"/>
        </w:rPr>
        <w:t>governing format</w:t>
      </w:r>
      <w:r>
        <w:rPr>
          <w:sz w:val="26"/>
          <w:szCs w:val="26"/>
        </w:rPr>
        <w:t xml:space="preserve">.  However, because the Complainant appears </w:t>
      </w:r>
      <w:r w:rsidRPr="009710B4">
        <w:rPr>
          <w:i/>
          <w:iCs/>
          <w:sz w:val="26"/>
          <w:szCs w:val="26"/>
        </w:rPr>
        <w:t>pro se</w:t>
      </w:r>
      <w:r>
        <w:rPr>
          <w:sz w:val="26"/>
          <w:szCs w:val="26"/>
        </w:rPr>
        <w:t xml:space="preserve">, in the interest of justice, we </w:t>
      </w:r>
      <w:r w:rsidRPr="009710B4">
        <w:rPr>
          <w:sz w:val="26"/>
          <w:szCs w:val="26"/>
        </w:rPr>
        <w:t xml:space="preserve">shall </w:t>
      </w:r>
      <w:r>
        <w:rPr>
          <w:sz w:val="26"/>
          <w:szCs w:val="26"/>
        </w:rPr>
        <w:t xml:space="preserve">exercise our discretion to liberally construe our </w:t>
      </w:r>
      <w:r w:rsidRPr="007063CA">
        <w:rPr>
          <w:sz w:val="26"/>
          <w:szCs w:val="26"/>
        </w:rPr>
        <w:t>regulations</w:t>
      </w:r>
      <w:r>
        <w:rPr>
          <w:sz w:val="26"/>
          <w:szCs w:val="26"/>
        </w:rPr>
        <w:t>, to treat the Exceptions as properly filed</w:t>
      </w:r>
      <w:r w:rsidRPr="007063CA">
        <w:rPr>
          <w:sz w:val="26"/>
          <w:szCs w:val="26"/>
        </w:rPr>
        <w:t xml:space="preserve">. </w:t>
      </w:r>
      <w:r>
        <w:rPr>
          <w:sz w:val="26"/>
          <w:szCs w:val="26"/>
        </w:rPr>
        <w:t xml:space="preserve"> </w:t>
      </w:r>
      <w:r w:rsidRPr="007063CA">
        <w:rPr>
          <w:i/>
          <w:iCs/>
          <w:sz w:val="26"/>
          <w:szCs w:val="26"/>
        </w:rPr>
        <w:t>See</w:t>
      </w:r>
      <w:r w:rsidRPr="007063CA">
        <w:rPr>
          <w:sz w:val="26"/>
          <w:szCs w:val="26"/>
        </w:rPr>
        <w:t xml:space="preserve"> 52 </w:t>
      </w:r>
      <w:r>
        <w:rPr>
          <w:sz w:val="26"/>
          <w:szCs w:val="26"/>
        </w:rPr>
        <w:t>P</w:t>
      </w:r>
      <w:r w:rsidRPr="007063CA">
        <w:rPr>
          <w:sz w:val="26"/>
          <w:szCs w:val="26"/>
        </w:rPr>
        <w:t>a. Code § 1.2</w:t>
      </w:r>
      <w:r>
        <w:rPr>
          <w:sz w:val="26"/>
          <w:szCs w:val="26"/>
        </w:rPr>
        <w:t>(a) and (d)</w:t>
      </w:r>
      <w:r w:rsidRPr="007063CA">
        <w:rPr>
          <w:sz w:val="26"/>
          <w:szCs w:val="26"/>
        </w:rPr>
        <w:t>.</w:t>
      </w:r>
      <w:r>
        <w:t xml:space="preserve"> </w:t>
      </w:r>
    </w:p>
  </w:footnote>
  <w:footnote w:id="9">
    <w:p w14:paraId="6A861733" w14:textId="77777777" w:rsidR="00236783" w:rsidRPr="00C732EF" w:rsidRDefault="00236783" w:rsidP="00236783">
      <w:pPr>
        <w:pStyle w:val="FootnoteText"/>
        <w:ind w:firstLine="720"/>
        <w:rPr>
          <w:sz w:val="26"/>
          <w:szCs w:val="26"/>
        </w:rPr>
      </w:pPr>
      <w:r w:rsidRPr="00C732EF">
        <w:rPr>
          <w:rStyle w:val="FootnoteReference"/>
          <w:sz w:val="26"/>
          <w:szCs w:val="26"/>
        </w:rPr>
        <w:footnoteRef/>
      </w:r>
      <w:r w:rsidRPr="00C732EF">
        <w:rPr>
          <w:sz w:val="26"/>
          <w:szCs w:val="26"/>
        </w:rPr>
        <w:t xml:space="preserve"> </w:t>
      </w:r>
      <w:r w:rsidRPr="00C732EF">
        <w:rPr>
          <w:sz w:val="26"/>
          <w:szCs w:val="26"/>
        </w:rPr>
        <w:tab/>
        <w:t>Given that the exhibit</w:t>
      </w:r>
      <w:r w:rsidR="00227D50">
        <w:rPr>
          <w:sz w:val="26"/>
          <w:szCs w:val="26"/>
        </w:rPr>
        <w:t xml:space="preserve"> attached to </w:t>
      </w:r>
      <w:r w:rsidR="00E02ADD">
        <w:rPr>
          <w:sz w:val="26"/>
          <w:szCs w:val="26"/>
        </w:rPr>
        <w:t xml:space="preserve">the </w:t>
      </w:r>
      <w:r w:rsidR="00227D50">
        <w:rPr>
          <w:sz w:val="26"/>
          <w:szCs w:val="26"/>
        </w:rPr>
        <w:t>Complainant’s Exceptions</w:t>
      </w:r>
      <w:r w:rsidRPr="00C732EF">
        <w:rPr>
          <w:sz w:val="26"/>
          <w:szCs w:val="26"/>
        </w:rPr>
        <w:t xml:space="preserve"> was introduced after the close of the record and is</w:t>
      </w:r>
      <w:r w:rsidR="001072D0">
        <w:rPr>
          <w:sz w:val="26"/>
          <w:szCs w:val="26"/>
        </w:rPr>
        <w:t>,</w:t>
      </w:r>
      <w:r w:rsidRPr="00C732EF">
        <w:rPr>
          <w:sz w:val="26"/>
          <w:szCs w:val="26"/>
        </w:rPr>
        <w:t xml:space="preserve"> thus</w:t>
      </w:r>
      <w:r w:rsidR="001072D0">
        <w:rPr>
          <w:sz w:val="26"/>
          <w:szCs w:val="26"/>
        </w:rPr>
        <w:t>,</w:t>
      </w:r>
      <w:r w:rsidRPr="00C732EF">
        <w:rPr>
          <w:sz w:val="26"/>
          <w:szCs w:val="26"/>
        </w:rPr>
        <w:t xml:space="preserve"> after record evidence objected to by PGW, we will not consider it in rendering our decision on this matter.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535F49"/>
    <w:multiLevelType w:val="hybridMultilevel"/>
    <w:tmpl w:val="363E53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652E64"/>
    <w:multiLevelType w:val="hybridMultilevel"/>
    <w:tmpl w:val="17113D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93875"/>
    <w:multiLevelType w:val="hybridMultilevel"/>
    <w:tmpl w:val="F89897C8"/>
    <w:lvl w:ilvl="0" w:tplc="EFC28A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502A72"/>
    <w:multiLevelType w:val="hybridMultilevel"/>
    <w:tmpl w:val="8B0479A0"/>
    <w:lvl w:ilvl="0" w:tplc="C8C25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837DC"/>
    <w:multiLevelType w:val="hybridMultilevel"/>
    <w:tmpl w:val="9E22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F456F"/>
    <w:multiLevelType w:val="hybridMultilevel"/>
    <w:tmpl w:val="5D9EF5CC"/>
    <w:lvl w:ilvl="0" w:tplc="DC0AE7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BE0B31"/>
    <w:multiLevelType w:val="hybridMultilevel"/>
    <w:tmpl w:val="7DA23EC4"/>
    <w:lvl w:ilvl="0" w:tplc="D5B40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82E19"/>
    <w:multiLevelType w:val="hybridMultilevel"/>
    <w:tmpl w:val="E236CFB4"/>
    <w:lvl w:ilvl="0" w:tplc="E128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4A50C3"/>
    <w:multiLevelType w:val="hybridMultilevel"/>
    <w:tmpl w:val="5DA4BE18"/>
    <w:lvl w:ilvl="0" w:tplc="924E2D46">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B54A44"/>
    <w:multiLevelType w:val="hybridMultilevel"/>
    <w:tmpl w:val="D9D42A80"/>
    <w:lvl w:ilvl="0" w:tplc="2DDC9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76272"/>
    <w:multiLevelType w:val="hybridMultilevel"/>
    <w:tmpl w:val="26BEC772"/>
    <w:lvl w:ilvl="0" w:tplc="95F438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6762A53"/>
    <w:multiLevelType w:val="hybridMultilevel"/>
    <w:tmpl w:val="1AD6F9EE"/>
    <w:lvl w:ilvl="0" w:tplc="93F0E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49445D"/>
    <w:multiLevelType w:val="hybridMultilevel"/>
    <w:tmpl w:val="DA36052E"/>
    <w:lvl w:ilvl="0" w:tplc="531A6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960409"/>
    <w:multiLevelType w:val="hybridMultilevel"/>
    <w:tmpl w:val="E14A67F6"/>
    <w:lvl w:ilvl="0" w:tplc="3CB0B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616E4E"/>
    <w:multiLevelType w:val="hybridMultilevel"/>
    <w:tmpl w:val="C1464400"/>
    <w:lvl w:ilvl="0" w:tplc="BFF6E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F55002"/>
    <w:multiLevelType w:val="hybridMultilevel"/>
    <w:tmpl w:val="637C12A8"/>
    <w:lvl w:ilvl="0" w:tplc="F97CB6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1F43E9"/>
    <w:multiLevelType w:val="hybridMultilevel"/>
    <w:tmpl w:val="F97CCA16"/>
    <w:lvl w:ilvl="0" w:tplc="239223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47004D4"/>
    <w:multiLevelType w:val="hybridMultilevel"/>
    <w:tmpl w:val="BECC0D4A"/>
    <w:lvl w:ilvl="0" w:tplc="A6DE272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76567"/>
    <w:multiLevelType w:val="hybridMultilevel"/>
    <w:tmpl w:val="AAE45BA6"/>
    <w:lvl w:ilvl="0" w:tplc="28329506">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69C1A712"/>
    <w:multiLevelType w:val="hybridMultilevel"/>
    <w:tmpl w:val="7ABBC7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B2B0EB9"/>
    <w:multiLevelType w:val="hybridMultilevel"/>
    <w:tmpl w:val="D298977A"/>
    <w:lvl w:ilvl="0" w:tplc="605C22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4"/>
  </w:num>
  <w:num w:numId="3">
    <w:abstractNumId w:val="5"/>
  </w:num>
  <w:num w:numId="4">
    <w:abstractNumId w:val="2"/>
  </w:num>
  <w:num w:numId="5">
    <w:abstractNumId w:val="9"/>
  </w:num>
  <w:num w:numId="6">
    <w:abstractNumId w:val="16"/>
  </w:num>
  <w:num w:numId="7">
    <w:abstractNumId w:val="8"/>
  </w:num>
  <w:num w:numId="8">
    <w:abstractNumId w:val="15"/>
  </w:num>
  <w:num w:numId="9">
    <w:abstractNumId w:val="6"/>
  </w:num>
  <w:num w:numId="10">
    <w:abstractNumId w:val="13"/>
  </w:num>
  <w:num w:numId="11">
    <w:abstractNumId w:val="14"/>
  </w:num>
  <w:num w:numId="12">
    <w:abstractNumId w:val="12"/>
  </w:num>
  <w:num w:numId="13">
    <w:abstractNumId w:val="7"/>
  </w:num>
  <w:num w:numId="14">
    <w:abstractNumId w:val="3"/>
  </w:num>
  <w:num w:numId="15">
    <w:abstractNumId w:val="18"/>
  </w:num>
  <w:num w:numId="16">
    <w:abstractNumId w:val="0"/>
  </w:num>
  <w:num w:numId="17">
    <w:abstractNumId w:val="20"/>
  </w:num>
  <w:num w:numId="18">
    <w:abstractNumId w:val="1"/>
  </w:num>
  <w:num w:numId="19">
    <w:abstractNumId w:val="10"/>
  </w:num>
  <w:num w:numId="20">
    <w:abstractNumId w:val="21"/>
  </w:num>
  <w:num w:numId="21">
    <w:abstractNumId w:val="1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5E"/>
    <w:rsid w:val="00001A9F"/>
    <w:rsid w:val="00001AE3"/>
    <w:rsid w:val="000021AB"/>
    <w:rsid w:val="0000433A"/>
    <w:rsid w:val="00004757"/>
    <w:rsid w:val="000057D6"/>
    <w:rsid w:val="00006AFC"/>
    <w:rsid w:val="000133F6"/>
    <w:rsid w:val="00013BD3"/>
    <w:rsid w:val="00013E77"/>
    <w:rsid w:val="00014746"/>
    <w:rsid w:val="00015802"/>
    <w:rsid w:val="00017BB9"/>
    <w:rsid w:val="000203E2"/>
    <w:rsid w:val="000205F9"/>
    <w:rsid w:val="000236E4"/>
    <w:rsid w:val="00023FFD"/>
    <w:rsid w:val="0002506D"/>
    <w:rsid w:val="00025076"/>
    <w:rsid w:val="000259EB"/>
    <w:rsid w:val="00025DF9"/>
    <w:rsid w:val="00025E69"/>
    <w:rsid w:val="00030684"/>
    <w:rsid w:val="00030EE5"/>
    <w:rsid w:val="00032EFB"/>
    <w:rsid w:val="000359C0"/>
    <w:rsid w:val="00036D74"/>
    <w:rsid w:val="000416E3"/>
    <w:rsid w:val="00041F45"/>
    <w:rsid w:val="00042D57"/>
    <w:rsid w:val="00042F28"/>
    <w:rsid w:val="00043176"/>
    <w:rsid w:val="00047197"/>
    <w:rsid w:val="000473BF"/>
    <w:rsid w:val="00050267"/>
    <w:rsid w:val="00050351"/>
    <w:rsid w:val="00051A66"/>
    <w:rsid w:val="00051FAA"/>
    <w:rsid w:val="0005338E"/>
    <w:rsid w:val="000538FB"/>
    <w:rsid w:val="00054291"/>
    <w:rsid w:val="00054989"/>
    <w:rsid w:val="00055921"/>
    <w:rsid w:val="00055DC6"/>
    <w:rsid w:val="000571B2"/>
    <w:rsid w:val="00057FF2"/>
    <w:rsid w:val="0006149A"/>
    <w:rsid w:val="00061B71"/>
    <w:rsid w:val="00064338"/>
    <w:rsid w:val="0006698F"/>
    <w:rsid w:val="00070145"/>
    <w:rsid w:val="0007078A"/>
    <w:rsid w:val="00070BE0"/>
    <w:rsid w:val="00072FB2"/>
    <w:rsid w:val="00074861"/>
    <w:rsid w:val="00077644"/>
    <w:rsid w:val="00077D2C"/>
    <w:rsid w:val="00077D3D"/>
    <w:rsid w:val="00080A5D"/>
    <w:rsid w:val="00080FD5"/>
    <w:rsid w:val="00081036"/>
    <w:rsid w:val="000817E0"/>
    <w:rsid w:val="00083ABE"/>
    <w:rsid w:val="00084203"/>
    <w:rsid w:val="00084C97"/>
    <w:rsid w:val="00086CEC"/>
    <w:rsid w:val="00086F0B"/>
    <w:rsid w:val="00087914"/>
    <w:rsid w:val="00090C69"/>
    <w:rsid w:val="00092416"/>
    <w:rsid w:val="000939C7"/>
    <w:rsid w:val="00094518"/>
    <w:rsid w:val="000959E2"/>
    <w:rsid w:val="0009621E"/>
    <w:rsid w:val="0009637B"/>
    <w:rsid w:val="000966CC"/>
    <w:rsid w:val="00096DEE"/>
    <w:rsid w:val="0009777B"/>
    <w:rsid w:val="000A1BD3"/>
    <w:rsid w:val="000A3525"/>
    <w:rsid w:val="000A42D1"/>
    <w:rsid w:val="000A5F88"/>
    <w:rsid w:val="000A7C2C"/>
    <w:rsid w:val="000A7E67"/>
    <w:rsid w:val="000B255B"/>
    <w:rsid w:val="000B2AC8"/>
    <w:rsid w:val="000B42AD"/>
    <w:rsid w:val="000B46BD"/>
    <w:rsid w:val="000B4D47"/>
    <w:rsid w:val="000B674B"/>
    <w:rsid w:val="000C0FE0"/>
    <w:rsid w:val="000C2859"/>
    <w:rsid w:val="000C4245"/>
    <w:rsid w:val="000C585B"/>
    <w:rsid w:val="000C5C19"/>
    <w:rsid w:val="000D1BCC"/>
    <w:rsid w:val="000D20DD"/>
    <w:rsid w:val="000D2D66"/>
    <w:rsid w:val="000D3D1A"/>
    <w:rsid w:val="000D4DCA"/>
    <w:rsid w:val="000D7003"/>
    <w:rsid w:val="000D775F"/>
    <w:rsid w:val="000D77E6"/>
    <w:rsid w:val="000D7C55"/>
    <w:rsid w:val="000E0683"/>
    <w:rsid w:val="000E0830"/>
    <w:rsid w:val="000E1EF3"/>
    <w:rsid w:val="000E5C56"/>
    <w:rsid w:val="000E7543"/>
    <w:rsid w:val="000F00B7"/>
    <w:rsid w:val="000F03E5"/>
    <w:rsid w:val="000F0A1B"/>
    <w:rsid w:val="000F2344"/>
    <w:rsid w:val="000F236A"/>
    <w:rsid w:val="000F384D"/>
    <w:rsid w:val="000F4166"/>
    <w:rsid w:val="000F4FA5"/>
    <w:rsid w:val="000F4FDF"/>
    <w:rsid w:val="000F72BD"/>
    <w:rsid w:val="000F7450"/>
    <w:rsid w:val="000F76C2"/>
    <w:rsid w:val="000F7D04"/>
    <w:rsid w:val="00104496"/>
    <w:rsid w:val="00105601"/>
    <w:rsid w:val="0010585D"/>
    <w:rsid w:val="0010681B"/>
    <w:rsid w:val="001072D0"/>
    <w:rsid w:val="00107339"/>
    <w:rsid w:val="001104DF"/>
    <w:rsid w:val="0011069E"/>
    <w:rsid w:val="00112EB9"/>
    <w:rsid w:val="00114BA6"/>
    <w:rsid w:val="00115DC3"/>
    <w:rsid w:val="00115F20"/>
    <w:rsid w:val="00120C01"/>
    <w:rsid w:val="00122B7C"/>
    <w:rsid w:val="00122E03"/>
    <w:rsid w:val="00124F6E"/>
    <w:rsid w:val="0012587E"/>
    <w:rsid w:val="00126DE3"/>
    <w:rsid w:val="00127620"/>
    <w:rsid w:val="00130237"/>
    <w:rsid w:val="00130895"/>
    <w:rsid w:val="00134B21"/>
    <w:rsid w:val="00135575"/>
    <w:rsid w:val="001429A6"/>
    <w:rsid w:val="00143206"/>
    <w:rsid w:val="001436E5"/>
    <w:rsid w:val="00145453"/>
    <w:rsid w:val="001479B9"/>
    <w:rsid w:val="00151849"/>
    <w:rsid w:val="00152023"/>
    <w:rsid w:val="00152A79"/>
    <w:rsid w:val="0015304B"/>
    <w:rsid w:val="001550CF"/>
    <w:rsid w:val="00155718"/>
    <w:rsid w:val="00163A41"/>
    <w:rsid w:val="00166F8A"/>
    <w:rsid w:val="00172DE2"/>
    <w:rsid w:val="00172F07"/>
    <w:rsid w:val="00172F11"/>
    <w:rsid w:val="00173C8A"/>
    <w:rsid w:val="00174A3B"/>
    <w:rsid w:val="00175368"/>
    <w:rsid w:val="00176EE0"/>
    <w:rsid w:val="00177400"/>
    <w:rsid w:val="00180BCC"/>
    <w:rsid w:val="001816D6"/>
    <w:rsid w:val="001817E2"/>
    <w:rsid w:val="00183C71"/>
    <w:rsid w:val="001849C0"/>
    <w:rsid w:val="00185079"/>
    <w:rsid w:val="001863FF"/>
    <w:rsid w:val="00186CEC"/>
    <w:rsid w:val="00187807"/>
    <w:rsid w:val="0019185E"/>
    <w:rsid w:val="00195578"/>
    <w:rsid w:val="001A0E5C"/>
    <w:rsid w:val="001A184F"/>
    <w:rsid w:val="001A2E0A"/>
    <w:rsid w:val="001A462D"/>
    <w:rsid w:val="001A6F37"/>
    <w:rsid w:val="001A7AE8"/>
    <w:rsid w:val="001A7B5F"/>
    <w:rsid w:val="001B0C5E"/>
    <w:rsid w:val="001B1495"/>
    <w:rsid w:val="001B2D87"/>
    <w:rsid w:val="001B68CD"/>
    <w:rsid w:val="001C076F"/>
    <w:rsid w:val="001C093E"/>
    <w:rsid w:val="001C0D87"/>
    <w:rsid w:val="001C19A6"/>
    <w:rsid w:val="001C296F"/>
    <w:rsid w:val="001C2D5B"/>
    <w:rsid w:val="001C3984"/>
    <w:rsid w:val="001C3BA2"/>
    <w:rsid w:val="001C3DFA"/>
    <w:rsid w:val="001C5325"/>
    <w:rsid w:val="001C554A"/>
    <w:rsid w:val="001C6047"/>
    <w:rsid w:val="001C6105"/>
    <w:rsid w:val="001C6C22"/>
    <w:rsid w:val="001C6E41"/>
    <w:rsid w:val="001C78D5"/>
    <w:rsid w:val="001C7900"/>
    <w:rsid w:val="001D1839"/>
    <w:rsid w:val="001D5AE7"/>
    <w:rsid w:val="001E1233"/>
    <w:rsid w:val="001E16EB"/>
    <w:rsid w:val="001E39B8"/>
    <w:rsid w:val="001E69AF"/>
    <w:rsid w:val="001F22E6"/>
    <w:rsid w:val="001F39E7"/>
    <w:rsid w:val="001F5463"/>
    <w:rsid w:val="001F61E9"/>
    <w:rsid w:val="001F6470"/>
    <w:rsid w:val="001F6B8E"/>
    <w:rsid w:val="001F7D11"/>
    <w:rsid w:val="00202C4C"/>
    <w:rsid w:val="002039CE"/>
    <w:rsid w:val="00206677"/>
    <w:rsid w:val="00206964"/>
    <w:rsid w:val="00211464"/>
    <w:rsid w:val="002115CE"/>
    <w:rsid w:val="00212284"/>
    <w:rsid w:val="002128EA"/>
    <w:rsid w:val="002131EC"/>
    <w:rsid w:val="002141A4"/>
    <w:rsid w:val="00216A44"/>
    <w:rsid w:val="0021736B"/>
    <w:rsid w:val="00217816"/>
    <w:rsid w:val="0022174D"/>
    <w:rsid w:val="0022489D"/>
    <w:rsid w:val="00226459"/>
    <w:rsid w:val="00227D50"/>
    <w:rsid w:val="00231D72"/>
    <w:rsid w:val="002327DF"/>
    <w:rsid w:val="002331C5"/>
    <w:rsid w:val="002332EF"/>
    <w:rsid w:val="00234CB2"/>
    <w:rsid w:val="00236783"/>
    <w:rsid w:val="002370E8"/>
    <w:rsid w:val="00241720"/>
    <w:rsid w:val="002463E4"/>
    <w:rsid w:val="002466C0"/>
    <w:rsid w:val="00246D56"/>
    <w:rsid w:val="0024707E"/>
    <w:rsid w:val="002470BC"/>
    <w:rsid w:val="00250C48"/>
    <w:rsid w:val="00253A47"/>
    <w:rsid w:val="00254157"/>
    <w:rsid w:val="002557E0"/>
    <w:rsid w:val="00255853"/>
    <w:rsid w:val="00255BF9"/>
    <w:rsid w:val="00256B45"/>
    <w:rsid w:val="00256B73"/>
    <w:rsid w:val="00256BE3"/>
    <w:rsid w:val="00256CB3"/>
    <w:rsid w:val="00256F78"/>
    <w:rsid w:val="00256FC9"/>
    <w:rsid w:val="00257308"/>
    <w:rsid w:val="00257811"/>
    <w:rsid w:val="00260523"/>
    <w:rsid w:val="00260C7C"/>
    <w:rsid w:val="00261465"/>
    <w:rsid w:val="002617ED"/>
    <w:rsid w:val="002625EC"/>
    <w:rsid w:val="00263C79"/>
    <w:rsid w:val="002646F1"/>
    <w:rsid w:val="00264D6C"/>
    <w:rsid w:val="00266769"/>
    <w:rsid w:val="002711AF"/>
    <w:rsid w:val="00271EEB"/>
    <w:rsid w:val="00272C8B"/>
    <w:rsid w:val="0027391D"/>
    <w:rsid w:val="002754DA"/>
    <w:rsid w:val="00275EEE"/>
    <w:rsid w:val="00276874"/>
    <w:rsid w:val="00280CE1"/>
    <w:rsid w:val="00283A74"/>
    <w:rsid w:val="00283EF3"/>
    <w:rsid w:val="00284266"/>
    <w:rsid w:val="00284EAD"/>
    <w:rsid w:val="0028632D"/>
    <w:rsid w:val="00291A07"/>
    <w:rsid w:val="0029212A"/>
    <w:rsid w:val="00292825"/>
    <w:rsid w:val="002931D5"/>
    <w:rsid w:val="00295C7D"/>
    <w:rsid w:val="002978D2"/>
    <w:rsid w:val="002A0787"/>
    <w:rsid w:val="002A23B1"/>
    <w:rsid w:val="002A4572"/>
    <w:rsid w:val="002A740F"/>
    <w:rsid w:val="002B20B1"/>
    <w:rsid w:val="002B4346"/>
    <w:rsid w:val="002B50E9"/>
    <w:rsid w:val="002B785E"/>
    <w:rsid w:val="002B7899"/>
    <w:rsid w:val="002B78A1"/>
    <w:rsid w:val="002C1CEC"/>
    <w:rsid w:val="002C45A2"/>
    <w:rsid w:val="002C4B9A"/>
    <w:rsid w:val="002C4E17"/>
    <w:rsid w:val="002C591A"/>
    <w:rsid w:val="002C5963"/>
    <w:rsid w:val="002C780B"/>
    <w:rsid w:val="002D114E"/>
    <w:rsid w:val="002D5931"/>
    <w:rsid w:val="002E21E2"/>
    <w:rsid w:val="002E38BE"/>
    <w:rsid w:val="002E5EE2"/>
    <w:rsid w:val="002E69CA"/>
    <w:rsid w:val="002E6BE4"/>
    <w:rsid w:val="002E7DBB"/>
    <w:rsid w:val="002F18C2"/>
    <w:rsid w:val="002F205F"/>
    <w:rsid w:val="002F380D"/>
    <w:rsid w:val="002F4247"/>
    <w:rsid w:val="002F4A69"/>
    <w:rsid w:val="002F4A77"/>
    <w:rsid w:val="002F6D54"/>
    <w:rsid w:val="0030220E"/>
    <w:rsid w:val="00302502"/>
    <w:rsid w:val="003063B3"/>
    <w:rsid w:val="003077E0"/>
    <w:rsid w:val="00311CC9"/>
    <w:rsid w:val="00313456"/>
    <w:rsid w:val="003150DF"/>
    <w:rsid w:val="0031552B"/>
    <w:rsid w:val="00315701"/>
    <w:rsid w:val="003161E5"/>
    <w:rsid w:val="00320187"/>
    <w:rsid w:val="0032366A"/>
    <w:rsid w:val="00323DE8"/>
    <w:rsid w:val="003254E8"/>
    <w:rsid w:val="003266AC"/>
    <w:rsid w:val="00326996"/>
    <w:rsid w:val="00337586"/>
    <w:rsid w:val="00340D2A"/>
    <w:rsid w:val="00343135"/>
    <w:rsid w:val="0034456A"/>
    <w:rsid w:val="003450C3"/>
    <w:rsid w:val="003479D5"/>
    <w:rsid w:val="00347A79"/>
    <w:rsid w:val="00350ACB"/>
    <w:rsid w:val="003541EF"/>
    <w:rsid w:val="003569F1"/>
    <w:rsid w:val="00360ED2"/>
    <w:rsid w:val="0036331C"/>
    <w:rsid w:val="0037391C"/>
    <w:rsid w:val="003820E8"/>
    <w:rsid w:val="00383B51"/>
    <w:rsid w:val="00385076"/>
    <w:rsid w:val="003861FB"/>
    <w:rsid w:val="00390ACB"/>
    <w:rsid w:val="00391C7D"/>
    <w:rsid w:val="00392FDE"/>
    <w:rsid w:val="003932B1"/>
    <w:rsid w:val="00395DED"/>
    <w:rsid w:val="00397292"/>
    <w:rsid w:val="00397482"/>
    <w:rsid w:val="003A04EA"/>
    <w:rsid w:val="003A1573"/>
    <w:rsid w:val="003A3427"/>
    <w:rsid w:val="003A39CB"/>
    <w:rsid w:val="003A4C73"/>
    <w:rsid w:val="003A53E7"/>
    <w:rsid w:val="003A7E8E"/>
    <w:rsid w:val="003B4D55"/>
    <w:rsid w:val="003B541E"/>
    <w:rsid w:val="003B55E8"/>
    <w:rsid w:val="003B756B"/>
    <w:rsid w:val="003C0051"/>
    <w:rsid w:val="003C1F85"/>
    <w:rsid w:val="003C29D7"/>
    <w:rsid w:val="003C30D5"/>
    <w:rsid w:val="003C3166"/>
    <w:rsid w:val="003C3D46"/>
    <w:rsid w:val="003C4D05"/>
    <w:rsid w:val="003C77B3"/>
    <w:rsid w:val="003D1A05"/>
    <w:rsid w:val="003D4807"/>
    <w:rsid w:val="003D5842"/>
    <w:rsid w:val="003D5B48"/>
    <w:rsid w:val="003D5C5F"/>
    <w:rsid w:val="003D6ECB"/>
    <w:rsid w:val="003D6F56"/>
    <w:rsid w:val="003D7FBE"/>
    <w:rsid w:val="003E1486"/>
    <w:rsid w:val="003F0635"/>
    <w:rsid w:val="003F3202"/>
    <w:rsid w:val="003F5257"/>
    <w:rsid w:val="003F54B9"/>
    <w:rsid w:val="003F55A2"/>
    <w:rsid w:val="003F6C57"/>
    <w:rsid w:val="00401106"/>
    <w:rsid w:val="004029D7"/>
    <w:rsid w:val="00402B04"/>
    <w:rsid w:val="00403017"/>
    <w:rsid w:val="00405C53"/>
    <w:rsid w:val="00405DB2"/>
    <w:rsid w:val="00410EE7"/>
    <w:rsid w:val="004112A0"/>
    <w:rsid w:val="0041186B"/>
    <w:rsid w:val="00411B3E"/>
    <w:rsid w:val="004128CD"/>
    <w:rsid w:val="004130CE"/>
    <w:rsid w:val="0041393A"/>
    <w:rsid w:val="00417D1B"/>
    <w:rsid w:val="00422537"/>
    <w:rsid w:val="00422F3A"/>
    <w:rsid w:val="00425EC8"/>
    <w:rsid w:val="00426EBD"/>
    <w:rsid w:val="00427E2E"/>
    <w:rsid w:val="0043125D"/>
    <w:rsid w:val="004313EE"/>
    <w:rsid w:val="00431FCF"/>
    <w:rsid w:val="00432A5B"/>
    <w:rsid w:val="00433D56"/>
    <w:rsid w:val="0043421A"/>
    <w:rsid w:val="00437032"/>
    <w:rsid w:val="004371DE"/>
    <w:rsid w:val="00440633"/>
    <w:rsid w:val="004416B6"/>
    <w:rsid w:val="0044180F"/>
    <w:rsid w:val="0044497D"/>
    <w:rsid w:val="00447747"/>
    <w:rsid w:val="004507F8"/>
    <w:rsid w:val="004533B5"/>
    <w:rsid w:val="00453409"/>
    <w:rsid w:val="004546DB"/>
    <w:rsid w:val="00456195"/>
    <w:rsid w:val="00457281"/>
    <w:rsid w:val="00460433"/>
    <w:rsid w:val="00460720"/>
    <w:rsid w:val="00461D62"/>
    <w:rsid w:val="004665E4"/>
    <w:rsid w:val="00466A11"/>
    <w:rsid w:val="00466CDF"/>
    <w:rsid w:val="004702F0"/>
    <w:rsid w:val="00470A07"/>
    <w:rsid w:val="00472515"/>
    <w:rsid w:val="00472CDF"/>
    <w:rsid w:val="00472E1A"/>
    <w:rsid w:val="004734AB"/>
    <w:rsid w:val="004737E6"/>
    <w:rsid w:val="00474421"/>
    <w:rsid w:val="0047467B"/>
    <w:rsid w:val="00475B12"/>
    <w:rsid w:val="00476D8B"/>
    <w:rsid w:val="00481036"/>
    <w:rsid w:val="00483FEF"/>
    <w:rsid w:val="0048490F"/>
    <w:rsid w:val="00484B83"/>
    <w:rsid w:val="00484C8A"/>
    <w:rsid w:val="0048779D"/>
    <w:rsid w:val="00493E05"/>
    <w:rsid w:val="00497130"/>
    <w:rsid w:val="004A01F5"/>
    <w:rsid w:val="004A3B32"/>
    <w:rsid w:val="004A44B1"/>
    <w:rsid w:val="004A6609"/>
    <w:rsid w:val="004A7A35"/>
    <w:rsid w:val="004B0538"/>
    <w:rsid w:val="004B0712"/>
    <w:rsid w:val="004B4653"/>
    <w:rsid w:val="004B62CD"/>
    <w:rsid w:val="004B62EF"/>
    <w:rsid w:val="004B6C9A"/>
    <w:rsid w:val="004B7AD1"/>
    <w:rsid w:val="004B7C8C"/>
    <w:rsid w:val="004C135A"/>
    <w:rsid w:val="004C40F3"/>
    <w:rsid w:val="004C46A9"/>
    <w:rsid w:val="004C524E"/>
    <w:rsid w:val="004C54E3"/>
    <w:rsid w:val="004C5C91"/>
    <w:rsid w:val="004C630A"/>
    <w:rsid w:val="004C7BEB"/>
    <w:rsid w:val="004D41D9"/>
    <w:rsid w:val="004D44CF"/>
    <w:rsid w:val="004D4AC1"/>
    <w:rsid w:val="004D56A6"/>
    <w:rsid w:val="004D6EC7"/>
    <w:rsid w:val="004E0DDE"/>
    <w:rsid w:val="004E3B84"/>
    <w:rsid w:val="004E5167"/>
    <w:rsid w:val="004E676D"/>
    <w:rsid w:val="004E6A20"/>
    <w:rsid w:val="004E7C32"/>
    <w:rsid w:val="004E7F4B"/>
    <w:rsid w:val="004F04F3"/>
    <w:rsid w:val="004F37FB"/>
    <w:rsid w:val="004F400B"/>
    <w:rsid w:val="004F440A"/>
    <w:rsid w:val="004F5F97"/>
    <w:rsid w:val="004F69B2"/>
    <w:rsid w:val="004F6B4A"/>
    <w:rsid w:val="004F6E17"/>
    <w:rsid w:val="004F75BA"/>
    <w:rsid w:val="004F7ABC"/>
    <w:rsid w:val="005013D0"/>
    <w:rsid w:val="00501813"/>
    <w:rsid w:val="005019F2"/>
    <w:rsid w:val="00501F85"/>
    <w:rsid w:val="0050332E"/>
    <w:rsid w:val="005034C3"/>
    <w:rsid w:val="0050354A"/>
    <w:rsid w:val="005041E6"/>
    <w:rsid w:val="005069AE"/>
    <w:rsid w:val="0051153E"/>
    <w:rsid w:val="00511AC7"/>
    <w:rsid w:val="00511EB5"/>
    <w:rsid w:val="0051227F"/>
    <w:rsid w:val="0051253C"/>
    <w:rsid w:val="005127C6"/>
    <w:rsid w:val="00520A50"/>
    <w:rsid w:val="00520CAB"/>
    <w:rsid w:val="005213A8"/>
    <w:rsid w:val="005239D3"/>
    <w:rsid w:val="00525AEB"/>
    <w:rsid w:val="00526BBB"/>
    <w:rsid w:val="0052792C"/>
    <w:rsid w:val="0053117B"/>
    <w:rsid w:val="0053184A"/>
    <w:rsid w:val="0053279A"/>
    <w:rsid w:val="005333D2"/>
    <w:rsid w:val="00534263"/>
    <w:rsid w:val="0053736E"/>
    <w:rsid w:val="00537A3D"/>
    <w:rsid w:val="00537CAD"/>
    <w:rsid w:val="005414DD"/>
    <w:rsid w:val="0054268B"/>
    <w:rsid w:val="00543167"/>
    <w:rsid w:val="00543B7B"/>
    <w:rsid w:val="00543EAE"/>
    <w:rsid w:val="00545BA8"/>
    <w:rsid w:val="00546F4C"/>
    <w:rsid w:val="00550CEC"/>
    <w:rsid w:val="00552001"/>
    <w:rsid w:val="00553530"/>
    <w:rsid w:val="00554A2B"/>
    <w:rsid w:val="00554D3B"/>
    <w:rsid w:val="00555560"/>
    <w:rsid w:val="00556231"/>
    <w:rsid w:val="00556B14"/>
    <w:rsid w:val="005574D8"/>
    <w:rsid w:val="00557870"/>
    <w:rsid w:val="00560738"/>
    <w:rsid w:val="00560D55"/>
    <w:rsid w:val="00561582"/>
    <w:rsid w:val="005617B9"/>
    <w:rsid w:val="0056368E"/>
    <w:rsid w:val="00564F2E"/>
    <w:rsid w:val="005659E7"/>
    <w:rsid w:val="005667E5"/>
    <w:rsid w:val="0056719D"/>
    <w:rsid w:val="00567DA0"/>
    <w:rsid w:val="005703B8"/>
    <w:rsid w:val="00570974"/>
    <w:rsid w:val="005709B0"/>
    <w:rsid w:val="00570FAC"/>
    <w:rsid w:val="00573E3D"/>
    <w:rsid w:val="005756F5"/>
    <w:rsid w:val="00575B45"/>
    <w:rsid w:val="00576E0A"/>
    <w:rsid w:val="00576FE0"/>
    <w:rsid w:val="005801E4"/>
    <w:rsid w:val="00580B29"/>
    <w:rsid w:val="00582CD7"/>
    <w:rsid w:val="0058799D"/>
    <w:rsid w:val="00592360"/>
    <w:rsid w:val="005945FE"/>
    <w:rsid w:val="0059604F"/>
    <w:rsid w:val="005965F9"/>
    <w:rsid w:val="0059762C"/>
    <w:rsid w:val="005A12D8"/>
    <w:rsid w:val="005A1CC0"/>
    <w:rsid w:val="005A1CC8"/>
    <w:rsid w:val="005A1F11"/>
    <w:rsid w:val="005A2166"/>
    <w:rsid w:val="005A2B95"/>
    <w:rsid w:val="005A3385"/>
    <w:rsid w:val="005A3862"/>
    <w:rsid w:val="005A7474"/>
    <w:rsid w:val="005A7977"/>
    <w:rsid w:val="005B1655"/>
    <w:rsid w:val="005B1ABF"/>
    <w:rsid w:val="005B3D71"/>
    <w:rsid w:val="005B4651"/>
    <w:rsid w:val="005B4F4D"/>
    <w:rsid w:val="005B55E4"/>
    <w:rsid w:val="005B6173"/>
    <w:rsid w:val="005B6415"/>
    <w:rsid w:val="005B7A9D"/>
    <w:rsid w:val="005C1ABA"/>
    <w:rsid w:val="005C3466"/>
    <w:rsid w:val="005C3AD7"/>
    <w:rsid w:val="005C4831"/>
    <w:rsid w:val="005C5B2A"/>
    <w:rsid w:val="005C66A8"/>
    <w:rsid w:val="005C74FF"/>
    <w:rsid w:val="005D1552"/>
    <w:rsid w:val="005D4AA3"/>
    <w:rsid w:val="005D4EE2"/>
    <w:rsid w:val="005D6930"/>
    <w:rsid w:val="005D6D90"/>
    <w:rsid w:val="005D6DE3"/>
    <w:rsid w:val="005D7A1E"/>
    <w:rsid w:val="005E2125"/>
    <w:rsid w:val="005E2290"/>
    <w:rsid w:val="005E3817"/>
    <w:rsid w:val="005E4B55"/>
    <w:rsid w:val="005E4BC8"/>
    <w:rsid w:val="005E705C"/>
    <w:rsid w:val="005E785E"/>
    <w:rsid w:val="005F0AC7"/>
    <w:rsid w:val="005F1E33"/>
    <w:rsid w:val="005F2574"/>
    <w:rsid w:val="005F3814"/>
    <w:rsid w:val="005F61C9"/>
    <w:rsid w:val="005F68EE"/>
    <w:rsid w:val="005F7088"/>
    <w:rsid w:val="00601675"/>
    <w:rsid w:val="00602153"/>
    <w:rsid w:val="00603006"/>
    <w:rsid w:val="00604EEC"/>
    <w:rsid w:val="00604F89"/>
    <w:rsid w:val="0060711F"/>
    <w:rsid w:val="00610D03"/>
    <w:rsid w:val="00611CCD"/>
    <w:rsid w:val="00612F67"/>
    <w:rsid w:val="006152D1"/>
    <w:rsid w:val="00615D32"/>
    <w:rsid w:val="00615F30"/>
    <w:rsid w:val="006164CC"/>
    <w:rsid w:val="00617CEA"/>
    <w:rsid w:val="00620F18"/>
    <w:rsid w:val="00621081"/>
    <w:rsid w:val="0062125A"/>
    <w:rsid w:val="00621B2C"/>
    <w:rsid w:val="006225D5"/>
    <w:rsid w:val="00622B35"/>
    <w:rsid w:val="00626D9E"/>
    <w:rsid w:val="00631E04"/>
    <w:rsid w:val="00633CBD"/>
    <w:rsid w:val="006412AB"/>
    <w:rsid w:val="00642399"/>
    <w:rsid w:val="00644045"/>
    <w:rsid w:val="00645A8F"/>
    <w:rsid w:val="00645EFF"/>
    <w:rsid w:val="00646E90"/>
    <w:rsid w:val="006475CC"/>
    <w:rsid w:val="00650461"/>
    <w:rsid w:val="00650B76"/>
    <w:rsid w:val="0065112C"/>
    <w:rsid w:val="00651209"/>
    <w:rsid w:val="00651CE3"/>
    <w:rsid w:val="00652520"/>
    <w:rsid w:val="00652995"/>
    <w:rsid w:val="00652B25"/>
    <w:rsid w:val="006538E4"/>
    <w:rsid w:val="00655864"/>
    <w:rsid w:val="00655D41"/>
    <w:rsid w:val="006569C9"/>
    <w:rsid w:val="00656D09"/>
    <w:rsid w:val="006573C0"/>
    <w:rsid w:val="00660020"/>
    <w:rsid w:val="0066489A"/>
    <w:rsid w:val="0066563C"/>
    <w:rsid w:val="00666027"/>
    <w:rsid w:val="0066685E"/>
    <w:rsid w:val="00671555"/>
    <w:rsid w:val="00672496"/>
    <w:rsid w:val="0067274A"/>
    <w:rsid w:val="006774A4"/>
    <w:rsid w:val="0068200F"/>
    <w:rsid w:val="00682154"/>
    <w:rsid w:val="0068321A"/>
    <w:rsid w:val="0068357D"/>
    <w:rsid w:val="00686A71"/>
    <w:rsid w:val="006901E1"/>
    <w:rsid w:val="0069331A"/>
    <w:rsid w:val="006953E5"/>
    <w:rsid w:val="006978F0"/>
    <w:rsid w:val="006A030E"/>
    <w:rsid w:val="006A0977"/>
    <w:rsid w:val="006A5947"/>
    <w:rsid w:val="006A5BF4"/>
    <w:rsid w:val="006A6367"/>
    <w:rsid w:val="006A669D"/>
    <w:rsid w:val="006A6880"/>
    <w:rsid w:val="006A7E81"/>
    <w:rsid w:val="006B0827"/>
    <w:rsid w:val="006B0BD0"/>
    <w:rsid w:val="006B14DD"/>
    <w:rsid w:val="006B55F8"/>
    <w:rsid w:val="006C0757"/>
    <w:rsid w:val="006C303F"/>
    <w:rsid w:val="006C4D4A"/>
    <w:rsid w:val="006C6455"/>
    <w:rsid w:val="006D0347"/>
    <w:rsid w:val="006D29AD"/>
    <w:rsid w:val="006D4340"/>
    <w:rsid w:val="006D496B"/>
    <w:rsid w:val="006D5081"/>
    <w:rsid w:val="006D59E3"/>
    <w:rsid w:val="006D5FCE"/>
    <w:rsid w:val="006E0D74"/>
    <w:rsid w:val="006E0E01"/>
    <w:rsid w:val="006E178E"/>
    <w:rsid w:val="006E1B6D"/>
    <w:rsid w:val="006E2C45"/>
    <w:rsid w:val="006E5DA4"/>
    <w:rsid w:val="006F17DD"/>
    <w:rsid w:val="006F1E78"/>
    <w:rsid w:val="006F44B6"/>
    <w:rsid w:val="006F6412"/>
    <w:rsid w:val="00701B05"/>
    <w:rsid w:val="007029F1"/>
    <w:rsid w:val="00703B4E"/>
    <w:rsid w:val="00703D3A"/>
    <w:rsid w:val="007063CA"/>
    <w:rsid w:val="00707559"/>
    <w:rsid w:val="00707954"/>
    <w:rsid w:val="00713352"/>
    <w:rsid w:val="00714797"/>
    <w:rsid w:val="00714E16"/>
    <w:rsid w:val="0071554E"/>
    <w:rsid w:val="007157C6"/>
    <w:rsid w:val="00715966"/>
    <w:rsid w:val="007177AF"/>
    <w:rsid w:val="00717D84"/>
    <w:rsid w:val="00720A59"/>
    <w:rsid w:val="0072318F"/>
    <w:rsid w:val="007237F6"/>
    <w:rsid w:val="00724050"/>
    <w:rsid w:val="00726525"/>
    <w:rsid w:val="0072685E"/>
    <w:rsid w:val="00730AA1"/>
    <w:rsid w:val="00732750"/>
    <w:rsid w:val="00732B1A"/>
    <w:rsid w:val="0073447A"/>
    <w:rsid w:val="0073516F"/>
    <w:rsid w:val="00735235"/>
    <w:rsid w:val="00737FD2"/>
    <w:rsid w:val="00741E22"/>
    <w:rsid w:val="00744869"/>
    <w:rsid w:val="0074690D"/>
    <w:rsid w:val="007510E2"/>
    <w:rsid w:val="00751590"/>
    <w:rsid w:val="00751A7E"/>
    <w:rsid w:val="00753029"/>
    <w:rsid w:val="007540DF"/>
    <w:rsid w:val="00754B6B"/>
    <w:rsid w:val="00757912"/>
    <w:rsid w:val="00757AE7"/>
    <w:rsid w:val="00757E60"/>
    <w:rsid w:val="00760318"/>
    <w:rsid w:val="00762D52"/>
    <w:rsid w:val="0077157E"/>
    <w:rsid w:val="007727BE"/>
    <w:rsid w:val="00772E1B"/>
    <w:rsid w:val="00775A1C"/>
    <w:rsid w:val="00775A61"/>
    <w:rsid w:val="00775DE8"/>
    <w:rsid w:val="00775F58"/>
    <w:rsid w:val="007776CB"/>
    <w:rsid w:val="007779BF"/>
    <w:rsid w:val="00781C03"/>
    <w:rsid w:val="00781F03"/>
    <w:rsid w:val="00783DA0"/>
    <w:rsid w:val="0078420A"/>
    <w:rsid w:val="007852EE"/>
    <w:rsid w:val="00786185"/>
    <w:rsid w:val="007900AB"/>
    <w:rsid w:val="007907EB"/>
    <w:rsid w:val="00791F20"/>
    <w:rsid w:val="007926A3"/>
    <w:rsid w:val="00793918"/>
    <w:rsid w:val="0079478E"/>
    <w:rsid w:val="00794C25"/>
    <w:rsid w:val="00794F60"/>
    <w:rsid w:val="00797EA0"/>
    <w:rsid w:val="007A1682"/>
    <w:rsid w:val="007A256C"/>
    <w:rsid w:val="007A256D"/>
    <w:rsid w:val="007A336C"/>
    <w:rsid w:val="007A4135"/>
    <w:rsid w:val="007A44AB"/>
    <w:rsid w:val="007A5E97"/>
    <w:rsid w:val="007B2F13"/>
    <w:rsid w:val="007B3C60"/>
    <w:rsid w:val="007B5240"/>
    <w:rsid w:val="007B66DF"/>
    <w:rsid w:val="007B6B0C"/>
    <w:rsid w:val="007C00AB"/>
    <w:rsid w:val="007C0630"/>
    <w:rsid w:val="007C3FFF"/>
    <w:rsid w:val="007C4EA5"/>
    <w:rsid w:val="007C7B93"/>
    <w:rsid w:val="007C7E99"/>
    <w:rsid w:val="007C7EE2"/>
    <w:rsid w:val="007D1D30"/>
    <w:rsid w:val="007D30C5"/>
    <w:rsid w:val="007D3319"/>
    <w:rsid w:val="007D3A50"/>
    <w:rsid w:val="007D3F55"/>
    <w:rsid w:val="007D4314"/>
    <w:rsid w:val="007D557F"/>
    <w:rsid w:val="007D562E"/>
    <w:rsid w:val="007D5F0F"/>
    <w:rsid w:val="007E00EF"/>
    <w:rsid w:val="007E33F9"/>
    <w:rsid w:val="007E51F7"/>
    <w:rsid w:val="007E5D3C"/>
    <w:rsid w:val="007F0BD9"/>
    <w:rsid w:val="007F10CB"/>
    <w:rsid w:val="007F2EB3"/>
    <w:rsid w:val="007F3333"/>
    <w:rsid w:val="007F541F"/>
    <w:rsid w:val="007F55DC"/>
    <w:rsid w:val="007F5C35"/>
    <w:rsid w:val="007F6100"/>
    <w:rsid w:val="00801017"/>
    <w:rsid w:val="00801D74"/>
    <w:rsid w:val="008029A5"/>
    <w:rsid w:val="00804EAE"/>
    <w:rsid w:val="00805A62"/>
    <w:rsid w:val="008067C8"/>
    <w:rsid w:val="00807609"/>
    <w:rsid w:val="008100CA"/>
    <w:rsid w:val="00811120"/>
    <w:rsid w:val="0081122A"/>
    <w:rsid w:val="00811562"/>
    <w:rsid w:val="00812F0E"/>
    <w:rsid w:val="00816C29"/>
    <w:rsid w:val="00816F5C"/>
    <w:rsid w:val="008206A2"/>
    <w:rsid w:val="00820ED7"/>
    <w:rsid w:val="0082232C"/>
    <w:rsid w:val="008225A3"/>
    <w:rsid w:val="00822DDB"/>
    <w:rsid w:val="008246D4"/>
    <w:rsid w:val="00825EB3"/>
    <w:rsid w:val="0082607B"/>
    <w:rsid w:val="008269D0"/>
    <w:rsid w:val="008301C3"/>
    <w:rsid w:val="00830681"/>
    <w:rsid w:val="008318B0"/>
    <w:rsid w:val="0083433A"/>
    <w:rsid w:val="00835949"/>
    <w:rsid w:val="00836ED6"/>
    <w:rsid w:val="008376F3"/>
    <w:rsid w:val="00840593"/>
    <w:rsid w:val="008414B4"/>
    <w:rsid w:val="008423BB"/>
    <w:rsid w:val="00842B04"/>
    <w:rsid w:val="00842C1D"/>
    <w:rsid w:val="00843079"/>
    <w:rsid w:val="00843F7A"/>
    <w:rsid w:val="00844A4D"/>
    <w:rsid w:val="008452ED"/>
    <w:rsid w:val="00845457"/>
    <w:rsid w:val="008463E2"/>
    <w:rsid w:val="00846962"/>
    <w:rsid w:val="0084696B"/>
    <w:rsid w:val="008469DF"/>
    <w:rsid w:val="00847A8A"/>
    <w:rsid w:val="008509AD"/>
    <w:rsid w:val="008518BF"/>
    <w:rsid w:val="0085266D"/>
    <w:rsid w:val="00854200"/>
    <w:rsid w:val="00854A17"/>
    <w:rsid w:val="00855869"/>
    <w:rsid w:val="00855B90"/>
    <w:rsid w:val="00855FCC"/>
    <w:rsid w:val="008573E5"/>
    <w:rsid w:val="00861F61"/>
    <w:rsid w:val="00870455"/>
    <w:rsid w:val="0087365B"/>
    <w:rsid w:val="00875350"/>
    <w:rsid w:val="00875D9C"/>
    <w:rsid w:val="00876ECC"/>
    <w:rsid w:val="00880BA3"/>
    <w:rsid w:val="0088183A"/>
    <w:rsid w:val="00886FF6"/>
    <w:rsid w:val="0089169E"/>
    <w:rsid w:val="00891DCD"/>
    <w:rsid w:val="00891F0D"/>
    <w:rsid w:val="0089200A"/>
    <w:rsid w:val="00892EE2"/>
    <w:rsid w:val="00893A2D"/>
    <w:rsid w:val="008944A1"/>
    <w:rsid w:val="00894660"/>
    <w:rsid w:val="0089503F"/>
    <w:rsid w:val="008950B6"/>
    <w:rsid w:val="00895B4B"/>
    <w:rsid w:val="008A0C21"/>
    <w:rsid w:val="008A14AB"/>
    <w:rsid w:val="008A1A80"/>
    <w:rsid w:val="008A1E24"/>
    <w:rsid w:val="008A2FE5"/>
    <w:rsid w:val="008A3435"/>
    <w:rsid w:val="008A6B0D"/>
    <w:rsid w:val="008A7709"/>
    <w:rsid w:val="008B10BA"/>
    <w:rsid w:val="008B1B4F"/>
    <w:rsid w:val="008B2418"/>
    <w:rsid w:val="008B28EB"/>
    <w:rsid w:val="008B5AED"/>
    <w:rsid w:val="008C131E"/>
    <w:rsid w:val="008C171B"/>
    <w:rsid w:val="008C1C30"/>
    <w:rsid w:val="008C2BF7"/>
    <w:rsid w:val="008C7480"/>
    <w:rsid w:val="008D1D8F"/>
    <w:rsid w:val="008D1E4D"/>
    <w:rsid w:val="008D2E6C"/>
    <w:rsid w:val="008D366F"/>
    <w:rsid w:val="008D614A"/>
    <w:rsid w:val="008D680F"/>
    <w:rsid w:val="008D6AE9"/>
    <w:rsid w:val="008D6B2C"/>
    <w:rsid w:val="008E028A"/>
    <w:rsid w:val="008E0B68"/>
    <w:rsid w:val="008E1EC1"/>
    <w:rsid w:val="008E63A1"/>
    <w:rsid w:val="008F2398"/>
    <w:rsid w:val="008F2998"/>
    <w:rsid w:val="008F2FDC"/>
    <w:rsid w:val="008F5FAC"/>
    <w:rsid w:val="008F7996"/>
    <w:rsid w:val="009001E8"/>
    <w:rsid w:val="0090062F"/>
    <w:rsid w:val="00901755"/>
    <w:rsid w:val="00903404"/>
    <w:rsid w:val="0090560A"/>
    <w:rsid w:val="00911694"/>
    <w:rsid w:val="00911944"/>
    <w:rsid w:val="00911B9C"/>
    <w:rsid w:val="00912DC8"/>
    <w:rsid w:val="009132C4"/>
    <w:rsid w:val="009133D1"/>
    <w:rsid w:val="0091391B"/>
    <w:rsid w:val="00914F3C"/>
    <w:rsid w:val="009166D7"/>
    <w:rsid w:val="00916AC6"/>
    <w:rsid w:val="00917344"/>
    <w:rsid w:val="0092097B"/>
    <w:rsid w:val="009224CB"/>
    <w:rsid w:val="009225F1"/>
    <w:rsid w:val="00922EE1"/>
    <w:rsid w:val="009235A1"/>
    <w:rsid w:val="00924E7A"/>
    <w:rsid w:val="00925D05"/>
    <w:rsid w:val="009306BB"/>
    <w:rsid w:val="00931F02"/>
    <w:rsid w:val="0093231B"/>
    <w:rsid w:val="009333F3"/>
    <w:rsid w:val="009337A9"/>
    <w:rsid w:val="00933FB3"/>
    <w:rsid w:val="00934C65"/>
    <w:rsid w:val="00942FC5"/>
    <w:rsid w:val="00944EE3"/>
    <w:rsid w:val="0095070E"/>
    <w:rsid w:val="00952504"/>
    <w:rsid w:val="009540BE"/>
    <w:rsid w:val="00956E3B"/>
    <w:rsid w:val="0095757F"/>
    <w:rsid w:val="009619F6"/>
    <w:rsid w:val="00962EEC"/>
    <w:rsid w:val="009644F4"/>
    <w:rsid w:val="009652BB"/>
    <w:rsid w:val="009659E5"/>
    <w:rsid w:val="00965F5C"/>
    <w:rsid w:val="0097048B"/>
    <w:rsid w:val="009710B4"/>
    <w:rsid w:val="00972EEF"/>
    <w:rsid w:val="00973A7E"/>
    <w:rsid w:val="00973E9E"/>
    <w:rsid w:val="0097442B"/>
    <w:rsid w:val="0097636D"/>
    <w:rsid w:val="009765CD"/>
    <w:rsid w:val="00981A41"/>
    <w:rsid w:val="009826BC"/>
    <w:rsid w:val="00983357"/>
    <w:rsid w:val="00986E98"/>
    <w:rsid w:val="00990E70"/>
    <w:rsid w:val="00991CFF"/>
    <w:rsid w:val="009932D3"/>
    <w:rsid w:val="00993C2E"/>
    <w:rsid w:val="0099550A"/>
    <w:rsid w:val="00997C62"/>
    <w:rsid w:val="009A3EC0"/>
    <w:rsid w:val="009A6211"/>
    <w:rsid w:val="009A6243"/>
    <w:rsid w:val="009A6556"/>
    <w:rsid w:val="009A6CCE"/>
    <w:rsid w:val="009A783D"/>
    <w:rsid w:val="009B051D"/>
    <w:rsid w:val="009B0C73"/>
    <w:rsid w:val="009B18C2"/>
    <w:rsid w:val="009B18EA"/>
    <w:rsid w:val="009B2BC2"/>
    <w:rsid w:val="009B3CC6"/>
    <w:rsid w:val="009B4540"/>
    <w:rsid w:val="009C27CA"/>
    <w:rsid w:val="009C2B42"/>
    <w:rsid w:val="009C3378"/>
    <w:rsid w:val="009C54C2"/>
    <w:rsid w:val="009C5C69"/>
    <w:rsid w:val="009D084B"/>
    <w:rsid w:val="009D13C5"/>
    <w:rsid w:val="009D209B"/>
    <w:rsid w:val="009D6256"/>
    <w:rsid w:val="009D6F71"/>
    <w:rsid w:val="009E1775"/>
    <w:rsid w:val="009E42D2"/>
    <w:rsid w:val="009F0A1B"/>
    <w:rsid w:val="009F0AF6"/>
    <w:rsid w:val="009F102B"/>
    <w:rsid w:val="009F428A"/>
    <w:rsid w:val="00A0037B"/>
    <w:rsid w:val="00A01E92"/>
    <w:rsid w:val="00A030EE"/>
    <w:rsid w:val="00A073B9"/>
    <w:rsid w:val="00A10841"/>
    <w:rsid w:val="00A1672A"/>
    <w:rsid w:val="00A226FE"/>
    <w:rsid w:val="00A257BB"/>
    <w:rsid w:val="00A27F6D"/>
    <w:rsid w:val="00A3269A"/>
    <w:rsid w:val="00A33306"/>
    <w:rsid w:val="00A33FE3"/>
    <w:rsid w:val="00A34856"/>
    <w:rsid w:val="00A35CF1"/>
    <w:rsid w:val="00A36566"/>
    <w:rsid w:val="00A42C23"/>
    <w:rsid w:val="00A43150"/>
    <w:rsid w:val="00A43404"/>
    <w:rsid w:val="00A43FA9"/>
    <w:rsid w:val="00A4485D"/>
    <w:rsid w:val="00A451BD"/>
    <w:rsid w:val="00A4592F"/>
    <w:rsid w:val="00A513EB"/>
    <w:rsid w:val="00A5161B"/>
    <w:rsid w:val="00A51F1B"/>
    <w:rsid w:val="00A55B1B"/>
    <w:rsid w:val="00A56EE8"/>
    <w:rsid w:val="00A574D5"/>
    <w:rsid w:val="00A57D5D"/>
    <w:rsid w:val="00A600FF"/>
    <w:rsid w:val="00A6086E"/>
    <w:rsid w:val="00A611E2"/>
    <w:rsid w:val="00A62F81"/>
    <w:rsid w:val="00A6443B"/>
    <w:rsid w:val="00A650C6"/>
    <w:rsid w:val="00A65719"/>
    <w:rsid w:val="00A66ADE"/>
    <w:rsid w:val="00A674BD"/>
    <w:rsid w:val="00A675D0"/>
    <w:rsid w:val="00A707C9"/>
    <w:rsid w:val="00A71BF8"/>
    <w:rsid w:val="00A730BD"/>
    <w:rsid w:val="00A74EBC"/>
    <w:rsid w:val="00A75ADB"/>
    <w:rsid w:val="00A778FD"/>
    <w:rsid w:val="00A80635"/>
    <w:rsid w:val="00A81848"/>
    <w:rsid w:val="00A82ED3"/>
    <w:rsid w:val="00A83509"/>
    <w:rsid w:val="00A85A38"/>
    <w:rsid w:val="00A9045A"/>
    <w:rsid w:val="00A92480"/>
    <w:rsid w:val="00A95228"/>
    <w:rsid w:val="00A965EC"/>
    <w:rsid w:val="00A97647"/>
    <w:rsid w:val="00AA057D"/>
    <w:rsid w:val="00AA1B54"/>
    <w:rsid w:val="00AA1B8C"/>
    <w:rsid w:val="00AA2B09"/>
    <w:rsid w:val="00AA3086"/>
    <w:rsid w:val="00AA4126"/>
    <w:rsid w:val="00AA4254"/>
    <w:rsid w:val="00AA4BD3"/>
    <w:rsid w:val="00AA4C28"/>
    <w:rsid w:val="00AA5F8C"/>
    <w:rsid w:val="00AA617A"/>
    <w:rsid w:val="00AA7909"/>
    <w:rsid w:val="00AB0261"/>
    <w:rsid w:val="00AB1B44"/>
    <w:rsid w:val="00AB4FF2"/>
    <w:rsid w:val="00AB6237"/>
    <w:rsid w:val="00AB73FA"/>
    <w:rsid w:val="00AC0AED"/>
    <w:rsid w:val="00AC0CE4"/>
    <w:rsid w:val="00AC2344"/>
    <w:rsid w:val="00AC3691"/>
    <w:rsid w:val="00AC38B5"/>
    <w:rsid w:val="00AC3AFA"/>
    <w:rsid w:val="00AC76FB"/>
    <w:rsid w:val="00AD4759"/>
    <w:rsid w:val="00AE1390"/>
    <w:rsid w:val="00AE2658"/>
    <w:rsid w:val="00AE2CC7"/>
    <w:rsid w:val="00AE6808"/>
    <w:rsid w:val="00AF334E"/>
    <w:rsid w:val="00AF5F0C"/>
    <w:rsid w:val="00AF6BC3"/>
    <w:rsid w:val="00AF6BD8"/>
    <w:rsid w:val="00AF7F09"/>
    <w:rsid w:val="00B00FA4"/>
    <w:rsid w:val="00B011E9"/>
    <w:rsid w:val="00B02E6E"/>
    <w:rsid w:val="00B06616"/>
    <w:rsid w:val="00B06C9A"/>
    <w:rsid w:val="00B07B07"/>
    <w:rsid w:val="00B125A5"/>
    <w:rsid w:val="00B12AFD"/>
    <w:rsid w:val="00B1329D"/>
    <w:rsid w:val="00B132AB"/>
    <w:rsid w:val="00B136CD"/>
    <w:rsid w:val="00B162C0"/>
    <w:rsid w:val="00B17981"/>
    <w:rsid w:val="00B17A71"/>
    <w:rsid w:val="00B17C9E"/>
    <w:rsid w:val="00B20E37"/>
    <w:rsid w:val="00B214F2"/>
    <w:rsid w:val="00B2379D"/>
    <w:rsid w:val="00B23F08"/>
    <w:rsid w:val="00B2553C"/>
    <w:rsid w:val="00B2689B"/>
    <w:rsid w:val="00B26CD4"/>
    <w:rsid w:val="00B27151"/>
    <w:rsid w:val="00B30AEB"/>
    <w:rsid w:val="00B3368A"/>
    <w:rsid w:val="00B360CE"/>
    <w:rsid w:val="00B405DC"/>
    <w:rsid w:val="00B41887"/>
    <w:rsid w:val="00B42B84"/>
    <w:rsid w:val="00B43273"/>
    <w:rsid w:val="00B44C83"/>
    <w:rsid w:val="00B45A07"/>
    <w:rsid w:val="00B46873"/>
    <w:rsid w:val="00B500BA"/>
    <w:rsid w:val="00B5234D"/>
    <w:rsid w:val="00B52E79"/>
    <w:rsid w:val="00B530CC"/>
    <w:rsid w:val="00B53447"/>
    <w:rsid w:val="00B539B5"/>
    <w:rsid w:val="00B5648F"/>
    <w:rsid w:val="00B56C82"/>
    <w:rsid w:val="00B57120"/>
    <w:rsid w:val="00B5754A"/>
    <w:rsid w:val="00B60E4E"/>
    <w:rsid w:val="00B619BD"/>
    <w:rsid w:val="00B63EEA"/>
    <w:rsid w:val="00B64336"/>
    <w:rsid w:val="00B648C9"/>
    <w:rsid w:val="00B665CA"/>
    <w:rsid w:val="00B67F2E"/>
    <w:rsid w:val="00B70A97"/>
    <w:rsid w:val="00B71163"/>
    <w:rsid w:val="00B71FCC"/>
    <w:rsid w:val="00B73D28"/>
    <w:rsid w:val="00B74FAB"/>
    <w:rsid w:val="00B75AA5"/>
    <w:rsid w:val="00B77D02"/>
    <w:rsid w:val="00B807FE"/>
    <w:rsid w:val="00B80CFA"/>
    <w:rsid w:val="00B812D1"/>
    <w:rsid w:val="00B82937"/>
    <w:rsid w:val="00B82E6D"/>
    <w:rsid w:val="00B84727"/>
    <w:rsid w:val="00B871A9"/>
    <w:rsid w:val="00B87A9B"/>
    <w:rsid w:val="00B87AA2"/>
    <w:rsid w:val="00B907B0"/>
    <w:rsid w:val="00B91274"/>
    <w:rsid w:val="00B9344A"/>
    <w:rsid w:val="00B93477"/>
    <w:rsid w:val="00B94853"/>
    <w:rsid w:val="00B96878"/>
    <w:rsid w:val="00B968E1"/>
    <w:rsid w:val="00B96A27"/>
    <w:rsid w:val="00B972B1"/>
    <w:rsid w:val="00BA0D8F"/>
    <w:rsid w:val="00BA4066"/>
    <w:rsid w:val="00BA492C"/>
    <w:rsid w:val="00BA5158"/>
    <w:rsid w:val="00BA6A0E"/>
    <w:rsid w:val="00BB107C"/>
    <w:rsid w:val="00BB41D1"/>
    <w:rsid w:val="00BB58C6"/>
    <w:rsid w:val="00BB6018"/>
    <w:rsid w:val="00BB6B2D"/>
    <w:rsid w:val="00BB702B"/>
    <w:rsid w:val="00BC00F1"/>
    <w:rsid w:val="00BC156C"/>
    <w:rsid w:val="00BC1DBA"/>
    <w:rsid w:val="00BC2A25"/>
    <w:rsid w:val="00BC5015"/>
    <w:rsid w:val="00BC5047"/>
    <w:rsid w:val="00BC5D68"/>
    <w:rsid w:val="00BC64C0"/>
    <w:rsid w:val="00BD0715"/>
    <w:rsid w:val="00BD0807"/>
    <w:rsid w:val="00BD0CF7"/>
    <w:rsid w:val="00BD221E"/>
    <w:rsid w:val="00BD24D5"/>
    <w:rsid w:val="00BD2A5C"/>
    <w:rsid w:val="00BD42A5"/>
    <w:rsid w:val="00BD53B3"/>
    <w:rsid w:val="00BD5A8C"/>
    <w:rsid w:val="00BE0DF5"/>
    <w:rsid w:val="00BE2B16"/>
    <w:rsid w:val="00BE4399"/>
    <w:rsid w:val="00BE44AB"/>
    <w:rsid w:val="00BE4769"/>
    <w:rsid w:val="00BE79AF"/>
    <w:rsid w:val="00BF0B7B"/>
    <w:rsid w:val="00BF2DE8"/>
    <w:rsid w:val="00BF459D"/>
    <w:rsid w:val="00BF48AC"/>
    <w:rsid w:val="00BF5E1E"/>
    <w:rsid w:val="00BF6D3B"/>
    <w:rsid w:val="00C01934"/>
    <w:rsid w:val="00C020F2"/>
    <w:rsid w:val="00C024F2"/>
    <w:rsid w:val="00C02844"/>
    <w:rsid w:val="00C02A03"/>
    <w:rsid w:val="00C03670"/>
    <w:rsid w:val="00C064DC"/>
    <w:rsid w:val="00C14721"/>
    <w:rsid w:val="00C15257"/>
    <w:rsid w:val="00C15EC2"/>
    <w:rsid w:val="00C167BD"/>
    <w:rsid w:val="00C16D79"/>
    <w:rsid w:val="00C208A6"/>
    <w:rsid w:val="00C20ECD"/>
    <w:rsid w:val="00C22F2B"/>
    <w:rsid w:val="00C23D7C"/>
    <w:rsid w:val="00C302F8"/>
    <w:rsid w:val="00C346EF"/>
    <w:rsid w:val="00C3559B"/>
    <w:rsid w:val="00C35632"/>
    <w:rsid w:val="00C35ABC"/>
    <w:rsid w:val="00C35BEF"/>
    <w:rsid w:val="00C377E0"/>
    <w:rsid w:val="00C37D19"/>
    <w:rsid w:val="00C409E4"/>
    <w:rsid w:val="00C41E97"/>
    <w:rsid w:val="00C41F1D"/>
    <w:rsid w:val="00C42E5B"/>
    <w:rsid w:val="00C43920"/>
    <w:rsid w:val="00C44DD7"/>
    <w:rsid w:val="00C44E2E"/>
    <w:rsid w:val="00C455A1"/>
    <w:rsid w:val="00C4685C"/>
    <w:rsid w:val="00C47692"/>
    <w:rsid w:val="00C50018"/>
    <w:rsid w:val="00C557FB"/>
    <w:rsid w:val="00C568DF"/>
    <w:rsid w:val="00C56CC3"/>
    <w:rsid w:val="00C578EE"/>
    <w:rsid w:val="00C57F10"/>
    <w:rsid w:val="00C6025A"/>
    <w:rsid w:val="00C6063A"/>
    <w:rsid w:val="00C62577"/>
    <w:rsid w:val="00C65D48"/>
    <w:rsid w:val="00C674B7"/>
    <w:rsid w:val="00C67AD2"/>
    <w:rsid w:val="00C70378"/>
    <w:rsid w:val="00C732EF"/>
    <w:rsid w:val="00C7394B"/>
    <w:rsid w:val="00C756C9"/>
    <w:rsid w:val="00C778AE"/>
    <w:rsid w:val="00C77D29"/>
    <w:rsid w:val="00C8253A"/>
    <w:rsid w:val="00C83D63"/>
    <w:rsid w:val="00C84DA2"/>
    <w:rsid w:val="00C862EC"/>
    <w:rsid w:val="00C87D26"/>
    <w:rsid w:val="00C91BAF"/>
    <w:rsid w:val="00C93787"/>
    <w:rsid w:val="00C93F1C"/>
    <w:rsid w:val="00CA1A92"/>
    <w:rsid w:val="00CA5021"/>
    <w:rsid w:val="00CA68E5"/>
    <w:rsid w:val="00CB055A"/>
    <w:rsid w:val="00CB07E6"/>
    <w:rsid w:val="00CB2280"/>
    <w:rsid w:val="00CB3A6F"/>
    <w:rsid w:val="00CB4BFA"/>
    <w:rsid w:val="00CB50B5"/>
    <w:rsid w:val="00CB518E"/>
    <w:rsid w:val="00CB5BB4"/>
    <w:rsid w:val="00CB621F"/>
    <w:rsid w:val="00CB652C"/>
    <w:rsid w:val="00CB6A78"/>
    <w:rsid w:val="00CB7BC2"/>
    <w:rsid w:val="00CC0490"/>
    <w:rsid w:val="00CC055F"/>
    <w:rsid w:val="00CC1C72"/>
    <w:rsid w:val="00CC241A"/>
    <w:rsid w:val="00CC29EE"/>
    <w:rsid w:val="00CC2E2A"/>
    <w:rsid w:val="00CD07B1"/>
    <w:rsid w:val="00CD17C3"/>
    <w:rsid w:val="00CD299F"/>
    <w:rsid w:val="00CD2AE0"/>
    <w:rsid w:val="00CD4042"/>
    <w:rsid w:val="00CD5786"/>
    <w:rsid w:val="00CE098B"/>
    <w:rsid w:val="00CE52FE"/>
    <w:rsid w:val="00CE5EB0"/>
    <w:rsid w:val="00CE6764"/>
    <w:rsid w:val="00CE69A7"/>
    <w:rsid w:val="00CE7146"/>
    <w:rsid w:val="00CE76E2"/>
    <w:rsid w:val="00CF04CF"/>
    <w:rsid w:val="00CF0677"/>
    <w:rsid w:val="00CF0F19"/>
    <w:rsid w:val="00CF1214"/>
    <w:rsid w:val="00CF1A8E"/>
    <w:rsid w:val="00D004C4"/>
    <w:rsid w:val="00D01584"/>
    <w:rsid w:val="00D01815"/>
    <w:rsid w:val="00D01E17"/>
    <w:rsid w:val="00D02319"/>
    <w:rsid w:val="00D02B28"/>
    <w:rsid w:val="00D02D05"/>
    <w:rsid w:val="00D0329F"/>
    <w:rsid w:val="00D036E5"/>
    <w:rsid w:val="00D04F16"/>
    <w:rsid w:val="00D071D1"/>
    <w:rsid w:val="00D10647"/>
    <w:rsid w:val="00D106AB"/>
    <w:rsid w:val="00D108D6"/>
    <w:rsid w:val="00D10DB3"/>
    <w:rsid w:val="00D1197F"/>
    <w:rsid w:val="00D1210E"/>
    <w:rsid w:val="00D125A9"/>
    <w:rsid w:val="00D13E44"/>
    <w:rsid w:val="00D150F3"/>
    <w:rsid w:val="00D162B5"/>
    <w:rsid w:val="00D17320"/>
    <w:rsid w:val="00D225E0"/>
    <w:rsid w:val="00D266F6"/>
    <w:rsid w:val="00D2743D"/>
    <w:rsid w:val="00D33CC7"/>
    <w:rsid w:val="00D34B0D"/>
    <w:rsid w:val="00D369AF"/>
    <w:rsid w:val="00D3714A"/>
    <w:rsid w:val="00D37BE6"/>
    <w:rsid w:val="00D37DF7"/>
    <w:rsid w:val="00D41058"/>
    <w:rsid w:val="00D41F13"/>
    <w:rsid w:val="00D43C73"/>
    <w:rsid w:val="00D45128"/>
    <w:rsid w:val="00D45ED5"/>
    <w:rsid w:val="00D4684E"/>
    <w:rsid w:val="00D5047F"/>
    <w:rsid w:val="00D521E1"/>
    <w:rsid w:val="00D52258"/>
    <w:rsid w:val="00D53D81"/>
    <w:rsid w:val="00D54C85"/>
    <w:rsid w:val="00D559F3"/>
    <w:rsid w:val="00D5778A"/>
    <w:rsid w:val="00D61F48"/>
    <w:rsid w:val="00D62069"/>
    <w:rsid w:val="00D630F2"/>
    <w:rsid w:val="00D64381"/>
    <w:rsid w:val="00D65B3A"/>
    <w:rsid w:val="00D65C8F"/>
    <w:rsid w:val="00D6690A"/>
    <w:rsid w:val="00D704F2"/>
    <w:rsid w:val="00D71D3D"/>
    <w:rsid w:val="00D7289B"/>
    <w:rsid w:val="00D74446"/>
    <w:rsid w:val="00D77F3A"/>
    <w:rsid w:val="00D80837"/>
    <w:rsid w:val="00D80A48"/>
    <w:rsid w:val="00D83C83"/>
    <w:rsid w:val="00D84875"/>
    <w:rsid w:val="00D860F4"/>
    <w:rsid w:val="00D90343"/>
    <w:rsid w:val="00D9052D"/>
    <w:rsid w:val="00D91001"/>
    <w:rsid w:val="00D91D0D"/>
    <w:rsid w:val="00D95C1B"/>
    <w:rsid w:val="00D964D2"/>
    <w:rsid w:val="00D9732B"/>
    <w:rsid w:val="00D979AB"/>
    <w:rsid w:val="00DA0B52"/>
    <w:rsid w:val="00DA217F"/>
    <w:rsid w:val="00DA398F"/>
    <w:rsid w:val="00DA475B"/>
    <w:rsid w:val="00DA4E0C"/>
    <w:rsid w:val="00DA594E"/>
    <w:rsid w:val="00DA7FF9"/>
    <w:rsid w:val="00DB02F0"/>
    <w:rsid w:val="00DB03F6"/>
    <w:rsid w:val="00DB117C"/>
    <w:rsid w:val="00DB2FC8"/>
    <w:rsid w:val="00DB5FE0"/>
    <w:rsid w:val="00DB6CCD"/>
    <w:rsid w:val="00DB77B1"/>
    <w:rsid w:val="00DC0BEE"/>
    <w:rsid w:val="00DC24FD"/>
    <w:rsid w:val="00DC2DA7"/>
    <w:rsid w:val="00DC3980"/>
    <w:rsid w:val="00DC3AA0"/>
    <w:rsid w:val="00DC3F34"/>
    <w:rsid w:val="00DC5822"/>
    <w:rsid w:val="00DC5B17"/>
    <w:rsid w:val="00DD0F7D"/>
    <w:rsid w:val="00DD3473"/>
    <w:rsid w:val="00DD3503"/>
    <w:rsid w:val="00DD39F6"/>
    <w:rsid w:val="00DD4D18"/>
    <w:rsid w:val="00DD4E41"/>
    <w:rsid w:val="00DD5B96"/>
    <w:rsid w:val="00DD5ED1"/>
    <w:rsid w:val="00DD689C"/>
    <w:rsid w:val="00DE0F7B"/>
    <w:rsid w:val="00DE2EF5"/>
    <w:rsid w:val="00DE5F11"/>
    <w:rsid w:val="00DE783F"/>
    <w:rsid w:val="00DF010A"/>
    <w:rsid w:val="00DF1464"/>
    <w:rsid w:val="00DF2BC4"/>
    <w:rsid w:val="00DF42C1"/>
    <w:rsid w:val="00DF4506"/>
    <w:rsid w:val="00DF4A5A"/>
    <w:rsid w:val="00DF5A85"/>
    <w:rsid w:val="00DF677A"/>
    <w:rsid w:val="00DF7560"/>
    <w:rsid w:val="00E00318"/>
    <w:rsid w:val="00E02A17"/>
    <w:rsid w:val="00E02ADD"/>
    <w:rsid w:val="00E04305"/>
    <w:rsid w:val="00E04596"/>
    <w:rsid w:val="00E04D15"/>
    <w:rsid w:val="00E10999"/>
    <w:rsid w:val="00E134E3"/>
    <w:rsid w:val="00E13C75"/>
    <w:rsid w:val="00E13F6A"/>
    <w:rsid w:val="00E16300"/>
    <w:rsid w:val="00E16ABA"/>
    <w:rsid w:val="00E179DC"/>
    <w:rsid w:val="00E20F8C"/>
    <w:rsid w:val="00E21E69"/>
    <w:rsid w:val="00E22288"/>
    <w:rsid w:val="00E22F20"/>
    <w:rsid w:val="00E24302"/>
    <w:rsid w:val="00E266C0"/>
    <w:rsid w:val="00E266FD"/>
    <w:rsid w:val="00E26BA3"/>
    <w:rsid w:val="00E31EBD"/>
    <w:rsid w:val="00E33383"/>
    <w:rsid w:val="00E35744"/>
    <w:rsid w:val="00E36857"/>
    <w:rsid w:val="00E40167"/>
    <w:rsid w:val="00E44EC5"/>
    <w:rsid w:val="00E44F36"/>
    <w:rsid w:val="00E467D6"/>
    <w:rsid w:val="00E470E7"/>
    <w:rsid w:val="00E479AE"/>
    <w:rsid w:val="00E51E05"/>
    <w:rsid w:val="00E52468"/>
    <w:rsid w:val="00E52D55"/>
    <w:rsid w:val="00E532DF"/>
    <w:rsid w:val="00E533A7"/>
    <w:rsid w:val="00E537B6"/>
    <w:rsid w:val="00E543A5"/>
    <w:rsid w:val="00E551D7"/>
    <w:rsid w:val="00E561DE"/>
    <w:rsid w:val="00E56517"/>
    <w:rsid w:val="00E65117"/>
    <w:rsid w:val="00E669E1"/>
    <w:rsid w:val="00E6715B"/>
    <w:rsid w:val="00E704BE"/>
    <w:rsid w:val="00E716D6"/>
    <w:rsid w:val="00E73FFA"/>
    <w:rsid w:val="00E7418C"/>
    <w:rsid w:val="00E75056"/>
    <w:rsid w:val="00E753C0"/>
    <w:rsid w:val="00E75629"/>
    <w:rsid w:val="00E768F7"/>
    <w:rsid w:val="00E777D0"/>
    <w:rsid w:val="00E80BF0"/>
    <w:rsid w:val="00E81EFE"/>
    <w:rsid w:val="00E823D0"/>
    <w:rsid w:val="00E82C5C"/>
    <w:rsid w:val="00E841F4"/>
    <w:rsid w:val="00E8504E"/>
    <w:rsid w:val="00E86C6A"/>
    <w:rsid w:val="00E8753D"/>
    <w:rsid w:val="00E9033B"/>
    <w:rsid w:val="00E91327"/>
    <w:rsid w:val="00E9271D"/>
    <w:rsid w:val="00E9534C"/>
    <w:rsid w:val="00EA1660"/>
    <w:rsid w:val="00EA48F0"/>
    <w:rsid w:val="00EA4B3B"/>
    <w:rsid w:val="00EA65A1"/>
    <w:rsid w:val="00EB04B6"/>
    <w:rsid w:val="00EB2951"/>
    <w:rsid w:val="00EB2EDD"/>
    <w:rsid w:val="00EB2FF7"/>
    <w:rsid w:val="00EB63A1"/>
    <w:rsid w:val="00EB640A"/>
    <w:rsid w:val="00EC082C"/>
    <w:rsid w:val="00EC0F38"/>
    <w:rsid w:val="00EC1423"/>
    <w:rsid w:val="00EC37D3"/>
    <w:rsid w:val="00EC46E1"/>
    <w:rsid w:val="00EC5DA7"/>
    <w:rsid w:val="00EC6452"/>
    <w:rsid w:val="00ED267B"/>
    <w:rsid w:val="00ED46AD"/>
    <w:rsid w:val="00ED5475"/>
    <w:rsid w:val="00ED5EE6"/>
    <w:rsid w:val="00ED6ABF"/>
    <w:rsid w:val="00ED6D51"/>
    <w:rsid w:val="00EE0DDC"/>
    <w:rsid w:val="00EE2303"/>
    <w:rsid w:val="00EE2EC4"/>
    <w:rsid w:val="00EE2F9F"/>
    <w:rsid w:val="00EE6F17"/>
    <w:rsid w:val="00EE723E"/>
    <w:rsid w:val="00EE7279"/>
    <w:rsid w:val="00EF0368"/>
    <w:rsid w:val="00EF0B9E"/>
    <w:rsid w:val="00EF2482"/>
    <w:rsid w:val="00EF3542"/>
    <w:rsid w:val="00EF56AA"/>
    <w:rsid w:val="00EF6624"/>
    <w:rsid w:val="00F0088A"/>
    <w:rsid w:val="00F02897"/>
    <w:rsid w:val="00F02C70"/>
    <w:rsid w:val="00F03092"/>
    <w:rsid w:val="00F039C6"/>
    <w:rsid w:val="00F04645"/>
    <w:rsid w:val="00F109A0"/>
    <w:rsid w:val="00F10BD6"/>
    <w:rsid w:val="00F10D82"/>
    <w:rsid w:val="00F13E13"/>
    <w:rsid w:val="00F13EA0"/>
    <w:rsid w:val="00F15559"/>
    <w:rsid w:val="00F15B64"/>
    <w:rsid w:val="00F164DA"/>
    <w:rsid w:val="00F237D6"/>
    <w:rsid w:val="00F256FD"/>
    <w:rsid w:val="00F25B1B"/>
    <w:rsid w:val="00F262B8"/>
    <w:rsid w:val="00F3138A"/>
    <w:rsid w:val="00F33AAC"/>
    <w:rsid w:val="00F33BF8"/>
    <w:rsid w:val="00F36007"/>
    <w:rsid w:val="00F3757C"/>
    <w:rsid w:val="00F41939"/>
    <w:rsid w:val="00F42F2D"/>
    <w:rsid w:val="00F438AB"/>
    <w:rsid w:val="00F43A9F"/>
    <w:rsid w:val="00F44B5D"/>
    <w:rsid w:val="00F4721D"/>
    <w:rsid w:val="00F506CD"/>
    <w:rsid w:val="00F51513"/>
    <w:rsid w:val="00F5159D"/>
    <w:rsid w:val="00F53F2C"/>
    <w:rsid w:val="00F560AF"/>
    <w:rsid w:val="00F57115"/>
    <w:rsid w:val="00F600A0"/>
    <w:rsid w:val="00F63D95"/>
    <w:rsid w:val="00F6496C"/>
    <w:rsid w:val="00F65C2B"/>
    <w:rsid w:val="00F65EB7"/>
    <w:rsid w:val="00F6636D"/>
    <w:rsid w:val="00F66C02"/>
    <w:rsid w:val="00F703F4"/>
    <w:rsid w:val="00F71941"/>
    <w:rsid w:val="00F72574"/>
    <w:rsid w:val="00F73FAE"/>
    <w:rsid w:val="00F74FA8"/>
    <w:rsid w:val="00F7745C"/>
    <w:rsid w:val="00F774A3"/>
    <w:rsid w:val="00F802B8"/>
    <w:rsid w:val="00F80493"/>
    <w:rsid w:val="00F805C6"/>
    <w:rsid w:val="00F81C46"/>
    <w:rsid w:val="00F8688E"/>
    <w:rsid w:val="00F86FAB"/>
    <w:rsid w:val="00F87F99"/>
    <w:rsid w:val="00F900BB"/>
    <w:rsid w:val="00F912E9"/>
    <w:rsid w:val="00F921CF"/>
    <w:rsid w:val="00F942B5"/>
    <w:rsid w:val="00F95269"/>
    <w:rsid w:val="00F96269"/>
    <w:rsid w:val="00F9643E"/>
    <w:rsid w:val="00F969C6"/>
    <w:rsid w:val="00F97BA1"/>
    <w:rsid w:val="00FA0285"/>
    <w:rsid w:val="00FA05E1"/>
    <w:rsid w:val="00FA2D9F"/>
    <w:rsid w:val="00FA34AD"/>
    <w:rsid w:val="00FA59E9"/>
    <w:rsid w:val="00FA6F8A"/>
    <w:rsid w:val="00FA73DA"/>
    <w:rsid w:val="00FB0799"/>
    <w:rsid w:val="00FB089E"/>
    <w:rsid w:val="00FB10E1"/>
    <w:rsid w:val="00FB1478"/>
    <w:rsid w:val="00FB2275"/>
    <w:rsid w:val="00FB3DD1"/>
    <w:rsid w:val="00FB443F"/>
    <w:rsid w:val="00FB4C2C"/>
    <w:rsid w:val="00FB5FE1"/>
    <w:rsid w:val="00FC2C3B"/>
    <w:rsid w:val="00FC6EBF"/>
    <w:rsid w:val="00FC721D"/>
    <w:rsid w:val="00FD0A92"/>
    <w:rsid w:val="00FD1716"/>
    <w:rsid w:val="00FD274D"/>
    <w:rsid w:val="00FD6EB8"/>
    <w:rsid w:val="00FE02F1"/>
    <w:rsid w:val="00FE2BBF"/>
    <w:rsid w:val="00FE2E1B"/>
    <w:rsid w:val="00FE3664"/>
    <w:rsid w:val="00FE3EEA"/>
    <w:rsid w:val="00FE6718"/>
    <w:rsid w:val="00FE6DFC"/>
    <w:rsid w:val="00FF4654"/>
    <w:rsid w:val="00FF51C9"/>
    <w:rsid w:val="00FF5360"/>
    <w:rsid w:val="00FF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FAC88"/>
  <w15:chartTrackingRefBased/>
  <w15:docId w15:val="{0EC58C67-BFCD-424D-9CD2-F603C501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1D"/>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C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6,Style 20,Appel note de bas de p,Style 8,Style 7,Style 3,Style 17,Style 19"/>
    <w:basedOn w:val="DefaultParagraphFont"/>
    <w:rsid w:val="001B0C5E"/>
    <w:rPr>
      <w:vertAlign w:val="superscript"/>
    </w:rPr>
  </w:style>
  <w:style w:type="character" w:styleId="Hyperlink">
    <w:name w:val="Hyperlink"/>
    <w:basedOn w:val="DefaultParagraphFont"/>
    <w:rsid w:val="001B0C5E"/>
    <w:rPr>
      <w:color w:val="0000FF"/>
      <w:u w:val="single"/>
    </w:rPr>
  </w:style>
  <w:style w:type="character" w:styleId="Emphasis">
    <w:name w:val="Emphasis"/>
    <w:basedOn w:val="DefaultParagraphFont"/>
    <w:qFormat/>
    <w:rsid w:val="001B0C5E"/>
    <w:rPr>
      <w:i/>
      <w:iCs/>
    </w:rPr>
  </w:style>
  <w:style w:type="paragraph" w:styleId="ListParagraph">
    <w:name w:val="List Paragraph"/>
    <w:basedOn w:val="Normal"/>
    <w:uiPriority w:val="34"/>
    <w:qFormat/>
    <w:rsid w:val="001B0C5E"/>
    <w:pPr>
      <w:ind w:left="720"/>
      <w:contextualSpacing/>
    </w:pPr>
  </w:style>
  <w:style w:type="paragraph" w:styleId="Footer">
    <w:name w:val="footer"/>
    <w:basedOn w:val="Normal"/>
    <w:link w:val="FooterChar"/>
    <w:uiPriority w:val="99"/>
    <w:unhideWhenUsed/>
    <w:rsid w:val="001B0C5E"/>
    <w:pPr>
      <w:tabs>
        <w:tab w:val="center" w:pos="4680"/>
        <w:tab w:val="right" w:pos="9360"/>
      </w:tabs>
    </w:pPr>
  </w:style>
  <w:style w:type="character" w:customStyle="1" w:styleId="FooterChar">
    <w:name w:val="Footer Char"/>
    <w:basedOn w:val="DefaultParagraphFont"/>
    <w:link w:val="Footer"/>
    <w:uiPriority w:val="99"/>
    <w:rsid w:val="001B0C5E"/>
    <w:rPr>
      <w:rFonts w:ascii="Times New Roman" w:eastAsia="Times New Roman" w:hAnsi="Times New Roman" w:cs="Times New Roman"/>
      <w:sz w:val="20"/>
      <w:szCs w:val="20"/>
    </w:rPr>
  </w:style>
  <w:style w:type="paragraph" w:styleId="FootnoteText">
    <w:name w:val="footnote text"/>
    <w:aliases w:val="fn,ALTS FOOTNOTE,Footnote Text 2,Footnote text,FOOTNOTE,fn Char Char,fn Char,Car,Footnote Text Char1,Footnote Text Char Char,Footnote Text Char1 Char Char,Footnote Text Char Char Char Char,Footnote Text Char1 Char Char Char Char"/>
    <w:basedOn w:val="Normal"/>
    <w:link w:val="FootnoteTextChar"/>
    <w:uiPriority w:val="99"/>
    <w:unhideWhenUsed/>
    <w:qFormat/>
    <w:rsid w:val="001B0C5E"/>
  </w:style>
  <w:style w:type="character" w:customStyle="1" w:styleId="FootnoteTextChar">
    <w:name w:val="Footnote Text Char"/>
    <w:aliases w:val="fn Char1,ALTS FOOTNOTE Char,Footnote Text 2 Char,Footnote text Char,FOOTNOTE Char,fn Char Char Char,fn Char Char1,Car Char,Footnote Text Char1 Char,Footnote Text Char Char Char,Footnote Text Char1 Char Char Char"/>
    <w:basedOn w:val="DefaultParagraphFont"/>
    <w:link w:val="FootnoteText"/>
    <w:uiPriority w:val="99"/>
    <w:rsid w:val="001B0C5E"/>
    <w:rPr>
      <w:rFonts w:ascii="Times New Roman" w:eastAsia="Times New Roman" w:hAnsi="Times New Roman" w:cs="Times New Roman"/>
      <w:sz w:val="20"/>
      <w:szCs w:val="20"/>
    </w:rPr>
  </w:style>
  <w:style w:type="paragraph" w:customStyle="1" w:styleId="Default">
    <w:name w:val="Default"/>
    <w:rsid w:val="001B0C5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31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5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84203"/>
    <w:rPr>
      <w:sz w:val="16"/>
      <w:szCs w:val="16"/>
    </w:rPr>
  </w:style>
  <w:style w:type="paragraph" w:styleId="CommentText">
    <w:name w:val="annotation text"/>
    <w:basedOn w:val="Normal"/>
    <w:link w:val="CommentTextChar"/>
    <w:uiPriority w:val="99"/>
    <w:semiHidden/>
    <w:unhideWhenUsed/>
    <w:rsid w:val="00084203"/>
  </w:style>
  <w:style w:type="character" w:customStyle="1" w:styleId="CommentTextChar">
    <w:name w:val="Comment Text Char"/>
    <w:basedOn w:val="DefaultParagraphFont"/>
    <w:link w:val="CommentText"/>
    <w:uiPriority w:val="99"/>
    <w:semiHidden/>
    <w:rsid w:val="000842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4203"/>
    <w:rPr>
      <w:b/>
      <w:bCs/>
    </w:rPr>
  </w:style>
  <w:style w:type="character" w:customStyle="1" w:styleId="CommentSubjectChar">
    <w:name w:val="Comment Subject Char"/>
    <w:basedOn w:val="CommentTextChar"/>
    <w:link w:val="CommentSubject"/>
    <w:uiPriority w:val="99"/>
    <w:semiHidden/>
    <w:rsid w:val="00084203"/>
    <w:rPr>
      <w:rFonts w:ascii="Times New Roman" w:eastAsia="Times New Roman" w:hAnsi="Times New Roman" w:cs="Times New Roman"/>
      <w:b/>
      <w:bCs/>
      <w:sz w:val="20"/>
      <w:szCs w:val="20"/>
    </w:rPr>
  </w:style>
  <w:style w:type="character" w:customStyle="1" w:styleId="term1">
    <w:name w:val="term1"/>
    <w:basedOn w:val="DefaultParagraphFont"/>
    <w:rsid w:val="00A85A38"/>
    <w:rPr>
      <w:b/>
      <w:bCs/>
    </w:rPr>
  </w:style>
  <w:style w:type="table" w:customStyle="1" w:styleId="TableGrid0">
    <w:name w:val="TableGrid"/>
    <w:rsid w:val="006A5BF4"/>
    <w:pPr>
      <w:spacing w:after="0" w:line="240" w:lineRule="auto"/>
    </w:pPr>
    <w:rPr>
      <w:rFonts w:eastAsia="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E04D15"/>
    <w:pPr>
      <w:tabs>
        <w:tab w:val="center" w:pos="4680"/>
        <w:tab w:val="right" w:pos="9360"/>
      </w:tabs>
    </w:pPr>
  </w:style>
  <w:style w:type="character" w:customStyle="1" w:styleId="HeaderChar">
    <w:name w:val="Header Char"/>
    <w:basedOn w:val="DefaultParagraphFont"/>
    <w:link w:val="Header"/>
    <w:uiPriority w:val="99"/>
    <w:rsid w:val="00E04D1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981879">
      <w:bodyDiv w:val="1"/>
      <w:marLeft w:val="0"/>
      <w:marRight w:val="0"/>
      <w:marTop w:val="0"/>
      <w:marBottom w:val="0"/>
      <w:divBdr>
        <w:top w:val="none" w:sz="0" w:space="0" w:color="auto"/>
        <w:left w:val="none" w:sz="0" w:space="0" w:color="auto"/>
        <w:bottom w:val="none" w:sz="0" w:space="0" w:color="auto"/>
        <w:right w:val="none" w:sz="0" w:space="0" w:color="auto"/>
      </w:divBdr>
      <w:divsChild>
        <w:div w:id="1464467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67191">
      <w:bodyDiv w:val="1"/>
      <w:marLeft w:val="0"/>
      <w:marRight w:val="0"/>
      <w:marTop w:val="0"/>
      <w:marBottom w:val="0"/>
      <w:divBdr>
        <w:top w:val="none" w:sz="0" w:space="0" w:color="auto"/>
        <w:left w:val="none" w:sz="0" w:space="0" w:color="auto"/>
        <w:bottom w:val="none" w:sz="0" w:space="0" w:color="auto"/>
        <w:right w:val="none" w:sz="0" w:space="0" w:color="auto"/>
      </w:divBdr>
      <w:divsChild>
        <w:div w:id="1667974989">
          <w:marLeft w:val="0"/>
          <w:marRight w:val="0"/>
          <w:marTop w:val="0"/>
          <w:marBottom w:val="0"/>
          <w:divBdr>
            <w:top w:val="none" w:sz="0" w:space="0" w:color="auto"/>
            <w:left w:val="single" w:sz="6" w:space="0" w:color="BBBBBB"/>
            <w:bottom w:val="single" w:sz="6" w:space="0" w:color="BBBBBB"/>
            <w:right w:val="single" w:sz="6" w:space="0" w:color="BBBBBB"/>
          </w:divBdr>
          <w:divsChild>
            <w:div w:id="1345477024">
              <w:marLeft w:val="0"/>
              <w:marRight w:val="0"/>
              <w:marTop w:val="0"/>
              <w:marBottom w:val="0"/>
              <w:divBdr>
                <w:top w:val="none" w:sz="0" w:space="0" w:color="auto"/>
                <w:left w:val="none" w:sz="0" w:space="0" w:color="auto"/>
                <w:bottom w:val="none" w:sz="0" w:space="0" w:color="auto"/>
                <w:right w:val="none" w:sz="0" w:space="0" w:color="auto"/>
              </w:divBdr>
              <w:divsChild>
                <w:div w:id="1679699359">
                  <w:marLeft w:val="0"/>
                  <w:marRight w:val="0"/>
                  <w:marTop w:val="75"/>
                  <w:marBottom w:val="0"/>
                  <w:divBdr>
                    <w:top w:val="none" w:sz="0" w:space="0" w:color="auto"/>
                    <w:left w:val="none" w:sz="0" w:space="0" w:color="auto"/>
                    <w:bottom w:val="none" w:sz="0" w:space="0" w:color="auto"/>
                    <w:right w:val="none" w:sz="0" w:space="0" w:color="auto"/>
                  </w:divBdr>
                  <w:divsChild>
                    <w:div w:id="1221016249">
                      <w:marLeft w:val="0"/>
                      <w:marRight w:val="0"/>
                      <w:marTop w:val="0"/>
                      <w:marBottom w:val="0"/>
                      <w:divBdr>
                        <w:top w:val="none" w:sz="0" w:space="0" w:color="auto"/>
                        <w:left w:val="none" w:sz="0" w:space="0" w:color="auto"/>
                        <w:bottom w:val="none" w:sz="0" w:space="0" w:color="auto"/>
                        <w:right w:val="none" w:sz="0" w:space="0" w:color="auto"/>
                      </w:divBdr>
                      <w:divsChild>
                        <w:div w:id="1651862814">
                          <w:marLeft w:val="0"/>
                          <w:marRight w:val="0"/>
                          <w:marTop w:val="0"/>
                          <w:marBottom w:val="0"/>
                          <w:divBdr>
                            <w:top w:val="none" w:sz="0" w:space="0" w:color="auto"/>
                            <w:left w:val="none" w:sz="0" w:space="0" w:color="auto"/>
                            <w:bottom w:val="none" w:sz="0" w:space="0" w:color="auto"/>
                            <w:right w:val="none" w:sz="0" w:space="0" w:color="auto"/>
                          </w:divBdr>
                          <w:divsChild>
                            <w:div w:id="26609360">
                              <w:marLeft w:val="0"/>
                              <w:marRight w:val="0"/>
                              <w:marTop w:val="0"/>
                              <w:marBottom w:val="0"/>
                              <w:divBdr>
                                <w:top w:val="none" w:sz="0" w:space="0" w:color="auto"/>
                                <w:left w:val="none" w:sz="0" w:space="0" w:color="auto"/>
                                <w:bottom w:val="none" w:sz="0" w:space="0" w:color="auto"/>
                                <w:right w:val="none" w:sz="0" w:space="0" w:color="auto"/>
                              </w:divBdr>
                              <w:divsChild>
                                <w:div w:id="193278259">
                                  <w:marLeft w:val="0"/>
                                  <w:marRight w:val="0"/>
                                  <w:marTop w:val="0"/>
                                  <w:marBottom w:val="0"/>
                                  <w:divBdr>
                                    <w:top w:val="none" w:sz="0" w:space="0" w:color="auto"/>
                                    <w:left w:val="none" w:sz="0" w:space="0" w:color="auto"/>
                                    <w:bottom w:val="none" w:sz="0" w:space="0" w:color="auto"/>
                                    <w:right w:val="none" w:sz="0" w:space="0" w:color="auto"/>
                                  </w:divBdr>
                                  <w:divsChild>
                                    <w:div w:id="553348107">
                                      <w:marLeft w:val="0"/>
                                      <w:marRight w:val="0"/>
                                      <w:marTop w:val="0"/>
                                      <w:marBottom w:val="0"/>
                                      <w:divBdr>
                                        <w:top w:val="none" w:sz="0" w:space="0" w:color="auto"/>
                                        <w:left w:val="none" w:sz="0" w:space="0" w:color="auto"/>
                                        <w:bottom w:val="none" w:sz="0" w:space="0" w:color="auto"/>
                                        <w:right w:val="none" w:sz="0" w:space="0" w:color="auto"/>
                                      </w:divBdr>
                                      <w:divsChild>
                                        <w:div w:id="1156919390">
                                          <w:marLeft w:val="1200"/>
                                          <w:marRight w:val="1200"/>
                                          <w:marTop w:val="0"/>
                                          <w:marBottom w:val="0"/>
                                          <w:divBdr>
                                            <w:top w:val="none" w:sz="0" w:space="0" w:color="auto"/>
                                            <w:left w:val="none" w:sz="0" w:space="0" w:color="auto"/>
                                            <w:bottom w:val="none" w:sz="0" w:space="0" w:color="auto"/>
                                            <w:right w:val="none" w:sz="0" w:space="0" w:color="auto"/>
                                          </w:divBdr>
                                          <w:divsChild>
                                            <w:div w:id="508831498">
                                              <w:marLeft w:val="0"/>
                                              <w:marRight w:val="0"/>
                                              <w:marTop w:val="0"/>
                                              <w:marBottom w:val="0"/>
                                              <w:divBdr>
                                                <w:top w:val="none" w:sz="0" w:space="0" w:color="auto"/>
                                                <w:left w:val="none" w:sz="0" w:space="0" w:color="auto"/>
                                                <w:bottom w:val="none" w:sz="0" w:space="0" w:color="auto"/>
                                                <w:right w:val="none" w:sz="0" w:space="0" w:color="auto"/>
                                              </w:divBdr>
                                              <w:divsChild>
                                                <w:div w:id="1025980080">
                                                  <w:marLeft w:val="0"/>
                                                  <w:marRight w:val="0"/>
                                                  <w:marTop w:val="240"/>
                                                  <w:marBottom w:val="0"/>
                                                  <w:divBdr>
                                                    <w:top w:val="none" w:sz="0" w:space="0" w:color="auto"/>
                                                    <w:left w:val="none" w:sz="0" w:space="0" w:color="auto"/>
                                                    <w:bottom w:val="none" w:sz="0" w:space="0" w:color="auto"/>
                                                    <w:right w:val="none" w:sz="0" w:space="0" w:color="auto"/>
                                                  </w:divBdr>
                                                  <w:divsChild>
                                                    <w:div w:id="1235165655">
                                                      <w:marLeft w:val="0"/>
                                                      <w:marRight w:val="0"/>
                                                      <w:marTop w:val="0"/>
                                                      <w:marBottom w:val="0"/>
                                                      <w:divBdr>
                                                        <w:top w:val="none" w:sz="0" w:space="0" w:color="auto"/>
                                                        <w:left w:val="none" w:sz="0" w:space="0" w:color="auto"/>
                                                        <w:bottom w:val="none" w:sz="0" w:space="0" w:color="auto"/>
                                                        <w:right w:val="none" w:sz="0" w:space="0" w:color="auto"/>
                                                      </w:divBdr>
                                                      <w:divsChild>
                                                        <w:div w:id="2079473257">
                                                          <w:marLeft w:val="1275"/>
                                                          <w:marRight w:val="0"/>
                                                          <w:marTop w:val="0"/>
                                                          <w:marBottom w:val="0"/>
                                                          <w:divBdr>
                                                            <w:top w:val="none" w:sz="0" w:space="0" w:color="auto"/>
                                                            <w:left w:val="none" w:sz="0" w:space="0" w:color="auto"/>
                                                            <w:bottom w:val="none" w:sz="0" w:space="0" w:color="auto"/>
                                                            <w:right w:val="none" w:sz="0" w:space="0" w:color="auto"/>
                                                          </w:divBdr>
                                                          <w:divsChild>
                                                            <w:div w:id="1270888225">
                                                              <w:marLeft w:val="0"/>
                                                              <w:marRight w:val="0"/>
                                                              <w:marTop w:val="0"/>
                                                              <w:marBottom w:val="0"/>
                                                              <w:divBdr>
                                                                <w:top w:val="none" w:sz="0" w:space="0" w:color="auto"/>
                                                                <w:left w:val="none" w:sz="0" w:space="0" w:color="auto"/>
                                                                <w:bottom w:val="none" w:sz="0" w:space="0" w:color="auto"/>
                                                                <w:right w:val="none" w:sz="0" w:space="0" w:color="auto"/>
                                                              </w:divBdr>
                                                              <w:divsChild>
                                                                <w:div w:id="924652331">
                                                                  <w:marLeft w:val="0"/>
                                                                  <w:marRight w:val="0"/>
                                                                  <w:marTop w:val="0"/>
                                                                  <w:marBottom w:val="0"/>
                                                                  <w:divBdr>
                                                                    <w:top w:val="none" w:sz="0" w:space="0" w:color="auto"/>
                                                                    <w:left w:val="none" w:sz="0" w:space="0" w:color="auto"/>
                                                                    <w:bottom w:val="none" w:sz="0" w:space="0" w:color="auto"/>
                                                                    <w:right w:val="none" w:sz="0" w:space="0" w:color="auto"/>
                                                                  </w:divBdr>
                                                                </w:div>
                                                                <w:div w:id="1461411972">
                                                                  <w:marLeft w:val="0"/>
                                                                  <w:marRight w:val="0"/>
                                                                  <w:marTop w:val="0"/>
                                                                  <w:marBottom w:val="0"/>
                                                                  <w:divBdr>
                                                                    <w:top w:val="none" w:sz="0" w:space="0" w:color="auto"/>
                                                                    <w:left w:val="none" w:sz="0" w:space="0" w:color="auto"/>
                                                                    <w:bottom w:val="none" w:sz="0" w:space="0" w:color="auto"/>
                                                                    <w:right w:val="none" w:sz="0" w:space="0" w:color="auto"/>
                                                                  </w:divBdr>
                                                                  <w:divsChild>
                                                                    <w:div w:id="17477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590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FD87D-EBF0-440C-872F-3FAD51E54A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1D35CF-FCED-4C6D-9F87-418433CB7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EA32C-4D31-40FA-9077-F4755AF9F143}">
  <ds:schemaRefs>
    <ds:schemaRef ds:uri="http://schemas.microsoft.com/sharepoint/v3/contenttype/forms"/>
  </ds:schemaRefs>
</ds:datastoreItem>
</file>

<file path=customXml/itemProps4.xml><?xml version="1.0" encoding="utf-8"?>
<ds:datastoreItem xmlns:ds="http://schemas.openxmlformats.org/officeDocument/2006/customXml" ds:itemID="{5C9A7D61-56B6-4697-B727-EF6325DD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2513</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10</cp:revision>
  <cp:lastPrinted>2020-01-21T16:17:00Z</cp:lastPrinted>
  <dcterms:created xsi:type="dcterms:W3CDTF">2020-05-19T12:10:00Z</dcterms:created>
  <dcterms:modified xsi:type="dcterms:W3CDTF">2020-06-18T15:41:00Z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