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543E4" w14:textId="77777777" w:rsidR="00B24598" w:rsidRPr="001A263F" w:rsidRDefault="00B24598" w:rsidP="008F76B5">
      <w:pPr>
        <w:tabs>
          <w:tab w:val="left" w:pos="360"/>
        </w:tabs>
        <w:spacing w:line="240" w:lineRule="auto"/>
        <w:jc w:val="center"/>
        <w:rPr>
          <w:b/>
        </w:rPr>
      </w:pPr>
      <w:r w:rsidRPr="001A263F">
        <w:rPr>
          <w:b/>
        </w:rPr>
        <w:t>BEFORE THE</w:t>
      </w:r>
    </w:p>
    <w:p w14:paraId="3FDA772B" w14:textId="77777777" w:rsidR="00B24598" w:rsidRPr="001A263F" w:rsidRDefault="00B24598" w:rsidP="008F76B5">
      <w:pPr>
        <w:tabs>
          <w:tab w:val="left" w:pos="360"/>
        </w:tabs>
        <w:spacing w:line="240" w:lineRule="auto"/>
        <w:jc w:val="center"/>
        <w:rPr>
          <w:b/>
        </w:rPr>
      </w:pPr>
      <w:r w:rsidRPr="001A263F">
        <w:rPr>
          <w:b/>
        </w:rPr>
        <w:t>PENNSYLVANIA PUBLIC UTILITY COMMISSION</w:t>
      </w:r>
    </w:p>
    <w:p w14:paraId="3B1A717B" w14:textId="77777777" w:rsidR="00B24598" w:rsidRPr="001A263F" w:rsidRDefault="00B24598" w:rsidP="008F76B5">
      <w:pPr>
        <w:tabs>
          <w:tab w:val="left" w:pos="360"/>
        </w:tabs>
        <w:spacing w:line="240" w:lineRule="auto"/>
        <w:jc w:val="both"/>
        <w:rPr>
          <w:b/>
        </w:rPr>
      </w:pPr>
    </w:p>
    <w:p w14:paraId="008052C1" w14:textId="77777777" w:rsidR="00B24598" w:rsidRPr="001A263F" w:rsidRDefault="00B24598" w:rsidP="008F76B5">
      <w:pPr>
        <w:tabs>
          <w:tab w:val="left" w:pos="360"/>
        </w:tabs>
        <w:spacing w:line="240" w:lineRule="auto"/>
        <w:jc w:val="both"/>
        <w:rPr>
          <w:b/>
        </w:rPr>
      </w:pPr>
    </w:p>
    <w:p w14:paraId="55F36C23" w14:textId="77777777" w:rsidR="00B24598" w:rsidRPr="001A263F" w:rsidRDefault="00B24598" w:rsidP="008F76B5">
      <w:pPr>
        <w:tabs>
          <w:tab w:val="left" w:pos="360"/>
        </w:tabs>
        <w:spacing w:line="240" w:lineRule="auto"/>
        <w:jc w:val="both"/>
        <w:rPr>
          <w:b/>
        </w:rPr>
      </w:pPr>
    </w:p>
    <w:p w14:paraId="76885321" w14:textId="35D36C90" w:rsidR="00B24598" w:rsidRPr="001A263F" w:rsidRDefault="00767088" w:rsidP="008F76B5">
      <w:pPr>
        <w:tabs>
          <w:tab w:val="left" w:pos="360"/>
        </w:tabs>
        <w:spacing w:line="240" w:lineRule="auto"/>
        <w:jc w:val="both"/>
      </w:pPr>
      <w:r>
        <w:t>Stan Services</w:t>
      </w:r>
      <w:r w:rsidR="006A5956">
        <w:t>, LLC</w:t>
      </w:r>
      <w:r w:rsidR="00EE3B35">
        <w:tab/>
      </w:r>
      <w:r w:rsidR="00EE3B35">
        <w:tab/>
      </w:r>
      <w:r w:rsidR="00B24598" w:rsidRPr="001A263F">
        <w:tab/>
      </w:r>
      <w:r w:rsidR="00B24598" w:rsidRPr="001A263F">
        <w:tab/>
      </w:r>
      <w:r w:rsidR="00B24598" w:rsidRPr="001A263F">
        <w:tab/>
        <w:t>:</w:t>
      </w:r>
    </w:p>
    <w:p w14:paraId="66EA0B2D" w14:textId="77777777" w:rsidR="00B24598" w:rsidRPr="001A263F" w:rsidRDefault="00B24598" w:rsidP="008F76B5">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3BBBB6A8" w14:textId="60ADA130" w:rsidR="00B24598" w:rsidRPr="001A263F" w:rsidRDefault="00B24598" w:rsidP="008F76B5">
      <w:pPr>
        <w:tabs>
          <w:tab w:val="left" w:pos="360"/>
          <w:tab w:val="left" w:pos="720"/>
        </w:tabs>
        <w:spacing w:line="240" w:lineRule="auto"/>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r>
      <w:bookmarkStart w:id="0" w:name="_Hlk43377465"/>
      <w:r w:rsidRPr="001A263F">
        <w:t>C-20</w:t>
      </w:r>
      <w:r w:rsidR="00767088">
        <w:t>20</w:t>
      </w:r>
      <w:r w:rsidRPr="001A263F">
        <w:t>-30</w:t>
      </w:r>
      <w:r w:rsidR="00767088">
        <w:t>18875</w:t>
      </w:r>
      <w:bookmarkEnd w:id="0"/>
    </w:p>
    <w:p w14:paraId="2B5B27CB" w14:textId="77777777" w:rsidR="00B24598" w:rsidRPr="001A263F" w:rsidRDefault="00B24598" w:rsidP="008F76B5">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63126BA3" w14:textId="5A6D7CB4" w:rsidR="00B24598" w:rsidRPr="001A263F" w:rsidRDefault="00B24598" w:rsidP="008F76B5">
      <w:pPr>
        <w:tabs>
          <w:tab w:val="left" w:pos="360"/>
        </w:tabs>
        <w:spacing w:line="240" w:lineRule="auto"/>
        <w:jc w:val="both"/>
      </w:pPr>
      <w:r w:rsidRPr="001A263F">
        <w:t xml:space="preserve">Pennsylvania </w:t>
      </w:r>
      <w:r w:rsidR="00EE3B35">
        <w:t>Power</w:t>
      </w:r>
      <w:r w:rsidRPr="001A263F">
        <w:t xml:space="preserve"> Company</w:t>
      </w:r>
      <w:r w:rsidRPr="001A263F">
        <w:tab/>
      </w:r>
      <w:r w:rsidRPr="001A263F">
        <w:tab/>
      </w:r>
      <w:r w:rsidRPr="001A263F">
        <w:tab/>
        <w:t>:</w:t>
      </w:r>
    </w:p>
    <w:p w14:paraId="54B844B3" w14:textId="77777777" w:rsidR="00B24598" w:rsidRDefault="00B24598" w:rsidP="008F76B5">
      <w:pPr>
        <w:spacing w:line="240" w:lineRule="auto"/>
      </w:pPr>
    </w:p>
    <w:p w14:paraId="3C3063DD" w14:textId="77777777" w:rsidR="00B24598" w:rsidRDefault="00B24598" w:rsidP="008F76B5">
      <w:pPr>
        <w:spacing w:line="240" w:lineRule="auto"/>
      </w:pPr>
    </w:p>
    <w:p w14:paraId="2773F126" w14:textId="77777777" w:rsidR="00B24598" w:rsidRDefault="00B24598" w:rsidP="008F76B5">
      <w:pPr>
        <w:spacing w:line="240" w:lineRule="auto"/>
      </w:pPr>
    </w:p>
    <w:p w14:paraId="25F70CCF" w14:textId="77777777" w:rsidR="0052422E" w:rsidRPr="00774BF1" w:rsidRDefault="0052422E" w:rsidP="008F76B5">
      <w:pPr>
        <w:spacing w:line="240" w:lineRule="auto"/>
        <w:jc w:val="center"/>
        <w:rPr>
          <w:b/>
        </w:rPr>
      </w:pPr>
      <w:bookmarkStart w:id="1" w:name="_Hlk43377403"/>
      <w:r w:rsidRPr="00774BF1">
        <w:rPr>
          <w:b/>
        </w:rPr>
        <w:t>INTERIM ORDER</w:t>
      </w:r>
    </w:p>
    <w:p w14:paraId="1EDA62A5" w14:textId="77777777" w:rsidR="004866AA" w:rsidRDefault="00447CA8" w:rsidP="00774BF1">
      <w:pPr>
        <w:spacing w:line="240" w:lineRule="auto"/>
        <w:jc w:val="center"/>
        <w:rPr>
          <w:b/>
        </w:rPr>
      </w:pPr>
      <w:r>
        <w:rPr>
          <w:b/>
        </w:rPr>
        <w:t xml:space="preserve">GRANTING </w:t>
      </w:r>
      <w:r w:rsidR="004866AA">
        <w:rPr>
          <w:b/>
        </w:rPr>
        <w:t xml:space="preserve">RESPONDENT’S </w:t>
      </w:r>
      <w:r w:rsidR="009C7123" w:rsidRPr="00767088">
        <w:rPr>
          <w:b/>
        </w:rPr>
        <w:t>MOTION</w:t>
      </w:r>
      <w:r w:rsidR="0052422E" w:rsidRPr="00767088">
        <w:rPr>
          <w:b/>
        </w:rPr>
        <w:t xml:space="preserve"> TO DISMISS</w:t>
      </w:r>
    </w:p>
    <w:p w14:paraId="24E4A899" w14:textId="77777777" w:rsidR="004866AA" w:rsidRDefault="006A5956" w:rsidP="00774BF1">
      <w:pPr>
        <w:spacing w:line="240" w:lineRule="auto"/>
        <w:jc w:val="center"/>
        <w:rPr>
          <w:b/>
        </w:rPr>
      </w:pPr>
      <w:r>
        <w:rPr>
          <w:b/>
        </w:rPr>
        <w:t xml:space="preserve"> </w:t>
      </w:r>
      <w:r w:rsidR="004866AA">
        <w:rPr>
          <w:b/>
        </w:rPr>
        <w:t xml:space="preserve">COMPLAINT </w:t>
      </w:r>
      <w:r w:rsidR="00767088" w:rsidRPr="006A5956">
        <w:rPr>
          <w:b/>
        </w:rPr>
        <w:t xml:space="preserve">SUBJECT TO </w:t>
      </w:r>
      <w:r w:rsidRPr="006A5956">
        <w:rPr>
          <w:b/>
        </w:rPr>
        <w:t>TIMELY ENTRY OF NOTICE OF</w:t>
      </w:r>
    </w:p>
    <w:p w14:paraId="11B3180D" w14:textId="1BD599AD" w:rsidR="0052422E" w:rsidRPr="004866AA" w:rsidRDefault="00AA1271" w:rsidP="00774BF1">
      <w:pPr>
        <w:spacing w:line="240" w:lineRule="auto"/>
        <w:jc w:val="center"/>
        <w:rPr>
          <w:b/>
          <w:u w:val="single"/>
        </w:rPr>
      </w:pPr>
      <w:r>
        <w:rPr>
          <w:b/>
          <w:u w:val="single"/>
        </w:rPr>
        <w:t xml:space="preserve">APPEARANCE BY </w:t>
      </w:r>
      <w:r w:rsidR="006A5956" w:rsidRPr="004866AA">
        <w:rPr>
          <w:b/>
          <w:u w:val="single"/>
        </w:rPr>
        <w:t xml:space="preserve">LEGAL COUNSEL ON BEHALF OF </w:t>
      </w:r>
      <w:r w:rsidR="00767088" w:rsidRPr="004866AA">
        <w:rPr>
          <w:b/>
          <w:u w:val="single"/>
        </w:rPr>
        <w:t>COMPLAINANT</w:t>
      </w:r>
    </w:p>
    <w:bookmarkEnd w:id="1"/>
    <w:p w14:paraId="1EAE5CB4" w14:textId="0BA8518C" w:rsidR="0052422E" w:rsidRDefault="0052422E"/>
    <w:p w14:paraId="534D139E" w14:textId="77777777" w:rsidR="003845B2" w:rsidRDefault="003845B2"/>
    <w:p w14:paraId="44B2F003" w14:textId="5F4F98DD" w:rsidR="003845B2" w:rsidRPr="003845B2" w:rsidRDefault="003845B2">
      <w:pPr>
        <w:rPr>
          <w:u w:val="single"/>
        </w:rPr>
      </w:pPr>
      <w:r w:rsidRPr="003845B2">
        <w:rPr>
          <w:u w:val="single"/>
        </w:rPr>
        <w:t>Procedural Background</w:t>
      </w:r>
    </w:p>
    <w:p w14:paraId="06C747EF" w14:textId="77777777" w:rsidR="003845B2" w:rsidRDefault="003845B2"/>
    <w:p w14:paraId="47CAD496" w14:textId="5652F400" w:rsidR="00453BAB" w:rsidRDefault="0052422E">
      <w:r>
        <w:tab/>
      </w:r>
      <w:r w:rsidR="00574349">
        <w:tab/>
      </w:r>
      <w:r w:rsidR="005566B3">
        <w:t xml:space="preserve">On </w:t>
      </w:r>
      <w:r w:rsidR="00AA1271">
        <w:t>February 25, 2020</w:t>
      </w:r>
      <w:r w:rsidR="00EE3B35">
        <w:t xml:space="preserve">, </w:t>
      </w:r>
      <w:r w:rsidR="00AA1271">
        <w:t>Stan Services, LLC</w:t>
      </w:r>
      <w:r w:rsidR="005566B3">
        <w:t xml:space="preserve"> (</w:t>
      </w:r>
      <w:r w:rsidR="004219EE">
        <w:t xml:space="preserve">Stan Services or </w:t>
      </w:r>
      <w:r w:rsidR="005566B3">
        <w:t>Complainant)</w:t>
      </w:r>
      <w:r w:rsidR="00453BAB">
        <w:t>, utilizing the Commission’s standard complaint form,</w:t>
      </w:r>
      <w:r w:rsidR="005566B3">
        <w:t xml:space="preserve"> filed a </w:t>
      </w:r>
      <w:r w:rsidR="008279D5">
        <w:t>F</w:t>
      </w:r>
      <w:r w:rsidR="005566B3">
        <w:t xml:space="preserve">ormal </w:t>
      </w:r>
      <w:r w:rsidR="008279D5">
        <w:t>C</w:t>
      </w:r>
      <w:r w:rsidR="005566B3">
        <w:t>omplaint</w:t>
      </w:r>
      <w:r w:rsidR="009C7D53">
        <w:t xml:space="preserve"> </w:t>
      </w:r>
      <w:r w:rsidR="005566B3">
        <w:t xml:space="preserve">against Pennsylvania </w:t>
      </w:r>
      <w:r w:rsidR="00EE3B35">
        <w:t>Power</w:t>
      </w:r>
      <w:r w:rsidR="005566B3">
        <w:t xml:space="preserve"> Company (Pen</w:t>
      </w:r>
      <w:r w:rsidR="00EE3B35">
        <w:t>n Power</w:t>
      </w:r>
      <w:r w:rsidR="00AA1271">
        <w:t xml:space="preserve"> </w:t>
      </w:r>
      <w:r w:rsidR="00FB1757">
        <w:t xml:space="preserve">or </w:t>
      </w:r>
      <w:r w:rsidR="00AA1271">
        <w:t>Respo</w:t>
      </w:r>
      <w:r w:rsidR="00235A33">
        <w:t>n</w:t>
      </w:r>
      <w:r w:rsidR="00AA1271">
        <w:t>dent</w:t>
      </w:r>
      <w:r w:rsidR="00FB1757">
        <w:t xml:space="preserve"> or Company</w:t>
      </w:r>
      <w:r w:rsidR="005566B3">
        <w:t>)</w:t>
      </w:r>
      <w:r w:rsidR="003B0774">
        <w:t xml:space="preserve">.  </w:t>
      </w:r>
      <w:r w:rsidR="007B16EC">
        <w:t xml:space="preserve">Complainant </w:t>
      </w:r>
      <w:r w:rsidR="00AA1271">
        <w:t>alleg</w:t>
      </w:r>
      <w:r w:rsidR="007B16EC">
        <w:t>es</w:t>
      </w:r>
      <w:r w:rsidR="00AA1271">
        <w:t xml:space="preserve"> 1) service termination issues and 2) </w:t>
      </w:r>
      <w:r w:rsidR="00235A33">
        <w:t xml:space="preserve">denial of service to Complainant, </w:t>
      </w:r>
      <w:r w:rsidR="00453BAB">
        <w:t xml:space="preserve">a new company, </w:t>
      </w:r>
      <w:r w:rsidR="00235A33">
        <w:t>after</w:t>
      </w:r>
      <w:r w:rsidR="00453BAB">
        <w:t xml:space="preserve"> </w:t>
      </w:r>
      <w:r w:rsidR="00235A33">
        <w:t xml:space="preserve">leasing space at </w:t>
      </w:r>
      <w:r w:rsidR="001B05B4">
        <w:t>357 Northgate Drive, Unit 5, Warrendale, Pennsylvania (Se</w:t>
      </w:r>
      <w:r w:rsidR="00235A33">
        <w:t>rvice</w:t>
      </w:r>
      <w:r w:rsidR="001B05B4">
        <w:t xml:space="preserve"> Location)</w:t>
      </w:r>
      <w:r w:rsidR="00235A33">
        <w:t xml:space="preserve"> from a previous company that had an outstanding balance at the </w:t>
      </w:r>
      <w:r w:rsidR="001B05B4">
        <w:t>Service Location</w:t>
      </w:r>
      <w:r w:rsidR="00235A33">
        <w:t xml:space="preserve">. </w:t>
      </w:r>
      <w:r w:rsidR="00532034">
        <w:t xml:space="preserve"> </w:t>
      </w:r>
      <w:r w:rsidR="00453BAB">
        <w:t>For relief, Complainant request</w:t>
      </w:r>
      <w:r w:rsidR="007B16EC">
        <w:t>s</w:t>
      </w:r>
      <w:r w:rsidR="00453BAB">
        <w:t xml:space="preserve"> new service </w:t>
      </w:r>
      <w:r w:rsidR="001B05B4">
        <w:t xml:space="preserve">at the Service Location </w:t>
      </w:r>
      <w:r w:rsidR="00453BAB">
        <w:t>with no ties to the previous company.  The complaint for</w:t>
      </w:r>
      <w:r w:rsidR="00532034">
        <w:t>m</w:t>
      </w:r>
      <w:r w:rsidR="00596FB3">
        <w:t xml:space="preserve"> </w:t>
      </w:r>
      <w:r w:rsidR="007B16EC">
        <w:t>is</w:t>
      </w:r>
      <w:r w:rsidR="00453BAB">
        <w:t xml:space="preserve"> signed by </w:t>
      </w:r>
      <w:r w:rsidR="007B16EC">
        <w:t xml:space="preserve">a </w:t>
      </w:r>
      <w:r w:rsidR="00453BAB">
        <w:t>Mark Stanford.  On the line of the complaint form which is only applicable to corporations, associations, partnerships, limited liability companies or political subdivis</w:t>
      </w:r>
      <w:r w:rsidR="00596FB3">
        <w:t>i</w:t>
      </w:r>
      <w:r w:rsidR="00453BAB">
        <w:t>ons,</w:t>
      </w:r>
      <w:r w:rsidR="00596FB3">
        <w:t xml:space="preserve"> Mr. Stanford</w:t>
      </w:r>
      <w:r w:rsidR="007B16EC">
        <w:t>’s</w:t>
      </w:r>
      <w:r w:rsidR="00596FB3">
        <w:t xml:space="preserve"> title </w:t>
      </w:r>
      <w:r w:rsidR="007B16EC">
        <w:t xml:space="preserve">is listed </w:t>
      </w:r>
      <w:r w:rsidR="00596FB3">
        <w:t xml:space="preserve">as “Managing Member.”  The section of the </w:t>
      </w:r>
      <w:r w:rsidR="009C7D53">
        <w:t>C</w:t>
      </w:r>
      <w:r w:rsidR="00596FB3">
        <w:t xml:space="preserve">omplaint which provides for the listing </w:t>
      </w:r>
      <w:r w:rsidR="00BB5601">
        <w:t>of Complainant’s lawyer and the lawyer’s address is blank.</w:t>
      </w:r>
    </w:p>
    <w:p w14:paraId="41C657C6" w14:textId="71222C61" w:rsidR="00BB5601" w:rsidRDefault="00BB5601"/>
    <w:p w14:paraId="25AB4EC8" w14:textId="6AC4252C" w:rsidR="00B123E2" w:rsidRDefault="005566B3" w:rsidP="00516313">
      <w:pPr>
        <w:ind w:firstLine="1440"/>
      </w:pPr>
      <w:r w:rsidRPr="00230C73">
        <w:t xml:space="preserve">On </w:t>
      </w:r>
      <w:r w:rsidR="009566A3" w:rsidRPr="00230C73">
        <w:t>March 16, 2020</w:t>
      </w:r>
      <w:r w:rsidR="00EB444B" w:rsidRPr="00230C73">
        <w:t>,</w:t>
      </w:r>
      <w:r w:rsidR="00EB444B">
        <w:t xml:space="preserve"> Penn Power</w:t>
      </w:r>
      <w:r>
        <w:t xml:space="preserve"> filed an </w:t>
      </w:r>
      <w:r w:rsidR="009566A3">
        <w:t>A</w:t>
      </w:r>
      <w:r>
        <w:t>nswer</w:t>
      </w:r>
      <w:r w:rsidR="009566A3">
        <w:t xml:space="preserve"> and New Matter</w:t>
      </w:r>
      <w:r w:rsidR="00EC525C">
        <w:t>, which included a Notice to Plead</w:t>
      </w:r>
      <w:r>
        <w:t>.  Pen</w:t>
      </w:r>
      <w:r w:rsidR="005035B1">
        <w:t>n Power</w:t>
      </w:r>
      <w:r>
        <w:t xml:space="preserve"> admit</w:t>
      </w:r>
      <w:r w:rsidR="008279D5">
        <w:t>s</w:t>
      </w:r>
      <w:r>
        <w:t xml:space="preserve"> </w:t>
      </w:r>
      <w:r w:rsidR="00FB1757">
        <w:t>the Company</w:t>
      </w:r>
      <w:r>
        <w:t xml:space="preserve"> provides service to </w:t>
      </w:r>
      <w:r w:rsidR="00572AEF">
        <w:t xml:space="preserve">the </w:t>
      </w:r>
      <w:r w:rsidR="008279D5">
        <w:t>Service Location</w:t>
      </w:r>
      <w:r w:rsidR="004219EE">
        <w:t xml:space="preserve"> and that Stan Services is </w:t>
      </w:r>
      <w:r w:rsidR="00230C73">
        <w:t xml:space="preserve">an </w:t>
      </w:r>
      <w:r w:rsidR="004219EE">
        <w:t>applicant for service</w:t>
      </w:r>
      <w:r w:rsidR="001B05B4">
        <w:t xml:space="preserve">. </w:t>
      </w:r>
      <w:r w:rsidR="00572AEF">
        <w:t xml:space="preserve"> </w:t>
      </w:r>
      <w:r w:rsidR="001B05B4">
        <w:t xml:space="preserve">Penn Power </w:t>
      </w:r>
      <w:r w:rsidR="00A733BC">
        <w:t>admits</w:t>
      </w:r>
      <w:r w:rsidR="008279D5">
        <w:t xml:space="preserve"> </w:t>
      </w:r>
      <w:r w:rsidR="00A733BC">
        <w:t xml:space="preserve">the Company provides non-residential </w:t>
      </w:r>
      <w:r w:rsidR="00CF0B84">
        <w:t>service</w:t>
      </w:r>
      <w:r w:rsidR="00A733BC">
        <w:t xml:space="preserve"> to </w:t>
      </w:r>
      <w:r w:rsidR="001B05B4">
        <w:t xml:space="preserve">the Service Location </w:t>
      </w:r>
      <w:r>
        <w:t xml:space="preserve">in the name of </w:t>
      </w:r>
      <w:r w:rsidR="00EB444B">
        <w:t>Y-Clean</w:t>
      </w:r>
      <w:r>
        <w:t xml:space="preserve"> </w:t>
      </w:r>
      <w:r w:rsidR="00A733BC">
        <w:t>(</w:t>
      </w:r>
      <w:r w:rsidR="008279D5">
        <w:t xml:space="preserve">Customer). </w:t>
      </w:r>
      <w:r w:rsidR="006124D8">
        <w:t xml:space="preserve"> </w:t>
      </w:r>
      <w:r w:rsidR="00A733BC">
        <w:lastRenderedPageBreak/>
        <w:t>Answer ¶3.  “</w:t>
      </w:r>
      <w:r w:rsidR="00516313">
        <w:rPr>
          <w:rFonts w:eastAsia="Times New Roman"/>
          <w:color w:val="0B0A12"/>
        </w:rPr>
        <w:t xml:space="preserve">The Company avers that Mr. Stanford is simply applying for service in the Complainant's name to perpetuate a fraud and avoid paying for the consumption billed under the Customer's name.”  Answer at 3.  </w:t>
      </w:r>
      <w:r w:rsidR="006124D8">
        <w:t>Penn Power specifically denies that th</w:t>
      </w:r>
      <w:r w:rsidR="002E245C">
        <w:t>e</w:t>
      </w:r>
      <w:r w:rsidR="00BE454C">
        <w:t xml:space="preserve"> </w:t>
      </w:r>
      <w:r w:rsidR="006124D8">
        <w:t>attorney section of the complaint form should be</w:t>
      </w:r>
      <w:r w:rsidR="002E245C">
        <w:t xml:space="preserve"> </w:t>
      </w:r>
      <w:r w:rsidR="006124D8">
        <w:t xml:space="preserve">left blank.  Penn Power alleges </w:t>
      </w:r>
      <w:r w:rsidR="00B123E2" w:rsidRPr="00B123E2">
        <w:t>Mr. Stanford</w:t>
      </w:r>
      <w:r w:rsidR="006124D8">
        <w:t xml:space="preserve">, </w:t>
      </w:r>
      <w:r w:rsidR="00B123E2" w:rsidRPr="00B123E2">
        <w:t xml:space="preserve"> having filed prior complaints</w:t>
      </w:r>
      <w:bookmarkStart w:id="2" w:name="_Hlk43283368"/>
      <w:r w:rsidR="00B123E2" w:rsidRPr="00B123E2">
        <w:t xml:space="preserve"> </w:t>
      </w:r>
      <w:bookmarkEnd w:id="2"/>
      <w:r w:rsidR="00B123E2" w:rsidRPr="00B123E2">
        <w:t>under the Customer's name</w:t>
      </w:r>
      <w:r w:rsidR="006124D8">
        <w:t xml:space="preserve"> and </w:t>
      </w:r>
      <w:r w:rsidR="00B123E2" w:rsidRPr="00B123E2">
        <w:t>his personal name,</w:t>
      </w:r>
      <w:r w:rsidR="00EC525C">
        <w:rPr>
          <w:rStyle w:val="FootnoteReference"/>
        </w:rPr>
        <w:footnoteReference w:id="1"/>
      </w:r>
      <w:r w:rsidR="00EC525C" w:rsidRPr="00B123E2">
        <w:t xml:space="preserve"> </w:t>
      </w:r>
      <w:r w:rsidR="006124D8">
        <w:t xml:space="preserve">is aware </w:t>
      </w:r>
      <w:r w:rsidR="00B123E2" w:rsidRPr="00B123E2">
        <w:t>that he cannot represent the Complainant since it is a business entity registered in the Commonwealth of Pennsylvania on or about September 2, 2014.</w:t>
      </w:r>
      <w:r w:rsidR="00EC525C">
        <w:t xml:space="preserve"> </w:t>
      </w:r>
      <w:r w:rsidR="00CF0B84">
        <w:t xml:space="preserve"> </w:t>
      </w:r>
      <w:r w:rsidR="00230C73">
        <w:t xml:space="preserve">Answer at 5. </w:t>
      </w:r>
      <w:r w:rsidR="00EC525C">
        <w:t xml:space="preserve"> </w:t>
      </w:r>
      <w:r w:rsidR="00EB444B">
        <w:t>Penn Power</w:t>
      </w:r>
      <w:r>
        <w:t xml:space="preserve"> denie</w:t>
      </w:r>
      <w:r w:rsidR="00572AEF">
        <w:t>s</w:t>
      </w:r>
      <w:r>
        <w:t xml:space="preserve"> the remaining material allegations </w:t>
      </w:r>
      <w:r w:rsidR="00516313">
        <w:t>of</w:t>
      </w:r>
      <w:r>
        <w:t xml:space="preserve"> the </w:t>
      </w:r>
      <w:r w:rsidR="00230C73">
        <w:t>C</w:t>
      </w:r>
      <w:r>
        <w:t xml:space="preserve">omplaint.  </w:t>
      </w:r>
    </w:p>
    <w:p w14:paraId="1160D3CA" w14:textId="2211C206" w:rsidR="00B123E2" w:rsidRDefault="00B123E2" w:rsidP="003845B2">
      <w:pPr>
        <w:ind w:firstLine="1440"/>
      </w:pPr>
    </w:p>
    <w:p w14:paraId="6F46096F" w14:textId="55D427E9" w:rsidR="00207393" w:rsidRDefault="001569AD" w:rsidP="001569AD">
      <w:pPr>
        <w:ind w:firstLine="1440"/>
        <w:rPr>
          <w:rFonts w:eastAsia="Times New Roman"/>
          <w:color w:val="0B0A12"/>
        </w:rPr>
      </w:pPr>
      <w:r>
        <w:t xml:space="preserve">In New Matter, </w:t>
      </w:r>
      <w:r w:rsidR="00207393">
        <w:t>Penn Power reiterates</w:t>
      </w:r>
      <w:r>
        <w:t>, “T</w:t>
      </w:r>
      <w:r w:rsidR="00207393">
        <w:rPr>
          <w:rFonts w:eastAsia="Times New Roman"/>
          <w:color w:val="0B0A12"/>
        </w:rPr>
        <w:t>he Complainant must be represented by a licensed attorney in adversarial proceedings before the Commission.</w:t>
      </w:r>
      <w:r>
        <w:rPr>
          <w:rFonts w:eastAsia="Times New Roman"/>
          <w:color w:val="0B0A12"/>
        </w:rPr>
        <w:t>”  New Matter at 7, ¶11.</w:t>
      </w:r>
    </w:p>
    <w:p w14:paraId="57CD8832" w14:textId="02EED2AA" w:rsidR="00207393" w:rsidRDefault="00207393" w:rsidP="003845B2">
      <w:pPr>
        <w:ind w:firstLine="1440"/>
      </w:pPr>
    </w:p>
    <w:p w14:paraId="6F3FA68A" w14:textId="374651F0" w:rsidR="005566B3" w:rsidRDefault="005566B3">
      <w:r>
        <w:tab/>
      </w:r>
      <w:r>
        <w:tab/>
        <w:t xml:space="preserve">By </w:t>
      </w:r>
      <w:r w:rsidR="00465165">
        <w:t>N</w:t>
      </w:r>
      <w:r>
        <w:t xml:space="preserve">otice dated </w:t>
      </w:r>
      <w:r w:rsidR="00465165">
        <w:t>May 13</w:t>
      </w:r>
      <w:r w:rsidR="00960530">
        <w:t>, 20</w:t>
      </w:r>
      <w:r w:rsidR="00465165">
        <w:t>20</w:t>
      </w:r>
      <w:r>
        <w:t xml:space="preserve">, the </w:t>
      </w:r>
      <w:r w:rsidR="00465165">
        <w:t>Parties were informed that the case was assigned to me for a telephonic hearing</w:t>
      </w:r>
      <w:r>
        <w:t xml:space="preserve"> on </w:t>
      </w:r>
      <w:r w:rsidR="00465165">
        <w:t>July 28, 2020</w:t>
      </w:r>
      <w:r>
        <w:t>.  On</w:t>
      </w:r>
      <w:r w:rsidR="00465165">
        <w:t xml:space="preserve"> May 13, 2020</w:t>
      </w:r>
      <w:r w:rsidR="00960530">
        <w:t>,</w:t>
      </w:r>
      <w:r>
        <w:t xml:space="preserve"> I issued </w:t>
      </w:r>
      <w:r w:rsidR="00230C73">
        <w:t xml:space="preserve">a </w:t>
      </w:r>
      <w:r w:rsidR="00465165">
        <w:t>P</w:t>
      </w:r>
      <w:r>
        <w:t xml:space="preserve">rehearing </w:t>
      </w:r>
      <w:r w:rsidR="00465165">
        <w:t>O</w:t>
      </w:r>
      <w:r>
        <w:t>rder</w:t>
      </w:r>
      <w:r w:rsidR="00230C73">
        <w:t xml:space="preserve"> setting </w:t>
      </w:r>
      <w:r>
        <w:t>forth the procedures for the conduct of hearings.</w:t>
      </w:r>
      <w:r w:rsidR="00930CF3">
        <w:t xml:space="preserve">  </w:t>
      </w:r>
    </w:p>
    <w:p w14:paraId="77E4E7F4" w14:textId="77777777" w:rsidR="005566B3" w:rsidRDefault="005566B3"/>
    <w:p w14:paraId="54519C4F" w14:textId="50D003BF" w:rsidR="009C31B3" w:rsidRDefault="005566B3">
      <w:r>
        <w:tab/>
      </w:r>
      <w:r>
        <w:tab/>
        <w:t xml:space="preserve">On </w:t>
      </w:r>
      <w:r w:rsidR="009566A3">
        <w:t>May 20, 2020</w:t>
      </w:r>
      <w:r>
        <w:t xml:space="preserve">, </w:t>
      </w:r>
      <w:r w:rsidR="00960530">
        <w:t>Penn Power</w:t>
      </w:r>
      <w:r>
        <w:t xml:space="preserve"> filed a </w:t>
      </w:r>
      <w:r w:rsidR="009566A3">
        <w:t>M</w:t>
      </w:r>
      <w:r>
        <w:t xml:space="preserve">otion to </w:t>
      </w:r>
      <w:r w:rsidR="009566A3">
        <w:t>D</w:t>
      </w:r>
      <w:r>
        <w:t xml:space="preserve">ismiss the </w:t>
      </w:r>
      <w:r w:rsidR="009566A3">
        <w:t>C</w:t>
      </w:r>
      <w:r>
        <w:t>omplaint</w:t>
      </w:r>
      <w:r w:rsidR="00465165">
        <w:t xml:space="preserve"> (Motion)</w:t>
      </w:r>
      <w:r>
        <w:t xml:space="preserve">.  </w:t>
      </w:r>
      <w:r w:rsidR="007C12FD">
        <w:t>As grounds for the Motion, Penn Power a</w:t>
      </w:r>
      <w:r w:rsidR="009C31B3">
        <w:t>sserts</w:t>
      </w:r>
      <w:r w:rsidR="007C12FD">
        <w:t xml:space="preserve"> that Stan Services is </w:t>
      </w:r>
      <w:r w:rsidR="008D5ACB">
        <w:t xml:space="preserve">a </w:t>
      </w:r>
      <w:r w:rsidR="007C12FD">
        <w:t>business entity</w:t>
      </w:r>
      <w:r w:rsidR="009C31B3">
        <w:t xml:space="preserve"> and argues as follows:</w:t>
      </w:r>
    </w:p>
    <w:p w14:paraId="22D6C7A9" w14:textId="24B67191" w:rsidR="009C31B3" w:rsidRDefault="009C31B3"/>
    <w:p w14:paraId="169EE36C" w14:textId="6AE19F5D" w:rsidR="009C31B3" w:rsidRDefault="009C31B3" w:rsidP="009C31B3">
      <w:pPr>
        <w:spacing w:line="240" w:lineRule="auto"/>
        <w:ind w:left="1440" w:right="720"/>
      </w:pPr>
      <w:r>
        <w:t xml:space="preserve">Representation before the Commission is governed by the Commission’s regulations at 52 Pa. Code §§ 1.21-1.23. These regulations provide that “[i]n adversarial proceedings, partnerships, corporations, trusts, associations, agencies, political subdivisions and government entities shall be represented only by . . . an attorney.” 52 Pa. Code § 1.21. An adversarial proceeding begins with the filing of an Answer. 52 Pa. Code § 1.8.  </w:t>
      </w:r>
      <w:r w:rsidRPr="009C31B3">
        <w:rPr>
          <w:i/>
          <w:iCs/>
        </w:rPr>
        <w:t>New Fizon Catering, Inc. v. PECO Energy Company</w:t>
      </w:r>
      <w:r>
        <w:t>, Docket Nos. C-2008-2065498 and C-2008-2079076 (Order entered June 24, 2009).</w:t>
      </w:r>
    </w:p>
    <w:p w14:paraId="75538D7C" w14:textId="77777777" w:rsidR="009C31B3" w:rsidRDefault="009C31B3"/>
    <w:p w14:paraId="5ACB9167" w14:textId="34A5C24E" w:rsidR="009C31B3" w:rsidRDefault="009C31B3">
      <w:r>
        <w:t>Motion at, ¶6.</w:t>
      </w:r>
    </w:p>
    <w:p w14:paraId="6A1513A5" w14:textId="38582C65" w:rsidR="009C31B3" w:rsidRDefault="009C31B3"/>
    <w:p w14:paraId="29ABE5F3" w14:textId="77777777" w:rsidR="009C1062" w:rsidRDefault="009C1062"/>
    <w:p w14:paraId="1937ADFE" w14:textId="7F652D44" w:rsidR="009C31B3" w:rsidRDefault="007C12FD" w:rsidP="009C31B3">
      <w:pPr>
        <w:ind w:firstLine="720"/>
      </w:pPr>
      <w:r>
        <w:lastRenderedPageBreak/>
        <w:t>Th</w:t>
      </w:r>
      <w:r w:rsidR="009C31B3">
        <w:t>us</w:t>
      </w:r>
      <w:r>
        <w:t xml:space="preserve">, </w:t>
      </w:r>
      <w:r w:rsidR="00230C73">
        <w:t xml:space="preserve">Penn Power </w:t>
      </w:r>
      <w:r w:rsidR="009C31B3">
        <w:t>contends</w:t>
      </w:r>
      <w:r w:rsidR="00230C73">
        <w:t xml:space="preserve"> </w:t>
      </w:r>
      <w:r>
        <w:t>Complainant must be represented in this proceeding by</w:t>
      </w:r>
      <w:r w:rsidR="00930CF3">
        <w:t xml:space="preserve"> </w:t>
      </w:r>
      <w:r w:rsidR="00465165">
        <w:t xml:space="preserve">an </w:t>
      </w:r>
    </w:p>
    <w:p w14:paraId="23A3642B" w14:textId="29A77B73" w:rsidR="005566B3" w:rsidRDefault="00465165">
      <w:r>
        <w:t>attorney licensed to practice in Pennsylvania</w:t>
      </w:r>
      <w:r w:rsidR="00574349">
        <w:t xml:space="preserve">.  </w:t>
      </w:r>
      <w:r w:rsidR="007C12FD">
        <w:t>A</w:t>
      </w:r>
      <w:r w:rsidR="00336D57">
        <w:t>s</w:t>
      </w:r>
      <w:r w:rsidR="007C12FD">
        <w:t xml:space="preserve"> relief, </w:t>
      </w:r>
      <w:r>
        <w:t xml:space="preserve">Penn Power seeks dismissal of the Complaint in its entirety.  </w:t>
      </w:r>
      <w:r w:rsidR="00930CF3">
        <w:t xml:space="preserve">To date, </w:t>
      </w:r>
      <w:r w:rsidR="00230C73">
        <w:t>Stan Services has not filed a re</w:t>
      </w:r>
      <w:r w:rsidR="003F7FBB">
        <w:t>sponse</w:t>
      </w:r>
      <w:r w:rsidR="00230C73">
        <w:t xml:space="preserve"> </w:t>
      </w:r>
      <w:r w:rsidR="00930CF3">
        <w:t xml:space="preserve">to </w:t>
      </w:r>
      <w:r w:rsidR="00960530">
        <w:t xml:space="preserve">Penn </w:t>
      </w:r>
      <w:r w:rsidR="005035B1">
        <w:t>P</w:t>
      </w:r>
      <w:r w:rsidR="00960530">
        <w:t>ower’s</w:t>
      </w:r>
      <w:r w:rsidR="00930CF3">
        <w:t xml:space="preserve"> </w:t>
      </w:r>
      <w:r>
        <w:t>M</w:t>
      </w:r>
      <w:r w:rsidR="00930CF3">
        <w:t>otion.</w:t>
      </w:r>
      <w:r w:rsidR="00930CF3">
        <w:rPr>
          <w:rStyle w:val="FootnoteReference"/>
        </w:rPr>
        <w:footnoteReference w:id="2"/>
      </w:r>
    </w:p>
    <w:p w14:paraId="4251F36B" w14:textId="77777777" w:rsidR="00465165" w:rsidRDefault="00465165"/>
    <w:p w14:paraId="5DE5E86D" w14:textId="77777777" w:rsidR="004C53A4" w:rsidRDefault="006D22B3" w:rsidP="001317C6">
      <w:r>
        <w:tab/>
      </w:r>
      <w:r>
        <w:tab/>
      </w:r>
      <w:r w:rsidR="00BE454C">
        <w:t xml:space="preserve">Respondent’s Motion is analogous to a motion for judgment on the pleadings. </w:t>
      </w:r>
    </w:p>
    <w:p w14:paraId="7264FFE3" w14:textId="5AC655F4" w:rsidR="004C53A4" w:rsidRPr="004C53A4" w:rsidRDefault="004C53A4" w:rsidP="004C53A4">
      <w:pPr>
        <w:autoSpaceDE w:val="0"/>
        <w:autoSpaceDN w:val="0"/>
        <w:rPr>
          <w:rFonts w:eastAsia="Calibri"/>
        </w:rPr>
      </w:pPr>
      <w:r w:rsidRPr="004C53A4">
        <w:rPr>
          <w:rFonts w:eastAsia="Calibri"/>
        </w:rPr>
        <w:t xml:space="preserve">The Commission’s regulations at 52 Pa. Code §5.102(d)(1) set forth the standard of review for </w:t>
      </w:r>
      <w:r w:rsidR="003F7FBB">
        <w:rPr>
          <w:rFonts w:eastAsia="Calibri"/>
        </w:rPr>
        <w:t xml:space="preserve">a </w:t>
      </w:r>
      <w:r>
        <w:rPr>
          <w:rFonts w:eastAsia="Calibri"/>
        </w:rPr>
        <w:t>motion for judgment on the pleadings</w:t>
      </w:r>
      <w:r w:rsidRPr="004C53A4">
        <w:rPr>
          <w:rFonts w:eastAsia="Calibri"/>
        </w:rPr>
        <w:t>:</w:t>
      </w:r>
    </w:p>
    <w:p w14:paraId="27B9A293" w14:textId="77777777" w:rsidR="004C53A4" w:rsidRPr="004C53A4" w:rsidRDefault="004C53A4" w:rsidP="004C53A4">
      <w:pPr>
        <w:autoSpaceDE w:val="0"/>
        <w:autoSpaceDN w:val="0"/>
        <w:spacing w:line="240" w:lineRule="auto"/>
        <w:ind w:firstLine="1440"/>
        <w:rPr>
          <w:rFonts w:eastAsia="Calibri"/>
        </w:rPr>
      </w:pPr>
    </w:p>
    <w:p w14:paraId="179EA5AA" w14:textId="77777777" w:rsidR="004C53A4" w:rsidRPr="004C53A4" w:rsidRDefault="004C53A4" w:rsidP="004C53A4">
      <w:pPr>
        <w:autoSpaceDE w:val="0"/>
        <w:autoSpaceDN w:val="0"/>
        <w:spacing w:line="240" w:lineRule="auto"/>
        <w:ind w:left="1440" w:right="720"/>
        <w:rPr>
          <w:rFonts w:eastAsia="Calibri"/>
        </w:rPr>
      </w:pPr>
      <w:r w:rsidRPr="004C53A4">
        <w:rPr>
          <w:rFonts w:eastAsia="Calibri"/>
        </w:rPr>
        <w:t xml:space="preserve">(1) </w:t>
      </w:r>
      <w:r w:rsidRPr="004C53A4">
        <w:rPr>
          <w:rFonts w:eastAsia="Calibri"/>
          <w:i/>
          <w:iCs/>
        </w:rPr>
        <w:t>Standard for grant or denial on all counts</w:t>
      </w:r>
      <w:r w:rsidRPr="004C53A4">
        <w:rPr>
          <w:rFonts w:eastAsia="Calibri"/>
        </w:rPr>
        <w:t>. The presiding officer will grant or deny a motion for judgment on the pleadings or a motion for summary judgment, as appropriate.  The judgment sought will be rendered if the applicable pleadings, depositions, answer to interrogatories and admissions, together with affidavits, if any, show that there is no genuine issue as to a material fact and that the moving party is entitled to a judgment as a matter of law.</w:t>
      </w:r>
    </w:p>
    <w:p w14:paraId="3C463071" w14:textId="77777777" w:rsidR="004C53A4" w:rsidRPr="004C53A4" w:rsidRDefault="004C53A4" w:rsidP="004C53A4">
      <w:pPr>
        <w:autoSpaceDE w:val="0"/>
        <w:autoSpaceDN w:val="0"/>
        <w:ind w:firstLine="1440"/>
        <w:rPr>
          <w:rFonts w:eastAsia="Calibri"/>
        </w:rPr>
      </w:pPr>
    </w:p>
    <w:p w14:paraId="6BBD360A" w14:textId="77777777" w:rsidR="004C53A4" w:rsidRPr="004C53A4" w:rsidRDefault="004C53A4" w:rsidP="004C53A4">
      <w:pPr>
        <w:autoSpaceDE w:val="0"/>
        <w:autoSpaceDN w:val="0"/>
        <w:ind w:firstLine="1440"/>
        <w:rPr>
          <w:rFonts w:eastAsia="Calibri"/>
        </w:rPr>
      </w:pPr>
      <w:r w:rsidRPr="004C53A4">
        <w:rPr>
          <w:rFonts w:eastAsia="Calibri"/>
        </w:rPr>
        <w:t>52 Pa.Code § 5.102(d)(1).</w:t>
      </w:r>
    </w:p>
    <w:p w14:paraId="58F2848C" w14:textId="77777777" w:rsidR="004C53A4" w:rsidRDefault="004C53A4" w:rsidP="001317C6"/>
    <w:p w14:paraId="02DF6BE5" w14:textId="2CC75BD5" w:rsidR="001317C6" w:rsidRDefault="00CE3C93" w:rsidP="004C53A4">
      <w:pPr>
        <w:ind w:firstLine="1440"/>
      </w:pPr>
      <w:r>
        <w:t>Respondent</w:t>
      </w:r>
      <w:r w:rsidR="004C53A4">
        <w:t>,</w:t>
      </w:r>
      <w:r>
        <w:t xml:space="preserve"> as </w:t>
      </w:r>
      <w:r w:rsidR="001317C6">
        <w:t>the moving party</w:t>
      </w:r>
      <w:r w:rsidR="004C53A4">
        <w:t>,</w:t>
      </w:r>
      <w:r w:rsidR="001317C6">
        <w:t xml:space="preserve"> bears the burden of showing that no genuine issue of material fact exists and that it is entitled to a judgment as a matter of law.  The Commission must view the record in the light most favorable to the non-moving party, giving that party the benefit of all reasonable inferences.</w:t>
      </w:r>
      <w:r w:rsidR="001317C6">
        <w:rPr>
          <w:rStyle w:val="FootnoteReference"/>
        </w:rPr>
        <w:footnoteReference w:id="3"/>
      </w:r>
      <w:r w:rsidR="001317C6">
        <w:t xml:space="preserve">  All doubts as to the existence of a genuine issue of material fact must be resolved against the moving party.</w:t>
      </w:r>
      <w:r w:rsidR="001317C6">
        <w:rPr>
          <w:rStyle w:val="FootnoteReference"/>
        </w:rPr>
        <w:footnoteReference w:id="4"/>
      </w:r>
      <w:r w:rsidR="001317C6">
        <w:t xml:space="preserve">  Judgment will be granted only where the right to relief is clear and free from doubt</w:t>
      </w:r>
      <w:r w:rsidR="00364344">
        <w:t>.</w:t>
      </w:r>
    </w:p>
    <w:p w14:paraId="36405607" w14:textId="77777777" w:rsidR="007C12FD" w:rsidRDefault="007C12FD" w:rsidP="00B768B1"/>
    <w:p w14:paraId="17DE93EA" w14:textId="241AE142" w:rsidR="00B768B1" w:rsidRDefault="00B768B1" w:rsidP="00B768B1">
      <w:r>
        <w:tab/>
      </w:r>
      <w:r>
        <w:tab/>
      </w:r>
      <w:r w:rsidR="00F33FE9">
        <w:t>The Commission has explained that all</w:t>
      </w:r>
      <w:r>
        <w:t xml:space="preserve"> non-individual litigant</w:t>
      </w:r>
      <w:r w:rsidR="00F33FE9">
        <w:t>s must be</w:t>
      </w:r>
      <w:r>
        <w:t xml:space="preserve"> represented by counsel:</w:t>
      </w:r>
    </w:p>
    <w:p w14:paraId="50DD2AE2" w14:textId="77777777" w:rsidR="00B768B1" w:rsidRDefault="00B768B1" w:rsidP="00B768B1"/>
    <w:p w14:paraId="4FC306C1" w14:textId="725C1BEB" w:rsidR="00B768B1" w:rsidRDefault="00B768B1" w:rsidP="00B768B1">
      <w:pPr>
        <w:spacing w:line="240" w:lineRule="auto"/>
        <w:ind w:left="1350" w:right="2160"/>
      </w:pPr>
      <w:r>
        <w:lastRenderedPageBreak/>
        <w:t>More importantly, we take administrative notice that the Complainant is a registered corporation in the Commonwealth of Pennsylvania and is accorded the protection afforded to such legal entities.  As such, it is a requirement for the proper adjudication of this Complaint proceeding that the Complainant must be represented by counsel.  52 Pa.Code § 1.21.  Even though this issue was raised by counsel for PGW, the ALJ permitted the hearing to continue.  Tr. at 5.  We further note that, for this very reason, the Complainant’s Exceptions are not properly before us in light of the fact that they were not filed by Counsel for the Complainant.  As such, we shall deny the Exceptions and dismiss the Complaint on the grounds that the Complainant improperly represented himself before this Commission pursuant to 52 Pa.Code § 1.21.</w:t>
      </w:r>
      <w:r>
        <w:rPr>
          <w:rStyle w:val="FootnoteReference"/>
        </w:rPr>
        <w:footnoteReference w:id="5"/>
      </w:r>
    </w:p>
    <w:p w14:paraId="07E6EE1D" w14:textId="3F032FA8" w:rsidR="00B768B1" w:rsidRDefault="007C12FD" w:rsidP="00B768B1">
      <w:r>
        <w:tab/>
      </w:r>
      <w:r>
        <w:tab/>
      </w:r>
    </w:p>
    <w:p w14:paraId="416F130B" w14:textId="5B41E6C7" w:rsidR="00A61A68" w:rsidRDefault="00557D55" w:rsidP="00A61A68">
      <w:pPr>
        <w:ind w:firstLine="1440"/>
      </w:pPr>
      <w:r>
        <w:t xml:space="preserve">Stan Services </w:t>
      </w:r>
      <w:r w:rsidR="00A36412">
        <w:t>has not re</w:t>
      </w:r>
      <w:r w:rsidR="00A61A68">
        <w:t>pli</w:t>
      </w:r>
      <w:r w:rsidR="00A36412">
        <w:t xml:space="preserve">ed to </w:t>
      </w:r>
      <w:r w:rsidR="00917A6C">
        <w:t>Penn Power’</w:t>
      </w:r>
      <w:r w:rsidR="00A36412">
        <w:t xml:space="preserve">s </w:t>
      </w:r>
      <w:r>
        <w:t>New Matter</w:t>
      </w:r>
      <w:r w:rsidR="00A36412">
        <w:t xml:space="preserve"> to dispute </w:t>
      </w:r>
      <w:r>
        <w:t>Complainant’s business</w:t>
      </w:r>
      <w:r w:rsidR="00A36412">
        <w:t xml:space="preserve"> status</w:t>
      </w:r>
      <w:r>
        <w:t xml:space="preserve">.  </w:t>
      </w:r>
      <w:r w:rsidR="00A61A68">
        <w:t>Under the Commission’s regulations, Complainant’s failure</w:t>
      </w:r>
      <w:r w:rsidR="007D3F8D">
        <w:t xml:space="preserve"> “</w:t>
      </w:r>
      <w:r w:rsidR="00A61A68">
        <w:t>to timely reply to new matter may be deemed in default, and relevant facts stated in the new matter may be deemed to be admitted.”</w:t>
      </w:r>
      <w:r w:rsidR="00A61A68">
        <w:rPr>
          <w:rStyle w:val="FootnoteReference"/>
        </w:rPr>
        <w:footnoteReference w:id="6"/>
      </w:r>
      <w:r w:rsidR="00A61A68">
        <w:t xml:space="preserve">  </w:t>
      </w:r>
      <w:r w:rsidR="007D3F8D">
        <w:t xml:space="preserve"> Additionally, the Complaint on its face 1) lists Complainant as an “LLC,” that is, a limited liability corporation and 2) identifies Complainant as a “new company.”  Accordingly, Complainant must be deemed a business entity</w:t>
      </w:r>
      <w:r w:rsidR="00982B9E">
        <w:t>.</w:t>
      </w:r>
      <w:r w:rsidR="00FB51C2">
        <w:t xml:space="preserve"> </w:t>
      </w:r>
    </w:p>
    <w:p w14:paraId="7C4FFAC1" w14:textId="77777777" w:rsidR="00FB51C2" w:rsidRDefault="00A61A68" w:rsidP="00FB51C2">
      <w:pPr>
        <w:ind w:firstLine="1440"/>
      </w:pPr>
      <w:r>
        <w:t xml:space="preserve"> </w:t>
      </w:r>
    </w:p>
    <w:p w14:paraId="60420FC7" w14:textId="3CD3F07C" w:rsidR="00FF5F48" w:rsidRDefault="00FB51C2" w:rsidP="00FF5F48">
      <w:pPr>
        <w:ind w:firstLine="1440"/>
      </w:pPr>
      <w:r>
        <w:rPr>
          <w:rFonts w:eastAsia="Times New Roman"/>
        </w:rPr>
        <w:t xml:space="preserve">The </w:t>
      </w:r>
      <w:r w:rsidR="00A36412" w:rsidRPr="00EE09A1">
        <w:rPr>
          <w:rFonts w:eastAsia="Times New Roman"/>
        </w:rPr>
        <w:t>absence of an attorney where one is required deprives the forum of jurisdiction to adjudicate the matter.</w:t>
      </w:r>
      <w:r w:rsidR="00A36412">
        <w:rPr>
          <w:rStyle w:val="FootnoteReference"/>
          <w:rFonts w:eastAsia="Times New Roman"/>
        </w:rPr>
        <w:footnoteReference w:id="7"/>
      </w:r>
      <w:r w:rsidR="00A36412" w:rsidRPr="00EE09A1">
        <w:rPr>
          <w:rFonts w:eastAsia="Times New Roman"/>
        </w:rPr>
        <w:t xml:space="preserve">  </w:t>
      </w:r>
      <w:r w:rsidR="00A36412">
        <w:t>Th</w:t>
      </w:r>
      <w:r>
        <w:t>us</w:t>
      </w:r>
      <w:r w:rsidR="00A36412">
        <w:t xml:space="preserve">, </w:t>
      </w:r>
      <w:r w:rsidR="00917A6C">
        <w:t>Penn Power</w:t>
      </w:r>
      <w:r>
        <w:t xml:space="preserve"> prevails on it</w:t>
      </w:r>
      <w:r w:rsidR="00982B9E">
        <w:t>s</w:t>
      </w:r>
      <w:r>
        <w:t xml:space="preserve"> M</w:t>
      </w:r>
      <w:r w:rsidR="00A36412">
        <w:t xml:space="preserve">otion to the extent that as </w:t>
      </w:r>
      <w:r w:rsidR="003F7FBB">
        <w:t xml:space="preserve">a </w:t>
      </w:r>
      <w:r w:rsidR="00FF5F48">
        <w:t xml:space="preserve">business </w:t>
      </w:r>
      <w:r w:rsidR="00982B9E">
        <w:t>or corporate entity,</w:t>
      </w:r>
      <w:r w:rsidR="00FF5F48">
        <w:t xml:space="preserve"> </w:t>
      </w:r>
      <w:r w:rsidR="00982B9E">
        <w:t>Stan Services</w:t>
      </w:r>
      <w:r w:rsidR="00FF5F48">
        <w:t xml:space="preserve"> is required to be represented by an attorney licensed to practice law in </w:t>
      </w:r>
      <w:r w:rsidR="009C31B3">
        <w:t>Pennsylvania</w:t>
      </w:r>
      <w:r w:rsidR="00FF5F48">
        <w:t>.  Therefore, Penn Power’s Motion will be granted subject to the below proviso.</w:t>
      </w:r>
    </w:p>
    <w:p w14:paraId="39DCF7FB" w14:textId="77777777" w:rsidR="00A36412" w:rsidRDefault="00A36412" w:rsidP="001317C6"/>
    <w:p w14:paraId="62AA364F" w14:textId="547795D2" w:rsidR="00B24598" w:rsidRDefault="00A36412" w:rsidP="001317C6">
      <w:r>
        <w:lastRenderedPageBreak/>
        <w:tab/>
      </w:r>
      <w:r>
        <w:tab/>
      </w:r>
      <w:r w:rsidR="00FF5F48">
        <w:t>I</w:t>
      </w:r>
      <w:r>
        <w:t xml:space="preserve">n the ordering paragraphs below, </w:t>
      </w:r>
      <w:r w:rsidR="00FF5F48">
        <w:t xml:space="preserve">Stan Services </w:t>
      </w:r>
      <w:r>
        <w:t xml:space="preserve">will be provided with an opportunity to secure the representation of counsel before the </w:t>
      </w:r>
      <w:r w:rsidR="00FF5F48">
        <w:t>C</w:t>
      </w:r>
      <w:r>
        <w:t xml:space="preserve">omplaint is dismissed.  </w:t>
      </w:r>
      <w:r w:rsidR="00FF5F48">
        <w:t>If</w:t>
      </w:r>
      <w:r>
        <w:t xml:space="preserve"> no attorney enters an appearance within the time allotted, an </w:t>
      </w:r>
      <w:r w:rsidR="00FF5F48">
        <w:t>I</w:t>
      </w:r>
      <w:r>
        <w:t xml:space="preserve">nitial </w:t>
      </w:r>
      <w:r w:rsidR="00FF5F48">
        <w:t>D</w:t>
      </w:r>
      <w:r>
        <w:t xml:space="preserve">ecision will be rendered which dismisses the </w:t>
      </w:r>
      <w:r w:rsidR="00FF5F48">
        <w:t>C</w:t>
      </w:r>
      <w:r>
        <w:t>omplaint.</w:t>
      </w:r>
    </w:p>
    <w:p w14:paraId="0AE0DD1B" w14:textId="77777777" w:rsidR="00B24598" w:rsidRDefault="00B24598" w:rsidP="001317C6"/>
    <w:p w14:paraId="6F8F1A57" w14:textId="77777777" w:rsidR="005970ED" w:rsidRDefault="005970ED" w:rsidP="00B24598">
      <w:pPr>
        <w:ind w:left="720" w:firstLine="720"/>
      </w:pPr>
      <w:r>
        <w:t>THEREFORE</w:t>
      </w:r>
    </w:p>
    <w:p w14:paraId="5FF26B06" w14:textId="77777777" w:rsidR="005970ED" w:rsidRDefault="005970ED" w:rsidP="001317C6"/>
    <w:p w14:paraId="7200A2EA" w14:textId="77777777" w:rsidR="005970ED" w:rsidRDefault="005970ED" w:rsidP="00B24598">
      <w:pPr>
        <w:ind w:left="720" w:firstLine="720"/>
      </w:pPr>
      <w:r>
        <w:t>IT IS ORDERED:</w:t>
      </w:r>
    </w:p>
    <w:p w14:paraId="1D76CDC4" w14:textId="77777777" w:rsidR="005970ED" w:rsidRDefault="005970ED" w:rsidP="001317C6"/>
    <w:p w14:paraId="71C09B43" w14:textId="5E096A1F" w:rsidR="005970ED" w:rsidRDefault="005970ED" w:rsidP="001317C6">
      <w:r>
        <w:tab/>
      </w:r>
      <w:r w:rsidR="00FD2172">
        <w:tab/>
      </w:r>
      <w:r>
        <w:t>1.</w:t>
      </w:r>
      <w:r>
        <w:tab/>
        <w:t xml:space="preserve">That Pennsylvania </w:t>
      </w:r>
      <w:r w:rsidR="00917A6C">
        <w:t>Power</w:t>
      </w:r>
      <w:r>
        <w:t xml:space="preserve"> Company</w:t>
      </w:r>
      <w:r w:rsidR="00FF5F48">
        <w:t>’s Motion to Dismiss</w:t>
      </w:r>
      <w:r w:rsidR="00FD2172">
        <w:t xml:space="preserve"> </w:t>
      </w:r>
      <w:r w:rsidR="009C31B3">
        <w:t xml:space="preserve">the Complaint </w:t>
      </w:r>
      <w:r w:rsidR="00CD06A8">
        <w:t xml:space="preserve">of Stan Services, LLC, </w:t>
      </w:r>
      <w:r w:rsidR="00FD2172">
        <w:t xml:space="preserve">is granted to the extent that </w:t>
      </w:r>
      <w:r w:rsidR="00FF5F48">
        <w:t>to prosecute the Complaint, Stan Services, LLC</w:t>
      </w:r>
      <w:r w:rsidR="00CD06A8">
        <w:t>,</w:t>
      </w:r>
      <w:r w:rsidR="00FF5F48">
        <w:t xml:space="preserve"> </w:t>
      </w:r>
      <w:r w:rsidR="00FD2172">
        <w:t>requires the representation of an attorney licensed to practice law in the Commonwealth of Pennsylvania.</w:t>
      </w:r>
    </w:p>
    <w:p w14:paraId="051148FD" w14:textId="77777777" w:rsidR="00FD2172" w:rsidRDefault="00FD2172" w:rsidP="001317C6"/>
    <w:p w14:paraId="0329B7E7" w14:textId="6B3EEDD6" w:rsidR="00FD2172" w:rsidRDefault="00FD2172" w:rsidP="001317C6">
      <w:pPr>
        <w:rPr>
          <w:b/>
        </w:rPr>
      </w:pPr>
      <w:r>
        <w:tab/>
      </w:r>
      <w:r>
        <w:tab/>
        <w:t>2.</w:t>
      </w:r>
      <w:r>
        <w:tab/>
        <w:t xml:space="preserve">That </w:t>
      </w:r>
      <w:r w:rsidR="00FF5F48">
        <w:t>Stan Services</w:t>
      </w:r>
      <w:r w:rsidR="003F7FBB">
        <w:t>, LLC</w:t>
      </w:r>
      <w:r w:rsidR="00CD06A8">
        <w:t>,</w:t>
      </w:r>
      <w:r>
        <w:t xml:space="preserve"> shall cause an attorney licensed to practice law in the Commonwealth of Pennsylvania to enter an appearance </w:t>
      </w:r>
      <w:bookmarkStart w:id="4" w:name="_Hlk43374683"/>
      <w:r>
        <w:t xml:space="preserve">on behalf of </w:t>
      </w:r>
      <w:r w:rsidR="00802A99">
        <w:t xml:space="preserve"> Stan Services, LLC</w:t>
      </w:r>
      <w:r w:rsidR="00CD06A8">
        <w:t>,</w:t>
      </w:r>
      <w:r>
        <w:t xml:space="preserve"> </w:t>
      </w:r>
      <w:bookmarkEnd w:id="4"/>
      <w:r>
        <w:t>in accordance with 52 Pa.Code §§ 1.21</w:t>
      </w:r>
      <w:r>
        <w:noBreakHyphen/>
        <w:t xml:space="preserve">1.25, on or </w:t>
      </w:r>
      <w:r w:rsidRPr="002371CC">
        <w:t xml:space="preserve">before </w:t>
      </w:r>
      <w:r w:rsidR="00BB7E3C" w:rsidRPr="00BB7E3C">
        <w:rPr>
          <w:b/>
          <w:bCs/>
        </w:rPr>
        <w:t>July 6</w:t>
      </w:r>
      <w:r w:rsidR="00917A6C">
        <w:rPr>
          <w:b/>
        </w:rPr>
        <w:t>, 20</w:t>
      </w:r>
      <w:r w:rsidR="00BB7E3C">
        <w:rPr>
          <w:b/>
        </w:rPr>
        <w:t>20</w:t>
      </w:r>
      <w:r>
        <w:rPr>
          <w:b/>
        </w:rPr>
        <w:t>.</w:t>
      </w:r>
    </w:p>
    <w:p w14:paraId="7280CFEA" w14:textId="77777777" w:rsidR="00FD2172" w:rsidRDefault="00FD2172" w:rsidP="001317C6"/>
    <w:p w14:paraId="52B52A49" w14:textId="5D5C35D1" w:rsidR="00FD2172" w:rsidRDefault="00FD2172" w:rsidP="001317C6">
      <w:r>
        <w:tab/>
      </w:r>
      <w:r>
        <w:tab/>
        <w:t>3.</w:t>
      </w:r>
      <w:r>
        <w:tab/>
        <w:t xml:space="preserve">That in the event no attorney enters an appearance on </w:t>
      </w:r>
      <w:r w:rsidR="00CD06A8">
        <w:t xml:space="preserve">behalf of  Stan Services, LLC, on </w:t>
      </w:r>
      <w:r>
        <w:t xml:space="preserve">or before </w:t>
      </w:r>
      <w:r w:rsidR="00BB7E3C">
        <w:t>July 6</w:t>
      </w:r>
      <w:r w:rsidR="00917A6C">
        <w:t>, 20</w:t>
      </w:r>
      <w:r w:rsidR="00802A99">
        <w:t>20</w:t>
      </w:r>
      <w:r w:rsidR="00917A6C">
        <w:t xml:space="preserve">, the </w:t>
      </w:r>
      <w:r w:rsidR="00BB7E3C">
        <w:t>July 28</w:t>
      </w:r>
      <w:r w:rsidR="00917A6C">
        <w:t>, 20</w:t>
      </w:r>
      <w:r w:rsidR="00BB7E3C">
        <w:t>20</w:t>
      </w:r>
      <w:r w:rsidR="00917A6C">
        <w:t xml:space="preserve"> </w:t>
      </w:r>
      <w:r w:rsidR="00BB7E3C">
        <w:t>telephon</w:t>
      </w:r>
      <w:r w:rsidR="00802A99">
        <w:t>ic</w:t>
      </w:r>
      <w:r w:rsidR="00BB7E3C">
        <w:t xml:space="preserve"> </w:t>
      </w:r>
      <w:r w:rsidR="00917A6C">
        <w:t xml:space="preserve">hearing will be </w:t>
      </w:r>
      <w:r w:rsidR="00374F92">
        <w:t>cancelled,</w:t>
      </w:r>
      <w:r w:rsidR="00917A6C">
        <w:t xml:space="preserve"> and </w:t>
      </w:r>
      <w:r>
        <w:t xml:space="preserve">the </w:t>
      </w:r>
      <w:r w:rsidR="00BB7E3C">
        <w:t>C</w:t>
      </w:r>
      <w:r>
        <w:t>omplaint will be dismissed.</w:t>
      </w:r>
    </w:p>
    <w:p w14:paraId="0B24210B" w14:textId="77777777" w:rsidR="00B24598" w:rsidRDefault="00B24598" w:rsidP="001317C6"/>
    <w:p w14:paraId="04145367" w14:textId="77777777" w:rsidR="00B24598" w:rsidRDefault="00B24598" w:rsidP="001317C6"/>
    <w:p w14:paraId="1AD056EF" w14:textId="63231B66" w:rsidR="00B24598" w:rsidRPr="00B24598" w:rsidRDefault="00B24598" w:rsidP="00B24598">
      <w:pPr>
        <w:spacing w:line="240" w:lineRule="auto"/>
        <w:rPr>
          <w:rFonts w:eastAsia="Times New Roman"/>
          <w:szCs w:val="24"/>
        </w:rPr>
      </w:pPr>
      <w:bookmarkStart w:id="5" w:name="_Hlk505862083"/>
      <w:r w:rsidRPr="00B24598">
        <w:rPr>
          <w:rFonts w:eastAsia="Times New Roman"/>
          <w:szCs w:val="24"/>
        </w:rPr>
        <w:t xml:space="preserve">Date:  </w:t>
      </w:r>
      <w:r w:rsidR="00BB7E3C" w:rsidRPr="00BB7E3C">
        <w:rPr>
          <w:rFonts w:eastAsia="Times New Roman"/>
          <w:szCs w:val="24"/>
          <w:u w:val="single"/>
        </w:rPr>
        <w:t>June 18,</w:t>
      </w:r>
      <w:r>
        <w:rPr>
          <w:rFonts w:eastAsia="Times New Roman"/>
          <w:szCs w:val="24"/>
          <w:u w:val="single"/>
        </w:rPr>
        <w:t xml:space="preserve"> 20</w:t>
      </w:r>
      <w:r w:rsidR="00BB7E3C">
        <w:rPr>
          <w:rFonts w:eastAsia="Times New Roman"/>
          <w:szCs w:val="24"/>
          <w:u w:val="single"/>
        </w:rPr>
        <w:t>20</w:t>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003B0774">
        <w:rPr>
          <w:rFonts w:eastAsia="Times New Roman"/>
          <w:szCs w:val="24"/>
        </w:rPr>
        <w:tab/>
      </w:r>
      <w:r w:rsidRPr="00B24598">
        <w:rPr>
          <w:rFonts w:eastAsia="Times New Roman"/>
          <w:szCs w:val="24"/>
          <w:u w:val="single"/>
        </w:rPr>
        <w:tab/>
      </w:r>
      <w:r w:rsidRPr="00B24598">
        <w:rPr>
          <w:rFonts w:eastAsia="Times New Roman"/>
          <w:szCs w:val="24"/>
          <w:u w:val="single"/>
        </w:rPr>
        <w:tab/>
        <w:t>/s/</w:t>
      </w:r>
      <w:r w:rsidRPr="00B24598">
        <w:rPr>
          <w:rFonts w:eastAsia="Times New Roman"/>
          <w:szCs w:val="24"/>
          <w:u w:val="single"/>
        </w:rPr>
        <w:tab/>
      </w:r>
      <w:r w:rsidRPr="00B24598">
        <w:rPr>
          <w:rFonts w:eastAsia="Times New Roman"/>
          <w:szCs w:val="24"/>
          <w:u w:val="single"/>
        </w:rPr>
        <w:tab/>
      </w:r>
      <w:r w:rsidRPr="00B24598">
        <w:rPr>
          <w:rFonts w:eastAsia="Times New Roman"/>
          <w:szCs w:val="24"/>
          <w:u w:val="single"/>
        </w:rPr>
        <w:tab/>
      </w:r>
      <w:r w:rsidRPr="00B24598">
        <w:rPr>
          <w:rFonts w:eastAsia="Times New Roman"/>
          <w:szCs w:val="24"/>
          <w:u w:val="single"/>
        </w:rPr>
        <w:tab/>
      </w:r>
    </w:p>
    <w:p w14:paraId="45A3D15C" w14:textId="02815164" w:rsidR="00B24598" w:rsidRPr="00B24598" w:rsidRDefault="00B24598" w:rsidP="00B24598">
      <w:pPr>
        <w:spacing w:line="240" w:lineRule="auto"/>
        <w:rPr>
          <w:rFonts w:eastAsia="Times New Roman"/>
          <w:szCs w:val="24"/>
        </w:rPr>
      </w:pP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00BB7E3C">
        <w:rPr>
          <w:rFonts w:eastAsia="Times New Roman"/>
          <w:szCs w:val="24"/>
        </w:rPr>
        <w:t>Conrad A. Johnson</w:t>
      </w:r>
    </w:p>
    <w:p w14:paraId="38A39BA7" w14:textId="77777777" w:rsidR="00B24598" w:rsidRPr="00B24598" w:rsidRDefault="00B24598" w:rsidP="00B24598">
      <w:pPr>
        <w:spacing w:line="240" w:lineRule="auto"/>
        <w:rPr>
          <w:rFonts w:eastAsia="Times New Roman"/>
          <w:szCs w:val="24"/>
        </w:rPr>
      </w:pP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t>Administrative Law Judge</w:t>
      </w:r>
    </w:p>
    <w:bookmarkEnd w:id="5"/>
    <w:p w14:paraId="7797185A" w14:textId="77777777" w:rsidR="00497CC3" w:rsidRDefault="00497CC3" w:rsidP="001317C6">
      <w:pPr>
        <w:sectPr w:rsidR="00497CC3" w:rsidSect="001A769A">
          <w:footerReference w:type="default" r:id="rId8"/>
          <w:pgSz w:w="12240" w:h="15840"/>
          <w:pgMar w:top="1440" w:right="1440" w:bottom="1440" w:left="1440" w:header="720" w:footer="720" w:gutter="0"/>
          <w:cols w:space="720"/>
          <w:titlePg/>
          <w:docGrid w:linePitch="360"/>
        </w:sectPr>
      </w:pPr>
    </w:p>
    <w:p w14:paraId="77A872D3" w14:textId="77777777" w:rsidR="003B0774" w:rsidRPr="003B0774" w:rsidRDefault="003B0774" w:rsidP="003B0774">
      <w:pPr>
        <w:spacing w:after="160" w:line="259" w:lineRule="auto"/>
        <w:rPr>
          <w:rFonts w:ascii="Calibri" w:eastAsia="Times New Roman" w:hAnsi="Calibri"/>
          <w:sz w:val="22"/>
          <w:szCs w:val="22"/>
        </w:rPr>
      </w:pPr>
      <w:r w:rsidRPr="003B0774">
        <w:rPr>
          <w:rFonts w:ascii="Microsoft Sans Serif" w:eastAsia="Microsoft Sans Serif" w:hAnsi="Microsoft Sans Serif" w:cs="Microsoft Sans Serif"/>
          <w:b/>
          <w:szCs w:val="22"/>
          <w:u w:val="single"/>
        </w:rPr>
        <w:lastRenderedPageBreak/>
        <w:t>C-2020-3018875 - STAN SERVICES LLC v. PENNSYLVANIA POWER COMPANY</w:t>
      </w:r>
      <w:r w:rsidRPr="003B0774">
        <w:rPr>
          <w:rFonts w:ascii="Microsoft Sans Serif" w:eastAsia="Microsoft Sans Serif" w:hAnsi="Microsoft Sans Serif" w:cs="Microsoft Sans Serif"/>
          <w:b/>
          <w:szCs w:val="22"/>
          <w:u w:val="single"/>
        </w:rPr>
        <w:cr/>
      </w:r>
      <w:r w:rsidRPr="003B0774">
        <w:rPr>
          <w:rFonts w:ascii="Microsoft Sans Serif" w:eastAsia="Microsoft Sans Serif" w:hAnsi="Microsoft Sans Serif" w:cs="Microsoft Sans Serif"/>
          <w:b/>
          <w:szCs w:val="22"/>
          <w:u w:val="single"/>
        </w:rPr>
        <w:cr/>
      </w:r>
      <w:r w:rsidRPr="003B0774">
        <w:rPr>
          <w:rFonts w:ascii="Microsoft Sans Serif" w:eastAsia="Microsoft Sans Serif" w:hAnsi="Microsoft Sans Serif" w:cs="Microsoft Sans Serif"/>
          <w:szCs w:val="22"/>
        </w:rPr>
        <w:t>MARK STANFORD MANAGING MEMBER</w:t>
      </w:r>
      <w:r w:rsidRPr="003B0774">
        <w:rPr>
          <w:rFonts w:ascii="Microsoft Sans Serif" w:eastAsia="Microsoft Sans Serif" w:hAnsi="Microsoft Sans Serif" w:cs="Microsoft Sans Serif"/>
          <w:szCs w:val="22"/>
        </w:rPr>
        <w:cr/>
        <w:t>STAN SERVICES LLC</w:t>
      </w:r>
      <w:r w:rsidRPr="003B0774">
        <w:rPr>
          <w:rFonts w:ascii="Microsoft Sans Serif" w:eastAsia="Microsoft Sans Serif" w:hAnsi="Microsoft Sans Serif" w:cs="Microsoft Sans Serif"/>
          <w:szCs w:val="22"/>
        </w:rPr>
        <w:cr/>
        <w:t>357 NORTHGATE DR</w:t>
      </w:r>
      <w:r w:rsidRPr="003B0774">
        <w:rPr>
          <w:rFonts w:ascii="Microsoft Sans Serif" w:eastAsia="Microsoft Sans Serif" w:hAnsi="Microsoft Sans Serif" w:cs="Microsoft Sans Serif"/>
          <w:szCs w:val="22"/>
        </w:rPr>
        <w:cr/>
        <w:t>SUITE 5</w:t>
      </w:r>
      <w:r w:rsidRPr="003B0774">
        <w:rPr>
          <w:rFonts w:ascii="Microsoft Sans Serif" w:eastAsia="Microsoft Sans Serif" w:hAnsi="Microsoft Sans Serif" w:cs="Microsoft Sans Serif"/>
          <w:szCs w:val="22"/>
        </w:rPr>
        <w:cr/>
        <w:t>WARRENDALE PA  15086</w:t>
      </w:r>
      <w:r w:rsidRPr="003B0774">
        <w:rPr>
          <w:rFonts w:ascii="Microsoft Sans Serif" w:eastAsia="Microsoft Sans Serif" w:hAnsi="Microsoft Sans Serif" w:cs="Microsoft Sans Serif"/>
          <w:szCs w:val="22"/>
        </w:rPr>
        <w:cr/>
      </w:r>
      <w:r w:rsidRPr="003B0774">
        <w:rPr>
          <w:rFonts w:ascii="Microsoft Sans Serif" w:eastAsia="Microsoft Sans Serif" w:hAnsi="Microsoft Sans Serif" w:cs="Microsoft Sans Serif"/>
          <w:b/>
          <w:bCs/>
          <w:szCs w:val="22"/>
        </w:rPr>
        <w:t>724.713.7499</w:t>
      </w:r>
      <w:r w:rsidRPr="003B0774">
        <w:rPr>
          <w:rFonts w:ascii="Microsoft Sans Serif" w:eastAsia="Microsoft Sans Serif" w:hAnsi="Microsoft Sans Serif" w:cs="Microsoft Sans Serif"/>
          <w:b/>
          <w:bCs/>
          <w:szCs w:val="22"/>
        </w:rPr>
        <w:br/>
      </w:r>
      <w:r w:rsidRPr="003B0774">
        <w:rPr>
          <w:rFonts w:ascii="Microsoft Sans Serif" w:eastAsia="Microsoft Sans Serif" w:hAnsi="Microsoft Sans Serif" w:cs="Microsoft Sans Serif"/>
          <w:b/>
          <w:bCs/>
          <w:i/>
          <w:iCs/>
          <w:szCs w:val="22"/>
          <w:u w:val="single"/>
        </w:rPr>
        <w:t>ACCEPTS E-SERVICE</w:t>
      </w:r>
      <w:r w:rsidRPr="003B0774">
        <w:rPr>
          <w:rFonts w:ascii="Microsoft Sans Serif" w:eastAsia="Microsoft Sans Serif" w:hAnsi="Microsoft Sans Serif" w:cs="Microsoft Sans Serif"/>
          <w:b/>
          <w:bCs/>
          <w:szCs w:val="22"/>
        </w:rPr>
        <w:cr/>
      </w:r>
      <w:r w:rsidRPr="003B0774">
        <w:rPr>
          <w:rFonts w:ascii="Microsoft Sans Serif" w:eastAsia="Microsoft Sans Serif" w:hAnsi="Microsoft Sans Serif" w:cs="Microsoft Sans Serif"/>
          <w:szCs w:val="22"/>
        </w:rPr>
        <w:cr/>
        <w:t xml:space="preserve"> MARGARET MORRIS ESQUIRE</w:t>
      </w:r>
      <w:r w:rsidRPr="003B0774">
        <w:rPr>
          <w:rFonts w:ascii="Microsoft Sans Serif" w:eastAsia="Microsoft Sans Serif" w:hAnsi="Microsoft Sans Serif" w:cs="Microsoft Sans Serif"/>
          <w:szCs w:val="22"/>
        </w:rPr>
        <w:cr/>
        <w:t>REGER RIZZO &amp; DARNALL</w:t>
      </w:r>
      <w:r w:rsidRPr="003B0774">
        <w:rPr>
          <w:rFonts w:ascii="Microsoft Sans Serif" w:eastAsia="Microsoft Sans Serif" w:hAnsi="Microsoft Sans Serif" w:cs="Microsoft Sans Serif"/>
          <w:szCs w:val="22"/>
        </w:rPr>
        <w:cr/>
        <w:t>CIRA CENTRE 13TH FL</w:t>
      </w:r>
      <w:r w:rsidRPr="003B0774">
        <w:rPr>
          <w:rFonts w:ascii="Microsoft Sans Serif" w:eastAsia="Microsoft Sans Serif" w:hAnsi="Microsoft Sans Serif" w:cs="Microsoft Sans Serif"/>
          <w:szCs w:val="22"/>
        </w:rPr>
        <w:cr/>
        <w:t>2929 ARCH STREET</w:t>
      </w:r>
      <w:r w:rsidRPr="003B0774">
        <w:rPr>
          <w:rFonts w:ascii="Microsoft Sans Serif" w:eastAsia="Microsoft Sans Serif" w:hAnsi="Microsoft Sans Serif" w:cs="Microsoft Sans Serif"/>
          <w:szCs w:val="22"/>
        </w:rPr>
        <w:cr/>
        <w:t>PHILADELPHIA PA  19104</w:t>
      </w:r>
      <w:r w:rsidRPr="003B0774">
        <w:rPr>
          <w:rFonts w:ascii="Microsoft Sans Serif" w:eastAsia="Microsoft Sans Serif" w:hAnsi="Microsoft Sans Serif" w:cs="Microsoft Sans Serif"/>
          <w:szCs w:val="22"/>
        </w:rPr>
        <w:cr/>
      </w:r>
      <w:r w:rsidRPr="003B0774">
        <w:rPr>
          <w:rFonts w:ascii="Microsoft Sans Serif" w:eastAsia="Microsoft Sans Serif" w:hAnsi="Microsoft Sans Serif" w:cs="Microsoft Sans Serif"/>
          <w:b/>
          <w:bCs/>
          <w:szCs w:val="22"/>
        </w:rPr>
        <w:t>215.495.6524</w:t>
      </w:r>
      <w:r w:rsidRPr="003B0774">
        <w:rPr>
          <w:rFonts w:ascii="Microsoft Sans Serif" w:eastAsia="Microsoft Sans Serif" w:hAnsi="Microsoft Sans Serif" w:cs="Microsoft Sans Serif"/>
          <w:b/>
          <w:bCs/>
          <w:szCs w:val="22"/>
        </w:rPr>
        <w:br/>
      </w:r>
      <w:r w:rsidRPr="003B0774">
        <w:rPr>
          <w:rFonts w:ascii="Microsoft Sans Serif" w:eastAsia="Microsoft Sans Serif" w:hAnsi="Microsoft Sans Serif" w:cs="Microsoft Sans Serif"/>
          <w:b/>
          <w:bCs/>
          <w:i/>
          <w:iCs/>
          <w:szCs w:val="22"/>
          <w:u w:val="single"/>
        </w:rPr>
        <w:t>ACCEPTS E-SERVICE</w:t>
      </w:r>
      <w:r w:rsidRPr="003B0774">
        <w:rPr>
          <w:rFonts w:ascii="Microsoft Sans Serif" w:eastAsia="Microsoft Sans Serif" w:hAnsi="Microsoft Sans Serif" w:cs="Microsoft Sans Serif"/>
          <w:b/>
          <w:bCs/>
          <w:szCs w:val="22"/>
        </w:rPr>
        <w:cr/>
      </w:r>
    </w:p>
    <w:p w14:paraId="0E4ACA6F" w14:textId="77777777" w:rsidR="00B24598" w:rsidRDefault="00B24598" w:rsidP="003B0774">
      <w:pPr>
        <w:spacing w:line="240" w:lineRule="auto"/>
      </w:pPr>
    </w:p>
    <w:sectPr w:rsidR="00B24598" w:rsidSect="001A76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0B1DE" w14:textId="77777777" w:rsidR="005A1ACE" w:rsidRDefault="005A1ACE" w:rsidP="00930CF3">
      <w:pPr>
        <w:spacing w:line="240" w:lineRule="auto"/>
      </w:pPr>
      <w:r>
        <w:separator/>
      </w:r>
    </w:p>
  </w:endnote>
  <w:endnote w:type="continuationSeparator" w:id="0">
    <w:p w14:paraId="5DE810EC" w14:textId="77777777" w:rsidR="005A1ACE" w:rsidRDefault="005A1ACE" w:rsidP="00930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475514"/>
      <w:docPartObj>
        <w:docPartGallery w:val="Page Numbers (Bottom of Page)"/>
        <w:docPartUnique/>
      </w:docPartObj>
    </w:sdtPr>
    <w:sdtEndPr>
      <w:rPr>
        <w:noProof/>
        <w:sz w:val="20"/>
      </w:rPr>
    </w:sdtEndPr>
    <w:sdtContent>
      <w:p w14:paraId="1076E80E" w14:textId="77777777" w:rsidR="001A769A" w:rsidRPr="00B24598" w:rsidRDefault="001A769A">
        <w:pPr>
          <w:pStyle w:val="Footer"/>
          <w:jc w:val="center"/>
          <w:rPr>
            <w:sz w:val="20"/>
          </w:rPr>
        </w:pPr>
        <w:r w:rsidRPr="00B24598">
          <w:rPr>
            <w:sz w:val="20"/>
          </w:rPr>
          <w:fldChar w:fldCharType="begin"/>
        </w:r>
        <w:r w:rsidRPr="00B24598">
          <w:rPr>
            <w:sz w:val="20"/>
          </w:rPr>
          <w:instrText xml:space="preserve"> PAGE   \* MERGEFORMAT </w:instrText>
        </w:r>
        <w:r w:rsidRPr="00B24598">
          <w:rPr>
            <w:sz w:val="20"/>
          </w:rPr>
          <w:fldChar w:fldCharType="separate"/>
        </w:r>
        <w:r w:rsidRPr="00B24598">
          <w:rPr>
            <w:noProof/>
            <w:sz w:val="20"/>
          </w:rPr>
          <w:t>2</w:t>
        </w:r>
        <w:r w:rsidRPr="00B24598">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823B6" w14:textId="77777777" w:rsidR="005A1ACE" w:rsidRDefault="005A1ACE" w:rsidP="00930CF3">
      <w:pPr>
        <w:spacing w:line="240" w:lineRule="auto"/>
      </w:pPr>
      <w:r>
        <w:separator/>
      </w:r>
    </w:p>
  </w:footnote>
  <w:footnote w:type="continuationSeparator" w:id="0">
    <w:p w14:paraId="1850C82D" w14:textId="77777777" w:rsidR="005A1ACE" w:rsidRDefault="005A1ACE" w:rsidP="00930CF3">
      <w:pPr>
        <w:spacing w:line="240" w:lineRule="auto"/>
      </w:pPr>
      <w:r>
        <w:continuationSeparator/>
      </w:r>
    </w:p>
  </w:footnote>
  <w:footnote w:id="1">
    <w:p w14:paraId="6AFAC796" w14:textId="77777777" w:rsidR="00EC525C" w:rsidRDefault="00EC525C" w:rsidP="00EC525C">
      <w:pPr>
        <w:pStyle w:val="FootnoteText"/>
      </w:pPr>
      <w:r>
        <w:rPr>
          <w:rStyle w:val="FootnoteReference"/>
        </w:rPr>
        <w:footnoteRef/>
      </w:r>
      <w:r>
        <w:t xml:space="preserve"> </w:t>
      </w:r>
      <w:r>
        <w:tab/>
        <w:t>“</w:t>
      </w:r>
      <w:r w:rsidRPr="00EC525C">
        <w:rPr>
          <w:i/>
          <w:iCs/>
        </w:rPr>
        <w:t>See</w:t>
      </w:r>
      <w:r w:rsidRPr="00EC525C">
        <w:t xml:space="preserve"> Docket Nos. C-2018-3006025 and C-2018-3000480.</w:t>
      </w:r>
      <w:r>
        <w:t>”  Answer at 5, n. 1.</w:t>
      </w:r>
    </w:p>
    <w:p w14:paraId="31C7B98F" w14:textId="77777777" w:rsidR="00EC525C" w:rsidRDefault="00EC525C" w:rsidP="00EC525C">
      <w:pPr>
        <w:pStyle w:val="FootnoteText"/>
      </w:pPr>
    </w:p>
  </w:footnote>
  <w:footnote w:id="2">
    <w:p w14:paraId="7148A81B" w14:textId="42A16B27" w:rsidR="00930CF3" w:rsidRDefault="00930CF3" w:rsidP="00B24598">
      <w:pPr>
        <w:pStyle w:val="FootnoteText"/>
      </w:pPr>
      <w:r>
        <w:rPr>
          <w:rStyle w:val="FootnoteReference"/>
        </w:rPr>
        <w:footnoteRef/>
      </w:r>
      <w:r>
        <w:t xml:space="preserve">  </w:t>
      </w:r>
      <w:r>
        <w:tab/>
      </w:r>
      <w:bookmarkStart w:id="3" w:name="_Hlk43377187"/>
      <w:r>
        <w:t xml:space="preserve">The time for answering </w:t>
      </w:r>
      <w:r w:rsidR="003F7FBB">
        <w:t xml:space="preserve">or objecting to </w:t>
      </w:r>
      <w:r>
        <w:t xml:space="preserve">a motion is set at 20 days. </w:t>
      </w:r>
      <w:r w:rsidR="00E26EB3">
        <w:t xml:space="preserve"> 52 Pa.Code § 5.103</w:t>
      </w:r>
      <w:r w:rsidR="003F7FBB">
        <w:t>(c)</w:t>
      </w:r>
      <w:r w:rsidR="00E26EB3">
        <w:t>.</w:t>
      </w:r>
      <w:bookmarkEnd w:id="3"/>
    </w:p>
    <w:p w14:paraId="459882C5" w14:textId="77777777" w:rsidR="009C1062" w:rsidRDefault="009C1062" w:rsidP="00B24598">
      <w:pPr>
        <w:pStyle w:val="FootnoteText"/>
      </w:pPr>
    </w:p>
  </w:footnote>
  <w:footnote w:id="3">
    <w:p w14:paraId="0B660CD2" w14:textId="78C7BCC1" w:rsidR="001317C6" w:rsidRDefault="001317C6" w:rsidP="00B24598">
      <w:pPr>
        <w:pStyle w:val="FootnoteText"/>
      </w:pPr>
      <w:r>
        <w:rPr>
          <w:rStyle w:val="FootnoteReference"/>
        </w:rPr>
        <w:footnoteRef/>
      </w:r>
      <w:r>
        <w:t xml:space="preserve"> </w:t>
      </w:r>
      <w:r w:rsidR="00F33FE9">
        <w:tab/>
      </w:r>
      <w:r w:rsidRPr="001317C6">
        <w:rPr>
          <w:i/>
        </w:rPr>
        <w:t>First Mortgage Co. of Pennsylvania v. McCall</w:t>
      </w:r>
      <w:r>
        <w:t>, 459 A.2d 406 (Pa.Super</w:t>
      </w:r>
      <w:proofErr w:type="gramStart"/>
      <w:r>
        <w:t xml:space="preserve">. </w:t>
      </w:r>
      <w:proofErr w:type="gramEnd"/>
      <w:r>
        <w:t xml:space="preserve">1983); </w:t>
      </w:r>
      <w:r w:rsidRPr="001317C6">
        <w:rPr>
          <w:i/>
        </w:rPr>
        <w:t>Mertz v. Lakatos</w:t>
      </w:r>
      <w:r>
        <w:t xml:space="preserve">, 381 A.2d 497 (Pa.Cmwlth. 1976).  </w:t>
      </w:r>
    </w:p>
    <w:p w14:paraId="65069540" w14:textId="77777777" w:rsidR="00B24598" w:rsidRDefault="00B24598" w:rsidP="00B24598">
      <w:pPr>
        <w:pStyle w:val="FootnoteText"/>
      </w:pPr>
    </w:p>
  </w:footnote>
  <w:footnote w:id="4">
    <w:p w14:paraId="4898A499" w14:textId="77777777" w:rsidR="001317C6" w:rsidRDefault="001317C6" w:rsidP="00B24598">
      <w:pPr>
        <w:pStyle w:val="FootnoteText"/>
      </w:pPr>
      <w:r>
        <w:rPr>
          <w:rStyle w:val="FootnoteReference"/>
        </w:rPr>
        <w:footnoteRef/>
      </w:r>
      <w:r>
        <w:t xml:space="preserve"> </w:t>
      </w:r>
      <w:r w:rsidR="00F33FE9">
        <w:tab/>
      </w:r>
      <w:r w:rsidRPr="00A36932">
        <w:rPr>
          <w:i/>
        </w:rPr>
        <w:t>Thom</w:t>
      </w:r>
      <w:r w:rsidR="0018461F">
        <w:rPr>
          <w:i/>
        </w:rPr>
        <w:t>p</w:t>
      </w:r>
      <w:r w:rsidRPr="00A36932">
        <w:rPr>
          <w:i/>
        </w:rPr>
        <w:t>son Coal Company v. Pike Coal Company</w:t>
      </w:r>
      <w:r>
        <w:t>, 412 A.2d 466 (Pa. 1979).</w:t>
      </w:r>
    </w:p>
    <w:p w14:paraId="22EF4E16" w14:textId="77777777" w:rsidR="00B24598" w:rsidRDefault="00B24598" w:rsidP="00B24598">
      <w:pPr>
        <w:pStyle w:val="FootnoteText"/>
      </w:pPr>
    </w:p>
  </w:footnote>
  <w:footnote w:id="5">
    <w:p w14:paraId="1EE07023" w14:textId="77777777" w:rsidR="00B768B1" w:rsidRDefault="00B768B1" w:rsidP="00B24598">
      <w:pPr>
        <w:pStyle w:val="FootnoteText"/>
      </w:pPr>
      <w:r>
        <w:rPr>
          <w:rStyle w:val="FootnoteReference"/>
        </w:rPr>
        <w:footnoteRef/>
      </w:r>
      <w:r>
        <w:t xml:space="preserve">  </w:t>
      </w:r>
      <w:r>
        <w:tab/>
      </w:r>
      <w:r w:rsidRPr="00B768B1">
        <w:rPr>
          <w:i/>
        </w:rPr>
        <w:t>Cars R Us c/o Holman Copeland v. Philadelphia Gas Works (Cars R Us),</w:t>
      </w:r>
      <w:r w:rsidRPr="00B768B1">
        <w:t xml:space="preserve"> Docket No. C-2008-2033437 </w:t>
      </w:r>
      <w:r>
        <w:t>(</w:t>
      </w:r>
      <w:r w:rsidRPr="00B768B1">
        <w:t>Opinion and Order entered February 4, 2010</w:t>
      </w:r>
      <w:r>
        <w:t>).</w:t>
      </w:r>
    </w:p>
    <w:p w14:paraId="233AA09F" w14:textId="77777777" w:rsidR="00B24598" w:rsidRDefault="00B24598" w:rsidP="00B24598">
      <w:pPr>
        <w:pStyle w:val="FootnoteText"/>
      </w:pPr>
    </w:p>
  </w:footnote>
  <w:footnote w:id="6">
    <w:p w14:paraId="47071BCD" w14:textId="1C8712EE" w:rsidR="00A61A68" w:rsidRDefault="00A61A68">
      <w:pPr>
        <w:pStyle w:val="FootnoteText"/>
      </w:pPr>
      <w:r>
        <w:rPr>
          <w:rStyle w:val="FootnoteReference"/>
        </w:rPr>
        <w:footnoteRef/>
      </w:r>
      <w:r>
        <w:t xml:space="preserve"> </w:t>
      </w:r>
      <w:r>
        <w:rPr>
          <w:i/>
          <w:iCs/>
        </w:rPr>
        <w:tab/>
        <w:t>See</w:t>
      </w:r>
      <w:r>
        <w:t xml:space="preserve"> 52 Pa.Code § 5.63(b).</w:t>
      </w:r>
    </w:p>
    <w:p w14:paraId="04EDED90" w14:textId="77777777" w:rsidR="00A61A68" w:rsidRPr="00A61A68" w:rsidRDefault="00A61A68">
      <w:pPr>
        <w:pStyle w:val="FootnoteText"/>
      </w:pPr>
    </w:p>
  </w:footnote>
  <w:footnote w:id="7">
    <w:p w14:paraId="1B30A631" w14:textId="64F5F911" w:rsidR="00A36412" w:rsidRDefault="00A36412" w:rsidP="00B24598">
      <w:pPr>
        <w:pStyle w:val="FootnoteText"/>
      </w:pPr>
      <w:r>
        <w:rPr>
          <w:rStyle w:val="FootnoteReference"/>
        </w:rPr>
        <w:footnoteRef/>
      </w:r>
      <w:r>
        <w:t xml:space="preserve">  </w:t>
      </w:r>
      <w:r>
        <w:tab/>
      </w:r>
      <w:r w:rsidRPr="00A36412">
        <w:rPr>
          <w:i/>
        </w:rPr>
        <w:t>Adventure Alley CLC, LLC v. PECO Energy Company and Great American Power</w:t>
      </w:r>
      <w:r>
        <w:t xml:space="preserve">, Docket </w:t>
      </w:r>
      <w:r w:rsidR="00554C31">
        <w:t xml:space="preserve">No. </w:t>
      </w:r>
      <w:r>
        <w:t>C-2014-2430850 (Final Order entered November 25, 2014)(</w:t>
      </w:r>
      <w:r w:rsidRPr="009C7123">
        <w:rPr>
          <w:i/>
        </w:rPr>
        <w:t>citing</w:t>
      </w:r>
      <w:r>
        <w:t xml:space="preserve"> </w:t>
      </w:r>
      <w:r w:rsidRPr="00A36412">
        <w:rPr>
          <w:i/>
        </w:rPr>
        <w:t>McCain v. Curione, Pa. Board of Probation and Parole</w:t>
      </w:r>
      <w:r w:rsidRPr="00A36412">
        <w:t>, 527 A.2d 591 (Pa.Cmwlth.1987) (Commonwealth Court was without jurisdiction to consider arguments and motions made on behalf of parolee in a civil action that was filed by another prisoner who was not licensed to practice law)</w:t>
      </w:r>
      <w:r>
        <w:t>)</w:t>
      </w:r>
      <w:r w:rsidRPr="00A3641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F920B21"/>
    <w:multiLevelType w:val="multilevel"/>
    <w:tmpl w:val="48CAE296"/>
    <w:lvl w:ilvl="0">
      <w:start w:val="9"/>
      <w:numFmt w:val="decimal"/>
      <w:lvlText w:val="%1."/>
      <w:lvlJc w:val="left"/>
      <w:pPr>
        <w:tabs>
          <w:tab w:val="left" w:pos="720"/>
        </w:tabs>
        <w:ind w:left="720"/>
      </w:pPr>
      <w:rPr>
        <w:rFonts w:ascii="Times New Roman" w:eastAsia="Times New Roman" w:hAnsi="Times New Roman"/>
        <w:strike w:val="0"/>
        <w:color w:val="0B0A12"/>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7"/>
  </w:num>
  <w:num w:numId="7">
    <w:abstractNumId w:val="5"/>
  </w:num>
  <w:num w:numId="8">
    <w:abstractNumId w:val="26"/>
  </w:num>
  <w:num w:numId="9">
    <w:abstractNumId w:val="3"/>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4"/>
  </w:num>
  <w:num w:numId="23">
    <w:abstractNumId w:val="13"/>
  </w:num>
  <w:num w:numId="24">
    <w:abstractNumId w:val="30"/>
  </w:num>
  <w:num w:numId="25">
    <w:abstractNumId w:val="1"/>
  </w:num>
  <w:num w:numId="26">
    <w:abstractNumId w:val="6"/>
  </w:num>
  <w:num w:numId="27">
    <w:abstractNumId w:val="21"/>
  </w:num>
  <w:num w:numId="28">
    <w:abstractNumId w:val="11"/>
  </w:num>
  <w:num w:numId="29">
    <w:abstractNumId w:val="8"/>
  </w:num>
  <w:num w:numId="30">
    <w:abstractNumId w:val="16"/>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E"/>
    <w:rsid w:val="00004C37"/>
    <w:rsid w:val="000130C4"/>
    <w:rsid w:val="00066D87"/>
    <w:rsid w:val="000E3EDE"/>
    <w:rsid w:val="00107E82"/>
    <w:rsid w:val="001317C6"/>
    <w:rsid w:val="001569AD"/>
    <w:rsid w:val="0018461F"/>
    <w:rsid w:val="001A21B6"/>
    <w:rsid w:val="001A769A"/>
    <w:rsid w:val="001B05B4"/>
    <w:rsid w:val="001B1CBA"/>
    <w:rsid w:val="001C2B6E"/>
    <w:rsid w:val="001D2AF7"/>
    <w:rsid w:val="00207393"/>
    <w:rsid w:val="00207743"/>
    <w:rsid w:val="00213167"/>
    <w:rsid w:val="00230C73"/>
    <w:rsid w:val="00235A33"/>
    <w:rsid w:val="002512F9"/>
    <w:rsid w:val="002D50E8"/>
    <w:rsid w:val="002E245C"/>
    <w:rsid w:val="002F0AE0"/>
    <w:rsid w:val="00313CAB"/>
    <w:rsid w:val="003145FA"/>
    <w:rsid w:val="003326A6"/>
    <w:rsid w:val="00336D57"/>
    <w:rsid w:val="00364344"/>
    <w:rsid w:val="00367A41"/>
    <w:rsid w:val="00374F92"/>
    <w:rsid w:val="003845B2"/>
    <w:rsid w:val="00393C92"/>
    <w:rsid w:val="003A3E09"/>
    <w:rsid w:val="003B0774"/>
    <w:rsid w:val="003C775B"/>
    <w:rsid w:val="003F7FBB"/>
    <w:rsid w:val="004023ED"/>
    <w:rsid w:val="004219EE"/>
    <w:rsid w:val="00447CA8"/>
    <w:rsid w:val="00453BAB"/>
    <w:rsid w:val="00465165"/>
    <w:rsid w:val="004866AA"/>
    <w:rsid w:val="00497CC3"/>
    <w:rsid w:val="004B75A4"/>
    <w:rsid w:val="004C53A4"/>
    <w:rsid w:val="004D523C"/>
    <w:rsid w:val="005035B1"/>
    <w:rsid w:val="00504469"/>
    <w:rsid w:val="00516313"/>
    <w:rsid w:val="0052422E"/>
    <w:rsid w:val="00532034"/>
    <w:rsid w:val="00541A3E"/>
    <w:rsid w:val="00554C31"/>
    <w:rsid w:val="005566B3"/>
    <w:rsid w:val="00557D55"/>
    <w:rsid w:val="00572AEF"/>
    <w:rsid w:val="00574349"/>
    <w:rsid w:val="00596FB3"/>
    <w:rsid w:val="005970ED"/>
    <w:rsid w:val="005A1ACE"/>
    <w:rsid w:val="005A1C17"/>
    <w:rsid w:val="005A2ABA"/>
    <w:rsid w:val="005D180A"/>
    <w:rsid w:val="005E7B69"/>
    <w:rsid w:val="005F1003"/>
    <w:rsid w:val="005F7627"/>
    <w:rsid w:val="006124D8"/>
    <w:rsid w:val="0061775F"/>
    <w:rsid w:val="006851FE"/>
    <w:rsid w:val="0069043E"/>
    <w:rsid w:val="00696C0D"/>
    <w:rsid w:val="006A5956"/>
    <w:rsid w:val="006B1AFE"/>
    <w:rsid w:val="006C1A4A"/>
    <w:rsid w:val="006D2084"/>
    <w:rsid w:val="006D22B3"/>
    <w:rsid w:val="006F0329"/>
    <w:rsid w:val="00700807"/>
    <w:rsid w:val="00712E58"/>
    <w:rsid w:val="007407AC"/>
    <w:rsid w:val="00755D72"/>
    <w:rsid w:val="00767088"/>
    <w:rsid w:val="00774BF1"/>
    <w:rsid w:val="0078094B"/>
    <w:rsid w:val="00792796"/>
    <w:rsid w:val="00796B64"/>
    <w:rsid w:val="007B16EC"/>
    <w:rsid w:val="007C12FD"/>
    <w:rsid w:val="007D3F8D"/>
    <w:rsid w:val="007E6779"/>
    <w:rsid w:val="00802A99"/>
    <w:rsid w:val="00820B4C"/>
    <w:rsid w:val="008279D5"/>
    <w:rsid w:val="0083239D"/>
    <w:rsid w:val="00832DF8"/>
    <w:rsid w:val="008529D2"/>
    <w:rsid w:val="0088105E"/>
    <w:rsid w:val="008D5ACB"/>
    <w:rsid w:val="008F76B5"/>
    <w:rsid w:val="00917A6C"/>
    <w:rsid w:val="00917DCA"/>
    <w:rsid w:val="00930CF3"/>
    <w:rsid w:val="009347AB"/>
    <w:rsid w:val="009421F3"/>
    <w:rsid w:val="00953928"/>
    <w:rsid w:val="009566A3"/>
    <w:rsid w:val="00960530"/>
    <w:rsid w:val="009629B7"/>
    <w:rsid w:val="009728E8"/>
    <w:rsid w:val="00982B9E"/>
    <w:rsid w:val="009C1062"/>
    <w:rsid w:val="009C31B3"/>
    <w:rsid w:val="009C7123"/>
    <w:rsid w:val="009C7D53"/>
    <w:rsid w:val="009F26BD"/>
    <w:rsid w:val="00A36412"/>
    <w:rsid w:val="00A36932"/>
    <w:rsid w:val="00A47096"/>
    <w:rsid w:val="00A61A68"/>
    <w:rsid w:val="00A733BC"/>
    <w:rsid w:val="00AA1271"/>
    <w:rsid w:val="00AA2EC5"/>
    <w:rsid w:val="00AB4C73"/>
    <w:rsid w:val="00AD0405"/>
    <w:rsid w:val="00AE6F47"/>
    <w:rsid w:val="00B02244"/>
    <w:rsid w:val="00B05797"/>
    <w:rsid w:val="00B123E2"/>
    <w:rsid w:val="00B24598"/>
    <w:rsid w:val="00B768B1"/>
    <w:rsid w:val="00B91E47"/>
    <w:rsid w:val="00BB5601"/>
    <w:rsid w:val="00BB7E3C"/>
    <w:rsid w:val="00BC6B21"/>
    <w:rsid w:val="00BD6A0F"/>
    <w:rsid w:val="00BE454C"/>
    <w:rsid w:val="00C22603"/>
    <w:rsid w:val="00C22C79"/>
    <w:rsid w:val="00C87E57"/>
    <w:rsid w:val="00CD06A8"/>
    <w:rsid w:val="00CE2B47"/>
    <w:rsid w:val="00CE3C93"/>
    <w:rsid w:val="00CF0B84"/>
    <w:rsid w:val="00CF6143"/>
    <w:rsid w:val="00DC4FAF"/>
    <w:rsid w:val="00DD5C37"/>
    <w:rsid w:val="00E25578"/>
    <w:rsid w:val="00E26EB3"/>
    <w:rsid w:val="00E33767"/>
    <w:rsid w:val="00E4239A"/>
    <w:rsid w:val="00EB027A"/>
    <w:rsid w:val="00EB444B"/>
    <w:rsid w:val="00EC1CBA"/>
    <w:rsid w:val="00EC525C"/>
    <w:rsid w:val="00EE3B35"/>
    <w:rsid w:val="00EE7801"/>
    <w:rsid w:val="00F11A19"/>
    <w:rsid w:val="00F16554"/>
    <w:rsid w:val="00F17070"/>
    <w:rsid w:val="00F33FE9"/>
    <w:rsid w:val="00F544E1"/>
    <w:rsid w:val="00FB1757"/>
    <w:rsid w:val="00FB350A"/>
    <w:rsid w:val="00FB51C2"/>
    <w:rsid w:val="00FD2172"/>
    <w:rsid w:val="00FD5C10"/>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C4F3"/>
  <w15:chartTrackingRefBased/>
  <w15:docId w15:val="{7AE7AA4B-2C4A-4E80-93A3-19702143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B24598"/>
    <w:pPr>
      <w:spacing w:line="240" w:lineRule="auto"/>
    </w:pPr>
    <w:rPr>
      <w:sz w:val="20"/>
    </w:rPr>
  </w:style>
  <w:style w:type="character" w:customStyle="1" w:styleId="FootnoteTextChar">
    <w:name w:val="Footnote Text Char"/>
    <w:basedOn w:val="DefaultParagraphFont"/>
    <w:link w:val="FootnoteText"/>
    <w:uiPriority w:val="99"/>
    <w:rsid w:val="00B24598"/>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930CF3"/>
    <w:rPr>
      <w:vertAlign w:val="superscript"/>
    </w:rPr>
  </w:style>
  <w:style w:type="paragraph" w:styleId="Header">
    <w:name w:val="header"/>
    <w:basedOn w:val="Normal"/>
    <w:link w:val="HeaderChar"/>
    <w:uiPriority w:val="99"/>
    <w:unhideWhenUsed/>
    <w:rsid w:val="001A769A"/>
    <w:pPr>
      <w:tabs>
        <w:tab w:val="center" w:pos="4680"/>
        <w:tab w:val="right" w:pos="9360"/>
      </w:tabs>
      <w:spacing w:line="240" w:lineRule="auto"/>
    </w:pPr>
  </w:style>
  <w:style w:type="character" w:customStyle="1" w:styleId="HeaderChar">
    <w:name w:val="Header Char"/>
    <w:basedOn w:val="DefaultParagraphFont"/>
    <w:link w:val="Header"/>
    <w:uiPriority w:val="99"/>
    <w:rsid w:val="001A769A"/>
    <w:rPr>
      <w:rFonts w:eastAsia="SimSun"/>
    </w:rPr>
  </w:style>
  <w:style w:type="paragraph" w:styleId="Footer">
    <w:name w:val="footer"/>
    <w:basedOn w:val="Normal"/>
    <w:link w:val="FooterChar"/>
    <w:uiPriority w:val="99"/>
    <w:unhideWhenUsed/>
    <w:rsid w:val="001A769A"/>
    <w:pPr>
      <w:tabs>
        <w:tab w:val="center" w:pos="4680"/>
        <w:tab w:val="right" w:pos="9360"/>
      </w:tabs>
      <w:spacing w:line="240" w:lineRule="auto"/>
    </w:pPr>
  </w:style>
  <w:style w:type="character" w:customStyle="1" w:styleId="FooterChar">
    <w:name w:val="Footer Char"/>
    <w:basedOn w:val="DefaultParagraphFont"/>
    <w:link w:val="Footer"/>
    <w:uiPriority w:val="99"/>
    <w:rsid w:val="001A769A"/>
    <w:rPr>
      <w:rFonts w:eastAsia="SimSun"/>
    </w:rPr>
  </w:style>
  <w:style w:type="paragraph" w:styleId="BalloonText">
    <w:name w:val="Balloon Text"/>
    <w:basedOn w:val="Normal"/>
    <w:link w:val="BalloonTextChar"/>
    <w:uiPriority w:val="99"/>
    <w:semiHidden/>
    <w:unhideWhenUsed/>
    <w:rsid w:val="00A369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32"/>
    <w:rPr>
      <w:rFonts w:ascii="Segoe UI" w:eastAsia="SimSun" w:hAnsi="Segoe UI" w:cs="Segoe UI"/>
      <w:sz w:val="18"/>
      <w:szCs w:val="18"/>
    </w:rPr>
  </w:style>
  <w:style w:type="character" w:styleId="PlaceholderText">
    <w:name w:val="Placeholder Text"/>
    <w:basedOn w:val="DefaultParagraphFont"/>
    <w:uiPriority w:val="99"/>
    <w:semiHidden/>
    <w:rsid w:val="001569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ADA4-721B-424C-BD15-6F5B3EDF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2018-08-02T19:19:00Z</cp:lastPrinted>
  <dcterms:created xsi:type="dcterms:W3CDTF">2020-06-18T16:58:00Z</dcterms:created>
  <dcterms:modified xsi:type="dcterms:W3CDTF">2020-06-18T16:58:00Z</dcterms:modified>
</cp:coreProperties>
</file>