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E4B83" w14:textId="05982F88"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PENNSYLVANIA</w:t>
      </w:r>
    </w:p>
    <w:p w14:paraId="7793B8A1"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PUBLIC UTILTY COMMISSION</w:t>
      </w:r>
    </w:p>
    <w:p w14:paraId="791EE2BC"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Harrisburg, PA  17105-3265</w:t>
      </w:r>
    </w:p>
    <w:p w14:paraId="30ED3604" w14:textId="088CDF51" w:rsidR="00577603" w:rsidRPr="00985C3A" w:rsidRDefault="00577603" w:rsidP="00636BFB">
      <w:pPr>
        <w:spacing w:line="360" w:lineRule="auto"/>
        <w:jc w:val="center"/>
        <w:rPr>
          <w:rFonts w:ascii="Times New Roman" w:hAnsi="Times New Roman"/>
          <w:sz w:val="24"/>
          <w:szCs w:val="24"/>
        </w:rPr>
      </w:pPr>
    </w:p>
    <w:p w14:paraId="173E0AB4" w14:textId="741FD409" w:rsidR="00577603" w:rsidRPr="00985C3A" w:rsidRDefault="00577603" w:rsidP="00577603">
      <w:pPr>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t xml:space="preserve">Public Meeting </w:t>
      </w:r>
      <w:r w:rsidR="00F51D00" w:rsidRPr="00985C3A">
        <w:rPr>
          <w:rFonts w:ascii="Times New Roman" w:hAnsi="Times New Roman"/>
          <w:sz w:val="24"/>
          <w:szCs w:val="24"/>
        </w:rPr>
        <w:t xml:space="preserve">held </w:t>
      </w:r>
      <w:r w:rsidR="0066062A">
        <w:rPr>
          <w:rFonts w:ascii="Times New Roman" w:hAnsi="Times New Roman"/>
          <w:sz w:val="24"/>
          <w:szCs w:val="24"/>
        </w:rPr>
        <w:t>June</w:t>
      </w:r>
      <w:r w:rsidR="00092AAB">
        <w:rPr>
          <w:rFonts w:ascii="Times New Roman" w:hAnsi="Times New Roman"/>
          <w:sz w:val="24"/>
          <w:szCs w:val="24"/>
        </w:rPr>
        <w:t xml:space="preserve"> 18</w:t>
      </w:r>
      <w:r w:rsidR="00535076">
        <w:rPr>
          <w:rFonts w:ascii="Times New Roman" w:hAnsi="Times New Roman"/>
          <w:sz w:val="24"/>
          <w:szCs w:val="24"/>
        </w:rPr>
        <w:t>, 2020</w:t>
      </w:r>
    </w:p>
    <w:p w14:paraId="685280F8" w14:textId="4FE139F5" w:rsidR="00035460" w:rsidRPr="00985C3A" w:rsidRDefault="00035460" w:rsidP="00577603">
      <w:pPr>
        <w:rPr>
          <w:rFonts w:ascii="Times New Roman" w:hAnsi="Times New Roman"/>
          <w:sz w:val="24"/>
          <w:szCs w:val="24"/>
        </w:rPr>
      </w:pPr>
    </w:p>
    <w:p w14:paraId="27259194" w14:textId="77777777" w:rsidR="006B7495" w:rsidRDefault="006B7495" w:rsidP="00577603">
      <w:pPr>
        <w:rPr>
          <w:rFonts w:ascii="Times New Roman" w:hAnsi="Times New Roman"/>
          <w:sz w:val="24"/>
          <w:szCs w:val="24"/>
        </w:rPr>
      </w:pPr>
    </w:p>
    <w:p w14:paraId="5E151961" w14:textId="38837B7F" w:rsidR="00577603" w:rsidRPr="00985C3A" w:rsidRDefault="00577603" w:rsidP="00577603">
      <w:pPr>
        <w:rPr>
          <w:rFonts w:ascii="Times New Roman" w:hAnsi="Times New Roman"/>
          <w:sz w:val="24"/>
          <w:szCs w:val="24"/>
        </w:rPr>
      </w:pPr>
      <w:r w:rsidRPr="00985C3A">
        <w:rPr>
          <w:rFonts w:ascii="Times New Roman" w:hAnsi="Times New Roman"/>
          <w:sz w:val="24"/>
          <w:szCs w:val="24"/>
        </w:rPr>
        <w:t>Commissioners Present:</w:t>
      </w:r>
    </w:p>
    <w:p w14:paraId="6A7B9838" w14:textId="77777777" w:rsidR="00577603" w:rsidRPr="00985C3A" w:rsidRDefault="00577603" w:rsidP="00577603">
      <w:pPr>
        <w:rPr>
          <w:rFonts w:ascii="Times New Roman" w:hAnsi="Times New Roman"/>
          <w:sz w:val="24"/>
          <w:szCs w:val="24"/>
        </w:rPr>
      </w:pPr>
    </w:p>
    <w:p w14:paraId="743302C2" w14:textId="245DD6FC"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Gladys Brown</w:t>
      </w:r>
      <w:r w:rsidR="00415954">
        <w:rPr>
          <w:rFonts w:ascii="Times New Roman" w:eastAsia="Times New Roman" w:hAnsi="Times New Roman"/>
          <w:bCs/>
          <w:sz w:val="24"/>
          <w:szCs w:val="24"/>
        </w:rPr>
        <w:t xml:space="preserve"> </w:t>
      </w:r>
      <w:r w:rsidRPr="00985C3A">
        <w:rPr>
          <w:rFonts w:ascii="Times New Roman" w:eastAsia="Times New Roman" w:hAnsi="Times New Roman"/>
          <w:bCs/>
          <w:sz w:val="24"/>
          <w:szCs w:val="24"/>
        </w:rPr>
        <w:t>Dutrieuille, Chairman</w:t>
      </w:r>
    </w:p>
    <w:p w14:paraId="63FDC2DD" w14:textId="77777777"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David W. Sweet, Vice Chairman</w:t>
      </w:r>
    </w:p>
    <w:p w14:paraId="01207A76" w14:textId="0D4FCB2A" w:rsidR="009906B2" w:rsidRPr="00985C3A" w:rsidRDefault="00627178" w:rsidP="00F26B5F">
      <w:pPr>
        <w:ind w:firstLine="720"/>
        <w:rPr>
          <w:rFonts w:ascii="Times New Roman" w:eastAsia="Times New Roman" w:hAnsi="Times New Roman"/>
          <w:bCs/>
          <w:sz w:val="24"/>
          <w:szCs w:val="24"/>
        </w:rPr>
      </w:pPr>
      <w:r>
        <w:rPr>
          <w:rFonts w:ascii="Times New Roman" w:eastAsia="Times New Roman" w:hAnsi="Times New Roman"/>
          <w:bCs/>
          <w:sz w:val="24"/>
          <w:szCs w:val="24"/>
        </w:rPr>
        <w:t>J</w:t>
      </w:r>
      <w:r w:rsidR="00F26B5F" w:rsidRPr="00985C3A">
        <w:rPr>
          <w:rFonts w:ascii="Times New Roman" w:eastAsia="Times New Roman" w:hAnsi="Times New Roman"/>
          <w:bCs/>
          <w:sz w:val="24"/>
          <w:szCs w:val="24"/>
        </w:rPr>
        <w:t>ohn F. Coleman, Jr.</w:t>
      </w:r>
    </w:p>
    <w:p w14:paraId="65818AE6" w14:textId="32649DED" w:rsidR="006418EF" w:rsidRPr="00985C3A" w:rsidRDefault="00A711D4" w:rsidP="00A711D4">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Ralph V. Yanora</w:t>
      </w:r>
    </w:p>
    <w:p w14:paraId="533950ED" w14:textId="77777777" w:rsidR="00866790" w:rsidRDefault="00866790" w:rsidP="000A63CB">
      <w:pPr>
        <w:rPr>
          <w:rFonts w:ascii="Times New Roman" w:eastAsia="Times New Roman" w:hAnsi="Times New Roman"/>
          <w:bCs/>
          <w:sz w:val="24"/>
          <w:szCs w:val="24"/>
        </w:rPr>
      </w:pPr>
    </w:p>
    <w:p w14:paraId="7341630D" w14:textId="2735DCA1" w:rsidR="004776E2" w:rsidRDefault="004776E2" w:rsidP="000A63CB">
      <w:pPr>
        <w:rPr>
          <w:rFonts w:ascii="Times New Roman" w:eastAsia="Times New Roman" w:hAnsi="Times New Roman"/>
          <w:bCs/>
          <w:sz w:val="24"/>
          <w:szCs w:val="24"/>
        </w:rPr>
      </w:pPr>
    </w:p>
    <w:p w14:paraId="585DE43A" w14:textId="77777777" w:rsidR="007754BA" w:rsidRPr="00985C3A" w:rsidRDefault="007754BA" w:rsidP="000A63CB">
      <w:pPr>
        <w:rPr>
          <w:rFonts w:ascii="Times New Roman" w:eastAsia="Times New Roman" w:hAnsi="Times New Roman"/>
          <w:bCs/>
          <w:sz w:val="24"/>
          <w:szCs w:val="24"/>
        </w:rPr>
      </w:pPr>
    </w:p>
    <w:p w14:paraId="0E735198" w14:textId="77777777" w:rsidR="001157FC" w:rsidRPr="001157FC" w:rsidRDefault="001157FC" w:rsidP="001157FC">
      <w:pPr>
        <w:autoSpaceDE w:val="0"/>
        <w:autoSpaceDN w:val="0"/>
        <w:adjustRightInd w:val="0"/>
        <w:jc w:val="both"/>
        <w:rPr>
          <w:rFonts w:ascii="Times New Roman" w:eastAsia="Times New Roman" w:hAnsi="Times New Roman"/>
          <w:sz w:val="24"/>
          <w:szCs w:val="24"/>
        </w:rPr>
      </w:pPr>
      <w:r w:rsidRPr="001157FC">
        <w:rPr>
          <w:rFonts w:ascii="Times New Roman" w:eastAsia="Times New Roman" w:hAnsi="Times New Roman"/>
          <w:sz w:val="24"/>
          <w:szCs w:val="24"/>
        </w:rPr>
        <w:t xml:space="preserve">Application of Pennsylvania-American Water </w:t>
      </w:r>
      <w:r w:rsidRPr="001157FC">
        <w:rPr>
          <w:rFonts w:ascii="Times New Roman" w:eastAsia="Times New Roman" w:hAnsi="Times New Roman"/>
          <w:sz w:val="24"/>
          <w:szCs w:val="24"/>
        </w:rPr>
        <w:tab/>
        <w:t>:</w:t>
      </w:r>
    </w:p>
    <w:p w14:paraId="790DDF99" w14:textId="04164AD2" w:rsidR="001157FC" w:rsidRPr="001157FC" w:rsidRDefault="001157FC" w:rsidP="001157FC">
      <w:pPr>
        <w:autoSpaceDE w:val="0"/>
        <w:autoSpaceDN w:val="0"/>
        <w:adjustRightInd w:val="0"/>
        <w:jc w:val="both"/>
        <w:rPr>
          <w:rFonts w:ascii="Times New Roman" w:eastAsia="Times New Roman" w:hAnsi="Times New Roman"/>
          <w:sz w:val="24"/>
          <w:szCs w:val="24"/>
        </w:rPr>
      </w:pPr>
      <w:r w:rsidRPr="001157FC">
        <w:rPr>
          <w:rFonts w:ascii="Times New Roman" w:eastAsia="Times New Roman" w:hAnsi="Times New Roman"/>
          <w:sz w:val="24"/>
          <w:szCs w:val="24"/>
        </w:rPr>
        <w:t>Company, Pursuant to the Pennsylvania Public</w:t>
      </w:r>
      <w:r w:rsidRPr="001157FC">
        <w:rPr>
          <w:rFonts w:ascii="Times New Roman" w:eastAsia="Times New Roman" w:hAnsi="Times New Roman"/>
          <w:sz w:val="24"/>
          <w:szCs w:val="24"/>
        </w:rPr>
        <w:tab/>
        <w:t>:</w:t>
      </w:r>
      <w:r w:rsidRPr="001157FC">
        <w:rPr>
          <w:rFonts w:ascii="Times New Roman" w:eastAsia="Times New Roman" w:hAnsi="Times New Roman"/>
          <w:sz w:val="24"/>
          <w:szCs w:val="24"/>
        </w:rPr>
        <w:tab/>
      </w:r>
      <w:r w:rsidRPr="001157FC">
        <w:rPr>
          <w:rFonts w:ascii="Times New Roman" w:eastAsia="Times New Roman" w:hAnsi="Times New Roman"/>
          <w:sz w:val="24"/>
          <w:szCs w:val="24"/>
        </w:rPr>
        <w:tab/>
      </w:r>
      <w:r w:rsidR="00092AAB">
        <w:rPr>
          <w:rFonts w:ascii="Times New Roman" w:eastAsia="Times New Roman" w:hAnsi="Times New Roman"/>
          <w:sz w:val="24"/>
          <w:szCs w:val="24"/>
        </w:rPr>
        <w:tab/>
      </w:r>
      <w:r w:rsidRPr="001157FC">
        <w:rPr>
          <w:rFonts w:ascii="Times New Roman" w:eastAsia="Times New Roman" w:hAnsi="Times New Roman"/>
          <w:sz w:val="24"/>
          <w:szCs w:val="24"/>
        </w:rPr>
        <w:t>A-2019-3014248</w:t>
      </w:r>
    </w:p>
    <w:p w14:paraId="2447F74E" w14:textId="77777777" w:rsidR="001157FC" w:rsidRPr="001157FC" w:rsidRDefault="001157FC" w:rsidP="001157FC">
      <w:pPr>
        <w:autoSpaceDE w:val="0"/>
        <w:autoSpaceDN w:val="0"/>
        <w:adjustRightInd w:val="0"/>
        <w:jc w:val="both"/>
        <w:rPr>
          <w:rFonts w:ascii="Times New Roman" w:eastAsia="Times New Roman" w:hAnsi="Times New Roman"/>
          <w:sz w:val="24"/>
          <w:szCs w:val="24"/>
        </w:rPr>
      </w:pPr>
      <w:r w:rsidRPr="001157FC">
        <w:rPr>
          <w:rFonts w:ascii="Times New Roman" w:eastAsia="Times New Roman" w:hAnsi="Times New Roman"/>
          <w:sz w:val="24"/>
          <w:szCs w:val="24"/>
        </w:rPr>
        <w:t>Utility Code, 66 Pa.C.S. § 1102(a) and 1329,</w:t>
      </w:r>
      <w:r w:rsidRPr="001157FC">
        <w:rPr>
          <w:rFonts w:ascii="Times New Roman" w:eastAsia="Times New Roman" w:hAnsi="Times New Roman"/>
          <w:sz w:val="24"/>
          <w:szCs w:val="24"/>
        </w:rPr>
        <w:tab/>
      </w:r>
      <w:r w:rsidRPr="001157FC">
        <w:rPr>
          <w:rFonts w:ascii="Times New Roman" w:eastAsia="Times New Roman" w:hAnsi="Times New Roman"/>
          <w:sz w:val="24"/>
          <w:szCs w:val="24"/>
        </w:rPr>
        <w:tab/>
        <w:t>:</w:t>
      </w:r>
    </w:p>
    <w:p w14:paraId="77E73596" w14:textId="77777777" w:rsidR="001157FC" w:rsidRPr="001157FC" w:rsidRDefault="001157FC" w:rsidP="001157FC">
      <w:pPr>
        <w:autoSpaceDE w:val="0"/>
        <w:autoSpaceDN w:val="0"/>
        <w:adjustRightInd w:val="0"/>
        <w:jc w:val="both"/>
        <w:rPr>
          <w:rFonts w:ascii="Times New Roman" w:eastAsia="Times New Roman" w:hAnsi="Times New Roman"/>
          <w:sz w:val="24"/>
          <w:szCs w:val="24"/>
        </w:rPr>
      </w:pPr>
      <w:r w:rsidRPr="001157FC">
        <w:rPr>
          <w:rFonts w:ascii="Times New Roman" w:eastAsia="Times New Roman" w:hAnsi="Times New Roman"/>
          <w:sz w:val="24"/>
          <w:szCs w:val="24"/>
        </w:rPr>
        <w:t>For Approval of 1) the Transfer, by Sale, of</w:t>
      </w:r>
      <w:r w:rsidRPr="001157FC">
        <w:rPr>
          <w:rFonts w:ascii="Times New Roman" w:eastAsia="Times New Roman" w:hAnsi="Times New Roman"/>
          <w:sz w:val="24"/>
          <w:szCs w:val="24"/>
        </w:rPr>
        <w:tab/>
      </w:r>
      <w:r w:rsidRPr="001157FC">
        <w:rPr>
          <w:rFonts w:ascii="Times New Roman" w:eastAsia="Times New Roman" w:hAnsi="Times New Roman"/>
          <w:sz w:val="24"/>
          <w:szCs w:val="24"/>
        </w:rPr>
        <w:tab/>
        <w:t>:</w:t>
      </w:r>
    </w:p>
    <w:p w14:paraId="7BFFBBEA" w14:textId="77777777" w:rsidR="001157FC" w:rsidRPr="001157FC" w:rsidRDefault="001157FC" w:rsidP="001157FC">
      <w:pPr>
        <w:autoSpaceDE w:val="0"/>
        <w:autoSpaceDN w:val="0"/>
        <w:adjustRightInd w:val="0"/>
        <w:jc w:val="both"/>
        <w:rPr>
          <w:rFonts w:ascii="Times New Roman" w:eastAsia="Times New Roman" w:hAnsi="Times New Roman"/>
          <w:sz w:val="24"/>
          <w:szCs w:val="24"/>
        </w:rPr>
      </w:pPr>
      <w:r w:rsidRPr="001157FC">
        <w:rPr>
          <w:rFonts w:ascii="Times New Roman" w:eastAsia="Times New Roman" w:hAnsi="Times New Roman"/>
          <w:sz w:val="24"/>
          <w:szCs w:val="24"/>
        </w:rPr>
        <w:t xml:space="preserve">Substantially all of the Borough of Kane </w:t>
      </w:r>
      <w:r w:rsidRPr="001157FC">
        <w:rPr>
          <w:rFonts w:ascii="Times New Roman" w:eastAsia="Times New Roman" w:hAnsi="Times New Roman"/>
          <w:sz w:val="24"/>
          <w:szCs w:val="24"/>
        </w:rPr>
        <w:tab/>
      </w:r>
      <w:r w:rsidRPr="001157FC">
        <w:rPr>
          <w:rFonts w:ascii="Times New Roman" w:eastAsia="Times New Roman" w:hAnsi="Times New Roman"/>
          <w:sz w:val="24"/>
          <w:szCs w:val="24"/>
        </w:rPr>
        <w:tab/>
        <w:t>:</w:t>
      </w:r>
    </w:p>
    <w:p w14:paraId="1CD90D1A" w14:textId="77777777" w:rsidR="001157FC" w:rsidRPr="001157FC" w:rsidRDefault="001157FC" w:rsidP="001157FC">
      <w:pPr>
        <w:autoSpaceDE w:val="0"/>
        <w:autoSpaceDN w:val="0"/>
        <w:adjustRightInd w:val="0"/>
        <w:jc w:val="both"/>
        <w:rPr>
          <w:rFonts w:ascii="Times New Roman" w:eastAsia="Times New Roman" w:hAnsi="Times New Roman"/>
          <w:sz w:val="24"/>
          <w:szCs w:val="24"/>
        </w:rPr>
      </w:pPr>
      <w:r w:rsidRPr="001157FC">
        <w:rPr>
          <w:rFonts w:ascii="Times New Roman" w:eastAsia="Times New Roman" w:hAnsi="Times New Roman"/>
          <w:sz w:val="24"/>
          <w:szCs w:val="24"/>
        </w:rPr>
        <w:t>Authority’s Assets, Properties and Rights Related</w:t>
      </w:r>
      <w:r w:rsidRPr="001157FC">
        <w:rPr>
          <w:rFonts w:ascii="Times New Roman" w:eastAsia="Times New Roman" w:hAnsi="Times New Roman"/>
          <w:sz w:val="24"/>
          <w:szCs w:val="24"/>
        </w:rPr>
        <w:tab/>
        <w:t>:</w:t>
      </w:r>
    </w:p>
    <w:p w14:paraId="4DD8531F" w14:textId="77777777" w:rsidR="001157FC" w:rsidRPr="001157FC" w:rsidRDefault="001157FC" w:rsidP="001157FC">
      <w:pPr>
        <w:autoSpaceDE w:val="0"/>
        <w:autoSpaceDN w:val="0"/>
        <w:adjustRightInd w:val="0"/>
        <w:jc w:val="both"/>
        <w:rPr>
          <w:rFonts w:ascii="Times New Roman" w:eastAsia="Times New Roman" w:hAnsi="Times New Roman"/>
          <w:sz w:val="24"/>
          <w:szCs w:val="24"/>
        </w:rPr>
      </w:pPr>
      <w:r w:rsidRPr="001157FC">
        <w:rPr>
          <w:rFonts w:ascii="Times New Roman" w:eastAsia="Times New Roman" w:hAnsi="Times New Roman"/>
          <w:sz w:val="24"/>
          <w:szCs w:val="24"/>
        </w:rPr>
        <w:t>To Its Wastewater Collection and Treatment</w:t>
      </w:r>
      <w:r w:rsidRPr="001157FC">
        <w:rPr>
          <w:rFonts w:ascii="Times New Roman" w:eastAsia="Times New Roman" w:hAnsi="Times New Roman"/>
          <w:sz w:val="24"/>
          <w:szCs w:val="24"/>
        </w:rPr>
        <w:tab/>
      </w:r>
      <w:r w:rsidRPr="001157FC">
        <w:rPr>
          <w:rFonts w:ascii="Times New Roman" w:eastAsia="Times New Roman" w:hAnsi="Times New Roman"/>
          <w:sz w:val="24"/>
          <w:szCs w:val="24"/>
        </w:rPr>
        <w:tab/>
        <w:t>:</w:t>
      </w:r>
    </w:p>
    <w:p w14:paraId="7EF99A55" w14:textId="77777777" w:rsidR="001157FC" w:rsidRPr="001157FC" w:rsidRDefault="001157FC" w:rsidP="001157FC">
      <w:pPr>
        <w:autoSpaceDE w:val="0"/>
        <w:autoSpaceDN w:val="0"/>
        <w:adjustRightInd w:val="0"/>
        <w:jc w:val="both"/>
        <w:rPr>
          <w:rFonts w:ascii="Times New Roman" w:eastAsia="Times New Roman" w:hAnsi="Times New Roman"/>
          <w:sz w:val="24"/>
          <w:szCs w:val="24"/>
        </w:rPr>
      </w:pPr>
      <w:r w:rsidRPr="001157FC">
        <w:rPr>
          <w:rFonts w:ascii="Times New Roman" w:eastAsia="Times New Roman" w:hAnsi="Times New Roman"/>
          <w:sz w:val="24"/>
          <w:szCs w:val="24"/>
        </w:rPr>
        <w:t xml:space="preserve">System to Pennsylvania-American Water </w:t>
      </w:r>
      <w:r w:rsidRPr="001157FC">
        <w:rPr>
          <w:rFonts w:ascii="Times New Roman" w:eastAsia="Times New Roman" w:hAnsi="Times New Roman"/>
          <w:sz w:val="24"/>
          <w:szCs w:val="24"/>
        </w:rPr>
        <w:tab/>
      </w:r>
      <w:r w:rsidRPr="001157FC">
        <w:rPr>
          <w:rFonts w:ascii="Times New Roman" w:eastAsia="Times New Roman" w:hAnsi="Times New Roman"/>
          <w:sz w:val="24"/>
          <w:szCs w:val="24"/>
        </w:rPr>
        <w:tab/>
        <w:t>:</w:t>
      </w:r>
    </w:p>
    <w:p w14:paraId="48A2B96C" w14:textId="77777777" w:rsidR="001157FC" w:rsidRPr="001157FC" w:rsidRDefault="001157FC" w:rsidP="001157FC">
      <w:pPr>
        <w:autoSpaceDE w:val="0"/>
        <w:autoSpaceDN w:val="0"/>
        <w:adjustRightInd w:val="0"/>
        <w:jc w:val="both"/>
        <w:rPr>
          <w:rFonts w:ascii="Times New Roman" w:eastAsia="Times New Roman" w:hAnsi="Times New Roman"/>
          <w:sz w:val="24"/>
          <w:szCs w:val="24"/>
        </w:rPr>
      </w:pPr>
      <w:r w:rsidRPr="001157FC">
        <w:rPr>
          <w:rFonts w:ascii="Times New Roman" w:eastAsia="Times New Roman" w:hAnsi="Times New Roman"/>
          <w:sz w:val="24"/>
          <w:szCs w:val="24"/>
        </w:rPr>
        <w:t>Company; 2) the Rights of Pennsylvania-</w:t>
      </w:r>
      <w:r w:rsidRPr="001157FC">
        <w:rPr>
          <w:rFonts w:ascii="Times New Roman" w:eastAsia="Times New Roman" w:hAnsi="Times New Roman"/>
          <w:sz w:val="24"/>
          <w:szCs w:val="24"/>
        </w:rPr>
        <w:tab/>
      </w:r>
      <w:r w:rsidRPr="001157FC">
        <w:rPr>
          <w:rFonts w:ascii="Times New Roman" w:eastAsia="Times New Roman" w:hAnsi="Times New Roman"/>
          <w:sz w:val="24"/>
          <w:szCs w:val="24"/>
        </w:rPr>
        <w:tab/>
        <w:t>:</w:t>
      </w:r>
    </w:p>
    <w:p w14:paraId="25B03888" w14:textId="77777777" w:rsidR="001157FC" w:rsidRPr="001157FC" w:rsidRDefault="001157FC" w:rsidP="001157FC">
      <w:pPr>
        <w:autoSpaceDE w:val="0"/>
        <w:autoSpaceDN w:val="0"/>
        <w:adjustRightInd w:val="0"/>
        <w:jc w:val="both"/>
        <w:rPr>
          <w:rFonts w:ascii="Times New Roman" w:eastAsia="Times New Roman" w:hAnsi="Times New Roman"/>
          <w:sz w:val="24"/>
          <w:szCs w:val="24"/>
        </w:rPr>
      </w:pPr>
      <w:r w:rsidRPr="001157FC">
        <w:rPr>
          <w:rFonts w:ascii="Times New Roman" w:eastAsia="Times New Roman" w:hAnsi="Times New Roman"/>
          <w:sz w:val="24"/>
          <w:szCs w:val="24"/>
        </w:rPr>
        <w:t>American Water Company to Begin to Offer or</w:t>
      </w:r>
      <w:r w:rsidRPr="001157FC">
        <w:rPr>
          <w:rFonts w:ascii="Times New Roman" w:eastAsia="Times New Roman" w:hAnsi="Times New Roman"/>
          <w:sz w:val="24"/>
          <w:szCs w:val="24"/>
        </w:rPr>
        <w:tab/>
        <w:t>:</w:t>
      </w:r>
    </w:p>
    <w:p w14:paraId="74757A24" w14:textId="77777777" w:rsidR="001157FC" w:rsidRPr="001157FC" w:rsidRDefault="001157FC" w:rsidP="001157FC">
      <w:pPr>
        <w:autoSpaceDE w:val="0"/>
        <w:autoSpaceDN w:val="0"/>
        <w:adjustRightInd w:val="0"/>
        <w:jc w:val="both"/>
        <w:rPr>
          <w:rFonts w:ascii="Times New Roman" w:eastAsia="Times New Roman" w:hAnsi="Times New Roman"/>
          <w:sz w:val="24"/>
          <w:szCs w:val="24"/>
        </w:rPr>
      </w:pPr>
      <w:r w:rsidRPr="001157FC">
        <w:rPr>
          <w:rFonts w:ascii="Times New Roman" w:eastAsia="Times New Roman" w:hAnsi="Times New Roman"/>
          <w:sz w:val="24"/>
          <w:szCs w:val="24"/>
        </w:rPr>
        <w:t xml:space="preserve">Furnish Wastewater Service to the Public in the </w:t>
      </w:r>
      <w:r w:rsidRPr="001157FC">
        <w:rPr>
          <w:rFonts w:ascii="Times New Roman" w:eastAsia="Times New Roman" w:hAnsi="Times New Roman"/>
          <w:sz w:val="24"/>
          <w:szCs w:val="24"/>
        </w:rPr>
        <w:tab/>
        <w:t>:</w:t>
      </w:r>
    </w:p>
    <w:p w14:paraId="59DBB4E2" w14:textId="77777777" w:rsidR="001157FC" w:rsidRPr="001157FC" w:rsidRDefault="001157FC" w:rsidP="001157FC">
      <w:pPr>
        <w:autoSpaceDE w:val="0"/>
        <w:autoSpaceDN w:val="0"/>
        <w:adjustRightInd w:val="0"/>
        <w:jc w:val="both"/>
        <w:rPr>
          <w:rFonts w:ascii="Times New Roman" w:eastAsia="Times New Roman" w:hAnsi="Times New Roman"/>
          <w:sz w:val="24"/>
          <w:szCs w:val="24"/>
        </w:rPr>
      </w:pPr>
      <w:r w:rsidRPr="001157FC">
        <w:rPr>
          <w:rFonts w:ascii="Times New Roman" w:eastAsia="Times New Roman" w:hAnsi="Times New Roman"/>
          <w:sz w:val="24"/>
          <w:szCs w:val="24"/>
        </w:rPr>
        <w:t>Borough of Kane, and in a portion of Wetmore</w:t>
      </w:r>
      <w:r w:rsidRPr="001157FC">
        <w:rPr>
          <w:rFonts w:ascii="Times New Roman" w:eastAsia="Times New Roman" w:hAnsi="Times New Roman"/>
          <w:sz w:val="24"/>
          <w:szCs w:val="24"/>
        </w:rPr>
        <w:tab/>
        <w:t>:</w:t>
      </w:r>
    </w:p>
    <w:p w14:paraId="5CB71B0A" w14:textId="77777777" w:rsidR="001157FC" w:rsidRPr="001157FC" w:rsidRDefault="001157FC" w:rsidP="001157FC">
      <w:pPr>
        <w:autoSpaceDE w:val="0"/>
        <w:autoSpaceDN w:val="0"/>
        <w:adjustRightInd w:val="0"/>
        <w:jc w:val="both"/>
        <w:rPr>
          <w:rFonts w:ascii="Times New Roman" w:eastAsia="Times New Roman" w:hAnsi="Times New Roman"/>
          <w:sz w:val="24"/>
          <w:szCs w:val="24"/>
        </w:rPr>
      </w:pPr>
      <w:r w:rsidRPr="001157FC">
        <w:rPr>
          <w:rFonts w:ascii="Times New Roman" w:eastAsia="Times New Roman" w:hAnsi="Times New Roman"/>
          <w:sz w:val="24"/>
          <w:szCs w:val="24"/>
        </w:rPr>
        <w:t>Township, McKean County, Pennsylvania; and</w:t>
      </w:r>
      <w:r w:rsidRPr="001157FC">
        <w:rPr>
          <w:rFonts w:ascii="Times New Roman" w:eastAsia="Times New Roman" w:hAnsi="Times New Roman"/>
          <w:sz w:val="24"/>
          <w:szCs w:val="24"/>
        </w:rPr>
        <w:tab/>
        <w:t>:</w:t>
      </w:r>
    </w:p>
    <w:p w14:paraId="77953FC5" w14:textId="77777777" w:rsidR="001157FC" w:rsidRPr="001157FC" w:rsidRDefault="001157FC" w:rsidP="001157FC">
      <w:pPr>
        <w:autoSpaceDE w:val="0"/>
        <w:autoSpaceDN w:val="0"/>
        <w:adjustRightInd w:val="0"/>
        <w:jc w:val="both"/>
        <w:rPr>
          <w:rFonts w:ascii="Times New Roman" w:eastAsia="Times New Roman" w:hAnsi="Times New Roman"/>
          <w:sz w:val="24"/>
          <w:szCs w:val="24"/>
        </w:rPr>
      </w:pPr>
      <w:r w:rsidRPr="001157FC">
        <w:rPr>
          <w:rFonts w:ascii="Times New Roman" w:eastAsia="Times New Roman" w:hAnsi="Times New Roman"/>
          <w:sz w:val="24"/>
          <w:szCs w:val="24"/>
        </w:rPr>
        <w:t>3) for Approval of the use for Ratemaking</w:t>
      </w:r>
      <w:r w:rsidRPr="001157FC">
        <w:rPr>
          <w:rFonts w:ascii="Times New Roman" w:eastAsia="Times New Roman" w:hAnsi="Times New Roman"/>
          <w:sz w:val="24"/>
          <w:szCs w:val="24"/>
        </w:rPr>
        <w:tab/>
      </w:r>
      <w:r w:rsidRPr="001157FC">
        <w:rPr>
          <w:rFonts w:ascii="Times New Roman" w:eastAsia="Times New Roman" w:hAnsi="Times New Roman"/>
          <w:sz w:val="24"/>
          <w:szCs w:val="24"/>
        </w:rPr>
        <w:tab/>
        <w:t>:</w:t>
      </w:r>
    </w:p>
    <w:p w14:paraId="33BC7369" w14:textId="77777777" w:rsidR="001157FC" w:rsidRPr="001157FC" w:rsidRDefault="001157FC" w:rsidP="001157FC">
      <w:pPr>
        <w:autoSpaceDE w:val="0"/>
        <w:autoSpaceDN w:val="0"/>
        <w:adjustRightInd w:val="0"/>
        <w:jc w:val="both"/>
        <w:rPr>
          <w:rFonts w:ascii="Times New Roman" w:eastAsia="Times New Roman" w:hAnsi="Times New Roman"/>
          <w:sz w:val="24"/>
          <w:szCs w:val="24"/>
        </w:rPr>
      </w:pPr>
      <w:r w:rsidRPr="001157FC">
        <w:rPr>
          <w:rFonts w:ascii="Times New Roman" w:eastAsia="Times New Roman" w:hAnsi="Times New Roman"/>
          <w:sz w:val="24"/>
          <w:szCs w:val="24"/>
        </w:rPr>
        <w:t>Purposes of the Lesser Fair Market Value or the</w:t>
      </w:r>
      <w:r w:rsidRPr="001157FC">
        <w:rPr>
          <w:rFonts w:ascii="Times New Roman" w:eastAsia="Times New Roman" w:hAnsi="Times New Roman"/>
          <w:sz w:val="24"/>
          <w:szCs w:val="24"/>
        </w:rPr>
        <w:tab/>
        <w:t>:</w:t>
      </w:r>
    </w:p>
    <w:p w14:paraId="5FA44CF3" w14:textId="77777777" w:rsidR="001157FC" w:rsidRPr="001157FC" w:rsidRDefault="001157FC" w:rsidP="001157FC">
      <w:pPr>
        <w:autoSpaceDE w:val="0"/>
        <w:autoSpaceDN w:val="0"/>
        <w:adjustRightInd w:val="0"/>
        <w:jc w:val="both"/>
        <w:rPr>
          <w:rFonts w:ascii="Times New Roman" w:eastAsia="Times New Roman" w:hAnsi="Times New Roman"/>
          <w:sz w:val="24"/>
          <w:szCs w:val="24"/>
        </w:rPr>
      </w:pPr>
      <w:r w:rsidRPr="001157FC">
        <w:rPr>
          <w:rFonts w:ascii="Times New Roman" w:eastAsia="Times New Roman" w:hAnsi="Times New Roman"/>
          <w:sz w:val="24"/>
          <w:szCs w:val="24"/>
        </w:rPr>
        <w:t>Negotiated Purchase Price of the Borough of</w:t>
      </w:r>
      <w:r w:rsidRPr="001157FC">
        <w:rPr>
          <w:rFonts w:ascii="Times New Roman" w:eastAsia="Times New Roman" w:hAnsi="Times New Roman"/>
          <w:sz w:val="24"/>
          <w:szCs w:val="24"/>
        </w:rPr>
        <w:tab/>
      </w:r>
      <w:r w:rsidRPr="001157FC">
        <w:rPr>
          <w:rFonts w:ascii="Times New Roman" w:eastAsia="Times New Roman" w:hAnsi="Times New Roman"/>
          <w:sz w:val="24"/>
          <w:szCs w:val="24"/>
        </w:rPr>
        <w:tab/>
        <w:t>:</w:t>
      </w:r>
    </w:p>
    <w:p w14:paraId="3D28DCE5" w14:textId="77777777" w:rsidR="001157FC" w:rsidRPr="001157FC" w:rsidRDefault="001157FC" w:rsidP="001157FC">
      <w:pPr>
        <w:autoSpaceDE w:val="0"/>
        <w:autoSpaceDN w:val="0"/>
        <w:adjustRightInd w:val="0"/>
        <w:jc w:val="both"/>
        <w:rPr>
          <w:rFonts w:ascii="Times New Roman" w:eastAsia="Times New Roman" w:hAnsi="Times New Roman"/>
          <w:sz w:val="24"/>
          <w:szCs w:val="24"/>
        </w:rPr>
      </w:pPr>
      <w:r w:rsidRPr="001157FC">
        <w:rPr>
          <w:rFonts w:ascii="Times New Roman" w:eastAsia="Times New Roman" w:hAnsi="Times New Roman"/>
          <w:sz w:val="24"/>
          <w:szCs w:val="24"/>
        </w:rPr>
        <w:t>Kane Authority’s Assets Related to its</w:t>
      </w:r>
      <w:r w:rsidRPr="001157FC">
        <w:rPr>
          <w:rFonts w:ascii="Times New Roman" w:eastAsia="Times New Roman" w:hAnsi="Times New Roman"/>
          <w:sz w:val="24"/>
          <w:szCs w:val="24"/>
        </w:rPr>
        <w:tab/>
      </w:r>
      <w:r w:rsidRPr="001157FC">
        <w:rPr>
          <w:rFonts w:ascii="Times New Roman" w:eastAsia="Times New Roman" w:hAnsi="Times New Roman"/>
          <w:sz w:val="24"/>
          <w:szCs w:val="24"/>
        </w:rPr>
        <w:tab/>
        <w:t>:</w:t>
      </w:r>
    </w:p>
    <w:p w14:paraId="63AF1621" w14:textId="77777777" w:rsidR="001157FC" w:rsidRPr="001157FC" w:rsidRDefault="001157FC" w:rsidP="001157FC">
      <w:pPr>
        <w:autoSpaceDE w:val="0"/>
        <w:autoSpaceDN w:val="0"/>
        <w:adjustRightInd w:val="0"/>
        <w:jc w:val="both"/>
        <w:rPr>
          <w:rFonts w:ascii="Times New Roman" w:eastAsia="Times New Roman" w:hAnsi="Times New Roman"/>
          <w:spacing w:val="-3"/>
          <w:sz w:val="24"/>
          <w:szCs w:val="24"/>
        </w:rPr>
      </w:pPr>
      <w:r w:rsidRPr="001157FC">
        <w:rPr>
          <w:rFonts w:ascii="Times New Roman" w:eastAsia="Times New Roman" w:hAnsi="Times New Roman"/>
          <w:sz w:val="24"/>
          <w:szCs w:val="24"/>
        </w:rPr>
        <w:t>Wastewater Collection and Treatment System</w:t>
      </w:r>
      <w:r w:rsidRPr="001157FC">
        <w:rPr>
          <w:rFonts w:ascii="Times New Roman" w:eastAsia="Times New Roman" w:hAnsi="Times New Roman"/>
          <w:sz w:val="24"/>
          <w:szCs w:val="24"/>
        </w:rPr>
        <w:tab/>
        <w:t>:</w:t>
      </w:r>
    </w:p>
    <w:p w14:paraId="1C7748F0" w14:textId="6E920135" w:rsidR="007754BA" w:rsidRDefault="007754BA" w:rsidP="00D924AD">
      <w:pPr>
        <w:autoSpaceDE w:val="0"/>
        <w:autoSpaceDN w:val="0"/>
        <w:rPr>
          <w:rFonts w:ascii="Times New Roman" w:eastAsia="Times New Roman" w:hAnsi="Times New Roman"/>
          <w:sz w:val="24"/>
          <w:szCs w:val="24"/>
        </w:rPr>
      </w:pPr>
    </w:p>
    <w:p w14:paraId="72453D85" w14:textId="77777777" w:rsidR="00636BFB" w:rsidRDefault="00636BFB" w:rsidP="00D924AD">
      <w:pPr>
        <w:autoSpaceDE w:val="0"/>
        <w:autoSpaceDN w:val="0"/>
        <w:rPr>
          <w:rFonts w:ascii="Times New Roman" w:eastAsia="Times New Roman" w:hAnsi="Times New Roman"/>
          <w:sz w:val="24"/>
          <w:szCs w:val="24"/>
        </w:rPr>
      </w:pPr>
    </w:p>
    <w:p w14:paraId="03275046" w14:textId="77777777" w:rsidR="00866790" w:rsidRPr="00985C3A" w:rsidRDefault="00866790" w:rsidP="00D924AD">
      <w:pPr>
        <w:autoSpaceDE w:val="0"/>
        <w:autoSpaceDN w:val="0"/>
        <w:rPr>
          <w:rFonts w:ascii="Times New Roman" w:eastAsia="Times New Roman" w:hAnsi="Times New Roman"/>
          <w:sz w:val="24"/>
          <w:szCs w:val="24"/>
        </w:rPr>
      </w:pPr>
    </w:p>
    <w:p w14:paraId="48E02378" w14:textId="77777777" w:rsidR="00577603" w:rsidRPr="00985C3A" w:rsidRDefault="00577603" w:rsidP="00577603">
      <w:pPr>
        <w:jc w:val="center"/>
        <w:rPr>
          <w:rFonts w:ascii="Times New Roman" w:hAnsi="Times New Roman"/>
          <w:b/>
          <w:sz w:val="24"/>
          <w:szCs w:val="24"/>
          <w:u w:val="single"/>
        </w:rPr>
      </w:pPr>
      <w:r w:rsidRPr="00985C3A">
        <w:rPr>
          <w:rFonts w:ascii="Times New Roman" w:hAnsi="Times New Roman"/>
          <w:b/>
          <w:sz w:val="24"/>
          <w:szCs w:val="24"/>
          <w:u w:val="single"/>
        </w:rPr>
        <w:t>ORDER</w:t>
      </w:r>
    </w:p>
    <w:p w14:paraId="59BD81A4" w14:textId="6B8EE0E8" w:rsidR="00577603" w:rsidRDefault="00577603" w:rsidP="00577603">
      <w:pPr>
        <w:jc w:val="center"/>
        <w:rPr>
          <w:rFonts w:ascii="Times New Roman" w:hAnsi="Times New Roman"/>
          <w:sz w:val="24"/>
          <w:szCs w:val="24"/>
        </w:rPr>
      </w:pPr>
    </w:p>
    <w:p w14:paraId="5623629E" w14:textId="77777777" w:rsidR="00CF786A" w:rsidRPr="00985C3A" w:rsidRDefault="00CF786A" w:rsidP="00577603">
      <w:pPr>
        <w:jc w:val="center"/>
        <w:rPr>
          <w:rFonts w:ascii="Times New Roman" w:hAnsi="Times New Roman"/>
          <w:sz w:val="24"/>
          <w:szCs w:val="24"/>
        </w:rPr>
      </w:pPr>
    </w:p>
    <w:p w14:paraId="268B32C6" w14:textId="77777777" w:rsidR="00577603" w:rsidRPr="00985C3A" w:rsidRDefault="00577603" w:rsidP="00CC03F5">
      <w:pPr>
        <w:spacing w:line="360" w:lineRule="auto"/>
        <w:rPr>
          <w:rFonts w:ascii="Times New Roman" w:hAnsi="Times New Roman"/>
          <w:sz w:val="24"/>
          <w:szCs w:val="24"/>
        </w:rPr>
      </w:pPr>
      <w:r w:rsidRPr="00985C3A">
        <w:rPr>
          <w:rFonts w:ascii="Times New Roman" w:hAnsi="Times New Roman"/>
          <w:sz w:val="24"/>
          <w:szCs w:val="24"/>
        </w:rPr>
        <w:tab/>
        <w:t>BY THE COMMISSION:</w:t>
      </w:r>
    </w:p>
    <w:p w14:paraId="45279492" w14:textId="77777777" w:rsidR="00577603" w:rsidRPr="00985C3A" w:rsidRDefault="00577603" w:rsidP="00CC03F5">
      <w:pPr>
        <w:spacing w:line="360" w:lineRule="auto"/>
        <w:rPr>
          <w:rFonts w:ascii="Times New Roman" w:hAnsi="Times New Roman"/>
          <w:sz w:val="24"/>
          <w:szCs w:val="24"/>
        </w:rPr>
      </w:pPr>
    </w:p>
    <w:p w14:paraId="1A7B7930" w14:textId="1B2730DF" w:rsidR="006A62FB" w:rsidRPr="00985C3A" w:rsidRDefault="00577603" w:rsidP="00304E75">
      <w:pPr>
        <w:spacing w:line="360" w:lineRule="auto"/>
        <w:jc w:val="both"/>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t>We adopt as our action the</w:t>
      </w:r>
      <w:r w:rsidR="009C1616" w:rsidRPr="00985C3A">
        <w:rPr>
          <w:rFonts w:ascii="Times New Roman" w:hAnsi="Times New Roman"/>
          <w:sz w:val="24"/>
          <w:szCs w:val="24"/>
        </w:rPr>
        <w:t xml:space="preserve"> </w:t>
      </w:r>
      <w:r w:rsidR="00092AAB">
        <w:rPr>
          <w:rFonts w:ascii="Times New Roman" w:hAnsi="Times New Roman"/>
          <w:sz w:val="24"/>
          <w:szCs w:val="24"/>
        </w:rPr>
        <w:t>Reco</w:t>
      </w:r>
      <w:r w:rsidR="0016568A">
        <w:rPr>
          <w:rFonts w:ascii="Times New Roman" w:hAnsi="Times New Roman"/>
          <w:sz w:val="24"/>
          <w:szCs w:val="24"/>
        </w:rPr>
        <w:t>mmended</w:t>
      </w:r>
      <w:r w:rsidR="001C57AF">
        <w:rPr>
          <w:rFonts w:ascii="Times New Roman" w:hAnsi="Times New Roman"/>
          <w:sz w:val="24"/>
          <w:szCs w:val="24"/>
        </w:rPr>
        <w:t xml:space="preserve"> </w:t>
      </w:r>
      <w:r w:rsidRPr="00985C3A">
        <w:rPr>
          <w:rFonts w:ascii="Times New Roman" w:hAnsi="Times New Roman"/>
          <w:sz w:val="24"/>
          <w:szCs w:val="24"/>
        </w:rPr>
        <w:t>Decision</w:t>
      </w:r>
      <w:r w:rsidR="00F51D00" w:rsidRPr="00985C3A">
        <w:rPr>
          <w:rFonts w:ascii="Times New Roman" w:hAnsi="Times New Roman"/>
          <w:sz w:val="24"/>
          <w:szCs w:val="24"/>
        </w:rPr>
        <w:t xml:space="preserve"> </w:t>
      </w:r>
      <w:r w:rsidR="00105726">
        <w:rPr>
          <w:rFonts w:ascii="Times New Roman" w:hAnsi="Times New Roman"/>
          <w:sz w:val="24"/>
          <w:szCs w:val="24"/>
        </w:rPr>
        <w:t>of</w:t>
      </w:r>
      <w:r w:rsidR="00F26165">
        <w:rPr>
          <w:rFonts w:ascii="Times New Roman" w:hAnsi="Times New Roman"/>
          <w:sz w:val="24"/>
          <w:szCs w:val="24"/>
        </w:rPr>
        <w:t xml:space="preserve"> D</w:t>
      </w:r>
      <w:r w:rsidR="0023117C">
        <w:rPr>
          <w:rFonts w:ascii="Times New Roman" w:hAnsi="Times New Roman"/>
          <w:sz w:val="24"/>
          <w:szCs w:val="24"/>
        </w:rPr>
        <w:t xml:space="preserve">eputy </w:t>
      </w:r>
      <w:r w:rsidR="00F26165">
        <w:rPr>
          <w:rFonts w:ascii="Times New Roman" w:hAnsi="Times New Roman"/>
          <w:sz w:val="24"/>
          <w:szCs w:val="24"/>
        </w:rPr>
        <w:t>C</w:t>
      </w:r>
      <w:r w:rsidR="0023117C">
        <w:rPr>
          <w:rFonts w:ascii="Times New Roman" w:hAnsi="Times New Roman"/>
          <w:sz w:val="24"/>
          <w:szCs w:val="24"/>
        </w:rPr>
        <w:t>hief</w:t>
      </w:r>
      <w:r w:rsidR="00D266D4">
        <w:rPr>
          <w:rFonts w:ascii="Times New Roman" w:hAnsi="Times New Roman"/>
          <w:sz w:val="24"/>
          <w:szCs w:val="24"/>
        </w:rPr>
        <w:t xml:space="preserve"> </w:t>
      </w:r>
      <w:r w:rsidR="004A242C">
        <w:rPr>
          <w:rFonts w:ascii="Times New Roman" w:hAnsi="Times New Roman"/>
          <w:sz w:val="24"/>
          <w:szCs w:val="24"/>
        </w:rPr>
        <w:t>ALJ</w:t>
      </w:r>
      <w:r w:rsidR="00866790">
        <w:rPr>
          <w:rFonts w:ascii="Times New Roman" w:hAnsi="Times New Roman"/>
          <w:sz w:val="24"/>
          <w:szCs w:val="24"/>
        </w:rPr>
        <w:t xml:space="preserve"> </w:t>
      </w:r>
      <w:r w:rsidR="00AB6951">
        <w:rPr>
          <w:rFonts w:ascii="Times New Roman" w:hAnsi="Times New Roman"/>
          <w:sz w:val="24"/>
          <w:szCs w:val="24"/>
        </w:rPr>
        <w:t>Joel H. Cheskis</w:t>
      </w:r>
      <w:r w:rsidR="002922C8">
        <w:rPr>
          <w:rFonts w:ascii="Times New Roman" w:hAnsi="Times New Roman"/>
          <w:sz w:val="24"/>
          <w:szCs w:val="24"/>
        </w:rPr>
        <w:t xml:space="preserve">, </w:t>
      </w:r>
      <w:r w:rsidR="00E17242" w:rsidRPr="00985C3A">
        <w:rPr>
          <w:rFonts w:ascii="Times New Roman" w:hAnsi="Times New Roman"/>
          <w:sz w:val="24"/>
          <w:szCs w:val="24"/>
        </w:rPr>
        <w:t xml:space="preserve">dated </w:t>
      </w:r>
      <w:r w:rsidR="009149C7">
        <w:rPr>
          <w:rFonts w:ascii="Times New Roman" w:hAnsi="Times New Roman"/>
          <w:sz w:val="24"/>
          <w:szCs w:val="24"/>
        </w:rPr>
        <w:t>May 7</w:t>
      </w:r>
      <w:r w:rsidR="004A242C">
        <w:rPr>
          <w:rFonts w:ascii="Times New Roman" w:hAnsi="Times New Roman"/>
          <w:sz w:val="24"/>
          <w:szCs w:val="24"/>
        </w:rPr>
        <w:t>, 2020</w:t>
      </w:r>
      <w:r w:rsidRPr="00985C3A">
        <w:rPr>
          <w:rFonts w:ascii="Times New Roman" w:hAnsi="Times New Roman"/>
          <w:sz w:val="24"/>
          <w:szCs w:val="24"/>
        </w:rPr>
        <w:t>;</w:t>
      </w:r>
      <w:r w:rsidR="00C403E2" w:rsidRPr="00985C3A">
        <w:rPr>
          <w:rFonts w:ascii="Times New Roman" w:hAnsi="Times New Roman"/>
          <w:sz w:val="24"/>
          <w:szCs w:val="24"/>
        </w:rPr>
        <w:t xml:space="preserve">  </w:t>
      </w:r>
    </w:p>
    <w:p w14:paraId="59472DB7" w14:textId="77777777" w:rsidR="002F22C8" w:rsidRDefault="002F22C8" w:rsidP="00304E75">
      <w:pPr>
        <w:spacing w:line="360" w:lineRule="auto"/>
        <w:ind w:firstLine="720"/>
        <w:jc w:val="both"/>
        <w:rPr>
          <w:rFonts w:ascii="Times New Roman" w:hAnsi="Times New Roman"/>
          <w:sz w:val="24"/>
          <w:szCs w:val="24"/>
        </w:rPr>
        <w:sectPr w:rsidR="002F22C8" w:rsidSect="002F22C8">
          <w:footerReference w:type="default" r:id="rId11"/>
          <w:footerReference w:type="first" r:id="rId12"/>
          <w:pgSz w:w="12240" w:h="15840" w:code="1"/>
          <w:pgMar w:top="1296" w:right="1440" w:bottom="1296" w:left="1440" w:header="720" w:footer="720" w:gutter="0"/>
          <w:cols w:space="720"/>
          <w:titlePg/>
          <w:docGrid w:linePitch="360"/>
        </w:sectPr>
      </w:pPr>
    </w:p>
    <w:p w14:paraId="1F6ED8D9" w14:textId="0B3FD69E" w:rsidR="00577603" w:rsidRPr="00985C3A" w:rsidRDefault="0040069D" w:rsidP="00304E75">
      <w:pPr>
        <w:spacing w:line="360" w:lineRule="auto"/>
        <w:ind w:firstLine="720"/>
        <w:jc w:val="both"/>
        <w:rPr>
          <w:rFonts w:ascii="Times New Roman" w:hAnsi="Times New Roman"/>
          <w:sz w:val="24"/>
          <w:szCs w:val="24"/>
        </w:rPr>
      </w:pPr>
      <w:r w:rsidRPr="00985C3A">
        <w:rPr>
          <w:rFonts w:ascii="Times New Roman" w:hAnsi="Times New Roman"/>
          <w:sz w:val="24"/>
          <w:szCs w:val="24"/>
        </w:rPr>
        <w:lastRenderedPageBreak/>
        <w:t>T</w:t>
      </w:r>
      <w:r w:rsidR="00577603" w:rsidRPr="00985C3A">
        <w:rPr>
          <w:rFonts w:ascii="Times New Roman" w:hAnsi="Times New Roman"/>
          <w:sz w:val="24"/>
          <w:szCs w:val="24"/>
        </w:rPr>
        <w:t>HEREFORE,</w:t>
      </w:r>
    </w:p>
    <w:p w14:paraId="7A81AE95" w14:textId="77777777" w:rsidR="00577603" w:rsidRPr="00985C3A" w:rsidRDefault="00577603" w:rsidP="00304E75">
      <w:pPr>
        <w:spacing w:line="360" w:lineRule="auto"/>
        <w:jc w:val="both"/>
        <w:rPr>
          <w:rFonts w:ascii="Times New Roman" w:hAnsi="Times New Roman"/>
          <w:sz w:val="24"/>
          <w:szCs w:val="24"/>
        </w:rPr>
      </w:pPr>
    </w:p>
    <w:p w14:paraId="5C137B58" w14:textId="23CF9171" w:rsidR="0018257D" w:rsidRPr="00985C3A" w:rsidRDefault="00577603" w:rsidP="00304E75">
      <w:pPr>
        <w:spacing w:line="360" w:lineRule="auto"/>
        <w:jc w:val="both"/>
        <w:rPr>
          <w:rFonts w:ascii="Times New Roman" w:hAnsi="Times New Roman"/>
          <w:sz w:val="24"/>
          <w:szCs w:val="24"/>
        </w:rPr>
      </w:pPr>
      <w:r w:rsidRPr="00985C3A">
        <w:rPr>
          <w:rFonts w:ascii="Times New Roman" w:hAnsi="Times New Roman"/>
          <w:sz w:val="24"/>
          <w:szCs w:val="24"/>
        </w:rPr>
        <w:tab/>
        <w:t>IT IS ORDERED:</w:t>
      </w:r>
    </w:p>
    <w:p w14:paraId="6D0B6627" w14:textId="695AD8A8" w:rsidR="0042537E" w:rsidRPr="00985C3A" w:rsidRDefault="0042537E" w:rsidP="00BB4BD0">
      <w:pPr>
        <w:spacing w:line="360" w:lineRule="auto"/>
        <w:jc w:val="both"/>
        <w:rPr>
          <w:rFonts w:ascii="Times New Roman" w:hAnsi="Times New Roman"/>
          <w:sz w:val="24"/>
          <w:szCs w:val="24"/>
        </w:rPr>
      </w:pPr>
    </w:p>
    <w:p w14:paraId="2F5AB2D9" w14:textId="77777777" w:rsidR="006A6C78" w:rsidRPr="006A6C78" w:rsidRDefault="006A6C78" w:rsidP="00BB4BD0">
      <w:pPr>
        <w:numPr>
          <w:ilvl w:val="0"/>
          <w:numId w:val="33"/>
        </w:numPr>
        <w:autoSpaceDE w:val="0"/>
        <w:autoSpaceDN w:val="0"/>
        <w:spacing w:line="360" w:lineRule="auto"/>
        <w:ind w:left="0" w:firstLine="1440"/>
        <w:jc w:val="both"/>
        <w:rPr>
          <w:rFonts w:ascii="Times New Roman" w:eastAsia="Times New Roman" w:hAnsi="Times New Roman"/>
          <w:sz w:val="24"/>
          <w:szCs w:val="24"/>
        </w:rPr>
      </w:pPr>
      <w:r w:rsidRPr="006A6C78">
        <w:rPr>
          <w:rFonts w:ascii="Times New Roman" w:eastAsia="Times New Roman" w:hAnsi="Times New Roman"/>
          <w:sz w:val="24"/>
          <w:szCs w:val="24"/>
        </w:rPr>
        <w:t>That the Joint Petition for Approval of Settlement of All Issues, submitted by Pennsylvania-American Water Company, the Office of Consumer Advocate, and the Borough of Kane Authority on April 17, 2020, including all terms and conditions thereof, is approved without modification.</w:t>
      </w:r>
    </w:p>
    <w:p w14:paraId="458C03A7" w14:textId="77777777" w:rsidR="006A6C78" w:rsidRPr="006A6C78" w:rsidRDefault="006A6C78" w:rsidP="00BB4BD0">
      <w:pPr>
        <w:autoSpaceDE w:val="0"/>
        <w:autoSpaceDN w:val="0"/>
        <w:spacing w:line="360" w:lineRule="auto"/>
        <w:ind w:left="1440"/>
        <w:jc w:val="both"/>
        <w:rPr>
          <w:rFonts w:ascii="Times New Roman" w:eastAsia="Times New Roman" w:hAnsi="Times New Roman"/>
          <w:sz w:val="24"/>
          <w:szCs w:val="24"/>
        </w:rPr>
      </w:pPr>
    </w:p>
    <w:p w14:paraId="2774E8D3" w14:textId="77777777" w:rsidR="006A6C78" w:rsidRPr="006A6C78" w:rsidRDefault="006A6C78" w:rsidP="00BB4BD0">
      <w:pPr>
        <w:numPr>
          <w:ilvl w:val="0"/>
          <w:numId w:val="33"/>
        </w:numPr>
        <w:autoSpaceDE w:val="0"/>
        <w:autoSpaceDN w:val="0"/>
        <w:spacing w:line="360" w:lineRule="auto"/>
        <w:ind w:left="0" w:firstLine="1440"/>
        <w:jc w:val="both"/>
        <w:rPr>
          <w:rFonts w:ascii="Times New Roman" w:eastAsia="Times New Roman" w:hAnsi="Times New Roman"/>
          <w:sz w:val="24"/>
          <w:szCs w:val="24"/>
        </w:rPr>
      </w:pPr>
      <w:r w:rsidRPr="006A6C78">
        <w:rPr>
          <w:rFonts w:ascii="Times New Roman" w:eastAsia="Times New Roman" w:hAnsi="Times New Roman"/>
          <w:sz w:val="24"/>
          <w:szCs w:val="24"/>
        </w:rPr>
        <w:t>That Joint Stipulation for the Admission of Evidence agreed to by all the parties and submitted on April 17, 2020 is hereby approved and the parties are directed to provide two copies of the pre-served testimony identified in the stipulation to the Commission’s Secretary’s Bureau for inclusion in the official file of this proceeding.</w:t>
      </w:r>
    </w:p>
    <w:p w14:paraId="4B14A13F" w14:textId="77777777" w:rsidR="006A6C78" w:rsidRPr="006A6C78" w:rsidRDefault="006A6C78" w:rsidP="00BB4BD0">
      <w:pPr>
        <w:autoSpaceDE w:val="0"/>
        <w:autoSpaceDN w:val="0"/>
        <w:spacing w:line="360" w:lineRule="auto"/>
        <w:ind w:left="720"/>
        <w:contextualSpacing/>
        <w:jc w:val="both"/>
        <w:rPr>
          <w:rFonts w:ascii="Times New Roman" w:eastAsia="Times New Roman" w:hAnsi="Times New Roman"/>
          <w:sz w:val="24"/>
          <w:szCs w:val="24"/>
        </w:rPr>
      </w:pPr>
    </w:p>
    <w:p w14:paraId="717AC95F" w14:textId="77777777" w:rsidR="006A6C78" w:rsidRPr="006A6C78" w:rsidRDefault="006A6C78" w:rsidP="00BB4BD0">
      <w:pPr>
        <w:numPr>
          <w:ilvl w:val="0"/>
          <w:numId w:val="33"/>
        </w:numPr>
        <w:autoSpaceDE w:val="0"/>
        <w:autoSpaceDN w:val="0"/>
        <w:spacing w:line="360" w:lineRule="auto"/>
        <w:ind w:left="0" w:firstLine="1440"/>
        <w:jc w:val="both"/>
        <w:rPr>
          <w:rFonts w:ascii="Times New Roman" w:eastAsia="Times New Roman" w:hAnsi="Times New Roman"/>
          <w:sz w:val="24"/>
          <w:szCs w:val="24"/>
        </w:rPr>
      </w:pPr>
      <w:r w:rsidRPr="006A6C78">
        <w:rPr>
          <w:rFonts w:ascii="Times New Roman" w:eastAsia="Times New Roman" w:hAnsi="Times New Roman"/>
          <w:sz w:val="24"/>
          <w:szCs w:val="24"/>
        </w:rPr>
        <w:t>That Joint Exhibit 1, which consists of all the public comments submitted in response to the published notices of the Application and individualized customer notices to customers of PAWC (both water and wastewater) and Kane and dated April 17, 2020, is hereby approved and the parties are directed to provide two copies of the exhibit to the Commission’s Secretary’s Bureau for inclusion in the official file of this proceeding.</w:t>
      </w:r>
    </w:p>
    <w:p w14:paraId="0E8C3966" w14:textId="77777777" w:rsidR="006A6C78" w:rsidRPr="006A6C78" w:rsidRDefault="006A6C78" w:rsidP="00BB4BD0">
      <w:pPr>
        <w:autoSpaceDE w:val="0"/>
        <w:autoSpaceDN w:val="0"/>
        <w:spacing w:line="360" w:lineRule="auto"/>
        <w:ind w:firstLine="1440"/>
        <w:jc w:val="both"/>
        <w:rPr>
          <w:rFonts w:ascii="Times New Roman" w:eastAsia="Times New Roman" w:hAnsi="Times New Roman"/>
          <w:sz w:val="24"/>
          <w:szCs w:val="24"/>
        </w:rPr>
      </w:pPr>
    </w:p>
    <w:p w14:paraId="3482C982" w14:textId="77777777" w:rsidR="006A6C78" w:rsidRPr="006A6C78" w:rsidRDefault="006A6C78" w:rsidP="00BB4BD0">
      <w:pPr>
        <w:numPr>
          <w:ilvl w:val="0"/>
          <w:numId w:val="33"/>
        </w:numPr>
        <w:autoSpaceDE w:val="0"/>
        <w:autoSpaceDN w:val="0"/>
        <w:spacing w:line="360" w:lineRule="auto"/>
        <w:ind w:left="0" w:firstLine="1440"/>
        <w:jc w:val="both"/>
        <w:rPr>
          <w:rFonts w:ascii="Times New Roman" w:eastAsia="Times New Roman" w:hAnsi="Times New Roman"/>
          <w:sz w:val="24"/>
          <w:szCs w:val="24"/>
        </w:rPr>
      </w:pPr>
      <w:r w:rsidRPr="006A6C78">
        <w:rPr>
          <w:rFonts w:ascii="Times New Roman" w:eastAsia="Times New Roman" w:hAnsi="Times New Roman"/>
          <w:sz w:val="24"/>
          <w:szCs w:val="24"/>
        </w:rPr>
        <w:t>That the Application filed by PAWC on December 2, 2019, and amended on December 6, 2019, is approved.</w:t>
      </w:r>
    </w:p>
    <w:p w14:paraId="187956B2" w14:textId="77777777" w:rsidR="006A6C78" w:rsidRPr="006A6C78" w:rsidRDefault="006A6C78" w:rsidP="00BB4BD0">
      <w:pPr>
        <w:autoSpaceDE w:val="0"/>
        <w:autoSpaceDN w:val="0"/>
        <w:spacing w:line="360" w:lineRule="auto"/>
        <w:ind w:firstLine="1440"/>
        <w:jc w:val="both"/>
        <w:rPr>
          <w:rFonts w:ascii="Times New Roman" w:eastAsia="Times New Roman" w:hAnsi="Times New Roman"/>
          <w:sz w:val="24"/>
          <w:szCs w:val="24"/>
        </w:rPr>
      </w:pPr>
    </w:p>
    <w:p w14:paraId="01FFB5AC" w14:textId="77777777" w:rsidR="006A6C78" w:rsidRPr="006A6C78" w:rsidRDefault="006A6C78" w:rsidP="00BB4BD0">
      <w:pPr>
        <w:numPr>
          <w:ilvl w:val="0"/>
          <w:numId w:val="33"/>
        </w:numPr>
        <w:autoSpaceDE w:val="0"/>
        <w:autoSpaceDN w:val="0"/>
        <w:spacing w:line="360" w:lineRule="auto"/>
        <w:ind w:left="0" w:firstLine="1440"/>
        <w:jc w:val="both"/>
        <w:rPr>
          <w:rFonts w:ascii="Times New Roman" w:eastAsia="Times New Roman" w:hAnsi="Times New Roman"/>
          <w:sz w:val="24"/>
          <w:szCs w:val="24"/>
        </w:rPr>
      </w:pPr>
      <w:r w:rsidRPr="006A6C78">
        <w:rPr>
          <w:rFonts w:ascii="Times New Roman" w:eastAsia="Times New Roman" w:hAnsi="Times New Roman"/>
          <w:sz w:val="24"/>
          <w:szCs w:val="24"/>
        </w:rPr>
        <w:t>That the Commission’s Secretary’s Bureau shall issue Certificates of Public Convenience under 66 Pa. C.S. §§ 1102(a) and 1103(a) evidencing Commission approval of:  (i) the transfer, by sale, of the Authority’s assets, properties and rights related to its wastewater collection and treatment system to PAWC as provided in the Application, and (ii) PAWC’s right to begin to offer, render, furnish and supply wastewater collection and treatment service in the areas served by the Authority as indicated in the Application.</w:t>
      </w:r>
    </w:p>
    <w:p w14:paraId="49E93424" w14:textId="77777777" w:rsidR="006A6C78" w:rsidRPr="006A6C78" w:rsidRDefault="006A6C78" w:rsidP="00BB4BD0">
      <w:pPr>
        <w:autoSpaceDE w:val="0"/>
        <w:autoSpaceDN w:val="0"/>
        <w:spacing w:line="360" w:lineRule="auto"/>
        <w:ind w:firstLine="1440"/>
        <w:jc w:val="both"/>
        <w:rPr>
          <w:rFonts w:ascii="Times New Roman" w:eastAsia="Times New Roman" w:hAnsi="Times New Roman"/>
          <w:sz w:val="24"/>
          <w:szCs w:val="24"/>
        </w:rPr>
      </w:pPr>
    </w:p>
    <w:p w14:paraId="12822CD0" w14:textId="77777777" w:rsidR="006A6C78" w:rsidRPr="006A6C78" w:rsidRDefault="006A6C78" w:rsidP="00BB4BD0">
      <w:pPr>
        <w:numPr>
          <w:ilvl w:val="0"/>
          <w:numId w:val="33"/>
        </w:numPr>
        <w:autoSpaceDE w:val="0"/>
        <w:autoSpaceDN w:val="0"/>
        <w:spacing w:line="360" w:lineRule="auto"/>
        <w:ind w:left="0" w:firstLine="1440"/>
        <w:jc w:val="both"/>
        <w:rPr>
          <w:rFonts w:ascii="Times New Roman" w:eastAsia="Times New Roman" w:hAnsi="Times New Roman"/>
          <w:sz w:val="24"/>
          <w:szCs w:val="24"/>
        </w:rPr>
      </w:pPr>
      <w:r w:rsidRPr="006A6C78">
        <w:rPr>
          <w:rFonts w:ascii="Times New Roman" w:eastAsia="Times New Roman" w:hAnsi="Times New Roman"/>
          <w:sz w:val="24"/>
          <w:szCs w:val="24"/>
        </w:rPr>
        <w:lastRenderedPageBreak/>
        <w:t xml:space="preserve">That PAWC, upon closing of the Transaction, shall issue a compliance tariff supplement, consistent with the </w:t>
      </w:r>
      <w:r w:rsidRPr="006A6C78">
        <w:rPr>
          <w:rFonts w:ascii="Times New Roman" w:eastAsia="Times New Roman" w:hAnsi="Times New Roman"/>
          <w:i/>
          <w:sz w:val="24"/>
          <w:szCs w:val="24"/>
        </w:rPr>
        <w:t xml:space="preserve">pro forma </w:t>
      </w:r>
      <w:r w:rsidRPr="006A6C78">
        <w:rPr>
          <w:rFonts w:ascii="Times New Roman" w:eastAsia="Times New Roman" w:hAnsi="Times New Roman"/>
          <w:sz w:val="24"/>
          <w:szCs w:val="24"/>
        </w:rPr>
        <w:t xml:space="preserve">tariff supplement attached to the Application as </w:t>
      </w:r>
      <w:r w:rsidRPr="006A6C78">
        <w:rPr>
          <w:rFonts w:ascii="Times New Roman" w:eastAsia="Times New Roman" w:hAnsi="Times New Roman"/>
          <w:b/>
          <w:sz w:val="24"/>
          <w:szCs w:val="24"/>
        </w:rPr>
        <w:t>Appendix A-12</w:t>
      </w:r>
      <w:r w:rsidRPr="006A6C78">
        <w:rPr>
          <w:rFonts w:ascii="Times New Roman" w:eastAsia="Times New Roman" w:hAnsi="Times New Roman"/>
          <w:sz w:val="24"/>
          <w:szCs w:val="24"/>
        </w:rPr>
        <w:t>, to be effective upon closing of the Transaction.</w:t>
      </w:r>
    </w:p>
    <w:p w14:paraId="26FDE8FA" w14:textId="77777777" w:rsidR="006A6C78" w:rsidRPr="006A6C78" w:rsidRDefault="006A6C78" w:rsidP="00BB4BD0">
      <w:pPr>
        <w:autoSpaceDE w:val="0"/>
        <w:autoSpaceDN w:val="0"/>
        <w:spacing w:line="360" w:lineRule="auto"/>
        <w:ind w:firstLine="1440"/>
        <w:jc w:val="both"/>
        <w:rPr>
          <w:rFonts w:ascii="Times New Roman" w:eastAsia="Times New Roman" w:hAnsi="Times New Roman"/>
          <w:sz w:val="24"/>
          <w:szCs w:val="24"/>
        </w:rPr>
      </w:pPr>
    </w:p>
    <w:p w14:paraId="75DF883F" w14:textId="77777777" w:rsidR="006A6C78" w:rsidRPr="006A6C78" w:rsidRDefault="006A6C78" w:rsidP="00BB4BD0">
      <w:pPr>
        <w:numPr>
          <w:ilvl w:val="0"/>
          <w:numId w:val="33"/>
        </w:numPr>
        <w:autoSpaceDE w:val="0"/>
        <w:autoSpaceDN w:val="0"/>
        <w:spacing w:line="360" w:lineRule="auto"/>
        <w:ind w:left="0" w:firstLine="1440"/>
        <w:jc w:val="both"/>
        <w:rPr>
          <w:rFonts w:ascii="Times New Roman" w:eastAsia="Times New Roman" w:hAnsi="Times New Roman"/>
          <w:sz w:val="24"/>
          <w:szCs w:val="24"/>
        </w:rPr>
      </w:pPr>
      <w:r w:rsidRPr="006A6C78">
        <w:rPr>
          <w:rFonts w:ascii="Times New Roman" w:eastAsia="Times New Roman" w:hAnsi="Times New Roman"/>
          <w:sz w:val="24"/>
          <w:szCs w:val="24"/>
        </w:rPr>
        <w:t>That, pursuant to 66 Pa. C.S. § 1329(c), the Commission approves a rate base addition of $17,560,000 associated with the acquisition of the System.</w:t>
      </w:r>
    </w:p>
    <w:p w14:paraId="1B7AD964" w14:textId="77777777" w:rsidR="006A6C78" w:rsidRPr="006A6C78" w:rsidRDefault="006A6C78" w:rsidP="00BB4BD0">
      <w:pPr>
        <w:autoSpaceDE w:val="0"/>
        <w:autoSpaceDN w:val="0"/>
        <w:spacing w:line="360" w:lineRule="auto"/>
        <w:ind w:firstLine="1440"/>
        <w:jc w:val="both"/>
        <w:rPr>
          <w:rFonts w:ascii="Times New Roman" w:eastAsia="Times New Roman" w:hAnsi="Times New Roman"/>
          <w:sz w:val="24"/>
          <w:szCs w:val="24"/>
        </w:rPr>
      </w:pPr>
    </w:p>
    <w:p w14:paraId="52F29896" w14:textId="77777777" w:rsidR="006A6C78" w:rsidRPr="006A6C78" w:rsidRDefault="006A6C78" w:rsidP="00BB4BD0">
      <w:pPr>
        <w:numPr>
          <w:ilvl w:val="0"/>
          <w:numId w:val="33"/>
        </w:numPr>
        <w:autoSpaceDE w:val="0"/>
        <w:autoSpaceDN w:val="0"/>
        <w:spacing w:line="360" w:lineRule="auto"/>
        <w:ind w:left="0" w:firstLine="1440"/>
        <w:jc w:val="both"/>
        <w:rPr>
          <w:rFonts w:ascii="Times New Roman" w:eastAsia="Times New Roman" w:hAnsi="Times New Roman"/>
          <w:sz w:val="24"/>
          <w:szCs w:val="24"/>
        </w:rPr>
      </w:pPr>
      <w:r w:rsidRPr="006A6C78">
        <w:rPr>
          <w:rFonts w:ascii="Times New Roman" w:eastAsia="Times New Roman" w:hAnsi="Times New Roman"/>
          <w:sz w:val="24"/>
          <w:szCs w:val="24"/>
        </w:rPr>
        <w:t>That, although the parties may present adjustments and oppose adjustments to appraisals in future cases, for purposes of this proceeding, the Commission accepts the following adjustments:</w:t>
      </w:r>
    </w:p>
    <w:p w14:paraId="3FD4825E" w14:textId="77777777" w:rsidR="006A6C78" w:rsidRPr="006A6C78" w:rsidRDefault="006A6C78" w:rsidP="006A6C78">
      <w:pPr>
        <w:autoSpaceDE w:val="0"/>
        <w:autoSpaceDN w:val="0"/>
        <w:ind w:left="720"/>
        <w:rPr>
          <w:rFonts w:ascii="Times New Roman" w:eastAsia="Times New Roman" w:hAnsi="Times New Roman"/>
          <w:sz w:val="24"/>
          <w:szCs w:val="24"/>
        </w:rPr>
      </w:pPr>
    </w:p>
    <w:p w14:paraId="569A1BC0" w14:textId="77777777" w:rsidR="006A6C78" w:rsidRPr="006A6C78" w:rsidRDefault="006A6C78" w:rsidP="004606F2">
      <w:pPr>
        <w:autoSpaceDE w:val="0"/>
        <w:autoSpaceDN w:val="0"/>
        <w:ind w:left="720"/>
        <w:jc w:val="both"/>
        <w:rPr>
          <w:rFonts w:ascii="Times New Roman" w:eastAsia="Times New Roman" w:hAnsi="Times New Roman"/>
          <w:sz w:val="24"/>
          <w:szCs w:val="24"/>
        </w:rPr>
      </w:pPr>
      <w:r w:rsidRPr="006A6C78">
        <w:rPr>
          <w:rFonts w:ascii="Times New Roman" w:eastAsia="Times New Roman" w:hAnsi="Times New Roman"/>
          <w:sz w:val="24"/>
          <w:szCs w:val="24"/>
        </w:rPr>
        <w:tab/>
      </w:r>
      <w:r w:rsidRPr="006A6C78">
        <w:rPr>
          <w:rFonts w:ascii="Times New Roman" w:eastAsia="Times New Roman" w:hAnsi="Times New Roman"/>
          <w:sz w:val="24"/>
          <w:szCs w:val="24"/>
        </w:rPr>
        <w:tab/>
        <w:t>(1)</w:t>
      </w:r>
      <w:r w:rsidRPr="006A6C78">
        <w:rPr>
          <w:rFonts w:ascii="Times New Roman" w:eastAsia="Times New Roman" w:hAnsi="Times New Roman"/>
          <w:sz w:val="24"/>
          <w:szCs w:val="24"/>
        </w:rPr>
        <w:tab/>
        <w:t>Market Approach:  If “comparable acquisitions” are used in determining market value, the proxy group will include all Section 1329 acquisitions for which the Commission has entered a final order.</w:t>
      </w:r>
    </w:p>
    <w:p w14:paraId="71277927" w14:textId="77777777" w:rsidR="006A6C78" w:rsidRPr="006A6C78" w:rsidRDefault="006A6C78" w:rsidP="004606F2">
      <w:pPr>
        <w:autoSpaceDE w:val="0"/>
        <w:autoSpaceDN w:val="0"/>
        <w:ind w:left="720"/>
        <w:jc w:val="both"/>
        <w:rPr>
          <w:rFonts w:ascii="Times New Roman" w:eastAsia="Times New Roman" w:hAnsi="Times New Roman"/>
          <w:sz w:val="24"/>
          <w:szCs w:val="24"/>
        </w:rPr>
      </w:pPr>
    </w:p>
    <w:p w14:paraId="125FB64C" w14:textId="77777777" w:rsidR="006A6C78" w:rsidRPr="006A6C78" w:rsidRDefault="006A6C78" w:rsidP="004606F2">
      <w:pPr>
        <w:autoSpaceDE w:val="0"/>
        <w:autoSpaceDN w:val="0"/>
        <w:ind w:left="720"/>
        <w:jc w:val="both"/>
        <w:rPr>
          <w:rFonts w:ascii="Times New Roman" w:eastAsia="Times New Roman" w:hAnsi="Times New Roman"/>
          <w:sz w:val="24"/>
          <w:szCs w:val="24"/>
        </w:rPr>
      </w:pPr>
      <w:r w:rsidRPr="006A6C78">
        <w:rPr>
          <w:rFonts w:ascii="Times New Roman" w:eastAsia="Times New Roman" w:hAnsi="Times New Roman"/>
          <w:sz w:val="24"/>
          <w:szCs w:val="24"/>
        </w:rPr>
        <w:tab/>
      </w:r>
      <w:r w:rsidRPr="006A6C78">
        <w:rPr>
          <w:rFonts w:ascii="Times New Roman" w:eastAsia="Times New Roman" w:hAnsi="Times New Roman"/>
          <w:sz w:val="24"/>
          <w:szCs w:val="24"/>
        </w:rPr>
        <w:tab/>
        <w:t>(2)</w:t>
      </w:r>
      <w:r w:rsidRPr="006A6C78">
        <w:rPr>
          <w:rFonts w:ascii="Times New Roman" w:eastAsia="Times New Roman" w:hAnsi="Times New Roman"/>
          <w:sz w:val="24"/>
          <w:szCs w:val="24"/>
        </w:rPr>
        <w:tab/>
        <w:t>Cost Approach:  If the reproduction cost methodology is used, valuation of the collection mains will not be treated differently or as a special circumstance unless reasonably justified.</w:t>
      </w:r>
    </w:p>
    <w:p w14:paraId="7CE12F16" w14:textId="77777777" w:rsidR="006A6C78" w:rsidRPr="006A6C78" w:rsidRDefault="006A6C78" w:rsidP="00BB4BD0">
      <w:pPr>
        <w:autoSpaceDE w:val="0"/>
        <w:autoSpaceDN w:val="0"/>
        <w:spacing w:line="360" w:lineRule="auto"/>
        <w:ind w:left="720"/>
        <w:jc w:val="both"/>
        <w:rPr>
          <w:rFonts w:ascii="Times New Roman" w:eastAsia="Times New Roman" w:hAnsi="Times New Roman"/>
          <w:sz w:val="24"/>
          <w:szCs w:val="24"/>
        </w:rPr>
      </w:pPr>
    </w:p>
    <w:p w14:paraId="65D86902" w14:textId="77777777" w:rsidR="006A6C78" w:rsidRPr="006A6C78" w:rsidRDefault="006A6C78" w:rsidP="00BB4BD0">
      <w:pPr>
        <w:numPr>
          <w:ilvl w:val="0"/>
          <w:numId w:val="33"/>
        </w:numPr>
        <w:autoSpaceDE w:val="0"/>
        <w:autoSpaceDN w:val="0"/>
        <w:spacing w:line="360" w:lineRule="auto"/>
        <w:ind w:left="0" w:firstLine="1440"/>
        <w:jc w:val="both"/>
        <w:rPr>
          <w:rFonts w:ascii="Times New Roman" w:eastAsia="Times New Roman" w:hAnsi="Times New Roman"/>
          <w:sz w:val="24"/>
          <w:szCs w:val="24"/>
        </w:rPr>
      </w:pPr>
      <w:r w:rsidRPr="006A6C78">
        <w:rPr>
          <w:rFonts w:ascii="Times New Roman" w:eastAsia="Times New Roman" w:hAnsi="Times New Roman"/>
          <w:sz w:val="24"/>
          <w:szCs w:val="24"/>
        </w:rPr>
        <w:t>That, at the time of filing the first base rate case that includes the Authority’s wastewater system assets, PAWC shall submit a cost of service study that removes all costs and revenues associated with the operation of the Authority’s system.</w:t>
      </w:r>
    </w:p>
    <w:p w14:paraId="3A41620B" w14:textId="77777777" w:rsidR="006A6C78" w:rsidRPr="006A6C78" w:rsidRDefault="006A6C78" w:rsidP="00BB4BD0">
      <w:pPr>
        <w:autoSpaceDE w:val="0"/>
        <w:autoSpaceDN w:val="0"/>
        <w:spacing w:line="360" w:lineRule="auto"/>
        <w:ind w:firstLine="1440"/>
        <w:jc w:val="both"/>
        <w:rPr>
          <w:rFonts w:ascii="Times New Roman" w:eastAsia="Times New Roman" w:hAnsi="Times New Roman"/>
          <w:sz w:val="24"/>
          <w:szCs w:val="24"/>
        </w:rPr>
      </w:pPr>
    </w:p>
    <w:p w14:paraId="795B248C" w14:textId="77777777" w:rsidR="006A6C78" w:rsidRPr="006A6C78" w:rsidRDefault="006A6C78" w:rsidP="00BB4BD0">
      <w:pPr>
        <w:numPr>
          <w:ilvl w:val="0"/>
          <w:numId w:val="33"/>
        </w:numPr>
        <w:autoSpaceDE w:val="0"/>
        <w:autoSpaceDN w:val="0"/>
        <w:spacing w:line="360" w:lineRule="auto"/>
        <w:ind w:left="0" w:firstLine="1440"/>
        <w:jc w:val="both"/>
        <w:rPr>
          <w:rFonts w:ascii="Times New Roman" w:eastAsia="Times New Roman" w:hAnsi="Times New Roman"/>
          <w:sz w:val="24"/>
          <w:szCs w:val="24"/>
        </w:rPr>
      </w:pPr>
      <w:r w:rsidRPr="006A6C78">
        <w:rPr>
          <w:rFonts w:ascii="Times New Roman" w:eastAsia="Times New Roman" w:hAnsi="Times New Roman"/>
          <w:sz w:val="24"/>
          <w:szCs w:val="24"/>
        </w:rPr>
        <w:t>That, at the time of filing its next base rate case, PAWC shall also provide a separate cost of service study for the Authority’s system.</w:t>
      </w:r>
    </w:p>
    <w:p w14:paraId="389605EC" w14:textId="77777777" w:rsidR="006A6C78" w:rsidRPr="006A6C78" w:rsidRDefault="006A6C78" w:rsidP="00BB4BD0">
      <w:pPr>
        <w:autoSpaceDE w:val="0"/>
        <w:autoSpaceDN w:val="0"/>
        <w:spacing w:line="360" w:lineRule="auto"/>
        <w:ind w:firstLine="1440"/>
        <w:jc w:val="both"/>
        <w:rPr>
          <w:rFonts w:ascii="Times New Roman" w:eastAsia="Times New Roman" w:hAnsi="Times New Roman"/>
          <w:sz w:val="24"/>
          <w:szCs w:val="24"/>
        </w:rPr>
      </w:pPr>
    </w:p>
    <w:p w14:paraId="6E6DFA56" w14:textId="77777777" w:rsidR="006A6C78" w:rsidRPr="006A6C78" w:rsidRDefault="006A6C78" w:rsidP="00BB4BD0">
      <w:pPr>
        <w:numPr>
          <w:ilvl w:val="0"/>
          <w:numId w:val="33"/>
        </w:numPr>
        <w:autoSpaceDE w:val="0"/>
        <w:autoSpaceDN w:val="0"/>
        <w:spacing w:line="360" w:lineRule="auto"/>
        <w:ind w:left="0" w:firstLine="1440"/>
        <w:jc w:val="both"/>
        <w:rPr>
          <w:rFonts w:ascii="Times New Roman" w:eastAsia="Times New Roman" w:hAnsi="Times New Roman"/>
          <w:sz w:val="24"/>
          <w:szCs w:val="24"/>
        </w:rPr>
      </w:pPr>
      <w:r w:rsidRPr="006A6C78">
        <w:rPr>
          <w:rFonts w:ascii="Times New Roman" w:eastAsia="Times New Roman" w:hAnsi="Times New Roman"/>
          <w:sz w:val="24"/>
          <w:szCs w:val="24"/>
        </w:rPr>
        <w:t>That PAWC shall, in the first base rate case that includes the Authority’s wastewater system assets, propose to move the Authority’s system to its cost of service or 1.46x the current Authority rate, whichever is lower, based on a separate cost of service study for the Authority’s system; provided, however, that PAWC will not be obligated to propose Kane wastewater rates in excess of PAWC’s proposed Rate Zone 1 system-average rates.  The Commission recognizes that the Office of Consumer Advocate, Bureau of Investigation &amp; Enforcement and Office of Small Business Advocate reserve their rights to fully address this proposal and to make other rate proposals in the base rate case.</w:t>
      </w:r>
    </w:p>
    <w:p w14:paraId="0C2999A6" w14:textId="77777777" w:rsidR="006A6C78" w:rsidRPr="006A6C78" w:rsidRDefault="006A6C78" w:rsidP="00BB4BD0">
      <w:pPr>
        <w:autoSpaceDE w:val="0"/>
        <w:autoSpaceDN w:val="0"/>
        <w:spacing w:line="360" w:lineRule="auto"/>
        <w:ind w:firstLine="1440"/>
        <w:jc w:val="both"/>
        <w:rPr>
          <w:rFonts w:ascii="Times New Roman" w:eastAsia="Times New Roman" w:hAnsi="Times New Roman"/>
          <w:bCs/>
          <w:sz w:val="24"/>
          <w:szCs w:val="24"/>
        </w:rPr>
      </w:pPr>
    </w:p>
    <w:p w14:paraId="32F83811" w14:textId="77777777" w:rsidR="006A6C78" w:rsidRPr="006A6C78" w:rsidRDefault="006A6C78" w:rsidP="00BB4BD0">
      <w:pPr>
        <w:numPr>
          <w:ilvl w:val="0"/>
          <w:numId w:val="33"/>
        </w:numPr>
        <w:autoSpaceDE w:val="0"/>
        <w:autoSpaceDN w:val="0"/>
        <w:spacing w:line="360" w:lineRule="auto"/>
        <w:ind w:left="0" w:firstLine="1440"/>
        <w:jc w:val="both"/>
        <w:rPr>
          <w:rFonts w:ascii="Times New Roman" w:eastAsia="Times New Roman" w:hAnsi="Times New Roman"/>
          <w:bCs/>
          <w:sz w:val="24"/>
          <w:szCs w:val="24"/>
        </w:rPr>
      </w:pPr>
      <w:r w:rsidRPr="006A6C78">
        <w:rPr>
          <w:rFonts w:ascii="Times New Roman" w:eastAsia="Times New Roman" w:hAnsi="Times New Roman"/>
          <w:sz w:val="24"/>
          <w:szCs w:val="24"/>
        </w:rPr>
        <w:lastRenderedPageBreak/>
        <w:t xml:space="preserve">That PAWC may propose to </w:t>
      </w:r>
      <w:r w:rsidRPr="006A6C78">
        <w:rPr>
          <w:rFonts w:ascii="Times New Roman" w:eastAsia="Times New Roman" w:hAnsi="Times New Roman"/>
          <w:bCs/>
          <w:sz w:val="24"/>
          <w:szCs w:val="24"/>
        </w:rPr>
        <w:t>modify its Long Term Infrastructure Improvement Plan to include the Authority’s wastewater system, subject to the condition that PAWC will not reprioritize other existing capital improvements that the Company already committed to undertake in other service areas.  Upon approval by the Commission of such modification to its Long Term Infrastructure Improvement Plan, PAWC shall be permitted to collect a Distribution System Improvement Charge related to the Authority’s wastewater system prior to the first base rate case in which the Authority’s assets are incorporated into rate base.</w:t>
      </w:r>
    </w:p>
    <w:p w14:paraId="778BB7F1" w14:textId="77777777" w:rsidR="006A6C78" w:rsidRPr="006A6C78" w:rsidRDefault="006A6C78" w:rsidP="00BB4BD0">
      <w:pPr>
        <w:autoSpaceDE w:val="0"/>
        <w:autoSpaceDN w:val="0"/>
        <w:spacing w:line="360" w:lineRule="auto"/>
        <w:ind w:firstLine="1440"/>
        <w:jc w:val="both"/>
        <w:rPr>
          <w:rFonts w:ascii="Times New Roman" w:eastAsia="Times New Roman" w:hAnsi="Times New Roman"/>
          <w:bCs/>
          <w:sz w:val="24"/>
          <w:szCs w:val="24"/>
        </w:rPr>
      </w:pPr>
    </w:p>
    <w:p w14:paraId="461C9B9A" w14:textId="77777777" w:rsidR="006A6C78" w:rsidRPr="006A6C78" w:rsidRDefault="006A6C78" w:rsidP="00BB4BD0">
      <w:pPr>
        <w:numPr>
          <w:ilvl w:val="0"/>
          <w:numId w:val="33"/>
        </w:numPr>
        <w:autoSpaceDE w:val="0"/>
        <w:autoSpaceDN w:val="0"/>
        <w:spacing w:line="360" w:lineRule="auto"/>
        <w:ind w:left="0" w:firstLine="1440"/>
        <w:jc w:val="both"/>
        <w:rPr>
          <w:rFonts w:ascii="Times New Roman" w:eastAsia="Times New Roman" w:hAnsi="Times New Roman"/>
          <w:bCs/>
          <w:sz w:val="24"/>
          <w:szCs w:val="24"/>
        </w:rPr>
      </w:pPr>
      <w:r w:rsidRPr="006A6C78">
        <w:rPr>
          <w:rFonts w:ascii="Times New Roman" w:eastAsia="Times New Roman" w:hAnsi="Times New Roman"/>
          <w:sz w:val="24"/>
          <w:szCs w:val="24"/>
        </w:rPr>
        <w:t>That PAWC may accrue Allowance for Funds Used During Construction for post-acquisition improvements not recovered through the Distribution System Improvement Charge for book and ratemaking purposes.  The Commission recognizes that the Parties reserve their rights to litigate their positions fully in future rate cases when this issue is ripe for review and does not construe the Parties’ assent to this term to operate as their preapproval of PAWC’s request.</w:t>
      </w:r>
    </w:p>
    <w:p w14:paraId="528A30F2" w14:textId="77777777" w:rsidR="006A6C78" w:rsidRPr="006A6C78" w:rsidRDefault="006A6C78" w:rsidP="00BB4BD0">
      <w:pPr>
        <w:autoSpaceDE w:val="0"/>
        <w:autoSpaceDN w:val="0"/>
        <w:spacing w:line="360" w:lineRule="auto"/>
        <w:ind w:firstLine="1440"/>
        <w:jc w:val="both"/>
        <w:rPr>
          <w:rFonts w:ascii="Times New Roman" w:eastAsia="Times New Roman" w:hAnsi="Times New Roman"/>
          <w:sz w:val="24"/>
          <w:szCs w:val="24"/>
        </w:rPr>
      </w:pPr>
    </w:p>
    <w:p w14:paraId="1A849121" w14:textId="77777777" w:rsidR="006A6C78" w:rsidRPr="006A6C78" w:rsidRDefault="006A6C78" w:rsidP="00BB4BD0">
      <w:pPr>
        <w:numPr>
          <w:ilvl w:val="0"/>
          <w:numId w:val="33"/>
        </w:numPr>
        <w:autoSpaceDE w:val="0"/>
        <w:autoSpaceDN w:val="0"/>
        <w:spacing w:line="360" w:lineRule="auto"/>
        <w:ind w:left="0" w:firstLine="1440"/>
        <w:jc w:val="both"/>
        <w:rPr>
          <w:rFonts w:ascii="Times New Roman" w:eastAsia="Times New Roman" w:hAnsi="Times New Roman"/>
          <w:sz w:val="24"/>
          <w:szCs w:val="24"/>
        </w:rPr>
      </w:pPr>
      <w:r w:rsidRPr="006A6C78">
        <w:rPr>
          <w:rFonts w:ascii="Times New Roman" w:eastAsia="Times New Roman" w:hAnsi="Times New Roman"/>
          <w:sz w:val="24"/>
          <w:szCs w:val="24"/>
        </w:rPr>
        <w:t>That PAWC may defer depreciation related to post-acquisition improvements not recovered through the Distribution System Improvement Charge for book and ratemaking purposes.  The Commission recognizes that the Parties reserve their rights to litigate their positions fully in future rate cases when this issue is ripe for review and does not construe the Parties’ assent to this term to operate as their preapproval of PAWC’s request.</w:t>
      </w:r>
    </w:p>
    <w:p w14:paraId="6AC050F7" w14:textId="77777777" w:rsidR="006A6C78" w:rsidRPr="006A6C78" w:rsidRDefault="006A6C78" w:rsidP="00BB4BD0">
      <w:pPr>
        <w:autoSpaceDE w:val="0"/>
        <w:autoSpaceDN w:val="0"/>
        <w:spacing w:line="360" w:lineRule="auto"/>
        <w:ind w:firstLine="1440"/>
        <w:jc w:val="both"/>
        <w:rPr>
          <w:rFonts w:ascii="Times New Roman" w:eastAsia="Times New Roman" w:hAnsi="Times New Roman"/>
          <w:sz w:val="24"/>
          <w:szCs w:val="24"/>
        </w:rPr>
      </w:pPr>
    </w:p>
    <w:p w14:paraId="6EEEF37C" w14:textId="77777777" w:rsidR="006A6C78" w:rsidRPr="006A6C78" w:rsidRDefault="006A6C78" w:rsidP="00BB4BD0">
      <w:pPr>
        <w:numPr>
          <w:ilvl w:val="0"/>
          <w:numId w:val="33"/>
        </w:numPr>
        <w:autoSpaceDE w:val="0"/>
        <w:autoSpaceDN w:val="0"/>
        <w:spacing w:line="360" w:lineRule="auto"/>
        <w:ind w:left="0" w:firstLine="1440"/>
        <w:jc w:val="both"/>
        <w:rPr>
          <w:rFonts w:ascii="Times New Roman" w:eastAsia="Times New Roman" w:hAnsi="Times New Roman"/>
          <w:sz w:val="24"/>
          <w:szCs w:val="24"/>
        </w:rPr>
      </w:pPr>
      <w:r w:rsidRPr="006A6C78">
        <w:rPr>
          <w:rFonts w:ascii="Times New Roman" w:eastAsia="Times New Roman" w:hAnsi="Times New Roman"/>
          <w:sz w:val="24"/>
          <w:szCs w:val="24"/>
        </w:rPr>
        <w:t>That PAWC may include, in its next base rate case, a claim for transaction and closing costs related to the acquisition of the Authority’s system.  Outside legal fees, if any, shall be separately identified in PAWC’s next base rate case.  The Commission recognizes that the Parties reserve their rights to litigate their positions fully in future rate cases when this issue is ripe for review and does not construe the Parties’ assent to this term to operate as their preapproval of PAWC’s request.</w:t>
      </w:r>
    </w:p>
    <w:p w14:paraId="5FFFE17E" w14:textId="77777777" w:rsidR="006A6C78" w:rsidRPr="006A6C78" w:rsidRDefault="006A6C78" w:rsidP="00BB4BD0">
      <w:pPr>
        <w:autoSpaceDE w:val="0"/>
        <w:autoSpaceDN w:val="0"/>
        <w:spacing w:line="360" w:lineRule="auto"/>
        <w:ind w:firstLine="1440"/>
        <w:jc w:val="both"/>
        <w:rPr>
          <w:rFonts w:ascii="Times New Roman" w:eastAsia="Times New Roman" w:hAnsi="Times New Roman"/>
          <w:sz w:val="24"/>
          <w:szCs w:val="24"/>
        </w:rPr>
      </w:pPr>
    </w:p>
    <w:p w14:paraId="767A8BF1" w14:textId="77777777" w:rsidR="006A6C78" w:rsidRPr="006A6C78" w:rsidRDefault="006A6C78" w:rsidP="00BB4BD0">
      <w:pPr>
        <w:numPr>
          <w:ilvl w:val="0"/>
          <w:numId w:val="33"/>
        </w:numPr>
        <w:autoSpaceDE w:val="0"/>
        <w:autoSpaceDN w:val="0"/>
        <w:spacing w:line="360" w:lineRule="auto"/>
        <w:ind w:left="0" w:firstLine="1440"/>
        <w:jc w:val="both"/>
        <w:rPr>
          <w:rFonts w:ascii="Times New Roman" w:eastAsia="Times New Roman" w:hAnsi="Times New Roman"/>
          <w:sz w:val="24"/>
          <w:szCs w:val="24"/>
        </w:rPr>
      </w:pPr>
      <w:r w:rsidRPr="006A6C78">
        <w:rPr>
          <w:rFonts w:ascii="Times New Roman" w:eastAsia="Times New Roman" w:hAnsi="Times New Roman"/>
          <w:sz w:val="24"/>
          <w:szCs w:val="24"/>
        </w:rPr>
        <w:t xml:space="preserve">That, in the first full billing cycle commencing within 30 days after closing of the Transaction, PAWC shall include a bill insert or onsert to former Authority customers regarding PAWC’s low income programs and shall also include such information in a welcome letter to Authority customers.  The bill insert or onsert and welcome letter shall include, at a </w:t>
      </w:r>
      <w:r w:rsidRPr="006A6C78">
        <w:rPr>
          <w:rFonts w:ascii="Times New Roman" w:eastAsia="Times New Roman" w:hAnsi="Times New Roman"/>
          <w:sz w:val="24"/>
          <w:szCs w:val="24"/>
        </w:rPr>
        <w:lastRenderedPageBreak/>
        <w:t>minimum, a description of the available low income programs, the eligibility requirements for participation in the programs, and PAWC’s contact information.</w:t>
      </w:r>
    </w:p>
    <w:p w14:paraId="56578F57" w14:textId="77777777" w:rsidR="006A6C78" w:rsidRPr="006A6C78" w:rsidRDefault="006A6C78" w:rsidP="00BB4BD0">
      <w:pPr>
        <w:autoSpaceDE w:val="0"/>
        <w:autoSpaceDN w:val="0"/>
        <w:spacing w:line="360" w:lineRule="auto"/>
        <w:ind w:firstLine="1440"/>
        <w:jc w:val="both"/>
        <w:rPr>
          <w:rFonts w:ascii="Times New Roman" w:eastAsia="Times New Roman" w:hAnsi="Times New Roman"/>
          <w:sz w:val="24"/>
          <w:szCs w:val="24"/>
        </w:rPr>
      </w:pPr>
    </w:p>
    <w:p w14:paraId="7822E0EE" w14:textId="77777777" w:rsidR="006A6C78" w:rsidRPr="006A6C78" w:rsidRDefault="006A6C78" w:rsidP="00BB4BD0">
      <w:pPr>
        <w:numPr>
          <w:ilvl w:val="0"/>
          <w:numId w:val="33"/>
        </w:numPr>
        <w:autoSpaceDE w:val="0"/>
        <w:autoSpaceDN w:val="0"/>
        <w:spacing w:line="360" w:lineRule="auto"/>
        <w:ind w:left="0" w:firstLine="1440"/>
        <w:jc w:val="both"/>
        <w:rPr>
          <w:rFonts w:ascii="Times New Roman" w:eastAsia="Times New Roman" w:hAnsi="Times New Roman"/>
          <w:sz w:val="24"/>
          <w:szCs w:val="24"/>
        </w:rPr>
      </w:pPr>
      <w:r w:rsidRPr="006A6C78">
        <w:rPr>
          <w:rFonts w:ascii="Times New Roman" w:eastAsia="Times New Roman" w:hAnsi="Times New Roman"/>
          <w:sz w:val="24"/>
          <w:szCs w:val="24"/>
        </w:rPr>
        <w:t>That, o</w:t>
      </w:r>
      <w:r w:rsidRPr="006A6C78">
        <w:rPr>
          <w:rFonts w:ascii="Times New Roman" w:eastAsia="Times New Roman" w:hAnsi="Times New Roman"/>
          <w:bCs/>
          <w:sz w:val="24"/>
          <w:szCs w:val="24"/>
        </w:rPr>
        <w:t>ne year after closing on the transaction, PAWC shall file a report at this docket number regarding the status of any missing easements for the Authority’s system.  The report will include the dollar value of each easement obtained during the year after closing.</w:t>
      </w:r>
    </w:p>
    <w:p w14:paraId="6D1C12FA" w14:textId="77777777" w:rsidR="006A6C78" w:rsidRPr="006A6C78" w:rsidRDefault="006A6C78" w:rsidP="00BB4BD0">
      <w:pPr>
        <w:autoSpaceDE w:val="0"/>
        <w:autoSpaceDN w:val="0"/>
        <w:spacing w:line="360" w:lineRule="auto"/>
        <w:ind w:firstLine="1440"/>
        <w:contextualSpacing/>
        <w:jc w:val="both"/>
        <w:rPr>
          <w:rFonts w:ascii="Times New Roman" w:eastAsia="Times New Roman" w:hAnsi="Times New Roman"/>
          <w:sz w:val="24"/>
          <w:szCs w:val="24"/>
        </w:rPr>
      </w:pPr>
    </w:p>
    <w:p w14:paraId="6910FF39" w14:textId="77777777" w:rsidR="006A6C78" w:rsidRPr="006A6C78" w:rsidRDefault="006A6C78" w:rsidP="00BB4BD0">
      <w:pPr>
        <w:numPr>
          <w:ilvl w:val="0"/>
          <w:numId w:val="33"/>
        </w:numPr>
        <w:autoSpaceDE w:val="0"/>
        <w:autoSpaceDN w:val="0"/>
        <w:spacing w:line="360" w:lineRule="auto"/>
        <w:ind w:left="0" w:firstLine="1440"/>
        <w:jc w:val="both"/>
        <w:rPr>
          <w:rFonts w:ascii="Times New Roman" w:eastAsia="Times New Roman" w:hAnsi="Times New Roman"/>
          <w:sz w:val="24"/>
          <w:szCs w:val="24"/>
        </w:rPr>
      </w:pPr>
      <w:r w:rsidRPr="006A6C78">
        <w:rPr>
          <w:rFonts w:ascii="Times New Roman" w:eastAsia="Times New Roman" w:hAnsi="Times New Roman"/>
          <w:sz w:val="24"/>
          <w:szCs w:val="24"/>
        </w:rPr>
        <w:t>That the Secretary’s Bureau issue Certificates of Filing or approvals for the following agreements between PAWC and a municipal corporation:</w:t>
      </w:r>
    </w:p>
    <w:p w14:paraId="4C1C1808" w14:textId="77777777" w:rsidR="006A6C78" w:rsidRPr="006A6C78" w:rsidRDefault="006A6C78" w:rsidP="00BB4BD0">
      <w:pPr>
        <w:widowControl w:val="0"/>
        <w:tabs>
          <w:tab w:val="left" w:pos="-1440"/>
        </w:tabs>
        <w:autoSpaceDE w:val="0"/>
        <w:autoSpaceDN w:val="0"/>
        <w:adjustRightInd w:val="0"/>
        <w:spacing w:line="360" w:lineRule="auto"/>
        <w:ind w:firstLine="1440"/>
        <w:jc w:val="both"/>
        <w:outlineLvl w:val="2"/>
        <w:rPr>
          <w:rFonts w:ascii="Times New Roman" w:eastAsia="Times New Roman" w:hAnsi="Times New Roman"/>
          <w:sz w:val="24"/>
          <w:szCs w:val="24"/>
        </w:rPr>
      </w:pPr>
    </w:p>
    <w:p w14:paraId="6B5FD5BD" w14:textId="77777777" w:rsidR="006A6C78" w:rsidRPr="006A6C78" w:rsidRDefault="006A6C78" w:rsidP="009727FB">
      <w:pPr>
        <w:widowControl w:val="0"/>
        <w:tabs>
          <w:tab w:val="left" w:pos="-1440"/>
        </w:tabs>
        <w:autoSpaceDE w:val="0"/>
        <w:autoSpaceDN w:val="0"/>
        <w:adjustRightInd w:val="0"/>
        <w:ind w:left="720"/>
        <w:jc w:val="both"/>
        <w:outlineLvl w:val="2"/>
        <w:rPr>
          <w:rFonts w:ascii="Times New Roman" w:eastAsia="Times New Roman" w:hAnsi="Times New Roman"/>
          <w:sz w:val="24"/>
          <w:szCs w:val="24"/>
        </w:rPr>
      </w:pPr>
      <w:r w:rsidRPr="006A6C78">
        <w:rPr>
          <w:rFonts w:ascii="Times New Roman" w:eastAsia="Times New Roman" w:hAnsi="Times New Roman"/>
          <w:sz w:val="24"/>
          <w:szCs w:val="24"/>
        </w:rPr>
        <w:tab/>
      </w:r>
      <w:r w:rsidRPr="006A6C78">
        <w:rPr>
          <w:rFonts w:ascii="Times New Roman" w:eastAsia="Times New Roman" w:hAnsi="Times New Roman"/>
          <w:sz w:val="24"/>
          <w:szCs w:val="24"/>
        </w:rPr>
        <w:tab/>
        <w:t>(1)</w:t>
      </w:r>
      <w:r w:rsidRPr="006A6C78">
        <w:rPr>
          <w:rFonts w:ascii="Times New Roman" w:eastAsia="Times New Roman" w:hAnsi="Times New Roman"/>
          <w:sz w:val="24"/>
          <w:szCs w:val="24"/>
        </w:rPr>
        <w:tab/>
        <w:t xml:space="preserve">the Asset Purchase Agreement By and Among the Borough of Kane Authority, as Seller, together with the Borough of Kane and Wetmore Township, and Pennsylvania-American Water Company, as Buyer, dated as of November 4, 2019, and </w:t>
      </w:r>
    </w:p>
    <w:p w14:paraId="5697AE04" w14:textId="77777777" w:rsidR="006A6C78" w:rsidRPr="006A6C78" w:rsidRDefault="006A6C78" w:rsidP="009727FB">
      <w:pPr>
        <w:tabs>
          <w:tab w:val="left" w:pos="-1440"/>
        </w:tabs>
        <w:autoSpaceDE w:val="0"/>
        <w:autoSpaceDN w:val="0"/>
        <w:adjustRightInd w:val="0"/>
        <w:ind w:left="720"/>
        <w:jc w:val="both"/>
        <w:outlineLvl w:val="2"/>
        <w:rPr>
          <w:rFonts w:ascii="Times New Roman" w:eastAsia="Times New Roman" w:hAnsi="Times New Roman"/>
          <w:sz w:val="24"/>
          <w:szCs w:val="24"/>
        </w:rPr>
      </w:pPr>
    </w:p>
    <w:p w14:paraId="13FBC11F" w14:textId="77777777" w:rsidR="006A6C78" w:rsidRPr="006A6C78" w:rsidRDefault="006A6C78" w:rsidP="009727FB">
      <w:pPr>
        <w:tabs>
          <w:tab w:val="left" w:pos="-1440"/>
        </w:tabs>
        <w:autoSpaceDE w:val="0"/>
        <w:autoSpaceDN w:val="0"/>
        <w:adjustRightInd w:val="0"/>
        <w:ind w:left="720"/>
        <w:jc w:val="both"/>
        <w:outlineLvl w:val="2"/>
        <w:rPr>
          <w:rFonts w:ascii="Times New Roman" w:eastAsia="Times New Roman" w:hAnsi="Times New Roman"/>
          <w:sz w:val="24"/>
          <w:szCs w:val="24"/>
        </w:rPr>
      </w:pPr>
      <w:r w:rsidRPr="006A6C78">
        <w:rPr>
          <w:rFonts w:ascii="Times New Roman" w:eastAsia="Times New Roman" w:hAnsi="Times New Roman"/>
          <w:sz w:val="24"/>
          <w:szCs w:val="24"/>
        </w:rPr>
        <w:tab/>
      </w:r>
      <w:r w:rsidRPr="006A6C78">
        <w:rPr>
          <w:rFonts w:ascii="Times New Roman" w:eastAsia="Times New Roman" w:hAnsi="Times New Roman"/>
          <w:sz w:val="24"/>
          <w:szCs w:val="24"/>
        </w:rPr>
        <w:tab/>
        <w:t xml:space="preserve">(2) </w:t>
      </w:r>
      <w:r w:rsidRPr="006A6C78">
        <w:rPr>
          <w:rFonts w:ascii="Times New Roman" w:eastAsia="Times New Roman" w:hAnsi="Times New Roman"/>
          <w:sz w:val="24"/>
          <w:szCs w:val="24"/>
        </w:rPr>
        <w:tab/>
        <w:t>the Agreement by and between the Borough of Kane Authority, the Township of Wetmore and the Borough of Kane, dated July 8, 1992.</w:t>
      </w:r>
    </w:p>
    <w:p w14:paraId="3C2C8ACB" w14:textId="77777777" w:rsidR="006A6C78" w:rsidRPr="006A6C78" w:rsidRDefault="006A6C78" w:rsidP="009727FB">
      <w:pPr>
        <w:widowControl w:val="0"/>
        <w:tabs>
          <w:tab w:val="left" w:pos="-1440"/>
        </w:tabs>
        <w:autoSpaceDE w:val="0"/>
        <w:autoSpaceDN w:val="0"/>
        <w:adjustRightInd w:val="0"/>
        <w:spacing w:line="360" w:lineRule="auto"/>
        <w:ind w:left="720"/>
        <w:jc w:val="both"/>
        <w:outlineLvl w:val="2"/>
        <w:rPr>
          <w:rFonts w:ascii="Times New Roman" w:eastAsia="Times New Roman" w:hAnsi="Times New Roman"/>
          <w:sz w:val="24"/>
          <w:szCs w:val="24"/>
        </w:rPr>
      </w:pPr>
    </w:p>
    <w:p w14:paraId="13D560FF" w14:textId="77777777" w:rsidR="006A6C78" w:rsidRPr="006A6C78" w:rsidRDefault="006A6C78" w:rsidP="00BB4BD0">
      <w:pPr>
        <w:widowControl w:val="0"/>
        <w:numPr>
          <w:ilvl w:val="0"/>
          <w:numId w:val="33"/>
        </w:numPr>
        <w:tabs>
          <w:tab w:val="left" w:pos="-1440"/>
        </w:tabs>
        <w:autoSpaceDE w:val="0"/>
        <w:autoSpaceDN w:val="0"/>
        <w:adjustRightInd w:val="0"/>
        <w:spacing w:line="360" w:lineRule="auto"/>
        <w:ind w:left="0" w:firstLine="1440"/>
        <w:outlineLvl w:val="2"/>
        <w:rPr>
          <w:rFonts w:ascii="Times New Roman" w:eastAsia="Times New Roman" w:hAnsi="Times New Roman"/>
          <w:sz w:val="24"/>
          <w:szCs w:val="24"/>
        </w:rPr>
      </w:pPr>
      <w:r w:rsidRPr="006A6C78">
        <w:rPr>
          <w:rFonts w:ascii="Times New Roman" w:eastAsia="Times New Roman" w:hAnsi="Times New Roman"/>
          <w:sz w:val="24"/>
          <w:szCs w:val="24"/>
        </w:rPr>
        <w:t>That any other approvals or certificates appropriate, customary or necessary under the Code to carry out the Transaction contemplated in the Application in a lawful manner are hereby granted.</w:t>
      </w:r>
    </w:p>
    <w:p w14:paraId="7BF6C28B" w14:textId="77777777" w:rsidR="006A6C78" w:rsidRPr="006A6C78" w:rsidRDefault="006A6C78" w:rsidP="00BB4BD0">
      <w:pPr>
        <w:widowControl w:val="0"/>
        <w:tabs>
          <w:tab w:val="left" w:pos="-1440"/>
        </w:tabs>
        <w:autoSpaceDE w:val="0"/>
        <w:autoSpaceDN w:val="0"/>
        <w:adjustRightInd w:val="0"/>
        <w:spacing w:line="360" w:lineRule="auto"/>
        <w:ind w:left="1440"/>
        <w:outlineLvl w:val="2"/>
        <w:rPr>
          <w:rFonts w:ascii="Times New Roman" w:eastAsia="Times New Roman" w:hAnsi="Times New Roman"/>
          <w:sz w:val="24"/>
          <w:szCs w:val="24"/>
        </w:rPr>
      </w:pPr>
    </w:p>
    <w:p w14:paraId="44923945" w14:textId="77777777" w:rsidR="006A6C78" w:rsidRPr="006A6C78" w:rsidRDefault="006A6C78" w:rsidP="00BB4BD0">
      <w:pPr>
        <w:widowControl w:val="0"/>
        <w:numPr>
          <w:ilvl w:val="0"/>
          <w:numId w:val="33"/>
        </w:numPr>
        <w:tabs>
          <w:tab w:val="left" w:pos="-1440"/>
        </w:tabs>
        <w:autoSpaceDE w:val="0"/>
        <w:autoSpaceDN w:val="0"/>
        <w:adjustRightInd w:val="0"/>
        <w:spacing w:line="360" w:lineRule="auto"/>
        <w:ind w:left="0" w:firstLine="1440"/>
        <w:outlineLvl w:val="2"/>
        <w:rPr>
          <w:rFonts w:ascii="Times New Roman" w:eastAsia="Times New Roman" w:hAnsi="Times New Roman"/>
          <w:sz w:val="24"/>
          <w:szCs w:val="24"/>
        </w:rPr>
      </w:pPr>
      <w:r w:rsidRPr="006A6C78">
        <w:rPr>
          <w:rFonts w:ascii="Times New Roman" w:eastAsia="Times New Roman" w:hAnsi="Times New Roman"/>
          <w:sz w:val="24"/>
          <w:szCs w:val="24"/>
        </w:rPr>
        <w:t>That the Commission’s proceeding at Docket No. A-2019-3014248 is terminated and marked closed.</w:t>
      </w:r>
    </w:p>
    <w:p w14:paraId="70C7BFEC" w14:textId="77777777" w:rsidR="009D548C" w:rsidRPr="00985C3A" w:rsidRDefault="009D548C" w:rsidP="008652F1">
      <w:pPr>
        <w:tabs>
          <w:tab w:val="left" w:pos="2160"/>
        </w:tabs>
        <w:spacing w:line="480" w:lineRule="auto"/>
        <w:ind w:firstLine="1440"/>
        <w:jc w:val="both"/>
        <w:rPr>
          <w:rFonts w:ascii="Times New Roman" w:hAnsi="Times New Roman"/>
          <w:sz w:val="24"/>
          <w:szCs w:val="24"/>
        </w:rPr>
      </w:pPr>
    </w:p>
    <w:p w14:paraId="32EC2B50" w14:textId="7E0A31A1" w:rsidR="00577603" w:rsidRPr="00985C3A" w:rsidRDefault="002D5791" w:rsidP="00926EEF">
      <w:pPr>
        <w:spacing w:line="360" w:lineRule="auto"/>
        <w:jc w:val="both"/>
        <w:rPr>
          <w:rFonts w:ascii="Times New Roman" w:hAnsi="Times New Roman"/>
          <w:sz w:val="24"/>
          <w:szCs w:val="24"/>
        </w:rPr>
      </w:pPr>
      <w:r w:rsidRPr="009F01BA">
        <w:rPr>
          <w:b/>
          <w:noProof/>
          <w:sz w:val="20"/>
          <w:szCs w:val="20"/>
        </w:rPr>
        <w:drawing>
          <wp:anchor distT="0" distB="0" distL="114300" distR="114300" simplePos="0" relativeHeight="251659264" behindDoc="1" locked="0" layoutInCell="1" allowOverlap="1" wp14:anchorId="625D2F57" wp14:editId="7B3B4A2F">
            <wp:simplePos x="0" y="0"/>
            <wp:positionH relativeFrom="column">
              <wp:posOffset>3038475</wp:posOffset>
            </wp:positionH>
            <wp:positionV relativeFrom="paragraph">
              <wp:posOffset>19050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577603" w:rsidRPr="00985C3A">
        <w:rPr>
          <w:rFonts w:ascii="Times New Roman" w:hAnsi="Times New Roman"/>
          <w:sz w:val="24"/>
          <w:szCs w:val="24"/>
        </w:rPr>
        <w:t>BY THE COMMISSION</w:t>
      </w:r>
      <w:r w:rsidR="00DA6E2D" w:rsidRPr="00985C3A">
        <w:rPr>
          <w:rFonts w:ascii="Times New Roman" w:hAnsi="Times New Roman"/>
          <w:sz w:val="24"/>
          <w:szCs w:val="24"/>
        </w:rPr>
        <w:t>,</w:t>
      </w:r>
    </w:p>
    <w:p w14:paraId="65234619" w14:textId="55547313" w:rsidR="009E2694" w:rsidRPr="00985C3A" w:rsidRDefault="009E2694" w:rsidP="00577603">
      <w:pPr>
        <w:ind w:left="5040"/>
        <w:rPr>
          <w:rFonts w:ascii="Times New Roman" w:hAnsi="Times New Roman"/>
          <w:sz w:val="24"/>
          <w:szCs w:val="24"/>
        </w:rPr>
      </w:pPr>
    </w:p>
    <w:p w14:paraId="64C55E9F" w14:textId="446F5484" w:rsidR="0042537E" w:rsidRPr="00985C3A" w:rsidRDefault="0042537E" w:rsidP="00577603">
      <w:pPr>
        <w:ind w:left="5040"/>
        <w:rPr>
          <w:rFonts w:ascii="Times New Roman" w:hAnsi="Times New Roman"/>
          <w:sz w:val="24"/>
          <w:szCs w:val="24"/>
        </w:rPr>
      </w:pPr>
    </w:p>
    <w:p w14:paraId="4B77783A" w14:textId="77777777" w:rsidR="00876B81" w:rsidRPr="00985C3A" w:rsidRDefault="00876B81" w:rsidP="004656BD">
      <w:pPr>
        <w:ind w:left="5040"/>
        <w:rPr>
          <w:rFonts w:ascii="Times New Roman" w:hAnsi="Times New Roman"/>
          <w:sz w:val="24"/>
          <w:szCs w:val="24"/>
        </w:rPr>
      </w:pPr>
    </w:p>
    <w:p w14:paraId="414C224F" w14:textId="77777777"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Rosemary Chiavetta</w:t>
      </w:r>
    </w:p>
    <w:p w14:paraId="20CD175A" w14:textId="77777777"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Secretary</w:t>
      </w:r>
    </w:p>
    <w:p w14:paraId="7DA11475" w14:textId="77777777" w:rsidR="004A242C" w:rsidRDefault="004A242C" w:rsidP="00577603">
      <w:pPr>
        <w:rPr>
          <w:rFonts w:ascii="Times New Roman" w:hAnsi="Times New Roman"/>
          <w:sz w:val="24"/>
          <w:szCs w:val="24"/>
        </w:rPr>
      </w:pPr>
    </w:p>
    <w:p w14:paraId="0621D2F9" w14:textId="2617E461" w:rsidR="00577603" w:rsidRPr="00985C3A" w:rsidRDefault="00577603" w:rsidP="00577603">
      <w:pPr>
        <w:rPr>
          <w:rFonts w:ascii="Times New Roman" w:hAnsi="Times New Roman"/>
          <w:sz w:val="24"/>
          <w:szCs w:val="24"/>
        </w:rPr>
      </w:pPr>
      <w:r w:rsidRPr="00985C3A">
        <w:rPr>
          <w:rFonts w:ascii="Times New Roman" w:hAnsi="Times New Roman"/>
          <w:sz w:val="24"/>
          <w:szCs w:val="24"/>
        </w:rPr>
        <w:t>(SEAL)</w:t>
      </w:r>
    </w:p>
    <w:p w14:paraId="5AA74B75" w14:textId="77777777" w:rsidR="00577603" w:rsidRPr="00985C3A" w:rsidRDefault="00577603" w:rsidP="00577603">
      <w:pPr>
        <w:rPr>
          <w:rFonts w:ascii="Times New Roman" w:hAnsi="Times New Roman"/>
          <w:sz w:val="24"/>
          <w:szCs w:val="24"/>
        </w:rPr>
      </w:pPr>
    </w:p>
    <w:p w14:paraId="5F06BFC3" w14:textId="7C41EF74" w:rsidR="00577603" w:rsidRPr="00985C3A" w:rsidRDefault="00577603" w:rsidP="00577603">
      <w:pPr>
        <w:rPr>
          <w:rFonts w:ascii="Times New Roman" w:hAnsi="Times New Roman"/>
          <w:sz w:val="24"/>
          <w:szCs w:val="24"/>
        </w:rPr>
      </w:pPr>
      <w:r w:rsidRPr="00985C3A">
        <w:rPr>
          <w:rFonts w:ascii="Times New Roman" w:hAnsi="Times New Roman"/>
          <w:sz w:val="24"/>
          <w:szCs w:val="24"/>
        </w:rPr>
        <w:t>ORDER ADOPTED:</w:t>
      </w:r>
      <w:r w:rsidR="00926EEF" w:rsidRPr="00985C3A">
        <w:rPr>
          <w:rFonts w:ascii="Times New Roman" w:hAnsi="Times New Roman"/>
          <w:sz w:val="24"/>
          <w:szCs w:val="24"/>
        </w:rPr>
        <w:t xml:space="preserve">  </w:t>
      </w:r>
      <w:r w:rsidR="00056ED5">
        <w:rPr>
          <w:rFonts w:ascii="Times New Roman" w:hAnsi="Times New Roman"/>
          <w:sz w:val="24"/>
          <w:szCs w:val="24"/>
        </w:rPr>
        <w:t>June 18</w:t>
      </w:r>
      <w:r w:rsidR="00535076">
        <w:rPr>
          <w:rFonts w:ascii="Times New Roman" w:hAnsi="Times New Roman"/>
          <w:sz w:val="24"/>
          <w:szCs w:val="24"/>
        </w:rPr>
        <w:t>, 2020</w:t>
      </w:r>
    </w:p>
    <w:p w14:paraId="20F78A23" w14:textId="77777777" w:rsidR="00577603" w:rsidRPr="00985C3A" w:rsidRDefault="00577603" w:rsidP="00577603">
      <w:pPr>
        <w:rPr>
          <w:rFonts w:ascii="Times New Roman" w:hAnsi="Times New Roman"/>
          <w:sz w:val="24"/>
          <w:szCs w:val="24"/>
        </w:rPr>
      </w:pPr>
    </w:p>
    <w:p w14:paraId="537B2293" w14:textId="39A85EDD" w:rsidR="00B4392F" w:rsidRPr="00985C3A" w:rsidRDefault="00577603">
      <w:pPr>
        <w:rPr>
          <w:rFonts w:ascii="Times New Roman" w:hAnsi="Times New Roman"/>
          <w:sz w:val="24"/>
          <w:szCs w:val="24"/>
        </w:rPr>
      </w:pPr>
      <w:r w:rsidRPr="00985C3A">
        <w:rPr>
          <w:rFonts w:ascii="Times New Roman" w:hAnsi="Times New Roman"/>
          <w:sz w:val="24"/>
          <w:szCs w:val="24"/>
        </w:rPr>
        <w:t>ORDER ENTERED:</w:t>
      </w:r>
      <w:r w:rsidR="0042537E" w:rsidRPr="00985C3A">
        <w:rPr>
          <w:rFonts w:ascii="Times New Roman" w:hAnsi="Times New Roman"/>
          <w:sz w:val="24"/>
          <w:szCs w:val="24"/>
        </w:rPr>
        <w:t xml:space="preserve">  </w:t>
      </w:r>
      <w:r w:rsidR="00686693">
        <w:rPr>
          <w:rFonts w:ascii="Times New Roman" w:hAnsi="Times New Roman"/>
          <w:sz w:val="24"/>
          <w:szCs w:val="24"/>
        </w:rPr>
        <w:t xml:space="preserve"> </w:t>
      </w:r>
      <w:r w:rsidR="00620DE5">
        <w:rPr>
          <w:rFonts w:ascii="Times New Roman" w:hAnsi="Times New Roman"/>
          <w:sz w:val="24"/>
          <w:szCs w:val="24"/>
        </w:rPr>
        <w:t>June 18, 2020</w:t>
      </w:r>
      <w:bookmarkStart w:id="0" w:name="_GoBack"/>
      <w:bookmarkEnd w:id="0"/>
    </w:p>
    <w:sectPr w:rsidR="00B4392F" w:rsidRPr="00985C3A" w:rsidSect="002F22C8">
      <w:footerReference w:type="first" r:id="rId14"/>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7C99B" w14:textId="77777777" w:rsidR="009C0271" w:rsidRDefault="009C0271" w:rsidP="00577603">
      <w:r>
        <w:separator/>
      </w:r>
    </w:p>
  </w:endnote>
  <w:endnote w:type="continuationSeparator" w:id="0">
    <w:p w14:paraId="06CE001C" w14:textId="77777777" w:rsidR="009C0271" w:rsidRDefault="009C0271"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0"/>
        <w:szCs w:val="20"/>
      </w:rPr>
      <w:id w:val="-2141250289"/>
      <w:docPartObj>
        <w:docPartGallery w:val="Page Numbers (Bottom of Page)"/>
        <w:docPartUnique/>
      </w:docPartObj>
    </w:sdtPr>
    <w:sdtEndPr>
      <w:rPr>
        <w:noProof/>
      </w:rPr>
    </w:sdtEndPr>
    <w:sdtContent>
      <w:p w14:paraId="437E38B1" w14:textId="438E2BB8" w:rsidR="00636BFB" w:rsidRPr="00636BFB" w:rsidRDefault="00636BFB">
        <w:pPr>
          <w:pStyle w:val="Footer"/>
          <w:jc w:val="center"/>
          <w:rPr>
            <w:rFonts w:ascii="Times New Roman" w:hAnsi="Times New Roman"/>
            <w:sz w:val="20"/>
            <w:szCs w:val="20"/>
          </w:rPr>
        </w:pPr>
        <w:r w:rsidRPr="00636BFB">
          <w:rPr>
            <w:rFonts w:ascii="Times New Roman" w:hAnsi="Times New Roman"/>
            <w:sz w:val="20"/>
            <w:szCs w:val="20"/>
          </w:rPr>
          <w:fldChar w:fldCharType="begin"/>
        </w:r>
        <w:r w:rsidRPr="00636BFB">
          <w:rPr>
            <w:rFonts w:ascii="Times New Roman" w:hAnsi="Times New Roman"/>
            <w:sz w:val="20"/>
            <w:szCs w:val="20"/>
          </w:rPr>
          <w:instrText xml:space="preserve"> PAGE   \* MERGEFORMAT </w:instrText>
        </w:r>
        <w:r w:rsidRPr="00636BFB">
          <w:rPr>
            <w:rFonts w:ascii="Times New Roman" w:hAnsi="Times New Roman"/>
            <w:sz w:val="20"/>
            <w:szCs w:val="20"/>
          </w:rPr>
          <w:fldChar w:fldCharType="separate"/>
        </w:r>
        <w:r w:rsidRPr="00636BFB">
          <w:rPr>
            <w:rFonts w:ascii="Times New Roman" w:hAnsi="Times New Roman"/>
            <w:noProof/>
            <w:sz w:val="20"/>
            <w:szCs w:val="20"/>
          </w:rPr>
          <w:t>2</w:t>
        </w:r>
        <w:r w:rsidRPr="00636BFB">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E5D8C" w14:textId="5ACB6F94" w:rsidR="002706DB" w:rsidRPr="00A917D3" w:rsidRDefault="002706DB">
    <w:pPr>
      <w:pStyle w:val="Footer"/>
      <w:jc w:val="cen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0"/>
        <w:szCs w:val="20"/>
      </w:rPr>
      <w:id w:val="-1570876834"/>
      <w:docPartObj>
        <w:docPartGallery w:val="Page Numbers (Bottom of Page)"/>
        <w:docPartUnique/>
      </w:docPartObj>
    </w:sdtPr>
    <w:sdtEndPr>
      <w:rPr>
        <w:noProof/>
      </w:rPr>
    </w:sdtEndPr>
    <w:sdtContent>
      <w:p w14:paraId="6D9EBB78" w14:textId="52A9A519" w:rsidR="00636BFB" w:rsidRPr="00636BFB" w:rsidRDefault="00636BFB">
        <w:pPr>
          <w:pStyle w:val="Footer"/>
          <w:jc w:val="center"/>
          <w:rPr>
            <w:rFonts w:ascii="Times New Roman" w:hAnsi="Times New Roman"/>
            <w:sz w:val="20"/>
            <w:szCs w:val="20"/>
          </w:rPr>
        </w:pPr>
        <w:r w:rsidRPr="00636BFB">
          <w:rPr>
            <w:rFonts w:ascii="Times New Roman" w:hAnsi="Times New Roman"/>
            <w:sz w:val="20"/>
            <w:szCs w:val="20"/>
          </w:rPr>
          <w:fldChar w:fldCharType="begin"/>
        </w:r>
        <w:r w:rsidRPr="00636BFB">
          <w:rPr>
            <w:rFonts w:ascii="Times New Roman" w:hAnsi="Times New Roman"/>
            <w:sz w:val="20"/>
            <w:szCs w:val="20"/>
          </w:rPr>
          <w:instrText xml:space="preserve"> PAGE   \* MERGEFORMAT </w:instrText>
        </w:r>
        <w:r w:rsidRPr="00636BFB">
          <w:rPr>
            <w:rFonts w:ascii="Times New Roman" w:hAnsi="Times New Roman"/>
            <w:sz w:val="20"/>
            <w:szCs w:val="20"/>
          </w:rPr>
          <w:fldChar w:fldCharType="separate"/>
        </w:r>
        <w:r w:rsidRPr="00636BFB">
          <w:rPr>
            <w:rFonts w:ascii="Times New Roman" w:hAnsi="Times New Roman"/>
            <w:noProof/>
            <w:sz w:val="20"/>
            <w:szCs w:val="20"/>
          </w:rPr>
          <w:t>2</w:t>
        </w:r>
        <w:r w:rsidRPr="00636BFB">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9D0CC" w14:textId="77777777" w:rsidR="009C0271" w:rsidRDefault="009C0271" w:rsidP="00577603">
      <w:r>
        <w:separator/>
      </w:r>
    </w:p>
  </w:footnote>
  <w:footnote w:type="continuationSeparator" w:id="0">
    <w:p w14:paraId="4B5724B9" w14:textId="77777777" w:rsidR="009C0271" w:rsidRDefault="009C0271"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63FDF8"/>
    <w:multiLevelType w:val="singleLevel"/>
    <w:tmpl w:val="E7C0372E"/>
    <w:lvl w:ilvl="0">
      <w:start w:val="1"/>
      <w:numFmt w:val="decimal"/>
      <w:lvlText w:val="%1."/>
      <w:lvlJc w:val="left"/>
      <w:pPr>
        <w:tabs>
          <w:tab w:val="num" w:pos="1440"/>
        </w:tabs>
        <w:ind w:left="72" w:firstLine="720"/>
      </w:pPr>
      <w:rPr>
        <w:rFonts w:cs="Times New Roman"/>
        <w:snapToGrid/>
        <w:sz w:val="24"/>
        <w:szCs w:val="24"/>
      </w:rPr>
    </w:lvl>
  </w:abstractNum>
  <w:abstractNum w:abstractNumId="2" w15:restartNumberingAfterBreak="0">
    <w:nsid w:val="073FCE65"/>
    <w:multiLevelType w:val="singleLevel"/>
    <w:tmpl w:val="6C7F30DF"/>
    <w:lvl w:ilvl="0">
      <w:start w:val="1"/>
      <w:numFmt w:val="lowerLetter"/>
      <w:lvlText w:val="%1."/>
      <w:lvlJc w:val="left"/>
      <w:pPr>
        <w:tabs>
          <w:tab w:val="num" w:pos="2160"/>
        </w:tabs>
        <w:ind w:left="2160" w:hanging="720"/>
      </w:pPr>
      <w:rPr>
        <w:rFonts w:cs="Times New Roman"/>
        <w:snapToGrid/>
        <w:sz w:val="23"/>
        <w:szCs w:val="23"/>
      </w:rPr>
    </w:lvl>
  </w:abstractNum>
  <w:abstractNum w:abstractNumId="3"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011F60"/>
    <w:multiLevelType w:val="hybridMultilevel"/>
    <w:tmpl w:val="B430460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9"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0"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2D0632B"/>
    <w:multiLevelType w:val="multilevel"/>
    <w:tmpl w:val="EF6A49F4"/>
    <w:lvl w:ilvl="0">
      <w:start w:val="1"/>
      <w:numFmt w:val="decimal"/>
      <w:lvlText w:val="%1."/>
      <w:lvlJc w:val="left"/>
      <w:pPr>
        <w:tabs>
          <w:tab w:val="num" w:pos="1440"/>
        </w:tabs>
        <w:ind w:left="720" w:firstLine="720"/>
      </w:pPr>
      <w:rPr>
        <w:rFonts w:hint="default"/>
        <w:i w:val="0"/>
      </w:rPr>
    </w:lvl>
    <w:lvl w:ilvl="1">
      <w:start w:val="1"/>
      <w:numFmt w:val="lowerLetter"/>
      <w:lvlText w:val="(%2)"/>
      <w:lvlJc w:val="left"/>
      <w:pPr>
        <w:tabs>
          <w:tab w:val="num" w:pos="2160"/>
        </w:tabs>
        <w:ind w:left="2880" w:hanging="720"/>
      </w:pPr>
      <w:rPr>
        <w:rFonts w:hint="default"/>
      </w:rPr>
    </w:lvl>
    <w:lvl w:ilvl="2">
      <w:start w:val="1"/>
      <w:numFmt w:val="lowerRoman"/>
      <w:lvlText w:val="(%3)"/>
      <w:lvlJc w:val="left"/>
      <w:pPr>
        <w:ind w:left="288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8"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30"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1"/>
  </w:num>
  <w:num w:numId="3">
    <w:abstractNumId w:val="20"/>
  </w:num>
  <w:num w:numId="4">
    <w:abstractNumId w:val="23"/>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0"/>
  </w:num>
  <w:num w:numId="11">
    <w:abstractNumId w:val="25"/>
  </w:num>
  <w:num w:numId="12">
    <w:abstractNumId w:val="6"/>
  </w:num>
  <w:num w:numId="13">
    <w:abstractNumId w:val="21"/>
  </w:num>
  <w:num w:numId="14">
    <w:abstractNumId w:val="12"/>
  </w:num>
  <w:num w:numId="15">
    <w:abstractNumId w:val="16"/>
  </w:num>
  <w:num w:numId="16">
    <w:abstractNumId w:val="17"/>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5"/>
  </w:num>
  <w:num w:numId="20">
    <w:abstractNumId w:val="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9"/>
  </w:num>
  <w:num w:numId="29">
    <w:abstractNumId w:val="9"/>
  </w:num>
  <w:num w:numId="30">
    <w:abstractNumId w:val="15"/>
  </w:num>
  <w:num w:numId="31">
    <w:abstractNumId w:val="1"/>
  </w:num>
  <w:num w:numId="32">
    <w:abstractNumId w:val="2"/>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0947"/>
    <w:rsid w:val="00035460"/>
    <w:rsid w:val="00040018"/>
    <w:rsid w:val="0004061C"/>
    <w:rsid w:val="000479FE"/>
    <w:rsid w:val="00052E3E"/>
    <w:rsid w:val="00053534"/>
    <w:rsid w:val="000536CD"/>
    <w:rsid w:val="00056ED5"/>
    <w:rsid w:val="000611CF"/>
    <w:rsid w:val="00063411"/>
    <w:rsid w:val="000663F2"/>
    <w:rsid w:val="000844A5"/>
    <w:rsid w:val="00085D71"/>
    <w:rsid w:val="00090052"/>
    <w:rsid w:val="00092AAB"/>
    <w:rsid w:val="000944C1"/>
    <w:rsid w:val="000A179A"/>
    <w:rsid w:val="000A2947"/>
    <w:rsid w:val="000A63CB"/>
    <w:rsid w:val="000B00DA"/>
    <w:rsid w:val="000C03D6"/>
    <w:rsid w:val="000C14A2"/>
    <w:rsid w:val="000C3643"/>
    <w:rsid w:val="000C6988"/>
    <w:rsid w:val="000D4CC8"/>
    <w:rsid w:val="000D5EA1"/>
    <w:rsid w:val="000D5F69"/>
    <w:rsid w:val="000E1A7C"/>
    <w:rsid w:val="000E48FC"/>
    <w:rsid w:val="001013CF"/>
    <w:rsid w:val="00105726"/>
    <w:rsid w:val="001106F0"/>
    <w:rsid w:val="001146D1"/>
    <w:rsid w:val="001157FC"/>
    <w:rsid w:val="00115803"/>
    <w:rsid w:val="00125F74"/>
    <w:rsid w:val="00131662"/>
    <w:rsid w:val="00134222"/>
    <w:rsid w:val="001371D8"/>
    <w:rsid w:val="001430DE"/>
    <w:rsid w:val="00143DCF"/>
    <w:rsid w:val="001464B3"/>
    <w:rsid w:val="001614E7"/>
    <w:rsid w:val="0016568A"/>
    <w:rsid w:val="00166640"/>
    <w:rsid w:val="00167B29"/>
    <w:rsid w:val="0018257D"/>
    <w:rsid w:val="001846FB"/>
    <w:rsid w:val="00193C4E"/>
    <w:rsid w:val="001A7A94"/>
    <w:rsid w:val="001B07F4"/>
    <w:rsid w:val="001B27C9"/>
    <w:rsid w:val="001B79A6"/>
    <w:rsid w:val="001C24F3"/>
    <w:rsid w:val="001C57AF"/>
    <w:rsid w:val="001C6A74"/>
    <w:rsid w:val="001D4981"/>
    <w:rsid w:val="001D4E5B"/>
    <w:rsid w:val="001D5649"/>
    <w:rsid w:val="001D654E"/>
    <w:rsid w:val="001D7592"/>
    <w:rsid w:val="001E213F"/>
    <w:rsid w:val="001E4ACD"/>
    <w:rsid w:val="001F620A"/>
    <w:rsid w:val="001F6775"/>
    <w:rsid w:val="002053BB"/>
    <w:rsid w:val="002115AC"/>
    <w:rsid w:val="00227171"/>
    <w:rsid w:val="00227917"/>
    <w:rsid w:val="0023117C"/>
    <w:rsid w:val="002348D6"/>
    <w:rsid w:val="002363AC"/>
    <w:rsid w:val="00246581"/>
    <w:rsid w:val="00251686"/>
    <w:rsid w:val="00252090"/>
    <w:rsid w:val="00253A7E"/>
    <w:rsid w:val="00253F1B"/>
    <w:rsid w:val="00255D53"/>
    <w:rsid w:val="00257490"/>
    <w:rsid w:val="002706DB"/>
    <w:rsid w:val="00274749"/>
    <w:rsid w:val="0027710F"/>
    <w:rsid w:val="00277876"/>
    <w:rsid w:val="00287DA4"/>
    <w:rsid w:val="0029123A"/>
    <w:rsid w:val="002922C8"/>
    <w:rsid w:val="00292B26"/>
    <w:rsid w:val="002977F1"/>
    <w:rsid w:val="002A2679"/>
    <w:rsid w:val="002A2DAE"/>
    <w:rsid w:val="002A4D09"/>
    <w:rsid w:val="002B0A6D"/>
    <w:rsid w:val="002B1C7D"/>
    <w:rsid w:val="002B3E19"/>
    <w:rsid w:val="002B5251"/>
    <w:rsid w:val="002B55B0"/>
    <w:rsid w:val="002C0722"/>
    <w:rsid w:val="002C077F"/>
    <w:rsid w:val="002C1AED"/>
    <w:rsid w:val="002C4774"/>
    <w:rsid w:val="002C691F"/>
    <w:rsid w:val="002D24DB"/>
    <w:rsid w:val="002D2D03"/>
    <w:rsid w:val="002D4BB5"/>
    <w:rsid w:val="002D5791"/>
    <w:rsid w:val="002E2F5B"/>
    <w:rsid w:val="002E7FB1"/>
    <w:rsid w:val="002F22C8"/>
    <w:rsid w:val="002F32B8"/>
    <w:rsid w:val="00301DFB"/>
    <w:rsid w:val="00304E75"/>
    <w:rsid w:val="003051A8"/>
    <w:rsid w:val="003055A2"/>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B43"/>
    <w:rsid w:val="003B4E07"/>
    <w:rsid w:val="003B5917"/>
    <w:rsid w:val="003B6A43"/>
    <w:rsid w:val="003C2E95"/>
    <w:rsid w:val="003D6178"/>
    <w:rsid w:val="003E02CE"/>
    <w:rsid w:val="003E713C"/>
    <w:rsid w:val="0040069D"/>
    <w:rsid w:val="004031CC"/>
    <w:rsid w:val="0040782F"/>
    <w:rsid w:val="00410524"/>
    <w:rsid w:val="00415954"/>
    <w:rsid w:val="00422C47"/>
    <w:rsid w:val="0042537E"/>
    <w:rsid w:val="00430A4F"/>
    <w:rsid w:val="00436B98"/>
    <w:rsid w:val="00440E92"/>
    <w:rsid w:val="00442788"/>
    <w:rsid w:val="00443F42"/>
    <w:rsid w:val="0044551A"/>
    <w:rsid w:val="0044606E"/>
    <w:rsid w:val="00451040"/>
    <w:rsid w:val="00451BD4"/>
    <w:rsid w:val="004606F2"/>
    <w:rsid w:val="00461867"/>
    <w:rsid w:val="00461D0C"/>
    <w:rsid w:val="00462FA6"/>
    <w:rsid w:val="004656BD"/>
    <w:rsid w:val="00467549"/>
    <w:rsid w:val="00474BF2"/>
    <w:rsid w:val="00475FED"/>
    <w:rsid w:val="004776E2"/>
    <w:rsid w:val="00481C93"/>
    <w:rsid w:val="00486FF6"/>
    <w:rsid w:val="0049180C"/>
    <w:rsid w:val="00491BAF"/>
    <w:rsid w:val="00495A06"/>
    <w:rsid w:val="004A242C"/>
    <w:rsid w:val="004A4684"/>
    <w:rsid w:val="004B2AB3"/>
    <w:rsid w:val="004C1C2B"/>
    <w:rsid w:val="004C5399"/>
    <w:rsid w:val="004C58B6"/>
    <w:rsid w:val="004D0CAD"/>
    <w:rsid w:val="004D1BC3"/>
    <w:rsid w:val="004D1D7B"/>
    <w:rsid w:val="004E445E"/>
    <w:rsid w:val="004F3637"/>
    <w:rsid w:val="004F5360"/>
    <w:rsid w:val="005008C0"/>
    <w:rsid w:val="00500ACE"/>
    <w:rsid w:val="005047D7"/>
    <w:rsid w:val="00513883"/>
    <w:rsid w:val="0053164C"/>
    <w:rsid w:val="00533816"/>
    <w:rsid w:val="005340DF"/>
    <w:rsid w:val="00534A0E"/>
    <w:rsid w:val="00535076"/>
    <w:rsid w:val="00536AD8"/>
    <w:rsid w:val="00536E3F"/>
    <w:rsid w:val="00541846"/>
    <w:rsid w:val="00547388"/>
    <w:rsid w:val="0054758E"/>
    <w:rsid w:val="00547892"/>
    <w:rsid w:val="0055254D"/>
    <w:rsid w:val="005715BC"/>
    <w:rsid w:val="00571DA4"/>
    <w:rsid w:val="00573009"/>
    <w:rsid w:val="0057436D"/>
    <w:rsid w:val="005744A1"/>
    <w:rsid w:val="005764C4"/>
    <w:rsid w:val="00577603"/>
    <w:rsid w:val="0058122C"/>
    <w:rsid w:val="00582B03"/>
    <w:rsid w:val="00585565"/>
    <w:rsid w:val="005869C1"/>
    <w:rsid w:val="005A1768"/>
    <w:rsid w:val="005A1F30"/>
    <w:rsid w:val="005A3D46"/>
    <w:rsid w:val="005B0E9D"/>
    <w:rsid w:val="005B29B4"/>
    <w:rsid w:val="005C28EE"/>
    <w:rsid w:val="005D0E37"/>
    <w:rsid w:val="005D4D77"/>
    <w:rsid w:val="005D5E1C"/>
    <w:rsid w:val="005D7B71"/>
    <w:rsid w:val="00600091"/>
    <w:rsid w:val="0060079E"/>
    <w:rsid w:val="00606FC2"/>
    <w:rsid w:val="00607708"/>
    <w:rsid w:val="00612264"/>
    <w:rsid w:val="00616F40"/>
    <w:rsid w:val="006170A3"/>
    <w:rsid w:val="00617AF8"/>
    <w:rsid w:val="00617DCC"/>
    <w:rsid w:val="0062057F"/>
    <w:rsid w:val="00620DE5"/>
    <w:rsid w:val="00622639"/>
    <w:rsid w:val="00627178"/>
    <w:rsid w:val="00630955"/>
    <w:rsid w:val="00636BFB"/>
    <w:rsid w:val="006418EF"/>
    <w:rsid w:val="0064430B"/>
    <w:rsid w:val="00650720"/>
    <w:rsid w:val="006511D0"/>
    <w:rsid w:val="0065224A"/>
    <w:rsid w:val="0066062A"/>
    <w:rsid w:val="0066410F"/>
    <w:rsid w:val="00664482"/>
    <w:rsid w:val="0067513D"/>
    <w:rsid w:val="00682353"/>
    <w:rsid w:val="006859AE"/>
    <w:rsid w:val="00685C05"/>
    <w:rsid w:val="00686693"/>
    <w:rsid w:val="00693D35"/>
    <w:rsid w:val="006A16A0"/>
    <w:rsid w:val="006A62FB"/>
    <w:rsid w:val="006A6C78"/>
    <w:rsid w:val="006B2B82"/>
    <w:rsid w:val="006B7495"/>
    <w:rsid w:val="006C4553"/>
    <w:rsid w:val="006D5B2B"/>
    <w:rsid w:val="006E1DD9"/>
    <w:rsid w:val="006E3DEA"/>
    <w:rsid w:val="006E3EEF"/>
    <w:rsid w:val="006F0F8D"/>
    <w:rsid w:val="006F0FBE"/>
    <w:rsid w:val="006F3F31"/>
    <w:rsid w:val="006F6ADA"/>
    <w:rsid w:val="00700577"/>
    <w:rsid w:val="00701D3A"/>
    <w:rsid w:val="00705D8D"/>
    <w:rsid w:val="007061E7"/>
    <w:rsid w:val="007133E8"/>
    <w:rsid w:val="007254BC"/>
    <w:rsid w:val="00735A81"/>
    <w:rsid w:val="00737E48"/>
    <w:rsid w:val="00740B47"/>
    <w:rsid w:val="00740F14"/>
    <w:rsid w:val="00744935"/>
    <w:rsid w:val="0074619B"/>
    <w:rsid w:val="00746A95"/>
    <w:rsid w:val="00764E3C"/>
    <w:rsid w:val="007672AE"/>
    <w:rsid w:val="007712F9"/>
    <w:rsid w:val="007725DB"/>
    <w:rsid w:val="00772A3D"/>
    <w:rsid w:val="007754BA"/>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7F1A70"/>
    <w:rsid w:val="0080060F"/>
    <w:rsid w:val="0080095C"/>
    <w:rsid w:val="00800BED"/>
    <w:rsid w:val="008148F1"/>
    <w:rsid w:val="008312BE"/>
    <w:rsid w:val="00840A74"/>
    <w:rsid w:val="00854781"/>
    <w:rsid w:val="0085572D"/>
    <w:rsid w:val="008652F1"/>
    <w:rsid w:val="00866145"/>
    <w:rsid w:val="00866790"/>
    <w:rsid w:val="00871EEB"/>
    <w:rsid w:val="008722D0"/>
    <w:rsid w:val="008748B4"/>
    <w:rsid w:val="00876B81"/>
    <w:rsid w:val="00885CBF"/>
    <w:rsid w:val="00887780"/>
    <w:rsid w:val="00892B7B"/>
    <w:rsid w:val="00895C96"/>
    <w:rsid w:val="008A1028"/>
    <w:rsid w:val="008A4505"/>
    <w:rsid w:val="008D6D3F"/>
    <w:rsid w:val="008E4A92"/>
    <w:rsid w:val="008F4EF1"/>
    <w:rsid w:val="008F5BA5"/>
    <w:rsid w:val="008F60F4"/>
    <w:rsid w:val="0090326D"/>
    <w:rsid w:val="0090332D"/>
    <w:rsid w:val="0091254F"/>
    <w:rsid w:val="00912FB5"/>
    <w:rsid w:val="009149C7"/>
    <w:rsid w:val="00916825"/>
    <w:rsid w:val="00922798"/>
    <w:rsid w:val="00926EEF"/>
    <w:rsid w:val="009408D5"/>
    <w:rsid w:val="00943357"/>
    <w:rsid w:val="009444D4"/>
    <w:rsid w:val="00946993"/>
    <w:rsid w:val="0094719D"/>
    <w:rsid w:val="009543C9"/>
    <w:rsid w:val="00954588"/>
    <w:rsid w:val="00960F87"/>
    <w:rsid w:val="0096560D"/>
    <w:rsid w:val="00966A62"/>
    <w:rsid w:val="009714D3"/>
    <w:rsid w:val="009727FB"/>
    <w:rsid w:val="00976955"/>
    <w:rsid w:val="00981A3D"/>
    <w:rsid w:val="00984220"/>
    <w:rsid w:val="00984892"/>
    <w:rsid w:val="00985C3A"/>
    <w:rsid w:val="009906B2"/>
    <w:rsid w:val="00991F61"/>
    <w:rsid w:val="009A62B3"/>
    <w:rsid w:val="009A7A53"/>
    <w:rsid w:val="009B272B"/>
    <w:rsid w:val="009B4C3C"/>
    <w:rsid w:val="009B5BBD"/>
    <w:rsid w:val="009C0271"/>
    <w:rsid w:val="009C1616"/>
    <w:rsid w:val="009C3FAF"/>
    <w:rsid w:val="009C6EDE"/>
    <w:rsid w:val="009D03FD"/>
    <w:rsid w:val="009D548C"/>
    <w:rsid w:val="009E2694"/>
    <w:rsid w:val="009E33FD"/>
    <w:rsid w:val="009E7057"/>
    <w:rsid w:val="009F23FA"/>
    <w:rsid w:val="00A02007"/>
    <w:rsid w:val="00A066DF"/>
    <w:rsid w:val="00A11570"/>
    <w:rsid w:val="00A118DC"/>
    <w:rsid w:val="00A14B56"/>
    <w:rsid w:val="00A1530D"/>
    <w:rsid w:val="00A15432"/>
    <w:rsid w:val="00A21079"/>
    <w:rsid w:val="00A305C8"/>
    <w:rsid w:val="00A3150A"/>
    <w:rsid w:val="00A3486C"/>
    <w:rsid w:val="00A40886"/>
    <w:rsid w:val="00A529F4"/>
    <w:rsid w:val="00A54A33"/>
    <w:rsid w:val="00A6348C"/>
    <w:rsid w:val="00A711D4"/>
    <w:rsid w:val="00A72EB8"/>
    <w:rsid w:val="00A7354A"/>
    <w:rsid w:val="00A74447"/>
    <w:rsid w:val="00A74EAF"/>
    <w:rsid w:val="00A770A9"/>
    <w:rsid w:val="00A83A7C"/>
    <w:rsid w:val="00A917D3"/>
    <w:rsid w:val="00A9414A"/>
    <w:rsid w:val="00AA0304"/>
    <w:rsid w:val="00AA1373"/>
    <w:rsid w:val="00AA5094"/>
    <w:rsid w:val="00AB05F8"/>
    <w:rsid w:val="00AB6951"/>
    <w:rsid w:val="00AC0834"/>
    <w:rsid w:val="00AC132D"/>
    <w:rsid w:val="00AC1B96"/>
    <w:rsid w:val="00AC3136"/>
    <w:rsid w:val="00AC3230"/>
    <w:rsid w:val="00AC3AFC"/>
    <w:rsid w:val="00AC4910"/>
    <w:rsid w:val="00AD6CC9"/>
    <w:rsid w:val="00AE1886"/>
    <w:rsid w:val="00AE5F5D"/>
    <w:rsid w:val="00AF34C5"/>
    <w:rsid w:val="00AF7235"/>
    <w:rsid w:val="00B05A2D"/>
    <w:rsid w:val="00B14FA4"/>
    <w:rsid w:val="00B21F40"/>
    <w:rsid w:val="00B378FF"/>
    <w:rsid w:val="00B40D01"/>
    <w:rsid w:val="00B4119A"/>
    <w:rsid w:val="00B435FF"/>
    <w:rsid w:val="00B4392F"/>
    <w:rsid w:val="00B43DA8"/>
    <w:rsid w:val="00B65524"/>
    <w:rsid w:val="00B70CE4"/>
    <w:rsid w:val="00B71000"/>
    <w:rsid w:val="00B712ED"/>
    <w:rsid w:val="00B71993"/>
    <w:rsid w:val="00B76A14"/>
    <w:rsid w:val="00B77435"/>
    <w:rsid w:val="00B81C8B"/>
    <w:rsid w:val="00B8709E"/>
    <w:rsid w:val="00B951B5"/>
    <w:rsid w:val="00BA307A"/>
    <w:rsid w:val="00BA46C8"/>
    <w:rsid w:val="00BB2619"/>
    <w:rsid w:val="00BB4BD0"/>
    <w:rsid w:val="00BB6128"/>
    <w:rsid w:val="00BC0BEA"/>
    <w:rsid w:val="00BC29F8"/>
    <w:rsid w:val="00BD38B5"/>
    <w:rsid w:val="00BD4A29"/>
    <w:rsid w:val="00BD5964"/>
    <w:rsid w:val="00BE0E8C"/>
    <w:rsid w:val="00BE3AA4"/>
    <w:rsid w:val="00BE7D22"/>
    <w:rsid w:val="00BF3B18"/>
    <w:rsid w:val="00BF4EAD"/>
    <w:rsid w:val="00C014DF"/>
    <w:rsid w:val="00C019A7"/>
    <w:rsid w:val="00C0342B"/>
    <w:rsid w:val="00C039E5"/>
    <w:rsid w:val="00C04D76"/>
    <w:rsid w:val="00C11F28"/>
    <w:rsid w:val="00C1282F"/>
    <w:rsid w:val="00C1337C"/>
    <w:rsid w:val="00C403E2"/>
    <w:rsid w:val="00C40591"/>
    <w:rsid w:val="00C40D0C"/>
    <w:rsid w:val="00C4283F"/>
    <w:rsid w:val="00C43298"/>
    <w:rsid w:val="00C4497C"/>
    <w:rsid w:val="00C547DA"/>
    <w:rsid w:val="00C70558"/>
    <w:rsid w:val="00C71175"/>
    <w:rsid w:val="00C82C78"/>
    <w:rsid w:val="00C95A82"/>
    <w:rsid w:val="00C96032"/>
    <w:rsid w:val="00C9700A"/>
    <w:rsid w:val="00CA383D"/>
    <w:rsid w:val="00CA6486"/>
    <w:rsid w:val="00CA6929"/>
    <w:rsid w:val="00CA79C7"/>
    <w:rsid w:val="00CB1517"/>
    <w:rsid w:val="00CB1D98"/>
    <w:rsid w:val="00CB25E0"/>
    <w:rsid w:val="00CB52DB"/>
    <w:rsid w:val="00CB599F"/>
    <w:rsid w:val="00CB6F32"/>
    <w:rsid w:val="00CC0069"/>
    <w:rsid w:val="00CC03F5"/>
    <w:rsid w:val="00CC2B3F"/>
    <w:rsid w:val="00CD25B5"/>
    <w:rsid w:val="00CD2CD8"/>
    <w:rsid w:val="00CD3435"/>
    <w:rsid w:val="00CE46D7"/>
    <w:rsid w:val="00CE494A"/>
    <w:rsid w:val="00CE51E8"/>
    <w:rsid w:val="00CF786A"/>
    <w:rsid w:val="00CF7960"/>
    <w:rsid w:val="00D0019E"/>
    <w:rsid w:val="00D04B98"/>
    <w:rsid w:val="00D06F19"/>
    <w:rsid w:val="00D20889"/>
    <w:rsid w:val="00D25DA1"/>
    <w:rsid w:val="00D266D4"/>
    <w:rsid w:val="00D35C2E"/>
    <w:rsid w:val="00D43B9B"/>
    <w:rsid w:val="00D524F7"/>
    <w:rsid w:val="00D63366"/>
    <w:rsid w:val="00D6599E"/>
    <w:rsid w:val="00D665B5"/>
    <w:rsid w:val="00D80E47"/>
    <w:rsid w:val="00D924AD"/>
    <w:rsid w:val="00D95B75"/>
    <w:rsid w:val="00D96CF9"/>
    <w:rsid w:val="00DA158D"/>
    <w:rsid w:val="00DA2F02"/>
    <w:rsid w:val="00DA6E2D"/>
    <w:rsid w:val="00DB10D3"/>
    <w:rsid w:val="00DE6DE4"/>
    <w:rsid w:val="00DF35F6"/>
    <w:rsid w:val="00DF4DF6"/>
    <w:rsid w:val="00DF7E8E"/>
    <w:rsid w:val="00E06370"/>
    <w:rsid w:val="00E17242"/>
    <w:rsid w:val="00E2017D"/>
    <w:rsid w:val="00E23B05"/>
    <w:rsid w:val="00E23E64"/>
    <w:rsid w:val="00E23FFE"/>
    <w:rsid w:val="00E3318E"/>
    <w:rsid w:val="00E3443D"/>
    <w:rsid w:val="00E346CC"/>
    <w:rsid w:val="00E34BE4"/>
    <w:rsid w:val="00E4055C"/>
    <w:rsid w:val="00E42626"/>
    <w:rsid w:val="00E44E55"/>
    <w:rsid w:val="00E52E26"/>
    <w:rsid w:val="00E53903"/>
    <w:rsid w:val="00E53B8C"/>
    <w:rsid w:val="00E54321"/>
    <w:rsid w:val="00E56536"/>
    <w:rsid w:val="00E5783A"/>
    <w:rsid w:val="00E665F2"/>
    <w:rsid w:val="00E72916"/>
    <w:rsid w:val="00E753D2"/>
    <w:rsid w:val="00E81600"/>
    <w:rsid w:val="00E850D3"/>
    <w:rsid w:val="00E857CE"/>
    <w:rsid w:val="00E87D6A"/>
    <w:rsid w:val="00E90854"/>
    <w:rsid w:val="00E965D1"/>
    <w:rsid w:val="00E974A2"/>
    <w:rsid w:val="00EA6E89"/>
    <w:rsid w:val="00EC3889"/>
    <w:rsid w:val="00EC515D"/>
    <w:rsid w:val="00ED4FFE"/>
    <w:rsid w:val="00EE723A"/>
    <w:rsid w:val="00EF1808"/>
    <w:rsid w:val="00F022E2"/>
    <w:rsid w:val="00F02CEA"/>
    <w:rsid w:val="00F03384"/>
    <w:rsid w:val="00F0793D"/>
    <w:rsid w:val="00F15DA0"/>
    <w:rsid w:val="00F24F76"/>
    <w:rsid w:val="00F26165"/>
    <w:rsid w:val="00F26B5F"/>
    <w:rsid w:val="00F27C68"/>
    <w:rsid w:val="00F37419"/>
    <w:rsid w:val="00F411A1"/>
    <w:rsid w:val="00F51D00"/>
    <w:rsid w:val="00F5543B"/>
    <w:rsid w:val="00F55530"/>
    <w:rsid w:val="00F55F50"/>
    <w:rsid w:val="00F61893"/>
    <w:rsid w:val="00F6326F"/>
    <w:rsid w:val="00F71393"/>
    <w:rsid w:val="00F73B1B"/>
    <w:rsid w:val="00F757F6"/>
    <w:rsid w:val="00F7724B"/>
    <w:rsid w:val="00F77FC4"/>
    <w:rsid w:val="00F91579"/>
    <w:rsid w:val="00F94652"/>
    <w:rsid w:val="00FA044E"/>
    <w:rsid w:val="00FA1A8E"/>
    <w:rsid w:val="00FA576D"/>
    <w:rsid w:val="00FA5939"/>
    <w:rsid w:val="00FB02BC"/>
    <w:rsid w:val="00FD4BF3"/>
    <w:rsid w:val="00FD4C66"/>
    <w:rsid w:val="00FE1D36"/>
    <w:rsid w:val="00FE710B"/>
    <w:rsid w:val="00FF44D9"/>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a54318e83113e9fae56f07898d026f1c">
  <xsd:schema xmlns:xsd="http://www.w3.org/2001/XMLSchema" xmlns:xs="http://www.w3.org/2001/XMLSchema" xmlns:p="http://schemas.microsoft.com/office/2006/metadata/properties" xmlns:ns3="e29d5ee1-a564-4572-908c-0357b19afe17" targetNamespace="http://schemas.microsoft.com/office/2006/metadata/properties" ma:root="true" ma:fieldsID="b2380b590cef7445dc83cb6e8995b7d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CE85102-BCA0-4100-A031-12B7C3FFE9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569247-DF25-413E-80DB-2F0B786BD187}">
  <ds:schemaRefs>
    <ds:schemaRef ds:uri="http://schemas.microsoft.com/sharepoint/v3/contenttype/forms"/>
  </ds:schemaRefs>
</ds:datastoreItem>
</file>

<file path=customXml/itemProps3.xml><?xml version="1.0" encoding="utf-8"?>
<ds:datastoreItem xmlns:ds="http://schemas.openxmlformats.org/officeDocument/2006/customXml" ds:itemID="{E31A4561-9BF5-416B-9959-647F182C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605882-29A7-4704-BCFF-41586CC1B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Sheffer, Ryan</cp:lastModifiedBy>
  <cp:revision>33</cp:revision>
  <cp:lastPrinted>2020-03-02T15:28:00Z</cp:lastPrinted>
  <dcterms:created xsi:type="dcterms:W3CDTF">2020-06-03T15:38:00Z</dcterms:created>
  <dcterms:modified xsi:type="dcterms:W3CDTF">2020-06-22T13:25:00Z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