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3634942A" w14:textId="77777777">
        <w:trPr>
          <w:trHeight w:val="990"/>
        </w:trPr>
        <w:tc>
          <w:tcPr>
            <w:tcW w:w="1363" w:type="dxa"/>
          </w:tcPr>
          <w:p w14:paraId="6866E96D" w14:textId="572C374C" w:rsidR="00BE55C7" w:rsidRDefault="00CA4A02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251733D" wp14:editId="43C77DA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F15E811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05B9F63" w14:textId="77777777" w:rsidR="00CA4A02" w:rsidRDefault="00CA4A02" w:rsidP="00CA4A0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5FE67CA" w14:textId="77777777" w:rsidR="00CA4A02" w:rsidRDefault="00CA4A02" w:rsidP="00CA4A0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83C38D1" w14:textId="6BE08D84" w:rsidR="00BE55C7" w:rsidRDefault="00CA4A02" w:rsidP="00CA4A0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095C5A2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6FC6FA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D542473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0070DE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9ACD3EB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64AD462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FC290AA" w14:textId="568C6032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6BFACDF" w14:textId="06BED2BC" w:rsidR="00CA0885" w:rsidRDefault="008209FB" w:rsidP="00247357">
      <w:pPr>
        <w:jc w:val="center"/>
        <w:rPr>
          <w:sz w:val="26"/>
          <w:szCs w:val="26"/>
        </w:rPr>
      </w:pPr>
      <w:r>
        <w:rPr>
          <w:sz w:val="26"/>
          <w:szCs w:val="26"/>
        </w:rPr>
        <w:t>June 23, 2020</w:t>
      </w:r>
    </w:p>
    <w:p w14:paraId="65A4DE06" w14:textId="728C932E" w:rsidR="003F7A29" w:rsidRPr="003F7A29" w:rsidRDefault="003F7A29" w:rsidP="00247357">
      <w:pPr>
        <w:jc w:val="center"/>
        <w:rPr>
          <w:rFonts w:ascii="Arial" w:hAnsi="Arial" w:cs="Arial"/>
          <w:sz w:val="24"/>
          <w:szCs w:val="24"/>
        </w:rPr>
      </w:pPr>
    </w:p>
    <w:p w14:paraId="51531F98" w14:textId="77777777" w:rsidR="00337673" w:rsidRPr="00B92FB3" w:rsidRDefault="00337673" w:rsidP="00470859">
      <w:pPr>
        <w:rPr>
          <w:sz w:val="24"/>
          <w:szCs w:val="24"/>
        </w:rPr>
      </w:pPr>
    </w:p>
    <w:p w14:paraId="4A8F241E" w14:textId="77777777" w:rsidR="003F7A29" w:rsidRPr="007D360B" w:rsidRDefault="003F7A29" w:rsidP="003F7A29">
      <w:pPr>
        <w:rPr>
          <w:rFonts w:ascii="Arial" w:hAnsi="Arial" w:cs="Arial"/>
          <w:b/>
          <w:sz w:val="24"/>
          <w:szCs w:val="24"/>
        </w:rPr>
      </w:pPr>
      <w:r w:rsidRPr="007D360B">
        <w:rPr>
          <w:rFonts w:ascii="Arial" w:hAnsi="Arial" w:cs="Arial"/>
          <w:b/>
          <w:sz w:val="24"/>
          <w:szCs w:val="24"/>
        </w:rPr>
        <w:t xml:space="preserve">MR </w:t>
      </w:r>
      <w:r>
        <w:rPr>
          <w:rFonts w:ascii="Arial" w:hAnsi="Arial" w:cs="Arial"/>
          <w:b/>
          <w:sz w:val="24"/>
          <w:szCs w:val="24"/>
        </w:rPr>
        <w:t>JOHN ZUK</w:t>
      </w:r>
    </w:p>
    <w:p w14:paraId="706960BF" w14:textId="77777777" w:rsidR="003F7A29" w:rsidRPr="007D360B" w:rsidRDefault="003F7A29" w:rsidP="003F7A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SR </w:t>
      </w:r>
      <w:r w:rsidRPr="007D360B">
        <w:rPr>
          <w:rFonts w:ascii="Arial" w:hAnsi="Arial" w:cs="Arial"/>
          <w:b/>
          <w:sz w:val="24"/>
          <w:szCs w:val="24"/>
        </w:rPr>
        <w:t xml:space="preserve">VICE PRESIDENT </w:t>
      </w:r>
      <w:r>
        <w:rPr>
          <w:rFonts w:ascii="Arial" w:hAnsi="Arial" w:cs="Arial"/>
          <w:b/>
          <w:sz w:val="24"/>
          <w:szCs w:val="24"/>
        </w:rPr>
        <w:t>OF GAS MANAGEMENT</w:t>
      </w:r>
    </w:p>
    <w:p w14:paraId="15B17507" w14:textId="77777777" w:rsidR="003F7A29" w:rsidRPr="007D360B" w:rsidRDefault="003F7A29" w:rsidP="003F7A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 GAS WORKS</w:t>
      </w:r>
    </w:p>
    <w:p w14:paraId="53E347E9" w14:textId="16BF891D" w:rsidR="003F7A29" w:rsidRPr="007D360B" w:rsidRDefault="003F7A29" w:rsidP="003F7A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800 WEST MONTGOMERY AVE</w:t>
      </w:r>
    </w:p>
    <w:p w14:paraId="514AA297" w14:textId="77777777" w:rsidR="003F7A29" w:rsidRPr="007D360B" w:rsidRDefault="003F7A29" w:rsidP="003F7A29">
      <w:pPr>
        <w:rPr>
          <w:rFonts w:ascii="Arial" w:hAnsi="Arial" w:cs="Arial"/>
          <w:b/>
          <w:sz w:val="24"/>
          <w:szCs w:val="24"/>
        </w:rPr>
      </w:pPr>
      <w:r w:rsidRPr="007D360B">
        <w:rPr>
          <w:rFonts w:ascii="Arial" w:hAnsi="Arial" w:cs="Arial"/>
          <w:b/>
          <w:sz w:val="24"/>
          <w:szCs w:val="24"/>
        </w:rPr>
        <w:t xml:space="preserve">PHILADELPHIA PA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D360B">
        <w:rPr>
          <w:rFonts w:ascii="Arial" w:hAnsi="Arial" w:cs="Arial"/>
          <w:b/>
          <w:sz w:val="24"/>
          <w:szCs w:val="24"/>
        </w:rPr>
        <w:t>191</w:t>
      </w:r>
      <w:r>
        <w:rPr>
          <w:rFonts w:ascii="Arial" w:hAnsi="Arial" w:cs="Arial"/>
          <w:b/>
          <w:sz w:val="24"/>
          <w:szCs w:val="24"/>
        </w:rPr>
        <w:t>22</w:t>
      </w:r>
    </w:p>
    <w:p w14:paraId="374C58BE" w14:textId="77777777" w:rsidR="003F7A29" w:rsidRPr="0046048F" w:rsidRDefault="003F7A29" w:rsidP="003F7A29">
      <w:pPr>
        <w:rPr>
          <w:rFonts w:ascii="Arial" w:hAnsi="Arial" w:cs="Arial"/>
          <w:sz w:val="24"/>
          <w:szCs w:val="24"/>
        </w:rPr>
      </w:pPr>
    </w:p>
    <w:p w14:paraId="5245FF42" w14:textId="6A7BD3FF" w:rsidR="00624C52" w:rsidRPr="00B92FB3" w:rsidRDefault="00624C52" w:rsidP="00A84DBC">
      <w:pPr>
        <w:tabs>
          <w:tab w:val="left" w:pos="540"/>
        </w:tabs>
        <w:ind w:left="540" w:right="-450" w:hanging="540"/>
        <w:rPr>
          <w:rFonts w:ascii="Arial" w:hAnsi="Arial" w:cs="Arial"/>
          <w:b/>
          <w:sz w:val="24"/>
          <w:szCs w:val="24"/>
        </w:rPr>
      </w:pPr>
      <w:r w:rsidRPr="00B92FB3">
        <w:rPr>
          <w:rFonts w:ascii="Arial" w:hAnsi="Arial" w:cs="Arial"/>
          <w:b/>
          <w:sz w:val="24"/>
          <w:szCs w:val="24"/>
        </w:rPr>
        <w:t>RE:</w:t>
      </w:r>
      <w:r w:rsidRPr="00B92FB3">
        <w:rPr>
          <w:rFonts w:ascii="Arial" w:hAnsi="Arial" w:cs="Arial"/>
          <w:b/>
          <w:sz w:val="24"/>
          <w:szCs w:val="24"/>
        </w:rPr>
        <w:tab/>
      </w:r>
      <w:r w:rsidR="00FC4735">
        <w:rPr>
          <w:rFonts w:ascii="Arial" w:hAnsi="Arial" w:cs="Arial"/>
          <w:b/>
          <w:sz w:val="24"/>
          <w:szCs w:val="24"/>
        </w:rPr>
        <w:t>Gas Cost Rate</w:t>
      </w:r>
      <w:r w:rsidRPr="00B92FB3">
        <w:rPr>
          <w:rFonts w:ascii="Arial" w:hAnsi="Arial" w:cs="Arial"/>
          <w:b/>
          <w:sz w:val="24"/>
          <w:szCs w:val="24"/>
        </w:rPr>
        <w:t xml:space="preserve"> Audit</w:t>
      </w:r>
    </w:p>
    <w:p w14:paraId="625E58CC" w14:textId="55DB66F3" w:rsidR="00624C52" w:rsidRPr="00B92FB3" w:rsidRDefault="00624C52" w:rsidP="00624C52">
      <w:pPr>
        <w:tabs>
          <w:tab w:val="left" w:pos="540"/>
        </w:tabs>
        <w:ind w:left="540" w:right="-450" w:hanging="54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b/>
          <w:sz w:val="24"/>
          <w:szCs w:val="24"/>
        </w:rPr>
        <w:tab/>
        <w:t>D</w:t>
      </w:r>
      <w:r w:rsidR="00DA5867" w:rsidRPr="00B92FB3">
        <w:rPr>
          <w:rFonts w:ascii="Arial" w:hAnsi="Arial" w:cs="Arial"/>
          <w:b/>
          <w:sz w:val="24"/>
          <w:szCs w:val="24"/>
        </w:rPr>
        <w:t>ocket</w:t>
      </w:r>
      <w:r w:rsidRPr="00B92FB3">
        <w:rPr>
          <w:rFonts w:ascii="Arial" w:hAnsi="Arial" w:cs="Arial"/>
          <w:b/>
          <w:sz w:val="24"/>
          <w:szCs w:val="24"/>
        </w:rPr>
        <w:t xml:space="preserve"> N</w:t>
      </w:r>
      <w:r w:rsidR="00DA5867" w:rsidRPr="00B92FB3">
        <w:rPr>
          <w:rFonts w:ascii="Arial" w:hAnsi="Arial" w:cs="Arial"/>
          <w:b/>
          <w:sz w:val="24"/>
          <w:szCs w:val="24"/>
        </w:rPr>
        <w:t>o</w:t>
      </w:r>
      <w:r w:rsidRPr="00B92FB3">
        <w:rPr>
          <w:rFonts w:ascii="Arial" w:hAnsi="Arial" w:cs="Arial"/>
          <w:b/>
          <w:sz w:val="24"/>
          <w:szCs w:val="24"/>
        </w:rPr>
        <w:t>. D-</w:t>
      </w:r>
      <w:r w:rsidR="006034EF" w:rsidRPr="00B92FB3">
        <w:rPr>
          <w:rFonts w:ascii="Arial" w:hAnsi="Arial" w:cs="Arial"/>
          <w:b/>
          <w:sz w:val="24"/>
          <w:szCs w:val="24"/>
        </w:rPr>
        <w:t>201</w:t>
      </w:r>
      <w:r w:rsidR="006C058B">
        <w:rPr>
          <w:rFonts w:ascii="Arial" w:hAnsi="Arial" w:cs="Arial"/>
          <w:b/>
          <w:sz w:val="24"/>
          <w:szCs w:val="24"/>
        </w:rPr>
        <w:t>8</w:t>
      </w:r>
      <w:r w:rsidR="006034EF" w:rsidRPr="00B92FB3">
        <w:rPr>
          <w:rFonts w:ascii="Arial" w:hAnsi="Arial" w:cs="Arial"/>
          <w:b/>
          <w:sz w:val="24"/>
          <w:szCs w:val="24"/>
        </w:rPr>
        <w:t>-</w:t>
      </w:r>
      <w:r w:rsidR="00E8464C" w:rsidRPr="00B92FB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C058B">
        <w:rPr>
          <w:rFonts w:ascii="Arial" w:hAnsi="Arial" w:cs="Arial"/>
          <w:b/>
          <w:spacing w:val="-2"/>
          <w:sz w:val="24"/>
          <w:szCs w:val="24"/>
        </w:rPr>
        <w:t>30012</w:t>
      </w:r>
      <w:r w:rsidR="00C9069F">
        <w:rPr>
          <w:rFonts w:ascii="Arial" w:hAnsi="Arial" w:cs="Arial"/>
          <w:b/>
          <w:spacing w:val="-2"/>
          <w:sz w:val="24"/>
          <w:szCs w:val="24"/>
        </w:rPr>
        <w:t>1</w:t>
      </w:r>
      <w:r w:rsidR="00356339">
        <w:rPr>
          <w:rFonts w:ascii="Arial" w:hAnsi="Arial" w:cs="Arial"/>
          <w:b/>
          <w:spacing w:val="-2"/>
          <w:sz w:val="24"/>
          <w:szCs w:val="24"/>
        </w:rPr>
        <w:t>4</w:t>
      </w:r>
    </w:p>
    <w:p w14:paraId="5881716F" w14:textId="77777777" w:rsidR="00624C52" w:rsidRPr="00B92FB3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78E99BAB" w14:textId="170AE714" w:rsidR="00624C52" w:rsidRPr="00B92FB3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 xml:space="preserve">Dear Mr. </w:t>
      </w:r>
      <w:proofErr w:type="spellStart"/>
      <w:r w:rsidR="003F7A29">
        <w:rPr>
          <w:rFonts w:ascii="Arial" w:hAnsi="Arial" w:cs="Arial"/>
          <w:sz w:val="24"/>
          <w:szCs w:val="24"/>
        </w:rPr>
        <w:t>Zuk</w:t>
      </w:r>
      <w:proofErr w:type="spellEnd"/>
      <w:r w:rsidRPr="00B92FB3">
        <w:rPr>
          <w:rFonts w:ascii="Arial" w:hAnsi="Arial" w:cs="Arial"/>
          <w:sz w:val="24"/>
          <w:szCs w:val="24"/>
        </w:rPr>
        <w:t>:</w:t>
      </w:r>
    </w:p>
    <w:p w14:paraId="3505E1FD" w14:textId="77777777" w:rsidR="00470859" w:rsidRPr="00B92FB3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</w:p>
    <w:p w14:paraId="30F47EAD" w14:textId="42BF143D" w:rsidR="00663C09" w:rsidRDefault="00470859" w:rsidP="00663C09">
      <w:pPr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="00663C09" w:rsidRPr="00094E44">
        <w:rPr>
          <w:rFonts w:ascii="Arial" w:hAnsi="Arial" w:cs="Arial"/>
          <w:sz w:val="24"/>
          <w:szCs w:val="24"/>
        </w:rPr>
        <w:t xml:space="preserve">Enclosed is a copy of the Bureau of Audits’ report on Philadelphia Gas Works’ Gas Cost </w:t>
      </w:r>
      <w:r w:rsidR="00663C09">
        <w:rPr>
          <w:rFonts w:ascii="Arial" w:hAnsi="Arial" w:cs="Arial"/>
          <w:sz w:val="24"/>
          <w:szCs w:val="24"/>
        </w:rPr>
        <w:t xml:space="preserve">Rate </w:t>
      </w:r>
      <w:r w:rsidR="00663C09" w:rsidRPr="00094E44">
        <w:rPr>
          <w:rFonts w:ascii="Arial" w:hAnsi="Arial" w:cs="Arial"/>
          <w:sz w:val="24"/>
          <w:szCs w:val="24"/>
        </w:rPr>
        <w:t xml:space="preserve">for the </w:t>
      </w:r>
      <w:r w:rsidR="003F7A29">
        <w:rPr>
          <w:rFonts w:ascii="Arial" w:hAnsi="Arial" w:cs="Arial"/>
          <w:sz w:val="24"/>
          <w:szCs w:val="24"/>
        </w:rPr>
        <w:t>12</w:t>
      </w:r>
      <w:r w:rsidR="00663C09" w:rsidRPr="00094E44">
        <w:rPr>
          <w:rFonts w:ascii="Arial" w:hAnsi="Arial" w:cs="Arial"/>
          <w:sz w:val="24"/>
          <w:szCs w:val="24"/>
        </w:rPr>
        <w:t>-month</w:t>
      </w:r>
      <w:r w:rsidR="00663C09">
        <w:rPr>
          <w:rFonts w:ascii="Arial" w:hAnsi="Arial" w:cs="Arial"/>
          <w:sz w:val="24"/>
          <w:szCs w:val="24"/>
        </w:rPr>
        <w:t xml:space="preserve"> period</w:t>
      </w:r>
      <w:r w:rsidR="00663C09" w:rsidRPr="00094E44">
        <w:rPr>
          <w:rFonts w:ascii="Arial" w:hAnsi="Arial" w:cs="Arial"/>
          <w:sz w:val="24"/>
          <w:szCs w:val="24"/>
        </w:rPr>
        <w:t>s ended December</w:t>
      </w:r>
      <w:r w:rsidR="00663C09">
        <w:rPr>
          <w:rFonts w:ascii="Arial" w:hAnsi="Arial" w:cs="Arial"/>
          <w:sz w:val="24"/>
          <w:szCs w:val="24"/>
        </w:rPr>
        <w:t xml:space="preserve"> 31, 2016 and December 31, 2015</w:t>
      </w:r>
      <w:r w:rsidR="00663C09" w:rsidRPr="00094E44">
        <w:rPr>
          <w:rFonts w:ascii="Arial" w:hAnsi="Arial" w:cs="Arial"/>
          <w:sz w:val="24"/>
          <w:szCs w:val="24"/>
        </w:rPr>
        <w:t xml:space="preserve">.  </w:t>
      </w:r>
      <w:r w:rsidR="00663C09" w:rsidRPr="00A43421">
        <w:rPr>
          <w:rFonts w:ascii="Arial" w:hAnsi="Arial" w:cs="Arial"/>
          <w:sz w:val="24"/>
          <w:szCs w:val="24"/>
        </w:rPr>
        <w:t xml:space="preserve">This audit report was released to the public on </w:t>
      </w:r>
      <w:r w:rsidR="003F7A29">
        <w:rPr>
          <w:rFonts w:ascii="Arial" w:hAnsi="Arial" w:cs="Arial"/>
          <w:sz w:val="24"/>
          <w:szCs w:val="24"/>
        </w:rPr>
        <w:t xml:space="preserve">June </w:t>
      </w:r>
      <w:r w:rsidR="0072518F">
        <w:rPr>
          <w:rFonts w:ascii="Arial" w:hAnsi="Arial" w:cs="Arial"/>
          <w:sz w:val="24"/>
          <w:szCs w:val="24"/>
        </w:rPr>
        <w:t>2</w:t>
      </w:r>
      <w:r w:rsidR="0050012C">
        <w:rPr>
          <w:rFonts w:ascii="Arial" w:hAnsi="Arial" w:cs="Arial"/>
          <w:sz w:val="24"/>
          <w:szCs w:val="24"/>
        </w:rPr>
        <w:t>3</w:t>
      </w:r>
      <w:r w:rsidR="00663C09" w:rsidRPr="00A43421">
        <w:rPr>
          <w:rFonts w:ascii="Arial" w:hAnsi="Arial" w:cs="Arial"/>
          <w:sz w:val="24"/>
          <w:szCs w:val="24"/>
        </w:rPr>
        <w:t>, 20</w:t>
      </w:r>
      <w:r w:rsidR="00663C09">
        <w:rPr>
          <w:rFonts w:ascii="Arial" w:hAnsi="Arial" w:cs="Arial"/>
          <w:sz w:val="24"/>
          <w:szCs w:val="24"/>
        </w:rPr>
        <w:t>20</w:t>
      </w:r>
      <w:r w:rsidR="00663C09" w:rsidRPr="00A43421">
        <w:rPr>
          <w:rFonts w:ascii="Arial" w:hAnsi="Arial" w:cs="Arial"/>
          <w:sz w:val="24"/>
          <w:szCs w:val="24"/>
        </w:rPr>
        <w:t>.</w:t>
      </w:r>
      <w:r w:rsidR="00663C09">
        <w:rPr>
          <w:rFonts w:ascii="Arial" w:hAnsi="Arial" w:cs="Arial"/>
          <w:sz w:val="24"/>
          <w:szCs w:val="24"/>
        </w:rPr>
        <w:t xml:space="preserve">  </w:t>
      </w:r>
      <w:r w:rsidR="00663C09" w:rsidRPr="00A43421">
        <w:rPr>
          <w:rFonts w:ascii="Arial" w:hAnsi="Arial" w:cs="Arial"/>
          <w:sz w:val="24"/>
          <w:szCs w:val="24"/>
        </w:rPr>
        <w:t>The audit report disclosed the following finding</w:t>
      </w:r>
      <w:r w:rsidR="00663C09">
        <w:rPr>
          <w:rFonts w:ascii="Arial" w:hAnsi="Arial" w:cs="Arial"/>
          <w:sz w:val="24"/>
          <w:szCs w:val="24"/>
        </w:rPr>
        <w:t>s</w:t>
      </w:r>
      <w:r w:rsidR="00663C09" w:rsidRPr="00A43421">
        <w:rPr>
          <w:rFonts w:ascii="Arial" w:hAnsi="Arial" w:cs="Arial"/>
          <w:sz w:val="24"/>
          <w:szCs w:val="24"/>
        </w:rPr>
        <w:t>:</w:t>
      </w:r>
    </w:p>
    <w:p w14:paraId="2A5C479B" w14:textId="77777777" w:rsidR="00663C09" w:rsidRDefault="00663C09" w:rsidP="00663C09">
      <w:pPr>
        <w:rPr>
          <w:rFonts w:ascii="Arial" w:hAnsi="Arial" w:cs="Arial"/>
          <w:sz w:val="24"/>
          <w:szCs w:val="24"/>
        </w:rPr>
      </w:pPr>
    </w:p>
    <w:p w14:paraId="6B80128B" w14:textId="77777777" w:rsidR="00CD08C1" w:rsidRPr="0026649B" w:rsidRDefault="00CD08C1" w:rsidP="00CD08C1">
      <w:pPr>
        <w:tabs>
          <w:tab w:val="left" w:pos="360"/>
        </w:tabs>
        <w:ind w:left="1800" w:hanging="1800"/>
        <w:rPr>
          <w:rFonts w:ascii="Arial" w:hAnsi="Arial" w:cs="Arial"/>
          <w:b/>
          <w:bCs/>
          <w:sz w:val="24"/>
          <w:szCs w:val="24"/>
        </w:rPr>
      </w:pPr>
      <w:r w:rsidRPr="0026649B">
        <w:rPr>
          <w:rFonts w:ascii="Arial" w:hAnsi="Arial" w:cs="Arial"/>
          <w:b/>
          <w:bCs/>
          <w:sz w:val="24"/>
          <w:szCs w:val="24"/>
        </w:rPr>
        <w:t>Finding No. 1 – PGW failed to record and credit pipeline refunds to its 2015 and 2016 GCR.</w:t>
      </w:r>
    </w:p>
    <w:p w14:paraId="3A4EF276" w14:textId="77777777" w:rsidR="00CD08C1" w:rsidRPr="0026649B" w:rsidRDefault="00CD08C1" w:rsidP="0025289C">
      <w:pPr>
        <w:tabs>
          <w:tab w:val="left" w:pos="540"/>
        </w:tabs>
        <w:suppressAutoHyphens/>
        <w:ind w:left="720" w:hanging="540"/>
        <w:rPr>
          <w:rFonts w:ascii="Arial" w:hAnsi="Arial" w:cs="Arial"/>
          <w:b/>
          <w:bCs/>
          <w:sz w:val="24"/>
          <w:szCs w:val="24"/>
        </w:rPr>
      </w:pPr>
    </w:p>
    <w:p w14:paraId="58605D38" w14:textId="67027684" w:rsidR="00CD08C1" w:rsidRDefault="00CD08C1" w:rsidP="00CD08C1">
      <w:pPr>
        <w:tabs>
          <w:tab w:val="left" w:pos="360"/>
        </w:tabs>
        <w:ind w:left="1800" w:hanging="1800"/>
        <w:rPr>
          <w:rFonts w:ascii="Arial" w:hAnsi="Arial" w:cs="Arial"/>
          <w:b/>
          <w:bCs/>
          <w:sz w:val="24"/>
          <w:szCs w:val="24"/>
        </w:rPr>
      </w:pPr>
      <w:r w:rsidRPr="0026649B">
        <w:rPr>
          <w:rFonts w:ascii="Arial" w:hAnsi="Arial" w:cs="Arial"/>
          <w:b/>
          <w:bCs/>
          <w:sz w:val="24"/>
          <w:szCs w:val="24"/>
        </w:rPr>
        <w:t>Finding No. 2 – PGW did not update its billing system with the approved NGVSF rates for the 2nd Quarter effective June 1, 2015 and erroneously charged customers the 1st Quarter rates.</w:t>
      </w:r>
    </w:p>
    <w:p w14:paraId="64899F7C" w14:textId="77777777" w:rsidR="0026649B" w:rsidRPr="0026649B" w:rsidRDefault="0026649B" w:rsidP="00CD08C1">
      <w:pPr>
        <w:tabs>
          <w:tab w:val="left" w:pos="360"/>
        </w:tabs>
        <w:ind w:left="1800" w:hanging="1800"/>
        <w:rPr>
          <w:rFonts w:ascii="Arial" w:hAnsi="Arial" w:cs="Arial"/>
          <w:b/>
          <w:bCs/>
          <w:sz w:val="24"/>
          <w:szCs w:val="24"/>
        </w:rPr>
      </w:pPr>
    </w:p>
    <w:p w14:paraId="01AF49E1" w14:textId="77777777" w:rsidR="00CD08C1" w:rsidRPr="0026649B" w:rsidRDefault="00CD08C1" w:rsidP="00CD08C1">
      <w:pPr>
        <w:tabs>
          <w:tab w:val="left" w:pos="360"/>
        </w:tabs>
        <w:ind w:left="1800" w:hanging="1800"/>
        <w:rPr>
          <w:rFonts w:ascii="Arial" w:hAnsi="Arial" w:cs="Arial"/>
          <w:b/>
          <w:bCs/>
          <w:sz w:val="24"/>
          <w:szCs w:val="24"/>
        </w:rPr>
      </w:pPr>
      <w:r w:rsidRPr="0026649B">
        <w:rPr>
          <w:rFonts w:ascii="Arial" w:hAnsi="Arial" w:cs="Arial"/>
          <w:b/>
          <w:bCs/>
          <w:sz w:val="24"/>
          <w:szCs w:val="24"/>
        </w:rPr>
        <w:t xml:space="preserve">Finding No. 3 – PGW is utilizing a Fictitious Rate as a placeholder to temporarily capture usage for administrative purposes and the resulting usages cannot be reconciled back to re-billed customers. </w:t>
      </w:r>
    </w:p>
    <w:p w14:paraId="10CDA6FC" w14:textId="2EB03E33" w:rsidR="006A2FBD" w:rsidRPr="00B92FB3" w:rsidRDefault="0025289C" w:rsidP="0025289C">
      <w:pPr>
        <w:tabs>
          <w:tab w:val="left" w:pos="540"/>
        </w:tabs>
        <w:suppressAutoHyphens/>
        <w:ind w:left="720" w:hanging="54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b/>
          <w:kern w:val="1"/>
          <w:sz w:val="24"/>
          <w:szCs w:val="24"/>
        </w:rPr>
        <w:t xml:space="preserve">               </w:t>
      </w:r>
      <w:r w:rsidRPr="00B92FB3">
        <w:rPr>
          <w:rFonts w:ascii="Arial" w:hAnsi="Arial" w:cs="Arial"/>
          <w:b/>
          <w:kern w:val="1"/>
          <w:sz w:val="24"/>
          <w:szCs w:val="24"/>
        </w:rPr>
        <w:tab/>
      </w:r>
      <w:r w:rsidR="00624C52" w:rsidRPr="00B92FB3">
        <w:rPr>
          <w:rFonts w:ascii="Arial" w:hAnsi="Arial" w:cs="Arial"/>
          <w:b/>
          <w:kern w:val="1"/>
          <w:sz w:val="24"/>
          <w:szCs w:val="24"/>
        </w:rPr>
        <w:t xml:space="preserve">               </w:t>
      </w:r>
      <w:r w:rsidR="00624C52" w:rsidRPr="00B92FB3">
        <w:rPr>
          <w:rFonts w:ascii="Arial" w:hAnsi="Arial" w:cs="Arial"/>
          <w:b/>
          <w:kern w:val="1"/>
          <w:sz w:val="24"/>
          <w:szCs w:val="24"/>
        </w:rPr>
        <w:tab/>
      </w:r>
      <w:r w:rsidR="00624C52" w:rsidRPr="00B92FB3">
        <w:rPr>
          <w:rFonts w:ascii="Arial" w:hAnsi="Arial" w:cs="Arial"/>
          <w:sz w:val="24"/>
          <w:szCs w:val="24"/>
        </w:rPr>
        <w:t xml:space="preserve"> </w:t>
      </w:r>
    </w:p>
    <w:p w14:paraId="2A1520BA" w14:textId="2FAA7D8C" w:rsidR="008859A6" w:rsidRPr="008859A6" w:rsidRDefault="008859A6" w:rsidP="008859A6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8859A6">
        <w:rPr>
          <w:rFonts w:ascii="Arial" w:hAnsi="Arial" w:cs="Arial"/>
          <w:sz w:val="24"/>
          <w:szCs w:val="24"/>
        </w:rPr>
        <w:t>Because the company has indicated that it agrees with the audit report, it is directed to implement the recommendation</w:t>
      </w:r>
      <w:r w:rsidR="004960BB">
        <w:rPr>
          <w:rFonts w:ascii="Arial" w:hAnsi="Arial" w:cs="Arial"/>
          <w:sz w:val="24"/>
          <w:szCs w:val="24"/>
        </w:rPr>
        <w:t>s</w:t>
      </w:r>
      <w:r w:rsidRPr="008859A6">
        <w:rPr>
          <w:rFonts w:ascii="Arial" w:hAnsi="Arial" w:cs="Arial"/>
          <w:sz w:val="24"/>
          <w:szCs w:val="24"/>
        </w:rPr>
        <w:t xml:space="preserve"> included therein.  The Commission appreciates the cooperation of your officers and employees in conjunction with this audit.</w:t>
      </w:r>
    </w:p>
    <w:p w14:paraId="28146C96" w14:textId="3EC9FA91" w:rsidR="00C257FA" w:rsidRDefault="00031D1B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</w:p>
    <w:p w14:paraId="46F5F00E" w14:textId="5A89AE75" w:rsidR="00A23F33" w:rsidRPr="00B92FB3" w:rsidRDefault="008209FB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173C198" wp14:editId="77366F04">
            <wp:simplePos x="0" y="0"/>
            <wp:positionH relativeFrom="column">
              <wp:posOffset>2838450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5D311C">
        <w:rPr>
          <w:rFonts w:ascii="Arial" w:hAnsi="Arial" w:cs="Arial"/>
          <w:sz w:val="24"/>
          <w:szCs w:val="24"/>
        </w:rPr>
        <w:tab/>
      </w:r>
      <w:r w:rsidR="00C257FA">
        <w:rPr>
          <w:rFonts w:ascii="Arial" w:hAnsi="Arial" w:cs="Arial"/>
          <w:sz w:val="24"/>
          <w:szCs w:val="24"/>
        </w:rPr>
        <w:t>Sincerely,</w:t>
      </w:r>
    </w:p>
    <w:p w14:paraId="64073488" w14:textId="2CFD887C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3773162" w14:textId="120B6761" w:rsidR="00295496" w:rsidRPr="00B92FB3" w:rsidRDefault="00295496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EAE2644" w14:textId="77777777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9FEB1E1" w14:textId="03377C44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="005D311C">
        <w:rPr>
          <w:rFonts w:ascii="Arial" w:hAnsi="Arial" w:cs="Arial"/>
          <w:sz w:val="24"/>
          <w:szCs w:val="24"/>
        </w:rPr>
        <w:tab/>
      </w:r>
      <w:r w:rsidR="00624C52" w:rsidRPr="00B92FB3">
        <w:rPr>
          <w:rFonts w:ascii="Arial" w:hAnsi="Arial" w:cs="Arial"/>
          <w:sz w:val="24"/>
          <w:szCs w:val="24"/>
        </w:rPr>
        <w:t>Rosemary Chiavetta</w:t>
      </w:r>
    </w:p>
    <w:p w14:paraId="4AFAE0E6" w14:textId="02A6E9E4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="005D311C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>Secretary</w:t>
      </w:r>
    </w:p>
    <w:p w14:paraId="1592C16E" w14:textId="77777777" w:rsidR="00947AC0" w:rsidRPr="00B92FB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CD5F468" w14:textId="77777777" w:rsidR="001C61A3" w:rsidRDefault="001C61A3" w:rsidP="005D311C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B65D5C1" w14:textId="7272E55C" w:rsidR="005D311C" w:rsidRDefault="00947AC0" w:rsidP="005D311C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>Enclosure</w:t>
      </w:r>
    </w:p>
    <w:p w14:paraId="10ABA5F8" w14:textId="2096561F" w:rsidR="00A23F33" w:rsidRPr="00B92FB3" w:rsidRDefault="00A23F33" w:rsidP="005D311C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>Contact Person:</w:t>
      </w:r>
      <w:r w:rsidR="005D311C">
        <w:rPr>
          <w:rFonts w:ascii="Arial" w:hAnsi="Arial" w:cs="Arial"/>
          <w:sz w:val="24"/>
          <w:szCs w:val="24"/>
        </w:rPr>
        <w:t xml:space="preserve">  </w:t>
      </w:r>
      <w:r w:rsidR="003F123A" w:rsidRPr="00B92FB3">
        <w:rPr>
          <w:rFonts w:ascii="Arial" w:hAnsi="Arial" w:cs="Arial"/>
          <w:sz w:val="24"/>
          <w:szCs w:val="24"/>
        </w:rPr>
        <w:t>Lori Burger</w:t>
      </w:r>
    </w:p>
    <w:p w14:paraId="240ACE1F" w14:textId="4272B861" w:rsidR="00A23F33" w:rsidRPr="00B92FB3" w:rsidRDefault="00A23F33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="005D311C">
        <w:rPr>
          <w:rFonts w:ascii="Arial" w:hAnsi="Arial" w:cs="Arial"/>
          <w:sz w:val="24"/>
          <w:szCs w:val="24"/>
        </w:rPr>
        <w:t xml:space="preserve"> </w:t>
      </w:r>
      <w:r w:rsidRPr="00B92FB3">
        <w:rPr>
          <w:rFonts w:ascii="Arial" w:hAnsi="Arial" w:cs="Arial"/>
          <w:sz w:val="24"/>
          <w:szCs w:val="24"/>
        </w:rPr>
        <w:t xml:space="preserve">(717) </w:t>
      </w:r>
      <w:r w:rsidR="003F123A" w:rsidRPr="00B92FB3">
        <w:rPr>
          <w:rFonts w:ascii="Arial" w:hAnsi="Arial" w:cs="Arial"/>
          <w:sz w:val="24"/>
          <w:szCs w:val="24"/>
        </w:rPr>
        <w:t>425</w:t>
      </w:r>
      <w:r w:rsidRPr="00B92FB3">
        <w:rPr>
          <w:rFonts w:ascii="Arial" w:hAnsi="Arial" w:cs="Arial"/>
          <w:sz w:val="24"/>
          <w:szCs w:val="24"/>
        </w:rPr>
        <w:t>-</w:t>
      </w:r>
      <w:r w:rsidR="003F123A" w:rsidRPr="00B92FB3">
        <w:rPr>
          <w:rFonts w:ascii="Arial" w:hAnsi="Arial" w:cs="Arial"/>
          <w:sz w:val="24"/>
          <w:szCs w:val="24"/>
        </w:rPr>
        <w:t>7847</w:t>
      </w:r>
    </w:p>
    <w:sectPr w:rsidR="00A23F33" w:rsidRPr="00B92FB3" w:rsidSect="005D311C">
      <w:pgSz w:w="12240" w:h="15840" w:code="1"/>
      <w:pgMar w:top="720" w:right="1440" w:bottom="432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015D2"/>
    <w:rsid w:val="000267A1"/>
    <w:rsid w:val="00026A94"/>
    <w:rsid w:val="00031D1B"/>
    <w:rsid w:val="000551E1"/>
    <w:rsid w:val="00061C15"/>
    <w:rsid w:val="000838EF"/>
    <w:rsid w:val="000B54A3"/>
    <w:rsid w:val="00110C2C"/>
    <w:rsid w:val="001333F5"/>
    <w:rsid w:val="00135332"/>
    <w:rsid w:val="00144655"/>
    <w:rsid w:val="00192AB9"/>
    <w:rsid w:val="001A06D6"/>
    <w:rsid w:val="001A3D6B"/>
    <w:rsid w:val="001A54C6"/>
    <w:rsid w:val="001B09AD"/>
    <w:rsid w:val="001B63E9"/>
    <w:rsid w:val="001B6F6B"/>
    <w:rsid w:val="001C61A3"/>
    <w:rsid w:val="001E6829"/>
    <w:rsid w:val="001F66B5"/>
    <w:rsid w:val="00213BCA"/>
    <w:rsid w:val="00225801"/>
    <w:rsid w:val="00247357"/>
    <w:rsid w:val="0025289C"/>
    <w:rsid w:val="00255B66"/>
    <w:rsid w:val="0025630E"/>
    <w:rsid w:val="00261804"/>
    <w:rsid w:val="0026649B"/>
    <w:rsid w:val="0028263C"/>
    <w:rsid w:val="00295496"/>
    <w:rsid w:val="002A0B0B"/>
    <w:rsid w:val="002A2716"/>
    <w:rsid w:val="002C17C8"/>
    <w:rsid w:val="002C3DE8"/>
    <w:rsid w:val="002E51B7"/>
    <w:rsid w:val="002E7141"/>
    <w:rsid w:val="002E7FF6"/>
    <w:rsid w:val="002F0A97"/>
    <w:rsid w:val="002F736A"/>
    <w:rsid w:val="002F7B0F"/>
    <w:rsid w:val="00313576"/>
    <w:rsid w:val="00337673"/>
    <w:rsid w:val="003420C8"/>
    <w:rsid w:val="00345751"/>
    <w:rsid w:val="003548D9"/>
    <w:rsid w:val="00356339"/>
    <w:rsid w:val="00361707"/>
    <w:rsid w:val="003732AE"/>
    <w:rsid w:val="00384B8C"/>
    <w:rsid w:val="003D572C"/>
    <w:rsid w:val="003E0901"/>
    <w:rsid w:val="003E23D8"/>
    <w:rsid w:val="003E592F"/>
    <w:rsid w:val="003F123A"/>
    <w:rsid w:val="003F6ECD"/>
    <w:rsid w:val="003F7A29"/>
    <w:rsid w:val="00407514"/>
    <w:rsid w:val="00412C13"/>
    <w:rsid w:val="004356B4"/>
    <w:rsid w:val="00440287"/>
    <w:rsid w:val="004411E4"/>
    <w:rsid w:val="00470859"/>
    <w:rsid w:val="00490641"/>
    <w:rsid w:val="00494A58"/>
    <w:rsid w:val="004960BB"/>
    <w:rsid w:val="004A7AEA"/>
    <w:rsid w:val="004C04C5"/>
    <w:rsid w:val="004C0A0D"/>
    <w:rsid w:val="004F19F1"/>
    <w:rsid w:val="004F7985"/>
    <w:rsid w:val="0050012C"/>
    <w:rsid w:val="005326A0"/>
    <w:rsid w:val="0059275A"/>
    <w:rsid w:val="005A79AB"/>
    <w:rsid w:val="005D311C"/>
    <w:rsid w:val="005D3CF7"/>
    <w:rsid w:val="006034EF"/>
    <w:rsid w:val="00616149"/>
    <w:rsid w:val="00624C52"/>
    <w:rsid w:val="00627EA5"/>
    <w:rsid w:val="00651E6F"/>
    <w:rsid w:val="006566CD"/>
    <w:rsid w:val="00660097"/>
    <w:rsid w:val="00660766"/>
    <w:rsid w:val="00663C09"/>
    <w:rsid w:val="00673B21"/>
    <w:rsid w:val="0069441A"/>
    <w:rsid w:val="006A2C27"/>
    <w:rsid w:val="006A2FBD"/>
    <w:rsid w:val="006B6A53"/>
    <w:rsid w:val="006C058B"/>
    <w:rsid w:val="006D0032"/>
    <w:rsid w:val="006F21C9"/>
    <w:rsid w:val="006F429A"/>
    <w:rsid w:val="00716233"/>
    <w:rsid w:val="007236B2"/>
    <w:rsid w:val="0072518F"/>
    <w:rsid w:val="00737F10"/>
    <w:rsid w:val="00747258"/>
    <w:rsid w:val="007758BC"/>
    <w:rsid w:val="007823BA"/>
    <w:rsid w:val="00784477"/>
    <w:rsid w:val="007846CF"/>
    <w:rsid w:val="00792FF8"/>
    <w:rsid w:val="007A00B8"/>
    <w:rsid w:val="007B0C55"/>
    <w:rsid w:val="007C57A3"/>
    <w:rsid w:val="007E6BD8"/>
    <w:rsid w:val="008209FB"/>
    <w:rsid w:val="0083091A"/>
    <w:rsid w:val="008345BA"/>
    <w:rsid w:val="00853DA6"/>
    <w:rsid w:val="008612BD"/>
    <w:rsid w:val="00861BB6"/>
    <w:rsid w:val="008859A6"/>
    <w:rsid w:val="008A1BE2"/>
    <w:rsid w:val="008E6414"/>
    <w:rsid w:val="008F648D"/>
    <w:rsid w:val="00914C99"/>
    <w:rsid w:val="00925821"/>
    <w:rsid w:val="00947AC0"/>
    <w:rsid w:val="00961F6A"/>
    <w:rsid w:val="0098277C"/>
    <w:rsid w:val="00986729"/>
    <w:rsid w:val="009B0F54"/>
    <w:rsid w:val="009B590E"/>
    <w:rsid w:val="009B5C30"/>
    <w:rsid w:val="009E57FD"/>
    <w:rsid w:val="009F2E4B"/>
    <w:rsid w:val="00A00F14"/>
    <w:rsid w:val="00A02AD8"/>
    <w:rsid w:val="00A23F33"/>
    <w:rsid w:val="00A31A46"/>
    <w:rsid w:val="00A34B80"/>
    <w:rsid w:val="00A52A61"/>
    <w:rsid w:val="00A84DBC"/>
    <w:rsid w:val="00A84F81"/>
    <w:rsid w:val="00AA4613"/>
    <w:rsid w:val="00AD7F14"/>
    <w:rsid w:val="00AF6704"/>
    <w:rsid w:val="00B20B8C"/>
    <w:rsid w:val="00B21DB4"/>
    <w:rsid w:val="00B43628"/>
    <w:rsid w:val="00B654C3"/>
    <w:rsid w:val="00B7547F"/>
    <w:rsid w:val="00B82988"/>
    <w:rsid w:val="00B92FB3"/>
    <w:rsid w:val="00B9663F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257FA"/>
    <w:rsid w:val="00C9069F"/>
    <w:rsid w:val="00CA0885"/>
    <w:rsid w:val="00CA4A02"/>
    <w:rsid w:val="00CA7781"/>
    <w:rsid w:val="00CB227F"/>
    <w:rsid w:val="00CD039A"/>
    <w:rsid w:val="00CD08C1"/>
    <w:rsid w:val="00CF1867"/>
    <w:rsid w:val="00D245A9"/>
    <w:rsid w:val="00D4743D"/>
    <w:rsid w:val="00D55AA0"/>
    <w:rsid w:val="00D613EC"/>
    <w:rsid w:val="00D652E3"/>
    <w:rsid w:val="00D76066"/>
    <w:rsid w:val="00D966FD"/>
    <w:rsid w:val="00DA2F90"/>
    <w:rsid w:val="00DA5867"/>
    <w:rsid w:val="00DD2B18"/>
    <w:rsid w:val="00DE3011"/>
    <w:rsid w:val="00E5392C"/>
    <w:rsid w:val="00E55D29"/>
    <w:rsid w:val="00E76732"/>
    <w:rsid w:val="00E8464C"/>
    <w:rsid w:val="00E90E19"/>
    <w:rsid w:val="00EB09A2"/>
    <w:rsid w:val="00EB1544"/>
    <w:rsid w:val="00EC2824"/>
    <w:rsid w:val="00EC3963"/>
    <w:rsid w:val="00EE0185"/>
    <w:rsid w:val="00EE2CFD"/>
    <w:rsid w:val="00EF5285"/>
    <w:rsid w:val="00F15C6D"/>
    <w:rsid w:val="00F57076"/>
    <w:rsid w:val="00FA7ECF"/>
    <w:rsid w:val="00FB7C4E"/>
    <w:rsid w:val="00FC4735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A0C2B"/>
  <w15:chartTrackingRefBased/>
  <w15:docId w15:val="{ADF42AA7-2C7F-49E5-AFFD-291E347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dc:description/>
  <cp:lastModifiedBy>Sheffer, Ryan</cp:lastModifiedBy>
  <cp:revision>28</cp:revision>
  <cp:lastPrinted>2020-03-03T13:29:00Z</cp:lastPrinted>
  <dcterms:created xsi:type="dcterms:W3CDTF">2019-03-22T14:45:00Z</dcterms:created>
  <dcterms:modified xsi:type="dcterms:W3CDTF">2020-06-23T13:59:00Z</dcterms:modified>
</cp:coreProperties>
</file>