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8F1FE" w14:textId="77777777" w:rsidR="00EA6F5B" w:rsidRPr="00314E5E" w:rsidRDefault="00EA6F5B" w:rsidP="007300F1">
      <w:pPr>
        <w:widowControl/>
        <w:tabs>
          <w:tab w:val="center" w:pos="4680"/>
        </w:tabs>
        <w:suppressAutoHyphens/>
        <w:jc w:val="center"/>
        <w:rPr>
          <w:b/>
          <w:sz w:val="26"/>
          <w:szCs w:val="26"/>
        </w:rPr>
      </w:pPr>
      <w:r w:rsidRPr="00314E5E">
        <w:rPr>
          <w:b/>
          <w:sz w:val="26"/>
          <w:szCs w:val="26"/>
        </w:rPr>
        <w:t>PENNSYLVANIA</w:t>
      </w:r>
    </w:p>
    <w:p w14:paraId="6E085F22" w14:textId="77777777" w:rsidR="00EA6F5B" w:rsidRPr="00314E5E" w:rsidRDefault="00EA6F5B" w:rsidP="007300F1">
      <w:pPr>
        <w:widowControl/>
        <w:tabs>
          <w:tab w:val="center" w:pos="4680"/>
        </w:tabs>
        <w:suppressAutoHyphens/>
        <w:jc w:val="center"/>
        <w:rPr>
          <w:sz w:val="26"/>
          <w:szCs w:val="26"/>
        </w:rPr>
      </w:pPr>
      <w:r w:rsidRPr="00314E5E">
        <w:rPr>
          <w:b/>
          <w:sz w:val="26"/>
          <w:szCs w:val="26"/>
        </w:rPr>
        <w:t>PUBLIC UTILITY COMMISSION</w:t>
      </w:r>
    </w:p>
    <w:p w14:paraId="52368E97" w14:textId="77777777" w:rsidR="009F5087" w:rsidRDefault="00EA6F5B" w:rsidP="009F5087">
      <w:pPr>
        <w:widowControl/>
        <w:tabs>
          <w:tab w:val="center" w:pos="4680"/>
        </w:tabs>
        <w:suppressAutoHyphens/>
        <w:jc w:val="center"/>
        <w:rPr>
          <w:b/>
          <w:sz w:val="26"/>
          <w:szCs w:val="26"/>
        </w:rPr>
      </w:pPr>
      <w:r w:rsidRPr="00314E5E">
        <w:rPr>
          <w:b/>
          <w:sz w:val="26"/>
          <w:szCs w:val="26"/>
        </w:rPr>
        <w:t>Harrisburg, PA 171</w:t>
      </w:r>
      <w:r w:rsidR="00EF2396">
        <w:rPr>
          <w:b/>
          <w:sz w:val="26"/>
          <w:szCs w:val="26"/>
        </w:rPr>
        <w:t>20</w:t>
      </w:r>
    </w:p>
    <w:p w14:paraId="12091EC9" w14:textId="77777777" w:rsidR="006E0829" w:rsidRDefault="006E0829" w:rsidP="009F5087">
      <w:pPr>
        <w:widowControl/>
        <w:tabs>
          <w:tab w:val="center" w:pos="4680"/>
        </w:tabs>
        <w:suppressAutoHyphens/>
        <w:jc w:val="center"/>
        <w:rPr>
          <w:sz w:val="26"/>
          <w:szCs w:val="26"/>
        </w:rPr>
      </w:pPr>
    </w:p>
    <w:p w14:paraId="02EEB607" w14:textId="77777777" w:rsidR="007F08D3" w:rsidRPr="00314E5E" w:rsidRDefault="009F5087" w:rsidP="007F08D3">
      <w:pPr>
        <w:widowControl/>
        <w:tabs>
          <w:tab w:val="center" w:pos="4680"/>
        </w:tabs>
        <w:suppressAutoHyphens/>
        <w:rPr>
          <w:sz w:val="26"/>
          <w:szCs w:val="26"/>
        </w:rPr>
      </w:pPr>
      <w:r>
        <w:rPr>
          <w:sz w:val="26"/>
          <w:szCs w:val="26"/>
        </w:rPr>
        <w:tab/>
      </w:r>
      <w:r>
        <w:rPr>
          <w:sz w:val="26"/>
          <w:szCs w:val="26"/>
        </w:rPr>
        <w:tab/>
      </w:r>
      <w:r w:rsidR="006E0829">
        <w:rPr>
          <w:sz w:val="26"/>
          <w:szCs w:val="26"/>
        </w:rPr>
        <w:t xml:space="preserve">        </w:t>
      </w:r>
      <w:r w:rsidR="007F08D3">
        <w:rPr>
          <w:sz w:val="26"/>
          <w:szCs w:val="26"/>
        </w:rPr>
        <w:t xml:space="preserve">Public Meeting held </w:t>
      </w:r>
      <w:r w:rsidR="00FD4C73">
        <w:rPr>
          <w:sz w:val="26"/>
          <w:szCs w:val="26"/>
        </w:rPr>
        <w:t xml:space="preserve">April </w:t>
      </w:r>
      <w:r w:rsidR="004860AE">
        <w:rPr>
          <w:sz w:val="26"/>
          <w:szCs w:val="26"/>
        </w:rPr>
        <w:t>30</w:t>
      </w:r>
      <w:r w:rsidR="00A101BD">
        <w:rPr>
          <w:sz w:val="26"/>
          <w:szCs w:val="26"/>
        </w:rPr>
        <w:t>, 2020</w:t>
      </w:r>
    </w:p>
    <w:p w14:paraId="1AC9D614" w14:textId="77777777" w:rsidR="00EA6F5B" w:rsidRPr="00314E5E" w:rsidRDefault="00EA6F5B" w:rsidP="007300F1">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4355"/>
      </w:tblGrid>
      <w:tr w:rsidR="00EA6F5B" w:rsidRPr="00314E5E" w14:paraId="718ABC80" w14:textId="77777777" w:rsidTr="002855F0">
        <w:tc>
          <w:tcPr>
            <w:tcW w:w="5058" w:type="dxa"/>
          </w:tcPr>
          <w:p w14:paraId="4C268533" w14:textId="77777777" w:rsidR="00EA6F5B" w:rsidRPr="00314E5E" w:rsidRDefault="00EA6F5B" w:rsidP="007300F1">
            <w:pPr>
              <w:widowControl/>
              <w:rPr>
                <w:sz w:val="26"/>
                <w:szCs w:val="26"/>
              </w:rPr>
            </w:pPr>
          </w:p>
        </w:tc>
        <w:tc>
          <w:tcPr>
            <w:tcW w:w="4428" w:type="dxa"/>
          </w:tcPr>
          <w:p w14:paraId="7CD0CE64" w14:textId="77777777" w:rsidR="00EA6F5B" w:rsidRPr="00314E5E" w:rsidRDefault="00EA6F5B" w:rsidP="007F08D3">
            <w:pPr>
              <w:widowControl/>
              <w:ind w:right="-90"/>
              <w:rPr>
                <w:sz w:val="26"/>
                <w:szCs w:val="26"/>
              </w:rPr>
            </w:pPr>
          </w:p>
        </w:tc>
      </w:tr>
      <w:tr w:rsidR="00EA6F5B" w:rsidRPr="00314E5E" w14:paraId="588A0128" w14:textId="77777777" w:rsidTr="002855F0">
        <w:tc>
          <w:tcPr>
            <w:tcW w:w="9486" w:type="dxa"/>
            <w:gridSpan w:val="2"/>
          </w:tcPr>
          <w:p w14:paraId="726E632C" w14:textId="77777777" w:rsidR="00EA6F5B" w:rsidRDefault="00EA6F5B" w:rsidP="007300F1">
            <w:pPr>
              <w:widowControl/>
              <w:rPr>
                <w:sz w:val="26"/>
                <w:szCs w:val="26"/>
              </w:rPr>
            </w:pPr>
          </w:p>
          <w:p w14:paraId="0FDF85C0" w14:textId="77777777" w:rsidR="00EA6F5B" w:rsidRPr="00314E5E" w:rsidRDefault="00EA6F5B" w:rsidP="007300F1">
            <w:pPr>
              <w:widowControl/>
              <w:rPr>
                <w:sz w:val="26"/>
                <w:szCs w:val="26"/>
              </w:rPr>
            </w:pPr>
            <w:r w:rsidRPr="00314E5E">
              <w:rPr>
                <w:sz w:val="26"/>
                <w:szCs w:val="26"/>
              </w:rPr>
              <w:t>Commissioners Present:</w:t>
            </w:r>
          </w:p>
          <w:p w14:paraId="0D1AC67C" w14:textId="77777777" w:rsidR="00EA6F5B" w:rsidRDefault="00EA6F5B" w:rsidP="007300F1">
            <w:pPr>
              <w:widowControl/>
              <w:tabs>
                <w:tab w:val="left" w:pos="705"/>
              </w:tabs>
              <w:ind w:firstLine="720"/>
              <w:rPr>
                <w:sz w:val="26"/>
                <w:szCs w:val="26"/>
              </w:rPr>
            </w:pPr>
          </w:p>
          <w:p w14:paraId="573D2B35" w14:textId="77777777" w:rsidR="007F08D3" w:rsidRPr="003A5AE1" w:rsidRDefault="007F08D3" w:rsidP="007F08D3">
            <w:pPr>
              <w:tabs>
                <w:tab w:val="left" w:pos="-720"/>
              </w:tabs>
              <w:contextualSpacing/>
              <w:rPr>
                <w:sz w:val="26"/>
                <w:szCs w:val="26"/>
              </w:rPr>
            </w:pPr>
            <w:r>
              <w:rPr>
                <w:sz w:val="26"/>
                <w:szCs w:val="26"/>
              </w:rPr>
              <w:t xml:space="preserve">     </w:t>
            </w:r>
            <w:r w:rsidRPr="003A5AE1">
              <w:rPr>
                <w:sz w:val="26"/>
                <w:szCs w:val="26"/>
              </w:rPr>
              <w:t>Gladys Brown Dutrieuille, Chairman</w:t>
            </w:r>
          </w:p>
          <w:p w14:paraId="60AF77E1" w14:textId="77777777" w:rsidR="007F08D3" w:rsidRPr="003A5AE1" w:rsidRDefault="007F08D3" w:rsidP="007F08D3">
            <w:pPr>
              <w:tabs>
                <w:tab w:val="left" w:pos="-720"/>
              </w:tabs>
              <w:contextualSpacing/>
              <w:rPr>
                <w:sz w:val="26"/>
                <w:szCs w:val="26"/>
              </w:rPr>
            </w:pPr>
            <w:r>
              <w:rPr>
                <w:sz w:val="26"/>
                <w:szCs w:val="26"/>
              </w:rPr>
              <w:t xml:space="preserve">     </w:t>
            </w:r>
            <w:r w:rsidRPr="003A5AE1">
              <w:rPr>
                <w:sz w:val="26"/>
                <w:szCs w:val="26"/>
              </w:rPr>
              <w:t>David W. Sweet, Vice Chairman</w:t>
            </w:r>
          </w:p>
          <w:p w14:paraId="4696D498" w14:textId="77777777" w:rsidR="007F08D3" w:rsidRPr="003A5AE1" w:rsidRDefault="007F08D3" w:rsidP="007F08D3">
            <w:pPr>
              <w:kinsoku w:val="0"/>
              <w:overflowPunct w:val="0"/>
              <w:textAlignment w:val="baseline"/>
              <w:rPr>
                <w:b/>
                <w:bCs/>
                <w:spacing w:val="-3"/>
                <w:sz w:val="26"/>
                <w:szCs w:val="26"/>
              </w:rPr>
            </w:pPr>
            <w:r>
              <w:rPr>
                <w:sz w:val="26"/>
                <w:szCs w:val="26"/>
              </w:rPr>
              <w:t xml:space="preserve">     </w:t>
            </w:r>
            <w:r w:rsidRPr="003A5AE1">
              <w:rPr>
                <w:sz w:val="26"/>
                <w:szCs w:val="26"/>
              </w:rPr>
              <w:t>John F. Coleman, Jr.</w:t>
            </w:r>
          </w:p>
          <w:p w14:paraId="2366AD9A" w14:textId="77777777" w:rsidR="007F08D3" w:rsidRDefault="007F08D3" w:rsidP="007F08D3">
            <w:pPr>
              <w:kinsoku w:val="0"/>
              <w:overflowPunct w:val="0"/>
              <w:textAlignment w:val="baseline"/>
              <w:rPr>
                <w:spacing w:val="-2"/>
                <w:sz w:val="26"/>
                <w:szCs w:val="26"/>
              </w:rPr>
            </w:pPr>
            <w:r>
              <w:rPr>
                <w:spacing w:val="-2"/>
                <w:sz w:val="26"/>
                <w:szCs w:val="26"/>
              </w:rPr>
              <w:t xml:space="preserve">     </w:t>
            </w:r>
            <w:r w:rsidRPr="003A5AE1">
              <w:rPr>
                <w:spacing w:val="-2"/>
                <w:sz w:val="26"/>
                <w:szCs w:val="26"/>
              </w:rPr>
              <w:t xml:space="preserve">Ralph </w:t>
            </w:r>
            <w:r w:rsidR="008F7043">
              <w:rPr>
                <w:spacing w:val="-2"/>
                <w:sz w:val="26"/>
                <w:szCs w:val="26"/>
              </w:rPr>
              <w:t xml:space="preserve">V. </w:t>
            </w:r>
            <w:r w:rsidRPr="003A5AE1">
              <w:rPr>
                <w:spacing w:val="-2"/>
                <w:sz w:val="26"/>
                <w:szCs w:val="26"/>
              </w:rPr>
              <w:t>Yanora</w:t>
            </w:r>
          </w:p>
          <w:p w14:paraId="351EB361" w14:textId="77777777" w:rsidR="00EA6F5B" w:rsidRDefault="00EA6F5B" w:rsidP="007300F1">
            <w:pPr>
              <w:widowControl/>
              <w:rPr>
                <w:sz w:val="26"/>
                <w:szCs w:val="26"/>
              </w:rPr>
            </w:pPr>
          </w:p>
          <w:p w14:paraId="75D4602F" w14:textId="77777777" w:rsidR="00EA6F5B" w:rsidRDefault="00EA6F5B" w:rsidP="007300F1">
            <w:pPr>
              <w:widowControl/>
              <w:rPr>
                <w:sz w:val="26"/>
                <w:szCs w:val="26"/>
              </w:rPr>
            </w:pPr>
          </w:p>
          <w:p w14:paraId="6F7AE402" w14:textId="77777777" w:rsidR="001B7D12" w:rsidRPr="00314E5E" w:rsidRDefault="001B7D12" w:rsidP="007300F1">
            <w:pPr>
              <w:widowControl/>
              <w:rPr>
                <w:sz w:val="26"/>
                <w:szCs w:val="26"/>
              </w:rPr>
            </w:pPr>
          </w:p>
        </w:tc>
      </w:tr>
      <w:tr w:rsidR="007F08D3" w:rsidRPr="007F08D3" w14:paraId="32714061" w14:textId="77777777" w:rsidTr="002855F0">
        <w:tc>
          <w:tcPr>
            <w:tcW w:w="5058" w:type="dxa"/>
          </w:tcPr>
          <w:p w14:paraId="415B530B" w14:textId="77777777" w:rsidR="00EA6F5B" w:rsidRPr="00314E5E" w:rsidRDefault="007F08D3" w:rsidP="007300F1">
            <w:pPr>
              <w:widowControl/>
              <w:rPr>
                <w:sz w:val="26"/>
                <w:szCs w:val="26"/>
              </w:rPr>
            </w:pPr>
            <w:r>
              <w:rPr>
                <w:sz w:val="26"/>
                <w:szCs w:val="26"/>
              </w:rPr>
              <w:t>Roslyn Wrotten</w:t>
            </w:r>
            <w:r w:rsidR="00EA6F5B" w:rsidRPr="00314E5E">
              <w:rPr>
                <w:sz w:val="26"/>
                <w:szCs w:val="26"/>
              </w:rPr>
              <w:t xml:space="preserve"> </w:t>
            </w:r>
          </w:p>
          <w:p w14:paraId="678D9BF8" w14:textId="77777777" w:rsidR="00EA6F5B" w:rsidRPr="00314E5E" w:rsidRDefault="00EA6F5B" w:rsidP="007300F1">
            <w:pPr>
              <w:widowControl/>
              <w:jc w:val="right"/>
              <w:rPr>
                <w:sz w:val="26"/>
                <w:szCs w:val="26"/>
              </w:rPr>
            </w:pPr>
          </w:p>
        </w:tc>
        <w:tc>
          <w:tcPr>
            <w:tcW w:w="4428" w:type="dxa"/>
          </w:tcPr>
          <w:p w14:paraId="3EA5642B" w14:textId="77777777" w:rsidR="00EA6F5B" w:rsidRPr="007F08D3" w:rsidRDefault="007F08D3" w:rsidP="007300F1">
            <w:pPr>
              <w:widowControl/>
              <w:jc w:val="right"/>
              <w:rPr>
                <w:sz w:val="26"/>
                <w:szCs w:val="26"/>
              </w:rPr>
            </w:pPr>
            <w:r w:rsidRPr="007F08D3">
              <w:rPr>
                <w:sz w:val="26"/>
                <w:szCs w:val="26"/>
              </w:rPr>
              <w:t>F-2019-3008245</w:t>
            </w:r>
          </w:p>
          <w:p w14:paraId="6A008EC0" w14:textId="77777777" w:rsidR="00EA6F5B" w:rsidRPr="007F08D3" w:rsidRDefault="00EA6F5B" w:rsidP="007300F1">
            <w:pPr>
              <w:widowControl/>
              <w:jc w:val="right"/>
              <w:rPr>
                <w:sz w:val="26"/>
                <w:szCs w:val="26"/>
              </w:rPr>
            </w:pPr>
            <w:r w:rsidRPr="007F08D3">
              <w:rPr>
                <w:sz w:val="26"/>
                <w:szCs w:val="26"/>
              </w:rPr>
              <w:t xml:space="preserve"> </w:t>
            </w:r>
          </w:p>
        </w:tc>
      </w:tr>
      <w:tr w:rsidR="00EA6F5B" w:rsidRPr="00314E5E" w14:paraId="3C29F51C" w14:textId="77777777" w:rsidTr="002855F0">
        <w:tc>
          <w:tcPr>
            <w:tcW w:w="5058" w:type="dxa"/>
          </w:tcPr>
          <w:p w14:paraId="3DBFA0E8" w14:textId="77777777" w:rsidR="00EA6F5B" w:rsidRPr="00314E5E" w:rsidRDefault="00EA6F5B" w:rsidP="007300F1">
            <w:pPr>
              <w:widowControl/>
              <w:ind w:firstLine="720"/>
              <w:rPr>
                <w:sz w:val="26"/>
                <w:szCs w:val="26"/>
              </w:rPr>
            </w:pPr>
            <w:r w:rsidRPr="00314E5E">
              <w:rPr>
                <w:sz w:val="26"/>
                <w:szCs w:val="26"/>
              </w:rPr>
              <w:t>v.</w:t>
            </w:r>
          </w:p>
          <w:p w14:paraId="7B8CABAF" w14:textId="77777777" w:rsidR="00EA6F5B" w:rsidRPr="00314E5E" w:rsidRDefault="00EA6F5B" w:rsidP="007300F1">
            <w:pPr>
              <w:widowControl/>
              <w:ind w:firstLine="1440"/>
              <w:rPr>
                <w:sz w:val="26"/>
                <w:szCs w:val="26"/>
              </w:rPr>
            </w:pPr>
          </w:p>
        </w:tc>
        <w:tc>
          <w:tcPr>
            <w:tcW w:w="4428" w:type="dxa"/>
          </w:tcPr>
          <w:p w14:paraId="5EA35CBF" w14:textId="77777777" w:rsidR="00EA6F5B" w:rsidRPr="00314E5E" w:rsidRDefault="00EA6F5B" w:rsidP="007300F1">
            <w:pPr>
              <w:widowControl/>
              <w:rPr>
                <w:sz w:val="26"/>
                <w:szCs w:val="26"/>
              </w:rPr>
            </w:pPr>
          </w:p>
        </w:tc>
      </w:tr>
      <w:tr w:rsidR="00EA6F5B" w:rsidRPr="00314E5E" w14:paraId="50972BDD" w14:textId="77777777" w:rsidTr="002855F0">
        <w:tc>
          <w:tcPr>
            <w:tcW w:w="5058" w:type="dxa"/>
          </w:tcPr>
          <w:p w14:paraId="30AD1854" w14:textId="77777777" w:rsidR="00EA6F5B" w:rsidRDefault="00EA6F5B" w:rsidP="007F08D3">
            <w:pPr>
              <w:widowControl/>
              <w:rPr>
                <w:sz w:val="26"/>
                <w:szCs w:val="26"/>
              </w:rPr>
            </w:pPr>
            <w:r>
              <w:rPr>
                <w:sz w:val="26"/>
                <w:szCs w:val="26"/>
              </w:rPr>
              <w:t>Philadelphia Gas Works</w:t>
            </w:r>
          </w:p>
          <w:p w14:paraId="7B8B0A3B" w14:textId="77777777" w:rsidR="007F08D3" w:rsidRDefault="007F08D3" w:rsidP="007F08D3">
            <w:pPr>
              <w:widowControl/>
              <w:rPr>
                <w:sz w:val="26"/>
                <w:szCs w:val="26"/>
              </w:rPr>
            </w:pPr>
            <w:r>
              <w:rPr>
                <w:sz w:val="26"/>
                <w:szCs w:val="26"/>
              </w:rPr>
              <w:t xml:space="preserve">     (Complaint/Appellant)</w:t>
            </w:r>
            <w:r w:rsidR="001C430A">
              <w:rPr>
                <w:rStyle w:val="FootnoteReference"/>
                <w:sz w:val="26"/>
                <w:szCs w:val="26"/>
              </w:rPr>
              <w:footnoteReference w:id="2"/>
            </w:r>
            <w:r>
              <w:rPr>
                <w:sz w:val="26"/>
                <w:szCs w:val="26"/>
              </w:rPr>
              <w:t xml:space="preserve"> </w:t>
            </w:r>
          </w:p>
          <w:p w14:paraId="201470B9" w14:textId="77777777" w:rsidR="007F08D3" w:rsidRPr="00314E5E" w:rsidRDefault="007F08D3" w:rsidP="007300F1">
            <w:pPr>
              <w:widowControl/>
              <w:spacing w:line="360" w:lineRule="auto"/>
              <w:rPr>
                <w:sz w:val="26"/>
                <w:szCs w:val="26"/>
              </w:rPr>
            </w:pPr>
          </w:p>
        </w:tc>
        <w:tc>
          <w:tcPr>
            <w:tcW w:w="4428" w:type="dxa"/>
          </w:tcPr>
          <w:p w14:paraId="4B352347" w14:textId="77777777" w:rsidR="00EA6F5B" w:rsidRPr="00314E5E" w:rsidRDefault="00EA6F5B" w:rsidP="007300F1">
            <w:pPr>
              <w:widowControl/>
              <w:rPr>
                <w:sz w:val="26"/>
                <w:szCs w:val="26"/>
              </w:rPr>
            </w:pPr>
          </w:p>
        </w:tc>
      </w:tr>
    </w:tbl>
    <w:p w14:paraId="527AABA7" w14:textId="77777777" w:rsidR="001B7D12" w:rsidRDefault="001B7D12" w:rsidP="007300F1">
      <w:pPr>
        <w:widowControl/>
        <w:spacing w:line="360" w:lineRule="auto"/>
        <w:rPr>
          <w:sz w:val="26"/>
          <w:szCs w:val="26"/>
        </w:rPr>
      </w:pPr>
    </w:p>
    <w:p w14:paraId="471814DD" w14:textId="77777777" w:rsidR="00EA6F5B" w:rsidRDefault="00EA6F5B" w:rsidP="009613A3">
      <w:pPr>
        <w:keepNext/>
        <w:widowControl/>
        <w:spacing w:line="360" w:lineRule="auto"/>
        <w:jc w:val="center"/>
        <w:rPr>
          <w:b/>
          <w:sz w:val="26"/>
          <w:szCs w:val="26"/>
        </w:rPr>
      </w:pPr>
      <w:r w:rsidRPr="00314E5E">
        <w:rPr>
          <w:b/>
          <w:sz w:val="26"/>
          <w:szCs w:val="26"/>
        </w:rPr>
        <w:t>OPINION AND ORDER</w:t>
      </w:r>
    </w:p>
    <w:p w14:paraId="01E52B0B" w14:textId="77777777" w:rsidR="009613A3" w:rsidRDefault="009613A3" w:rsidP="001B7D12">
      <w:pPr>
        <w:keepNext/>
        <w:widowControl/>
        <w:spacing w:line="360" w:lineRule="auto"/>
        <w:rPr>
          <w:b/>
          <w:sz w:val="26"/>
          <w:szCs w:val="26"/>
        </w:rPr>
      </w:pPr>
    </w:p>
    <w:p w14:paraId="4FB106C8" w14:textId="77777777" w:rsidR="00EA6F5B" w:rsidRPr="00314E5E" w:rsidRDefault="00EA6F5B" w:rsidP="001B7D12">
      <w:pPr>
        <w:keepNext/>
        <w:widowControl/>
        <w:spacing w:line="360" w:lineRule="auto"/>
        <w:rPr>
          <w:b/>
          <w:sz w:val="26"/>
          <w:szCs w:val="26"/>
        </w:rPr>
      </w:pPr>
      <w:r w:rsidRPr="00314E5E">
        <w:rPr>
          <w:b/>
          <w:sz w:val="26"/>
          <w:szCs w:val="26"/>
        </w:rPr>
        <w:t>BY THE COMMISSION:</w:t>
      </w:r>
    </w:p>
    <w:p w14:paraId="555E12EE" w14:textId="77777777" w:rsidR="009613A3" w:rsidRDefault="009613A3" w:rsidP="009613A3">
      <w:pPr>
        <w:spacing w:line="360" w:lineRule="auto"/>
        <w:ind w:firstLine="1440"/>
        <w:rPr>
          <w:sz w:val="26"/>
          <w:szCs w:val="26"/>
        </w:rPr>
      </w:pPr>
    </w:p>
    <w:p w14:paraId="15091100" w14:textId="77777777" w:rsidR="006762DA" w:rsidRPr="00F54236" w:rsidRDefault="009613A3" w:rsidP="00F54236">
      <w:pPr>
        <w:tabs>
          <w:tab w:val="left" w:pos="-720"/>
        </w:tabs>
        <w:suppressAutoHyphens/>
        <w:spacing w:line="360" w:lineRule="auto"/>
        <w:ind w:firstLine="1440"/>
        <w:rPr>
          <w:b/>
          <w:spacing w:val="-3"/>
          <w:sz w:val="26"/>
          <w:szCs w:val="26"/>
          <w:u w:val="single"/>
        </w:rPr>
      </w:pPr>
      <w:r w:rsidRPr="009C51A5">
        <w:rPr>
          <w:sz w:val="26"/>
          <w:szCs w:val="26"/>
        </w:rPr>
        <w:t xml:space="preserve">Before the Pennsylvania Public Utility Commission (Commission) for consideration and disposition are </w:t>
      </w:r>
      <w:r w:rsidR="007E51DE">
        <w:rPr>
          <w:sz w:val="26"/>
          <w:szCs w:val="26"/>
        </w:rPr>
        <w:t xml:space="preserve">the </w:t>
      </w:r>
      <w:r w:rsidR="000E54D5" w:rsidRPr="009C51A5">
        <w:rPr>
          <w:sz w:val="26"/>
          <w:szCs w:val="26"/>
        </w:rPr>
        <w:t>E</w:t>
      </w:r>
      <w:r w:rsidRPr="009C51A5">
        <w:rPr>
          <w:sz w:val="26"/>
          <w:szCs w:val="26"/>
        </w:rPr>
        <w:t xml:space="preserve">xceptions filed by Ms. Roslyn Wrotten (Complainant) </w:t>
      </w:r>
      <w:r w:rsidR="00E03B7F" w:rsidRPr="009C51A5">
        <w:rPr>
          <w:sz w:val="26"/>
          <w:szCs w:val="26"/>
        </w:rPr>
        <w:t xml:space="preserve">on </w:t>
      </w:r>
      <w:r w:rsidR="00C85C48">
        <w:rPr>
          <w:sz w:val="26"/>
          <w:szCs w:val="26"/>
        </w:rPr>
        <w:t>August 26, 2019,</w:t>
      </w:r>
      <w:r w:rsidR="00E03B7F" w:rsidRPr="009C51A5">
        <w:rPr>
          <w:sz w:val="26"/>
          <w:szCs w:val="26"/>
        </w:rPr>
        <w:t xml:space="preserve"> </w:t>
      </w:r>
      <w:r w:rsidRPr="009C51A5">
        <w:rPr>
          <w:sz w:val="26"/>
          <w:szCs w:val="26"/>
        </w:rPr>
        <w:t xml:space="preserve">to the </w:t>
      </w:r>
      <w:r w:rsidR="007F08D3" w:rsidRPr="009C51A5">
        <w:rPr>
          <w:sz w:val="26"/>
          <w:szCs w:val="26"/>
        </w:rPr>
        <w:t>Initial Decision</w:t>
      </w:r>
      <w:r w:rsidR="00FD4C73">
        <w:rPr>
          <w:sz w:val="26"/>
          <w:szCs w:val="26"/>
        </w:rPr>
        <w:t xml:space="preserve"> (I.D.) </w:t>
      </w:r>
      <w:r w:rsidRPr="009C51A5">
        <w:rPr>
          <w:sz w:val="26"/>
          <w:szCs w:val="26"/>
        </w:rPr>
        <w:t>of Administrative Law Judge (ALJ) F. Joseph Brady</w:t>
      </w:r>
      <w:r w:rsidR="00E03B7F" w:rsidRPr="009C51A5">
        <w:rPr>
          <w:sz w:val="26"/>
          <w:szCs w:val="26"/>
        </w:rPr>
        <w:t xml:space="preserve"> issued </w:t>
      </w:r>
      <w:r w:rsidR="00FD4C73">
        <w:rPr>
          <w:sz w:val="26"/>
          <w:szCs w:val="26"/>
        </w:rPr>
        <w:t xml:space="preserve">on </w:t>
      </w:r>
      <w:r w:rsidR="00C85C48">
        <w:rPr>
          <w:sz w:val="26"/>
          <w:szCs w:val="26"/>
        </w:rPr>
        <w:t>August 5, 2019</w:t>
      </w:r>
      <w:r w:rsidR="00E03B7F" w:rsidRPr="009C51A5">
        <w:rPr>
          <w:sz w:val="26"/>
          <w:szCs w:val="26"/>
        </w:rPr>
        <w:t>.</w:t>
      </w:r>
      <w:r w:rsidR="00C85C48">
        <w:rPr>
          <w:sz w:val="26"/>
          <w:szCs w:val="26"/>
        </w:rPr>
        <w:t xml:space="preserve">  </w:t>
      </w:r>
      <w:r w:rsidR="00FD4C73">
        <w:rPr>
          <w:sz w:val="26"/>
          <w:szCs w:val="26"/>
        </w:rPr>
        <w:t xml:space="preserve">On September 9, 2019, </w:t>
      </w:r>
      <w:r w:rsidR="00FD4C73" w:rsidRPr="009C51A5">
        <w:rPr>
          <w:sz w:val="26"/>
          <w:szCs w:val="26"/>
        </w:rPr>
        <w:t>P</w:t>
      </w:r>
      <w:r w:rsidR="00FD4C73">
        <w:rPr>
          <w:sz w:val="26"/>
          <w:szCs w:val="26"/>
        </w:rPr>
        <w:t xml:space="preserve">hiladelphia </w:t>
      </w:r>
      <w:r w:rsidR="00FD4C73" w:rsidRPr="009C51A5">
        <w:rPr>
          <w:sz w:val="26"/>
          <w:szCs w:val="26"/>
        </w:rPr>
        <w:t>G</w:t>
      </w:r>
      <w:r w:rsidR="00FD4C73">
        <w:rPr>
          <w:sz w:val="26"/>
          <w:szCs w:val="26"/>
        </w:rPr>
        <w:t xml:space="preserve">as </w:t>
      </w:r>
      <w:r w:rsidR="00FD4C73" w:rsidRPr="009C51A5">
        <w:rPr>
          <w:sz w:val="26"/>
          <w:szCs w:val="26"/>
        </w:rPr>
        <w:t>W</w:t>
      </w:r>
      <w:r w:rsidR="00FD4C73">
        <w:rPr>
          <w:sz w:val="26"/>
          <w:szCs w:val="26"/>
        </w:rPr>
        <w:t xml:space="preserve">orks (PGW or Company) filed </w:t>
      </w:r>
      <w:r w:rsidR="00C85C48" w:rsidRPr="009C51A5">
        <w:rPr>
          <w:sz w:val="26"/>
          <w:szCs w:val="26"/>
        </w:rPr>
        <w:t>Replies to the Exceptions</w:t>
      </w:r>
      <w:r w:rsidR="00FD4C73">
        <w:rPr>
          <w:sz w:val="26"/>
          <w:szCs w:val="26"/>
        </w:rPr>
        <w:t>.</w:t>
      </w:r>
      <w:r w:rsidR="00C85C48" w:rsidRPr="009C51A5">
        <w:rPr>
          <w:sz w:val="26"/>
          <w:szCs w:val="26"/>
        </w:rPr>
        <w:t xml:space="preserve"> </w:t>
      </w:r>
      <w:r w:rsidR="00E03B7F" w:rsidRPr="009C51A5">
        <w:rPr>
          <w:sz w:val="26"/>
          <w:szCs w:val="26"/>
        </w:rPr>
        <w:t xml:space="preserve"> </w:t>
      </w:r>
      <w:r w:rsidR="00A555A1">
        <w:rPr>
          <w:sz w:val="26"/>
          <w:szCs w:val="26"/>
        </w:rPr>
        <w:t xml:space="preserve">For the </w:t>
      </w:r>
      <w:r w:rsidR="00A555A1">
        <w:rPr>
          <w:sz w:val="26"/>
          <w:szCs w:val="26"/>
        </w:rPr>
        <w:lastRenderedPageBreak/>
        <w:t xml:space="preserve">reasons set forth below, we shall </w:t>
      </w:r>
      <w:r w:rsidR="00A555A1">
        <w:rPr>
          <w:rFonts w:eastAsiaTheme="minorHAnsi"/>
          <w:sz w:val="26"/>
          <w:szCs w:val="26"/>
        </w:rPr>
        <w:t>deny the Complainant’s Exceptions</w:t>
      </w:r>
      <w:r w:rsidR="00F54236">
        <w:rPr>
          <w:rFonts w:eastAsiaTheme="minorHAnsi"/>
          <w:sz w:val="26"/>
          <w:szCs w:val="26"/>
        </w:rPr>
        <w:t xml:space="preserve"> and adopt the Initial Decision</w:t>
      </w:r>
      <w:r w:rsidR="00BC2F26">
        <w:rPr>
          <w:rFonts w:eastAsiaTheme="minorHAnsi"/>
          <w:sz w:val="26"/>
          <w:szCs w:val="26"/>
        </w:rPr>
        <w:t>.</w:t>
      </w:r>
      <w:r w:rsidR="00F54236">
        <w:rPr>
          <w:rFonts w:eastAsiaTheme="minorHAnsi"/>
          <w:sz w:val="26"/>
          <w:szCs w:val="26"/>
        </w:rPr>
        <w:t xml:space="preserve"> </w:t>
      </w:r>
      <w:r w:rsidR="00BC2F26">
        <w:rPr>
          <w:rFonts w:eastAsiaTheme="minorHAnsi"/>
          <w:sz w:val="26"/>
          <w:szCs w:val="26"/>
        </w:rPr>
        <w:t xml:space="preserve"> </w:t>
      </w:r>
      <w:r w:rsidR="00F54236">
        <w:rPr>
          <w:rFonts w:eastAsiaTheme="minorHAnsi"/>
          <w:sz w:val="26"/>
          <w:szCs w:val="26"/>
        </w:rPr>
        <w:t>T</w:t>
      </w:r>
      <w:r w:rsidR="00A555A1">
        <w:rPr>
          <w:rFonts w:eastAsiaTheme="minorHAnsi"/>
          <w:sz w:val="26"/>
          <w:szCs w:val="26"/>
        </w:rPr>
        <w:t>he Initial Decision</w:t>
      </w:r>
      <w:r w:rsidR="00DC4ACB">
        <w:rPr>
          <w:rFonts w:eastAsiaTheme="minorHAnsi"/>
          <w:sz w:val="26"/>
          <w:szCs w:val="26"/>
        </w:rPr>
        <w:t xml:space="preserve"> sustains PGW’s</w:t>
      </w:r>
      <w:r w:rsidR="009B3003">
        <w:rPr>
          <w:rFonts w:eastAsiaTheme="minorHAnsi"/>
          <w:sz w:val="26"/>
          <w:szCs w:val="26"/>
        </w:rPr>
        <w:t xml:space="preserve"> appeal</w:t>
      </w:r>
      <w:r w:rsidR="00DC4ACB">
        <w:rPr>
          <w:rFonts w:eastAsiaTheme="minorHAnsi"/>
          <w:sz w:val="26"/>
          <w:szCs w:val="26"/>
        </w:rPr>
        <w:t xml:space="preserve"> and</w:t>
      </w:r>
      <w:r w:rsidR="00DA179D">
        <w:rPr>
          <w:rFonts w:eastAsiaTheme="minorHAnsi"/>
          <w:sz w:val="26"/>
          <w:szCs w:val="26"/>
        </w:rPr>
        <w:t xml:space="preserve"> </w:t>
      </w:r>
      <w:r w:rsidR="00A555A1">
        <w:rPr>
          <w:rFonts w:eastAsiaTheme="minorHAnsi"/>
          <w:sz w:val="26"/>
          <w:szCs w:val="26"/>
        </w:rPr>
        <w:t>vacate</w:t>
      </w:r>
      <w:r w:rsidR="00DA179D">
        <w:rPr>
          <w:rFonts w:eastAsiaTheme="minorHAnsi"/>
          <w:sz w:val="26"/>
          <w:szCs w:val="26"/>
        </w:rPr>
        <w:t>s</w:t>
      </w:r>
      <w:r w:rsidR="00A555A1">
        <w:rPr>
          <w:rFonts w:eastAsiaTheme="minorHAnsi"/>
          <w:sz w:val="26"/>
          <w:szCs w:val="26"/>
        </w:rPr>
        <w:t xml:space="preserve"> </w:t>
      </w:r>
      <w:r w:rsidR="00F54236">
        <w:rPr>
          <w:rFonts w:eastAsiaTheme="minorHAnsi"/>
          <w:sz w:val="26"/>
          <w:szCs w:val="26"/>
        </w:rPr>
        <w:t>a</w:t>
      </w:r>
      <w:r w:rsidR="00A555A1">
        <w:rPr>
          <w:rFonts w:eastAsiaTheme="minorHAnsi"/>
          <w:sz w:val="26"/>
          <w:szCs w:val="26"/>
        </w:rPr>
        <w:t xml:space="preserve"> </w:t>
      </w:r>
      <w:r w:rsidR="00F54236">
        <w:rPr>
          <w:rFonts w:eastAsiaTheme="minorHAnsi"/>
          <w:sz w:val="26"/>
          <w:szCs w:val="26"/>
        </w:rPr>
        <w:t>B</w:t>
      </w:r>
      <w:r w:rsidR="006762DA" w:rsidRPr="009C51A5">
        <w:rPr>
          <w:sz w:val="26"/>
          <w:szCs w:val="26"/>
        </w:rPr>
        <w:t>ureau of Consumer Services</w:t>
      </w:r>
      <w:r w:rsidR="006762DA">
        <w:rPr>
          <w:sz w:val="26"/>
          <w:szCs w:val="26"/>
        </w:rPr>
        <w:t>’</w:t>
      </w:r>
      <w:r w:rsidR="006762DA" w:rsidRPr="009C51A5">
        <w:rPr>
          <w:sz w:val="26"/>
          <w:szCs w:val="26"/>
        </w:rPr>
        <w:t xml:space="preserve"> (BCS)</w:t>
      </w:r>
      <w:r w:rsidR="00A555A1">
        <w:rPr>
          <w:rFonts w:eastAsiaTheme="minorHAnsi"/>
          <w:sz w:val="26"/>
          <w:szCs w:val="26"/>
        </w:rPr>
        <w:t xml:space="preserve"> </w:t>
      </w:r>
      <w:r w:rsidR="006762DA">
        <w:rPr>
          <w:rFonts w:eastAsiaTheme="minorHAnsi"/>
          <w:sz w:val="26"/>
          <w:szCs w:val="26"/>
        </w:rPr>
        <w:t xml:space="preserve">informal </w:t>
      </w:r>
      <w:r w:rsidR="00A555A1">
        <w:rPr>
          <w:rFonts w:eastAsiaTheme="minorHAnsi"/>
          <w:sz w:val="26"/>
          <w:szCs w:val="26"/>
        </w:rPr>
        <w:t>decision</w:t>
      </w:r>
      <w:r w:rsidR="0020591C">
        <w:rPr>
          <w:rFonts w:eastAsiaTheme="minorHAnsi"/>
          <w:sz w:val="26"/>
          <w:szCs w:val="26"/>
        </w:rPr>
        <w:t xml:space="preserve"> </w:t>
      </w:r>
      <w:r w:rsidR="00DC4ACB">
        <w:rPr>
          <w:rFonts w:eastAsiaTheme="minorHAnsi"/>
          <w:sz w:val="26"/>
          <w:szCs w:val="26"/>
        </w:rPr>
        <w:t>at Case Number</w:t>
      </w:r>
      <w:r w:rsidR="0097451B">
        <w:rPr>
          <w:rFonts w:eastAsiaTheme="minorHAnsi"/>
          <w:sz w:val="26"/>
          <w:szCs w:val="26"/>
        </w:rPr>
        <w:t> </w:t>
      </w:r>
      <w:r w:rsidR="00DC4ACB">
        <w:rPr>
          <w:rFonts w:eastAsiaTheme="minorHAnsi"/>
          <w:sz w:val="26"/>
          <w:szCs w:val="26"/>
        </w:rPr>
        <w:t xml:space="preserve">3607056, </w:t>
      </w:r>
      <w:r w:rsidR="003A2DF1">
        <w:rPr>
          <w:rFonts w:eastAsiaTheme="minorHAnsi"/>
          <w:sz w:val="26"/>
          <w:szCs w:val="26"/>
        </w:rPr>
        <w:t>with prejudice</w:t>
      </w:r>
      <w:r w:rsidR="00F54236">
        <w:rPr>
          <w:rFonts w:eastAsiaTheme="minorHAnsi"/>
          <w:sz w:val="26"/>
          <w:szCs w:val="26"/>
        </w:rPr>
        <w:t>.</w:t>
      </w:r>
      <w:r w:rsidR="00A555A1">
        <w:rPr>
          <w:rFonts w:eastAsiaTheme="minorHAnsi"/>
          <w:sz w:val="26"/>
          <w:szCs w:val="26"/>
        </w:rPr>
        <w:t xml:space="preserve">  </w:t>
      </w:r>
      <w:r w:rsidR="00A555A1" w:rsidRPr="00501B71">
        <w:rPr>
          <w:i/>
          <w:sz w:val="26"/>
        </w:rPr>
        <w:t xml:space="preserve"> </w:t>
      </w:r>
    </w:p>
    <w:p w14:paraId="17DDECFE" w14:textId="77777777" w:rsidR="006762DA" w:rsidRDefault="006762DA" w:rsidP="00A555A1">
      <w:pPr>
        <w:spacing w:line="360" w:lineRule="auto"/>
        <w:ind w:firstLine="1440"/>
        <w:rPr>
          <w:sz w:val="26"/>
          <w:szCs w:val="26"/>
        </w:rPr>
      </w:pPr>
    </w:p>
    <w:p w14:paraId="37D98465" w14:textId="77777777" w:rsidR="00A555A1" w:rsidRDefault="006762DA" w:rsidP="00BC2F26">
      <w:pPr>
        <w:spacing w:line="360" w:lineRule="auto"/>
        <w:jc w:val="center"/>
        <w:rPr>
          <w:b/>
          <w:sz w:val="26"/>
        </w:rPr>
      </w:pPr>
      <w:r w:rsidRPr="00501B71">
        <w:rPr>
          <w:b/>
          <w:sz w:val="26"/>
        </w:rPr>
        <w:t>Background</w:t>
      </w:r>
    </w:p>
    <w:p w14:paraId="2EB8F268" w14:textId="77777777" w:rsidR="00BC2F26" w:rsidRPr="00501B71" w:rsidRDefault="00BC2F26" w:rsidP="00BC2F26">
      <w:pPr>
        <w:spacing w:line="360" w:lineRule="auto"/>
        <w:rPr>
          <w:b/>
          <w:sz w:val="26"/>
        </w:rPr>
      </w:pPr>
    </w:p>
    <w:p w14:paraId="08383FD9" w14:textId="77777777" w:rsidR="00A86EBC" w:rsidRDefault="00105FD5" w:rsidP="00A86EBC">
      <w:pPr>
        <w:spacing w:line="360" w:lineRule="auto"/>
        <w:ind w:firstLine="1440"/>
        <w:rPr>
          <w:sz w:val="26"/>
          <w:szCs w:val="26"/>
        </w:rPr>
      </w:pPr>
      <w:r w:rsidRPr="009C51A5">
        <w:rPr>
          <w:sz w:val="26"/>
          <w:szCs w:val="26"/>
        </w:rPr>
        <w:t xml:space="preserve">This proceeding </w:t>
      </w:r>
      <w:r w:rsidR="0020591C">
        <w:rPr>
          <w:sz w:val="26"/>
          <w:szCs w:val="26"/>
        </w:rPr>
        <w:t>involves</w:t>
      </w:r>
      <w:r w:rsidRPr="009C51A5">
        <w:rPr>
          <w:sz w:val="26"/>
          <w:szCs w:val="26"/>
        </w:rPr>
        <w:t xml:space="preserve"> PGW</w:t>
      </w:r>
      <w:r w:rsidR="0020591C">
        <w:rPr>
          <w:sz w:val="26"/>
          <w:szCs w:val="26"/>
        </w:rPr>
        <w:t>’s appeal</w:t>
      </w:r>
      <w:r w:rsidR="00AF1545">
        <w:rPr>
          <w:sz w:val="26"/>
          <w:szCs w:val="26"/>
        </w:rPr>
        <w:t xml:space="preserve"> (</w:t>
      </w:r>
      <w:r w:rsidR="003E7698">
        <w:rPr>
          <w:sz w:val="26"/>
          <w:szCs w:val="26"/>
        </w:rPr>
        <w:t xml:space="preserve">Formal </w:t>
      </w:r>
      <w:r w:rsidR="00AF1545">
        <w:rPr>
          <w:sz w:val="26"/>
          <w:szCs w:val="26"/>
        </w:rPr>
        <w:t>Complaint)</w:t>
      </w:r>
      <w:r w:rsidR="0020591C">
        <w:rPr>
          <w:sz w:val="26"/>
          <w:szCs w:val="26"/>
        </w:rPr>
        <w:t xml:space="preserve"> of </w:t>
      </w:r>
      <w:r w:rsidR="00906042">
        <w:rPr>
          <w:sz w:val="26"/>
          <w:szCs w:val="26"/>
        </w:rPr>
        <w:t xml:space="preserve">the </w:t>
      </w:r>
      <w:r w:rsidR="0020591C">
        <w:rPr>
          <w:sz w:val="26"/>
          <w:szCs w:val="26"/>
        </w:rPr>
        <w:t>BCS</w:t>
      </w:r>
      <w:r w:rsidRPr="009C51A5">
        <w:rPr>
          <w:sz w:val="26"/>
          <w:szCs w:val="26"/>
        </w:rPr>
        <w:t xml:space="preserve"> informal decision</w:t>
      </w:r>
      <w:r w:rsidR="00BC2F26">
        <w:rPr>
          <w:sz w:val="26"/>
          <w:szCs w:val="26"/>
        </w:rPr>
        <w:t xml:space="preserve"> </w:t>
      </w:r>
      <w:r w:rsidRPr="009C51A5">
        <w:rPr>
          <w:sz w:val="26"/>
          <w:szCs w:val="26"/>
        </w:rPr>
        <w:t>at BCS Case No. 3607056</w:t>
      </w:r>
      <w:r w:rsidR="007459BD">
        <w:rPr>
          <w:sz w:val="26"/>
          <w:szCs w:val="26"/>
        </w:rPr>
        <w:t>.</w:t>
      </w:r>
      <w:r w:rsidRPr="009C51A5">
        <w:rPr>
          <w:sz w:val="26"/>
          <w:szCs w:val="26"/>
        </w:rPr>
        <w:t xml:space="preserve"> </w:t>
      </w:r>
      <w:r w:rsidR="007459BD">
        <w:rPr>
          <w:sz w:val="26"/>
          <w:szCs w:val="26"/>
        </w:rPr>
        <w:t xml:space="preserve"> I</w:t>
      </w:r>
      <w:r w:rsidR="00FD4C73">
        <w:rPr>
          <w:sz w:val="26"/>
          <w:szCs w:val="26"/>
        </w:rPr>
        <w:t xml:space="preserve">n </w:t>
      </w:r>
      <w:r w:rsidR="007459BD">
        <w:rPr>
          <w:sz w:val="26"/>
          <w:szCs w:val="26"/>
        </w:rPr>
        <w:t xml:space="preserve">the informal decision, </w:t>
      </w:r>
      <w:r w:rsidR="00C70B50">
        <w:rPr>
          <w:sz w:val="26"/>
          <w:szCs w:val="26"/>
        </w:rPr>
        <w:t>the BCS</w:t>
      </w:r>
      <w:r w:rsidR="00BC2F26">
        <w:rPr>
          <w:sz w:val="26"/>
          <w:szCs w:val="26"/>
        </w:rPr>
        <w:t xml:space="preserve"> </w:t>
      </w:r>
      <w:r w:rsidRPr="009C51A5">
        <w:rPr>
          <w:sz w:val="26"/>
          <w:szCs w:val="26"/>
        </w:rPr>
        <w:t xml:space="preserve">ruled favorably for </w:t>
      </w:r>
      <w:r w:rsidR="00FD4C73">
        <w:rPr>
          <w:sz w:val="26"/>
          <w:szCs w:val="26"/>
        </w:rPr>
        <w:t xml:space="preserve">the Complainant </w:t>
      </w:r>
      <w:r w:rsidRPr="009C51A5">
        <w:rPr>
          <w:sz w:val="26"/>
          <w:szCs w:val="26"/>
        </w:rPr>
        <w:t xml:space="preserve">and concluded that PGW cannot require </w:t>
      </w:r>
      <w:r w:rsidR="00BC2F26">
        <w:rPr>
          <w:sz w:val="26"/>
          <w:szCs w:val="26"/>
        </w:rPr>
        <w:t>th</w:t>
      </w:r>
      <w:r w:rsidR="00C70B50">
        <w:rPr>
          <w:sz w:val="26"/>
          <w:szCs w:val="26"/>
        </w:rPr>
        <w:t>e</w:t>
      </w:r>
      <w:r w:rsidR="00BC2F26">
        <w:rPr>
          <w:sz w:val="26"/>
          <w:szCs w:val="26"/>
        </w:rPr>
        <w:t xml:space="preserve"> Complainant</w:t>
      </w:r>
      <w:r w:rsidRPr="009C51A5">
        <w:rPr>
          <w:sz w:val="26"/>
          <w:szCs w:val="26"/>
        </w:rPr>
        <w:t xml:space="preserve"> </w:t>
      </w:r>
      <w:r w:rsidR="00C70B50">
        <w:rPr>
          <w:sz w:val="26"/>
          <w:szCs w:val="26"/>
        </w:rPr>
        <w:t xml:space="preserve">to </w:t>
      </w:r>
      <w:r w:rsidRPr="009C51A5">
        <w:rPr>
          <w:sz w:val="26"/>
          <w:szCs w:val="26"/>
        </w:rPr>
        <w:t xml:space="preserve">satisfy a Customer Responsibility Program (CRP) arrearage incurred by another </w:t>
      </w:r>
      <w:r w:rsidR="000A25BB">
        <w:rPr>
          <w:sz w:val="26"/>
          <w:szCs w:val="26"/>
        </w:rPr>
        <w:t>reside</w:t>
      </w:r>
      <w:r w:rsidRPr="009C51A5">
        <w:rPr>
          <w:sz w:val="26"/>
          <w:szCs w:val="26"/>
        </w:rPr>
        <w:t xml:space="preserve">nt </w:t>
      </w:r>
      <w:r w:rsidR="000A25BB">
        <w:rPr>
          <w:sz w:val="26"/>
          <w:szCs w:val="26"/>
        </w:rPr>
        <w:t xml:space="preserve">and ratepayer at </w:t>
      </w:r>
      <w:r w:rsidR="00C70B50">
        <w:rPr>
          <w:sz w:val="26"/>
          <w:szCs w:val="26"/>
        </w:rPr>
        <w:t>5029 Homestead Street, Philadelphia, PA (</w:t>
      </w:r>
      <w:r w:rsidR="000A25BB">
        <w:rPr>
          <w:sz w:val="26"/>
          <w:szCs w:val="26"/>
        </w:rPr>
        <w:t>Service Address</w:t>
      </w:r>
      <w:r w:rsidR="00C70B50">
        <w:rPr>
          <w:sz w:val="26"/>
          <w:szCs w:val="26"/>
        </w:rPr>
        <w:t>)</w:t>
      </w:r>
      <w:r w:rsidR="000A25BB">
        <w:rPr>
          <w:sz w:val="26"/>
          <w:szCs w:val="26"/>
        </w:rPr>
        <w:t xml:space="preserve"> </w:t>
      </w:r>
      <w:r w:rsidRPr="009C51A5">
        <w:rPr>
          <w:sz w:val="26"/>
          <w:szCs w:val="26"/>
        </w:rPr>
        <w:t>before enrolling her in PGW’s CRP.</w:t>
      </w:r>
      <w:r w:rsidR="00B03634" w:rsidRPr="009C51A5">
        <w:rPr>
          <w:sz w:val="26"/>
          <w:szCs w:val="26"/>
        </w:rPr>
        <w:t xml:space="preserve">  </w:t>
      </w:r>
      <w:r w:rsidR="00B03634" w:rsidRPr="009C51A5">
        <w:rPr>
          <w:i/>
          <w:iCs/>
          <w:sz w:val="26"/>
          <w:szCs w:val="26"/>
        </w:rPr>
        <w:t>See</w:t>
      </w:r>
      <w:r w:rsidR="00FD4C73" w:rsidRPr="00B84C31">
        <w:rPr>
          <w:sz w:val="26"/>
          <w:szCs w:val="26"/>
        </w:rPr>
        <w:t>,</w:t>
      </w:r>
      <w:r w:rsidR="00B03634" w:rsidRPr="009C51A5">
        <w:rPr>
          <w:i/>
          <w:iCs/>
          <w:sz w:val="26"/>
          <w:szCs w:val="26"/>
        </w:rPr>
        <w:t xml:space="preserve"> </w:t>
      </w:r>
      <w:r w:rsidR="00B03634" w:rsidRPr="009C51A5">
        <w:rPr>
          <w:sz w:val="26"/>
          <w:szCs w:val="26"/>
        </w:rPr>
        <w:t>52 Pa. Code §</w:t>
      </w:r>
      <m:oMath>
        <m:r>
          <w:rPr>
            <w:rFonts w:ascii="Cambria Math" w:hAnsi="Cambria Math"/>
            <w:sz w:val="26"/>
            <w:szCs w:val="26"/>
          </w:rPr>
          <m:t>§</m:t>
        </m:r>
      </m:oMath>
      <w:r w:rsidR="00E63646">
        <w:rPr>
          <w:sz w:val="26"/>
          <w:szCs w:val="26"/>
        </w:rPr>
        <w:t> </w:t>
      </w:r>
      <w:r w:rsidR="00B03634" w:rsidRPr="009C51A5">
        <w:rPr>
          <w:sz w:val="26"/>
          <w:szCs w:val="26"/>
        </w:rPr>
        <w:t>56.173; 56.403.</w:t>
      </w:r>
      <w:r w:rsidR="00906042">
        <w:rPr>
          <w:sz w:val="26"/>
          <w:szCs w:val="26"/>
        </w:rPr>
        <w:t xml:space="preserve">  </w:t>
      </w:r>
      <w:r w:rsidR="00E03B7F" w:rsidRPr="009C51A5">
        <w:rPr>
          <w:sz w:val="26"/>
          <w:szCs w:val="26"/>
        </w:rPr>
        <w:t>The Initial Decision</w:t>
      </w:r>
      <w:r w:rsidR="007459BD">
        <w:rPr>
          <w:sz w:val="26"/>
          <w:szCs w:val="26"/>
        </w:rPr>
        <w:t xml:space="preserve">, on </w:t>
      </w:r>
      <w:r w:rsidR="00A86EBC">
        <w:rPr>
          <w:sz w:val="26"/>
          <w:szCs w:val="26"/>
        </w:rPr>
        <w:t xml:space="preserve">the scheduling of a hearing on </w:t>
      </w:r>
      <w:r w:rsidR="007459BD">
        <w:rPr>
          <w:sz w:val="26"/>
          <w:szCs w:val="26"/>
        </w:rPr>
        <w:t>PGW’s appeal of the informal decision,</w:t>
      </w:r>
      <w:r w:rsidR="009613A3" w:rsidRPr="009C51A5">
        <w:rPr>
          <w:sz w:val="26"/>
          <w:szCs w:val="26"/>
        </w:rPr>
        <w:t xml:space="preserve"> sustained </w:t>
      </w:r>
      <w:r w:rsidR="007F08D3" w:rsidRPr="009C51A5">
        <w:rPr>
          <w:sz w:val="26"/>
          <w:szCs w:val="26"/>
        </w:rPr>
        <w:t>the appeal and vacate</w:t>
      </w:r>
      <w:r w:rsidR="000E54D5" w:rsidRPr="009C51A5">
        <w:rPr>
          <w:sz w:val="26"/>
          <w:szCs w:val="26"/>
        </w:rPr>
        <w:t>d</w:t>
      </w:r>
      <w:r w:rsidR="007F08D3" w:rsidRPr="009C51A5">
        <w:rPr>
          <w:sz w:val="26"/>
          <w:szCs w:val="26"/>
        </w:rPr>
        <w:t xml:space="preserve"> </w:t>
      </w:r>
      <w:r w:rsidR="000E54D5" w:rsidRPr="009C51A5">
        <w:rPr>
          <w:sz w:val="26"/>
          <w:szCs w:val="26"/>
        </w:rPr>
        <w:t xml:space="preserve">the BCS </w:t>
      </w:r>
      <w:r w:rsidR="007F08D3" w:rsidRPr="009C51A5">
        <w:rPr>
          <w:sz w:val="26"/>
          <w:szCs w:val="26"/>
        </w:rPr>
        <w:t>decision</w:t>
      </w:r>
      <w:r w:rsidR="000E54D5" w:rsidRPr="009C51A5">
        <w:rPr>
          <w:sz w:val="26"/>
          <w:szCs w:val="26"/>
        </w:rPr>
        <w:t>,</w:t>
      </w:r>
      <w:r w:rsidR="007F08D3" w:rsidRPr="009C51A5">
        <w:rPr>
          <w:sz w:val="26"/>
          <w:szCs w:val="26"/>
        </w:rPr>
        <w:t xml:space="preserve"> with prejudice</w:t>
      </w:r>
      <w:r w:rsidR="000E54D5" w:rsidRPr="009C51A5">
        <w:rPr>
          <w:sz w:val="26"/>
          <w:szCs w:val="26"/>
        </w:rPr>
        <w:t>,</w:t>
      </w:r>
      <w:r w:rsidR="007F08D3" w:rsidRPr="009C51A5">
        <w:rPr>
          <w:sz w:val="26"/>
          <w:szCs w:val="26"/>
        </w:rPr>
        <w:t xml:space="preserve"> b</w:t>
      </w:r>
      <w:r w:rsidR="00E54CEF">
        <w:rPr>
          <w:sz w:val="26"/>
          <w:szCs w:val="26"/>
        </w:rPr>
        <w:t>ased on</w:t>
      </w:r>
      <w:r w:rsidR="007F08D3" w:rsidRPr="009C51A5">
        <w:rPr>
          <w:sz w:val="26"/>
          <w:szCs w:val="26"/>
        </w:rPr>
        <w:t xml:space="preserve"> </w:t>
      </w:r>
      <w:r w:rsidR="00FD4C73">
        <w:rPr>
          <w:sz w:val="26"/>
          <w:szCs w:val="26"/>
        </w:rPr>
        <w:t xml:space="preserve">the Complainant’s </w:t>
      </w:r>
      <w:r w:rsidR="007F08D3" w:rsidRPr="009C51A5">
        <w:rPr>
          <w:sz w:val="26"/>
          <w:szCs w:val="26"/>
        </w:rPr>
        <w:t>fai</w:t>
      </w:r>
      <w:r w:rsidR="00E54CEF">
        <w:rPr>
          <w:sz w:val="26"/>
          <w:szCs w:val="26"/>
        </w:rPr>
        <w:t>lure</w:t>
      </w:r>
      <w:r w:rsidR="007F08D3" w:rsidRPr="009C51A5">
        <w:rPr>
          <w:sz w:val="26"/>
          <w:szCs w:val="26"/>
        </w:rPr>
        <w:t xml:space="preserve"> to appear for her hearing and prosecute her Complaint.</w:t>
      </w:r>
      <w:r w:rsidR="009C51A5">
        <w:rPr>
          <w:sz w:val="26"/>
          <w:szCs w:val="26"/>
        </w:rPr>
        <w:t xml:space="preserve">  </w:t>
      </w:r>
      <w:r w:rsidR="009C51A5" w:rsidRPr="00BB5BDB">
        <w:rPr>
          <w:sz w:val="26"/>
          <w:szCs w:val="26"/>
        </w:rPr>
        <w:t>66 Pa. C.S. § 332(f); 52</w:t>
      </w:r>
      <w:r w:rsidR="003E7698">
        <w:rPr>
          <w:sz w:val="26"/>
          <w:szCs w:val="26"/>
        </w:rPr>
        <w:t> </w:t>
      </w:r>
      <w:r w:rsidR="009C51A5" w:rsidRPr="00BB5BDB">
        <w:rPr>
          <w:sz w:val="26"/>
          <w:szCs w:val="26"/>
        </w:rPr>
        <w:t xml:space="preserve">Pa. Code § 5.245(a)-(c). </w:t>
      </w:r>
      <w:r w:rsidR="00E03B7F" w:rsidRPr="009C51A5">
        <w:rPr>
          <w:sz w:val="26"/>
          <w:szCs w:val="26"/>
        </w:rPr>
        <w:t xml:space="preserve"> </w:t>
      </w:r>
    </w:p>
    <w:p w14:paraId="70F626EB" w14:textId="77777777" w:rsidR="00A86EBC" w:rsidRDefault="00A86EBC" w:rsidP="00F54236">
      <w:pPr>
        <w:spacing w:line="360" w:lineRule="auto"/>
        <w:rPr>
          <w:sz w:val="26"/>
          <w:szCs w:val="26"/>
        </w:rPr>
      </w:pPr>
    </w:p>
    <w:p w14:paraId="2E400354" w14:textId="77777777" w:rsidR="00846C71" w:rsidRDefault="00846C71" w:rsidP="00F54236">
      <w:pPr>
        <w:spacing w:line="360" w:lineRule="auto"/>
        <w:rPr>
          <w:sz w:val="26"/>
          <w:szCs w:val="26"/>
        </w:rPr>
      </w:pPr>
    </w:p>
    <w:p w14:paraId="68CC6E07" w14:textId="77777777" w:rsidR="000E54D5" w:rsidRDefault="007F08D3" w:rsidP="009C51A5">
      <w:pPr>
        <w:pStyle w:val="Heading1"/>
        <w:spacing w:after="0" w:line="360" w:lineRule="auto"/>
        <w:ind w:left="144" w:right="144" w:firstLine="0"/>
        <w:rPr>
          <w:b/>
          <w:bCs/>
          <w:sz w:val="26"/>
          <w:szCs w:val="26"/>
          <w:u w:val="none"/>
        </w:rPr>
      </w:pPr>
      <w:r w:rsidRPr="000E54D5">
        <w:rPr>
          <w:b/>
          <w:bCs/>
          <w:sz w:val="26"/>
          <w:szCs w:val="26"/>
          <w:u w:val="none"/>
        </w:rPr>
        <w:t>H</w:t>
      </w:r>
      <w:r w:rsidR="000E54D5">
        <w:rPr>
          <w:b/>
          <w:bCs/>
          <w:sz w:val="26"/>
          <w:szCs w:val="26"/>
          <w:u w:val="none"/>
        </w:rPr>
        <w:t>istory of the Proceeding</w:t>
      </w:r>
    </w:p>
    <w:p w14:paraId="05A5EB72" w14:textId="77777777" w:rsidR="007F08D3" w:rsidRPr="000E54D5" w:rsidRDefault="007F08D3" w:rsidP="009C51A5">
      <w:pPr>
        <w:pStyle w:val="Heading1"/>
        <w:spacing w:after="0" w:line="360" w:lineRule="auto"/>
        <w:ind w:left="144" w:right="144" w:firstLine="1440"/>
        <w:jc w:val="left"/>
        <w:rPr>
          <w:u w:val="none"/>
        </w:rPr>
      </w:pPr>
      <w:r>
        <w:t xml:space="preserve"> </w:t>
      </w:r>
    </w:p>
    <w:p w14:paraId="49463347" w14:textId="77777777" w:rsidR="00690EAC" w:rsidRDefault="007F08D3" w:rsidP="00AF1545">
      <w:pPr>
        <w:spacing w:line="360" w:lineRule="auto"/>
        <w:ind w:left="144" w:right="144" w:firstLine="1440"/>
        <w:rPr>
          <w:sz w:val="26"/>
          <w:szCs w:val="26"/>
        </w:rPr>
      </w:pPr>
      <w:r w:rsidRPr="00105FD5">
        <w:rPr>
          <w:sz w:val="26"/>
          <w:szCs w:val="26"/>
        </w:rPr>
        <w:t xml:space="preserve">On April 24, 2018, </w:t>
      </w:r>
      <w:r w:rsidR="00364C35">
        <w:rPr>
          <w:sz w:val="26"/>
          <w:szCs w:val="26"/>
        </w:rPr>
        <w:t>the Complainant</w:t>
      </w:r>
      <w:r w:rsidRPr="00105FD5">
        <w:rPr>
          <w:sz w:val="26"/>
          <w:szCs w:val="26"/>
        </w:rPr>
        <w:t xml:space="preserve"> filed an informal complaint against PGW docketed at BCS Case No. 3607056.  </w:t>
      </w:r>
    </w:p>
    <w:p w14:paraId="252A13D8" w14:textId="77777777" w:rsidR="00690EAC" w:rsidRDefault="00690EAC" w:rsidP="00AF1545">
      <w:pPr>
        <w:spacing w:line="360" w:lineRule="auto"/>
        <w:ind w:left="144" w:right="144" w:firstLine="1440"/>
        <w:rPr>
          <w:sz w:val="26"/>
          <w:szCs w:val="26"/>
        </w:rPr>
      </w:pPr>
    </w:p>
    <w:p w14:paraId="5A481245" w14:textId="77777777" w:rsidR="00871DAC" w:rsidRPr="00FA06C2" w:rsidRDefault="007F08D3" w:rsidP="00AF1545">
      <w:pPr>
        <w:spacing w:line="360" w:lineRule="auto"/>
        <w:ind w:left="144" w:right="144" w:firstLine="1440"/>
        <w:rPr>
          <w:sz w:val="26"/>
          <w:szCs w:val="26"/>
        </w:rPr>
      </w:pPr>
      <w:r w:rsidRPr="00105FD5">
        <w:rPr>
          <w:sz w:val="26"/>
          <w:szCs w:val="26"/>
        </w:rPr>
        <w:t xml:space="preserve">On December 28, 2018, the BCS issued a decision </w:t>
      </w:r>
      <w:r w:rsidR="00EF77A2">
        <w:rPr>
          <w:sz w:val="26"/>
          <w:szCs w:val="26"/>
        </w:rPr>
        <w:t>on the informal complaint</w:t>
      </w:r>
      <w:r w:rsidR="00364C35">
        <w:rPr>
          <w:sz w:val="26"/>
          <w:szCs w:val="26"/>
        </w:rPr>
        <w:t xml:space="preserve"> in which it </w:t>
      </w:r>
      <w:r w:rsidR="00DF4D02">
        <w:rPr>
          <w:sz w:val="26"/>
          <w:szCs w:val="26"/>
        </w:rPr>
        <w:t>determined</w:t>
      </w:r>
      <w:r w:rsidRPr="00105FD5">
        <w:rPr>
          <w:sz w:val="26"/>
          <w:szCs w:val="26"/>
        </w:rPr>
        <w:t xml:space="preserve"> that PGW cannot require </w:t>
      </w:r>
      <w:r w:rsidR="00364C35">
        <w:rPr>
          <w:sz w:val="26"/>
          <w:szCs w:val="26"/>
        </w:rPr>
        <w:t xml:space="preserve">the Complainant </w:t>
      </w:r>
      <w:r w:rsidRPr="00105FD5">
        <w:rPr>
          <w:sz w:val="26"/>
          <w:szCs w:val="26"/>
        </w:rPr>
        <w:t xml:space="preserve">to satisfy </w:t>
      </w:r>
      <w:r w:rsidRPr="00105FD5">
        <w:rPr>
          <w:sz w:val="26"/>
          <w:szCs w:val="26"/>
        </w:rPr>
        <w:lastRenderedPageBreak/>
        <w:t>CRP</w:t>
      </w:r>
      <w:r w:rsidR="00EF5D7F">
        <w:rPr>
          <w:rStyle w:val="FootnoteReference"/>
          <w:sz w:val="26"/>
          <w:szCs w:val="26"/>
        </w:rPr>
        <w:footnoteReference w:id="3"/>
      </w:r>
      <w:r w:rsidRPr="00105FD5">
        <w:rPr>
          <w:sz w:val="26"/>
          <w:szCs w:val="26"/>
        </w:rPr>
        <w:t xml:space="preserve"> arrears incurred by another resident </w:t>
      </w:r>
      <w:r w:rsidR="00364C35">
        <w:rPr>
          <w:sz w:val="26"/>
          <w:szCs w:val="26"/>
        </w:rPr>
        <w:t>prior to her enrollment</w:t>
      </w:r>
      <w:r w:rsidRPr="00105FD5">
        <w:rPr>
          <w:sz w:val="26"/>
          <w:szCs w:val="26"/>
        </w:rPr>
        <w:t xml:space="preserve"> in the CRP.</w:t>
      </w:r>
      <w:r w:rsidR="00871DAC">
        <w:rPr>
          <w:sz w:val="26"/>
          <w:szCs w:val="26"/>
        </w:rPr>
        <w:t xml:space="preserve">  The amount requested by PGW for </w:t>
      </w:r>
      <w:r w:rsidR="00364C35">
        <w:rPr>
          <w:sz w:val="26"/>
          <w:szCs w:val="26"/>
        </w:rPr>
        <w:t xml:space="preserve">the Complainant </w:t>
      </w:r>
      <w:r w:rsidR="00871DAC">
        <w:rPr>
          <w:sz w:val="26"/>
          <w:szCs w:val="26"/>
        </w:rPr>
        <w:t xml:space="preserve">to enroll in its CRP was stated as $382.56 and </w:t>
      </w:r>
      <w:r w:rsidR="005172A3">
        <w:rPr>
          <w:sz w:val="26"/>
          <w:szCs w:val="26"/>
        </w:rPr>
        <w:t xml:space="preserve">was </w:t>
      </w:r>
      <w:r w:rsidR="00871DAC">
        <w:rPr>
          <w:sz w:val="26"/>
          <w:szCs w:val="26"/>
        </w:rPr>
        <w:t>referred to as a “Cure” amount.</w:t>
      </w:r>
      <w:r w:rsidR="00AF1545">
        <w:rPr>
          <w:rStyle w:val="FootnoteReference"/>
          <w:sz w:val="26"/>
          <w:szCs w:val="26"/>
        </w:rPr>
        <w:footnoteReference w:id="4"/>
      </w:r>
      <w:r w:rsidR="00871DAC">
        <w:rPr>
          <w:sz w:val="26"/>
          <w:szCs w:val="26"/>
        </w:rPr>
        <w:t xml:space="preserve">  </w:t>
      </w:r>
      <w:r w:rsidR="00871DAC">
        <w:rPr>
          <w:i/>
          <w:iCs/>
          <w:sz w:val="26"/>
          <w:szCs w:val="26"/>
        </w:rPr>
        <w:t>See</w:t>
      </w:r>
      <w:r w:rsidR="00364C35" w:rsidRPr="003B2D6B">
        <w:rPr>
          <w:sz w:val="26"/>
          <w:szCs w:val="26"/>
        </w:rPr>
        <w:t>,</w:t>
      </w:r>
      <w:r w:rsidR="00871DAC">
        <w:rPr>
          <w:i/>
          <w:iCs/>
          <w:sz w:val="26"/>
          <w:szCs w:val="26"/>
        </w:rPr>
        <w:t xml:space="preserve"> </w:t>
      </w:r>
      <w:r w:rsidR="00871DAC" w:rsidRPr="00871DAC">
        <w:rPr>
          <w:sz w:val="26"/>
          <w:szCs w:val="26"/>
        </w:rPr>
        <w:t>Philadelp</w:t>
      </w:r>
      <w:r w:rsidR="00871DAC">
        <w:rPr>
          <w:sz w:val="26"/>
          <w:szCs w:val="26"/>
        </w:rPr>
        <w:t xml:space="preserve">hia Gas Works’ Appeal </w:t>
      </w:r>
      <w:r w:rsidR="000442E8">
        <w:rPr>
          <w:sz w:val="26"/>
          <w:szCs w:val="26"/>
        </w:rPr>
        <w:t>(</w:t>
      </w:r>
      <w:r w:rsidR="000442E8">
        <w:rPr>
          <w:i/>
          <w:iCs/>
          <w:sz w:val="26"/>
          <w:szCs w:val="26"/>
        </w:rPr>
        <w:t xml:space="preserve">PGW </w:t>
      </w:r>
      <w:r w:rsidR="000442E8" w:rsidRPr="000442E8">
        <w:rPr>
          <w:i/>
          <w:iCs/>
          <w:sz w:val="26"/>
          <w:szCs w:val="26"/>
        </w:rPr>
        <w:t>Appeal</w:t>
      </w:r>
      <w:r w:rsidR="000442E8">
        <w:rPr>
          <w:sz w:val="26"/>
          <w:szCs w:val="26"/>
        </w:rPr>
        <w:t xml:space="preserve">) </w:t>
      </w:r>
      <w:r w:rsidR="00871DAC" w:rsidRPr="000442E8">
        <w:rPr>
          <w:sz w:val="26"/>
          <w:szCs w:val="26"/>
        </w:rPr>
        <w:t>at</w:t>
      </w:r>
      <w:r w:rsidR="00871DAC">
        <w:rPr>
          <w:sz w:val="26"/>
          <w:szCs w:val="26"/>
        </w:rPr>
        <w:t xml:space="preserve"> ⁋ 10.  </w:t>
      </w:r>
    </w:p>
    <w:p w14:paraId="19F1C1E0" w14:textId="77777777" w:rsidR="007F08D3" w:rsidRPr="009C51A5" w:rsidRDefault="007F08D3" w:rsidP="00871DAC">
      <w:pPr>
        <w:spacing w:line="360" w:lineRule="auto"/>
        <w:ind w:left="144" w:right="144" w:firstLine="1440"/>
        <w:rPr>
          <w:sz w:val="26"/>
          <w:szCs w:val="26"/>
        </w:rPr>
      </w:pPr>
      <w:r w:rsidRPr="00105FD5">
        <w:rPr>
          <w:sz w:val="26"/>
          <w:szCs w:val="26"/>
        </w:rPr>
        <w:t xml:space="preserve">   </w:t>
      </w:r>
    </w:p>
    <w:p w14:paraId="6AA77BEC" w14:textId="77777777" w:rsidR="00375F43" w:rsidRDefault="007F08D3" w:rsidP="00E662BA">
      <w:pPr>
        <w:spacing w:line="360" w:lineRule="auto"/>
        <w:ind w:left="144" w:firstLine="1440"/>
        <w:rPr>
          <w:sz w:val="26"/>
          <w:szCs w:val="26"/>
        </w:rPr>
      </w:pPr>
      <w:r w:rsidRPr="009C51A5">
        <w:rPr>
          <w:sz w:val="26"/>
          <w:szCs w:val="26"/>
        </w:rPr>
        <w:t xml:space="preserve">On February 21, 2019, PGW filed </w:t>
      </w:r>
      <w:r w:rsidR="003A2DF1">
        <w:rPr>
          <w:sz w:val="26"/>
          <w:szCs w:val="26"/>
        </w:rPr>
        <w:t>the above docketed</w:t>
      </w:r>
      <w:r w:rsidRPr="009C51A5">
        <w:rPr>
          <w:sz w:val="26"/>
          <w:szCs w:val="26"/>
        </w:rPr>
        <w:t xml:space="preserve"> Complaint appealing the BCS decision.</w:t>
      </w:r>
      <w:r w:rsidR="00A86EBC">
        <w:rPr>
          <w:rStyle w:val="FootnoteReference"/>
          <w:sz w:val="26"/>
          <w:szCs w:val="26"/>
        </w:rPr>
        <w:footnoteReference w:id="5"/>
      </w:r>
      <w:r w:rsidRPr="009C51A5">
        <w:rPr>
          <w:sz w:val="26"/>
          <w:szCs w:val="26"/>
        </w:rPr>
        <w:t xml:space="preserve">  PGW alleged</w:t>
      </w:r>
      <w:r w:rsidR="000A25BB">
        <w:rPr>
          <w:sz w:val="26"/>
          <w:szCs w:val="26"/>
        </w:rPr>
        <w:t xml:space="preserve">, </w:t>
      </w:r>
      <w:r w:rsidR="000A25BB">
        <w:rPr>
          <w:i/>
          <w:iCs/>
          <w:sz w:val="26"/>
          <w:szCs w:val="26"/>
        </w:rPr>
        <w:t>inter alia</w:t>
      </w:r>
      <w:r w:rsidR="000A25BB">
        <w:rPr>
          <w:sz w:val="26"/>
          <w:szCs w:val="26"/>
        </w:rPr>
        <w:t xml:space="preserve">, </w:t>
      </w:r>
      <w:r w:rsidRPr="009C51A5">
        <w:rPr>
          <w:sz w:val="26"/>
          <w:szCs w:val="26"/>
        </w:rPr>
        <w:t xml:space="preserve">that </w:t>
      </w:r>
      <w:r w:rsidR="000A25BB">
        <w:rPr>
          <w:sz w:val="26"/>
          <w:szCs w:val="26"/>
        </w:rPr>
        <w:t>a Ms. Aisha Wrotten</w:t>
      </w:r>
      <w:r w:rsidR="00BC2F26">
        <w:rPr>
          <w:sz w:val="26"/>
          <w:szCs w:val="26"/>
        </w:rPr>
        <w:t xml:space="preserve"> </w:t>
      </w:r>
      <w:r w:rsidR="00364C35">
        <w:rPr>
          <w:sz w:val="26"/>
          <w:szCs w:val="26"/>
        </w:rPr>
        <w:t>(Complainant’s daughter)</w:t>
      </w:r>
      <w:r w:rsidR="000A25BB">
        <w:rPr>
          <w:sz w:val="26"/>
          <w:szCs w:val="26"/>
        </w:rPr>
        <w:t xml:space="preserve"> had utility service at the Service Address from the period </w:t>
      </w:r>
      <w:r w:rsidR="007A287F">
        <w:rPr>
          <w:sz w:val="26"/>
          <w:szCs w:val="26"/>
        </w:rPr>
        <w:t xml:space="preserve">of </w:t>
      </w:r>
      <w:r w:rsidR="000A25BB">
        <w:rPr>
          <w:sz w:val="26"/>
          <w:szCs w:val="26"/>
        </w:rPr>
        <w:t xml:space="preserve">April 11, 2014 – March 12, 2018, with a closing balance of $7,344.60 on the account.  </w:t>
      </w:r>
      <w:r w:rsidR="000A25BB">
        <w:rPr>
          <w:i/>
          <w:iCs/>
          <w:sz w:val="26"/>
          <w:szCs w:val="26"/>
        </w:rPr>
        <w:t>See</w:t>
      </w:r>
      <w:r w:rsidR="00364C35" w:rsidRPr="003B2D6B">
        <w:rPr>
          <w:sz w:val="26"/>
          <w:szCs w:val="26"/>
        </w:rPr>
        <w:t>,</w:t>
      </w:r>
      <w:r w:rsidR="000A25BB">
        <w:rPr>
          <w:i/>
          <w:iCs/>
          <w:sz w:val="26"/>
          <w:szCs w:val="26"/>
        </w:rPr>
        <w:t xml:space="preserve"> </w:t>
      </w:r>
      <w:r w:rsidR="00E662BA" w:rsidRPr="00E662BA">
        <w:rPr>
          <w:i/>
          <w:iCs/>
          <w:sz w:val="26"/>
          <w:szCs w:val="26"/>
        </w:rPr>
        <w:t>PGW</w:t>
      </w:r>
      <w:r w:rsidR="000A25BB" w:rsidRPr="00E662BA">
        <w:rPr>
          <w:i/>
          <w:iCs/>
          <w:sz w:val="26"/>
          <w:szCs w:val="26"/>
        </w:rPr>
        <w:t xml:space="preserve"> Appeal</w:t>
      </w:r>
      <w:r w:rsidR="000A25BB">
        <w:rPr>
          <w:sz w:val="26"/>
          <w:szCs w:val="26"/>
        </w:rPr>
        <w:t xml:space="preserve"> at ⁋ 3.  </w:t>
      </w:r>
      <w:r w:rsidR="005C2955">
        <w:rPr>
          <w:sz w:val="26"/>
          <w:szCs w:val="26"/>
        </w:rPr>
        <w:t>According to PGW, o</w:t>
      </w:r>
      <w:r w:rsidR="00AB446A">
        <w:rPr>
          <w:sz w:val="26"/>
          <w:szCs w:val="26"/>
        </w:rPr>
        <w:t xml:space="preserve">n April 3, 2015, </w:t>
      </w:r>
      <w:r w:rsidR="00364C35">
        <w:rPr>
          <w:sz w:val="26"/>
          <w:szCs w:val="26"/>
        </w:rPr>
        <w:t xml:space="preserve">the Complainant’s daughter </w:t>
      </w:r>
      <w:r w:rsidR="00AB446A">
        <w:rPr>
          <w:sz w:val="26"/>
          <w:szCs w:val="26"/>
        </w:rPr>
        <w:t xml:space="preserve">enrolled in PGW’s CRP </w:t>
      </w:r>
      <w:r w:rsidR="000D6B6F">
        <w:rPr>
          <w:sz w:val="26"/>
          <w:szCs w:val="26"/>
        </w:rPr>
        <w:t xml:space="preserve">with a balance of $6,502.27.  </w:t>
      </w:r>
      <w:r w:rsidR="000D6B6F">
        <w:rPr>
          <w:i/>
          <w:iCs/>
          <w:sz w:val="26"/>
          <w:szCs w:val="26"/>
        </w:rPr>
        <w:t>Id</w:t>
      </w:r>
      <w:r w:rsidR="000D6B6F">
        <w:rPr>
          <w:sz w:val="26"/>
          <w:szCs w:val="26"/>
        </w:rPr>
        <w:t>.</w:t>
      </w:r>
      <w:r w:rsidR="00AB446A" w:rsidRPr="009C51A5">
        <w:rPr>
          <w:sz w:val="26"/>
          <w:szCs w:val="26"/>
        </w:rPr>
        <w:t xml:space="preserve"> </w:t>
      </w:r>
      <w:r w:rsidR="000D6B6F">
        <w:rPr>
          <w:sz w:val="26"/>
          <w:szCs w:val="26"/>
        </w:rPr>
        <w:t xml:space="preserve">at ⁋ 4.  On April 4, 2017, </w:t>
      </w:r>
      <w:r w:rsidR="00364C35">
        <w:rPr>
          <w:sz w:val="26"/>
          <w:szCs w:val="26"/>
        </w:rPr>
        <w:t>PGW suspended the Complainant’s daughter’s account with a balance of $</w:t>
      </w:r>
      <w:r w:rsidR="000D6B6F">
        <w:rPr>
          <w:sz w:val="26"/>
          <w:szCs w:val="26"/>
        </w:rPr>
        <w:t>4,331.24</w:t>
      </w:r>
      <w:r w:rsidR="00B34CC1">
        <w:rPr>
          <w:sz w:val="26"/>
          <w:szCs w:val="26"/>
        </w:rPr>
        <w:t>;</w:t>
      </w:r>
      <w:r w:rsidR="000D6B6F">
        <w:rPr>
          <w:sz w:val="26"/>
          <w:szCs w:val="26"/>
        </w:rPr>
        <w:t xml:space="preserve"> </w:t>
      </w:r>
      <w:r w:rsidR="00B34CC1">
        <w:rPr>
          <w:sz w:val="26"/>
          <w:szCs w:val="26"/>
        </w:rPr>
        <w:t>however,</w:t>
      </w:r>
      <w:r w:rsidR="000D6B6F">
        <w:rPr>
          <w:sz w:val="26"/>
          <w:szCs w:val="26"/>
        </w:rPr>
        <w:t xml:space="preserve"> </w:t>
      </w:r>
      <w:r w:rsidR="00364C35">
        <w:rPr>
          <w:sz w:val="26"/>
          <w:szCs w:val="26"/>
        </w:rPr>
        <w:t xml:space="preserve">the Complainant’s daughter </w:t>
      </w:r>
      <w:r w:rsidR="000D6B6F">
        <w:rPr>
          <w:sz w:val="26"/>
          <w:szCs w:val="26"/>
        </w:rPr>
        <w:t xml:space="preserve">did not have any CRP “arrears,” </w:t>
      </w:r>
      <w:r w:rsidR="000D6B6F">
        <w:rPr>
          <w:i/>
          <w:iCs/>
          <w:sz w:val="26"/>
          <w:szCs w:val="26"/>
        </w:rPr>
        <w:t>i.e.</w:t>
      </w:r>
      <w:r w:rsidR="003B2D6B" w:rsidRPr="003B2D6B">
        <w:rPr>
          <w:sz w:val="26"/>
          <w:szCs w:val="26"/>
        </w:rPr>
        <w:t>,</w:t>
      </w:r>
      <w:r w:rsidR="003B2D6B">
        <w:rPr>
          <w:i/>
          <w:iCs/>
          <w:sz w:val="26"/>
          <w:szCs w:val="26"/>
        </w:rPr>
        <w:t> </w:t>
      </w:r>
      <w:r w:rsidR="000D6B6F">
        <w:rPr>
          <w:sz w:val="26"/>
          <w:szCs w:val="26"/>
        </w:rPr>
        <w:t xml:space="preserve">the total of unpaid CRP that accumulated while a customer is enrolled in CRP.  </w:t>
      </w:r>
      <w:r w:rsidR="000D6B6F">
        <w:rPr>
          <w:i/>
          <w:iCs/>
          <w:sz w:val="26"/>
          <w:szCs w:val="26"/>
        </w:rPr>
        <w:t>Id</w:t>
      </w:r>
      <w:r w:rsidR="000D6B6F">
        <w:rPr>
          <w:sz w:val="26"/>
          <w:szCs w:val="26"/>
        </w:rPr>
        <w:t xml:space="preserve">.  </w:t>
      </w:r>
    </w:p>
    <w:p w14:paraId="364A0CDD" w14:textId="77777777" w:rsidR="000D7018" w:rsidRDefault="000D7018" w:rsidP="000D7018">
      <w:pPr>
        <w:spacing w:line="360" w:lineRule="auto"/>
        <w:ind w:left="144"/>
        <w:rPr>
          <w:sz w:val="26"/>
          <w:szCs w:val="26"/>
        </w:rPr>
      </w:pPr>
    </w:p>
    <w:p w14:paraId="51DC44FD" w14:textId="77777777" w:rsidR="00F54236" w:rsidRDefault="005C2955" w:rsidP="009C51A5">
      <w:pPr>
        <w:spacing w:line="360" w:lineRule="auto"/>
        <w:ind w:left="144" w:firstLine="1440"/>
        <w:rPr>
          <w:sz w:val="26"/>
          <w:szCs w:val="26"/>
        </w:rPr>
      </w:pPr>
      <w:r>
        <w:rPr>
          <w:sz w:val="26"/>
          <w:szCs w:val="26"/>
        </w:rPr>
        <w:t>PGW averred that</w:t>
      </w:r>
      <w:r w:rsidR="00690EAC">
        <w:rPr>
          <w:sz w:val="26"/>
          <w:szCs w:val="26"/>
        </w:rPr>
        <w:t xml:space="preserve"> o</w:t>
      </w:r>
      <w:r w:rsidR="00B34CC1">
        <w:rPr>
          <w:sz w:val="26"/>
          <w:szCs w:val="26"/>
        </w:rPr>
        <w:t xml:space="preserve">n March 26, 2018, </w:t>
      </w:r>
      <w:r w:rsidR="00364C35">
        <w:rPr>
          <w:sz w:val="26"/>
          <w:szCs w:val="26"/>
        </w:rPr>
        <w:t xml:space="preserve">the </w:t>
      </w:r>
      <w:r w:rsidR="00B34CC1">
        <w:rPr>
          <w:sz w:val="26"/>
          <w:szCs w:val="26"/>
        </w:rPr>
        <w:t xml:space="preserve">Complainant called to establish </w:t>
      </w:r>
      <w:r w:rsidR="00B34CC1">
        <w:rPr>
          <w:sz w:val="26"/>
          <w:szCs w:val="26"/>
        </w:rPr>
        <w:lastRenderedPageBreak/>
        <w:t xml:space="preserve">service at the </w:t>
      </w:r>
      <w:r w:rsidR="000D7018">
        <w:rPr>
          <w:sz w:val="26"/>
          <w:szCs w:val="26"/>
        </w:rPr>
        <w:t>Service A</w:t>
      </w:r>
      <w:r w:rsidR="00B34CC1">
        <w:rPr>
          <w:sz w:val="26"/>
          <w:szCs w:val="26"/>
        </w:rPr>
        <w:t xml:space="preserve">ddress in her own name.  </w:t>
      </w:r>
      <w:r w:rsidR="00B34CC1" w:rsidRPr="00E662BA">
        <w:rPr>
          <w:i/>
          <w:iCs/>
          <w:sz w:val="26"/>
          <w:szCs w:val="26"/>
        </w:rPr>
        <w:t>PGW Appeal</w:t>
      </w:r>
      <w:r w:rsidR="00B34CC1">
        <w:rPr>
          <w:sz w:val="26"/>
          <w:szCs w:val="26"/>
        </w:rPr>
        <w:t xml:space="preserve"> at ⁋ 5.  Pursuant to a credit check, PGW </w:t>
      </w:r>
      <w:r w:rsidR="0090418A">
        <w:rPr>
          <w:sz w:val="26"/>
          <w:szCs w:val="26"/>
        </w:rPr>
        <w:t xml:space="preserve">concluded that </w:t>
      </w:r>
      <w:r w:rsidR="00364C35">
        <w:rPr>
          <w:sz w:val="26"/>
          <w:szCs w:val="26"/>
        </w:rPr>
        <w:t xml:space="preserve">the </w:t>
      </w:r>
      <w:r w:rsidR="00BC2F26">
        <w:rPr>
          <w:sz w:val="26"/>
          <w:szCs w:val="26"/>
        </w:rPr>
        <w:t>C</w:t>
      </w:r>
      <w:r w:rsidR="00364C35">
        <w:rPr>
          <w:sz w:val="26"/>
          <w:szCs w:val="26"/>
        </w:rPr>
        <w:t xml:space="preserve">omplainant </w:t>
      </w:r>
      <w:r w:rsidR="0090418A">
        <w:rPr>
          <w:sz w:val="26"/>
          <w:szCs w:val="26"/>
        </w:rPr>
        <w:t xml:space="preserve">was “linked” to the Service Address.  </w:t>
      </w:r>
      <w:r w:rsidR="0090418A" w:rsidRPr="0090418A">
        <w:rPr>
          <w:i/>
          <w:iCs/>
          <w:sz w:val="26"/>
          <w:szCs w:val="26"/>
        </w:rPr>
        <w:t>Id</w:t>
      </w:r>
      <w:r w:rsidR="0090418A">
        <w:rPr>
          <w:sz w:val="26"/>
          <w:szCs w:val="26"/>
        </w:rPr>
        <w:t xml:space="preserve">.  PGW established service in the </w:t>
      </w:r>
      <w:r w:rsidR="00364C35">
        <w:rPr>
          <w:sz w:val="26"/>
          <w:szCs w:val="26"/>
        </w:rPr>
        <w:t xml:space="preserve">Complainant’s </w:t>
      </w:r>
      <w:r w:rsidR="0090418A">
        <w:rPr>
          <w:sz w:val="26"/>
          <w:szCs w:val="26"/>
        </w:rPr>
        <w:t>name, waived its deposit requirements based on the income information provided</w:t>
      </w:r>
      <w:r w:rsidR="00364C35">
        <w:rPr>
          <w:sz w:val="26"/>
          <w:szCs w:val="26"/>
        </w:rPr>
        <w:t xml:space="preserve"> and transferred </w:t>
      </w:r>
      <w:r w:rsidR="00F72C67">
        <w:rPr>
          <w:sz w:val="26"/>
          <w:szCs w:val="26"/>
        </w:rPr>
        <w:t>the Complainant’s daughter’s prior balance of $7,344.60 to the Complainant’s new account by relying on</w:t>
      </w:r>
      <w:r w:rsidR="0090418A">
        <w:rPr>
          <w:sz w:val="26"/>
          <w:szCs w:val="26"/>
        </w:rPr>
        <w:t xml:space="preserve"> Section 1407(d) of the Public Utility Code (Code), 66 Pa.</w:t>
      </w:r>
      <w:r w:rsidR="003E7698">
        <w:rPr>
          <w:sz w:val="26"/>
          <w:szCs w:val="26"/>
        </w:rPr>
        <w:t xml:space="preserve"> </w:t>
      </w:r>
      <w:r w:rsidR="0090418A">
        <w:rPr>
          <w:sz w:val="26"/>
          <w:szCs w:val="26"/>
        </w:rPr>
        <w:t>C.S. § 1407(d)</w:t>
      </w:r>
      <w:r w:rsidR="00F72C67">
        <w:rPr>
          <w:sz w:val="26"/>
          <w:szCs w:val="26"/>
        </w:rPr>
        <w:t>.</w:t>
      </w:r>
      <w:r w:rsidR="00074A64">
        <w:rPr>
          <w:rStyle w:val="FootnoteReference"/>
          <w:sz w:val="26"/>
          <w:szCs w:val="26"/>
        </w:rPr>
        <w:footnoteReference w:id="6"/>
      </w:r>
      <w:r w:rsidR="00BC2F26">
        <w:rPr>
          <w:sz w:val="26"/>
          <w:szCs w:val="26"/>
        </w:rPr>
        <w:t xml:space="preserve"> </w:t>
      </w:r>
      <w:r w:rsidR="0090418A">
        <w:rPr>
          <w:sz w:val="26"/>
          <w:szCs w:val="26"/>
        </w:rPr>
        <w:t>PGW represent</w:t>
      </w:r>
      <w:r>
        <w:rPr>
          <w:sz w:val="26"/>
          <w:szCs w:val="26"/>
        </w:rPr>
        <w:t>ed</w:t>
      </w:r>
      <w:r w:rsidR="0090418A">
        <w:rPr>
          <w:sz w:val="26"/>
          <w:szCs w:val="26"/>
        </w:rPr>
        <w:t xml:space="preserve"> that its customer contact records indicate</w:t>
      </w:r>
      <w:r w:rsidR="00584C82">
        <w:rPr>
          <w:sz w:val="26"/>
          <w:szCs w:val="26"/>
        </w:rPr>
        <w:t xml:space="preserve"> that</w:t>
      </w:r>
      <w:r w:rsidR="0090418A">
        <w:rPr>
          <w:sz w:val="26"/>
          <w:szCs w:val="26"/>
        </w:rPr>
        <w:t xml:space="preserve"> </w:t>
      </w:r>
      <w:r w:rsidR="00690EAC">
        <w:rPr>
          <w:sz w:val="26"/>
          <w:szCs w:val="26"/>
        </w:rPr>
        <w:t xml:space="preserve">either </w:t>
      </w:r>
      <w:r w:rsidR="00584C82">
        <w:rPr>
          <w:sz w:val="26"/>
          <w:szCs w:val="26"/>
        </w:rPr>
        <w:t>the Complainant</w:t>
      </w:r>
      <w:r w:rsidR="0090418A">
        <w:rPr>
          <w:sz w:val="26"/>
          <w:szCs w:val="26"/>
        </w:rPr>
        <w:t xml:space="preserve"> was “satisfied,” or </w:t>
      </w:r>
      <w:r w:rsidR="00300F32">
        <w:rPr>
          <w:sz w:val="26"/>
          <w:szCs w:val="26"/>
        </w:rPr>
        <w:t xml:space="preserve">that </w:t>
      </w:r>
      <w:r w:rsidR="00DC1075">
        <w:rPr>
          <w:sz w:val="26"/>
          <w:szCs w:val="26"/>
        </w:rPr>
        <w:t xml:space="preserve">she </w:t>
      </w:r>
      <w:r w:rsidR="0090418A">
        <w:rPr>
          <w:sz w:val="26"/>
          <w:szCs w:val="26"/>
        </w:rPr>
        <w:t xml:space="preserve">did not complain </w:t>
      </w:r>
      <w:r w:rsidR="00DC1075">
        <w:rPr>
          <w:sz w:val="26"/>
          <w:szCs w:val="26"/>
        </w:rPr>
        <w:t>about her daughter’s balance being transferred to the C</w:t>
      </w:r>
      <w:r w:rsidR="004D1A6D">
        <w:rPr>
          <w:sz w:val="26"/>
          <w:szCs w:val="26"/>
        </w:rPr>
        <w:t>o</w:t>
      </w:r>
      <w:r w:rsidR="00DC1075">
        <w:rPr>
          <w:sz w:val="26"/>
          <w:szCs w:val="26"/>
        </w:rPr>
        <w:t>mplainant</w:t>
      </w:r>
      <w:r w:rsidR="004D1A6D">
        <w:rPr>
          <w:sz w:val="26"/>
          <w:szCs w:val="26"/>
        </w:rPr>
        <w:t xml:space="preserve">’s account established in her name for the </w:t>
      </w:r>
      <w:r w:rsidR="000D7018">
        <w:rPr>
          <w:sz w:val="26"/>
          <w:szCs w:val="26"/>
        </w:rPr>
        <w:t>Service Address</w:t>
      </w:r>
      <w:r w:rsidR="004D1A6D">
        <w:rPr>
          <w:sz w:val="26"/>
          <w:szCs w:val="26"/>
        </w:rPr>
        <w:t>.</w:t>
      </w:r>
      <w:r w:rsidR="0090418A">
        <w:rPr>
          <w:sz w:val="26"/>
          <w:szCs w:val="26"/>
        </w:rPr>
        <w:t xml:space="preserve">  </w:t>
      </w:r>
      <w:r w:rsidR="0090418A" w:rsidRPr="00E662BA">
        <w:rPr>
          <w:i/>
          <w:iCs/>
          <w:sz w:val="26"/>
          <w:szCs w:val="26"/>
        </w:rPr>
        <w:t>PGW Appeal</w:t>
      </w:r>
      <w:r w:rsidR="0090418A">
        <w:rPr>
          <w:sz w:val="26"/>
          <w:szCs w:val="26"/>
        </w:rPr>
        <w:t xml:space="preserve"> at ⁋ 8.  </w:t>
      </w:r>
    </w:p>
    <w:p w14:paraId="0A4F7B6D" w14:textId="77777777" w:rsidR="00F54236" w:rsidRDefault="00F54236" w:rsidP="009C51A5">
      <w:pPr>
        <w:spacing w:line="360" w:lineRule="auto"/>
        <w:ind w:left="144" w:firstLine="1440"/>
        <w:rPr>
          <w:sz w:val="26"/>
          <w:szCs w:val="26"/>
        </w:rPr>
      </w:pPr>
    </w:p>
    <w:p w14:paraId="263EAC16" w14:textId="77777777" w:rsidR="000D7018" w:rsidRDefault="0090418A" w:rsidP="009C51A5">
      <w:pPr>
        <w:spacing w:line="360" w:lineRule="auto"/>
        <w:ind w:left="144" w:firstLine="1440"/>
        <w:rPr>
          <w:sz w:val="26"/>
          <w:szCs w:val="26"/>
        </w:rPr>
      </w:pPr>
      <w:r>
        <w:rPr>
          <w:sz w:val="26"/>
          <w:szCs w:val="26"/>
        </w:rPr>
        <w:t>Subsequently, on or about, April 21, 201</w:t>
      </w:r>
      <w:r w:rsidR="001E6366">
        <w:rPr>
          <w:sz w:val="26"/>
          <w:szCs w:val="26"/>
        </w:rPr>
        <w:t>8</w:t>
      </w:r>
      <w:r>
        <w:rPr>
          <w:sz w:val="26"/>
          <w:szCs w:val="26"/>
        </w:rPr>
        <w:t xml:space="preserve">, </w:t>
      </w:r>
      <w:r w:rsidR="004D1A6D">
        <w:rPr>
          <w:sz w:val="26"/>
          <w:szCs w:val="26"/>
        </w:rPr>
        <w:t>the Complainant</w:t>
      </w:r>
      <w:r>
        <w:rPr>
          <w:sz w:val="26"/>
          <w:szCs w:val="26"/>
        </w:rPr>
        <w:t xml:space="preserve"> attempted to apply for enrollment in PGW’s CRP.  </w:t>
      </w:r>
      <w:r w:rsidR="00375F43">
        <w:rPr>
          <w:sz w:val="26"/>
          <w:szCs w:val="26"/>
        </w:rPr>
        <w:t xml:space="preserve">In its Appeal, PGW averred that </w:t>
      </w:r>
      <w:r w:rsidR="000D7018">
        <w:rPr>
          <w:sz w:val="26"/>
          <w:szCs w:val="26"/>
        </w:rPr>
        <w:t>w</w:t>
      </w:r>
      <w:r w:rsidR="007F08D3" w:rsidRPr="009C51A5">
        <w:rPr>
          <w:sz w:val="26"/>
          <w:szCs w:val="26"/>
        </w:rPr>
        <w:t xml:space="preserve">hen </w:t>
      </w:r>
      <w:r w:rsidR="00192EE6">
        <w:rPr>
          <w:sz w:val="26"/>
          <w:szCs w:val="26"/>
        </w:rPr>
        <w:t xml:space="preserve">the Complainant </w:t>
      </w:r>
      <w:r w:rsidR="007F08D3" w:rsidRPr="009C51A5">
        <w:rPr>
          <w:sz w:val="26"/>
          <w:szCs w:val="26"/>
        </w:rPr>
        <w:t xml:space="preserve">established service </w:t>
      </w:r>
      <w:r w:rsidR="00074A64">
        <w:rPr>
          <w:sz w:val="26"/>
          <w:szCs w:val="26"/>
        </w:rPr>
        <w:t xml:space="preserve">in her own name </w:t>
      </w:r>
      <w:r w:rsidR="007F08D3" w:rsidRPr="009C51A5">
        <w:rPr>
          <w:sz w:val="26"/>
          <w:szCs w:val="26"/>
        </w:rPr>
        <w:t>at the Service Address, she was already linked to the Service Address</w:t>
      </w:r>
      <w:r w:rsidR="00364124">
        <w:rPr>
          <w:sz w:val="26"/>
          <w:szCs w:val="26"/>
        </w:rPr>
        <w:t>.  T</w:t>
      </w:r>
      <w:r w:rsidR="007F08D3" w:rsidRPr="009C51A5">
        <w:rPr>
          <w:sz w:val="26"/>
          <w:szCs w:val="26"/>
        </w:rPr>
        <w:t xml:space="preserve">herefore, </w:t>
      </w:r>
      <w:r w:rsidR="00364124">
        <w:rPr>
          <w:sz w:val="26"/>
          <w:szCs w:val="26"/>
        </w:rPr>
        <w:t xml:space="preserve">PGW </w:t>
      </w:r>
      <w:r w:rsidR="000D7018">
        <w:rPr>
          <w:sz w:val="26"/>
          <w:szCs w:val="26"/>
        </w:rPr>
        <w:t>took the position</w:t>
      </w:r>
      <w:r w:rsidR="00364124">
        <w:rPr>
          <w:sz w:val="26"/>
          <w:szCs w:val="26"/>
        </w:rPr>
        <w:t xml:space="preserve"> that </w:t>
      </w:r>
      <w:r w:rsidR="005B0C0C">
        <w:rPr>
          <w:sz w:val="26"/>
          <w:szCs w:val="26"/>
        </w:rPr>
        <w:t xml:space="preserve">the </w:t>
      </w:r>
      <w:r w:rsidR="00364124">
        <w:rPr>
          <w:sz w:val="26"/>
          <w:szCs w:val="26"/>
        </w:rPr>
        <w:t xml:space="preserve">Complainant </w:t>
      </w:r>
      <w:r w:rsidR="007F08D3" w:rsidRPr="009C51A5">
        <w:rPr>
          <w:sz w:val="26"/>
          <w:szCs w:val="26"/>
        </w:rPr>
        <w:t>assumed the outstanding CRP arrears of the previous customer of record.</w:t>
      </w:r>
      <w:r w:rsidR="001C430A">
        <w:rPr>
          <w:sz w:val="26"/>
          <w:szCs w:val="26"/>
        </w:rPr>
        <w:t xml:space="preserve">  </w:t>
      </w:r>
      <w:r w:rsidR="001E6366" w:rsidRPr="00E662BA">
        <w:rPr>
          <w:i/>
          <w:iCs/>
          <w:sz w:val="26"/>
          <w:szCs w:val="26"/>
        </w:rPr>
        <w:t>PGW Appeal</w:t>
      </w:r>
      <w:r w:rsidR="001E6366">
        <w:rPr>
          <w:sz w:val="26"/>
          <w:szCs w:val="26"/>
        </w:rPr>
        <w:t xml:space="preserve"> at ⁋ 12; </w:t>
      </w:r>
      <w:r w:rsidR="001C430A">
        <w:rPr>
          <w:sz w:val="26"/>
          <w:szCs w:val="26"/>
        </w:rPr>
        <w:t xml:space="preserve">I.D. at </w:t>
      </w:r>
      <w:r w:rsidR="00E662BA">
        <w:rPr>
          <w:sz w:val="26"/>
          <w:szCs w:val="26"/>
        </w:rPr>
        <w:t>2</w:t>
      </w:r>
      <w:r w:rsidR="001C430A">
        <w:rPr>
          <w:sz w:val="26"/>
          <w:szCs w:val="26"/>
        </w:rPr>
        <w:t>.</w:t>
      </w:r>
      <w:r w:rsidR="007F08D3" w:rsidRPr="009C51A5">
        <w:rPr>
          <w:sz w:val="26"/>
          <w:szCs w:val="26"/>
        </w:rPr>
        <w:t xml:space="preserve">  </w:t>
      </w:r>
    </w:p>
    <w:p w14:paraId="4D5C9744" w14:textId="77777777" w:rsidR="000D7018" w:rsidRDefault="000D7018" w:rsidP="009C51A5">
      <w:pPr>
        <w:spacing w:line="360" w:lineRule="auto"/>
        <w:ind w:left="144" w:firstLine="1440"/>
        <w:rPr>
          <w:sz w:val="26"/>
          <w:szCs w:val="26"/>
        </w:rPr>
      </w:pPr>
    </w:p>
    <w:p w14:paraId="7423EC48" w14:textId="77777777" w:rsidR="007F08D3" w:rsidRPr="009C51A5" w:rsidRDefault="000D7018" w:rsidP="003B2D6B">
      <w:pPr>
        <w:widowControl/>
        <w:spacing w:line="360" w:lineRule="auto"/>
        <w:ind w:left="144" w:firstLine="1440"/>
        <w:rPr>
          <w:sz w:val="26"/>
          <w:szCs w:val="26"/>
        </w:rPr>
      </w:pPr>
      <w:r>
        <w:rPr>
          <w:sz w:val="26"/>
          <w:szCs w:val="26"/>
        </w:rPr>
        <w:t>Based on the foregoing, PGW a</w:t>
      </w:r>
      <w:r w:rsidR="007F08D3" w:rsidRPr="009C51A5">
        <w:rPr>
          <w:sz w:val="26"/>
          <w:szCs w:val="26"/>
        </w:rPr>
        <w:t>llege</w:t>
      </w:r>
      <w:r w:rsidR="001E6366">
        <w:rPr>
          <w:sz w:val="26"/>
          <w:szCs w:val="26"/>
        </w:rPr>
        <w:t>d</w:t>
      </w:r>
      <w:r w:rsidR="007F08D3" w:rsidRPr="009C51A5">
        <w:rPr>
          <w:sz w:val="26"/>
          <w:szCs w:val="26"/>
        </w:rPr>
        <w:t xml:space="preserve"> that the BCS </w:t>
      </w:r>
      <w:r w:rsidR="00BC16E2">
        <w:rPr>
          <w:sz w:val="26"/>
          <w:szCs w:val="26"/>
        </w:rPr>
        <w:t xml:space="preserve">informal decision </w:t>
      </w:r>
      <w:r w:rsidR="007F08D3" w:rsidRPr="009C51A5">
        <w:rPr>
          <w:sz w:val="26"/>
          <w:szCs w:val="26"/>
        </w:rPr>
        <w:t xml:space="preserve">was wrong to remove the requirement that </w:t>
      </w:r>
      <w:r w:rsidR="005B0C0C">
        <w:rPr>
          <w:sz w:val="26"/>
          <w:szCs w:val="26"/>
        </w:rPr>
        <w:t xml:space="preserve">the Complainant </w:t>
      </w:r>
      <w:r w:rsidR="007F08D3" w:rsidRPr="009C51A5">
        <w:rPr>
          <w:sz w:val="26"/>
          <w:szCs w:val="26"/>
        </w:rPr>
        <w:t>pay off the outstanding CRP arrears in order to enroll in the CRP</w:t>
      </w:r>
      <w:r w:rsidR="00BC2F26">
        <w:rPr>
          <w:sz w:val="26"/>
          <w:szCs w:val="26"/>
        </w:rPr>
        <w:t>,</w:t>
      </w:r>
      <w:r w:rsidR="007F08D3" w:rsidRPr="009C51A5">
        <w:rPr>
          <w:sz w:val="26"/>
          <w:szCs w:val="26"/>
        </w:rPr>
        <w:t xml:space="preserve"> herself.  </w:t>
      </w:r>
      <w:r w:rsidR="00994449" w:rsidRPr="00E662BA">
        <w:rPr>
          <w:i/>
          <w:iCs/>
          <w:sz w:val="26"/>
          <w:szCs w:val="26"/>
        </w:rPr>
        <w:t>PGW Appeal</w:t>
      </w:r>
      <w:r w:rsidR="00994449">
        <w:rPr>
          <w:sz w:val="26"/>
          <w:szCs w:val="26"/>
        </w:rPr>
        <w:t xml:space="preserve"> at ⁋⁋</w:t>
      </w:r>
      <w:r w:rsidR="003B2D6B">
        <w:rPr>
          <w:sz w:val="26"/>
          <w:szCs w:val="26"/>
        </w:rPr>
        <w:t xml:space="preserve"> </w:t>
      </w:r>
      <w:r w:rsidR="00994449">
        <w:rPr>
          <w:sz w:val="26"/>
          <w:szCs w:val="26"/>
        </w:rPr>
        <w:t xml:space="preserve">15-16.  </w:t>
      </w:r>
      <w:r w:rsidR="007F08D3" w:rsidRPr="009C51A5">
        <w:rPr>
          <w:sz w:val="26"/>
          <w:szCs w:val="26"/>
        </w:rPr>
        <w:t xml:space="preserve">As relief, PGW requested that the Commission overturn the </w:t>
      </w:r>
      <w:r w:rsidR="003A2DF1">
        <w:rPr>
          <w:sz w:val="26"/>
          <w:szCs w:val="26"/>
        </w:rPr>
        <w:t>BCS’ d</w:t>
      </w:r>
      <w:r w:rsidR="007F08D3" w:rsidRPr="009C51A5">
        <w:rPr>
          <w:sz w:val="26"/>
          <w:szCs w:val="26"/>
        </w:rPr>
        <w:t xml:space="preserve">ecision and find that </w:t>
      </w:r>
      <w:r w:rsidR="005B0C0C">
        <w:rPr>
          <w:sz w:val="26"/>
          <w:szCs w:val="26"/>
        </w:rPr>
        <w:t xml:space="preserve">the </w:t>
      </w:r>
      <w:r w:rsidR="005B0C0C">
        <w:rPr>
          <w:sz w:val="26"/>
          <w:szCs w:val="26"/>
        </w:rPr>
        <w:lastRenderedPageBreak/>
        <w:t xml:space="preserve">Complainant </w:t>
      </w:r>
      <w:r w:rsidR="007F08D3" w:rsidRPr="009C51A5">
        <w:rPr>
          <w:sz w:val="26"/>
          <w:szCs w:val="26"/>
        </w:rPr>
        <w:t>is required to pay the outstanding CRP arrears in order to enroll in CRP.</w:t>
      </w:r>
      <w:r w:rsidR="001C430A">
        <w:rPr>
          <w:sz w:val="26"/>
          <w:szCs w:val="26"/>
        </w:rPr>
        <w:t xml:space="preserve">  </w:t>
      </w:r>
      <w:r w:rsidR="00994449" w:rsidRPr="00E662BA">
        <w:rPr>
          <w:i/>
          <w:iCs/>
          <w:sz w:val="26"/>
          <w:szCs w:val="26"/>
        </w:rPr>
        <w:t>PGW Appeal</w:t>
      </w:r>
      <w:r w:rsidR="00994449">
        <w:rPr>
          <w:sz w:val="26"/>
          <w:szCs w:val="26"/>
        </w:rPr>
        <w:t xml:space="preserve"> at 4; </w:t>
      </w:r>
      <w:r w:rsidR="001C430A">
        <w:rPr>
          <w:sz w:val="26"/>
          <w:szCs w:val="26"/>
        </w:rPr>
        <w:t xml:space="preserve">I.D. at </w:t>
      </w:r>
      <w:r w:rsidR="00E662BA">
        <w:rPr>
          <w:sz w:val="26"/>
          <w:szCs w:val="26"/>
        </w:rPr>
        <w:t>2</w:t>
      </w:r>
      <w:r w:rsidR="001C430A">
        <w:rPr>
          <w:sz w:val="26"/>
          <w:szCs w:val="26"/>
        </w:rPr>
        <w:t>.</w:t>
      </w:r>
      <w:r w:rsidR="007F08D3" w:rsidRPr="009C51A5">
        <w:rPr>
          <w:sz w:val="26"/>
          <w:szCs w:val="26"/>
        </w:rPr>
        <w:t xml:space="preserve">   </w:t>
      </w:r>
    </w:p>
    <w:p w14:paraId="44F1A02C" w14:textId="31A12039" w:rsidR="007F08D3" w:rsidRPr="009C51A5" w:rsidRDefault="007F08D3" w:rsidP="009C51A5">
      <w:pPr>
        <w:spacing w:line="360" w:lineRule="auto"/>
        <w:ind w:left="144" w:firstLine="1440"/>
        <w:rPr>
          <w:sz w:val="26"/>
          <w:szCs w:val="26"/>
        </w:rPr>
      </w:pPr>
      <w:r w:rsidRPr="009C51A5">
        <w:rPr>
          <w:sz w:val="26"/>
          <w:szCs w:val="26"/>
        </w:rPr>
        <w:t xml:space="preserve"> </w:t>
      </w:r>
      <w:r w:rsidR="005B0C0C">
        <w:rPr>
          <w:sz w:val="26"/>
          <w:szCs w:val="26"/>
        </w:rPr>
        <w:t xml:space="preserve">The Complainant </w:t>
      </w:r>
      <w:r w:rsidRPr="009C51A5">
        <w:rPr>
          <w:sz w:val="26"/>
          <w:szCs w:val="26"/>
        </w:rPr>
        <w:t>did not file an Answer</w:t>
      </w:r>
      <w:r w:rsidR="005D406D">
        <w:rPr>
          <w:sz w:val="26"/>
          <w:szCs w:val="26"/>
        </w:rPr>
        <w:t xml:space="preserve"> to the </w:t>
      </w:r>
      <w:r w:rsidR="005D406D" w:rsidRPr="005D406D">
        <w:rPr>
          <w:i/>
          <w:iCs/>
          <w:sz w:val="26"/>
          <w:szCs w:val="26"/>
        </w:rPr>
        <w:t>PGW Appeal</w:t>
      </w:r>
      <w:r w:rsidRPr="009C51A5">
        <w:rPr>
          <w:sz w:val="26"/>
          <w:szCs w:val="26"/>
        </w:rPr>
        <w:t>.</w:t>
      </w:r>
      <w:r w:rsidR="00FF51AC">
        <w:rPr>
          <w:rStyle w:val="FootnoteReference"/>
          <w:sz w:val="26"/>
          <w:szCs w:val="26"/>
        </w:rPr>
        <w:footnoteReference w:id="7"/>
      </w:r>
      <w:r w:rsidRPr="009C51A5">
        <w:rPr>
          <w:sz w:val="26"/>
          <w:szCs w:val="26"/>
        </w:rPr>
        <w:t xml:space="preserve"> </w:t>
      </w:r>
    </w:p>
    <w:p w14:paraId="049A8191" w14:textId="77777777" w:rsidR="007F08D3" w:rsidRPr="009C51A5" w:rsidRDefault="007F08D3" w:rsidP="009C51A5">
      <w:pPr>
        <w:spacing w:line="360" w:lineRule="auto"/>
        <w:ind w:left="144" w:firstLine="1440"/>
        <w:rPr>
          <w:sz w:val="26"/>
          <w:szCs w:val="26"/>
        </w:rPr>
      </w:pPr>
      <w:r w:rsidRPr="009C51A5">
        <w:rPr>
          <w:sz w:val="26"/>
          <w:szCs w:val="26"/>
        </w:rPr>
        <w:t xml:space="preserve"> </w:t>
      </w:r>
    </w:p>
    <w:p w14:paraId="36695964" w14:textId="77777777" w:rsidR="007F08D3" w:rsidRPr="001C430A" w:rsidRDefault="007D16D1" w:rsidP="001C430A">
      <w:pPr>
        <w:spacing w:line="360" w:lineRule="auto"/>
        <w:ind w:firstLine="1440"/>
        <w:rPr>
          <w:sz w:val="26"/>
          <w:szCs w:val="26"/>
        </w:rPr>
      </w:pPr>
      <w:r>
        <w:rPr>
          <w:sz w:val="26"/>
          <w:szCs w:val="26"/>
        </w:rPr>
        <w:t xml:space="preserve">A </w:t>
      </w:r>
      <w:r w:rsidR="007F08D3" w:rsidRPr="001C430A">
        <w:rPr>
          <w:sz w:val="26"/>
          <w:szCs w:val="26"/>
        </w:rPr>
        <w:t>Hearing Notice</w:t>
      </w:r>
      <w:r w:rsidR="00364124">
        <w:rPr>
          <w:sz w:val="26"/>
          <w:szCs w:val="26"/>
        </w:rPr>
        <w:t xml:space="preserve"> </w:t>
      </w:r>
      <w:r w:rsidR="007F08D3" w:rsidRPr="001C430A">
        <w:rPr>
          <w:sz w:val="26"/>
          <w:szCs w:val="26"/>
        </w:rPr>
        <w:t xml:space="preserve">dated April 4, 2019, </w:t>
      </w:r>
      <w:r>
        <w:rPr>
          <w:sz w:val="26"/>
          <w:szCs w:val="26"/>
        </w:rPr>
        <w:t xml:space="preserve">was issued scheduling </w:t>
      </w:r>
      <w:r w:rsidR="007F08D3" w:rsidRPr="001C430A">
        <w:rPr>
          <w:sz w:val="26"/>
          <w:szCs w:val="26"/>
        </w:rPr>
        <w:t xml:space="preserve">a hearing for May 13, 2019, at 10:00 a.m., and </w:t>
      </w:r>
      <w:r>
        <w:rPr>
          <w:sz w:val="26"/>
          <w:szCs w:val="26"/>
        </w:rPr>
        <w:t xml:space="preserve">the matter was </w:t>
      </w:r>
      <w:r w:rsidR="007F08D3" w:rsidRPr="001C430A">
        <w:rPr>
          <w:sz w:val="26"/>
          <w:szCs w:val="26"/>
        </w:rPr>
        <w:t xml:space="preserve">assigned to </w:t>
      </w:r>
      <w:r w:rsidR="00DF4D02">
        <w:rPr>
          <w:sz w:val="26"/>
          <w:szCs w:val="26"/>
        </w:rPr>
        <w:t>A</w:t>
      </w:r>
      <w:r w:rsidR="007F08D3" w:rsidRPr="001C430A">
        <w:rPr>
          <w:sz w:val="26"/>
          <w:szCs w:val="26"/>
        </w:rPr>
        <w:t xml:space="preserve">LJ </w:t>
      </w:r>
      <w:r w:rsidR="00364124">
        <w:rPr>
          <w:sz w:val="26"/>
          <w:szCs w:val="26"/>
        </w:rPr>
        <w:t>Brady</w:t>
      </w:r>
      <w:r w:rsidR="00DF4D02">
        <w:rPr>
          <w:sz w:val="26"/>
          <w:szCs w:val="26"/>
        </w:rPr>
        <w:t xml:space="preserve"> as presiding officer</w:t>
      </w:r>
      <w:r w:rsidR="007F08D3" w:rsidRPr="001C430A">
        <w:rPr>
          <w:sz w:val="26"/>
          <w:szCs w:val="26"/>
        </w:rPr>
        <w:t xml:space="preserve">.  The Hearing Notice advised the </w:t>
      </w:r>
      <w:r w:rsidR="00CF7E24">
        <w:rPr>
          <w:sz w:val="26"/>
          <w:szCs w:val="26"/>
        </w:rPr>
        <w:t>P</w:t>
      </w:r>
      <w:r w:rsidR="007F08D3" w:rsidRPr="001C430A">
        <w:rPr>
          <w:sz w:val="26"/>
          <w:szCs w:val="26"/>
        </w:rPr>
        <w:t xml:space="preserve">arties of the location, date and time of the scheduled hearing and warned in italicized type: </w:t>
      </w:r>
      <w:r w:rsidR="003B2D6B">
        <w:rPr>
          <w:sz w:val="26"/>
          <w:szCs w:val="26"/>
        </w:rPr>
        <w:t xml:space="preserve"> </w:t>
      </w:r>
      <w:r w:rsidR="007F08D3" w:rsidRPr="001C430A">
        <w:rPr>
          <w:sz w:val="26"/>
          <w:szCs w:val="26"/>
        </w:rPr>
        <w:t>“</w:t>
      </w:r>
      <w:r w:rsidR="007F08D3" w:rsidRPr="001C430A">
        <w:rPr>
          <w:i/>
          <w:sz w:val="26"/>
          <w:szCs w:val="26"/>
        </w:rPr>
        <w:t>Attention: You may lose the case if you do not come to this hearing and present facts on the issues raised</w:t>
      </w:r>
      <w:r w:rsidR="007F08D3" w:rsidRPr="001C430A">
        <w:rPr>
          <w:sz w:val="26"/>
          <w:szCs w:val="26"/>
        </w:rPr>
        <w:t xml:space="preserve">.” </w:t>
      </w:r>
      <w:r w:rsidR="00364124">
        <w:rPr>
          <w:sz w:val="26"/>
          <w:szCs w:val="26"/>
        </w:rPr>
        <w:t xml:space="preserve"> I.D. at </w:t>
      </w:r>
      <w:r w:rsidR="00E662BA">
        <w:rPr>
          <w:sz w:val="26"/>
          <w:szCs w:val="26"/>
        </w:rPr>
        <w:t>2</w:t>
      </w:r>
      <w:r w:rsidR="00364124">
        <w:rPr>
          <w:sz w:val="26"/>
          <w:szCs w:val="26"/>
        </w:rPr>
        <w:t>.</w:t>
      </w:r>
    </w:p>
    <w:p w14:paraId="02971046" w14:textId="77777777" w:rsidR="007F08D3" w:rsidRPr="001C430A" w:rsidRDefault="007F08D3" w:rsidP="001C430A">
      <w:pPr>
        <w:spacing w:line="360" w:lineRule="auto"/>
        <w:ind w:firstLine="1440"/>
        <w:rPr>
          <w:sz w:val="26"/>
          <w:szCs w:val="26"/>
        </w:rPr>
      </w:pPr>
      <w:r w:rsidRPr="001C430A">
        <w:rPr>
          <w:sz w:val="26"/>
          <w:szCs w:val="26"/>
        </w:rPr>
        <w:t xml:space="preserve"> </w:t>
      </w:r>
    </w:p>
    <w:p w14:paraId="7857F0B8" w14:textId="77777777" w:rsidR="007F08D3" w:rsidRPr="001C430A" w:rsidRDefault="00364124" w:rsidP="001C430A">
      <w:pPr>
        <w:spacing w:line="360" w:lineRule="auto"/>
        <w:ind w:firstLine="1440"/>
        <w:rPr>
          <w:sz w:val="26"/>
          <w:szCs w:val="26"/>
        </w:rPr>
      </w:pPr>
      <w:r>
        <w:rPr>
          <w:sz w:val="26"/>
          <w:szCs w:val="26"/>
        </w:rPr>
        <w:t>ALJ Brady</w:t>
      </w:r>
      <w:r w:rsidR="007F08D3" w:rsidRPr="001C430A">
        <w:rPr>
          <w:sz w:val="26"/>
          <w:szCs w:val="26"/>
        </w:rPr>
        <w:t xml:space="preserve"> issued a Prehearing Order on April 10, 2019</w:t>
      </w:r>
      <w:r w:rsidR="000E6C7C">
        <w:rPr>
          <w:sz w:val="26"/>
          <w:szCs w:val="26"/>
        </w:rPr>
        <w:t xml:space="preserve"> (Prehearing Order)</w:t>
      </w:r>
      <w:r w:rsidR="007F08D3" w:rsidRPr="001C430A">
        <w:rPr>
          <w:sz w:val="26"/>
          <w:szCs w:val="26"/>
        </w:rPr>
        <w:t xml:space="preserve">.  The Prehearing Order directed the </w:t>
      </w:r>
      <w:r w:rsidR="00CF7E24">
        <w:rPr>
          <w:sz w:val="26"/>
          <w:szCs w:val="26"/>
        </w:rPr>
        <w:t>P</w:t>
      </w:r>
      <w:r w:rsidR="007F08D3" w:rsidRPr="001C430A">
        <w:rPr>
          <w:sz w:val="26"/>
          <w:szCs w:val="26"/>
        </w:rPr>
        <w:t>arties to comply with various procedural requirements</w:t>
      </w:r>
      <w:r w:rsidR="007E51DE">
        <w:rPr>
          <w:sz w:val="26"/>
          <w:szCs w:val="26"/>
        </w:rPr>
        <w:t>, explained the burden of proof,</w:t>
      </w:r>
      <w:r w:rsidR="007F08D3" w:rsidRPr="001C430A">
        <w:rPr>
          <w:sz w:val="26"/>
          <w:szCs w:val="26"/>
        </w:rPr>
        <w:t xml:space="preserve"> directed that a request to change the scheduled hearing should be sent </w:t>
      </w:r>
      <w:r>
        <w:rPr>
          <w:sz w:val="26"/>
          <w:szCs w:val="26"/>
        </w:rPr>
        <w:t>a</w:t>
      </w:r>
      <w:r w:rsidR="007F08D3" w:rsidRPr="001C430A">
        <w:rPr>
          <w:sz w:val="26"/>
          <w:szCs w:val="26"/>
        </w:rPr>
        <w:t>t least five days prior to the hearing date, be in writing</w:t>
      </w:r>
      <w:r>
        <w:rPr>
          <w:sz w:val="26"/>
          <w:szCs w:val="26"/>
        </w:rPr>
        <w:t>,</w:t>
      </w:r>
      <w:r w:rsidR="007F08D3" w:rsidRPr="001C430A">
        <w:rPr>
          <w:sz w:val="26"/>
          <w:szCs w:val="26"/>
        </w:rPr>
        <w:t xml:space="preserve"> and state the agreement or opposition of the other party</w:t>
      </w:r>
      <w:r w:rsidR="00DF4D02">
        <w:rPr>
          <w:sz w:val="26"/>
          <w:szCs w:val="26"/>
        </w:rPr>
        <w:t xml:space="preserve">.  The </w:t>
      </w:r>
      <w:r w:rsidR="00CF7E24">
        <w:rPr>
          <w:sz w:val="26"/>
          <w:szCs w:val="26"/>
        </w:rPr>
        <w:t>Prehearing Order</w:t>
      </w:r>
      <w:r w:rsidR="007F08D3" w:rsidRPr="001C430A">
        <w:rPr>
          <w:sz w:val="26"/>
          <w:szCs w:val="26"/>
        </w:rPr>
        <w:t xml:space="preserve"> warned both </w:t>
      </w:r>
      <w:r w:rsidR="00CF7E24">
        <w:rPr>
          <w:sz w:val="26"/>
          <w:szCs w:val="26"/>
        </w:rPr>
        <w:t>P</w:t>
      </w:r>
      <w:r w:rsidR="007F08D3" w:rsidRPr="001C430A">
        <w:rPr>
          <w:sz w:val="26"/>
          <w:szCs w:val="26"/>
        </w:rPr>
        <w:t xml:space="preserve">arties of potentially serious consequences if they failed to obtain a continuance and failed to attend the hearing. </w:t>
      </w:r>
      <w:r w:rsidR="00E662BA">
        <w:rPr>
          <w:sz w:val="26"/>
          <w:szCs w:val="26"/>
        </w:rPr>
        <w:t xml:space="preserve"> </w:t>
      </w:r>
      <w:r w:rsidR="000E6C7C">
        <w:rPr>
          <w:sz w:val="26"/>
          <w:szCs w:val="26"/>
        </w:rPr>
        <w:t xml:space="preserve">Prehearing Order at 1-3; </w:t>
      </w:r>
      <w:r w:rsidR="00E662BA">
        <w:rPr>
          <w:sz w:val="26"/>
          <w:szCs w:val="26"/>
        </w:rPr>
        <w:t>I.D. at 2.</w:t>
      </w:r>
      <w:r w:rsidR="007F08D3" w:rsidRPr="001C430A">
        <w:rPr>
          <w:sz w:val="26"/>
          <w:szCs w:val="26"/>
        </w:rPr>
        <w:t xml:space="preserve"> </w:t>
      </w:r>
    </w:p>
    <w:p w14:paraId="60BAB1E3" w14:textId="77777777" w:rsidR="007F08D3" w:rsidRDefault="007F08D3" w:rsidP="007F08D3">
      <w:r>
        <w:rPr>
          <w:sz w:val="22"/>
        </w:rPr>
        <w:t xml:space="preserve"> </w:t>
      </w:r>
    </w:p>
    <w:p w14:paraId="754749B9" w14:textId="77777777" w:rsidR="007F08D3" w:rsidRDefault="007F08D3" w:rsidP="007F08D3">
      <w:pPr>
        <w:spacing w:after="112"/>
        <w:ind w:left="1296"/>
      </w:pPr>
    </w:p>
    <w:p w14:paraId="4AE42C80" w14:textId="4D193C02" w:rsidR="007F08D3" w:rsidRPr="00A800E1" w:rsidRDefault="007F08D3" w:rsidP="00C808AE">
      <w:pPr>
        <w:spacing w:line="360" w:lineRule="auto"/>
        <w:ind w:firstLine="1440"/>
        <w:rPr>
          <w:sz w:val="26"/>
          <w:szCs w:val="26"/>
        </w:rPr>
      </w:pPr>
      <w:r w:rsidRPr="00364124">
        <w:rPr>
          <w:sz w:val="26"/>
          <w:szCs w:val="26"/>
        </w:rPr>
        <w:t>The hearing convened</w:t>
      </w:r>
      <w:r w:rsidR="007D16D1">
        <w:rPr>
          <w:sz w:val="26"/>
          <w:szCs w:val="26"/>
        </w:rPr>
        <w:t>, as scheduled,</w:t>
      </w:r>
      <w:r w:rsidRPr="00364124">
        <w:rPr>
          <w:sz w:val="26"/>
          <w:szCs w:val="26"/>
        </w:rPr>
        <w:t xml:space="preserve"> on May 13, 2019, at 10:00 a.m.  Counsel for PGW was present with a witness and </w:t>
      </w:r>
      <w:r w:rsidR="007D16D1">
        <w:rPr>
          <w:sz w:val="26"/>
          <w:szCs w:val="26"/>
        </w:rPr>
        <w:t xml:space="preserve">was </w:t>
      </w:r>
      <w:r w:rsidRPr="00364124">
        <w:rPr>
          <w:sz w:val="26"/>
          <w:szCs w:val="26"/>
        </w:rPr>
        <w:t xml:space="preserve">prepared to proceed.  </w:t>
      </w:r>
      <w:r w:rsidR="00CA78B3">
        <w:rPr>
          <w:sz w:val="26"/>
          <w:szCs w:val="26"/>
        </w:rPr>
        <w:t>The Complainant</w:t>
      </w:r>
      <w:r w:rsidRPr="00364124">
        <w:rPr>
          <w:sz w:val="26"/>
          <w:szCs w:val="26"/>
        </w:rPr>
        <w:t xml:space="preserve"> was not present.  Consistent with the practice of the </w:t>
      </w:r>
      <w:r w:rsidR="00CF0145">
        <w:rPr>
          <w:sz w:val="26"/>
          <w:szCs w:val="26"/>
        </w:rPr>
        <w:t>presiding ALJ</w:t>
      </w:r>
      <w:r w:rsidRPr="00364124">
        <w:rPr>
          <w:sz w:val="26"/>
          <w:szCs w:val="26"/>
        </w:rPr>
        <w:t xml:space="preserve">, the hearing </w:t>
      </w:r>
      <w:r w:rsidR="00CF0145">
        <w:rPr>
          <w:sz w:val="26"/>
          <w:szCs w:val="26"/>
        </w:rPr>
        <w:t xml:space="preserve">was </w:t>
      </w:r>
      <w:r w:rsidRPr="00364124">
        <w:rPr>
          <w:sz w:val="26"/>
          <w:szCs w:val="26"/>
        </w:rPr>
        <w:t>recessed for</w:t>
      </w:r>
      <w:r w:rsidR="001816E6">
        <w:rPr>
          <w:sz w:val="26"/>
          <w:szCs w:val="26"/>
        </w:rPr>
        <w:t>,</w:t>
      </w:r>
      <w:r w:rsidRPr="00364124">
        <w:rPr>
          <w:sz w:val="26"/>
          <w:szCs w:val="26"/>
        </w:rPr>
        <w:t xml:space="preserve"> </w:t>
      </w:r>
      <w:r w:rsidR="001816E6">
        <w:rPr>
          <w:sz w:val="26"/>
          <w:szCs w:val="26"/>
        </w:rPr>
        <w:t>a</w:t>
      </w:r>
      <w:r w:rsidRPr="00364124">
        <w:rPr>
          <w:sz w:val="26"/>
          <w:szCs w:val="26"/>
        </w:rPr>
        <w:t>pproximately</w:t>
      </w:r>
      <w:r w:rsidR="001816E6">
        <w:rPr>
          <w:sz w:val="26"/>
          <w:szCs w:val="26"/>
        </w:rPr>
        <w:t>,</w:t>
      </w:r>
      <w:r w:rsidRPr="00364124">
        <w:rPr>
          <w:sz w:val="26"/>
          <w:szCs w:val="26"/>
        </w:rPr>
        <w:t xml:space="preserve"> 15 minutes to provide </w:t>
      </w:r>
      <w:r w:rsidR="00CA78B3">
        <w:rPr>
          <w:sz w:val="26"/>
          <w:szCs w:val="26"/>
        </w:rPr>
        <w:t>the Complainant</w:t>
      </w:r>
      <w:r w:rsidRPr="00364124">
        <w:rPr>
          <w:sz w:val="26"/>
          <w:szCs w:val="26"/>
        </w:rPr>
        <w:t xml:space="preserve"> with more time to appear.  The hearing reconvened at</w:t>
      </w:r>
      <w:r w:rsidR="00CF0145">
        <w:rPr>
          <w:sz w:val="26"/>
          <w:szCs w:val="26"/>
        </w:rPr>
        <w:t>,</w:t>
      </w:r>
      <w:r w:rsidRPr="00364124">
        <w:rPr>
          <w:sz w:val="26"/>
          <w:szCs w:val="26"/>
        </w:rPr>
        <w:t xml:space="preserve"> </w:t>
      </w:r>
      <w:r w:rsidR="003A2DF1">
        <w:rPr>
          <w:sz w:val="26"/>
          <w:szCs w:val="26"/>
        </w:rPr>
        <w:t>approximately, 10:</w:t>
      </w:r>
      <w:r w:rsidRPr="00364124">
        <w:rPr>
          <w:sz w:val="26"/>
          <w:szCs w:val="26"/>
        </w:rPr>
        <w:t xml:space="preserve">16 a.m. and </w:t>
      </w:r>
      <w:r w:rsidR="007815B6">
        <w:rPr>
          <w:sz w:val="26"/>
          <w:szCs w:val="26"/>
        </w:rPr>
        <w:t>the Complainant</w:t>
      </w:r>
      <w:r w:rsidR="00CA78B3">
        <w:rPr>
          <w:sz w:val="26"/>
          <w:szCs w:val="26"/>
        </w:rPr>
        <w:t xml:space="preserve"> </w:t>
      </w:r>
      <w:r w:rsidRPr="00364124">
        <w:rPr>
          <w:sz w:val="26"/>
          <w:szCs w:val="26"/>
        </w:rPr>
        <w:t>was</w:t>
      </w:r>
      <w:r w:rsidR="00B147C0">
        <w:rPr>
          <w:sz w:val="26"/>
          <w:szCs w:val="26"/>
        </w:rPr>
        <w:t xml:space="preserve"> not</w:t>
      </w:r>
      <w:r w:rsidRPr="00364124">
        <w:rPr>
          <w:sz w:val="26"/>
          <w:szCs w:val="26"/>
        </w:rPr>
        <w:t xml:space="preserve"> </w:t>
      </w:r>
      <w:r w:rsidR="00CF0145">
        <w:rPr>
          <w:sz w:val="26"/>
          <w:szCs w:val="26"/>
        </w:rPr>
        <w:t>presen</w:t>
      </w:r>
      <w:r w:rsidRPr="00364124">
        <w:rPr>
          <w:sz w:val="26"/>
          <w:szCs w:val="26"/>
        </w:rPr>
        <w:t xml:space="preserve">t.  No witnesses were </w:t>
      </w:r>
      <w:r w:rsidR="00B84C31" w:rsidRPr="00364124">
        <w:rPr>
          <w:sz w:val="26"/>
          <w:szCs w:val="26"/>
        </w:rPr>
        <w:t>presented,</w:t>
      </w:r>
      <w:r w:rsidRPr="00364124">
        <w:rPr>
          <w:sz w:val="26"/>
          <w:szCs w:val="26"/>
        </w:rPr>
        <w:t xml:space="preserve"> and no exhibits were introduced into the record. </w:t>
      </w:r>
      <w:r w:rsidR="00CF0145">
        <w:rPr>
          <w:sz w:val="26"/>
          <w:szCs w:val="26"/>
        </w:rPr>
        <w:t xml:space="preserve"> </w:t>
      </w:r>
      <w:r w:rsidRPr="00364124">
        <w:rPr>
          <w:sz w:val="26"/>
          <w:szCs w:val="26"/>
        </w:rPr>
        <w:t>PGW</w:t>
      </w:r>
      <w:r w:rsidR="00CF0145">
        <w:rPr>
          <w:sz w:val="26"/>
          <w:szCs w:val="26"/>
        </w:rPr>
        <w:t>, thereafter,</w:t>
      </w:r>
      <w:r w:rsidRPr="00364124">
        <w:rPr>
          <w:sz w:val="26"/>
          <w:szCs w:val="26"/>
        </w:rPr>
        <w:t xml:space="preserve"> moved to dismiss </w:t>
      </w:r>
      <w:r w:rsidR="00CF0145">
        <w:rPr>
          <w:sz w:val="26"/>
          <w:szCs w:val="26"/>
        </w:rPr>
        <w:t>the</w:t>
      </w:r>
      <w:r w:rsidRPr="00364124">
        <w:rPr>
          <w:sz w:val="26"/>
          <w:szCs w:val="26"/>
        </w:rPr>
        <w:t xml:space="preserve"> informal Complaint</w:t>
      </w:r>
      <w:r w:rsidR="007815B6">
        <w:rPr>
          <w:sz w:val="26"/>
          <w:szCs w:val="26"/>
        </w:rPr>
        <w:t>,</w:t>
      </w:r>
      <w:r w:rsidRPr="00364124">
        <w:rPr>
          <w:sz w:val="26"/>
          <w:szCs w:val="26"/>
        </w:rPr>
        <w:t xml:space="preserve"> </w:t>
      </w:r>
      <w:r w:rsidRPr="00364124">
        <w:rPr>
          <w:sz w:val="26"/>
          <w:szCs w:val="26"/>
        </w:rPr>
        <w:lastRenderedPageBreak/>
        <w:t>with prejudice</w:t>
      </w:r>
      <w:r w:rsidR="007815B6">
        <w:rPr>
          <w:sz w:val="26"/>
          <w:szCs w:val="26"/>
        </w:rPr>
        <w:t>,</w:t>
      </w:r>
      <w:r w:rsidRPr="00364124">
        <w:rPr>
          <w:sz w:val="26"/>
          <w:szCs w:val="26"/>
        </w:rPr>
        <w:t xml:space="preserve"> </w:t>
      </w:r>
      <w:r w:rsidRPr="00A800E1">
        <w:rPr>
          <w:sz w:val="26"/>
          <w:szCs w:val="26"/>
        </w:rPr>
        <w:t xml:space="preserve">for failure </w:t>
      </w:r>
      <w:r w:rsidR="002570F5">
        <w:rPr>
          <w:sz w:val="26"/>
          <w:szCs w:val="26"/>
        </w:rPr>
        <w:t xml:space="preserve">of the Complainant </w:t>
      </w:r>
      <w:r w:rsidRPr="00A800E1">
        <w:rPr>
          <w:sz w:val="26"/>
          <w:szCs w:val="26"/>
        </w:rPr>
        <w:t>to prosecute</w:t>
      </w:r>
      <w:r w:rsidR="002570F5">
        <w:rPr>
          <w:sz w:val="26"/>
          <w:szCs w:val="26"/>
        </w:rPr>
        <w:t>,</w:t>
      </w:r>
      <w:r w:rsidRPr="00A800E1">
        <w:rPr>
          <w:sz w:val="26"/>
          <w:szCs w:val="26"/>
        </w:rPr>
        <w:t xml:space="preserve"> and </w:t>
      </w:r>
      <w:r w:rsidR="002570F5">
        <w:rPr>
          <w:sz w:val="26"/>
          <w:szCs w:val="26"/>
        </w:rPr>
        <w:t xml:space="preserve">further moved </w:t>
      </w:r>
      <w:r w:rsidR="00CA78B3" w:rsidRPr="00A800E1">
        <w:rPr>
          <w:sz w:val="26"/>
          <w:szCs w:val="26"/>
        </w:rPr>
        <w:t xml:space="preserve">to </w:t>
      </w:r>
      <w:r w:rsidRPr="00A800E1">
        <w:rPr>
          <w:sz w:val="26"/>
          <w:szCs w:val="26"/>
        </w:rPr>
        <w:t>vacate the BCS decision at BCS Case No.</w:t>
      </w:r>
      <w:r w:rsidR="003B2D6B" w:rsidRPr="00A800E1">
        <w:rPr>
          <w:sz w:val="26"/>
          <w:szCs w:val="26"/>
        </w:rPr>
        <w:t> </w:t>
      </w:r>
      <w:r w:rsidRPr="00A800E1">
        <w:rPr>
          <w:sz w:val="26"/>
          <w:szCs w:val="26"/>
        </w:rPr>
        <w:t>3607056.</w:t>
      </w:r>
      <w:r w:rsidR="00E662BA" w:rsidRPr="00A800E1">
        <w:rPr>
          <w:sz w:val="26"/>
          <w:szCs w:val="26"/>
        </w:rPr>
        <w:t xml:space="preserve">  I.D. at 3.</w:t>
      </w:r>
      <w:r w:rsidRPr="00A800E1">
        <w:rPr>
          <w:sz w:val="26"/>
          <w:szCs w:val="26"/>
        </w:rPr>
        <w:t xml:space="preserve"> </w:t>
      </w:r>
    </w:p>
    <w:p w14:paraId="4EB73672" w14:textId="5C1FEAFF" w:rsidR="007D16D1" w:rsidRPr="00A800E1" w:rsidRDefault="007F08D3" w:rsidP="00CF0145">
      <w:pPr>
        <w:spacing w:line="360" w:lineRule="auto"/>
        <w:ind w:left="144" w:firstLine="1440"/>
        <w:rPr>
          <w:sz w:val="26"/>
          <w:szCs w:val="26"/>
        </w:rPr>
      </w:pPr>
      <w:r w:rsidRPr="00A800E1">
        <w:rPr>
          <w:sz w:val="26"/>
          <w:szCs w:val="26"/>
        </w:rPr>
        <w:t xml:space="preserve"> The record </w:t>
      </w:r>
      <w:r w:rsidR="00CF0145" w:rsidRPr="00A800E1">
        <w:rPr>
          <w:sz w:val="26"/>
          <w:szCs w:val="26"/>
        </w:rPr>
        <w:t xml:space="preserve">was </w:t>
      </w:r>
      <w:r w:rsidRPr="00A800E1">
        <w:rPr>
          <w:sz w:val="26"/>
          <w:szCs w:val="26"/>
        </w:rPr>
        <w:t xml:space="preserve">closed on May 30, 2019, upon receipt of the transcript by </w:t>
      </w:r>
      <w:r w:rsidR="00CF0145" w:rsidRPr="00A800E1">
        <w:rPr>
          <w:sz w:val="26"/>
          <w:szCs w:val="26"/>
        </w:rPr>
        <w:t>ALJ Brady</w:t>
      </w:r>
      <w:r w:rsidRPr="00A800E1">
        <w:rPr>
          <w:sz w:val="26"/>
          <w:szCs w:val="26"/>
        </w:rPr>
        <w:t>.</w:t>
      </w:r>
      <w:r w:rsidR="00E662BA" w:rsidRPr="00A800E1">
        <w:rPr>
          <w:sz w:val="26"/>
          <w:szCs w:val="26"/>
        </w:rPr>
        <w:t xml:space="preserve">  I.D. at 3.</w:t>
      </w:r>
    </w:p>
    <w:p w14:paraId="65B09B30" w14:textId="77777777" w:rsidR="007D16D1" w:rsidRPr="00A800E1" w:rsidRDefault="007D16D1" w:rsidP="007D16D1">
      <w:pPr>
        <w:spacing w:line="360" w:lineRule="auto"/>
        <w:ind w:firstLine="1440"/>
        <w:rPr>
          <w:sz w:val="26"/>
          <w:szCs w:val="26"/>
        </w:rPr>
      </w:pPr>
    </w:p>
    <w:p w14:paraId="433E703B" w14:textId="77777777" w:rsidR="00CF7E24" w:rsidRDefault="00CF7E24" w:rsidP="00CF7E24">
      <w:pPr>
        <w:spacing w:line="360" w:lineRule="auto"/>
        <w:ind w:firstLine="1440"/>
        <w:rPr>
          <w:sz w:val="26"/>
          <w:szCs w:val="26"/>
        </w:rPr>
      </w:pPr>
      <w:r w:rsidRPr="00A800E1">
        <w:rPr>
          <w:sz w:val="26"/>
          <w:szCs w:val="26"/>
        </w:rPr>
        <w:t>On August 5, 2019, the Commission issued the Initial Decision of ALJ Brady which sustained PGW’s appeal, dismissed the informal Complaint, with prejudice, and vacated the BCS</w:t>
      </w:r>
      <w:r>
        <w:rPr>
          <w:sz w:val="26"/>
          <w:szCs w:val="26"/>
        </w:rPr>
        <w:t xml:space="preserve"> decision at BCS Case </w:t>
      </w:r>
      <w:r w:rsidR="00A800E1">
        <w:rPr>
          <w:sz w:val="26"/>
          <w:szCs w:val="26"/>
        </w:rPr>
        <w:t>N</w:t>
      </w:r>
      <w:r>
        <w:rPr>
          <w:sz w:val="26"/>
          <w:szCs w:val="26"/>
        </w:rPr>
        <w:t>o. 3607056.  I.D. at 6-8.</w:t>
      </w:r>
    </w:p>
    <w:p w14:paraId="4D646192" w14:textId="77777777" w:rsidR="00177729" w:rsidRDefault="00177729" w:rsidP="00E662BA">
      <w:pPr>
        <w:spacing w:line="360" w:lineRule="auto"/>
        <w:ind w:firstLine="1440"/>
        <w:rPr>
          <w:sz w:val="26"/>
          <w:szCs w:val="26"/>
        </w:rPr>
      </w:pPr>
    </w:p>
    <w:p w14:paraId="1F000B96" w14:textId="77777777" w:rsidR="00C808AE" w:rsidRDefault="00177729" w:rsidP="008A12A6">
      <w:pPr>
        <w:spacing w:line="360" w:lineRule="auto"/>
        <w:ind w:firstLine="1440"/>
        <w:rPr>
          <w:sz w:val="26"/>
          <w:szCs w:val="26"/>
        </w:rPr>
      </w:pPr>
      <w:r>
        <w:rPr>
          <w:sz w:val="26"/>
          <w:szCs w:val="26"/>
        </w:rPr>
        <w:t>As previously noted, o</w:t>
      </w:r>
      <w:r w:rsidR="007D16D1">
        <w:rPr>
          <w:sz w:val="26"/>
          <w:szCs w:val="26"/>
        </w:rPr>
        <w:t>n August 26, 2019,</w:t>
      </w:r>
      <w:r w:rsidR="007D16D1" w:rsidRPr="009C51A5">
        <w:rPr>
          <w:sz w:val="26"/>
          <w:szCs w:val="26"/>
        </w:rPr>
        <w:t xml:space="preserve"> </w:t>
      </w:r>
      <w:r w:rsidR="00CA78B3">
        <w:rPr>
          <w:sz w:val="26"/>
          <w:szCs w:val="26"/>
        </w:rPr>
        <w:t xml:space="preserve">the </w:t>
      </w:r>
      <w:r w:rsidR="007D16D1">
        <w:rPr>
          <w:sz w:val="26"/>
          <w:szCs w:val="26"/>
        </w:rPr>
        <w:t xml:space="preserve">Complainant filed Exceptions to </w:t>
      </w:r>
      <w:r w:rsidR="007D16D1" w:rsidRPr="009C51A5">
        <w:rPr>
          <w:sz w:val="26"/>
          <w:szCs w:val="26"/>
        </w:rPr>
        <w:t>the Initial Decision</w:t>
      </w:r>
      <w:r w:rsidR="00CA78B3">
        <w:rPr>
          <w:sz w:val="26"/>
          <w:szCs w:val="26"/>
        </w:rPr>
        <w:t xml:space="preserve"> and on September 9, 2019,</w:t>
      </w:r>
      <w:r w:rsidR="00E662BA">
        <w:rPr>
          <w:sz w:val="26"/>
          <w:szCs w:val="26"/>
        </w:rPr>
        <w:t xml:space="preserve"> PGW filed</w:t>
      </w:r>
      <w:r w:rsidR="007D16D1" w:rsidRPr="009C51A5">
        <w:rPr>
          <w:sz w:val="26"/>
          <w:szCs w:val="26"/>
        </w:rPr>
        <w:t xml:space="preserve"> </w:t>
      </w:r>
      <w:r w:rsidR="00CA78B3">
        <w:rPr>
          <w:sz w:val="26"/>
          <w:szCs w:val="26"/>
        </w:rPr>
        <w:t xml:space="preserve">its </w:t>
      </w:r>
      <w:r w:rsidR="007D16D1" w:rsidRPr="009C51A5">
        <w:rPr>
          <w:sz w:val="26"/>
          <w:szCs w:val="26"/>
        </w:rPr>
        <w:t>Replies</w:t>
      </w:r>
      <w:r w:rsidR="00CA78B3">
        <w:rPr>
          <w:sz w:val="26"/>
          <w:szCs w:val="26"/>
        </w:rPr>
        <w:t xml:space="preserve"> to Exceptions</w:t>
      </w:r>
      <w:r w:rsidR="007D16D1" w:rsidRPr="009C51A5">
        <w:rPr>
          <w:sz w:val="26"/>
          <w:szCs w:val="26"/>
        </w:rPr>
        <w:t xml:space="preserve">.  </w:t>
      </w:r>
    </w:p>
    <w:p w14:paraId="470512C7" w14:textId="77777777" w:rsidR="00A86EBC" w:rsidRDefault="00A86EBC" w:rsidP="008A12A6">
      <w:pPr>
        <w:spacing w:line="360" w:lineRule="auto"/>
        <w:rPr>
          <w:b/>
          <w:bCs/>
          <w:sz w:val="26"/>
          <w:szCs w:val="26"/>
        </w:rPr>
      </w:pPr>
    </w:p>
    <w:p w14:paraId="28AE4053" w14:textId="77777777" w:rsidR="00C808AE" w:rsidRDefault="00C808AE" w:rsidP="008A12A6">
      <w:pPr>
        <w:widowControl/>
        <w:spacing w:line="360" w:lineRule="auto"/>
        <w:ind w:left="-5"/>
        <w:jc w:val="center"/>
        <w:rPr>
          <w:sz w:val="26"/>
          <w:szCs w:val="26"/>
        </w:rPr>
      </w:pPr>
      <w:r>
        <w:rPr>
          <w:b/>
          <w:bCs/>
          <w:sz w:val="26"/>
          <w:szCs w:val="26"/>
        </w:rPr>
        <w:t xml:space="preserve">Discussion </w:t>
      </w:r>
    </w:p>
    <w:p w14:paraId="3FE6766F" w14:textId="77777777" w:rsidR="00D22BC2" w:rsidRDefault="00D22BC2" w:rsidP="008A12A6">
      <w:pPr>
        <w:widowControl/>
        <w:spacing w:line="360" w:lineRule="auto"/>
        <w:jc w:val="center"/>
        <w:rPr>
          <w:b/>
          <w:bCs/>
          <w:sz w:val="26"/>
          <w:szCs w:val="26"/>
        </w:rPr>
      </w:pPr>
    </w:p>
    <w:p w14:paraId="075A68B4" w14:textId="77777777" w:rsidR="00D22BC2" w:rsidRPr="00093AB3" w:rsidRDefault="00D22BC2" w:rsidP="008A12A6">
      <w:pPr>
        <w:widowControl/>
        <w:spacing w:line="360" w:lineRule="auto"/>
        <w:rPr>
          <w:sz w:val="26"/>
          <w:szCs w:val="26"/>
        </w:rPr>
      </w:pPr>
      <w:r>
        <w:rPr>
          <w:b/>
          <w:bCs/>
          <w:caps/>
          <w:sz w:val="26"/>
          <w:szCs w:val="26"/>
        </w:rPr>
        <w:t>A</w:t>
      </w:r>
      <w:r w:rsidR="00DF4D02">
        <w:rPr>
          <w:b/>
          <w:bCs/>
          <w:caps/>
          <w:sz w:val="26"/>
          <w:szCs w:val="26"/>
        </w:rPr>
        <w:t>.</w:t>
      </w:r>
      <w:r>
        <w:rPr>
          <w:b/>
          <w:bCs/>
          <w:caps/>
          <w:sz w:val="26"/>
          <w:szCs w:val="26"/>
        </w:rPr>
        <w:tab/>
      </w:r>
      <w:r w:rsidRPr="00093AB3">
        <w:rPr>
          <w:b/>
          <w:bCs/>
          <w:sz w:val="26"/>
          <w:szCs w:val="26"/>
        </w:rPr>
        <w:t>Legal Standards</w:t>
      </w:r>
    </w:p>
    <w:p w14:paraId="326F75D7" w14:textId="77777777" w:rsidR="00D22BC2" w:rsidRDefault="00D22BC2" w:rsidP="008A12A6">
      <w:pPr>
        <w:widowControl/>
        <w:spacing w:line="360" w:lineRule="auto"/>
        <w:ind w:firstLine="1440"/>
        <w:rPr>
          <w:b/>
          <w:bCs/>
          <w:sz w:val="26"/>
          <w:szCs w:val="26"/>
        </w:rPr>
      </w:pPr>
    </w:p>
    <w:p w14:paraId="790898A3" w14:textId="77777777" w:rsidR="00C84430" w:rsidRPr="00C84430" w:rsidRDefault="00C84430" w:rsidP="008A12A6">
      <w:pPr>
        <w:pStyle w:val="ListParagraph"/>
        <w:widowControl/>
        <w:numPr>
          <w:ilvl w:val="0"/>
          <w:numId w:val="7"/>
        </w:numPr>
        <w:spacing w:line="360" w:lineRule="auto"/>
        <w:ind w:left="1440" w:hanging="720"/>
        <w:rPr>
          <w:b/>
          <w:bCs/>
          <w:sz w:val="26"/>
          <w:szCs w:val="26"/>
        </w:rPr>
      </w:pPr>
      <w:r>
        <w:rPr>
          <w:b/>
          <w:bCs/>
          <w:sz w:val="26"/>
          <w:szCs w:val="26"/>
        </w:rPr>
        <w:t xml:space="preserve">Liberal Construction of Pleadings by </w:t>
      </w:r>
      <w:r w:rsidRPr="00F47C62">
        <w:rPr>
          <w:b/>
          <w:bCs/>
          <w:i/>
          <w:iCs/>
          <w:sz w:val="26"/>
          <w:szCs w:val="26"/>
        </w:rPr>
        <w:t>Pro Se</w:t>
      </w:r>
      <w:r>
        <w:rPr>
          <w:b/>
          <w:bCs/>
          <w:sz w:val="26"/>
          <w:szCs w:val="26"/>
        </w:rPr>
        <w:t xml:space="preserve"> Participants</w:t>
      </w:r>
    </w:p>
    <w:p w14:paraId="59D495C2" w14:textId="77777777" w:rsidR="00C84430" w:rsidRDefault="00C84430" w:rsidP="008A12A6">
      <w:pPr>
        <w:widowControl/>
        <w:spacing w:line="360" w:lineRule="auto"/>
        <w:ind w:firstLine="1440"/>
        <w:rPr>
          <w:sz w:val="26"/>
          <w:szCs w:val="26"/>
        </w:rPr>
      </w:pPr>
    </w:p>
    <w:p w14:paraId="4B8206B9" w14:textId="77777777" w:rsidR="002F7D38" w:rsidRDefault="00C84430" w:rsidP="008A12A6">
      <w:pPr>
        <w:widowControl/>
        <w:autoSpaceDE w:val="0"/>
        <w:autoSpaceDN w:val="0"/>
        <w:adjustRightInd w:val="0"/>
        <w:spacing w:line="360" w:lineRule="auto"/>
        <w:ind w:firstLine="1440"/>
        <w:rPr>
          <w:sz w:val="26"/>
          <w:szCs w:val="26"/>
        </w:rPr>
      </w:pPr>
      <w:r>
        <w:rPr>
          <w:sz w:val="26"/>
          <w:szCs w:val="26"/>
        </w:rPr>
        <w:t xml:space="preserve">As noted, </w:t>
      </w:r>
      <w:r w:rsidR="00345C31">
        <w:rPr>
          <w:sz w:val="26"/>
          <w:szCs w:val="26"/>
        </w:rPr>
        <w:t>t</w:t>
      </w:r>
      <w:r w:rsidRPr="00C84430">
        <w:rPr>
          <w:sz w:val="26"/>
          <w:szCs w:val="26"/>
        </w:rPr>
        <w:t xml:space="preserve">he Exceptions </w:t>
      </w:r>
      <w:r w:rsidR="00345C31">
        <w:rPr>
          <w:sz w:val="26"/>
          <w:szCs w:val="26"/>
        </w:rPr>
        <w:t xml:space="preserve">have been </w:t>
      </w:r>
      <w:r w:rsidR="00F47C62">
        <w:rPr>
          <w:sz w:val="26"/>
          <w:szCs w:val="26"/>
        </w:rPr>
        <w:t xml:space="preserve">filed by </w:t>
      </w:r>
      <w:r w:rsidR="00CF7E24">
        <w:rPr>
          <w:sz w:val="26"/>
          <w:szCs w:val="26"/>
        </w:rPr>
        <w:t xml:space="preserve">the </w:t>
      </w:r>
      <w:r w:rsidR="00CA78B3">
        <w:rPr>
          <w:sz w:val="26"/>
          <w:szCs w:val="26"/>
        </w:rPr>
        <w:t>Complainant</w:t>
      </w:r>
      <w:r w:rsidR="002F7D38">
        <w:rPr>
          <w:sz w:val="26"/>
          <w:szCs w:val="26"/>
        </w:rPr>
        <w:t xml:space="preserve">, appearing </w:t>
      </w:r>
      <w:r w:rsidR="002F7D38">
        <w:rPr>
          <w:i/>
          <w:iCs/>
          <w:sz w:val="26"/>
          <w:szCs w:val="26"/>
        </w:rPr>
        <w:t>pro se</w:t>
      </w:r>
      <w:r w:rsidR="002F7D38">
        <w:rPr>
          <w:sz w:val="26"/>
          <w:szCs w:val="26"/>
        </w:rPr>
        <w:t>,</w:t>
      </w:r>
      <w:r w:rsidR="002F7D38">
        <w:rPr>
          <w:i/>
          <w:iCs/>
          <w:sz w:val="26"/>
          <w:szCs w:val="26"/>
        </w:rPr>
        <w:t xml:space="preserve"> </w:t>
      </w:r>
      <w:r w:rsidRPr="00C84430">
        <w:rPr>
          <w:sz w:val="26"/>
          <w:szCs w:val="26"/>
        </w:rPr>
        <w:t>to the ALJ</w:t>
      </w:r>
      <w:r>
        <w:rPr>
          <w:sz w:val="26"/>
          <w:szCs w:val="26"/>
        </w:rPr>
        <w:t>’</w:t>
      </w:r>
      <w:r w:rsidRPr="00C84430">
        <w:rPr>
          <w:sz w:val="26"/>
          <w:szCs w:val="26"/>
        </w:rPr>
        <w:t>s I</w:t>
      </w:r>
      <w:r w:rsidR="00CA78B3">
        <w:rPr>
          <w:sz w:val="26"/>
          <w:szCs w:val="26"/>
        </w:rPr>
        <w:t>nitial</w:t>
      </w:r>
      <w:r w:rsidR="002F7D38">
        <w:rPr>
          <w:sz w:val="26"/>
          <w:szCs w:val="26"/>
        </w:rPr>
        <w:t xml:space="preserve"> </w:t>
      </w:r>
      <w:r w:rsidRPr="00C84430">
        <w:rPr>
          <w:sz w:val="26"/>
          <w:szCs w:val="26"/>
        </w:rPr>
        <w:t>D</w:t>
      </w:r>
      <w:r w:rsidR="00CA78B3">
        <w:rPr>
          <w:sz w:val="26"/>
          <w:szCs w:val="26"/>
        </w:rPr>
        <w:t>ecision</w:t>
      </w:r>
      <w:r w:rsidR="00345C31">
        <w:rPr>
          <w:sz w:val="26"/>
          <w:szCs w:val="26"/>
        </w:rPr>
        <w:t>.</w:t>
      </w:r>
      <w:r>
        <w:rPr>
          <w:sz w:val="26"/>
          <w:szCs w:val="26"/>
        </w:rPr>
        <w:t xml:space="preserve">  The </w:t>
      </w:r>
      <w:r w:rsidR="00CA78B3">
        <w:rPr>
          <w:sz w:val="26"/>
          <w:szCs w:val="26"/>
        </w:rPr>
        <w:t xml:space="preserve">Complainant’s </w:t>
      </w:r>
      <w:r>
        <w:rPr>
          <w:sz w:val="26"/>
          <w:szCs w:val="26"/>
        </w:rPr>
        <w:t>Exceptions</w:t>
      </w:r>
      <w:r w:rsidR="00225DF7">
        <w:rPr>
          <w:sz w:val="26"/>
          <w:szCs w:val="26"/>
        </w:rPr>
        <w:t xml:space="preserve"> </w:t>
      </w:r>
      <w:r>
        <w:rPr>
          <w:sz w:val="26"/>
          <w:szCs w:val="26"/>
        </w:rPr>
        <w:t xml:space="preserve">consist of a </w:t>
      </w:r>
      <w:r w:rsidR="009C5B40">
        <w:rPr>
          <w:sz w:val="26"/>
          <w:szCs w:val="26"/>
        </w:rPr>
        <w:t>one-page</w:t>
      </w:r>
      <w:r>
        <w:rPr>
          <w:sz w:val="26"/>
          <w:szCs w:val="26"/>
        </w:rPr>
        <w:t>, hand-written letter</w:t>
      </w:r>
      <w:r w:rsidR="00225DF7">
        <w:rPr>
          <w:sz w:val="26"/>
          <w:szCs w:val="26"/>
        </w:rPr>
        <w:t>.</w:t>
      </w:r>
      <w:r>
        <w:rPr>
          <w:sz w:val="26"/>
          <w:szCs w:val="26"/>
        </w:rPr>
        <w:t xml:space="preserve">  In pertinent part, </w:t>
      </w:r>
      <w:r w:rsidR="002F7D38">
        <w:rPr>
          <w:sz w:val="26"/>
          <w:szCs w:val="26"/>
        </w:rPr>
        <w:t>the Complain</w:t>
      </w:r>
      <w:r w:rsidR="00CF7E24">
        <w:rPr>
          <w:sz w:val="26"/>
          <w:szCs w:val="26"/>
        </w:rPr>
        <w:t>ant</w:t>
      </w:r>
      <w:r w:rsidR="00CA78B3">
        <w:rPr>
          <w:sz w:val="26"/>
          <w:szCs w:val="26"/>
        </w:rPr>
        <w:t xml:space="preserve"> </w:t>
      </w:r>
      <w:r w:rsidR="002F7D38">
        <w:rPr>
          <w:sz w:val="26"/>
          <w:szCs w:val="26"/>
        </w:rPr>
        <w:t>explains</w:t>
      </w:r>
      <w:r w:rsidR="00CA78B3">
        <w:rPr>
          <w:sz w:val="26"/>
          <w:szCs w:val="26"/>
        </w:rPr>
        <w:t xml:space="preserve"> in her </w:t>
      </w:r>
      <w:r>
        <w:rPr>
          <w:sz w:val="26"/>
          <w:szCs w:val="26"/>
        </w:rPr>
        <w:t xml:space="preserve">Exceptions </w:t>
      </w:r>
      <w:r w:rsidR="00CA78B3">
        <w:rPr>
          <w:sz w:val="26"/>
          <w:szCs w:val="26"/>
        </w:rPr>
        <w:t xml:space="preserve">that she was very ill at the time of the hearing and thus was unable to attend the hearing.  Exc. at 1.  She also notes that she tried contacting the </w:t>
      </w:r>
      <w:r w:rsidR="002F7D38">
        <w:rPr>
          <w:sz w:val="26"/>
          <w:szCs w:val="26"/>
        </w:rPr>
        <w:t>“</w:t>
      </w:r>
      <w:r w:rsidR="00CA78B3">
        <w:rPr>
          <w:sz w:val="26"/>
          <w:szCs w:val="26"/>
        </w:rPr>
        <w:t>courts</w:t>
      </w:r>
      <w:r w:rsidR="002F7D38">
        <w:rPr>
          <w:sz w:val="26"/>
          <w:szCs w:val="26"/>
        </w:rPr>
        <w:t>”</w:t>
      </w:r>
      <w:r w:rsidR="00CA78B3">
        <w:rPr>
          <w:sz w:val="26"/>
          <w:szCs w:val="26"/>
        </w:rPr>
        <w:t xml:space="preserve"> and was unable to reach anyone.  </w:t>
      </w:r>
      <w:r w:rsidR="00CA78B3" w:rsidRPr="00501B71">
        <w:rPr>
          <w:i/>
          <w:sz w:val="26"/>
        </w:rPr>
        <w:t>Id.</w:t>
      </w:r>
      <w:r w:rsidR="00CA78B3">
        <w:rPr>
          <w:sz w:val="26"/>
          <w:szCs w:val="26"/>
        </w:rPr>
        <w:t xml:space="preserve"> </w:t>
      </w:r>
    </w:p>
    <w:p w14:paraId="5648B97A" w14:textId="77777777" w:rsidR="00C84430" w:rsidRDefault="00C84430" w:rsidP="002F7D38">
      <w:pPr>
        <w:widowControl/>
        <w:autoSpaceDE w:val="0"/>
        <w:autoSpaceDN w:val="0"/>
        <w:adjustRightInd w:val="0"/>
        <w:spacing w:line="360" w:lineRule="auto"/>
        <w:ind w:firstLine="1440"/>
        <w:rPr>
          <w:sz w:val="26"/>
          <w:szCs w:val="26"/>
        </w:rPr>
      </w:pPr>
      <w:r w:rsidRPr="00C84430">
        <w:rPr>
          <w:sz w:val="26"/>
          <w:szCs w:val="26"/>
        </w:rPr>
        <w:t xml:space="preserve"> </w:t>
      </w:r>
      <w:r>
        <w:rPr>
          <w:sz w:val="26"/>
          <w:szCs w:val="26"/>
        </w:rPr>
        <w:t xml:space="preserve"> </w:t>
      </w:r>
    </w:p>
    <w:p w14:paraId="3F006818" w14:textId="0E6646C5" w:rsidR="00C84430" w:rsidRPr="00C84430" w:rsidRDefault="00345C31" w:rsidP="00B84C31">
      <w:pPr>
        <w:widowControl/>
        <w:spacing w:line="360" w:lineRule="auto"/>
        <w:ind w:firstLine="1440"/>
        <w:rPr>
          <w:b/>
          <w:bCs/>
          <w:sz w:val="26"/>
          <w:szCs w:val="26"/>
        </w:rPr>
      </w:pPr>
      <w:r>
        <w:rPr>
          <w:sz w:val="26"/>
          <w:szCs w:val="26"/>
        </w:rPr>
        <w:t>W</w:t>
      </w:r>
      <w:r w:rsidR="00865F13">
        <w:rPr>
          <w:sz w:val="26"/>
          <w:szCs w:val="26"/>
        </w:rPr>
        <w:t>e note that t</w:t>
      </w:r>
      <w:r w:rsidR="002F7D38">
        <w:rPr>
          <w:sz w:val="26"/>
          <w:szCs w:val="26"/>
        </w:rPr>
        <w:t>he</w:t>
      </w:r>
      <w:r w:rsidR="005D406D">
        <w:rPr>
          <w:sz w:val="26"/>
          <w:szCs w:val="26"/>
        </w:rPr>
        <w:t xml:space="preserve"> Exceptions do not conform to our Rules of Practice.  52</w:t>
      </w:r>
      <w:r w:rsidR="00B84C31">
        <w:rPr>
          <w:sz w:val="26"/>
          <w:szCs w:val="26"/>
        </w:rPr>
        <w:t> </w:t>
      </w:r>
      <w:r w:rsidR="005D406D">
        <w:rPr>
          <w:sz w:val="26"/>
          <w:szCs w:val="26"/>
        </w:rPr>
        <w:t>Pa. Code §§</w:t>
      </w:r>
      <w:r w:rsidR="001F5C00">
        <w:rPr>
          <w:sz w:val="26"/>
          <w:szCs w:val="26"/>
        </w:rPr>
        <w:t xml:space="preserve"> </w:t>
      </w:r>
      <w:r w:rsidR="005D406D">
        <w:rPr>
          <w:sz w:val="26"/>
          <w:szCs w:val="26"/>
        </w:rPr>
        <w:t xml:space="preserve">5.533; 5.535.  </w:t>
      </w:r>
      <w:r w:rsidR="00865F13">
        <w:rPr>
          <w:sz w:val="26"/>
          <w:szCs w:val="26"/>
        </w:rPr>
        <w:t>However, w</w:t>
      </w:r>
      <w:r w:rsidR="00C84430" w:rsidRPr="00C84430">
        <w:rPr>
          <w:sz w:val="26"/>
          <w:szCs w:val="26"/>
        </w:rPr>
        <w:t>e</w:t>
      </w:r>
      <w:r w:rsidR="005D406D">
        <w:rPr>
          <w:sz w:val="26"/>
          <w:szCs w:val="26"/>
        </w:rPr>
        <w:t xml:space="preserve"> shall</w:t>
      </w:r>
      <w:r w:rsidR="00C84430" w:rsidRPr="00C84430">
        <w:rPr>
          <w:sz w:val="26"/>
          <w:szCs w:val="26"/>
        </w:rPr>
        <w:t xml:space="preserve"> consider the </w:t>
      </w:r>
      <w:r w:rsidR="00865F13">
        <w:rPr>
          <w:sz w:val="26"/>
          <w:szCs w:val="26"/>
        </w:rPr>
        <w:t xml:space="preserve">Complainant’s </w:t>
      </w:r>
      <w:r w:rsidR="00F47C62">
        <w:rPr>
          <w:sz w:val="26"/>
          <w:szCs w:val="26"/>
        </w:rPr>
        <w:t>Exceptions</w:t>
      </w:r>
      <w:r w:rsidR="00C84430" w:rsidRPr="00C84430">
        <w:rPr>
          <w:sz w:val="26"/>
          <w:szCs w:val="26"/>
        </w:rPr>
        <w:t xml:space="preserve"> </w:t>
      </w:r>
      <w:r w:rsidR="00F47C62">
        <w:rPr>
          <w:sz w:val="26"/>
          <w:szCs w:val="26"/>
        </w:rPr>
        <w:t>within</w:t>
      </w:r>
      <w:r w:rsidR="00C84430" w:rsidRPr="00C84430">
        <w:rPr>
          <w:sz w:val="26"/>
          <w:szCs w:val="26"/>
        </w:rPr>
        <w:t xml:space="preserve"> our discretion to liberally construe </w:t>
      </w:r>
      <w:r w:rsidR="002F7D38">
        <w:rPr>
          <w:sz w:val="26"/>
          <w:szCs w:val="26"/>
        </w:rPr>
        <w:t>pleadings within</w:t>
      </w:r>
      <w:r w:rsidR="00C84430" w:rsidRPr="00C84430">
        <w:rPr>
          <w:sz w:val="26"/>
          <w:szCs w:val="26"/>
        </w:rPr>
        <w:t xml:space="preserve"> the Commission</w:t>
      </w:r>
      <w:r w:rsidR="00695DEB">
        <w:rPr>
          <w:sz w:val="26"/>
          <w:szCs w:val="26"/>
        </w:rPr>
        <w:t>’</w:t>
      </w:r>
      <w:r w:rsidR="00C84430" w:rsidRPr="00C84430">
        <w:rPr>
          <w:sz w:val="26"/>
          <w:szCs w:val="26"/>
        </w:rPr>
        <w:t xml:space="preserve">s Rules of Practice and Procedure to secure a just, speedy, and inexpensive determination in this </w:t>
      </w:r>
      <w:r w:rsidR="00C84430" w:rsidRPr="00C84430">
        <w:rPr>
          <w:sz w:val="26"/>
          <w:szCs w:val="26"/>
        </w:rPr>
        <w:lastRenderedPageBreak/>
        <w:t>proceeding.</w:t>
      </w:r>
      <w:r w:rsidR="00F47C62">
        <w:rPr>
          <w:sz w:val="26"/>
          <w:szCs w:val="26"/>
        </w:rPr>
        <w:t xml:space="preserve"> </w:t>
      </w:r>
      <w:r w:rsidR="00C84430" w:rsidRPr="00C84430">
        <w:rPr>
          <w:sz w:val="26"/>
          <w:szCs w:val="26"/>
        </w:rPr>
        <w:t xml:space="preserve"> </w:t>
      </w:r>
      <w:r w:rsidR="00C84430" w:rsidRPr="00C84430">
        <w:rPr>
          <w:i/>
          <w:iCs/>
          <w:sz w:val="26"/>
          <w:szCs w:val="26"/>
        </w:rPr>
        <w:t>See</w:t>
      </w:r>
      <w:r w:rsidR="00865F13" w:rsidRPr="00C1703A">
        <w:rPr>
          <w:sz w:val="26"/>
          <w:szCs w:val="26"/>
        </w:rPr>
        <w:t>,</w:t>
      </w:r>
      <w:r w:rsidR="00C84430" w:rsidRPr="00C1703A">
        <w:rPr>
          <w:sz w:val="26"/>
          <w:szCs w:val="26"/>
        </w:rPr>
        <w:t xml:space="preserve"> </w:t>
      </w:r>
      <w:hyperlink r:id="rId8" w:history="1">
        <w:r w:rsidR="00C84430" w:rsidRPr="00C84430">
          <w:rPr>
            <w:sz w:val="26"/>
            <w:szCs w:val="26"/>
          </w:rPr>
          <w:t>52 Pa. Code § 1.2(a)</w:t>
        </w:r>
      </w:hyperlink>
      <w:r w:rsidR="00F47C62">
        <w:rPr>
          <w:sz w:val="26"/>
          <w:szCs w:val="26"/>
        </w:rPr>
        <w:t xml:space="preserve">; </w:t>
      </w:r>
      <w:r w:rsidR="00865F13" w:rsidRPr="00501B71">
        <w:rPr>
          <w:i/>
          <w:sz w:val="26"/>
        </w:rPr>
        <w:t xml:space="preserve">see </w:t>
      </w:r>
      <w:r w:rsidR="00F47C62" w:rsidRPr="00865F13">
        <w:rPr>
          <w:i/>
          <w:iCs/>
          <w:sz w:val="26"/>
          <w:szCs w:val="26"/>
        </w:rPr>
        <w:t>a</w:t>
      </w:r>
      <w:r w:rsidR="00F47C62">
        <w:rPr>
          <w:i/>
          <w:iCs/>
          <w:sz w:val="26"/>
          <w:szCs w:val="26"/>
        </w:rPr>
        <w:t>lso</w:t>
      </w:r>
      <w:r w:rsidR="00865F13">
        <w:rPr>
          <w:i/>
          <w:iCs/>
          <w:sz w:val="26"/>
          <w:szCs w:val="26"/>
        </w:rPr>
        <w:t>,</w:t>
      </w:r>
      <w:r w:rsidR="00F47C62">
        <w:rPr>
          <w:i/>
          <w:iCs/>
          <w:sz w:val="26"/>
          <w:szCs w:val="26"/>
        </w:rPr>
        <w:t xml:space="preserve"> </w:t>
      </w:r>
      <w:r w:rsidR="00F47C62" w:rsidRPr="001D1F3F">
        <w:rPr>
          <w:i/>
          <w:iCs/>
          <w:sz w:val="26"/>
          <w:szCs w:val="26"/>
        </w:rPr>
        <w:t xml:space="preserve">Steve </w:t>
      </w:r>
      <w:proofErr w:type="spellStart"/>
      <w:r w:rsidR="00F47C62" w:rsidRPr="001D1F3F">
        <w:rPr>
          <w:i/>
          <w:iCs/>
          <w:sz w:val="26"/>
          <w:szCs w:val="26"/>
        </w:rPr>
        <w:t>Atuahene</w:t>
      </w:r>
      <w:proofErr w:type="spellEnd"/>
      <w:r w:rsidR="00F47C62" w:rsidRPr="001D1F3F">
        <w:rPr>
          <w:i/>
          <w:iCs/>
          <w:sz w:val="26"/>
          <w:szCs w:val="26"/>
        </w:rPr>
        <w:t xml:space="preserve"> and Agnes </w:t>
      </w:r>
      <w:proofErr w:type="spellStart"/>
      <w:r w:rsidR="00F47C62" w:rsidRPr="001D1F3F">
        <w:rPr>
          <w:i/>
          <w:iCs/>
          <w:sz w:val="26"/>
          <w:szCs w:val="26"/>
        </w:rPr>
        <w:t>Atuahene</w:t>
      </w:r>
      <w:proofErr w:type="spellEnd"/>
      <w:r w:rsidR="00F47C62" w:rsidRPr="001D1F3F">
        <w:rPr>
          <w:i/>
          <w:iCs/>
          <w:sz w:val="26"/>
          <w:szCs w:val="26"/>
        </w:rPr>
        <w:t xml:space="preserve"> v. Philadelphia Gas Works</w:t>
      </w:r>
      <w:r w:rsidR="00F47C62">
        <w:rPr>
          <w:sz w:val="26"/>
          <w:szCs w:val="26"/>
        </w:rPr>
        <w:t xml:space="preserve">, </w:t>
      </w:r>
      <w:r w:rsidR="00F47C62" w:rsidRPr="00141D45">
        <w:rPr>
          <w:sz w:val="26"/>
          <w:szCs w:val="26"/>
        </w:rPr>
        <w:t>Docket No. F-2018-3004665</w:t>
      </w:r>
      <w:r w:rsidR="00F47C62">
        <w:rPr>
          <w:sz w:val="26"/>
          <w:szCs w:val="26"/>
        </w:rPr>
        <w:t xml:space="preserve"> (Order entered October 11, 2019) (</w:t>
      </w:r>
      <w:proofErr w:type="spellStart"/>
      <w:r w:rsidR="00F47C62" w:rsidRPr="001D1F3F">
        <w:rPr>
          <w:i/>
          <w:iCs/>
          <w:sz w:val="26"/>
          <w:szCs w:val="26"/>
        </w:rPr>
        <w:t>Atuahene</w:t>
      </w:r>
      <w:proofErr w:type="spellEnd"/>
      <w:r w:rsidR="00F47C62">
        <w:rPr>
          <w:sz w:val="26"/>
          <w:szCs w:val="26"/>
        </w:rPr>
        <w:t xml:space="preserve">). </w:t>
      </w:r>
    </w:p>
    <w:p w14:paraId="0DA63458" w14:textId="77777777" w:rsidR="00C84430" w:rsidRDefault="00C84430" w:rsidP="009A71B7">
      <w:pPr>
        <w:spacing w:line="360" w:lineRule="auto"/>
        <w:ind w:firstLine="720"/>
        <w:rPr>
          <w:b/>
          <w:bCs/>
          <w:sz w:val="26"/>
          <w:szCs w:val="26"/>
        </w:rPr>
      </w:pPr>
    </w:p>
    <w:p w14:paraId="3C32BC5B" w14:textId="77777777" w:rsidR="00D22BC2" w:rsidRPr="00C1703A" w:rsidRDefault="00D22BC2" w:rsidP="00C1703A">
      <w:pPr>
        <w:pStyle w:val="ListParagraph"/>
        <w:numPr>
          <w:ilvl w:val="0"/>
          <w:numId w:val="7"/>
        </w:numPr>
        <w:spacing w:line="360" w:lineRule="auto"/>
        <w:ind w:left="1440" w:hanging="720"/>
        <w:rPr>
          <w:b/>
          <w:bCs/>
          <w:sz w:val="26"/>
          <w:szCs w:val="26"/>
        </w:rPr>
      </w:pPr>
      <w:r w:rsidRPr="00C1703A">
        <w:rPr>
          <w:b/>
          <w:bCs/>
          <w:sz w:val="26"/>
          <w:szCs w:val="26"/>
        </w:rPr>
        <w:t>Administrative Due Process and Waiver of Hearing</w:t>
      </w:r>
    </w:p>
    <w:p w14:paraId="0170C53B" w14:textId="77777777" w:rsidR="00C84430" w:rsidRPr="00093AB3" w:rsidRDefault="00C84430" w:rsidP="00F47C62">
      <w:pPr>
        <w:spacing w:line="360" w:lineRule="auto"/>
        <w:rPr>
          <w:sz w:val="26"/>
          <w:szCs w:val="26"/>
        </w:rPr>
      </w:pPr>
    </w:p>
    <w:p w14:paraId="5E4B1790" w14:textId="1E908B8D" w:rsidR="00D22BC2" w:rsidRPr="00592B75" w:rsidRDefault="00D22BC2" w:rsidP="00D22BC2">
      <w:pPr>
        <w:spacing w:line="360" w:lineRule="auto"/>
        <w:ind w:firstLine="1440"/>
        <w:rPr>
          <w:sz w:val="26"/>
          <w:szCs w:val="26"/>
        </w:rPr>
      </w:pPr>
      <w:r w:rsidRPr="00093AB3">
        <w:rPr>
          <w:sz w:val="26"/>
          <w:szCs w:val="26"/>
        </w:rPr>
        <w:t>As an administrative agency of the Commonwealth, the Commission is required to provide due process to the parties appearing before it.</w:t>
      </w:r>
      <w:r>
        <w:rPr>
          <w:sz w:val="26"/>
          <w:szCs w:val="26"/>
        </w:rPr>
        <w:t xml:space="preserve">  </w:t>
      </w:r>
      <w:proofErr w:type="spellStart"/>
      <w:r w:rsidR="00F47C62" w:rsidRPr="001D1F3F">
        <w:rPr>
          <w:i/>
          <w:iCs/>
          <w:sz w:val="26"/>
          <w:szCs w:val="26"/>
        </w:rPr>
        <w:t>Atuahene</w:t>
      </w:r>
      <w:proofErr w:type="spellEnd"/>
      <w:r w:rsidR="00F47C62">
        <w:rPr>
          <w:sz w:val="26"/>
          <w:szCs w:val="26"/>
        </w:rPr>
        <w:t xml:space="preserve">; </w:t>
      </w:r>
      <w:r w:rsidR="00F47C62">
        <w:rPr>
          <w:i/>
          <w:iCs/>
          <w:sz w:val="26"/>
          <w:szCs w:val="26"/>
        </w:rPr>
        <w:t xml:space="preserve">also </w:t>
      </w:r>
      <w:r>
        <w:rPr>
          <w:i/>
          <w:iCs/>
          <w:sz w:val="26"/>
          <w:szCs w:val="26"/>
        </w:rPr>
        <w:t>Shawn Mathis v. PECO Energy Co.</w:t>
      </w:r>
      <w:r>
        <w:rPr>
          <w:sz w:val="26"/>
          <w:szCs w:val="26"/>
        </w:rPr>
        <w:t xml:space="preserve">, Docket </w:t>
      </w:r>
      <w:r w:rsidRPr="00D22BC2">
        <w:rPr>
          <w:sz w:val="26"/>
          <w:szCs w:val="26"/>
        </w:rPr>
        <w:t>No. C-2018-3001616</w:t>
      </w:r>
      <w:r>
        <w:rPr>
          <w:sz w:val="26"/>
          <w:szCs w:val="26"/>
        </w:rPr>
        <w:t xml:space="preserve"> (Order entered February 28, 2019) (</w:t>
      </w:r>
      <w:r>
        <w:rPr>
          <w:i/>
          <w:iCs/>
          <w:sz w:val="26"/>
          <w:szCs w:val="26"/>
        </w:rPr>
        <w:t>Mathis</w:t>
      </w:r>
      <w:r>
        <w:rPr>
          <w:sz w:val="26"/>
          <w:szCs w:val="26"/>
        </w:rPr>
        <w:t>), citing</w:t>
      </w:r>
      <w:r w:rsidRPr="00093AB3">
        <w:rPr>
          <w:sz w:val="26"/>
          <w:szCs w:val="26"/>
        </w:rPr>
        <w:t xml:space="preserve"> </w:t>
      </w:r>
      <w:hyperlink r:id="rId9" w:anchor="co_pp_sp_162_15" w:history="1">
        <w:r w:rsidRPr="00093AB3">
          <w:rPr>
            <w:i/>
            <w:iCs/>
            <w:sz w:val="26"/>
            <w:szCs w:val="26"/>
          </w:rPr>
          <w:t>Schneider v. Pa. PUC</w:t>
        </w:r>
        <w:r w:rsidRPr="00FA0580">
          <w:rPr>
            <w:sz w:val="26"/>
            <w:szCs w:val="26"/>
          </w:rPr>
          <w:t>,</w:t>
        </w:r>
        <w:r w:rsidRPr="00093AB3">
          <w:rPr>
            <w:sz w:val="26"/>
            <w:szCs w:val="26"/>
          </w:rPr>
          <w:t xml:space="preserve"> 479 A.2d 10, 15 (Pa. </w:t>
        </w:r>
        <w:proofErr w:type="spellStart"/>
        <w:r w:rsidRPr="00093AB3">
          <w:rPr>
            <w:sz w:val="26"/>
            <w:szCs w:val="26"/>
          </w:rPr>
          <w:t>Cmwlth</w:t>
        </w:r>
        <w:proofErr w:type="spellEnd"/>
        <w:r w:rsidRPr="00093AB3">
          <w:rPr>
            <w:sz w:val="26"/>
            <w:szCs w:val="26"/>
          </w:rPr>
          <w:t>. 1984)</w:t>
        </w:r>
      </w:hyperlink>
      <w:r w:rsidRPr="00093AB3">
        <w:rPr>
          <w:sz w:val="26"/>
          <w:szCs w:val="26"/>
        </w:rPr>
        <w:t xml:space="preserve">, citing </w:t>
      </w:r>
      <w:hyperlink r:id="rId10" w:history="1">
        <w:proofErr w:type="spellStart"/>
        <w:r w:rsidRPr="00093AB3">
          <w:rPr>
            <w:i/>
            <w:iCs/>
            <w:sz w:val="26"/>
            <w:szCs w:val="26"/>
          </w:rPr>
          <w:t>Fusaro</w:t>
        </w:r>
        <w:proofErr w:type="spellEnd"/>
        <w:r w:rsidRPr="00093AB3">
          <w:rPr>
            <w:i/>
            <w:iCs/>
            <w:sz w:val="26"/>
            <w:szCs w:val="26"/>
          </w:rPr>
          <w:t xml:space="preserve"> v. Pa. PUC</w:t>
        </w:r>
        <w:r w:rsidRPr="00FA0580">
          <w:rPr>
            <w:sz w:val="26"/>
            <w:szCs w:val="26"/>
          </w:rPr>
          <w:t xml:space="preserve">, </w:t>
        </w:r>
        <w:r w:rsidRPr="00093AB3">
          <w:rPr>
            <w:sz w:val="26"/>
            <w:szCs w:val="26"/>
          </w:rPr>
          <w:t xml:space="preserve">382 A.2d 794 (Pa. </w:t>
        </w:r>
        <w:proofErr w:type="spellStart"/>
        <w:r w:rsidRPr="00093AB3">
          <w:rPr>
            <w:sz w:val="26"/>
            <w:szCs w:val="26"/>
          </w:rPr>
          <w:t>Cmwlth</w:t>
        </w:r>
        <w:proofErr w:type="spellEnd"/>
        <w:r w:rsidRPr="00093AB3">
          <w:rPr>
            <w:sz w:val="26"/>
            <w:szCs w:val="26"/>
          </w:rPr>
          <w:t>. 1978)</w:t>
        </w:r>
      </w:hyperlink>
      <w:r w:rsidRPr="00093AB3">
        <w:rPr>
          <w:sz w:val="26"/>
          <w:szCs w:val="26"/>
        </w:rPr>
        <w:t xml:space="preserve">. </w:t>
      </w:r>
      <w:r>
        <w:rPr>
          <w:sz w:val="26"/>
          <w:szCs w:val="26"/>
        </w:rPr>
        <w:t xml:space="preserve"> </w:t>
      </w:r>
      <w:r w:rsidRPr="00093AB3">
        <w:rPr>
          <w:sz w:val="26"/>
          <w:szCs w:val="26"/>
        </w:rPr>
        <w:t>Due process is satisfied when the parties are afforded notice and the opportunity to appear and be heard.</w:t>
      </w:r>
      <w:r>
        <w:rPr>
          <w:sz w:val="26"/>
          <w:szCs w:val="26"/>
        </w:rPr>
        <w:t xml:space="preserve">  </w:t>
      </w:r>
      <w:r>
        <w:rPr>
          <w:i/>
          <w:iCs/>
          <w:sz w:val="26"/>
          <w:szCs w:val="26"/>
        </w:rPr>
        <w:t>Id</w:t>
      </w:r>
      <w:r>
        <w:rPr>
          <w:sz w:val="26"/>
          <w:szCs w:val="26"/>
        </w:rPr>
        <w:t>., citing</w:t>
      </w:r>
      <w:r w:rsidRPr="00093AB3">
        <w:rPr>
          <w:sz w:val="26"/>
          <w:szCs w:val="26"/>
        </w:rPr>
        <w:t xml:space="preserve"> </w:t>
      </w:r>
      <w:hyperlink r:id="rId11" w:anchor="co_pp_sp_162_15" w:history="1">
        <w:r w:rsidRPr="00592B75">
          <w:rPr>
            <w:i/>
            <w:iCs/>
            <w:sz w:val="26"/>
            <w:szCs w:val="26"/>
          </w:rPr>
          <w:t>Schneider v. Pa. PUC</w:t>
        </w:r>
        <w:r w:rsidRPr="00592B75">
          <w:rPr>
            <w:sz w:val="26"/>
            <w:szCs w:val="26"/>
          </w:rPr>
          <w:t xml:space="preserve">, </w:t>
        </w:r>
      </w:hyperlink>
      <w:r w:rsidRPr="00592B75">
        <w:rPr>
          <w:i/>
          <w:iCs/>
          <w:sz w:val="26"/>
          <w:szCs w:val="26"/>
        </w:rPr>
        <w:t>supra</w:t>
      </w:r>
      <w:r w:rsidRPr="00592B75">
        <w:rPr>
          <w:sz w:val="26"/>
          <w:szCs w:val="26"/>
        </w:rPr>
        <w:t xml:space="preserve">, citing </w:t>
      </w:r>
      <w:hyperlink r:id="rId12" w:history="1">
        <w:r w:rsidRPr="00592B75">
          <w:rPr>
            <w:i/>
            <w:iCs/>
            <w:sz w:val="26"/>
            <w:szCs w:val="26"/>
          </w:rPr>
          <w:t>Township of Middleton v. The Institute District of the County of Delaware</w:t>
        </w:r>
        <w:r w:rsidRPr="00592B75">
          <w:rPr>
            <w:sz w:val="26"/>
            <w:szCs w:val="26"/>
          </w:rPr>
          <w:t xml:space="preserve">, 293 A.2d 885 (Pa. </w:t>
        </w:r>
        <w:proofErr w:type="spellStart"/>
        <w:r w:rsidRPr="00592B75">
          <w:rPr>
            <w:sz w:val="26"/>
            <w:szCs w:val="26"/>
          </w:rPr>
          <w:t>Cmwlth</w:t>
        </w:r>
        <w:proofErr w:type="spellEnd"/>
        <w:r w:rsidRPr="00592B75">
          <w:rPr>
            <w:sz w:val="26"/>
            <w:szCs w:val="26"/>
          </w:rPr>
          <w:t>. 1972)</w:t>
        </w:r>
      </w:hyperlink>
      <w:r w:rsidRPr="00592B75">
        <w:rPr>
          <w:sz w:val="26"/>
          <w:szCs w:val="26"/>
        </w:rPr>
        <w:t xml:space="preserve">, </w:t>
      </w:r>
      <w:r w:rsidRPr="00592B75">
        <w:rPr>
          <w:i/>
          <w:iCs/>
          <w:sz w:val="26"/>
          <w:szCs w:val="26"/>
        </w:rPr>
        <w:t>aff</w:t>
      </w:r>
      <w:r w:rsidR="00592B75" w:rsidRPr="00592B75">
        <w:rPr>
          <w:i/>
          <w:iCs/>
          <w:sz w:val="26"/>
          <w:szCs w:val="26"/>
        </w:rPr>
        <w:t>’</w:t>
      </w:r>
      <w:r w:rsidRPr="00592B75">
        <w:rPr>
          <w:i/>
          <w:iCs/>
          <w:sz w:val="26"/>
          <w:szCs w:val="26"/>
        </w:rPr>
        <w:t>d</w:t>
      </w:r>
      <w:r w:rsidR="00FA0580" w:rsidRPr="00592B75">
        <w:rPr>
          <w:sz w:val="26"/>
          <w:szCs w:val="26"/>
        </w:rPr>
        <w:t xml:space="preserve">, </w:t>
      </w:r>
      <w:r w:rsidRPr="00592B75">
        <w:rPr>
          <w:sz w:val="26"/>
          <w:szCs w:val="26"/>
        </w:rPr>
        <w:t>299 A.2d 599 (</w:t>
      </w:r>
      <w:r w:rsidR="000A4AAA" w:rsidRPr="00592B75">
        <w:rPr>
          <w:sz w:val="26"/>
          <w:szCs w:val="26"/>
        </w:rPr>
        <w:t xml:space="preserve">Pa. </w:t>
      </w:r>
      <w:r w:rsidRPr="00592B75">
        <w:rPr>
          <w:sz w:val="26"/>
          <w:szCs w:val="26"/>
        </w:rPr>
        <w:t>1973).</w:t>
      </w:r>
    </w:p>
    <w:p w14:paraId="01D3D2D3" w14:textId="77777777" w:rsidR="00D22BC2" w:rsidRPr="00592B75" w:rsidRDefault="00D22BC2" w:rsidP="00D22BC2">
      <w:pPr>
        <w:spacing w:line="360" w:lineRule="auto"/>
        <w:ind w:firstLine="1440"/>
        <w:rPr>
          <w:sz w:val="26"/>
          <w:szCs w:val="26"/>
        </w:rPr>
      </w:pPr>
    </w:p>
    <w:p w14:paraId="364B899F" w14:textId="77777777" w:rsidR="00CE5D90" w:rsidRPr="00592B75" w:rsidRDefault="009A71B7" w:rsidP="008A12A6">
      <w:pPr>
        <w:widowControl/>
        <w:spacing w:line="360" w:lineRule="auto"/>
        <w:ind w:firstLine="1440"/>
        <w:rPr>
          <w:sz w:val="26"/>
          <w:szCs w:val="26"/>
        </w:rPr>
      </w:pPr>
      <w:r w:rsidRPr="00592B75">
        <w:rPr>
          <w:sz w:val="26"/>
          <w:szCs w:val="26"/>
        </w:rPr>
        <w:t xml:space="preserve">The Commission is required to fix the time and place of a hearing in a complaint proceeding and to serve notice thereof upon the parties in interest. </w:t>
      </w:r>
      <w:r w:rsidR="002818F9" w:rsidRPr="00592B75">
        <w:rPr>
          <w:sz w:val="26"/>
          <w:szCs w:val="26"/>
        </w:rPr>
        <w:t xml:space="preserve"> </w:t>
      </w:r>
      <w:r w:rsidRPr="00592B75">
        <w:rPr>
          <w:i/>
          <w:iCs/>
          <w:sz w:val="26"/>
          <w:szCs w:val="26"/>
        </w:rPr>
        <w:t>See</w:t>
      </w:r>
      <w:r w:rsidR="001F5C00" w:rsidRPr="00592B75">
        <w:rPr>
          <w:sz w:val="26"/>
          <w:szCs w:val="26"/>
        </w:rPr>
        <w:t>,</w:t>
      </w:r>
      <w:r w:rsidRPr="00592B75">
        <w:rPr>
          <w:sz w:val="26"/>
          <w:szCs w:val="26"/>
        </w:rPr>
        <w:t xml:space="preserve"> </w:t>
      </w:r>
    </w:p>
    <w:p w14:paraId="0AEB6F9C" w14:textId="28BA9912" w:rsidR="009A71B7" w:rsidRPr="00592B75" w:rsidRDefault="009D5369" w:rsidP="00CE5D90">
      <w:pPr>
        <w:widowControl/>
        <w:spacing w:line="360" w:lineRule="auto"/>
        <w:rPr>
          <w:sz w:val="26"/>
          <w:szCs w:val="26"/>
        </w:rPr>
      </w:pPr>
      <w:hyperlink r:id="rId13" w:history="1">
        <w:r w:rsidR="009A71B7" w:rsidRPr="00592B75">
          <w:rPr>
            <w:sz w:val="26"/>
            <w:szCs w:val="26"/>
          </w:rPr>
          <w:t>66 Pa.</w:t>
        </w:r>
        <w:r w:rsidR="00B84C31" w:rsidRPr="00592B75">
          <w:rPr>
            <w:sz w:val="26"/>
            <w:szCs w:val="26"/>
          </w:rPr>
          <w:t xml:space="preserve"> </w:t>
        </w:r>
        <w:r w:rsidR="009A71B7" w:rsidRPr="00592B75">
          <w:rPr>
            <w:sz w:val="26"/>
            <w:szCs w:val="26"/>
          </w:rPr>
          <w:t>C.S. § 703(a)-(b)</w:t>
        </w:r>
      </w:hyperlink>
      <w:r w:rsidR="009A71B7" w:rsidRPr="00592B75">
        <w:rPr>
          <w:sz w:val="26"/>
          <w:szCs w:val="26"/>
        </w:rPr>
        <w:t xml:space="preserve">. </w:t>
      </w:r>
      <w:r w:rsidR="00662B28" w:rsidRPr="00592B75">
        <w:rPr>
          <w:sz w:val="26"/>
          <w:szCs w:val="26"/>
        </w:rPr>
        <w:t xml:space="preserve"> </w:t>
      </w:r>
      <w:r w:rsidR="009A71B7" w:rsidRPr="00592B75">
        <w:rPr>
          <w:sz w:val="26"/>
          <w:szCs w:val="26"/>
        </w:rPr>
        <w:t xml:space="preserve">Service on interested persons is </w:t>
      </w:r>
      <w:r w:rsidR="00345C31" w:rsidRPr="00592B75">
        <w:rPr>
          <w:sz w:val="26"/>
          <w:szCs w:val="26"/>
        </w:rPr>
        <w:t xml:space="preserve">deemed </w:t>
      </w:r>
      <w:r w:rsidR="009A71B7" w:rsidRPr="00592B75">
        <w:rPr>
          <w:sz w:val="26"/>
          <w:szCs w:val="26"/>
        </w:rPr>
        <w:t xml:space="preserve">sufficient to provide notice. </w:t>
      </w:r>
      <w:r w:rsidR="00662B28" w:rsidRPr="00592B75">
        <w:rPr>
          <w:sz w:val="26"/>
          <w:szCs w:val="26"/>
        </w:rPr>
        <w:t xml:space="preserve"> </w:t>
      </w:r>
      <w:hyperlink r:id="rId14" w:history="1">
        <w:r w:rsidR="009A71B7" w:rsidRPr="00592B75">
          <w:rPr>
            <w:sz w:val="26"/>
            <w:szCs w:val="26"/>
          </w:rPr>
          <w:t>52</w:t>
        </w:r>
        <w:r w:rsidR="008A12A6" w:rsidRPr="00592B75">
          <w:rPr>
            <w:sz w:val="26"/>
            <w:szCs w:val="26"/>
          </w:rPr>
          <w:t> </w:t>
        </w:r>
        <w:r w:rsidR="009A71B7" w:rsidRPr="00592B75">
          <w:rPr>
            <w:sz w:val="26"/>
            <w:szCs w:val="26"/>
          </w:rPr>
          <w:t>Pa.</w:t>
        </w:r>
        <w:r w:rsidR="008A12A6" w:rsidRPr="00592B75">
          <w:rPr>
            <w:sz w:val="26"/>
            <w:szCs w:val="26"/>
          </w:rPr>
          <w:t> </w:t>
        </w:r>
        <w:r w:rsidR="009A71B7" w:rsidRPr="00592B75">
          <w:rPr>
            <w:sz w:val="26"/>
            <w:szCs w:val="26"/>
          </w:rPr>
          <w:t>Code § 5.201(a)</w:t>
        </w:r>
      </w:hyperlink>
      <w:r w:rsidR="009A71B7" w:rsidRPr="00592B75">
        <w:rPr>
          <w:sz w:val="26"/>
          <w:szCs w:val="26"/>
        </w:rPr>
        <w:t>.</w:t>
      </w:r>
      <w:r w:rsidR="002818F9" w:rsidRPr="00592B75">
        <w:rPr>
          <w:rStyle w:val="FootnoteReference"/>
          <w:sz w:val="26"/>
          <w:szCs w:val="26"/>
        </w:rPr>
        <w:footnoteReference w:id="8"/>
      </w:r>
      <w:r w:rsidR="009A71B7" w:rsidRPr="00592B75">
        <w:rPr>
          <w:sz w:val="26"/>
          <w:szCs w:val="26"/>
        </w:rPr>
        <w:t xml:space="preserve"> </w:t>
      </w:r>
      <w:r w:rsidR="00662B28" w:rsidRPr="00592B75">
        <w:rPr>
          <w:sz w:val="26"/>
          <w:szCs w:val="26"/>
        </w:rPr>
        <w:t xml:space="preserve"> </w:t>
      </w:r>
    </w:p>
    <w:p w14:paraId="05256BCC" w14:textId="77777777" w:rsidR="009A71B7" w:rsidRPr="00592B75" w:rsidRDefault="009A71B7" w:rsidP="009A71B7">
      <w:pPr>
        <w:spacing w:line="360" w:lineRule="auto"/>
        <w:ind w:firstLine="1440"/>
        <w:rPr>
          <w:sz w:val="26"/>
          <w:szCs w:val="26"/>
        </w:rPr>
      </w:pPr>
    </w:p>
    <w:p w14:paraId="07A52676" w14:textId="77777777" w:rsidR="009A71B7" w:rsidRDefault="009A71B7" w:rsidP="00B84C31">
      <w:pPr>
        <w:widowControl/>
        <w:spacing w:line="360" w:lineRule="auto"/>
        <w:ind w:firstLine="1440"/>
        <w:rPr>
          <w:sz w:val="26"/>
          <w:szCs w:val="26"/>
        </w:rPr>
      </w:pPr>
      <w:r w:rsidRPr="00592B75">
        <w:rPr>
          <w:sz w:val="26"/>
          <w:szCs w:val="26"/>
        </w:rPr>
        <w:t xml:space="preserve">Once notice of a hearing and the opportunity to be heard have been provided by the Commission, it is the responsibility of the parties to appear and participate in the hearing. </w:t>
      </w:r>
      <w:r w:rsidR="00662B28" w:rsidRPr="00592B75">
        <w:rPr>
          <w:sz w:val="26"/>
          <w:szCs w:val="26"/>
        </w:rPr>
        <w:t xml:space="preserve"> </w:t>
      </w:r>
      <w:r w:rsidRPr="00592B75">
        <w:rPr>
          <w:i/>
          <w:iCs/>
          <w:sz w:val="26"/>
          <w:szCs w:val="26"/>
        </w:rPr>
        <w:t>Mu</w:t>
      </w:r>
      <w:r w:rsidRPr="00093AB3">
        <w:rPr>
          <w:i/>
          <w:iCs/>
          <w:sz w:val="26"/>
          <w:szCs w:val="26"/>
        </w:rPr>
        <w:t>mma v. PPL Electric Utilities Corporation</w:t>
      </w:r>
      <w:r w:rsidRPr="00FA0580">
        <w:rPr>
          <w:sz w:val="26"/>
          <w:szCs w:val="26"/>
        </w:rPr>
        <w:t xml:space="preserve">, </w:t>
      </w:r>
      <w:r w:rsidRPr="00093AB3">
        <w:rPr>
          <w:sz w:val="26"/>
          <w:szCs w:val="26"/>
        </w:rPr>
        <w:t xml:space="preserve">Docket No. </w:t>
      </w:r>
      <w:r w:rsidRPr="00093AB3">
        <w:rPr>
          <w:sz w:val="26"/>
          <w:szCs w:val="26"/>
        </w:rPr>
        <w:lastRenderedPageBreak/>
        <w:t>C</w:t>
      </w:r>
      <w:r w:rsidR="00FA0580">
        <w:rPr>
          <w:sz w:val="26"/>
          <w:szCs w:val="26"/>
        </w:rPr>
        <w:noBreakHyphen/>
      </w:r>
      <w:r w:rsidRPr="00093AB3">
        <w:rPr>
          <w:sz w:val="26"/>
          <w:szCs w:val="26"/>
        </w:rPr>
        <w:t>00014869 (Order entered January 24, 2002) (</w:t>
      </w:r>
      <w:r w:rsidRPr="00093AB3">
        <w:rPr>
          <w:i/>
          <w:iCs/>
          <w:sz w:val="26"/>
          <w:szCs w:val="26"/>
        </w:rPr>
        <w:t>Mumma</w:t>
      </w:r>
      <w:r w:rsidRPr="00093AB3">
        <w:rPr>
          <w:sz w:val="26"/>
          <w:szCs w:val="26"/>
        </w:rPr>
        <w:t xml:space="preserve">); </w:t>
      </w:r>
      <w:proofErr w:type="spellStart"/>
      <w:r w:rsidRPr="00093AB3">
        <w:rPr>
          <w:i/>
          <w:iCs/>
          <w:sz w:val="26"/>
          <w:szCs w:val="26"/>
        </w:rPr>
        <w:t>Sentner</w:t>
      </w:r>
      <w:proofErr w:type="spellEnd"/>
      <w:r w:rsidRPr="00093AB3">
        <w:rPr>
          <w:i/>
          <w:iCs/>
          <w:sz w:val="26"/>
          <w:szCs w:val="26"/>
        </w:rPr>
        <w:t xml:space="preserve"> v. Bell Tel. Co. of PA</w:t>
      </w:r>
      <w:r w:rsidRPr="00FA0580">
        <w:rPr>
          <w:sz w:val="26"/>
          <w:szCs w:val="26"/>
        </w:rPr>
        <w:t xml:space="preserve">, </w:t>
      </w:r>
      <w:r w:rsidRPr="00093AB3">
        <w:rPr>
          <w:sz w:val="26"/>
          <w:szCs w:val="26"/>
        </w:rPr>
        <w:t>Docket No. F-00161106 (Order entered October 25, 1993) (</w:t>
      </w:r>
      <w:proofErr w:type="spellStart"/>
      <w:r w:rsidRPr="00093AB3">
        <w:rPr>
          <w:i/>
          <w:iCs/>
          <w:sz w:val="26"/>
          <w:szCs w:val="26"/>
        </w:rPr>
        <w:t>Sentner</w:t>
      </w:r>
      <w:proofErr w:type="spellEnd"/>
      <w:r w:rsidRPr="00093AB3">
        <w:rPr>
          <w:sz w:val="26"/>
          <w:szCs w:val="26"/>
        </w:rPr>
        <w:t>).</w:t>
      </w:r>
    </w:p>
    <w:p w14:paraId="65C13CEE" w14:textId="77777777" w:rsidR="009A71B7" w:rsidRPr="00093AB3" w:rsidRDefault="009A71B7" w:rsidP="009A71B7">
      <w:pPr>
        <w:spacing w:line="360" w:lineRule="auto"/>
        <w:ind w:firstLine="1440"/>
        <w:rPr>
          <w:sz w:val="26"/>
          <w:szCs w:val="26"/>
        </w:rPr>
      </w:pPr>
    </w:p>
    <w:p w14:paraId="414B5BEA" w14:textId="77777777" w:rsidR="009A71B7" w:rsidRDefault="00662B28" w:rsidP="009A71B7">
      <w:pPr>
        <w:spacing w:line="360" w:lineRule="auto"/>
        <w:ind w:firstLine="1440"/>
        <w:rPr>
          <w:sz w:val="26"/>
          <w:szCs w:val="26"/>
          <w:vertAlign w:val="superscript"/>
        </w:rPr>
      </w:pPr>
      <w:r w:rsidRPr="00592B75">
        <w:rPr>
          <w:sz w:val="26"/>
          <w:szCs w:val="26"/>
        </w:rPr>
        <w:t xml:space="preserve">Parties </w:t>
      </w:r>
      <w:r w:rsidR="009A71B7" w:rsidRPr="00592B75">
        <w:rPr>
          <w:sz w:val="26"/>
          <w:szCs w:val="26"/>
        </w:rPr>
        <w:t>to a proceeding h</w:t>
      </w:r>
      <w:r w:rsidRPr="00592B75">
        <w:rPr>
          <w:sz w:val="26"/>
          <w:szCs w:val="26"/>
        </w:rPr>
        <w:t>ave</w:t>
      </w:r>
      <w:r w:rsidR="009A71B7" w:rsidRPr="00592B75">
        <w:rPr>
          <w:sz w:val="26"/>
          <w:szCs w:val="26"/>
        </w:rPr>
        <w:t xml:space="preserve"> the right to request a continuance of the hearing, which </w:t>
      </w:r>
      <w:r w:rsidRPr="00592B75">
        <w:rPr>
          <w:sz w:val="26"/>
          <w:szCs w:val="26"/>
        </w:rPr>
        <w:t xml:space="preserve">request </w:t>
      </w:r>
      <w:r w:rsidR="009A71B7" w:rsidRPr="00592B75">
        <w:rPr>
          <w:sz w:val="26"/>
          <w:szCs w:val="26"/>
        </w:rPr>
        <w:t xml:space="preserve">may be granted by the presiding officer for “good cause.” </w:t>
      </w:r>
      <w:r w:rsidRPr="00592B75">
        <w:rPr>
          <w:sz w:val="26"/>
          <w:szCs w:val="26"/>
        </w:rPr>
        <w:t xml:space="preserve"> </w:t>
      </w:r>
      <w:r w:rsidR="009A71B7" w:rsidRPr="00592B75">
        <w:rPr>
          <w:i/>
          <w:iCs/>
          <w:sz w:val="26"/>
          <w:szCs w:val="26"/>
        </w:rPr>
        <w:t>See</w:t>
      </w:r>
      <w:r w:rsidR="009A71B7" w:rsidRPr="00592B75">
        <w:rPr>
          <w:sz w:val="26"/>
          <w:szCs w:val="26"/>
        </w:rPr>
        <w:t xml:space="preserve"> </w:t>
      </w:r>
      <w:hyperlink r:id="rId15" w:history="1">
        <w:r w:rsidR="009A71B7" w:rsidRPr="00592B75">
          <w:rPr>
            <w:sz w:val="26"/>
            <w:szCs w:val="26"/>
          </w:rPr>
          <w:t>52</w:t>
        </w:r>
        <w:r w:rsidR="003E7698" w:rsidRPr="00592B75">
          <w:rPr>
            <w:sz w:val="26"/>
            <w:szCs w:val="26"/>
          </w:rPr>
          <w:t> </w:t>
        </w:r>
        <w:r w:rsidR="009A71B7" w:rsidRPr="00592B75">
          <w:rPr>
            <w:sz w:val="26"/>
            <w:szCs w:val="26"/>
          </w:rPr>
          <w:t>Pa. Code § 1.15(b)</w:t>
        </w:r>
      </w:hyperlink>
      <w:r w:rsidR="009A71B7" w:rsidRPr="00592B75">
        <w:rPr>
          <w:sz w:val="26"/>
          <w:szCs w:val="26"/>
        </w:rPr>
        <w:t xml:space="preserve">. </w:t>
      </w:r>
      <w:r w:rsidRPr="00592B75">
        <w:rPr>
          <w:sz w:val="26"/>
          <w:szCs w:val="26"/>
        </w:rPr>
        <w:t xml:space="preserve"> </w:t>
      </w:r>
      <w:r w:rsidR="009A71B7" w:rsidRPr="00592B75">
        <w:rPr>
          <w:sz w:val="26"/>
          <w:szCs w:val="26"/>
        </w:rPr>
        <w:t xml:space="preserve">Pursuant to Commission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00405C4E" w:rsidRPr="00592B75">
        <w:rPr>
          <w:sz w:val="26"/>
          <w:szCs w:val="26"/>
        </w:rPr>
        <w:t xml:space="preserve"> </w:t>
      </w:r>
      <w:r w:rsidR="009A71B7" w:rsidRPr="00592B75">
        <w:rPr>
          <w:i/>
          <w:iCs/>
          <w:sz w:val="26"/>
          <w:szCs w:val="26"/>
        </w:rPr>
        <w:t>Id.</w:t>
      </w:r>
      <w:r w:rsidR="009A71B7" w:rsidRPr="00592B75">
        <w:rPr>
          <w:sz w:val="26"/>
          <w:szCs w:val="26"/>
        </w:rPr>
        <w:t xml:space="preserve"> </w:t>
      </w:r>
      <w:r w:rsidRPr="00592B75">
        <w:rPr>
          <w:sz w:val="26"/>
          <w:szCs w:val="26"/>
        </w:rPr>
        <w:t xml:space="preserve"> </w:t>
      </w:r>
      <w:r w:rsidR="009A71B7" w:rsidRPr="00592B75">
        <w:rPr>
          <w:sz w:val="26"/>
          <w:szCs w:val="26"/>
        </w:rPr>
        <w:t xml:space="preserve">When “good cause” is shown for a continuance, the Commission has acknowledged that the public interest is better served when all litigants, particularly </w:t>
      </w:r>
      <w:r w:rsidR="009A71B7" w:rsidRPr="00592B75">
        <w:rPr>
          <w:i/>
          <w:iCs/>
          <w:sz w:val="26"/>
          <w:szCs w:val="26"/>
        </w:rPr>
        <w:t>pro se</w:t>
      </w:r>
      <w:r w:rsidR="009A71B7" w:rsidRPr="00592B75">
        <w:rPr>
          <w:sz w:val="26"/>
          <w:szCs w:val="26"/>
        </w:rPr>
        <w:t xml:space="preserve"> litigants, are afforded a meaningful opportunity to be heard. </w:t>
      </w:r>
      <w:r w:rsidRPr="00592B75">
        <w:rPr>
          <w:sz w:val="26"/>
          <w:szCs w:val="26"/>
        </w:rPr>
        <w:t xml:space="preserve"> </w:t>
      </w:r>
      <w:r w:rsidR="009A71B7" w:rsidRPr="00592B75">
        <w:rPr>
          <w:i/>
          <w:iCs/>
          <w:sz w:val="26"/>
          <w:szCs w:val="26"/>
        </w:rPr>
        <w:t>See e.g. Laurie Loucks v. Metropolitan Edison Company</w:t>
      </w:r>
      <w:r w:rsidR="009A71B7" w:rsidRPr="00592B75">
        <w:rPr>
          <w:sz w:val="26"/>
          <w:szCs w:val="26"/>
        </w:rPr>
        <w:t>, Docket No. C-2017-2619974 (Order</w:t>
      </w:r>
      <w:r w:rsidR="009A71B7" w:rsidRPr="00093AB3">
        <w:rPr>
          <w:sz w:val="26"/>
          <w:szCs w:val="26"/>
        </w:rPr>
        <w:t xml:space="preserve"> entered May 16, 2018).</w:t>
      </w:r>
      <w:r>
        <w:rPr>
          <w:sz w:val="26"/>
          <w:szCs w:val="26"/>
          <w:vertAlign w:val="superscript"/>
        </w:rPr>
        <w:t xml:space="preserve"> </w:t>
      </w:r>
    </w:p>
    <w:p w14:paraId="0311F79A" w14:textId="77777777" w:rsidR="009A71B7" w:rsidRPr="00093AB3" w:rsidRDefault="009A71B7" w:rsidP="009A71B7">
      <w:pPr>
        <w:spacing w:line="360" w:lineRule="auto"/>
        <w:ind w:firstLine="1440"/>
        <w:rPr>
          <w:sz w:val="26"/>
          <w:szCs w:val="26"/>
        </w:rPr>
      </w:pPr>
    </w:p>
    <w:p w14:paraId="63548F62" w14:textId="68C785E6" w:rsidR="009A71B7" w:rsidRPr="00093AB3" w:rsidRDefault="009A71B7" w:rsidP="009A71B7">
      <w:pPr>
        <w:spacing w:line="360" w:lineRule="auto"/>
        <w:ind w:firstLine="1440"/>
        <w:rPr>
          <w:sz w:val="26"/>
          <w:szCs w:val="26"/>
        </w:rPr>
      </w:pPr>
      <w:r w:rsidRPr="00093AB3">
        <w:rPr>
          <w:sz w:val="26"/>
          <w:szCs w:val="26"/>
        </w:rPr>
        <w:t>If a party fails to attend a scheduled hearing, such failure to appear will be deemed a waiver of the party</w:t>
      </w:r>
      <w:r w:rsidR="00662B28">
        <w:rPr>
          <w:sz w:val="26"/>
          <w:szCs w:val="26"/>
        </w:rPr>
        <w:t>’</w:t>
      </w:r>
      <w:r w:rsidRPr="00093AB3">
        <w:rPr>
          <w:sz w:val="26"/>
          <w:szCs w:val="26"/>
        </w:rPr>
        <w:t xml:space="preserve">s opportunity to participate in a hearing, unless the presiding officer determines that such failure was “unavoidable” and that the interests of the other parties and of the public would not be “prejudiced” by permitting such reopening or further examination. </w:t>
      </w:r>
      <w:r w:rsidR="00662B28">
        <w:rPr>
          <w:sz w:val="26"/>
          <w:szCs w:val="26"/>
        </w:rPr>
        <w:t xml:space="preserve"> </w:t>
      </w:r>
      <w:hyperlink r:id="rId16" w:history="1">
        <w:r w:rsidRPr="00093AB3">
          <w:rPr>
            <w:sz w:val="26"/>
            <w:szCs w:val="26"/>
          </w:rPr>
          <w:t>66 Pa</w:t>
        </w:r>
        <w:r w:rsidR="002F7D38">
          <w:rPr>
            <w:sz w:val="26"/>
            <w:szCs w:val="26"/>
          </w:rPr>
          <w:t>.</w:t>
        </w:r>
        <w:r w:rsidR="00592B75">
          <w:rPr>
            <w:sz w:val="26"/>
            <w:szCs w:val="26"/>
          </w:rPr>
          <w:t xml:space="preserve"> </w:t>
        </w:r>
        <w:r w:rsidRPr="00093AB3">
          <w:rPr>
            <w:sz w:val="26"/>
            <w:szCs w:val="26"/>
          </w:rPr>
          <w:t>C.S. § 332(f)</w:t>
        </w:r>
      </w:hyperlink>
      <w:r w:rsidRPr="00093AB3">
        <w:rPr>
          <w:sz w:val="26"/>
          <w:szCs w:val="26"/>
        </w:rPr>
        <w:t xml:space="preserve">; </w:t>
      </w:r>
      <w:hyperlink r:id="rId17" w:history="1">
        <w:r w:rsidRPr="00093AB3">
          <w:rPr>
            <w:sz w:val="26"/>
            <w:szCs w:val="26"/>
          </w:rPr>
          <w:t>52 Pa. Code § 5.245(a)-(b)</w:t>
        </w:r>
      </w:hyperlink>
      <w:r w:rsidRPr="00093AB3">
        <w:rPr>
          <w:sz w:val="26"/>
          <w:szCs w:val="26"/>
        </w:rPr>
        <w:t>.</w:t>
      </w:r>
    </w:p>
    <w:p w14:paraId="3E0D8489" w14:textId="77777777" w:rsidR="00D22BC2" w:rsidRPr="00093AB3" w:rsidRDefault="00D22BC2" w:rsidP="007E5079">
      <w:pPr>
        <w:spacing w:line="360" w:lineRule="auto"/>
        <w:rPr>
          <w:sz w:val="26"/>
          <w:szCs w:val="26"/>
        </w:rPr>
      </w:pPr>
    </w:p>
    <w:p w14:paraId="27A255C3" w14:textId="1A8CCA97" w:rsidR="002C7F32" w:rsidRDefault="002C7F32" w:rsidP="002C7F32">
      <w:pPr>
        <w:spacing w:line="360" w:lineRule="auto"/>
        <w:ind w:firstLine="1440"/>
        <w:rPr>
          <w:sz w:val="26"/>
          <w:szCs w:val="26"/>
        </w:rPr>
      </w:pPr>
      <w:r>
        <w:rPr>
          <w:sz w:val="26"/>
          <w:szCs w:val="26"/>
        </w:rPr>
        <w:t>To</w:t>
      </w:r>
      <w:r w:rsidRPr="00093AB3">
        <w:rPr>
          <w:sz w:val="26"/>
          <w:szCs w:val="26"/>
        </w:rPr>
        <w:t xml:space="preserve"> meet the “unavoidable” standard, the Commission will require a complainant to show, with supporting information, that the failure to appear was due to exigent circumstances. </w:t>
      </w:r>
      <w:r w:rsidR="005C2694">
        <w:rPr>
          <w:sz w:val="26"/>
          <w:szCs w:val="26"/>
        </w:rPr>
        <w:t xml:space="preserve"> </w:t>
      </w:r>
      <w:r w:rsidR="004600E3">
        <w:rPr>
          <w:i/>
          <w:iCs/>
          <w:sz w:val="26"/>
          <w:szCs w:val="26"/>
        </w:rPr>
        <w:t>See</w:t>
      </w:r>
      <w:r w:rsidRPr="00093AB3">
        <w:rPr>
          <w:i/>
          <w:iCs/>
          <w:sz w:val="26"/>
          <w:szCs w:val="26"/>
        </w:rPr>
        <w:t xml:space="preserve"> e.g. El-</w:t>
      </w:r>
      <w:proofErr w:type="spellStart"/>
      <w:r w:rsidRPr="00093AB3">
        <w:rPr>
          <w:i/>
          <w:iCs/>
          <w:sz w:val="26"/>
          <w:szCs w:val="26"/>
        </w:rPr>
        <w:t>Ayazra</w:t>
      </w:r>
      <w:proofErr w:type="spellEnd"/>
      <w:r w:rsidRPr="00093AB3">
        <w:rPr>
          <w:i/>
          <w:iCs/>
          <w:sz w:val="26"/>
          <w:szCs w:val="26"/>
        </w:rPr>
        <w:t xml:space="preserve"> v. West Penn Power Company</w:t>
      </w:r>
      <w:r w:rsidRPr="00FA0580">
        <w:rPr>
          <w:sz w:val="26"/>
          <w:szCs w:val="26"/>
        </w:rPr>
        <w:t xml:space="preserve">, </w:t>
      </w:r>
      <w:r w:rsidRPr="00093AB3">
        <w:rPr>
          <w:sz w:val="26"/>
          <w:szCs w:val="26"/>
        </w:rPr>
        <w:t>Docket No. F</w:t>
      </w:r>
      <w:r w:rsidR="00B84C31">
        <w:rPr>
          <w:sz w:val="26"/>
          <w:szCs w:val="26"/>
        </w:rPr>
        <w:noBreakHyphen/>
      </w:r>
      <w:r w:rsidRPr="00093AB3">
        <w:rPr>
          <w:sz w:val="26"/>
          <w:szCs w:val="26"/>
        </w:rPr>
        <w:t>2015-2509292 (Order entered June 30, 2016) (</w:t>
      </w:r>
      <w:r w:rsidRPr="00093AB3">
        <w:rPr>
          <w:i/>
          <w:iCs/>
          <w:sz w:val="26"/>
          <w:szCs w:val="26"/>
        </w:rPr>
        <w:t>El-</w:t>
      </w:r>
      <w:proofErr w:type="spellStart"/>
      <w:r w:rsidRPr="00093AB3">
        <w:rPr>
          <w:i/>
          <w:iCs/>
          <w:sz w:val="26"/>
          <w:szCs w:val="26"/>
        </w:rPr>
        <w:t>Ayazra</w:t>
      </w:r>
      <w:proofErr w:type="spellEnd"/>
      <w:r w:rsidRPr="00093AB3">
        <w:rPr>
          <w:sz w:val="26"/>
          <w:szCs w:val="26"/>
        </w:rPr>
        <w:t>) (affirmed ALJ</w:t>
      </w:r>
      <w:r w:rsidR="00405C4E">
        <w:rPr>
          <w:sz w:val="26"/>
          <w:szCs w:val="26"/>
        </w:rPr>
        <w:t>’</w:t>
      </w:r>
      <w:r w:rsidRPr="00093AB3">
        <w:rPr>
          <w:sz w:val="26"/>
          <w:szCs w:val="26"/>
        </w:rPr>
        <w:t xml:space="preserve">s decision to dismiss complaint </w:t>
      </w:r>
      <w:r w:rsidRPr="00093AB3">
        <w:rPr>
          <w:i/>
          <w:iCs/>
          <w:sz w:val="26"/>
          <w:szCs w:val="26"/>
        </w:rPr>
        <w:t>with prejudice</w:t>
      </w:r>
      <w:r w:rsidRPr="00093AB3">
        <w:rPr>
          <w:sz w:val="26"/>
          <w:szCs w:val="26"/>
        </w:rPr>
        <w:t xml:space="preserve"> because the complainant failed to follow the call-in instructions for the telephonic hearing).</w:t>
      </w:r>
    </w:p>
    <w:p w14:paraId="19C0D316" w14:textId="77777777" w:rsidR="002C7F32" w:rsidRPr="00093AB3" w:rsidRDefault="002C7F32" w:rsidP="002C7F32">
      <w:pPr>
        <w:spacing w:line="360" w:lineRule="auto"/>
        <w:ind w:firstLine="1440"/>
        <w:rPr>
          <w:sz w:val="26"/>
          <w:szCs w:val="26"/>
        </w:rPr>
      </w:pPr>
    </w:p>
    <w:p w14:paraId="156EC424" w14:textId="77777777" w:rsidR="00C52FC0" w:rsidRDefault="00C52FC0" w:rsidP="00C52FC0">
      <w:pPr>
        <w:spacing w:line="360" w:lineRule="auto"/>
        <w:ind w:firstLine="1440"/>
        <w:rPr>
          <w:sz w:val="26"/>
          <w:szCs w:val="26"/>
        </w:rPr>
      </w:pPr>
      <w:r>
        <w:rPr>
          <w:sz w:val="26"/>
          <w:szCs w:val="26"/>
        </w:rPr>
        <w:t xml:space="preserve">A second basis for the </w:t>
      </w:r>
      <w:r w:rsidR="002C7F32" w:rsidRPr="00093AB3">
        <w:rPr>
          <w:sz w:val="26"/>
          <w:szCs w:val="26"/>
        </w:rPr>
        <w:t xml:space="preserve">exercise </w:t>
      </w:r>
      <w:r>
        <w:rPr>
          <w:sz w:val="26"/>
          <w:szCs w:val="26"/>
        </w:rPr>
        <w:t xml:space="preserve">of Commission </w:t>
      </w:r>
      <w:r w:rsidR="002C7F32" w:rsidRPr="00093AB3">
        <w:rPr>
          <w:sz w:val="26"/>
          <w:szCs w:val="26"/>
        </w:rPr>
        <w:t xml:space="preserve">discretion </w:t>
      </w:r>
      <w:r>
        <w:rPr>
          <w:sz w:val="26"/>
          <w:szCs w:val="26"/>
        </w:rPr>
        <w:t>to</w:t>
      </w:r>
      <w:r w:rsidR="002C7F32" w:rsidRPr="00093AB3">
        <w:rPr>
          <w:sz w:val="26"/>
          <w:szCs w:val="26"/>
        </w:rPr>
        <w:t xml:space="preserve"> excuse a complainant</w:t>
      </w:r>
      <w:r w:rsidR="00F4618F">
        <w:rPr>
          <w:sz w:val="26"/>
          <w:szCs w:val="26"/>
        </w:rPr>
        <w:t>’</w:t>
      </w:r>
      <w:r w:rsidR="002C7F32" w:rsidRPr="00093AB3">
        <w:rPr>
          <w:sz w:val="26"/>
          <w:szCs w:val="26"/>
        </w:rPr>
        <w:t>s failure to appear at a hearing</w:t>
      </w:r>
      <w:r>
        <w:rPr>
          <w:sz w:val="26"/>
          <w:szCs w:val="26"/>
        </w:rPr>
        <w:t xml:space="preserve"> will occur </w:t>
      </w:r>
      <w:r w:rsidR="002C7F32" w:rsidRPr="00093AB3">
        <w:rPr>
          <w:sz w:val="26"/>
          <w:szCs w:val="26"/>
        </w:rPr>
        <w:t xml:space="preserve">if the </w:t>
      </w:r>
      <w:r w:rsidRPr="00405C4E">
        <w:rPr>
          <w:i/>
          <w:iCs/>
          <w:sz w:val="26"/>
          <w:szCs w:val="26"/>
        </w:rPr>
        <w:t>pro se</w:t>
      </w:r>
      <w:r>
        <w:rPr>
          <w:sz w:val="26"/>
          <w:szCs w:val="26"/>
        </w:rPr>
        <w:t xml:space="preserve"> </w:t>
      </w:r>
      <w:r w:rsidR="002C7F32" w:rsidRPr="00093AB3">
        <w:rPr>
          <w:sz w:val="26"/>
          <w:szCs w:val="26"/>
        </w:rPr>
        <w:t xml:space="preserve">complainant </w:t>
      </w:r>
      <w:r w:rsidR="002C7F32" w:rsidRPr="00093AB3">
        <w:rPr>
          <w:sz w:val="26"/>
          <w:szCs w:val="26"/>
        </w:rPr>
        <w:lastRenderedPageBreak/>
        <w:t>demonstrates that he/she made a good faith attempt to attend the hearing</w:t>
      </w:r>
      <w:r w:rsidRPr="00C52FC0">
        <w:rPr>
          <w:sz w:val="26"/>
          <w:szCs w:val="26"/>
        </w:rPr>
        <w:t xml:space="preserve"> and rescheduling of the hearing </w:t>
      </w:r>
      <w:r>
        <w:rPr>
          <w:sz w:val="26"/>
          <w:szCs w:val="26"/>
        </w:rPr>
        <w:t>would</w:t>
      </w:r>
      <w:r w:rsidRPr="00C52FC0">
        <w:rPr>
          <w:sz w:val="26"/>
          <w:szCs w:val="26"/>
        </w:rPr>
        <w:t xml:space="preserve"> not prejudice the interests of any other party or the public. </w:t>
      </w:r>
      <w:r w:rsidR="000D1006">
        <w:rPr>
          <w:sz w:val="26"/>
          <w:szCs w:val="26"/>
        </w:rPr>
        <w:t xml:space="preserve"> </w:t>
      </w:r>
      <w:r w:rsidRPr="00C52FC0">
        <w:rPr>
          <w:i/>
          <w:iCs/>
          <w:sz w:val="26"/>
          <w:szCs w:val="26"/>
        </w:rPr>
        <w:t xml:space="preserve">See </w:t>
      </w:r>
      <w:proofErr w:type="spellStart"/>
      <w:r w:rsidRPr="001D1F3F">
        <w:rPr>
          <w:i/>
          <w:iCs/>
          <w:sz w:val="26"/>
          <w:szCs w:val="26"/>
        </w:rPr>
        <w:t>Atuahene</w:t>
      </w:r>
      <w:proofErr w:type="spellEnd"/>
      <w:r w:rsidRPr="00FA0580">
        <w:rPr>
          <w:sz w:val="26"/>
          <w:szCs w:val="26"/>
        </w:rPr>
        <w:t>,</w:t>
      </w:r>
      <w:r>
        <w:rPr>
          <w:i/>
          <w:iCs/>
          <w:sz w:val="26"/>
          <w:szCs w:val="26"/>
        </w:rPr>
        <w:t xml:space="preserve"> </w:t>
      </w:r>
      <w:r w:rsidRPr="00C52FC0">
        <w:rPr>
          <w:sz w:val="26"/>
          <w:szCs w:val="26"/>
        </w:rPr>
        <w:t>citing</w:t>
      </w:r>
      <w:r w:rsidRPr="00C52FC0">
        <w:rPr>
          <w:i/>
          <w:iCs/>
          <w:sz w:val="26"/>
          <w:szCs w:val="26"/>
        </w:rPr>
        <w:t xml:space="preserve"> </w:t>
      </w:r>
      <w:hyperlink r:id="rId18" w:history="1">
        <w:proofErr w:type="spellStart"/>
        <w:r w:rsidRPr="00C52FC0">
          <w:rPr>
            <w:i/>
            <w:iCs/>
            <w:sz w:val="26"/>
            <w:szCs w:val="26"/>
          </w:rPr>
          <w:t>Yomari</w:t>
        </w:r>
        <w:proofErr w:type="spellEnd"/>
        <w:r w:rsidRPr="00C52FC0">
          <w:rPr>
            <w:i/>
            <w:iCs/>
            <w:sz w:val="26"/>
            <w:szCs w:val="26"/>
          </w:rPr>
          <w:t xml:space="preserve"> Then v. Philadelphia Gas Works</w:t>
        </w:r>
        <w:r w:rsidRPr="00FA0580">
          <w:rPr>
            <w:sz w:val="26"/>
            <w:szCs w:val="26"/>
          </w:rPr>
          <w:t xml:space="preserve">, </w:t>
        </w:r>
        <w:r w:rsidRPr="00C52FC0">
          <w:rPr>
            <w:sz w:val="26"/>
            <w:szCs w:val="26"/>
          </w:rPr>
          <w:t>Docket No. F</w:t>
        </w:r>
        <w:r w:rsidR="00FA0580">
          <w:rPr>
            <w:sz w:val="26"/>
            <w:szCs w:val="26"/>
          </w:rPr>
          <w:noBreakHyphen/>
        </w:r>
        <w:r w:rsidRPr="00C52FC0">
          <w:rPr>
            <w:sz w:val="26"/>
            <w:szCs w:val="26"/>
          </w:rPr>
          <w:t>2012-2318264 (Order entered June 13, 2013)</w:t>
        </w:r>
      </w:hyperlink>
      <w:r w:rsidRPr="00C52FC0">
        <w:rPr>
          <w:sz w:val="26"/>
          <w:szCs w:val="26"/>
        </w:rPr>
        <w:t xml:space="preserve"> (</w:t>
      </w:r>
      <w:proofErr w:type="spellStart"/>
      <w:r w:rsidRPr="00C52FC0">
        <w:rPr>
          <w:i/>
          <w:iCs/>
          <w:sz w:val="26"/>
          <w:szCs w:val="26"/>
        </w:rPr>
        <w:t>Yomari</w:t>
      </w:r>
      <w:proofErr w:type="spellEnd"/>
      <w:r w:rsidRPr="00C52FC0">
        <w:rPr>
          <w:i/>
          <w:iCs/>
          <w:sz w:val="26"/>
          <w:szCs w:val="26"/>
        </w:rPr>
        <w:t xml:space="preserve"> Then</w:t>
      </w:r>
      <w:r w:rsidRPr="00C52FC0">
        <w:rPr>
          <w:sz w:val="26"/>
          <w:szCs w:val="26"/>
        </w:rPr>
        <w:t>)</w:t>
      </w:r>
      <w:r w:rsidR="000A4AAA">
        <w:rPr>
          <w:sz w:val="26"/>
          <w:szCs w:val="26"/>
        </w:rPr>
        <w:t>;</w:t>
      </w:r>
      <w:r>
        <w:rPr>
          <w:rStyle w:val="FootnoteReference"/>
          <w:sz w:val="26"/>
          <w:szCs w:val="26"/>
        </w:rPr>
        <w:footnoteReference w:id="9"/>
      </w:r>
      <w:r w:rsidRPr="00C52FC0">
        <w:rPr>
          <w:sz w:val="26"/>
          <w:szCs w:val="26"/>
        </w:rPr>
        <w:t xml:space="preserve"> </w:t>
      </w:r>
      <w:hyperlink r:id="rId19" w:history="1">
        <w:proofErr w:type="spellStart"/>
        <w:r w:rsidRPr="00C52FC0">
          <w:rPr>
            <w:i/>
            <w:iCs/>
            <w:sz w:val="26"/>
            <w:szCs w:val="26"/>
          </w:rPr>
          <w:t>Windell</w:t>
        </w:r>
        <w:proofErr w:type="spellEnd"/>
        <w:r w:rsidRPr="00C52FC0">
          <w:rPr>
            <w:i/>
            <w:iCs/>
            <w:sz w:val="26"/>
            <w:szCs w:val="26"/>
          </w:rPr>
          <w:t xml:space="preserve"> C. Wiggins v. PECO Energy Company</w:t>
        </w:r>
        <w:r w:rsidRPr="00FA0580">
          <w:rPr>
            <w:sz w:val="26"/>
            <w:szCs w:val="26"/>
          </w:rPr>
          <w:t xml:space="preserve">, </w:t>
        </w:r>
        <w:r w:rsidRPr="00C52FC0">
          <w:rPr>
            <w:sz w:val="26"/>
            <w:szCs w:val="26"/>
          </w:rPr>
          <w:t>Docket No. C-2010-2190335 (Order entered October 27, 2011)</w:t>
        </w:r>
      </w:hyperlink>
      <w:r w:rsidRPr="00C52FC0">
        <w:rPr>
          <w:sz w:val="26"/>
          <w:szCs w:val="26"/>
        </w:rPr>
        <w:t xml:space="preserve"> (</w:t>
      </w:r>
      <w:r w:rsidRPr="00C52FC0">
        <w:rPr>
          <w:i/>
          <w:iCs/>
          <w:sz w:val="26"/>
          <w:szCs w:val="26"/>
        </w:rPr>
        <w:t>Wiggins</w:t>
      </w:r>
      <w:r w:rsidRPr="00C52FC0">
        <w:rPr>
          <w:sz w:val="26"/>
          <w:szCs w:val="26"/>
        </w:rPr>
        <w:t>).</w:t>
      </w:r>
    </w:p>
    <w:p w14:paraId="5567680D" w14:textId="77777777" w:rsidR="000A4AAA" w:rsidRDefault="000A4AAA" w:rsidP="00C52FC0">
      <w:pPr>
        <w:spacing w:line="360" w:lineRule="auto"/>
        <w:ind w:firstLine="1440"/>
        <w:rPr>
          <w:sz w:val="26"/>
          <w:szCs w:val="26"/>
        </w:rPr>
      </w:pPr>
    </w:p>
    <w:p w14:paraId="7B0FA5CB" w14:textId="4F47618F" w:rsidR="002F7D38" w:rsidRPr="002F7D38" w:rsidRDefault="00C52FC0" w:rsidP="002F7D38">
      <w:pPr>
        <w:pStyle w:val="ListParagraph"/>
        <w:spacing w:line="360" w:lineRule="auto"/>
        <w:ind w:left="0" w:firstLine="1440"/>
        <w:rPr>
          <w:b/>
          <w:bCs/>
          <w:sz w:val="26"/>
          <w:szCs w:val="26"/>
        </w:rPr>
      </w:pPr>
      <w:r>
        <w:rPr>
          <w:sz w:val="26"/>
          <w:szCs w:val="26"/>
        </w:rPr>
        <w:t>However</w:t>
      </w:r>
      <w:r w:rsidR="002C7F32" w:rsidRPr="00093AB3">
        <w:rPr>
          <w:sz w:val="26"/>
          <w:szCs w:val="26"/>
        </w:rPr>
        <w:t>, if a complainant</w:t>
      </w:r>
      <w:r w:rsidR="00405C4E">
        <w:rPr>
          <w:sz w:val="26"/>
          <w:szCs w:val="26"/>
        </w:rPr>
        <w:t>’</w:t>
      </w:r>
      <w:r w:rsidR="002C7F32" w:rsidRPr="00093AB3">
        <w:rPr>
          <w:sz w:val="26"/>
          <w:szCs w:val="26"/>
        </w:rPr>
        <w:t xml:space="preserve">s failure to appear </w:t>
      </w:r>
      <w:r>
        <w:rPr>
          <w:sz w:val="26"/>
          <w:szCs w:val="26"/>
        </w:rPr>
        <w:t>i</w:t>
      </w:r>
      <w:r w:rsidR="002C7F32" w:rsidRPr="00093AB3">
        <w:rPr>
          <w:sz w:val="26"/>
          <w:szCs w:val="26"/>
        </w:rPr>
        <w:t xml:space="preserve">s not </w:t>
      </w:r>
      <w:r>
        <w:rPr>
          <w:sz w:val="26"/>
          <w:szCs w:val="26"/>
        </w:rPr>
        <w:t xml:space="preserve">determined to be </w:t>
      </w:r>
      <w:r w:rsidR="002C7F32" w:rsidRPr="00093AB3">
        <w:rPr>
          <w:sz w:val="26"/>
          <w:szCs w:val="26"/>
        </w:rPr>
        <w:t>unavoidable, or if the complainant did not make a good faith attempt to attend the duly scheduled hearing, the Commission has recognized that any further procedural activity in the docket would prejudice the public interest due to the wasteful use of the agency</w:t>
      </w:r>
      <w:r w:rsidR="004678CF">
        <w:rPr>
          <w:sz w:val="26"/>
          <w:szCs w:val="26"/>
        </w:rPr>
        <w:t>’</w:t>
      </w:r>
      <w:r w:rsidR="002C7F32" w:rsidRPr="00093AB3">
        <w:rPr>
          <w:sz w:val="26"/>
          <w:szCs w:val="26"/>
        </w:rPr>
        <w:t xml:space="preserve">s and the </w:t>
      </w:r>
      <w:r w:rsidR="004678CF">
        <w:rPr>
          <w:sz w:val="26"/>
          <w:szCs w:val="26"/>
        </w:rPr>
        <w:t>utility/</w:t>
      </w:r>
      <w:r w:rsidR="002C7F32" w:rsidRPr="00093AB3">
        <w:rPr>
          <w:sz w:val="26"/>
          <w:szCs w:val="26"/>
        </w:rPr>
        <w:t>respondent</w:t>
      </w:r>
      <w:r w:rsidR="00B80FC7">
        <w:rPr>
          <w:sz w:val="26"/>
          <w:szCs w:val="26"/>
        </w:rPr>
        <w:t>’</w:t>
      </w:r>
      <w:r w:rsidR="002C7F32" w:rsidRPr="00093AB3">
        <w:rPr>
          <w:sz w:val="26"/>
          <w:szCs w:val="26"/>
        </w:rPr>
        <w:t xml:space="preserve">s time and resources in addressing the complaint. </w:t>
      </w:r>
      <w:r w:rsidR="004678CF">
        <w:rPr>
          <w:sz w:val="26"/>
          <w:szCs w:val="26"/>
        </w:rPr>
        <w:t xml:space="preserve"> </w:t>
      </w:r>
      <w:r w:rsidR="002C7F32" w:rsidRPr="00093AB3">
        <w:rPr>
          <w:i/>
          <w:iCs/>
          <w:sz w:val="26"/>
          <w:szCs w:val="26"/>
        </w:rPr>
        <w:t>See Jefferson v. UGI Utilities, Inc.</w:t>
      </w:r>
      <w:r w:rsidR="002C7F32" w:rsidRPr="00592B75">
        <w:rPr>
          <w:sz w:val="26"/>
          <w:szCs w:val="26"/>
        </w:rPr>
        <w:t xml:space="preserve">, </w:t>
      </w:r>
      <w:r w:rsidR="002C7F32" w:rsidRPr="00093AB3">
        <w:rPr>
          <w:sz w:val="26"/>
          <w:szCs w:val="26"/>
        </w:rPr>
        <w:t>Docket No. Z-00269892 (Order entered December 26, 1995)</w:t>
      </w:r>
      <w:r>
        <w:rPr>
          <w:sz w:val="26"/>
          <w:szCs w:val="26"/>
        </w:rPr>
        <w:t xml:space="preserve">; </w:t>
      </w:r>
      <w:r>
        <w:rPr>
          <w:i/>
          <w:iCs/>
          <w:sz w:val="26"/>
          <w:szCs w:val="26"/>
        </w:rPr>
        <w:t>also</w:t>
      </w:r>
      <w:r>
        <w:rPr>
          <w:sz w:val="26"/>
          <w:szCs w:val="26"/>
        </w:rPr>
        <w:t xml:space="preserve"> </w:t>
      </w:r>
      <w:r w:rsidRPr="00C52FC0">
        <w:rPr>
          <w:sz w:val="26"/>
          <w:szCs w:val="26"/>
        </w:rPr>
        <w:t xml:space="preserve"> </w:t>
      </w:r>
      <w:r w:rsidRPr="00C52FC0">
        <w:rPr>
          <w:i/>
          <w:iCs/>
          <w:sz w:val="26"/>
          <w:szCs w:val="26"/>
        </w:rPr>
        <w:t>e.g.,</w:t>
      </w:r>
      <w:r w:rsidR="00D40402">
        <w:rPr>
          <w:i/>
          <w:iCs/>
          <w:sz w:val="26"/>
          <w:szCs w:val="26"/>
        </w:rPr>
        <w:t xml:space="preserve"> </w:t>
      </w:r>
      <w:r w:rsidR="005428A3" w:rsidRPr="00906042">
        <w:rPr>
          <w:i/>
          <w:iCs/>
          <w:sz w:val="26"/>
          <w:szCs w:val="26"/>
        </w:rPr>
        <w:t>Thomas v. PGW</w:t>
      </w:r>
      <w:r w:rsidR="005428A3" w:rsidRPr="00906042">
        <w:rPr>
          <w:sz w:val="26"/>
          <w:szCs w:val="26"/>
        </w:rPr>
        <w:t xml:space="preserve">, Docket Nos. </w:t>
      </w:r>
      <w:r w:rsidR="005428A3" w:rsidRPr="00906042">
        <w:rPr>
          <w:rFonts w:eastAsiaTheme="minorHAnsi"/>
          <w:sz w:val="26"/>
          <w:szCs w:val="26"/>
        </w:rPr>
        <w:t>F-2017-2611788; C</w:t>
      </w:r>
      <w:r w:rsidR="005428A3">
        <w:rPr>
          <w:rFonts w:eastAsiaTheme="minorHAnsi"/>
          <w:sz w:val="26"/>
          <w:szCs w:val="26"/>
        </w:rPr>
        <w:noBreakHyphen/>
      </w:r>
      <w:r w:rsidR="005428A3" w:rsidRPr="00906042">
        <w:rPr>
          <w:rFonts w:eastAsiaTheme="minorHAnsi"/>
          <w:sz w:val="26"/>
          <w:szCs w:val="26"/>
        </w:rPr>
        <w:t xml:space="preserve">2017-2621275 (Order entered August 31, 2018) </w:t>
      </w:r>
      <w:r w:rsidR="005428A3">
        <w:rPr>
          <w:rFonts w:eastAsiaTheme="minorHAnsi"/>
          <w:sz w:val="26"/>
          <w:szCs w:val="26"/>
        </w:rPr>
        <w:t>(</w:t>
      </w:r>
      <w:r w:rsidR="005112D8">
        <w:rPr>
          <w:i/>
          <w:iCs/>
          <w:sz w:val="26"/>
          <w:szCs w:val="26"/>
        </w:rPr>
        <w:t>Thomas I</w:t>
      </w:r>
      <w:r w:rsidR="005428A3">
        <w:rPr>
          <w:sz w:val="26"/>
          <w:szCs w:val="26"/>
        </w:rPr>
        <w:t>)</w:t>
      </w:r>
      <w:r w:rsidR="005112D8">
        <w:rPr>
          <w:i/>
          <w:iCs/>
          <w:sz w:val="26"/>
          <w:szCs w:val="26"/>
        </w:rPr>
        <w:t xml:space="preserve"> </w:t>
      </w:r>
      <w:r w:rsidR="005112D8">
        <w:rPr>
          <w:sz w:val="26"/>
          <w:szCs w:val="26"/>
        </w:rPr>
        <w:t xml:space="preserve">at 8, citing </w:t>
      </w:r>
      <w:r w:rsidR="005112D8">
        <w:rPr>
          <w:i/>
          <w:sz w:val="26"/>
          <w:szCs w:val="26"/>
        </w:rPr>
        <w:t xml:space="preserve">Cynthia </w:t>
      </w:r>
      <w:proofErr w:type="spellStart"/>
      <w:r w:rsidR="005112D8">
        <w:rPr>
          <w:i/>
          <w:sz w:val="26"/>
          <w:szCs w:val="26"/>
        </w:rPr>
        <w:t>Santore</w:t>
      </w:r>
      <w:proofErr w:type="spellEnd"/>
      <w:r w:rsidR="005112D8">
        <w:rPr>
          <w:i/>
          <w:sz w:val="26"/>
          <w:szCs w:val="26"/>
        </w:rPr>
        <w:t xml:space="preserve"> Smith v. PECO Energy Company</w:t>
      </w:r>
      <w:r w:rsidR="005112D8">
        <w:rPr>
          <w:sz w:val="26"/>
          <w:szCs w:val="26"/>
        </w:rPr>
        <w:t xml:space="preserve">, Docket No. F-2014-2446204 (Order entered September 3, 2015); </w:t>
      </w:r>
      <w:r w:rsidR="005112D8">
        <w:rPr>
          <w:i/>
          <w:sz w:val="26"/>
          <w:szCs w:val="26"/>
        </w:rPr>
        <w:t>Marilyn Day v. PECO Energy Company</w:t>
      </w:r>
      <w:r w:rsidR="005112D8">
        <w:rPr>
          <w:sz w:val="26"/>
          <w:szCs w:val="26"/>
        </w:rPr>
        <w:t xml:space="preserve">, Docket No. C-2010-2181515 (Order entered June 10, 2011); </w:t>
      </w:r>
      <w:r w:rsidR="005112D8">
        <w:rPr>
          <w:i/>
          <w:sz w:val="26"/>
          <w:szCs w:val="26"/>
        </w:rPr>
        <w:t>Deborah</w:t>
      </w:r>
      <w:r w:rsidR="005112D8">
        <w:rPr>
          <w:sz w:val="26"/>
          <w:szCs w:val="26"/>
        </w:rPr>
        <w:t xml:space="preserve"> </w:t>
      </w:r>
      <w:proofErr w:type="spellStart"/>
      <w:r w:rsidR="005112D8">
        <w:rPr>
          <w:i/>
          <w:sz w:val="26"/>
          <w:szCs w:val="26"/>
        </w:rPr>
        <w:t>Bethay</w:t>
      </w:r>
      <w:proofErr w:type="spellEnd"/>
      <w:r w:rsidR="005112D8">
        <w:rPr>
          <w:i/>
          <w:sz w:val="26"/>
          <w:szCs w:val="26"/>
        </w:rPr>
        <w:t xml:space="preserve"> v. PECO </w:t>
      </w:r>
      <w:r w:rsidR="005112D8" w:rsidRPr="00FA0580">
        <w:rPr>
          <w:i/>
          <w:sz w:val="26"/>
          <w:szCs w:val="26"/>
        </w:rPr>
        <w:t>Energy Co.</w:t>
      </w:r>
      <w:r w:rsidR="005112D8">
        <w:rPr>
          <w:sz w:val="26"/>
          <w:szCs w:val="26"/>
        </w:rPr>
        <w:t>, Docket No. F-2011-2266250 (Order entered August 2, 2012)</w:t>
      </w:r>
      <w:r w:rsidR="005428A3">
        <w:rPr>
          <w:sz w:val="26"/>
          <w:szCs w:val="26"/>
        </w:rPr>
        <w:t>.</w:t>
      </w:r>
      <w:r w:rsidR="005112D8">
        <w:rPr>
          <w:i/>
          <w:sz w:val="26"/>
          <w:szCs w:val="26"/>
        </w:rPr>
        <w:t xml:space="preserve"> </w:t>
      </w:r>
    </w:p>
    <w:p w14:paraId="22584C3E" w14:textId="77777777" w:rsidR="002F7D38" w:rsidRDefault="002F7D38" w:rsidP="002F7D38">
      <w:pPr>
        <w:spacing w:line="360" w:lineRule="auto"/>
        <w:ind w:left="1440"/>
        <w:rPr>
          <w:b/>
          <w:bCs/>
          <w:sz w:val="26"/>
          <w:szCs w:val="26"/>
        </w:rPr>
      </w:pPr>
    </w:p>
    <w:p w14:paraId="3071A4CA" w14:textId="77777777" w:rsidR="00CE5D90" w:rsidRDefault="00CE5D90" w:rsidP="002F7D38">
      <w:pPr>
        <w:spacing w:line="360" w:lineRule="auto"/>
        <w:ind w:left="1440"/>
        <w:rPr>
          <w:b/>
          <w:bCs/>
          <w:sz w:val="26"/>
          <w:szCs w:val="26"/>
        </w:rPr>
      </w:pPr>
    </w:p>
    <w:p w14:paraId="12CBB10D" w14:textId="77777777" w:rsidR="00CE5D90" w:rsidRDefault="00CE5D90" w:rsidP="002F7D38">
      <w:pPr>
        <w:spacing w:line="360" w:lineRule="auto"/>
        <w:ind w:left="1440"/>
        <w:rPr>
          <w:b/>
          <w:bCs/>
          <w:sz w:val="26"/>
          <w:szCs w:val="26"/>
        </w:rPr>
      </w:pPr>
    </w:p>
    <w:p w14:paraId="2B540722" w14:textId="77777777" w:rsidR="00CE5D90" w:rsidRPr="002F7D38" w:rsidRDefault="00CE5D90" w:rsidP="00756E41">
      <w:pPr>
        <w:spacing w:line="360" w:lineRule="auto"/>
        <w:rPr>
          <w:b/>
          <w:bCs/>
          <w:sz w:val="26"/>
          <w:szCs w:val="26"/>
        </w:rPr>
      </w:pPr>
    </w:p>
    <w:p w14:paraId="51A25ACC" w14:textId="77777777" w:rsidR="002C7F32" w:rsidRPr="0023078C" w:rsidRDefault="004678CF" w:rsidP="00C1703A">
      <w:pPr>
        <w:pStyle w:val="ListParagraph"/>
        <w:numPr>
          <w:ilvl w:val="0"/>
          <w:numId w:val="7"/>
        </w:numPr>
        <w:spacing w:line="360" w:lineRule="auto"/>
        <w:ind w:left="1440" w:hanging="720"/>
        <w:rPr>
          <w:b/>
          <w:bCs/>
          <w:sz w:val="26"/>
          <w:szCs w:val="26"/>
        </w:rPr>
      </w:pPr>
      <w:r w:rsidRPr="0023078C">
        <w:rPr>
          <w:b/>
          <w:bCs/>
          <w:sz w:val="26"/>
          <w:szCs w:val="26"/>
        </w:rPr>
        <w:lastRenderedPageBreak/>
        <w:t>Burden of Proof</w:t>
      </w:r>
    </w:p>
    <w:p w14:paraId="5C822DD5" w14:textId="77777777" w:rsidR="004678CF" w:rsidRPr="00C266AB" w:rsidRDefault="004678CF" w:rsidP="004678CF">
      <w:pPr>
        <w:spacing w:line="360" w:lineRule="auto"/>
        <w:ind w:firstLine="1440"/>
        <w:rPr>
          <w:sz w:val="26"/>
          <w:szCs w:val="26"/>
        </w:rPr>
      </w:pPr>
    </w:p>
    <w:p w14:paraId="09252989" w14:textId="2644D5BA" w:rsidR="00405C4E" w:rsidRDefault="004678CF" w:rsidP="00C11D9A">
      <w:pPr>
        <w:widowControl/>
        <w:spacing w:line="360" w:lineRule="auto"/>
        <w:ind w:firstLine="1440"/>
        <w:rPr>
          <w:sz w:val="26"/>
          <w:szCs w:val="26"/>
        </w:rPr>
      </w:pPr>
      <w:r w:rsidRPr="00C266AB">
        <w:rPr>
          <w:spacing w:val="-2"/>
          <w:sz w:val="26"/>
          <w:szCs w:val="26"/>
        </w:rPr>
        <w:t>The apportionment of the burden of proof in matters before the Commission is statutorily established.  Section 332(a) of the Code, 66 Pa.</w:t>
      </w:r>
      <w:r w:rsidR="00B84C31">
        <w:rPr>
          <w:spacing w:val="-2"/>
          <w:sz w:val="26"/>
          <w:szCs w:val="26"/>
        </w:rPr>
        <w:t xml:space="preserve"> </w:t>
      </w:r>
      <w:r w:rsidRPr="00C266AB">
        <w:rPr>
          <w:spacing w:val="-2"/>
          <w:sz w:val="26"/>
          <w:szCs w:val="26"/>
        </w:rPr>
        <w:t>C.S. § 332(a), provides, in pertinent part, that “[e]</w:t>
      </w:r>
      <w:proofErr w:type="spellStart"/>
      <w:r w:rsidRPr="00C266AB">
        <w:rPr>
          <w:sz w:val="26"/>
          <w:szCs w:val="26"/>
        </w:rPr>
        <w:t>xcept</w:t>
      </w:r>
      <w:proofErr w:type="spellEnd"/>
      <w:r w:rsidRPr="00C266AB">
        <w:rPr>
          <w:sz w:val="26"/>
          <w:szCs w:val="26"/>
        </w:rPr>
        <w:t xml:space="preserve"> as may be otherwise provided in </w:t>
      </w:r>
      <w:r w:rsidR="00FA0580">
        <w:rPr>
          <w:sz w:val="26"/>
          <w:szCs w:val="26"/>
        </w:rPr>
        <w:t>S</w:t>
      </w:r>
      <w:r w:rsidRPr="00C266AB">
        <w:rPr>
          <w:sz w:val="26"/>
          <w:szCs w:val="26"/>
        </w:rPr>
        <w:t xml:space="preserve">ection 315 (relating to burden of proof) or other provisions of this part or other relevant statute, the proponent of a rule or order has the burden of proof.”  Complainant, as the proponent of a rule or order from the Commission has the burden of proof. </w:t>
      </w:r>
    </w:p>
    <w:p w14:paraId="71B7287C" w14:textId="77777777" w:rsidR="008A12A6" w:rsidRDefault="008A12A6" w:rsidP="00C11D9A">
      <w:pPr>
        <w:widowControl/>
        <w:spacing w:line="360" w:lineRule="auto"/>
        <w:ind w:firstLine="1440"/>
        <w:rPr>
          <w:sz w:val="26"/>
          <w:szCs w:val="26"/>
        </w:rPr>
      </w:pPr>
    </w:p>
    <w:p w14:paraId="1A991456" w14:textId="37598587" w:rsidR="004678CF" w:rsidRPr="00C266AB" w:rsidRDefault="004678CF" w:rsidP="004678CF">
      <w:pPr>
        <w:spacing w:line="360" w:lineRule="auto"/>
        <w:ind w:firstLine="1440"/>
        <w:rPr>
          <w:sz w:val="26"/>
          <w:szCs w:val="26"/>
        </w:rPr>
      </w:pPr>
      <w:r w:rsidRPr="00C266AB">
        <w:rPr>
          <w:spacing w:val="-2"/>
          <w:sz w:val="26"/>
          <w:szCs w:val="26"/>
        </w:rPr>
        <w:t>T</w:t>
      </w:r>
      <w:r w:rsidRPr="00C266AB">
        <w:rPr>
          <w:sz w:val="26"/>
          <w:szCs w:val="26"/>
        </w:rPr>
        <w:t xml:space="preserve">o establish a legally sufficient claim, a complainant must show that the named utility is responsible or accountable for the problem described in the complaint in order to prevail. </w:t>
      </w:r>
      <w:hyperlink r:id="rId20" w:history="1">
        <w:r w:rsidRPr="00C266AB">
          <w:rPr>
            <w:i/>
            <w:iCs/>
            <w:sz w:val="26"/>
            <w:szCs w:val="26"/>
          </w:rPr>
          <w:t>Patterson v. The Bell Telephone Company of Pennsylvania</w:t>
        </w:r>
        <w:r w:rsidRPr="0043536A">
          <w:rPr>
            <w:sz w:val="26"/>
            <w:szCs w:val="26"/>
          </w:rPr>
          <w:t>,</w:t>
        </w:r>
        <w:r w:rsidRPr="00C266AB">
          <w:rPr>
            <w:sz w:val="26"/>
            <w:szCs w:val="26"/>
          </w:rPr>
          <w:t xml:space="preserve"> 72</w:t>
        </w:r>
        <w:r w:rsidR="00592B75">
          <w:rPr>
            <w:sz w:val="26"/>
            <w:szCs w:val="26"/>
          </w:rPr>
          <w:t> </w:t>
        </w:r>
        <w:r w:rsidRPr="00C266AB">
          <w:rPr>
            <w:sz w:val="26"/>
            <w:szCs w:val="26"/>
          </w:rPr>
          <w:t>Pa.</w:t>
        </w:r>
        <w:r w:rsidR="00592B75">
          <w:rPr>
            <w:sz w:val="26"/>
            <w:szCs w:val="26"/>
          </w:rPr>
          <w:t> </w:t>
        </w:r>
        <w:r w:rsidRPr="00C266AB">
          <w:rPr>
            <w:sz w:val="26"/>
            <w:szCs w:val="26"/>
          </w:rPr>
          <w:t>P.U.C. 196 (1990)</w:t>
        </w:r>
      </w:hyperlink>
      <w:r w:rsidRPr="00C266AB">
        <w:rPr>
          <w:sz w:val="26"/>
          <w:szCs w:val="26"/>
        </w:rPr>
        <w:t xml:space="preserve">. The offense must be a violation of a Commission Regulation or Order or a violation of a Commission approved tariff. </w:t>
      </w:r>
      <w:r w:rsidR="000D1006">
        <w:rPr>
          <w:sz w:val="26"/>
          <w:szCs w:val="26"/>
        </w:rPr>
        <w:t xml:space="preserve"> </w:t>
      </w:r>
      <w:hyperlink r:id="rId21" w:history="1">
        <w:r w:rsidRPr="00C266AB">
          <w:rPr>
            <w:sz w:val="26"/>
            <w:szCs w:val="26"/>
          </w:rPr>
          <w:t>66 Pa</w:t>
        </w:r>
        <w:r w:rsidR="00B84C31">
          <w:rPr>
            <w:sz w:val="26"/>
            <w:szCs w:val="26"/>
          </w:rPr>
          <w:t xml:space="preserve">. </w:t>
        </w:r>
        <w:r w:rsidRPr="00C266AB">
          <w:rPr>
            <w:sz w:val="26"/>
            <w:szCs w:val="26"/>
          </w:rPr>
          <w:t>C.S. § 701</w:t>
        </w:r>
      </w:hyperlink>
      <w:r w:rsidRPr="00C266AB">
        <w:rPr>
          <w:sz w:val="26"/>
          <w:szCs w:val="26"/>
        </w:rPr>
        <w:t>.</w:t>
      </w:r>
    </w:p>
    <w:p w14:paraId="7DADE14F" w14:textId="77777777" w:rsidR="004678CF" w:rsidRPr="00C266AB" w:rsidRDefault="004678CF" w:rsidP="004678CF">
      <w:pPr>
        <w:spacing w:line="360" w:lineRule="auto"/>
        <w:ind w:firstLine="1440"/>
        <w:rPr>
          <w:sz w:val="26"/>
          <w:szCs w:val="26"/>
        </w:rPr>
      </w:pPr>
    </w:p>
    <w:p w14:paraId="12A98B23" w14:textId="77777777" w:rsidR="00F77908" w:rsidRPr="005B13F9" w:rsidRDefault="000A4AAA" w:rsidP="00F77908">
      <w:pPr>
        <w:spacing w:line="360" w:lineRule="auto"/>
        <w:ind w:firstLine="1440"/>
        <w:rPr>
          <w:sz w:val="26"/>
          <w:szCs w:val="26"/>
        </w:rPr>
      </w:pPr>
      <w:r>
        <w:rPr>
          <w:spacing w:val="-1"/>
          <w:sz w:val="26"/>
          <w:szCs w:val="26"/>
        </w:rPr>
        <w:t>A c</w:t>
      </w:r>
      <w:r w:rsidR="00F77908" w:rsidRPr="00755365">
        <w:rPr>
          <w:spacing w:val="-1"/>
          <w:sz w:val="26"/>
          <w:szCs w:val="26"/>
        </w:rPr>
        <w:t xml:space="preserve">omplainant’s burden of proof before this agency is satisfied by establishing </w:t>
      </w:r>
      <w:r w:rsidR="00F77908">
        <w:rPr>
          <w:spacing w:val="-1"/>
          <w:sz w:val="26"/>
          <w:szCs w:val="26"/>
        </w:rPr>
        <w:t xml:space="preserve">a </w:t>
      </w:r>
      <w:r w:rsidR="00F77908" w:rsidRPr="00755365">
        <w:rPr>
          <w:spacing w:val="-1"/>
          <w:sz w:val="26"/>
          <w:szCs w:val="26"/>
        </w:rPr>
        <w:t xml:space="preserve">preponderance of evidence which is substantial and legally credible.  </w:t>
      </w:r>
      <w:r w:rsidR="00F77908">
        <w:rPr>
          <w:i/>
          <w:iCs/>
          <w:spacing w:val="-1"/>
          <w:sz w:val="26"/>
          <w:szCs w:val="26"/>
        </w:rPr>
        <w:t>See</w:t>
      </w:r>
      <w:r>
        <w:rPr>
          <w:i/>
          <w:iCs/>
          <w:spacing w:val="-1"/>
          <w:sz w:val="26"/>
          <w:szCs w:val="26"/>
        </w:rPr>
        <w:t>,</w:t>
      </w:r>
      <w:r w:rsidR="00F77908">
        <w:rPr>
          <w:i/>
          <w:iCs/>
          <w:spacing w:val="-1"/>
          <w:sz w:val="26"/>
          <w:szCs w:val="26"/>
        </w:rPr>
        <w:t xml:space="preserve"> </w:t>
      </w:r>
      <w:r w:rsidR="00F77908" w:rsidRPr="00755365">
        <w:rPr>
          <w:i/>
          <w:iCs/>
          <w:spacing w:val="-1"/>
          <w:sz w:val="26"/>
          <w:szCs w:val="26"/>
        </w:rPr>
        <w:t xml:space="preserve">Samuel J. </w:t>
      </w:r>
      <w:proofErr w:type="spellStart"/>
      <w:r w:rsidR="00F77908" w:rsidRPr="00755365">
        <w:rPr>
          <w:i/>
          <w:iCs/>
          <w:spacing w:val="-1"/>
          <w:sz w:val="26"/>
          <w:szCs w:val="26"/>
        </w:rPr>
        <w:t>Lansberry</w:t>
      </w:r>
      <w:proofErr w:type="spellEnd"/>
      <w:r w:rsidR="00F77908" w:rsidRPr="00755365">
        <w:rPr>
          <w:i/>
          <w:iCs/>
          <w:spacing w:val="-1"/>
          <w:sz w:val="26"/>
          <w:szCs w:val="26"/>
        </w:rPr>
        <w:t>, Inc. v. Pa. PUC</w:t>
      </w:r>
      <w:r w:rsidR="00F77908" w:rsidRPr="00755365">
        <w:rPr>
          <w:spacing w:val="-1"/>
          <w:sz w:val="26"/>
          <w:szCs w:val="26"/>
        </w:rPr>
        <w:t xml:space="preserve">, 578 A.2d 600, 602 (Pa. </w:t>
      </w:r>
      <w:proofErr w:type="spellStart"/>
      <w:r w:rsidR="00F77908" w:rsidRPr="00755365">
        <w:rPr>
          <w:spacing w:val="-1"/>
          <w:sz w:val="26"/>
          <w:szCs w:val="26"/>
        </w:rPr>
        <w:t>Cmwlth</w:t>
      </w:r>
      <w:proofErr w:type="spellEnd"/>
      <w:r w:rsidR="00F77908" w:rsidRPr="00755365">
        <w:rPr>
          <w:spacing w:val="-1"/>
          <w:sz w:val="26"/>
          <w:szCs w:val="26"/>
        </w:rPr>
        <w:t xml:space="preserve">. 1990).  </w:t>
      </w:r>
      <w:r w:rsidR="00F77908" w:rsidRPr="00D109A1">
        <w:rPr>
          <w:sz w:val="26"/>
          <w:szCs w:val="26"/>
        </w:rPr>
        <w:t xml:space="preserve">The preponderance of evidence standard requires proof by a greater weight of the evidence. </w:t>
      </w:r>
      <w:hyperlink r:id="rId22" w:history="1">
        <w:r w:rsidR="00F77908" w:rsidRPr="00D109A1">
          <w:rPr>
            <w:i/>
            <w:iCs/>
            <w:sz w:val="26"/>
            <w:szCs w:val="26"/>
          </w:rPr>
          <w:t>Commonwealth v. Williams</w:t>
        </w:r>
        <w:r w:rsidR="00F77908" w:rsidRPr="0043536A">
          <w:rPr>
            <w:sz w:val="26"/>
            <w:szCs w:val="26"/>
          </w:rPr>
          <w:t>,</w:t>
        </w:r>
        <w:r w:rsidR="00F77908" w:rsidRPr="00D109A1">
          <w:rPr>
            <w:sz w:val="26"/>
            <w:szCs w:val="26"/>
          </w:rPr>
          <w:t xml:space="preserve"> 732 A.2d 1167 (</w:t>
        </w:r>
        <w:r>
          <w:rPr>
            <w:sz w:val="26"/>
            <w:szCs w:val="26"/>
          </w:rPr>
          <w:t xml:space="preserve">Pa. </w:t>
        </w:r>
        <w:r w:rsidR="00F77908" w:rsidRPr="00D109A1">
          <w:rPr>
            <w:sz w:val="26"/>
            <w:szCs w:val="26"/>
          </w:rPr>
          <w:t>1999)</w:t>
        </w:r>
      </w:hyperlink>
      <w:r w:rsidR="00F77908" w:rsidRPr="00D109A1">
        <w:rPr>
          <w:sz w:val="26"/>
          <w:szCs w:val="26"/>
        </w:rPr>
        <w:t xml:space="preserve">. </w:t>
      </w:r>
      <w:r w:rsidR="00F77908">
        <w:rPr>
          <w:sz w:val="26"/>
          <w:szCs w:val="26"/>
        </w:rPr>
        <w:t xml:space="preserve"> </w:t>
      </w:r>
      <w:r w:rsidR="00F77908" w:rsidRPr="00D109A1">
        <w:rPr>
          <w:sz w:val="26"/>
          <w:szCs w:val="26"/>
        </w:rPr>
        <w:t xml:space="preserve">This standard is satisfied by presenting evidence more convincing, by even the smallest amount, than that presented by another party. </w:t>
      </w:r>
      <w:r w:rsidR="00F77908">
        <w:rPr>
          <w:sz w:val="26"/>
          <w:szCs w:val="26"/>
        </w:rPr>
        <w:t xml:space="preserve"> </w:t>
      </w:r>
      <w:hyperlink r:id="rId23" w:anchor="co_pp_sp_162_614" w:history="1">
        <w:r w:rsidR="00F77908" w:rsidRPr="00D109A1">
          <w:rPr>
            <w:i/>
            <w:iCs/>
            <w:sz w:val="26"/>
            <w:szCs w:val="26"/>
          </w:rPr>
          <w:t>Brown v. Commonwealth</w:t>
        </w:r>
        <w:r w:rsidR="00F77908" w:rsidRPr="00ED6E1F">
          <w:rPr>
            <w:sz w:val="26"/>
            <w:szCs w:val="26"/>
          </w:rPr>
          <w:t xml:space="preserve">, </w:t>
        </w:r>
        <w:r w:rsidR="00F77908" w:rsidRPr="00D109A1">
          <w:rPr>
            <w:sz w:val="26"/>
            <w:szCs w:val="26"/>
          </w:rPr>
          <w:t xml:space="preserve">940 A.2d 610, 614 n.14 (Pa. </w:t>
        </w:r>
        <w:proofErr w:type="spellStart"/>
        <w:r w:rsidR="00F77908" w:rsidRPr="00D109A1">
          <w:rPr>
            <w:sz w:val="26"/>
            <w:szCs w:val="26"/>
          </w:rPr>
          <w:t>Cmwlth</w:t>
        </w:r>
        <w:proofErr w:type="spellEnd"/>
        <w:r w:rsidR="00F77908" w:rsidRPr="00D109A1">
          <w:rPr>
            <w:sz w:val="26"/>
            <w:szCs w:val="26"/>
          </w:rPr>
          <w:t>. 2008)</w:t>
        </w:r>
      </w:hyperlink>
      <w:r w:rsidR="00F77908" w:rsidRPr="00D109A1">
        <w:rPr>
          <w:sz w:val="26"/>
          <w:szCs w:val="26"/>
        </w:rPr>
        <w:t>.</w:t>
      </w:r>
      <w:r w:rsidR="00F77908" w:rsidRPr="00755365">
        <w:rPr>
          <w:spacing w:val="-1"/>
          <w:sz w:val="26"/>
          <w:szCs w:val="26"/>
        </w:rPr>
        <w:t xml:space="preserve"> </w:t>
      </w:r>
    </w:p>
    <w:p w14:paraId="0D4B85E0" w14:textId="77777777" w:rsidR="004678CF" w:rsidRPr="00C266AB" w:rsidRDefault="004678CF" w:rsidP="00405C4E">
      <w:pPr>
        <w:kinsoku w:val="0"/>
        <w:overflowPunct w:val="0"/>
        <w:spacing w:line="360" w:lineRule="auto"/>
        <w:textAlignment w:val="baseline"/>
        <w:rPr>
          <w:spacing w:val="-2"/>
          <w:sz w:val="26"/>
          <w:szCs w:val="26"/>
        </w:rPr>
      </w:pPr>
    </w:p>
    <w:p w14:paraId="255B92C8" w14:textId="77777777" w:rsidR="00BE082E" w:rsidRDefault="00345C31" w:rsidP="00B84C31">
      <w:pPr>
        <w:widowControl/>
        <w:spacing w:line="360" w:lineRule="auto"/>
        <w:ind w:firstLine="1440"/>
        <w:rPr>
          <w:rFonts w:eastAsiaTheme="minorHAnsi"/>
          <w:sz w:val="26"/>
          <w:szCs w:val="26"/>
        </w:rPr>
      </w:pPr>
      <w:r>
        <w:rPr>
          <w:sz w:val="26"/>
          <w:szCs w:val="26"/>
        </w:rPr>
        <w:t>In specifi</w:t>
      </w:r>
      <w:r w:rsidR="00405C4E">
        <w:rPr>
          <w:sz w:val="26"/>
          <w:szCs w:val="26"/>
        </w:rPr>
        <w:t xml:space="preserve">c reference to appeals from informal BCS decisions, </w:t>
      </w:r>
      <w:r w:rsidR="00B80FC7">
        <w:rPr>
          <w:sz w:val="26"/>
          <w:szCs w:val="26"/>
        </w:rPr>
        <w:t>the Commission reasoned that, pursuant to Commission Regulations, a</w:t>
      </w:r>
      <w:r w:rsidR="005112D8">
        <w:rPr>
          <w:rFonts w:eastAsiaTheme="minorHAnsi"/>
          <w:sz w:val="26"/>
          <w:szCs w:val="26"/>
        </w:rPr>
        <w:t xml:space="preserve"> timely appeal from an informal decision of the BCS is reviewed </w:t>
      </w:r>
      <w:r w:rsidR="005112D8">
        <w:rPr>
          <w:rFonts w:eastAsiaTheme="minorHAnsi"/>
          <w:i/>
          <w:sz w:val="26"/>
          <w:szCs w:val="26"/>
        </w:rPr>
        <w:t>de novo</w:t>
      </w:r>
      <w:r w:rsidR="005112D8">
        <w:rPr>
          <w:rFonts w:eastAsiaTheme="minorHAnsi"/>
          <w:sz w:val="26"/>
          <w:szCs w:val="26"/>
        </w:rPr>
        <w:t>.</w:t>
      </w:r>
      <w:r w:rsidR="00B80FC7">
        <w:rPr>
          <w:rFonts w:eastAsiaTheme="minorHAnsi"/>
          <w:sz w:val="26"/>
          <w:szCs w:val="26"/>
        </w:rPr>
        <w:t xml:space="preserve">  </w:t>
      </w:r>
      <w:r w:rsidR="00B80FC7">
        <w:rPr>
          <w:rFonts w:eastAsiaTheme="minorHAnsi"/>
          <w:i/>
          <w:iCs/>
          <w:sz w:val="26"/>
          <w:szCs w:val="26"/>
        </w:rPr>
        <w:t>Thomas I</w:t>
      </w:r>
      <w:r w:rsidR="00B80FC7">
        <w:rPr>
          <w:rFonts w:eastAsiaTheme="minorHAnsi"/>
          <w:sz w:val="26"/>
          <w:szCs w:val="26"/>
        </w:rPr>
        <w:t xml:space="preserve"> at 8, citing</w:t>
      </w:r>
      <w:r w:rsidR="005112D8">
        <w:rPr>
          <w:rFonts w:eastAsiaTheme="minorHAnsi"/>
          <w:i/>
          <w:sz w:val="26"/>
          <w:szCs w:val="26"/>
        </w:rPr>
        <w:t xml:space="preserve"> </w:t>
      </w:r>
      <w:r w:rsidR="005112D8">
        <w:rPr>
          <w:sz w:val="26"/>
          <w:szCs w:val="26"/>
        </w:rPr>
        <w:t xml:space="preserve">52 Pa. Code </w:t>
      </w:r>
      <w:r w:rsidR="005112D8" w:rsidRPr="003A2DF1">
        <w:rPr>
          <w:sz w:val="26"/>
          <w:szCs w:val="26"/>
        </w:rPr>
        <w:t>§§</w:t>
      </w:r>
      <w:r w:rsidR="00D40402" w:rsidRPr="003A2DF1">
        <w:rPr>
          <w:sz w:val="26"/>
          <w:szCs w:val="26"/>
        </w:rPr>
        <w:t> </w:t>
      </w:r>
      <w:r w:rsidR="005112D8" w:rsidRPr="003A2DF1">
        <w:rPr>
          <w:sz w:val="26"/>
          <w:szCs w:val="26"/>
        </w:rPr>
        <w:t>56.173(a), 56.403(a).</w:t>
      </w:r>
      <w:r w:rsidR="005112D8">
        <w:rPr>
          <w:sz w:val="26"/>
          <w:szCs w:val="26"/>
        </w:rPr>
        <w:t xml:space="preserve">  </w:t>
      </w:r>
      <w:r w:rsidR="0030659D">
        <w:rPr>
          <w:sz w:val="26"/>
          <w:szCs w:val="26"/>
        </w:rPr>
        <w:t xml:space="preserve">On </w:t>
      </w:r>
      <w:r w:rsidR="000D1006">
        <w:rPr>
          <w:sz w:val="26"/>
          <w:szCs w:val="26"/>
        </w:rPr>
        <w:t xml:space="preserve">a </w:t>
      </w:r>
      <w:r w:rsidR="0030659D">
        <w:rPr>
          <w:i/>
          <w:iCs/>
          <w:sz w:val="26"/>
          <w:szCs w:val="26"/>
        </w:rPr>
        <w:t>d</w:t>
      </w:r>
      <w:r w:rsidR="005112D8">
        <w:rPr>
          <w:rFonts w:eastAsiaTheme="minorHAnsi"/>
          <w:i/>
          <w:sz w:val="26"/>
          <w:szCs w:val="26"/>
        </w:rPr>
        <w:t>e novo</w:t>
      </w:r>
      <w:r w:rsidR="000D1006">
        <w:rPr>
          <w:rFonts w:eastAsiaTheme="minorHAnsi"/>
          <w:i/>
          <w:sz w:val="26"/>
          <w:szCs w:val="26"/>
        </w:rPr>
        <w:t xml:space="preserve"> </w:t>
      </w:r>
      <w:r w:rsidR="000D1006">
        <w:rPr>
          <w:rFonts w:eastAsiaTheme="minorHAnsi"/>
          <w:iCs/>
          <w:sz w:val="26"/>
          <w:szCs w:val="26"/>
        </w:rPr>
        <w:t>review</w:t>
      </w:r>
      <w:r w:rsidR="0030659D">
        <w:rPr>
          <w:rFonts w:eastAsiaTheme="minorHAnsi"/>
          <w:iCs/>
          <w:sz w:val="26"/>
          <w:szCs w:val="26"/>
        </w:rPr>
        <w:t>,</w:t>
      </w:r>
      <w:r w:rsidR="005112D8">
        <w:rPr>
          <w:rFonts w:eastAsiaTheme="minorHAnsi"/>
          <w:sz w:val="26"/>
          <w:szCs w:val="26"/>
        </w:rPr>
        <w:t xml:space="preserve"> there is no part of the record in the informal proceeding that can be relied upon in the formal proceeding</w:t>
      </w:r>
      <w:r w:rsidR="000D1006">
        <w:rPr>
          <w:rFonts w:eastAsiaTheme="minorHAnsi"/>
          <w:sz w:val="26"/>
          <w:szCs w:val="26"/>
        </w:rPr>
        <w:t xml:space="preserve">. </w:t>
      </w:r>
      <w:r w:rsidR="005112D8">
        <w:rPr>
          <w:rFonts w:eastAsiaTheme="minorHAnsi"/>
          <w:sz w:val="26"/>
          <w:szCs w:val="26"/>
        </w:rPr>
        <w:t xml:space="preserve"> </w:t>
      </w:r>
      <w:r w:rsidR="000D1006">
        <w:rPr>
          <w:rFonts w:eastAsiaTheme="minorHAnsi"/>
          <w:sz w:val="26"/>
          <w:szCs w:val="26"/>
        </w:rPr>
        <w:t>A</w:t>
      </w:r>
      <w:r w:rsidR="0030659D">
        <w:rPr>
          <w:rFonts w:eastAsiaTheme="minorHAnsi"/>
          <w:sz w:val="26"/>
          <w:szCs w:val="26"/>
        </w:rPr>
        <w:t>nd</w:t>
      </w:r>
      <w:r w:rsidR="000D1006">
        <w:rPr>
          <w:rFonts w:eastAsiaTheme="minorHAnsi"/>
          <w:sz w:val="26"/>
          <w:szCs w:val="26"/>
        </w:rPr>
        <w:t>,</w:t>
      </w:r>
      <w:r w:rsidR="005112D8">
        <w:rPr>
          <w:rFonts w:eastAsiaTheme="minorHAnsi"/>
          <w:sz w:val="26"/>
          <w:szCs w:val="26"/>
        </w:rPr>
        <w:t xml:space="preserve"> </w:t>
      </w:r>
      <w:r w:rsidR="0030659D">
        <w:rPr>
          <w:rFonts w:eastAsiaTheme="minorHAnsi"/>
          <w:sz w:val="26"/>
          <w:szCs w:val="26"/>
        </w:rPr>
        <w:t>i</w:t>
      </w:r>
      <w:r w:rsidR="005112D8">
        <w:rPr>
          <w:rFonts w:eastAsiaTheme="minorHAnsi"/>
          <w:sz w:val="26"/>
          <w:szCs w:val="26"/>
        </w:rPr>
        <w:t xml:space="preserve">n a </w:t>
      </w:r>
      <w:r w:rsidR="005112D8">
        <w:rPr>
          <w:rFonts w:eastAsiaTheme="minorHAnsi"/>
          <w:i/>
          <w:sz w:val="26"/>
          <w:szCs w:val="26"/>
        </w:rPr>
        <w:t>de novo</w:t>
      </w:r>
      <w:r w:rsidR="005112D8">
        <w:rPr>
          <w:rFonts w:eastAsiaTheme="minorHAnsi"/>
          <w:sz w:val="26"/>
          <w:szCs w:val="26"/>
        </w:rPr>
        <w:t xml:space="preserve"> </w:t>
      </w:r>
      <w:r w:rsidR="000D1006">
        <w:rPr>
          <w:rFonts w:eastAsiaTheme="minorHAnsi"/>
          <w:sz w:val="26"/>
          <w:szCs w:val="26"/>
        </w:rPr>
        <w:lastRenderedPageBreak/>
        <w:t xml:space="preserve">consideration of an </w:t>
      </w:r>
      <w:r w:rsidR="005112D8">
        <w:rPr>
          <w:rFonts w:eastAsiaTheme="minorHAnsi"/>
          <w:sz w:val="26"/>
          <w:szCs w:val="26"/>
        </w:rPr>
        <w:t xml:space="preserve">appeal from a </w:t>
      </w:r>
      <w:r w:rsidR="000A4AAA">
        <w:rPr>
          <w:rFonts w:eastAsiaTheme="minorHAnsi"/>
          <w:sz w:val="26"/>
          <w:szCs w:val="26"/>
        </w:rPr>
        <w:t xml:space="preserve">BCS </w:t>
      </w:r>
      <w:r w:rsidR="005112D8">
        <w:rPr>
          <w:rFonts w:eastAsiaTheme="minorHAnsi"/>
          <w:sz w:val="26"/>
          <w:szCs w:val="26"/>
        </w:rPr>
        <w:t>decision, the burden of proof remains with the party who filed the original informal complaint</w:t>
      </w:r>
      <w:r w:rsidR="0030659D">
        <w:rPr>
          <w:rFonts w:eastAsiaTheme="minorHAnsi"/>
          <w:sz w:val="26"/>
          <w:szCs w:val="26"/>
        </w:rPr>
        <w:t xml:space="preserve">.  </w:t>
      </w:r>
      <w:r w:rsidR="0030659D">
        <w:rPr>
          <w:rFonts w:eastAsiaTheme="minorHAnsi"/>
          <w:i/>
          <w:iCs/>
          <w:sz w:val="26"/>
          <w:szCs w:val="26"/>
        </w:rPr>
        <w:t>Id</w:t>
      </w:r>
      <w:r w:rsidR="0030659D">
        <w:rPr>
          <w:rFonts w:eastAsiaTheme="minorHAnsi"/>
          <w:sz w:val="26"/>
          <w:szCs w:val="26"/>
        </w:rPr>
        <w:t>.</w:t>
      </w:r>
      <w:r w:rsidR="00BC65E6">
        <w:rPr>
          <w:rFonts w:eastAsiaTheme="minorHAnsi"/>
          <w:sz w:val="26"/>
          <w:szCs w:val="26"/>
        </w:rPr>
        <w:t xml:space="preserve">  </w:t>
      </w:r>
    </w:p>
    <w:p w14:paraId="451AC32B" w14:textId="77777777" w:rsidR="00DE1F79" w:rsidRDefault="00DE1F79" w:rsidP="007E702A">
      <w:pPr>
        <w:spacing w:line="360" w:lineRule="auto"/>
        <w:rPr>
          <w:rFonts w:eastAsiaTheme="minorHAnsi"/>
          <w:sz w:val="26"/>
          <w:szCs w:val="26"/>
        </w:rPr>
      </w:pPr>
    </w:p>
    <w:p w14:paraId="2EBE3186" w14:textId="77777777" w:rsidR="00C808AE" w:rsidRPr="008A12A6" w:rsidRDefault="002C624B" w:rsidP="008A12A6">
      <w:pPr>
        <w:tabs>
          <w:tab w:val="left" w:pos="0"/>
        </w:tabs>
        <w:spacing w:line="360" w:lineRule="auto"/>
        <w:rPr>
          <w:b/>
          <w:sz w:val="26"/>
          <w:szCs w:val="26"/>
        </w:rPr>
      </w:pPr>
      <w:r w:rsidRPr="008A12A6">
        <w:rPr>
          <w:b/>
          <w:bCs/>
          <w:sz w:val="26"/>
          <w:szCs w:val="26"/>
        </w:rPr>
        <w:t xml:space="preserve"> </w:t>
      </w:r>
      <w:r w:rsidRPr="008A12A6">
        <w:rPr>
          <w:b/>
          <w:bCs/>
          <w:sz w:val="26"/>
          <w:szCs w:val="26"/>
        </w:rPr>
        <w:tab/>
      </w:r>
      <w:r w:rsidR="00C808AE" w:rsidRPr="008A12A6">
        <w:rPr>
          <w:b/>
          <w:sz w:val="26"/>
          <w:szCs w:val="26"/>
        </w:rPr>
        <w:t xml:space="preserve">ALJ’s </w:t>
      </w:r>
      <w:r w:rsidR="00C808AE" w:rsidRPr="008A12A6">
        <w:rPr>
          <w:b/>
          <w:bCs/>
          <w:sz w:val="26"/>
          <w:szCs w:val="26"/>
        </w:rPr>
        <w:t>Recommendation</w:t>
      </w:r>
    </w:p>
    <w:p w14:paraId="517EA08B" w14:textId="77777777" w:rsidR="007F08D3" w:rsidRPr="008A12A6" w:rsidRDefault="007F08D3" w:rsidP="008A12A6">
      <w:pPr>
        <w:spacing w:line="360" w:lineRule="auto"/>
        <w:ind w:right="144"/>
        <w:rPr>
          <w:sz w:val="26"/>
          <w:szCs w:val="26"/>
        </w:rPr>
      </w:pPr>
    </w:p>
    <w:p w14:paraId="01E1DD8D" w14:textId="77777777" w:rsidR="0030659D" w:rsidRDefault="0030659D" w:rsidP="008A12A6">
      <w:pPr>
        <w:spacing w:line="360" w:lineRule="auto"/>
        <w:ind w:firstLine="1440"/>
      </w:pPr>
      <w:r w:rsidRPr="008A12A6">
        <w:rPr>
          <w:sz w:val="26"/>
          <w:szCs w:val="26"/>
        </w:rPr>
        <w:t>ALJ Brady</w:t>
      </w:r>
      <w:r>
        <w:rPr>
          <w:sz w:val="26"/>
          <w:szCs w:val="26"/>
        </w:rPr>
        <w:t xml:space="preserve"> reached thirteen Findings of Fact and </w:t>
      </w:r>
      <w:r w:rsidR="007E702A">
        <w:rPr>
          <w:sz w:val="26"/>
          <w:szCs w:val="26"/>
        </w:rPr>
        <w:t>drew</w:t>
      </w:r>
      <w:r w:rsidR="000A4AAA">
        <w:rPr>
          <w:sz w:val="26"/>
          <w:szCs w:val="26"/>
        </w:rPr>
        <w:t xml:space="preserve"> </w:t>
      </w:r>
      <w:r>
        <w:rPr>
          <w:sz w:val="26"/>
          <w:szCs w:val="26"/>
        </w:rPr>
        <w:t xml:space="preserve">seven Conclusions of Law.  </w:t>
      </w:r>
      <w:r w:rsidR="00BE082E">
        <w:rPr>
          <w:sz w:val="26"/>
          <w:szCs w:val="26"/>
        </w:rPr>
        <w:t xml:space="preserve">I.D. at 3-4; 6-7.  </w:t>
      </w:r>
      <w:r>
        <w:rPr>
          <w:sz w:val="26"/>
          <w:szCs w:val="26"/>
        </w:rPr>
        <w:t xml:space="preserve">We, hereby, adopt said Findings of Fact and Conclusions of Law unless they are expressly </w:t>
      </w:r>
      <w:r w:rsidR="007E702A">
        <w:rPr>
          <w:sz w:val="26"/>
          <w:szCs w:val="26"/>
        </w:rPr>
        <w:t xml:space="preserve">rejected or </w:t>
      </w:r>
      <w:r>
        <w:rPr>
          <w:sz w:val="26"/>
          <w:szCs w:val="26"/>
        </w:rPr>
        <w:t>modified</w:t>
      </w:r>
      <w:r w:rsidR="007E702A">
        <w:rPr>
          <w:sz w:val="26"/>
          <w:szCs w:val="26"/>
        </w:rPr>
        <w:t>,</w:t>
      </w:r>
      <w:r>
        <w:rPr>
          <w:sz w:val="26"/>
          <w:szCs w:val="26"/>
        </w:rPr>
        <w:t xml:space="preserve"> or modified by necessary implication from our disposition of Exceptions.</w:t>
      </w:r>
      <w:r>
        <w:t xml:space="preserve"> </w:t>
      </w:r>
      <w:r w:rsidR="00EA645B">
        <w:t xml:space="preserve">  </w:t>
      </w:r>
    </w:p>
    <w:p w14:paraId="50FD10A9" w14:textId="77777777" w:rsidR="0030659D" w:rsidRDefault="0030659D" w:rsidP="00E00E94">
      <w:pPr>
        <w:spacing w:line="360" w:lineRule="auto"/>
        <w:ind w:left="144" w:right="144" w:firstLine="1440"/>
        <w:rPr>
          <w:sz w:val="26"/>
          <w:szCs w:val="26"/>
        </w:rPr>
      </w:pPr>
    </w:p>
    <w:p w14:paraId="17750435" w14:textId="77777777" w:rsidR="00EA645B" w:rsidRDefault="00BC65E6" w:rsidP="00E00E94">
      <w:pPr>
        <w:spacing w:line="360" w:lineRule="auto"/>
        <w:ind w:left="144" w:right="144" w:firstLine="1440"/>
        <w:rPr>
          <w:iCs/>
          <w:sz w:val="26"/>
          <w:szCs w:val="26"/>
        </w:rPr>
      </w:pPr>
      <w:r>
        <w:rPr>
          <w:sz w:val="26"/>
          <w:szCs w:val="26"/>
        </w:rPr>
        <w:t>The Complainant</w:t>
      </w:r>
      <w:r w:rsidR="007F08D3" w:rsidRPr="00E00E94">
        <w:rPr>
          <w:sz w:val="26"/>
          <w:szCs w:val="26"/>
        </w:rPr>
        <w:t xml:space="preserve"> did not appear for the hearing and </w:t>
      </w:r>
      <w:r w:rsidR="0030659D">
        <w:rPr>
          <w:sz w:val="26"/>
          <w:szCs w:val="26"/>
        </w:rPr>
        <w:t>did</w:t>
      </w:r>
      <w:r w:rsidR="007F08D3" w:rsidRPr="00E00E94">
        <w:rPr>
          <w:sz w:val="26"/>
          <w:szCs w:val="26"/>
        </w:rPr>
        <w:t xml:space="preserve"> not contact the Commission </w:t>
      </w:r>
      <w:r w:rsidR="0030659D">
        <w:rPr>
          <w:sz w:val="26"/>
          <w:szCs w:val="26"/>
        </w:rPr>
        <w:t>prior to, or concurrent with,</w:t>
      </w:r>
      <w:r w:rsidR="007F08D3" w:rsidRPr="00E00E94">
        <w:rPr>
          <w:sz w:val="26"/>
          <w:szCs w:val="26"/>
        </w:rPr>
        <w:t xml:space="preserve"> the date of the hearing to explain her failure to attend.</w:t>
      </w:r>
      <w:r w:rsidR="0030659D">
        <w:rPr>
          <w:sz w:val="26"/>
          <w:szCs w:val="26"/>
        </w:rPr>
        <w:t xml:space="preserve">  I.D. at 5.</w:t>
      </w:r>
      <w:r w:rsidR="007F08D3" w:rsidRPr="00E00E94">
        <w:rPr>
          <w:sz w:val="26"/>
          <w:szCs w:val="26"/>
        </w:rPr>
        <w:t xml:space="preserve">  Under these circumstances, </w:t>
      </w:r>
      <w:r w:rsidR="0030659D">
        <w:rPr>
          <w:sz w:val="26"/>
          <w:szCs w:val="26"/>
        </w:rPr>
        <w:t xml:space="preserve">ALJ Brady concluded that </w:t>
      </w:r>
      <w:r>
        <w:rPr>
          <w:sz w:val="26"/>
          <w:szCs w:val="26"/>
        </w:rPr>
        <w:t>the Complainant</w:t>
      </w:r>
      <w:r w:rsidR="007F08D3" w:rsidRPr="00E00E94">
        <w:rPr>
          <w:sz w:val="26"/>
          <w:szCs w:val="26"/>
        </w:rPr>
        <w:t xml:space="preserve"> had ample opportunity to appear and be heard in this proceeding</w:t>
      </w:r>
      <w:r w:rsidR="0030659D">
        <w:rPr>
          <w:sz w:val="26"/>
          <w:szCs w:val="26"/>
        </w:rPr>
        <w:t xml:space="preserve"> and</w:t>
      </w:r>
      <w:r w:rsidR="007F08D3" w:rsidRPr="00E00E94">
        <w:rPr>
          <w:sz w:val="26"/>
          <w:szCs w:val="26"/>
        </w:rPr>
        <w:t xml:space="preserve"> </w:t>
      </w:r>
      <w:r>
        <w:rPr>
          <w:sz w:val="26"/>
          <w:szCs w:val="26"/>
        </w:rPr>
        <w:t xml:space="preserve">that her </w:t>
      </w:r>
      <w:r w:rsidR="007F08D3" w:rsidRPr="00E00E94">
        <w:rPr>
          <w:sz w:val="26"/>
          <w:szCs w:val="26"/>
        </w:rPr>
        <w:t>due process rights</w:t>
      </w:r>
      <w:r w:rsidR="0023078C">
        <w:rPr>
          <w:sz w:val="26"/>
          <w:szCs w:val="26"/>
        </w:rPr>
        <w:t xml:space="preserve"> </w:t>
      </w:r>
      <w:r w:rsidR="0030659D">
        <w:rPr>
          <w:sz w:val="26"/>
          <w:szCs w:val="26"/>
        </w:rPr>
        <w:t>were</w:t>
      </w:r>
      <w:r w:rsidR="007F08D3" w:rsidRPr="00E00E94">
        <w:rPr>
          <w:sz w:val="26"/>
          <w:szCs w:val="26"/>
        </w:rPr>
        <w:t xml:space="preserve"> protected.</w:t>
      </w:r>
      <w:r w:rsidR="0030659D">
        <w:rPr>
          <w:sz w:val="26"/>
          <w:szCs w:val="26"/>
        </w:rPr>
        <w:t xml:space="preserve">  </w:t>
      </w:r>
      <w:r w:rsidR="0030659D">
        <w:rPr>
          <w:i/>
          <w:iCs/>
          <w:sz w:val="26"/>
          <w:szCs w:val="26"/>
        </w:rPr>
        <w:t>Id</w:t>
      </w:r>
      <w:r w:rsidR="0030659D">
        <w:rPr>
          <w:sz w:val="26"/>
          <w:szCs w:val="26"/>
        </w:rPr>
        <w:t>. at 5-6,</w:t>
      </w:r>
      <w:r w:rsidR="006B3C3B">
        <w:rPr>
          <w:sz w:val="26"/>
          <w:szCs w:val="26"/>
        </w:rPr>
        <w:t xml:space="preserve"> citing</w:t>
      </w:r>
      <w:r w:rsidR="007F08D3" w:rsidRPr="00E00E94">
        <w:rPr>
          <w:sz w:val="26"/>
          <w:szCs w:val="26"/>
        </w:rPr>
        <w:t xml:space="preserve"> </w:t>
      </w:r>
      <w:proofErr w:type="spellStart"/>
      <w:r w:rsidR="007F08D3" w:rsidRPr="00E00E94">
        <w:rPr>
          <w:i/>
          <w:sz w:val="26"/>
          <w:szCs w:val="26"/>
        </w:rPr>
        <w:t>Sentner</w:t>
      </w:r>
      <w:proofErr w:type="spellEnd"/>
      <w:r w:rsidR="006B3C3B">
        <w:rPr>
          <w:iCs/>
          <w:sz w:val="26"/>
          <w:szCs w:val="26"/>
        </w:rPr>
        <w:t xml:space="preserve">.  </w:t>
      </w:r>
    </w:p>
    <w:p w14:paraId="7F2F2371" w14:textId="77777777" w:rsidR="00EA645B" w:rsidRDefault="00EA645B" w:rsidP="00E00E94">
      <w:pPr>
        <w:spacing w:line="360" w:lineRule="auto"/>
        <w:ind w:left="144" w:right="144" w:firstLine="1440"/>
        <w:rPr>
          <w:iCs/>
          <w:sz w:val="26"/>
          <w:szCs w:val="26"/>
        </w:rPr>
      </w:pPr>
    </w:p>
    <w:p w14:paraId="4E6F9D1C" w14:textId="77777777" w:rsidR="00EA645B" w:rsidRDefault="00EA645B" w:rsidP="00E00E94">
      <w:pPr>
        <w:spacing w:line="360" w:lineRule="auto"/>
        <w:ind w:left="144" w:right="144" w:firstLine="1440"/>
        <w:rPr>
          <w:iCs/>
          <w:sz w:val="26"/>
          <w:szCs w:val="26"/>
        </w:rPr>
      </w:pPr>
      <w:r>
        <w:rPr>
          <w:iCs/>
          <w:sz w:val="26"/>
          <w:szCs w:val="26"/>
        </w:rPr>
        <w:t>Based on the foregoing, the following, pertinent Conclusions of Law were drawn:</w:t>
      </w:r>
    </w:p>
    <w:p w14:paraId="2AEB2D24" w14:textId="77777777" w:rsidR="00EA645B" w:rsidRPr="001B3FF4" w:rsidRDefault="00EA645B" w:rsidP="00ED6E1F">
      <w:pPr>
        <w:rPr>
          <w:sz w:val="26"/>
          <w:szCs w:val="26"/>
        </w:rPr>
      </w:pPr>
    </w:p>
    <w:p w14:paraId="1B2F7C1F" w14:textId="77777777" w:rsidR="00EA645B" w:rsidRPr="0030659D" w:rsidRDefault="00EA645B" w:rsidP="00EA645B">
      <w:pPr>
        <w:widowControl/>
        <w:ind w:left="1440" w:right="1440"/>
        <w:rPr>
          <w:sz w:val="26"/>
          <w:szCs w:val="26"/>
        </w:rPr>
      </w:pPr>
      <w:r>
        <w:rPr>
          <w:sz w:val="26"/>
          <w:szCs w:val="26"/>
        </w:rPr>
        <w:t>6</w:t>
      </w:r>
      <w:r w:rsidR="00D10DAC">
        <w:rPr>
          <w:sz w:val="26"/>
          <w:szCs w:val="26"/>
        </w:rPr>
        <w:t>.</w:t>
      </w:r>
      <w:r>
        <w:rPr>
          <w:sz w:val="26"/>
          <w:szCs w:val="26"/>
        </w:rPr>
        <w:tab/>
      </w:r>
      <w:r w:rsidRPr="0030659D">
        <w:rPr>
          <w:sz w:val="26"/>
          <w:szCs w:val="26"/>
        </w:rPr>
        <w:t xml:space="preserve">In a </w:t>
      </w:r>
      <w:r w:rsidRPr="0030659D">
        <w:rPr>
          <w:i/>
          <w:sz w:val="26"/>
          <w:szCs w:val="26"/>
        </w:rPr>
        <w:t>de novo</w:t>
      </w:r>
      <w:r w:rsidRPr="0030659D">
        <w:rPr>
          <w:sz w:val="26"/>
          <w:szCs w:val="26"/>
        </w:rPr>
        <w:t xml:space="preserve"> appeal from a decision of the BCS, the burden of proof remains with the party who filed the original informal complaint, except for legal or policy issues raised by the utility on appeal; thus, Ms. Wrotten bears the burden of proving that she is entitled to the requested relief.  52 Pa. Code § 56.173(f). </w:t>
      </w:r>
    </w:p>
    <w:p w14:paraId="07B97407" w14:textId="77777777" w:rsidR="00EA645B" w:rsidRPr="00C808AE" w:rsidRDefault="00EA645B" w:rsidP="00EA645B">
      <w:pPr>
        <w:ind w:left="1440" w:right="1440" w:firstLine="720"/>
        <w:rPr>
          <w:sz w:val="26"/>
          <w:szCs w:val="26"/>
        </w:rPr>
      </w:pPr>
      <w:r w:rsidRPr="00C808AE">
        <w:rPr>
          <w:sz w:val="26"/>
          <w:szCs w:val="26"/>
        </w:rPr>
        <w:t xml:space="preserve"> </w:t>
      </w:r>
    </w:p>
    <w:p w14:paraId="70A4DDF2" w14:textId="77777777" w:rsidR="00EA645B" w:rsidRPr="0030659D" w:rsidRDefault="00EA645B" w:rsidP="00ED6E1F">
      <w:pPr>
        <w:keepLines/>
        <w:widowControl/>
        <w:ind w:left="1440" w:right="1440"/>
        <w:rPr>
          <w:sz w:val="26"/>
          <w:szCs w:val="26"/>
        </w:rPr>
      </w:pPr>
      <w:r>
        <w:rPr>
          <w:sz w:val="26"/>
          <w:szCs w:val="26"/>
        </w:rPr>
        <w:t>7</w:t>
      </w:r>
      <w:r w:rsidR="00D10DAC">
        <w:rPr>
          <w:sz w:val="26"/>
          <w:szCs w:val="26"/>
        </w:rPr>
        <w:t>.</w:t>
      </w:r>
      <w:r>
        <w:rPr>
          <w:sz w:val="26"/>
          <w:szCs w:val="26"/>
        </w:rPr>
        <w:tab/>
      </w:r>
      <w:r w:rsidRPr="0030659D">
        <w:rPr>
          <w:sz w:val="26"/>
          <w:szCs w:val="26"/>
        </w:rPr>
        <w:t>By failing to appear for the hearing and proffer any evidence to support the Complaint, Ms. Wrotten has failed to meet her burden of proving that she is entitled to the relief that she seeks from the Commission.  66 Pa.</w:t>
      </w:r>
      <w:r w:rsidR="00ED6E1F">
        <w:rPr>
          <w:sz w:val="26"/>
          <w:szCs w:val="26"/>
        </w:rPr>
        <w:t xml:space="preserve"> </w:t>
      </w:r>
      <w:r w:rsidRPr="0030659D">
        <w:rPr>
          <w:sz w:val="26"/>
          <w:szCs w:val="26"/>
        </w:rPr>
        <w:t xml:space="preserve">C.S. § 332(a).   </w:t>
      </w:r>
    </w:p>
    <w:p w14:paraId="7FE38FF6" w14:textId="77777777" w:rsidR="00ED6E1F" w:rsidRDefault="00ED6E1F" w:rsidP="00EA645B">
      <w:pPr>
        <w:spacing w:line="360" w:lineRule="auto"/>
        <w:rPr>
          <w:sz w:val="26"/>
          <w:szCs w:val="26"/>
        </w:rPr>
      </w:pPr>
    </w:p>
    <w:p w14:paraId="5816C4BB" w14:textId="77777777" w:rsidR="00EA645B" w:rsidRDefault="00EA645B" w:rsidP="00EA645B">
      <w:pPr>
        <w:spacing w:line="360" w:lineRule="auto"/>
        <w:rPr>
          <w:sz w:val="26"/>
          <w:szCs w:val="26"/>
        </w:rPr>
      </w:pPr>
      <w:r>
        <w:rPr>
          <w:sz w:val="26"/>
          <w:szCs w:val="26"/>
        </w:rPr>
        <w:t>I.D. at 7.</w:t>
      </w:r>
      <w:r w:rsidRPr="00C808AE">
        <w:rPr>
          <w:sz w:val="26"/>
          <w:szCs w:val="26"/>
        </w:rPr>
        <w:t xml:space="preserve"> </w:t>
      </w:r>
    </w:p>
    <w:p w14:paraId="7C861737" w14:textId="77777777" w:rsidR="00EA645B" w:rsidRDefault="00EA645B" w:rsidP="00E00E94">
      <w:pPr>
        <w:spacing w:line="360" w:lineRule="auto"/>
        <w:ind w:left="144" w:right="144" w:firstLine="1440"/>
        <w:rPr>
          <w:iCs/>
          <w:sz w:val="26"/>
          <w:szCs w:val="26"/>
        </w:rPr>
      </w:pPr>
    </w:p>
    <w:p w14:paraId="3F359EA7" w14:textId="77777777" w:rsidR="007F08D3" w:rsidRPr="00E00E94" w:rsidRDefault="00D10DAC" w:rsidP="00E00E94">
      <w:pPr>
        <w:spacing w:line="360" w:lineRule="auto"/>
        <w:ind w:left="144" w:right="144" w:firstLine="1440"/>
        <w:rPr>
          <w:sz w:val="26"/>
          <w:szCs w:val="26"/>
        </w:rPr>
      </w:pPr>
      <w:r>
        <w:rPr>
          <w:iCs/>
          <w:sz w:val="26"/>
          <w:szCs w:val="26"/>
        </w:rPr>
        <w:lastRenderedPageBreak/>
        <w:t xml:space="preserve">Based on the failure of </w:t>
      </w:r>
      <w:r w:rsidR="00BC65E6">
        <w:rPr>
          <w:iCs/>
          <w:sz w:val="26"/>
          <w:szCs w:val="26"/>
        </w:rPr>
        <w:t xml:space="preserve">the Complainant </w:t>
      </w:r>
      <w:r>
        <w:rPr>
          <w:iCs/>
          <w:sz w:val="26"/>
          <w:szCs w:val="26"/>
        </w:rPr>
        <w:t xml:space="preserve">to attend the duly scheduled hearing, and with no information in the record concerning any attempt to secure a continuance, ALJ Brady recommended that the </w:t>
      </w:r>
      <w:r w:rsidR="00603906" w:rsidRPr="009C51A5">
        <w:rPr>
          <w:sz w:val="26"/>
          <w:szCs w:val="26"/>
        </w:rPr>
        <w:t>BCS</w:t>
      </w:r>
      <w:r w:rsidR="00603906">
        <w:rPr>
          <w:rFonts w:eastAsiaTheme="minorHAnsi"/>
          <w:sz w:val="26"/>
          <w:szCs w:val="26"/>
        </w:rPr>
        <w:t xml:space="preserve"> informal decision at Case N</w:t>
      </w:r>
      <w:r w:rsidR="00A71283">
        <w:rPr>
          <w:rFonts w:eastAsiaTheme="minorHAnsi"/>
          <w:sz w:val="26"/>
          <w:szCs w:val="26"/>
        </w:rPr>
        <w:t>o.</w:t>
      </w:r>
      <w:r w:rsidR="00603906">
        <w:rPr>
          <w:rFonts w:eastAsiaTheme="minorHAnsi"/>
          <w:sz w:val="26"/>
          <w:szCs w:val="26"/>
        </w:rPr>
        <w:t xml:space="preserve"> 3607056</w:t>
      </w:r>
      <w:r>
        <w:rPr>
          <w:iCs/>
          <w:sz w:val="26"/>
          <w:szCs w:val="26"/>
        </w:rPr>
        <w:t xml:space="preserve"> be dismissed, with prejudice, and the appeal of PGW sustained. </w:t>
      </w:r>
      <w:r w:rsidR="007F08D3" w:rsidRPr="00E00E94">
        <w:rPr>
          <w:sz w:val="26"/>
          <w:szCs w:val="26"/>
        </w:rPr>
        <w:t xml:space="preserve"> </w:t>
      </w:r>
      <w:r w:rsidR="007D5D57">
        <w:rPr>
          <w:sz w:val="26"/>
          <w:szCs w:val="26"/>
        </w:rPr>
        <w:t>I.D. at 7-8.</w:t>
      </w:r>
    </w:p>
    <w:p w14:paraId="0714484F" w14:textId="77777777" w:rsidR="00C84430" w:rsidRPr="00D10DAC" w:rsidRDefault="007F08D3" w:rsidP="00124D81">
      <w:pPr>
        <w:spacing w:line="360" w:lineRule="auto"/>
        <w:ind w:right="144"/>
        <w:rPr>
          <w:sz w:val="26"/>
          <w:szCs w:val="26"/>
        </w:rPr>
      </w:pPr>
      <w:r w:rsidRPr="00E00E94">
        <w:rPr>
          <w:sz w:val="26"/>
          <w:szCs w:val="26"/>
        </w:rPr>
        <w:t xml:space="preserve"> </w:t>
      </w:r>
    </w:p>
    <w:p w14:paraId="3026B7CC" w14:textId="77777777" w:rsidR="0050577F" w:rsidRPr="00501B71" w:rsidRDefault="002C624B" w:rsidP="009F5087">
      <w:pPr>
        <w:widowControl/>
        <w:tabs>
          <w:tab w:val="left" w:pos="0"/>
        </w:tabs>
        <w:autoSpaceDE w:val="0"/>
        <w:autoSpaceDN w:val="0"/>
        <w:adjustRightInd w:val="0"/>
        <w:spacing w:line="360" w:lineRule="auto"/>
        <w:rPr>
          <w:b/>
          <w:sz w:val="26"/>
        </w:rPr>
      </w:pPr>
      <w:r>
        <w:rPr>
          <w:b/>
          <w:bCs/>
          <w:sz w:val="26"/>
          <w:szCs w:val="26"/>
        </w:rPr>
        <w:t xml:space="preserve">C. </w:t>
      </w:r>
      <w:r>
        <w:rPr>
          <w:b/>
          <w:bCs/>
          <w:sz w:val="26"/>
          <w:szCs w:val="26"/>
        </w:rPr>
        <w:tab/>
      </w:r>
      <w:r w:rsidR="0050577F" w:rsidRPr="00501B71">
        <w:rPr>
          <w:b/>
          <w:sz w:val="26"/>
        </w:rPr>
        <w:t xml:space="preserve">Exceptions and Replies </w:t>
      </w:r>
    </w:p>
    <w:p w14:paraId="5865D052" w14:textId="77777777" w:rsidR="0050577F" w:rsidRDefault="0050577F" w:rsidP="001C430A">
      <w:pPr>
        <w:widowControl/>
        <w:autoSpaceDE w:val="0"/>
        <w:autoSpaceDN w:val="0"/>
        <w:adjustRightInd w:val="0"/>
        <w:spacing w:line="360" w:lineRule="auto"/>
        <w:rPr>
          <w:sz w:val="26"/>
          <w:szCs w:val="26"/>
        </w:rPr>
      </w:pPr>
    </w:p>
    <w:p w14:paraId="54F5B101" w14:textId="77777777" w:rsidR="0050577F" w:rsidRDefault="003538BF" w:rsidP="0023078C">
      <w:pPr>
        <w:widowControl/>
        <w:autoSpaceDE w:val="0"/>
        <w:autoSpaceDN w:val="0"/>
        <w:adjustRightInd w:val="0"/>
        <w:spacing w:line="360" w:lineRule="auto"/>
        <w:ind w:firstLine="1440"/>
        <w:rPr>
          <w:sz w:val="26"/>
          <w:szCs w:val="26"/>
        </w:rPr>
      </w:pPr>
      <w:r>
        <w:rPr>
          <w:sz w:val="26"/>
          <w:szCs w:val="26"/>
        </w:rPr>
        <w:t xml:space="preserve">As noted, the Exceptions of the Complainant are a hand-written letter.  </w:t>
      </w:r>
      <w:r w:rsidR="00345C31">
        <w:rPr>
          <w:sz w:val="26"/>
          <w:szCs w:val="26"/>
        </w:rPr>
        <w:t>T</w:t>
      </w:r>
      <w:r w:rsidR="00BC65E6">
        <w:rPr>
          <w:sz w:val="26"/>
          <w:szCs w:val="26"/>
        </w:rPr>
        <w:t xml:space="preserve">he Complainant noted in her Exceptions </w:t>
      </w:r>
      <w:r w:rsidR="00EA645B">
        <w:rPr>
          <w:sz w:val="26"/>
          <w:szCs w:val="26"/>
        </w:rPr>
        <w:t xml:space="preserve">that she was unable to make the court date due to illness.  The Exceptions further </w:t>
      </w:r>
      <w:r w:rsidR="0023078C">
        <w:rPr>
          <w:sz w:val="26"/>
          <w:szCs w:val="26"/>
        </w:rPr>
        <w:t>state</w:t>
      </w:r>
      <w:r w:rsidR="00EA645B">
        <w:rPr>
          <w:sz w:val="26"/>
          <w:szCs w:val="26"/>
        </w:rPr>
        <w:t xml:space="preserve"> that Complainant attempt</w:t>
      </w:r>
      <w:r w:rsidR="00D10DAC">
        <w:rPr>
          <w:sz w:val="26"/>
          <w:szCs w:val="26"/>
        </w:rPr>
        <w:t>ed</w:t>
      </w:r>
      <w:r w:rsidR="00EA645B">
        <w:rPr>
          <w:sz w:val="26"/>
          <w:szCs w:val="26"/>
        </w:rPr>
        <w:t xml:space="preserve"> to contact the Commission but was </w:t>
      </w:r>
      <w:r w:rsidR="00BC65E6">
        <w:rPr>
          <w:sz w:val="26"/>
          <w:szCs w:val="26"/>
        </w:rPr>
        <w:t>unable</w:t>
      </w:r>
      <w:r w:rsidR="0023078C">
        <w:rPr>
          <w:sz w:val="26"/>
          <w:szCs w:val="26"/>
        </w:rPr>
        <w:t xml:space="preserve"> </w:t>
      </w:r>
      <w:r w:rsidR="00EA645B">
        <w:rPr>
          <w:sz w:val="26"/>
          <w:szCs w:val="26"/>
        </w:rPr>
        <w:t>to reach anyone.</w:t>
      </w:r>
      <w:r w:rsidR="007F1925">
        <w:rPr>
          <w:sz w:val="26"/>
          <w:szCs w:val="26"/>
        </w:rPr>
        <w:t xml:space="preserve">  Exc.</w:t>
      </w:r>
      <w:r w:rsidR="00ED6E1F">
        <w:rPr>
          <w:sz w:val="26"/>
          <w:szCs w:val="26"/>
        </w:rPr>
        <w:t> </w:t>
      </w:r>
      <w:r w:rsidR="007F1925">
        <w:rPr>
          <w:sz w:val="26"/>
          <w:szCs w:val="26"/>
        </w:rPr>
        <w:t xml:space="preserve">at 1. </w:t>
      </w:r>
    </w:p>
    <w:p w14:paraId="70945DAF" w14:textId="77777777" w:rsidR="0023078C" w:rsidRDefault="0023078C" w:rsidP="0023078C">
      <w:pPr>
        <w:widowControl/>
        <w:autoSpaceDE w:val="0"/>
        <w:autoSpaceDN w:val="0"/>
        <w:adjustRightInd w:val="0"/>
        <w:spacing w:line="360" w:lineRule="auto"/>
        <w:ind w:firstLine="1440"/>
        <w:rPr>
          <w:sz w:val="26"/>
          <w:szCs w:val="26"/>
        </w:rPr>
      </w:pPr>
    </w:p>
    <w:p w14:paraId="06DAF91D" w14:textId="4318DE53" w:rsidR="0023078C" w:rsidRDefault="0050577F" w:rsidP="00ED6E1F">
      <w:pPr>
        <w:widowControl/>
        <w:autoSpaceDE w:val="0"/>
        <w:autoSpaceDN w:val="0"/>
        <w:adjustRightInd w:val="0"/>
        <w:spacing w:line="360" w:lineRule="auto"/>
        <w:ind w:firstLine="1440"/>
        <w:rPr>
          <w:sz w:val="26"/>
          <w:szCs w:val="26"/>
        </w:rPr>
      </w:pPr>
      <w:r>
        <w:rPr>
          <w:sz w:val="26"/>
          <w:szCs w:val="26"/>
        </w:rPr>
        <w:t xml:space="preserve">In its Replies, PGW </w:t>
      </w:r>
      <w:r w:rsidR="00D10DAC">
        <w:rPr>
          <w:sz w:val="26"/>
          <w:szCs w:val="26"/>
        </w:rPr>
        <w:t xml:space="preserve">asserts that the Complainant has not presented any substantiation of her reasons for failing to attend the hearing.  PGW points out that the </w:t>
      </w:r>
      <w:r w:rsidR="00BC65E6">
        <w:rPr>
          <w:sz w:val="26"/>
          <w:szCs w:val="26"/>
        </w:rPr>
        <w:t xml:space="preserve">Complainant’s </w:t>
      </w:r>
      <w:r w:rsidR="00D10DAC">
        <w:rPr>
          <w:sz w:val="26"/>
          <w:szCs w:val="26"/>
        </w:rPr>
        <w:t>Exceptions do not indicate how</w:t>
      </w:r>
      <w:r w:rsidR="00381B89">
        <w:rPr>
          <w:sz w:val="26"/>
          <w:szCs w:val="26"/>
        </w:rPr>
        <w:t xml:space="preserve"> she </w:t>
      </w:r>
      <w:r w:rsidR="00D10DAC">
        <w:rPr>
          <w:sz w:val="26"/>
          <w:szCs w:val="26"/>
        </w:rPr>
        <w:t xml:space="preserve">attempted to contact the presiding ALJ and the Commission and, therefore, </w:t>
      </w:r>
      <w:r w:rsidR="0023078C">
        <w:rPr>
          <w:sz w:val="26"/>
          <w:szCs w:val="26"/>
        </w:rPr>
        <w:t xml:space="preserve">the Complainant </w:t>
      </w:r>
      <w:r w:rsidR="00D10DAC">
        <w:rPr>
          <w:sz w:val="26"/>
          <w:szCs w:val="26"/>
        </w:rPr>
        <w:t xml:space="preserve">has not established a good faith attempt to obtain a continuance or </w:t>
      </w:r>
      <w:r w:rsidR="00710C14">
        <w:rPr>
          <w:sz w:val="26"/>
          <w:szCs w:val="26"/>
        </w:rPr>
        <w:t xml:space="preserve">a </w:t>
      </w:r>
      <w:r w:rsidR="003538BF">
        <w:rPr>
          <w:sz w:val="26"/>
          <w:szCs w:val="26"/>
        </w:rPr>
        <w:t xml:space="preserve">good faith effort to </w:t>
      </w:r>
      <w:r w:rsidR="00D10DAC">
        <w:rPr>
          <w:sz w:val="26"/>
          <w:szCs w:val="26"/>
        </w:rPr>
        <w:t>attend.</w:t>
      </w:r>
      <w:r w:rsidR="00556059">
        <w:rPr>
          <w:sz w:val="26"/>
          <w:szCs w:val="26"/>
        </w:rPr>
        <w:t xml:space="preserve">  According to PGW, by failing to appear, the Complainant waived her opportunit</w:t>
      </w:r>
      <w:r w:rsidR="00FF5299">
        <w:rPr>
          <w:sz w:val="26"/>
          <w:szCs w:val="26"/>
        </w:rPr>
        <w:t>y</w:t>
      </w:r>
      <w:r w:rsidR="00556059">
        <w:rPr>
          <w:sz w:val="26"/>
          <w:szCs w:val="26"/>
        </w:rPr>
        <w:t xml:space="preserve"> to participate in the hearing and her due process rights were protected in the ALJ’s decision to vacate the BCS informal decision. </w:t>
      </w:r>
      <w:r w:rsidR="00592B75">
        <w:rPr>
          <w:sz w:val="26"/>
          <w:szCs w:val="26"/>
        </w:rPr>
        <w:t xml:space="preserve"> </w:t>
      </w:r>
      <w:r w:rsidR="00CF7E24">
        <w:rPr>
          <w:sz w:val="26"/>
          <w:szCs w:val="26"/>
        </w:rPr>
        <w:t>R. Exc. at 2-3.</w:t>
      </w:r>
    </w:p>
    <w:p w14:paraId="19938ECD" w14:textId="77777777" w:rsidR="00ED6E1F" w:rsidRDefault="00ED6E1F" w:rsidP="009E0CED">
      <w:pPr>
        <w:widowControl/>
        <w:autoSpaceDE w:val="0"/>
        <w:autoSpaceDN w:val="0"/>
        <w:adjustRightInd w:val="0"/>
        <w:spacing w:line="360" w:lineRule="auto"/>
        <w:rPr>
          <w:sz w:val="26"/>
          <w:szCs w:val="26"/>
        </w:rPr>
      </w:pPr>
    </w:p>
    <w:p w14:paraId="4CDA09F7" w14:textId="77777777" w:rsidR="0023078C" w:rsidRDefault="0023078C" w:rsidP="009E0CED">
      <w:pPr>
        <w:widowControl/>
        <w:autoSpaceDE w:val="0"/>
        <w:autoSpaceDN w:val="0"/>
        <w:adjustRightInd w:val="0"/>
        <w:spacing w:line="360" w:lineRule="auto"/>
        <w:ind w:firstLine="1440"/>
        <w:rPr>
          <w:b/>
          <w:bCs/>
          <w:sz w:val="26"/>
          <w:szCs w:val="26"/>
        </w:rPr>
      </w:pPr>
      <w:r>
        <w:rPr>
          <w:sz w:val="26"/>
          <w:szCs w:val="26"/>
        </w:rPr>
        <w:t>Based on the foregoing</w:t>
      </w:r>
      <w:r w:rsidR="00B84746">
        <w:rPr>
          <w:sz w:val="26"/>
          <w:szCs w:val="26"/>
        </w:rPr>
        <w:t>, PGW requests that the Commission</w:t>
      </w:r>
      <w:r w:rsidR="00C1542D">
        <w:rPr>
          <w:sz w:val="26"/>
          <w:szCs w:val="26"/>
        </w:rPr>
        <w:t xml:space="preserve"> </w:t>
      </w:r>
      <w:r w:rsidR="00B84746">
        <w:rPr>
          <w:sz w:val="26"/>
          <w:szCs w:val="26"/>
        </w:rPr>
        <w:t>deny the Complainant’s Exceptions</w:t>
      </w:r>
      <w:r w:rsidR="00C1542D">
        <w:rPr>
          <w:sz w:val="26"/>
          <w:szCs w:val="26"/>
        </w:rPr>
        <w:t xml:space="preserve"> </w:t>
      </w:r>
      <w:r w:rsidR="00B84746">
        <w:rPr>
          <w:sz w:val="26"/>
          <w:szCs w:val="26"/>
        </w:rPr>
        <w:t>and issue a Final Order in this matter sustaining PGW’s appeal and vacat</w:t>
      </w:r>
      <w:r w:rsidR="00C1542D">
        <w:rPr>
          <w:sz w:val="26"/>
          <w:szCs w:val="26"/>
        </w:rPr>
        <w:t>ing</w:t>
      </w:r>
      <w:r w:rsidR="00B84746">
        <w:rPr>
          <w:sz w:val="26"/>
          <w:szCs w:val="26"/>
        </w:rPr>
        <w:t xml:space="preserve"> the BCS’ informal decision at BCS Case No. 3607056.  </w:t>
      </w:r>
      <w:r w:rsidR="00556059">
        <w:rPr>
          <w:sz w:val="26"/>
          <w:szCs w:val="26"/>
        </w:rPr>
        <w:t>R. Exc. at 3.</w:t>
      </w:r>
      <w:r w:rsidR="009F60B0">
        <w:rPr>
          <w:b/>
          <w:bCs/>
          <w:sz w:val="26"/>
          <w:szCs w:val="26"/>
        </w:rPr>
        <w:t xml:space="preserve"> </w:t>
      </w:r>
    </w:p>
    <w:p w14:paraId="63BD2B1C" w14:textId="77777777" w:rsidR="0023078C" w:rsidRDefault="0023078C" w:rsidP="009E0CED">
      <w:pPr>
        <w:widowControl/>
        <w:autoSpaceDE w:val="0"/>
        <w:autoSpaceDN w:val="0"/>
        <w:adjustRightInd w:val="0"/>
        <w:spacing w:line="360" w:lineRule="auto"/>
        <w:ind w:right="1440"/>
        <w:rPr>
          <w:b/>
          <w:bCs/>
          <w:sz w:val="26"/>
          <w:szCs w:val="26"/>
        </w:rPr>
      </w:pPr>
    </w:p>
    <w:p w14:paraId="6B2BBDF7" w14:textId="77777777" w:rsidR="0050577F" w:rsidRDefault="009F60B0" w:rsidP="009E0CED">
      <w:pPr>
        <w:widowControl/>
        <w:autoSpaceDE w:val="0"/>
        <w:autoSpaceDN w:val="0"/>
        <w:adjustRightInd w:val="0"/>
        <w:spacing w:line="360" w:lineRule="auto"/>
        <w:ind w:right="1440"/>
        <w:rPr>
          <w:b/>
          <w:bCs/>
          <w:sz w:val="26"/>
          <w:szCs w:val="26"/>
        </w:rPr>
      </w:pPr>
      <w:r>
        <w:rPr>
          <w:b/>
          <w:bCs/>
          <w:sz w:val="26"/>
          <w:szCs w:val="26"/>
        </w:rPr>
        <w:t xml:space="preserve">D. </w:t>
      </w:r>
      <w:r>
        <w:rPr>
          <w:b/>
          <w:bCs/>
          <w:sz w:val="26"/>
          <w:szCs w:val="26"/>
        </w:rPr>
        <w:tab/>
      </w:r>
      <w:r w:rsidR="0050577F">
        <w:rPr>
          <w:b/>
          <w:bCs/>
          <w:sz w:val="26"/>
          <w:szCs w:val="26"/>
        </w:rPr>
        <w:t xml:space="preserve">Disposition </w:t>
      </w:r>
    </w:p>
    <w:p w14:paraId="0823A30C" w14:textId="77777777" w:rsidR="0050577F" w:rsidRDefault="0050577F" w:rsidP="009E0CED">
      <w:pPr>
        <w:spacing w:line="360" w:lineRule="auto"/>
        <w:ind w:firstLine="1440"/>
        <w:rPr>
          <w:sz w:val="26"/>
          <w:szCs w:val="26"/>
        </w:rPr>
      </w:pPr>
    </w:p>
    <w:p w14:paraId="5A32AFA4" w14:textId="774E8C28" w:rsidR="0050577F" w:rsidRPr="000A55CD" w:rsidRDefault="0050577F" w:rsidP="008A12A6">
      <w:pPr>
        <w:spacing w:line="360" w:lineRule="auto"/>
        <w:ind w:firstLine="1440"/>
        <w:rPr>
          <w:sz w:val="26"/>
          <w:szCs w:val="26"/>
        </w:rPr>
      </w:pPr>
      <w:r w:rsidRPr="000A55CD">
        <w:rPr>
          <w:sz w:val="26"/>
          <w:szCs w:val="26"/>
        </w:rPr>
        <w:t xml:space="preserve">Before addressing the </w:t>
      </w:r>
      <w:r>
        <w:rPr>
          <w:sz w:val="26"/>
          <w:szCs w:val="26"/>
        </w:rPr>
        <w:t>Exceptions,</w:t>
      </w:r>
      <w:r w:rsidRPr="000A55CD">
        <w:rPr>
          <w:sz w:val="26"/>
          <w:szCs w:val="26"/>
        </w:rPr>
        <w:t xml:space="preserve"> we </w:t>
      </w:r>
      <w:r w:rsidR="00D10DAC">
        <w:rPr>
          <w:sz w:val="26"/>
          <w:szCs w:val="26"/>
        </w:rPr>
        <w:t>advis</w:t>
      </w:r>
      <w:r>
        <w:rPr>
          <w:sz w:val="26"/>
          <w:szCs w:val="26"/>
        </w:rPr>
        <w:t xml:space="preserve">e </w:t>
      </w:r>
      <w:r w:rsidR="00D10DAC">
        <w:rPr>
          <w:sz w:val="26"/>
          <w:szCs w:val="26"/>
        </w:rPr>
        <w:t xml:space="preserve">the Parties </w:t>
      </w:r>
      <w:r>
        <w:rPr>
          <w:sz w:val="26"/>
          <w:szCs w:val="26"/>
        </w:rPr>
        <w:t>t</w:t>
      </w:r>
      <w:r w:rsidRPr="000A55CD">
        <w:rPr>
          <w:sz w:val="26"/>
          <w:szCs w:val="26"/>
        </w:rPr>
        <w:t xml:space="preserve">hat any issue </w:t>
      </w:r>
      <w:r>
        <w:rPr>
          <w:sz w:val="26"/>
          <w:szCs w:val="26"/>
        </w:rPr>
        <w:t>or contention that</w:t>
      </w:r>
      <w:r w:rsidRPr="000A55CD">
        <w:rPr>
          <w:sz w:val="26"/>
          <w:szCs w:val="26"/>
        </w:rPr>
        <w:t xml:space="preserve"> we do not specifically address shall be deemed to have been duly </w:t>
      </w:r>
      <w:r w:rsidRPr="000A55CD">
        <w:rPr>
          <w:sz w:val="26"/>
          <w:szCs w:val="26"/>
        </w:rPr>
        <w:lastRenderedPageBreak/>
        <w:t xml:space="preserve">considered and denied without further discussion.  The Commission is not required to consider, expressly or at length, each contention or argument raised by the parties.  </w:t>
      </w:r>
      <w:r w:rsidRPr="000A55CD">
        <w:rPr>
          <w:i/>
          <w:iCs/>
          <w:sz w:val="26"/>
          <w:szCs w:val="26"/>
        </w:rPr>
        <w:t>Consolidated Rail Corp. v. Pa. PUC</w:t>
      </w:r>
      <w:r w:rsidRPr="009E0CED">
        <w:rPr>
          <w:sz w:val="26"/>
          <w:szCs w:val="26"/>
        </w:rPr>
        <w:t>,</w:t>
      </w:r>
      <w:r w:rsidRPr="000A55CD">
        <w:rPr>
          <w:i/>
          <w:iCs/>
          <w:sz w:val="26"/>
          <w:szCs w:val="26"/>
        </w:rPr>
        <w:t xml:space="preserve"> </w:t>
      </w:r>
      <w:r w:rsidRPr="000A55CD">
        <w:rPr>
          <w:sz w:val="26"/>
          <w:szCs w:val="26"/>
        </w:rPr>
        <w:t xml:space="preserve">625 A.2d 741 (Pa. </w:t>
      </w:r>
      <w:proofErr w:type="spellStart"/>
      <w:r w:rsidRPr="000A55CD">
        <w:rPr>
          <w:sz w:val="26"/>
          <w:szCs w:val="26"/>
        </w:rPr>
        <w:t>Cmwlth</w:t>
      </w:r>
      <w:proofErr w:type="spellEnd"/>
      <w:r w:rsidRPr="000A55CD">
        <w:rPr>
          <w:sz w:val="26"/>
          <w:szCs w:val="26"/>
        </w:rPr>
        <w:t xml:space="preserve">. 1993); </w:t>
      </w:r>
      <w:r w:rsidRPr="000A55CD">
        <w:rPr>
          <w:i/>
          <w:sz w:val="26"/>
          <w:szCs w:val="26"/>
        </w:rPr>
        <w:t xml:space="preserve">also </w:t>
      </w:r>
      <w:r w:rsidRPr="000A55CD">
        <w:rPr>
          <w:i/>
          <w:iCs/>
          <w:sz w:val="26"/>
          <w:szCs w:val="26"/>
        </w:rPr>
        <w:t>see generally, Univ. of Pa. v. Pa. PUC</w:t>
      </w:r>
      <w:r w:rsidRPr="000A55CD">
        <w:rPr>
          <w:sz w:val="26"/>
          <w:szCs w:val="26"/>
        </w:rPr>
        <w:t xml:space="preserve">, 485 A.2d 1217 (Pa. </w:t>
      </w:r>
      <w:proofErr w:type="spellStart"/>
      <w:r w:rsidRPr="000A55CD">
        <w:rPr>
          <w:sz w:val="26"/>
          <w:szCs w:val="26"/>
        </w:rPr>
        <w:t>Cmwlth</w:t>
      </w:r>
      <w:proofErr w:type="spellEnd"/>
      <w:r w:rsidRPr="000A55CD">
        <w:rPr>
          <w:sz w:val="26"/>
          <w:szCs w:val="26"/>
        </w:rPr>
        <w:t xml:space="preserve">. 1984).  </w:t>
      </w:r>
      <w:r w:rsidRPr="00B86FB7">
        <w:rPr>
          <w:i/>
          <w:iCs/>
          <w:sz w:val="26"/>
          <w:szCs w:val="26"/>
        </w:rPr>
        <w:t>See</w:t>
      </w:r>
      <w:r w:rsidRPr="00B86FB7">
        <w:rPr>
          <w:sz w:val="26"/>
          <w:szCs w:val="26"/>
        </w:rPr>
        <w:t xml:space="preserve"> </w:t>
      </w:r>
      <w:r w:rsidRPr="00B86FB7">
        <w:rPr>
          <w:i/>
          <w:iCs/>
          <w:sz w:val="26"/>
          <w:szCs w:val="26"/>
        </w:rPr>
        <w:t>also</w:t>
      </w:r>
      <w:r w:rsidRPr="000A55CD">
        <w:rPr>
          <w:sz w:val="26"/>
          <w:szCs w:val="26"/>
        </w:rPr>
        <w:t xml:space="preserve"> </w:t>
      </w:r>
      <w:r w:rsidRPr="000A55CD">
        <w:rPr>
          <w:i/>
          <w:iCs/>
          <w:sz w:val="26"/>
          <w:szCs w:val="26"/>
        </w:rPr>
        <w:t>Metropolitan Edison Co. v. Pa. PUC</w:t>
      </w:r>
      <w:r w:rsidRPr="000A55CD">
        <w:rPr>
          <w:sz w:val="26"/>
          <w:szCs w:val="26"/>
        </w:rPr>
        <w:t xml:space="preserve">, 22 A.3d 353 (Pa. </w:t>
      </w:r>
      <w:proofErr w:type="spellStart"/>
      <w:r w:rsidRPr="000A55CD">
        <w:rPr>
          <w:sz w:val="26"/>
          <w:szCs w:val="26"/>
        </w:rPr>
        <w:t>Cmwlth</w:t>
      </w:r>
      <w:proofErr w:type="spellEnd"/>
      <w:r w:rsidRPr="000A55CD">
        <w:rPr>
          <w:sz w:val="26"/>
          <w:szCs w:val="26"/>
        </w:rPr>
        <w:t xml:space="preserve">. 2011), </w:t>
      </w:r>
      <w:r w:rsidRPr="000A55CD">
        <w:rPr>
          <w:i/>
          <w:iCs/>
          <w:sz w:val="26"/>
          <w:szCs w:val="26"/>
        </w:rPr>
        <w:t>appeal denied</w:t>
      </w:r>
      <w:r w:rsidR="009E0CED">
        <w:rPr>
          <w:sz w:val="26"/>
          <w:szCs w:val="26"/>
        </w:rPr>
        <w:t xml:space="preserve">, </w:t>
      </w:r>
      <w:hyperlink r:id="rId24" w:history="1">
        <w:r w:rsidRPr="000A55CD">
          <w:rPr>
            <w:sz w:val="26"/>
            <w:szCs w:val="26"/>
          </w:rPr>
          <w:t>22 A.3d 353</w:t>
        </w:r>
      </w:hyperlink>
      <w:r w:rsidRPr="000A55CD">
        <w:rPr>
          <w:sz w:val="26"/>
          <w:szCs w:val="26"/>
        </w:rPr>
        <w:t xml:space="preserve"> (</w:t>
      </w:r>
      <w:r w:rsidR="00381B89">
        <w:rPr>
          <w:sz w:val="26"/>
          <w:szCs w:val="26"/>
        </w:rPr>
        <w:t xml:space="preserve">Pa. </w:t>
      </w:r>
      <w:r w:rsidRPr="000A55CD">
        <w:rPr>
          <w:sz w:val="26"/>
          <w:szCs w:val="26"/>
        </w:rPr>
        <w:t xml:space="preserve">2012), citing </w:t>
      </w:r>
      <w:r w:rsidRPr="000A55CD">
        <w:rPr>
          <w:i/>
          <w:iCs/>
          <w:sz w:val="26"/>
          <w:szCs w:val="26"/>
        </w:rPr>
        <w:t>Wheeling &amp; Lake Erie Railway Company v. Pa. PUC</w:t>
      </w:r>
      <w:r w:rsidRPr="009E0CED">
        <w:rPr>
          <w:sz w:val="26"/>
          <w:szCs w:val="26"/>
        </w:rPr>
        <w:t>,</w:t>
      </w:r>
      <w:r w:rsidRPr="000A55CD">
        <w:rPr>
          <w:sz w:val="26"/>
          <w:szCs w:val="26"/>
        </w:rPr>
        <w:t xml:space="preserve"> 778</w:t>
      </w:r>
      <w:r w:rsidR="009E0CED">
        <w:rPr>
          <w:sz w:val="26"/>
          <w:szCs w:val="26"/>
        </w:rPr>
        <w:t> </w:t>
      </w:r>
      <w:r w:rsidRPr="000A55CD">
        <w:rPr>
          <w:sz w:val="26"/>
          <w:szCs w:val="26"/>
        </w:rPr>
        <w:t xml:space="preserve">A.2d 785, 794 (Pa. </w:t>
      </w:r>
      <w:proofErr w:type="spellStart"/>
      <w:r w:rsidRPr="000A55CD">
        <w:rPr>
          <w:sz w:val="26"/>
          <w:szCs w:val="26"/>
        </w:rPr>
        <w:t>Cmwlth</w:t>
      </w:r>
      <w:proofErr w:type="spellEnd"/>
      <w:r w:rsidRPr="000A55CD">
        <w:rPr>
          <w:sz w:val="26"/>
          <w:szCs w:val="26"/>
        </w:rPr>
        <w:t xml:space="preserve">. 2001) for the proposition that the Commission is not required to expressly consider </w:t>
      </w:r>
      <w:proofErr w:type="gramStart"/>
      <w:r w:rsidRPr="000A55CD">
        <w:rPr>
          <w:sz w:val="26"/>
          <w:szCs w:val="26"/>
        </w:rPr>
        <w:t>all</w:t>
      </w:r>
      <w:r w:rsidR="00546744">
        <w:rPr>
          <w:sz w:val="26"/>
          <w:szCs w:val="26"/>
        </w:rPr>
        <w:t xml:space="preserve"> </w:t>
      </w:r>
      <w:r w:rsidRPr="000A55CD">
        <w:rPr>
          <w:sz w:val="26"/>
          <w:szCs w:val="26"/>
        </w:rPr>
        <w:t>of</w:t>
      </w:r>
      <w:proofErr w:type="gramEnd"/>
      <w:r w:rsidRPr="000A55CD">
        <w:rPr>
          <w:sz w:val="26"/>
          <w:szCs w:val="26"/>
        </w:rPr>
        <w:t xml:space="preserve"> the arguments set forth by the parties in its Order.  </w:t>
      </w:r>
    </w:p>
    <w:p w14:paraId="65890DD4" w14:textId="77777777" w:rsidR="0050577F" w:rsidRDefault="0050577F" w:rsidP="008A12A6">
      <w:pPr>
        <w:widowControl/>
        <w:autoSpaceDE w:val="0"/>
        <w:autoSpaceDN w:val="0"/>
        <w:adjustRightInd w:val="0"/>
        <w:spacing w:line="360" w:lineRule="auto"/>
        <w:ind w:left="1440" w:right="1440"/>
        <w:rPr>
          <w:sz w:val="26"/>
          <w:szCs w:val="26"/>
        </w:rPr>
      </w:pPr>
      <w:r>
        <w:rPr>
          <w:sz w:val="26"/>
          <w:szCs w:val="26"/>
        </w:rPr>
        <w:t xml:space="preserve">  </w:t>
      </w:r>
    </w:p>
    <w:p w14:paraId="55E46365" w14:textId="260D7DFB" w:rsidR="00582FA4" w:rsidRPr="00064A33" w:rsidRDefault="00064A33" w:rsidP="00064A33">
      <w:pPr>
        <w:tabs>
          <w:tab w:val="left" w:pos="-720"/>
        </w:tabs>
        <w:suppressAutoHyphens/>
        <w:spacing w:line="360" w:lineRule="auto"/>
        <w:ind w:firstLine="1440"/>
        <w:rPr>
          <w:spacing w:val="-3"/>
          <w:sz w:val="26"/>
          <w:szCs w:val="26"/>
        </w:rPr>
      </w:pPr>
      <w:r>
        <w:rPr>
          <w:sz w:val="26"/>
          <w:szCs w:val="26"/>
        </w:rPr>
        <w:t xml:space="preserve">Based on a review </w:t>
      </w:r>
      <w:r w:rsidR="00710C14">
        <w:rPr>
          <w:sz w:val="26"/>
          <w:szCs w:val="26"/>
        </w:rPr>
        <w:t xml:space="preserve">of </w:t>
      </w:r>
      <w:r>
        <w:rPr>
          <w:sz w:val="26"/>
          <w:szCs w:val="26"/>
        </w:rPr>
        <w:t xml:space="preserve">the Exceptions and Replies thereto, the Complainant’s Exceptions shall be denied.  The Complainant has not shown that her failure to attend the hearing was unavoidable or that she made a good faith effort to attend the hearing.  As such, we find no basis to excuse her absence.  </w:t>
      </w:r>
      <w:r w:rsidR="00D10DAC">
        <w:rPr>
          <w:sz w:val="26"/>
          <w:szCs w:val="26"/>
        </w:rPr>
        <w:t xml:space="preserve">While </w:t>
      </w:r>
      <w:r w:rsidR="00381B89">
        <w:rPr>
          <w:sz w:val="26"/>
          <w:szCs w:val="26"/>
        </w:rPr>
        <w:t>the Complainant</w:t>
      </w:r>
      <w:r w:rsidR="00D10DAC">
        <w:rPr>
          <w:sz w:val="26"/>
          <w:szCs w:val="26"/>
        </w:rPr>
        <w:t xml:space="preserve"> cites </w:t>
      </w:r>
      <w:r w:rsidR="00582FA4">
        <w:rPr>
          <w:sz w:val="26"/>
          <w:szCs w:val="26"/>
        </w:rPr>
        <w:t xml:space="preserve">in </w:t>
      </w:r>
      <w:r w:rsidR="00D10DAC">
        <w:rPr>
          <w:sz w:val="26"/>
          <w:szCs w:val="26"/>
        </w:rPr>
        <w:t xml:space="preserve">her </w:t>
      </w:r>
      <w:r w:rsidR="00582FA4">
        <w:rPr>
          <w:sz w:val="26"/>
          <w:szCs w:val="26"/>
        </w:rPr>
        <w:t>Exceptions that she suffered from a medical condition at the time of the hearing, she has not provided any detail</w:t>
      </w:r>
      <w:r w:rsidR="00531B1E">
        <w:rPr>
          <w:sz w:val="26"/>
          <w:szCs w:val="26"/>
        </w:rPr>
        <w:t xml:space="preserve"> or evidence</w:t>
      </w:r>
      <w:r w:rsidR="00582FA4">
        <w:rPr>
          <w:sz w:val="26"/>
          <w:szCs w:val="26"/>
        </w:rPr>
        <w:t xml:space="preserve"> regarding how her sickness prevented her from seeking to obtain a continuance prior to the hearing or prevented her from </w:t>
      </w:r>
      <w:r w:rsidR="0015753C">
        <w:rPr>
          <w:sz w:val="26"/>
          <w:szCs w:val="26"/>
        </w:rPr>
        <w:t xml:space="preserve">engaging in </w:t>
      </w:r>
      <w:r w:rsidR="00582FA4">
        <w:rPr>
          <w:sz w:val="26"/>
          <w:szCs w:val="26"/>
        </w:rPr>
        <w:t>a good faith eff</w:t>
      </w:r>
      <w:r w:rsidR="00145DD1">
        <w:rPr>
          <w:sz w:val="26"/>
          <w:szCs w:val="26"/>
        </w:rPr>
        <w:t>ort</w:t>
      </w:r>
      <w:r w:rsidR="00582FA4">
        <w:rPr>
          <w:sz w:val="26"/>
          <w:szCs w:val="26"/>
        </w:rPr>
        <w:t xml:space="preserve"> to attend the hearing.  Similarly, </w:t>
      </w:r>
      <w:r>
        <w:rPr>
          <w:sz w:val="26"/>
          <w:szCs w:val="26"/>
        </w:rPr>
        <w:t>the Complainant</w:t>
      </w:r>
      <w:r w:rsidR="00381B89">
        <w:rPr>
          <w:sz w:val="26"/>
          <w:szCs w:val="26"/>
        </w:rPr>
        <w:t xml:space="preserve"> </w:t>
      </w:r>
      <w:r w:rsidR="00582FA4">
        <w:rPr>
          <w:sz w:val="26"/>
          <w:szCs w:val="26"/>
        </w:rPr>
        <w:t>cites to attempts to contact the Commission, but we do not have any further information in the record on which to assess the basis of these attempts to contact the Commission.</w:t>
      </w:r>
    </w:p>
    <w:p w14:paraId="35C5EA51" w14:textId="77777777" w:rsidR="00582FA4" w:rsidRDefault="00582FA4" w:rsidP="0015753C">
      <w:pPr>
        <w:widowControl/>
        <w:autoSpaceDE w:val="0"/>
        <w:autoSpaceDN w:val="0"/>
        <w:adjustRightInd w:val="0"/>
        <w:spacing w:line="360" w:lineRule="auto"/>
        <w:rPr>
          <w:sz w:val="26"/>
          <w:szCs w:val="26"/>
        </w:rPr>
      </w:pPr>
    </w:p>
    <w:p w14:paraId="04BAE9FD" w14:textId="77777777" w:rsidR="00064A33" w:rsidRDefault="005428A3" w:rsidP="00064A33">
      <w:pPr>
        <w:tabs>
          <w:tab w:val="left" w:pos="-720"/>
        </w:tabs>
        <w:suppressAutoHyphens/>
        <w:spacing w:line="360" w:lineRule="auto"/>
        <w:ind w:firstLine="1440"/>
        <w:rPr>
          <w:spacing w:val="-3"/>
          <w:sz w:val="26"/>
          <w:szCs w:val="26"/>
        </w:rPr>
      </w:pPr>
      <w:r>
        <w:rPr>
          <w:sz w:val="26"/>
          <w:szCs w:val="26"/>
        </w:rPr>
        <w:t xml:space="preserve">In light of the failure to attend the duly scheduled hearing, </w:t>
      </w:r>
      <w:r w:rsidR="00064A33">
        <w:rPr>
          <w:sz w:val="26"/>
          <w:szCs w:val="26"/>
        </w:rPr>
        <w:t>w</w:t>
      </w:r>
      <w:r w:rsidR="00064A33" w:rsidRPr="00906042">
        <w:rPr>
          <w:sz w:val="26"/>
          <w:szCs w:val="26"/>
        </w:rPr>
        <w:t>e</w:t>
      </w:r>
      <w:r w:rsidR="00064A33">
        <w:rPr>
          <w:sz w:val="26"/>
          <w:szCs w:val="26"/>
        </w:rPr>
        <w:t xml:space="preserve"> are constrained to decide </w:t>
      </w:r>
      <w:r w:rsidR="00064A33" w:rsidRPr="00906042">
        <w:rPr>
          <w:sz w:val="26"/>
          <w:szCs w:val="26"/>
        </w:rPr>
        <w:t xml:space="preserve">that the </w:t>
      </w:r>
      <w:r w:rsidR="00064A33">
        <w:rPr>
          <w:sz w:val="26"/>
          <w:szCs w:val="26"/>
        </w:rPr>
        <w:t xml:space="preserve">ALJ’s </w:t>
      </w:r>
      <w:r w:rsidR="00064A33" w:rsidRPr="00906042">
        <w:rPr>
          <w:sz w:val="26"/>
          <w:szCs w:val="26"/>
        </w:rPr>
        <w:t xml:space="preserve">decision is fully consistent with the legal and policy considerations addressed by the Commission in </w:t>
      </w:r>
      <w:r w:rsidR="00064A33" w:rsidRPr="00906042">
        <w:rPr>
          <w:rFonts w:eastAsiaTheme="minorHAnsi"/>
          <w:i/>
          <w:iCs/>
          <w:sz w:val="26"/>
          <w:szCs w:val="26"/>
        </w:rPr>
        <w:t xml:space="preserve">Thomas I </w:t>
      </w:r>
      <w:r w:rsidR="00064A33" w:rsidRPr="00906042">
        <w:rPr>
          <w:rFonts w:eastAsiaTheme="minorHAnsi"/>
          <w:sz w:val="26"/>
          <w:szCs w:val="26"/>
        </w:rPr>
        <w:t xml:space="preserve">regarding the effect of a customer’s failure to appear at a duly scheduled hearing of an appeal from a BCS decision).  </w:t>
      </w:r>
      <w:r w:rsidR="00064A33">
        <w:rPr>
          <w:i/>
          <w:iCs/>
          <w:sz w:val="26"/>
          <w:szCs w:val="26"/>
        </w:rPr>
        <w:t>See also</w:t>
      </w:r>
      <w:r w:rsidR="00064A33">
        <w:rPr>
          <w:sz w:val="26"/>
          <w:szCs w:val="26"/>
        </w:rPr>
        <w:t xml:space="preserve"> Docket Nos. </w:t>
      </w:r>
      <w:r w:rsidR="00064A33" w:rsidRPr="009C51A5">
        <w:rPr>
          <w:rFonts w:eastAsiaTheme="minorHAnsi"/>
          <w:sz w:val="26"/>
          <w:szCs w:val="26"/>
        </w:rPr>
        <w:t>F-2017-2611788</w:t>
      </w:r>
      <w:r w:rsidR="00064A33">
        <w:rPr>
          <w:rFonts w:eastAsiaTheme="minorHAnsi"/>
          <w:sz w:val="26"/>
          <w:szCs w:val="26"/>
        </w:rPr>
        <w:t xml:space="preserve">, </w:t>
      </w:r>
      <w:r w:rsidR="00064A33" w:rsidRPr="004E5C54">
        <w:rPr>
          <w:rFonts w:eastAsiaTheme="minorHAnsi"/>
          <w:i/>
          <w:iCs/>
          <w:sz w:val="26"/>
          <w:szCs w:val="26"/>
        </w:rPr>
        <w:t>et al</w:t>
      </w:r>
      <w:r w:rsidR="00064A33">
        <w:rPr>
          <w:rFonts w:eastAsiaTheme="minorHAnsi"/>
          <w:i/>
          <w:iCs/>
          <w:sz w:val="26"/>
          <w:szCs w:val="26"/>
        </w:rPr>
        <w:t>.</w:t>
      </w:r>
      <w:r w:rsidR="00064A33" w:rsidRPr="009C51A5">
        <w:rPr>
          <w:rFonts w:eastAsiaTheme="minorHAnsi"/>
          <w:sz w:val="26"/>
          <w:szCs w:val="26"/>
        </w:rPr>
        <w:t>;</w:t>
      </w:r>
      <w:r w:rsidR="00064A33">
        <w:rPr>
          <w:rFonts w:eastAsiaTheme="minorHAnsi"/>
          <w:sz w:val="26"/>
          <w:szCs w:val="26"/>
        </w:rPr>
        <w:t xml:space="preserve"> </w:t>
      </w:r>
      <w:r w:rsidR="00064A33">
        <w:rPr>
          <w:sz w:val="26"/>
          <w:szCs w:val="26"/>
        </w:rPr>
        <w:t>Initial Decision on Remand issued March 18, 2019; (</w:t>
      </w:r>
      <w:r w:rsidR="00064A33" w:rsidRPr="004E5C54">
        <w:rPr>
          <w:sz w:val="26"/>
          <w:szCs w:val="26"/>
        </w:rPr>
        <w:t xml:space="preserve">Final Order </w:t>
      </w:r>
      <w:r w:rsidR="00064A33">
        <w:rPr>
          <w:sz w:val="26"/>
          <w:szCs w:val="26"/>
        </w:rPr>
        <w:t xml:space="preserve">entered </w:t>
      </w:r>
      <w:r w:rsidR="00064A33" w:rsidRPr="004E5C54">
        <w:rPr>
          <w:spacing w:val="-3"/>
          <w:sz w:val="26"/>
          <w:szCs w:val="26"/>
        </w:rPr>
        <w:t>April 29, 2019</w:t>
      </w:r>
      <w:r w:rsidR="00064A33">
        <w:rPr>
          <w:spacing w:val="-3"/>
          <w:sz w:val="26"/>
          <w:szCs w:val="26"/>
        </w:rPr>
        <w:t>) (</w:t>
      </w:r>
      <w:r w:rsidR="00064A33">
        <w:rPr>
          <w:i/>
          <w:iCs/>
          <w:spacing w:val="-3"/>
          <w:sz w:val="26"/>
          <w:szCs w:val="26"/>
        </w:rPr>
        <w:t>Thomas II</w:t>
      </w:r>
      <w:r w:rsidR="00064A33">
        <w:rPr>
          <w:spacing w:val="-3"/>
          <w:sz w:val="26"/>
          <w:szCs w:val="26"/>
        </w:rPr>
        <w:t>).</w:t>
      </w:r>
    </w:p>
    <w:p w14:paraId="11AF4A1B" w14:textId="77777777" w:rsidR="00064A33" w:rsidRDefault="00064A33" w:rsidP="0015753C">
      <w:pPr>
        <w:widowControl/>
        <w:autoSpaceDE w:val="0"/>
        <w:autoSpaceDN w:val="0"/>
        <w:adjustRightInd w:val="0"/>
        <w:spacing w:line="360" w:lineRule="auto"/>
        <w:ind w:firstLine="1440"/>
        <w:rPr>
          <w:sz w:val="26"/>
          <w:szCs w:val="26"/>
        </w:rPr>
      </w:pPr>
    </w:p>
    <w:p w14:paraId="0CBAB452" w14:textId="77777777" w:rsidR="00064A33" w:rsidRDefault="00064A33" w:rsidP="0015753C">
      <w:pPr>
        <w:widowControl/>
        <w:autoSpaceDE w:val="0"/>
        <w:autoSpaceDN w:val="0"/>
        <w:adjustRightInd w:val="0"/>
        <w:spacing w:line="360" w:lineRule="auto"/>
        <w:ind w:firstLine="1440"/>
        <w:rPr>
          <w:sz w:val="26"/>
          <w:szCs w:val="26"/>
        </w:rPr>
      </w:pPr>
    </w:p>
    <w:p w14:paraId="71A45E57" w14:textId="77777777" w:rsidR="003B1324" w:rsidRPr="00E00E94" w:rsidRDefault="003B1324" w:rsidP="00592B75">
      <w:pPr>
        <w:keepNext/>
        <w:keepLines/>
        <w:widowControl/>
        <w:autoSpaceDE w:val="0"/>
        <w:autoSpaceDN w:val="0"/>
        <w:adjustRightInd w:val="0"/>
        <w:spacing w:line="360" w:lineRule="auto"/>
        <w:jc w:val="center"/>
        <w:rPr>
          <w:sz w:val="26"/>
          <w:szCs w:val="26"/>
        </w:rPr>
      </w:pPr>
      <w:r w:rsidRPr="00E00E94">
        <w:rPr>
          <w:b/>
          <w:sz w:val="26"/>
          <w:szCs w:val="26"/>
        </w:rPr>
        <w:lastRenderedPageBreak/>
        <w:t>Conclusion</w:t>
      </w:r>
    </w:p>
    <w:p w14:paraId="49C4246B" w14:textId="77777777" w:rsidR="003B1324" w:rsidRPr="00836D64" w:rsidRDefault="003B1324" w:rsidP="00592B75">
      <w:pPr>
        <w:keepNext/>
        <w:keepLines/>
        <w:widowControl/>
        <w:spacing w:line="360" w:lineRule="auto"/>
        <w:ind w:firstLine="1440"/>
        <w:rPr>
          <w:spacing w:val="-3"/>
          <w:sz w:val="26"/>
          <w:szCs w:val="26"/>
        </w:rPr>
      </w:pPr>
    </w:p>
    <w:p w14:paraId="04B5FD9C" w14:textId="77777777" w:rsidR="003B1324" w:rsidRPr="001F35D1" w:rsidRDefault="003B1324" w:rsidP="00592B75">
      <w:pPr>
        <w:keepNext/>
        <w:keepLines/>
        <w:widowControl/>
        <w:spacing w:line="360" w:lineRule="auto"/>
        <w:ind w:firstLine="1440"/>
        <w:rPr>
          <w:spacing w:val="-3"/>
          <w:sz w:val="26"/>
          <w:szCs w:val="26"/>
        </w:rPr>
      </w:pPr>
      <w:r w:rsidRPr="00836D64">
        <w:rPr>
          <w:spacing w:val="-3"/>
          <w:sz w:val="26"/>
          <w:szCs w:val="26"/>
        </w:rPr>
        <w:t>Based on the</w:t>
      </w:r>
      <w:r>
        <w:rPr>
          <w:spacing w:val="-3"/>
          <w:sz w:val="26"/>
          <w:szCs w:val="26"/>
        </w:rPr>
        <w:t xml:space="preserve"> foregoing discussion, we shall </w:t>
      </w:r>
      <w:r w:rsidR="00D86871">
        <w:rPr>
          <w:spacing w:val="-3"/>
          <w:sz w:val="26"/>
          <w:szCs w:val="26"/>
        </w:rPr>
        <w:t>deny the Complainant’s Exceptions</w:t>
      </w:r>
      <w:r w:rsidR="002223DD">
        <w:rPr>
          <w:spacing w:val="-3"/>
          <w:sz w:val="26"/>
          <w:szCs w:val="26"/>
        </w:rPr>
        <w:t>, consistent with the discussion in this Opinion and Order and adopt</w:t>
      </w:r>
      <w:r w:rsidR="007144C1">
        <w:rPr>
          <w:spacing w:val="-3"/>
          <w:sz w:val="26"/>
          <w:szCs w:val="26"/>
        </w:rPr>
        <w:t xml:space="preserve"> the ALJ’s Initial Decision</w:t>
      </w:r>
      <w:r>
        <w:rPr>
          <w:spacing w:val="-3"/>
          <w:sz w:val="26"/>
          <w:szCs w:val="26"/>
        </w:rPr>
        <w:t xml:space="preserve">; </w:t>
      </w:r>
      <w:r w:rsidRPr="001C7049">
        <w:rPr>
          <w:b/>
          <w:sz w:val="26"/>
          <w:szCs w:val="26"/>
        </w:rPr>
        <w:t>THEREFORE</w:t>
      </w:r>
      <w:r w:rsidRPr="001C7049">
        <w:rPr>
          <w:sz w:val="26"/>
          <w:szCs w:val="26"/>
        </w:rPr>
        <w:t>,</w:t>
      </w:r>
    </w:p>
    <w:p w14:paraId="54CEE9E4" w14:textId="77777777" w:rsidR="003B1324" w:rsidRDefault="003B1324" w:rsidP="00167690">
      <w:pPr>
        <w:widowControl/>
        <w:spacing w:line="360" w:lineRule="auto"/>
        <w:rPr>
          <w:sz w:val="26"/>
          <w:szCs w:val="26"/>
        </w:rPr>
      </w:pPr>
    </w:p>
    <w:p w14:paraId="20EFADB7" w14:textId="77777777" w:rsidR="003B1324" w:rsidRDefault="003B1324" w:rsidP="00167690">
      <w:pPr>
        <w:keepNext/>
        <w:keepLines/>
        <w:widowControl/>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14:paraId="25E80FD0" w14:textId="77777777" w:rsidR="003B1324" w:rsidRDefault="003B1324" w:rsidP="00167690">
      <w:pPr>
        <w:keepNext/>
        <w:keepLines/>
        <w:widowControl/>
        <w:spacing w:line="360" w:lineRule="auto"/>
        <w:rPr>
          <w:b/>
          <w:sz w:val="26"/>
          <w:szCs w:val="26"/>
        </w:rPr>
      </w:pPr>
    </w:p>
    <w:p w14:paraId="52B3593B" w14:textId="77777777" w:rsidR="00013D19" w:rsidRPr="0023078C" w:rsidRDefault="003B1324" w:rsidP="009F5087">
      <w:pPr>
        <w:pStyle w:val="ListParagraph"/>
        <w:widowControl/>
        <w:numPr>
          <w:ilvl w:val="0"/>
          <w:numId w:val="6"/>
        </w:numPr>
        <w:spacing w:line="360" w:lineRule="auto"/>
        <w:ind w:left="0" w:firstLine="1440"/>
        <w:rPr>
          <w:sz w:val="26"/>
          <w:szCs w:val="26"/>
        </w:rPr>
      </w:pPr>
      <w:r w:rsidRPr="00501B71">
        <w:rPr>
          <w:sz w:val="26"/>
        </w:rPr>
        <w:t xml:space="preserve">That the Exceptions filed </w:t>
      </w:r>
      <w:r w:rsidR="006D37C2">
        <w:rPr>
          <w:sz w:val="26"/>
          <w:szCs w:val="26"/>
        </w:rPr>
        <w:t xml:space="preserve">on August 26, 2019, </w:t>
      </w:r>
      <w:r w:rsidRPr="00501B71">
        <w:rPr>
          <w:sz w:val="26"/>
        </w:rPr>
        <w:t xml:space="preserve">by </w:t>
      </w:r>
      <w:r w:rsidR="001C430A" w:rsidRPr="00501B71">
        <w:rPr>
          <w:sz w:val="26"/>
        </w:rPr>
        <w:t xml:space="preserve">Roslyn Wrotten </w:t>
      </w:r>
      <w:r w:rsidRPr="00501B71">
        <w:rPr>
          <w:sz w:val="26"/>
        </w:rPr>
        <w:t xml:space="preserve">to the Initial Decision of Administrative Law Judge </w:t>
      </w:r>
      <w:r w:rsidR="001C430A" w:rsidRPr="00501B71">
        <w:rPr>
          <w:sz w:val="26"/>
        </w:rPr>
        <w:t>F. Joseph Brady</w:t>
      </w:r>
      <w:r w:rsidRPr="00501B71">
        <w:rPr>
          <w:sz w:val="26"/>
        </w:rPr>
        <w:t xml:space="preserve"> issued on </w:t>
      </w:r>
      <w:r w:rsidR="0015753C" w:rsidRPr="00381B89">
        <w:rPr>
          <w:sz w:val="26"/>
        </w:rPr>
        <w:t>August 5, 2019</w:t>
      </w:r>
      <w:r w:rsidRPr="00381B89">
        <w:rPr>
          <w:sz w:val="26"/>
        </w:rPr>
        <w:t>, are denied, consistent with this Opinion and Order.</w:t>
      </w:r>
    </w:p>
    <w:p w14:paraId="45730EE4" w14:textId="77777777" w:rsidR="0023078C" w:rsidRPr="0023078C" w:rsidRDefault="0023078C" w:rsidP="0023078C">
      <w:pPr>
        <w:widowControl/>
        <w:spacing w:line="360" w:lineRule="auto"/>
        <w:ind w:left="1440"/>
        <w:rPr>
          <w:sz w:val="26"/>
          <w:szCs w:val="26"/>
        </w:rPr>
      </w:pPr>
    </w:p>
    <w:p w14:paraId="6A0F0E3A" w14:textId="77777777" w:rsidR="00381B89" w:rsidRDefault="005E1D06" w:rsidP="009E0CED">
      <w:pPr>
        <w:pStyle w:val="ListParagraph"/>
        <w:widowControl/>
        <w:numPr>
          <w:ilvl w:val="0"/>
          <w:numId w:val="6"/>
        </w:numPr>
        <w:spacing w:line="360" w:lineRule="auto"/>
        <w:ind w:left="0" w:firstLine="1440"/>
        <w:rPr>
          <w:sz w:val="26"/>
          <w:szCs w:val="26"/>
        </w:rPr>
      </w:pPr>
      <w:r>
        <w:rPr>
          <w:sz w:val="26"/>
          <w:szCs w:val="26"/>
        </w:rPr>
        <w:t xml:space="preserve"> </w:t>
      </w:r>
      <w:r w:rsidR="00381B89">
        <w:rPr>
          <w:sz w:val="26"/>
          <w:szCs w:val="26"/>
        </w:rPr>
        <w:t xml:space="preserve">That the Initial Decision of Administrative Law Judge F. Joseph Brady issued on August 5, 2019, is </w:t>
      </w:r>
      <w:r w:rsidR="002223DD">
        <w:rPr>
          <w:sz w:val="26"/>
          <w:szCs w:val="26"/>
        </w:rPr>
        <w:t>adopted,</w:t>
      </w:r>
      <w:r w:rsidR="00381B89">
        <w:rPr>
          <w:sz w:val="26"/>
          <w:szCs w:val="26"/>
        </w:rPr>
        <w:t xml:space="preserve"> consistent with this Opinion and </w:t>
      </w:r>
      <w:r w:rsidR="005177CB">
        <w:rPr>
          <w:sz w:val="26"/>
          <w:szCs w:val="26"/>
        </w:rPr>
        <w:t>Order.</w:t>
      </w:r>
    </w:p>
    <w:p w14:paraId="5EA1B942" w14:textId="77777777" w:rsidR="005177CB" w:rsidRDefault="005177CB" w:rsidP="009E0CED">
      <w:pPr>
        <w:pStyle w:val="ListParagraph"/>
        <w:spacing w:line="360" w:lineRule="auto"/>
        <w:rPr>
          <w:sz w:val="26"/>
        </w:rPr>
      </w:pPr>
    </w:p>
    <w:p w14:paraId="7D4D1248" w14:textId="6EA6CD70" w:rsidR="007B0CF7" w:rsidRPr="003A5EC2" w:rsidRDefault="007B0CF7" w:rsidP="009E0CED">
      <w:pPr>
        <w:pStyle w:val="ListParagraph"/>
        <w:widowControl/>
        <w:numPr>
          <w:ilvl w:val="0"/>
          <w:numId w:val="6"/>
        </w:numPr>
        <w:autoSpaceDE w:val="0"/>
        <w:autoSpaceDN w:val="0"/>
        <w:adjustRightInd w:val="0"/>
        <w:spacing w:line="360" w:lineRule="auto"/>
        <w:ind w:left="0" w:firstLine="1440"/>
        <w:rPr>
          <w:rFonts w:eastAsiaTheme="minorHAnsi"/>
          <w:color w:val="000000"/>
          <w:sz w:val="26"/>
          <w:szCs w:val="26"/>
        </w:rPr>
      </w:pPr>
      <w:r w:rsidRPr="003A5EC2">
        <w:rPr>
          <w:rFonts w:eastAsiaTheme="minorHAnsi"/>
          <w:color w:val="000000"/>
          <w:sz w:val="26"/>
          <w:szCs w:val="26"/>
        </w:rPr>
        <w:t>That the original caption of “Philadelphia Gas Works v. Roslyn Wrotten” at Docket No. F-2019-3008245 is hereby changed to “Roslyn Wrotten v. Philadelphia Gas Works (Complaint</w:t>
      </w:r>
      <w:r w:rsidR="0063507F">
        <w:rPr>
          <w:rFonts w:eastAsiaTheme="minorHAnsi"/>
          <w:color w:val="000000"/>
          <w:sz w:val="26"/>
          <w:szCs w:val="26"/>
        </w:rPr>
        <w:t>/</w:t>
      </w:r>
      <w:r w:rsidRPr="003A5EC2">
        <w:rPr>
          <w:rFonts w:eastAsiaTheme="minorHAnsi"/>
          <w:color w:val="000000"/>
          <w:sz w:val="26"/>
          <w:szCs w:val="26"/>
        </w:rPr>
        <w:t>Appellant)” at the same Docket</w:t>
      </w:r>
      <w:r>
        <w:rPr>
          <w:rFonts w:eastAsiaTheme="minorHAnsi"/>
          <w:color w:val="000000"/>
          <w:sz w:val="26"/>
          <w:szCs w:val="26"/>
        </w:rPr>
        <w:t>.</w:t>
      </w:r>
    </w:p>
    <w:p w14:paraId="10C35749" w14:textId="77777777" w:rsidR="007B0CF7" w:rsidRPr="00501B71" w:rsidRDefault="007B0CF7" w:rsidP="009E0CED">
      <w:pPr>
        <w:pStyle w:val="ListParagraph"/>
        <w:spacing w:line="360" w:lineRule="auto"/>
        <w:ind w:left="1440"/>
        <w:rPr>
          <w:sz w:val="26"/>
        </w:rPr>
      </w:pPr>
    </w:p>
    <w:p w14:paraId="30F83A33" w14:textId="102437ED" w:rsidR="005177CB" w:rsidRDefault="005177CB" w:rsidP="009E0CED">
      <w:pPr>
        <w:pStyle w:val="ListParagraph"/>
        <w:widowControl/>
        <w:numPr>
          <w:ilvl w:val="0"/>
          <w:numId w:val="6"/>
        </w:numPr>
        <w:spacing w:line="360" w:lineRule="auto"/>
        <w:ind w:left="0" w:firstLine="1440"/>
        <w:rPr>
          <w:sz w:val="26"/>
          <w:szCs w:val="26"/>
        </w:rPr>
      </w:pPr>
      <w:r>
        <w:rPr>
          <w:sz w:val="26"/>
          <w:szCs w:val="26"/>
        </w:rPr>
        <w:t>That the</w:t>
      </w:r>
      <w:r w:rsidR="00FE3B5E">
        <w:rPr>
          <w:sz w:val="26"/>
          <w:szCs w:val="26"/>
        </w:rPr>
        <w:t xml:space="preserve"> </w:t>
      </w:r>
      <w:r>
        <w:rPr>
          <w:sz w:val="26"/>
          <w:szCs w:val="26"/>
        </w:rPr>
        <w:t xml:space="preserve">Complaint </w:t>
      </w:r>
      <w:r w:rsidR="00F63697">
        <w:rPr>
          <w:sz w:val="26"/>
          <w:szCs w:val="26"/>
        </w:rPr>
        <w:t xml:space="preserve">of </w:t>
      </w:r>
      <w:r w:rsidR="007302F5">
        <w:rPr>
          <w:sz w:val="26"/>
          <w:szCs w:val="26"/>
        </w:rPr>
        <w:t>Roslyn Wrotten v.</w:t>
      </w:r>
      <w:r>
        <w:rPr>
          <w:sz w:val="26"/>
          <w:szCs w:val="26"/>
        </w:rPr>
        <w:t xml:space="preserve"> Philadelphia Gas Works</w:t>
      </w:r>
      <w:r w:rsidR="007302F5">
        <w:rPr>
          <w:sz w:val="26"/>
          <w:szCs w:val="26"/>
        </w:rPr>
        <w:t xml:space="preserve"> (Complaint/Appellant)</w:t>
      </w:r>
      <w:r>
        <w:rPr>
          <w:sz w:val="26"/>
          <w:szCs w:val="26"/>
        </w:rPr>
        <w:t xml:space="preserve"> </w:t>
      </w:r>
      <w:r w:rsidR="007302F5">
        <w:rPr>
          <w:sz w:val="26"/>
          <w:szCs w:val="26"/>
        </w:rPr>
        <w:t xml:space="preserve">filed </w:t>
      </w:r>
      <w:r>
        <w:rPr>
          <w:sz w:val="26"/>
          <w:szCs w:val="26"/>
        </w:rPr>
        <w:t>o</w:t>
      </w:r>
      <w:r w:rsidRPr="009C51A5">
        <w:rPr>
          <w:sz w:val="26"/>
          <w:szCs w:val="26"/>
        </w:rPr>
        <w:t xml:space="preserve">n February 21, 2019, </w:t>
      </w:r>
      <w:r w:rsidR="00ED61E9">
        <w:rPr>
          <w:sz w:val="26"/>
          <w:szCs w:val="26"/>
        </w:rPr>
        <w:t>at Docket No. F-2019-3008245</w:t>
      </w:r>
      <w:r>
        <w:rPr>
          <w:sz w:val="26"/>
          <w:szCs w:val="26"/>
        </w:rPr>
        <w:t xml:space="preserve">, is </w:t>
      </w:r>
      <w:r w:rsidR="005E1D06">
        <w:rPr>
          <w:sz w:val="26"/>
          <w:szCs w:val="26"/>
        </w:rPr>
        <w:t>dismissed</w:t>
      </w:r>
      <w:r>
        <w:rPr>
          <w:sz w:val="26"/>
          <w:szCs w:val="26"/>
        </w:rPr>
        <w:t>,</w:t>
      </w:r>
      <w:r w:rsidR="00F51B5E">
        <w:rPr>
          <w:sz w:val="26"/>
          <w:szCs w:val="26"/>
        </w:rPr>
        <w:t xml:space="preserve"> with prejudice,</w:t>
      </w:r>
      <w:r>
        <w:rPr>
          <w:sz w:val="26"/>
          <w:szCs w:val="26"/>
        </w:rPr>
        <w:t xml:space="preserve"> consistent with this Opinion and Order.</w:t>
      </w:r>
    </w:p>
    <w:p w14:paraId="3DDD9696" w14:textId="77777777" w:rsidR="00FE3B5E" w:rsidRPr="00501B71" w:rsidRDefault="00FE3B5E" w:rsidP="009E0CED">
      <w:pPr>
        <w:pStyle w:val="ListParagraph"/>
        <w:spacing w:line="360" w:lineRule="auto"/>
        <w:rPr>
          <w:sz w:val="26"/>
        </w:rPr>
      </w:pPr>
    </w:p>
    <w:p w14:paraId="78E6CD15" w14:textId="4C2895C4" w:rsidR="007302F5" w:rsidRPr="00501B71" w:rsidRDefault="00FE3B5E" w:rsidP="009E0CED">
      <w:pPr>
        <w:pStyle w:val="ListParagraph"/>
        <w:widowControl/>
        <w:numPr>
          <w:ilvl w:val="0"/>
          <w:numId w:val="6"/>
        </w:numPr>
        <w:spacing w:line="360" w:lineRule="auto"/>
        <w:ind w:left="0" w:firstLine="1440"/>
        <w:rPr>
          <w:sz w:val="26"/>
        </w:rPr>
      </w:pPr>
      <w:r w:rsidRPr="007302F5">
        <w:rPr>
          <w:sz w:val="26"/>
          <w:szCs w:val="26"/>
        </w:rPr>
        <w:t>That the</w:t>
      </w:r>
      <w:r w:rsidR="007302F5" w:rsidRPr="007302F5">
        <w:rPr>
          <w:sz w:val="26"/>
          <w:szCs w:val="26"/>
        </w:rPr>
        <w:t xml:space="preserve"> </w:t>
      </w:r>
      <w:r w:rsidR="007302F5" w:rsidRPr="00501B71">
        <w:rPr>
          <w:spacing w:val="-3"/>
          <w:sz w:val="26"/>
        </w:rPr>
        <w:t>decision from the Bureau of Consumer Services dated</w:t>
      </w:r>
      <w:r w:rsidR="007302F5">
        <w:rPr>
          <w:spacing w:val="-3"/>
          <w:sz w:val="26"/>
          <w:szCs w:val="26"/>
        </w:rPr>
        <w:t xml:space="preserve"> December 28</w:t>
      </w:r>
      <w:r w:rsidR="007302F5" w:rsidRPr="00501B71">
        <w:rPr>
          <w:spacing w:val="-3"/>
          <w:sz w:val="26"/>
        </w:rPr>
        <w:t xml:space="preserve">, </w:t>
      </w:r>
      <w:r w:rsidR="007302F5">
        <w:rPr>
          <w:spacing w:val="-3"/>
          <w:sz w:val="26"/>
          <w:szCs w:val="26"/>
        </w:rPr>
        <w:t xml:space="preserve">2018, </w:t>
      </w:r>
      <w:r w:rsidR="007302F5" w:rsidRPr="00501B71">
        <w:rPr>
          <w:spacing w:val="-3"/>
          <w:sz w:val="26"/>
        </w:rPr>
        <w:t xml:space="preserve">at Case No. </w:t>
      </w:r>
      <w:r w:rsidR="007302F5" w:rsidRPr="009C51A5">
        <w:rPr>
          <w:sz w:val="26"/>
          <w:szCs w:val="26"/>
        </w:rPr>
        <w:t>3607056</w:t>
      </w:r>
      <w:r w:rsidR="007302F5" w:rsidRPr="00501B71">
        <w:rPr>
          <w:spacing w:val="-3"/>
          <w:sz w:val="26"/>
        </w:rPr>
        <w:t>, is</w:t>
      </w:r>
      <w:r w:rsidR="00DA179D">
        <w:rPr>
          <w:spacing w:val="-3"/>
          <w:sz w:val="26"/>
          <w:szCs w:val="26"/>
        </w:rPr>
        <w:t xml:space="preserve"> vacated</w:t>
      </w:r>
      <w:r w:rsidR="007F2A87">
        <w:rPr>
          <w:spacing w:val="-3"/>
          <w:sz w:val="26"/>
          <w:szCs w:val="26"/>
        </w:rPr>
        <w:t>, consistent with this Opinion and Order.</w:t>
      </w:r>
      <w:r w:rsidR="007302F5" w:rsidRPr="00501B71">
        <w:rPr>
          <w:spacing w:val="-3"/>
          <w:sz w:val="26"/>
        </w:rPr>
        <w:t xml:space="preserve">  </w:t>
      </w:r>
    </w:p>
    <w:p w14:paraId="4956A19A" w14:textId="77777777" w:rsidR="005E1D06" w:rsidRDefault="005E1D06" w:rsidP="009E0CED">
      <w:pPr>
        <w:widowControl/>
        <w:spacing w:line="360" w:lineRule="auto"/>
        <w:ind w:firstLine="1440"/>
        <w:rPr>
          <w:sz w:val="26"/>
          <w:szCs w:val="26"/>
        </w:rPr>
      </w:pPr>
    </w:p>
    <w:p w14:paraId="1B827E45" w14:textId="77777777" w:rsidR="003B1324" w:rsidRPr="00D0426F" w:rsidRDefault="003B1324" w:rsidP="009E0CED">
      <w:pPr>
        <w:pStyle w:val="ListParagraph"/>
        <w:keepNext/>
        <w:keepLines/>
        <w:widowControl/>
        <w:numPr>
          <w:ilvl w:val="0"/>
          <w:numId w:val="6"/>
        </w:numPr>
        <w:spacing w:line="360" w:lineRule="auto"/>
        <w:rPr>
          <w:sz w:val="26"/>
          <w:szCs w:val="26"/>
        </w:rPr>
      </w:pPr>
      <w:r w:rsidRPr="00D0426F">
        <w:rPr>
          <w:sz w:val="26"/>
          <w:szCs w:val="26"/>
        </w:rPr>
        <w:lastRenderedPageBreak/>
        <w:t>That the proceeding at this docket be marked cl</w:t>
      </w:r>
      <w:r w:rsidR="00781988" w:rsidRPr="00D0426F">
        <w:rPr>
          <w:sz w:val="26"/>
          <w:szCs w:val="26"/>
        </w:rPr>
        <w:t>osed.</w:t>
      </w:r>
    </w:p>
    <w:p w14:paraId="7832D110" w14:textId="77777777" w:rsidR="00D0426F" w:rsidRDefault="00D0426F" w:rsidP="00546744">
      <w:pPr>
        <w:pStyle w:val="ListParagraph"/>
        <w:keepNext/>
        <w:keepLines/>
        <w:widowControl/>
        <w:rPr>
          <w:sz w:val="26"/>
          <w:szCs w:val="26"/>
        </w:rPr>
      </w:pPr>
    </w:p>
    <w:p w14:paraId="508B5543" w14:textId="77777777" w:rsidR="00546744" w:rsidRPr="00D0426F" w:rsidRDefault="00546744" w:rsidP="00546744">
      <w:pPr>
        <w:pStyle w:val="ListParagraph"/>
        <w:keepNext/>
        <w:keepLines/>
        <w:widowControl/>
        <w:rPr>
          <w:sz w:val="26"/>
          <w:szCs w:val="26"/>
        </w:rPr>
      </w:pPr>
    </w:p>
    <w:p w14:paraId="0C52CE53" w14:textId="55E3DECF" w:rsidR="003B1324" w:rsidRPr="000D6043" w:rsidRDefault="00446F97" w:rsidP="00546744">
      <w:pPr>
        <w:keepNext/>
        <w:keepLines/>
        <w:widowControl/>
        <w:spacing w:line="360" w:lineRule="auto"/>
        <w:rPr>
          <w:b/>
          <w:sz w:val="26"/>
          <w:szCs w:val="26"/>
        </w:rPr>
      </w:pPr>
      <w:bookmarkStart w:id="0" w:name="_GoBack"/>
      <w:r w:rsidRPr="007700C1">
        <w:rPr>
          <w:noProof/>
          <w:sz w:val="24"/>
          <w:szCs w:val="24"/>
        </w:rPr>
        <w:drawing>
          <wp:anchor distT="0" distB="0" distL="114300" distR="114300" simplePos="0" relativeHeight="251659264" behindDoc="1" locked="0" layoutInCell="1" allowOverlap="1" wp14:anchorId="10E15C94" wp14:editId="1C975318">
            <wp:simplePos x="0" y="0"/>
            <wp:positionH relativeFrom="column">
              <wp:posOffset>2933700</wp:posOffset>
            </wp:positionH>
            <wp:positionV relativeFrom="paragraph">
              <wp:posOffset>83820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2203450" cy="838200"/>
                    </a:xfrm>
                    <a:prstGeom prst="rect">
                      <a:avLst/>
                    </a:prstGeom>
                    <a:noFill/>
                  </pic:spPr>
                </pic:pic>
              </a:graphicData>
            </a:graphic>
          </wp:anchor>
        </w:drawing>
      </w:r>
      <w:bookmarkEnd w:id="0"/>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sz w:val="26"/>
          <w:szCs w:val="26"/>
        </w:rPr>
        <w:tab/>
      </w:r>
      <w:r w:rsidR="003B1324" w:rsidRPr="000D6043">
        <w:rPr>
          <w:b/>
          <w:sz w:val="26"/>
          <w:szCs w:val="26"/>
        </w:rPr>
        <w:t>BY THE COMMISSION,</w:t>
      </w:r>
    </w:p>
    <w:p w14:paraId="5FC1F79A" w14:textId="2CBC091D" w:rsidR="003B1324" w:rsidRDefault="003B1324" w:rsidP="00546744">
      <w:pPr>
        <w:keepNext/>
        <w:keepLines/>
        <w:widowControl/>
        <w:rPr>
          <w:sz w:val="26"/>
          <w:szCs w:val="26"/>
        </w:rPr>
      </w:pPr>
    </w:p>
    <w:p w14:paraId="2F44CAA7" w14:textId="1FE2ABC1" w:rsidR="007144C1" w:rsidRDefault="007144C1" w:rsidP="00546744">
      <w:pPr>
        <w:keepNext/>
        <w:keepLines/>
        <w:widowControl/>
        <w:rPr>
          <w:sz w:val="26"/>
          <w:szCs w:val="26"/>
        </w:rPr>
      </w:pPr>
    </w:p>
    <w:p w14:paraId="7D1F3E3C" w14:textId="77777777" w:rsidR="003B1324" w:rsidRDefault="003B1324" w:rsidP="00065A54">
      <w:pPr>
        <w:keepNext/>
        <w:keepLines/>
        <w:widowControl/>
        <w:rPr>
          <w:sz w:val="26"/>
          <w:szCs w:val="26"/>
        </w:rPr>
      </w:pPr>
    </w:p>
    <w:p w14:paraId="32A36E45" w14:textId="77777777" w:rsidR="003B1324" w:rsidRPr="000D6043" w:rsidRDefault="003B1324" w:rsidP="00065A5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42CA2B40" w14:textId="77777777" w:rsidR="003B1324" w:rsidRDefault="003B1324" w:rsidP="00065A54">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60EA1C73" w14:textId="77777777" w:rsidR="003B1324" w:rsidRDefault="003B1324" w:rsidP="00065A54">
      <w:pPr>
        <w:keepNext/>
        <w:keepLines/>
        <w:widowControl/>
        <w:tabs>
          <w:tab w:val="left" w:pos="-720"/>
        </w:tabs>
        <w:suppressAutoHyphens/>
        <w:rPr>
          <w:sz w:val="26"/>
          <w:szCs w:val="26"/>
        </w:rPr>
      </w:pPr>
    </w:p>
    <w:p w14:paraId="10525EB1" w14:textId="77777777" w:rsidR="003B1324" w:rsidRDefault="003B1324" w:rsidP="00065A54">
      <w:pPr>
        <w:keepNext/>
        <w:keepLines/>
        <w:widowControl/>
        <w:tabs>
          <w:tab w:val="left" w:pos="-720"/>
        </w:tabs>
        <w:suppressAutoHyphens/>
        <w:rPr>
          <w:sz w:val="26"/>
          <w:szCs w:val="26"/>
        </w:rPr>
      </w:pPr>
    </w:p>
    <w:p w14:paraId="430769E4" w14:textId="77777777" w:rsidR="003B1324" w:rsidRPr="001B2BFB" w:rsidRDefault="003B1324" w:rsidP="00065A54">
      <w:pPr>
        <w:keepNext/>
        <w:keepLines/>
        <w:widowControl/>
        <w:tabs>
          <w:tab w:val="left" w:pos="-720"/>
        </w:tabs>
        <w:suppressAutoHyphens/>
        <w:rPr>
          <w:sz w:val="26"/>
          <w:szCs w:val="26"/>
        </w:rPr>
      </w:pPr>
      <w:r w:rsidRPr="00AD292A">
        <w:rPr>
          <w:sz w:val="26"/>
          <w:szCs w:val="26"/>
        </w:rPr>
        <w:t>(SEAL)</w:t>
      </w:r>
    </w:p>
    <w:p w14:paraId="0E763582" w14:textId="77777777" w:rsidR="003B1324" w:rsidRDefault="003B1324" w:rsidP="00065A54">
      <w:pPr>
        <w:keepNext/>
        <w:keepLines/>
        <w:widowControl/>
        <w:tabs>
          <w:tab w:val="left" w:pos="-720"/>
        </w:tabs>
        <w:suppressAutoHyphens/>
        <w:rPr>
          <w:sz w:val="26"/>
          <w:szCs w:val="26"/>
        </w:rPr>
      </w:pPr>
    </w:p>
    <w:p w14:paraId="67EF825B" w14:textId="77777777" w:rsidR="003B1324" w:rsidRDefault="003B1324" w:rsidP="00065A54">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381B89">
        <w:rPr>
          <w:sz w:val="26"/>
          <w:szCs w:val="26"/>
        </w:rPr>
        <w:t xml:space="preserve">April </w:t>
      </w:r>
      <w:r w:rsidR="002A2EC0">
        <w:rPr>
          <w:sz w:val="26"/>
          <w:szCs w:val="26"/>
        </w:rPr>
        <w:t>30</w:t>
      </w:r>
      <w:r w:rsidR="00002A1C">
        <w:rPr>
          <w:sz w:val="26"/>
          <w:szCs w:val="26"/>
        </w:rPr>
        <w:t>, 2020</w:t>
      </w:r>
    </w:p>
    <w:p w14:paraId="6A68DDDC" w14:textId="77777777" w:rsidR="003B1324" w:rsidRDefault="003B1324" w:rsidP="00065A54">
      <w:pPr>
        <w:keepNext/>
        <w:keepLines/>
        <w:widowControl/>
        <w:tabs>
          <w:tab w:val="left" w:pos="-720"/>
        </w:tabs>
        <w:suppressAutoHyphens/>
        <w:rPr>
          <w:sz w:val="26"/>
          <w:szCs w:val="26"/>
        </w:rPr>
      </w:pPr>
    </w:p>
    <w:p w14:paraId="541423FA" w14:textId="15057FE8" w:rsidR="003B1324" w:rsidRDefault="003B1324" w:rsidP="00065A54">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446F97">
        <w:rPr>
          <w:sz w:val="26"/>
          <w:szCs w:val="26"/>
        </w:rPr>
        <w:t>June 24, 2020</w:t>
      </w:r>
    </w:p>
    <w:p w14:paraId="23B50C9B" w14:textId="77777777" w:rsidR="00E03B7F" w:rsidRDefault="00E03B7F" w:rsidP="00065A54">
      <w:pPr>
        <w:keepNext/>
        <w:keepLines/>
        <w:widowControl/>
        <w:tabs>
          <w:tab w:val="left" w:pos="-720"/>
        </w:tabs>
        <w:suppressAutoHyphens/>
        <w:rPr>
          <w:sz w:val="26"/>
          <w:szCs w:val="26"/>
        </w:rPr>
      </w:pPr>
    </w:p>
    <w:p w14:paraId="73B16787" w14:textId="77777777" w:rsidR="00E03B7F" w:rsidRDefault="00E03B7F" w:rsidP="00065A54">
      <w:pPr>
        <w:keepNext/>
        <w:keepLines/>
        <w:widowControl/>
        <w:tabs>
          <w:tab w:val="left" w:pos="-720"/>
        </w:tabs>
        <w:suppressAutoHyphens/>
        <w:rPr>
          <w:sz w:val="26"/>
          <w:szCs w:val="26"/>
        </w:rPr>
      </w:pPr>
    </w:p>
    <w:sectPr w:rsidR="00E03B7F" w:rsidSect="009377AA">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C598B" w14:textId="77777777" w:rsidR="009D5369" w:rsidRDefault="009D5369" w:rsidP="00EA6F5B">
      <w:r>
        <w:separator/>
      </w:r>
    </w:p>
  </w:endnote>
  <w:endnote w:type="continuationSeparator" w:id="0">
    <w:p w14:paraId="3DEB991B" w14:textId="77777777" w:rsidR="009D5369" w:rsidRDefault="009D5369" w:rsidP="00EA6F5B">
      <w:r>
        <w:continuationSeparator/>
      </w:r>
    </w:p>
  </w:endnote>
  <w:endnote w:type="continuationNotice" w:id="1">
    <w:p w14:paraId="26E68799" w14:textId="77777777" w:rsidR="009D5369" w:rsidRDefault="009D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290201"/>
      <w:docPartObj>
        <w:docPartGallery w:val="Page Numbers (Bottom of Page)"/>
        <w:docPartUnique/>
      </w:docPartObj>
    </w:sdtPr>
    <w:sdtEndPr>
      <w:rPr>
        <w:noProof/>
        <w:sz w:val="26"/>
        <w:szCs w:val="26"/>
      </w:rPr>
    </w:sdtEndPr>
    <w:sdtContent>
      <w:p w14:paraId="656C1F0E" w14:textId="77777777" w:rsidR="007F2A87" w:rsidRPr="003E7698" w:rsidRDefault="007F2A87" w:rsidP="003E7698">
        <w:pPr>
          <w:pStyle w:val="Footer"/>
          <w:jc w:val="center"/>
          <w:rPr>
            <w:sz w:val="26"/>
            <w:szCs w:val="26"/>
          </w:rPr>
        </w:pPr>
        <w:r w:rsidRPr="003E7698">
          <w:rPr>
            <w:sz w:val="26"/>
            <w:szCs w:val="26"/>
          </w:rPr>
          <w:fldChar w:fldCharType="begin"/>
        </w:r>
        <w:r w:rsidRPr="003E7698">
          <w:rPr>
            <w:sz w:val="26"/>
            <w:szCs w:val="26"/>
          </w:rPr>
          <w:instrText xml:space="preserve"> PAGE   \* MERGEFORMAT </w:instrText>
        </w:r>
        <w:r w:rsidRPr="003E7698">
          <w:rPr>
            <w:sz w:val="26"/>
            <w:szCs w:val="26"/>
          </w:rPr>
          <w:fldChar w:fldCharType="separate"/>
        </w:r>
        <w:r w:rsidR="00DF320D">
          <w:rPr>
            <w:noProof/>
            <w:sz w:val="26"/>
            <w:szCs w:val="26"/>
          </w:rPr>
          <w:t>15</w:t>
        </w:r>
        <w:r w:rsidRPr="003E76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D4C69" w14:textId="77777777" w:rsidR="009D5369" w:rsidRDefault="009D5369" w:rsidP="00EA6F5B">
      <w:r>
        <w:separator/>
      </w:r>
    </w:p>
  </w:footnote>
  <w:footnote w:type="continuationSeparator" w:id="0">
    <w:p w14:paraId="25D9F359" w14:textId="77777777" w:rsidR="009D5369" w:rsidRDefault="009D5369" w:rsidP="00EA6F5B">
      <w:r>
        <w:continuationSeparator/>
      </w:r>
    </w:p>
  </w:footnote>
  <w:footnote w:type="continuationNotice" w:id="1">
    <w:p w14:paraId="42241CD7" w14:textId="77777777" w:rsidR="009D5369" w:rsidRDefault="009D5369"/>
  </w:footnote>
  <w:footnote w:id="2">
    <w:p w14:paraId="5940BC66" w14:textId="3C674851" w:rsidR="007F2A87" w:rsidRPr="00BF4C75" w:rsidRDefault="007F2A87" w:rsidP="00B84C31">
      <w:pPr>
        <w:ind w:firstLine="720"/>
        <w:rPr>
          <w:sz w:val="26"/>
          <w:szCs w:val="26"/>
        </w:rPr>
      </w:pPr>
      <w:r w:rsidRPr="009F5087">
        <w:rPr>
          <w:rStyle w:val="FootnoteReference"/>
          <w:sz w:val="26"/>
          <w:szCs w:val="26"/>
        </w:rPr>
        <w:footnoteRef/>
      </w:r>
      <w:r w:rsidRPr="009F5087">
        <w:rPr>
          <w:sz w:val="26"/>
          <w:szCs w:val="26"/>
        </w:rPr>
        <w:t xml:space="preserve"> </w:t>
      </w:r>
      <w:r w:rsidRPr="009F5087">
        <w:rPr>
          <w:sz w:val="26"/>
          <w:szCs w:val="26"/>
        </w:rPr>
        <w:tab/>
      </w:r>
      <w:r w:rsidRPr="00BF4C75">
        <w:rPr>
          <w:sz w:val="26"/>
          <w:szCs w:val="26"/>
        </w:rPr>
        <w:t>The</w:t>
      </w:r>
      <w:r w:rsidRPr="006D37C2">
        <w:rPr>
          <w:sz w:val="26"/>
          <w:szCs w:val="26"/>
        </w:rPr>
        <w:t xml:space="preserve"> Initial Decision includes an ordering paragraph that corrected</w:t>
      </w:r>
      <w:r w:rsidRPr="005177CB">
        <w:rPr>
          <w:sz w:val="26"/>
          <w:szCs w:val="26"/>
        </w:rPr>
        <w:t xml:space="preserve"> the caption</w:t>
      </w:r>
      <w:r w:rsidRPr="00DA179D">
        <w:rPr>
          <w:sz w:val="26"/>
          <w:szCs w:val="26"/>
        </w:rPr>
        <w:t xml:space="preserve"> from the Hearing Notice to properly </w:t>
      </w:r>
      <w:r w:rsidRPr="00DC4ACB">
        <w:rPr>
          <w:sz w:val="26"/>
          <w:szCs w:val="26"/>
        </w:rPr>
        <w:t xml:space="preserve">read “Roslyn </w:t>
      </w:r>
      <w:proofErr w:type="spellStart"/>
      <w:r w:rsidRPr="00DC4ACB">
        <w:rPr>
          <w:sz w:val="26"/>
          <w:szCs w:val="26"/>
        </w:rPr>
        <w:t>Wrotten</w:t>
      </w:r>
      <w:proofErr w:type="spellEnd"/>
      <w:r w:rsidRPr="00DC4ACB">
        <w:rPr>
          <w:sz w:val="26"/>
          <w:szCs w:val="26"/>
        </w:rPr>
        <w:t xml:space="preserve"> v. Philadelphia Gas Works (Complaint</w:t>
      </w:r>
      <w:r>
        <w:rPr>
          <w:sz w:val="26"/>
          <w:szCs w:val="26"/>
        </w:rPr>
        <w:t>/</w:t>
      </w:r>
      <w:r w:rsidRPr="007302F5">
        <w:rPr>
          <w:sz w:val="26"/>
          <w:szCs w:val="26"/>
        </w:rPr>
        <w:t>Appellant)</w:t>
      </w:r>
      <w:r w:rsidR="00744D82">
        <w:rPr>
          <w:sz w:val="26"/>
          <w:szCs w:val="26"/>
        </w:rPr>
        <w:t>.</w:t>
      </w:r>
      <w:r w:rsidRPr="007302F5">
        <w:rPr>
          <w:sz w:val="26"/>
          <w:szCs w:val="26"/>
        </w:rPr>
        <w:t>”</w:t>
      </w:r>
      <w:r w:rsidRPr="00DA179D">
        <w:rPr>
          <w:sz w:val="26"/>
          <w:szCs w:val="26"/>
        </w:rPr>
        <w:t xml:space="preserve"> </w:t>
      </w:r>
      <w:r w:rsidR="0097451B">
        <w:rPr>
          <w:sz w:val="26"/>
          <w:szCs w:val="26"/>
        </w:rPr>
        <w:t xml:space="preserve"> </w:t>
      </w:r>
      <w:r w:rsidR="00C70B50" w:rsidRPr="003A2DF1">
        <w:rPr>
          <w:i/>
          <w:sz w:val="26"/>
          <w:szCs w:val="26"/>
        </w:rPr>
        <w:t>See</w:t>
      </w:r>
      <w:r w:rsidR="00C70B50">
        <w:rPr>
          <w:sz w:val="26"/>
          <w:szCs w:val="26"/>
        </w:rPr>
        <w:t xml:space="preserve">, </w:t>
      </w:r>
      <w:r w:rsidRPr="00DA179D">
        <w:rPr>
          <w:sz w:val="26"/>
          <w:szCs w:val="26"/>
        </w:rPr>
        <w:t>52 Pa. Code §</w:t>
      </w:r>
      <w:r w:rsidR="00C70B50">
        <w:rPr>
          <w:sz w:val="26"/>
          <w:szCs w:val="26"/>
        </w:rPr>
        <w:t>§ 56.173(c),</w:t>
      </w:r>
      <w:r w:rsidR="0097451B">
        <w:rPr>
          <w:sz w:val="26"/>
          <w:szCs w:val="26"/>
        </w:rPr>
        <w:t xml:space="preserve"> </w:t>
      </w:r>
      <w:r w:rsidRPr="00DA179D">
        <w:rPr>
          <w:sz w:val="26"/>
          <w:szCs w:val="26"/>
        </w:rPr>
        <w:t xml:space="preserve">56.403(c).   </w:t>
      </w:r>
    </w:p>
  </w:footnote>
  <w:footnote w:id="3">
    <w:p w14:paraId="2388793C" w14:textId="77777777" w:rsidR="007F2A87" w:rsidRPr="00EF5D7F" w:rsidRDefault="007F2A87" w:rsidP="00B84C31">
      <w:pPr>
        <w:keepLines/>
        <w:spacing w:after="120"/>
        <w:ind w:firstLine="720"/>
        <w:rPr>
          <w:sz w:val="26"/>
          <w:szCs w:val="26"/>
        </w:rPr>
      </w:pPr>
      <w:r w:rsidRPr="009F5087">
        <w:rPr>
          <w:rStyle w:val="FootnoteReference"/>
          <w:sz w:val="26"/>
          <w:szCs w:val="26"/>
        </w:rPr>
        <w:footnoteRef/>
      </w:r>
      <w:r w:rsidRPr="009F5087">
        <w:rPr>
          <w:sz w:val="26"/>
          <w:szCs w:val="26"/>
        </w:rPr>
        <w:t xml:space="preserve"> </w:t>
      </w:r>
      <w:r w:rsidRPr="00AF1545">
        <w:rPr>
          <w:sz w:val="26"/>
          <w:szCs w:val="26"/>
        </w:rPr>
        <w:tab/>
        <w:t xml:space="preserve">PGW’s CRP program offers discounts off residential tariff rates to payment </w:t>
      </w:r>
      <w:r w:rsidRPr="00FF51AC">
        <w:rPr>
          <w:sz w:val="26"/>
          <w:szCs w:val="26"/>
        </w:rPr>
        <w:t xml:space="preserve">troubled customers if their income is less than 150% of the Federal Poverty Income Guidelines (FPIG) and the program will result in the most affordable payment option.  The program is intended to improve payment behavior, prevent loss of service, </w:t>
      </w:r>
      <w:r w:rsidRPr="00DA179D">
        <w:rPr>
          <w:sz w:val="26"/>
          <w:szCs w:val="26"/>
        </w:rPr>
        <w:t>assist participants in conserving energy, reduce collection costs, and m</w:t>
      </w:r>
      <w:r w:rsidRPr="00AF1545">
        <w:rPr>
          <w:sz w:val="26"/>
          <w:szCs w:val="26"/>
        </w:rPr>
        <w:t xml:space="preserve">inimize the financial burden on non-CRP ratepayers.  </w:t>
      </w:r>
      <w:r w:rsidRPr="00AF1545">
        <w:rPr>
          <w:i/>
          <w:iCs/>
          <w:sz w:val="26"/>
          <w:szCs w:val="26"/>
        </w:rPr>
        <w:t>See</w:t>
      </w:r>
      <w:r w:rsidRPr="00AF1545">
        <w:rPr>
          <w:sz w:val="26"/>
          <w:szCs w:val="26"/>
        </w:rPr>
        <w:t xml:space="preserve">, </w:t>
      </w:r>
      <w:r w:rsidRPr="00AF1545">
        <w:rPr>
          <w:i/>
          <w:iCs/>
          <w:sz w:val="26"/>
          <w:szCs w:val="26"/>
        </w:rPr>
        <w:t>Philadelphia Gas Works Universal Service and</w:t>
      </w:r>
      <w:r w:rsidRPr="00FA06C2">
        <w:rPr>
          <w:i/>
          <w:iCs/>
          <w:sz w:val="26"/>
          <w:szCs w:val="26"/>
        </w:rPr>
        <w:t xml:space="preserve"> Energy Conservation Plan for 2017-2020 Submitted in Compliance with 52 Pa. Code 62.4</w:t>
      </w:r>
      <w:r>
        <w:rPr>
          <w:sz w:val="26"/>
          <w:szCs w:val="26"/>
        </w:rPr>
        <w:t xml:space="preserve">, </w:t>
      </w:r>
      <w:r w:rsidRPr="00FA06C2">
        <w:rPr>
          <w:sz w:val="26"/>
          <w:szCs w:val="26"/>
        </w:rPr>
        <w:t>Docket No. M-2016-2542415</w:t>
      </w:r>
      <w:r>
        <w:rPr>
          <w:sz w:val="26"/>
          <w:szCs w:val="26"/>
        </w:rPr>
        <w:t xml:space="preserve"> (Order entered August 3, 2017); </w:t>
      </w:r>
      <w:r w:rsidRPr="00FA06C2">
        <w:rPr>
          <w:sz w:val="26"/>
          <w:szCs w:val="26"/>
        </w:rPr>
        <w:t>2017 WL 3420817 (Pa.</w:t>
      </w:r>
      <w:r w:rsidR="003B2D6B">
        <w:rPr>
          <w:sz w:val="26"/>
          <w:szCs w:val="26"/>
        </w:rPr>
        <w:t> </w:t>
      </w:r>
      <w:r w:rsidRPr="00FA06C2">
        <w:rPr>
          <w:sz w:val="26"/>
          <w:szCs w:val="26"/>
        </w:rPr>
        <w:t>P.U.C.)</w:t>
      </w:r>
      <w:r>
        <w:rPr>
          <w:sz w:val="26"/>
          <w:szCs w:val="26"/>
        </w:rPr>
        <w:t xml:space="preserve"> (</w:t>
      </w:r>
      <w:r w:rsidRPr="00EF5D7F">
        <w:rPr>
          <w:i/>
          <w:iCs/>
          <w:sz w:val="26"/>
          <w:szCs w:val="26"/>
        </w:rPr>
        <w:t>PGW USECP for 2017-2020</w:t>
      </w:r>
      <w:r>
        <w:rPr>
          <w:sz w:val="26"/>
          <w:szCs w:val="26"/>
        </w:rPr>
        <w:t>).</w:t>
      </w:r>
      <w:r w:rsidRPr="005A13EC">
        <w:rPr>
          <w:sz w:val="26"/>
          <w:szCs w:val="26"/>
        </w:rPr>
        <w:t xml:space="preserve"> </w:t>
      </w:r>
    </w:p>
  </w:footnote>
  <w:footnote w:id="4">
    <w:p w14:paraId="459FC704" w14:textId="77777777" w:rsidR="007F2A87" w:rsidRPr="003B2D6B" w:rsidRDefault="007F2A87" w:rsidP="00693BEE">
      <w:pPr>
        <w:spacing w:after="120"/>
        <w:ind w:left="144" w:right="144" w:firstLine="576"/>
        <w:rPr>
          <w:sz w:val="26"/>
          <w:szCs w:val="26"/>
        </w:rPr>
      </w:pPr>
      <w:r w:rsidRPr="00501B71">
        <w:rPr>
          <w:rStyle w:val="FootnoteReference"/>
          <w:sz w:val="26"/>
        </w:rPr>
        <w:footnoteRef/>
      </w:r>
      <w:r w:rsidRPr="00501B71">
        <w:rPr>
          <w:sz w:val="26"/>
        </w:rPr>
        <w:t xml:space="preserve">  </w:t>
      </w:r>
      <w:r w:rsidRPr="00501B71">
        <w:rPr>
          <w:sz w:val="26"/>
        </w:rPr>
        <w:tab/>
        <w:t xml:space="preserve">The </w:t>
      </w:r>
      <w:r>
        <w:rPr>
          <w:sz w:val="26"/>
          <w:szCs w:val="26"/>
        </w:rPr>
        <w:t>“C</w:t>
      </w:r>
      <w:r w:rsidRPr="00501B71">
        <w:rPr>
          <w:sz w:val="26"/>
        </w:rPr>
        <w:t>ure</w:t>
      </w:r>
      <w:r>
        <w:rPr>
          <w:sz w:val="26"/>
          <w:szCs w:val="26"/>
        </w:rPr>
        <w:t>”</w:t>
      </w:r>
      <w:r w:rsidRPr="00501B71">
        <w:rPr>
          <w:sz w:val="26"/>
        </w:rPr>
        <w:t xml:space="preserve"> amount is </w:t>
      </w:r>
      <w:r w:rsidRPr="00AF1545">
        <w:rPr>
          <w:sz w:val="26"/>
          <w:szCs w:val="26"/>
        </w:rPr>
        <w:t xml:space="preserve">an amount required by PGW to re-enroll a customer in its CRP after such customer was previously enrolled and, thereafter, removed from the program for various reasons.  </w:t>
      </w:r>
      <w:r w:rsidRPr="00AF1545">
        <w:rPr>
          <w:i/>
          <w:iCs/>
          <w:sz w:val="26"/>
          <w:szCs w:val="26"/>
        </w:rPr>
        <w:t>See</w:t>
      </w:r>
      <w:r w:rsidRPr="00AF1545">
        <w:rPr>
          <w:sz w:val="26"/>
          <w:szCs w:val="26"/>
        </w:rPr>
        <w:t>,</w:t>
      </w:r>
      <w:r w:rsidRPr="00AF1545">
        <w:rPr>
          <w:i/>
          <w:iCs/>
          <w:sz w:val="26"/>
          <w:szCs w:val="26"/>
        </w:rPr>
        <w:t xml:space="preserve"> PGW USECP for 2017-2020</w:t>
      </w:r>
      <w:r w:rsidRPr="00AF1545">
        <w:rPr>
          <w:sz w:val="26"/>
          <w:szCs w:val="26"/>
        </w:rPr>
        <w:t xml:space="preserve">, 2017 WL 3420817 </w:t>
      </w:r>
      <w:r w:rsidRPr="00FF51AC">
        <w:rPr>
          <w:sz w:val="26"/>
          <w:szCs w:val="26"/>
        </w:rPr>
        <w:t xml:space="preserve">at **14-*15 </w:t>
      </w:r>
      <w:r w:rsidR="00E362F9">
        <w:rPr>
          <w:sz w:val="26"/>
          <w:szCs w:val="26"/>
        </w:rPr>
        <w:t>–</w:t>
      </w:r>
      <w:r w:rsidRPr="00FF51AC">
        <w:rPr>
          <w:sz w:val="26"/>
          <w:szCs w:val="26"/>
        </w:rPr>
        <w:t xml:space="preserve"> </w:t>
      </w:r>
      <w:r w:rsidR="00E362F9">
        <w:rPr>
          <w:sz w:val="26"/>
          <w:szCs w:val="26"/>
        </w:rPr>
        <w:t>“[</w:t>
      </w:r>
      <w:r w:rsidRPr="00FF51AC">
        <w:rPr>
          <w:sz w:val="26"/>
          <w:szCs w:val="26"/>
        </w:rPr>
        <w:t>Section</w:t>
      </w:r>
      <w:r w:rsidR="00E362F9">
        <w:rPr>
          <w:sz w:val="26"/>
          <w:szCs w:val="26"/>
        </w:rPr>
        <w:t>]</w:t>
      </w:r>
      <w:r w:rsidRPr="00FF51AC">
        <w:rPr>
          <w:sz w:val="26"/>
          <w:szCs w:val="26"/>
        </w:rPr>
        <w:t xml:space="preserve"> e. Reenrollment Procedure for Former CRP Participants</w:t>
      </w:r>
      <w:r w:rsidRPr="00DA179D">
        <w:rPr>
          <w:sz w:val="26"/>
          <w:szCs w:val="26"/>
        </w:rPr>
        <w:t>.”</w:t>
      </w:r>
    </w:p>
  </w:footnote>
  <w:footnote w:id="5">
    <w:p w14:paraId="1DA2C497" w14:textId="77777777" w:rsidR="00A86EBC" w:rsidRPr="00A86EBC" w:rsidRDefault="00A86EBC" w:rsidP="00A86EBC">
      <w:pPr>
        <w:ind w:firstLine="720"/>
        <w:rPr>
          <w:sz w:val="26"/>
          <w:szCs w:val="26"/>
        </w:rPr>
      </w:pPr>
      <w:r>
        <w:rPr>
          <w:rStyle w:val="FootnoteReference"/>
        </w:rPr>
        <w:footnoteRef/>
      </w:r>
      <w:r>
        <w:t xml:space="preserve"> </w:t>
      </w:r>
      <w:r>
        <w:rPr>
          <w:sz w:val="26"/>
          <w:szCs w:val="26"/>
        </w:rPr>
        <w:tab/>
      </w:r>
      <w:r>
        <w:rPr>
          <w:i/>
          <w:iCs/>
          <w:sz w:val="26"/>
          <w:szCs w:val="26"/>
        </w:rPr>
        <w:t xml:space="preserve">See </w:t>
      </w:r>
      <w:hyperlink r:id="rId1" w:history="1">
        <w:r w:rsidRPr="00A86EBC">
          <w:rPr>
            <w:sz w:val="26"/>
            <w:szCs w:val="26"/>
          </w:rPr>
          <w:t>52 Pa. Code</w:t>
        </w:r>
        <w:r w:rsidRPr="0042574D">
          <w:rPr>
            <w:sz w:val="26"/>
            <w:szCs w:val="26"/>
          </w:rPr>
          <w:t xml:space="preserve"> §§ 56.173(a)</w:t>
        </w:r>
      </w:hyperlink>
      <w:r>
        <w:rPr>
          <w:sz w:val="26"/>
          <w:szCs w:val="26"/>
        </w:rPr>
        <w:t>, which permits a</w:t>
      </w:r>
      <w:r w:rsidRPr="0042574D">
        <w:rPr>
          <w:sz w:val="26"/>
          <w:szCs w:val="26"/>
        </w:rPr>
        <w:t xml:space="preserve"> timely appeal from an informal decision of the BCS</w:t>
      </w:r>
      <w:r>
        <w:rPr>
          <w:sz w:val="26"/>
          <w:szCs w:val="26"/>
        </w:rPr>
        <w:t xml:space="preserve">, which </w:t>
      </w:r>
      <w:r w:rsidRPr="0042574D">
        <w:rPr>
          <w:sz w:val="26"/>
          <w:szCs w:val="26"/>
        </w:rPr>
        <w:t xml:space="preserve">is reviewed </w:t>
      </w:r>
      <w:r w:rsidRPr="0042574D">
        <w:rPr>
          <w:i/>
          <w:iCs/>
          <w:sz w:val="26"/>
          <w:szCs w:val="26"/>
        </w:rPr>
        <w:t>de novo</w:t>
      </w:r>
      <w:r w:rsidRPr="0042574D">
        <w:rPr>
          <w:sz w:val="26"/>
          <w:szCs w:val="26"/>
        </w:rPr>
        <w:t>.</w:t>
      </w:r>
    </w:p>
  </w:footnote>
  <w:footnote w:id="6">
    <w:p w14:paraId="085C8A0F" w14:textId="77777777" w:rsidR="007F2A87" w:rsidRPr="00ED61E9" w:rsidRDefault="007F2A87" w:rsidP="00074A64">
      <w:pPr>
        <w:ind w:firstLine="720"/>
        <w:rPr>
          <w:sz w:val="26"/>
          <w:szCs w:val="26"/>
        </w:rPr>
      </w:pPr>
      <w:r w:rsidRPr="00501B71">
        <w:rPr>
          <w:rStyle w:val="FootnoteReference"/>
          <w:sz w:val="26"/>
        </w:rPr>
        <w:footnoteRef/>
      </w:r>
      <w:r w:rsidRPr="00501B71">
        <w:rPr>
          <w:sz w:val="26"/>
        </w:rPr>
        <w:t xml:space="preserve"> </w:t>
      </w:r>
      <w:r w:rsidRPr="006D37C2">
        <w:rPr>
          <w:sz w:val="26"/>
          <w:szCs w:val="26"/>
        </w:rPr>
        <w:tab/>
      </w:r>
      <w:r w:rsidRPr="006D37C2">
        <w:rPr>
          <w:i/>
          <w:iCs/>
          <w:sz w:val="26"/>
          <w:szCs w:val="26"/>
        </w:rPr>
        <w:t>See</w:t>
      </w:r>
      <w:r w:rsidRPr="005177CB">
        <w:rPr>
          <w:i/>
          <w:iCs/>
          <w:sz w:val="26"/>
          <w:szCs w:val="26"/>
        </w:rPr>
        <w:t xml:space="preserve"> </w:t>
      </w:r>
      <w:r w:rsidRPr="005177CB">
        <w:rPr>
          <w:sz w:val="26"/>
          <w:szCs w:val="26"/>
        </w:rPr>
        <w:t>66 Pa.</w:t>
      </w:r>
      <w:r w:rsidR="008A12A6">
        <w:rPr>
          <w:sz w:val="26"/>
          <w:szCs w:val="26"/>
        </w:rPr>
        <w:t xml:space="preserve"> </w:t>
      </w:r>
      <w:r w:rsidRPr="005177CB">
        <w:rPr>
          <w:sz w:val="26"/>
          <w:szCs w:val="26"/>
        </w:rPr>
        <w:t>C.S. § 1407(d):</w:t>
      </w:r>
    </w:p>
    <w:p w14:paraId="61291393" w14:textId="77777777" w:rsidR="007F2A87" w:rsidRPr="00DA179D" w:rsidRDefault="007F2A87" w:rsidP="00074A64">
      <w:pPr>
        <w:rPr>
          <w:sz w:val="26"/>
          <w:szCs w:val="26"/>
        </w:rPr>
      </w:pPr>
      <w:r w:rsidRPr="00DA179D">
        <w:rPr>
          <w:sz w:val="26"/>
          <w:szCs w:val="26"/>
        </w:rPr>
        <w:t xml:space="preserve"> </w:t>
      </w:r>
    </w:p>
    <w:p w14:paraId="7FE0DC18" w14:textId="77777777" w:rsidR="007F2A87" w:rsidRPr="00074A64" w:rsidRDefault="007F2A87" w:rsidP="003B2D6B">
      <w:pPr>
        <w:ind w:left="1440" w:right="1440"/>
        <w:rPr>
          <w:sz w:val="26"/>
          <w:szCs w:val="26"/>
        </w:rPr>
      </w:pPr>
      <w:r w:rsidRPr="006D37C2">
        <w:rPr>
          <w:b/>
          <w:bCs/>
          <w:sz w:val="26"/>
          <w:szCs w:val="26"/>
        </w:rPr>
        <w:t>(d)  Payment of outstanding balance at premises.--</w:t>
      </w:r>
      <w:r w:rsidRPr="006D37C2">
        <w:rPr>
          <w:sz w:val="26"/>
          <w:szCs w:val="26"/>
        </w:rPr>
        <w:t>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footnote>
  <w:footnote w:id="7">
    <w:p w14:paraId="706881EC" w14:textId="77777777" w:rsidR="007F2A87" w:rsidRPr="00501B71" w:rsidRDefault="007F2A87" w:rsidP="00501B71">
      <w:pPr>
        <w:pStyle w:val="FootnoteText"/>
        <w:ind w:firstLine="720"/>
        <w:rPr>
          <w:sz w:val="26"/>
        </w:rPr>
      </w:pPr>
      <w:r w:rsidRPr="00501B71">
        <w:rPr>
          <w:rStyle w:val="FootnoteReference"/>
          <w:sz w:val="26"/>
        </w:rPr>
        <w:footnoteRef/>
      </w:r>
      <w:r w:rsidRPr="00501B71">
        <w:rPr>
          <w:sz w:val="26"/>
        </w:rPr>
        <w:t xml:space="preserve"> </w:t>
      </w:r>
      <w:r w:rsidRPr="00501B71">
        <w:rPr>
          <w:sz w:val="26"/>
        </w:rPr>
        <w:tab/>
        <w:t>During the hearing</w:t>
      </w:r>
      <w:r>
        <w:rPr>
          <w:sz w:val="26"/>
          <w:szCs w:val="26"/>
        </w:rPr>
        <w:t xml:space="preserve"> in this matter</w:t>
      </w:r>
      <w:r w:rsidRPr="00501B71">
        <w:rPr>
          <w:sz w:val="26"/>
        </w:rPr>
        <w:t xml:space="preserve">, </w:t>
      </w:r>
      <w:r w:rsidR="00B72B07">
        <w:rPr>
          <w:i/>
          <w:iCs/>
          <w:sz w:val="26"/>
        </w:rPr>
        <w:t>infra</w:t>
      </w:r>
      <w:r w:rsidR="00B72B07">
        <w:rPr>
          <w:sz w:val="26"/>
        </w:rPr>
        <w:t>,</w:t>
      </w:r>
      <w:r w:rsidR="00B72B07">
        <w:rPr>
          <w:i/>
          <w:iCs/>
          <w:sz w:val="26"/>
        </w:rPr>
        <w:t xml:space="preserve"> </w:t>
      </w:r>
      <w:r w:rsidRPr="00501B71">
        <w:rPr>
          <w:sz w:val="26"/>
        </w:rPr>
        <w:t>PGW motioned that because the Complainant did not file an Answer to PGW’s appeal, she should be held in default and her original Complaint and the result</w:t>
      </w:r>
      <w:r>
        <w:rPr>
          <w:sz w:val="26"/>
          <w:szCs w:val="26"/>
        </w:rPr>
        <w:t>ant</w:t>
      </w:r>
      <w:r w:rsidRPr="00501B71">
        <w:rPr>
          <w:sz w:val="26"/>
        </w:rPr>
        <w:t xml:space="preserve"> BCS informal decision should be dismissed.  Tr</w:t>
      </w:r>
      <w:r w:rsidR="00BC2F26">
        <w:rPr>
          <w:sz w:val="26"/>
        </w:rPr>
        <w:t>anscript (Tr.)</w:t>
      </w:r>
      <w:r w:rsidRPr="00501B71">
        <w:rPr>
          <w:sz w:val="26"/>
        </w:rPr>
        <w:t xml:space="preserve"> at 5. </w:t>
      </w:r>
    </w:p>
  </w:footnote>
  <w:footnote w:id="8">
    <w:p w14:paraId="744D28A7" w14:textId="77777777" w:rsidR="007F2A87" w:rsidRPr="007302F5" w:rsidRDefault="007F2A87" w:rsidP="008A12A6">
      <w:pPr>
        <w:keepLines/>
        <w:ind w:firstLine="720"/>
        <w:rPr>
          <w:sz w:val="26"/>
          <w:szCs w:val="26"/>
        </w:rPr>
      </w:pPr>
      <w:r w:rsidRPr="009F5087">
        <w:rPr>
          <w:rStyle w:val="FootnoteReference"/>
          <w:sz w:val="26"/>
          <w:szCs w:val="26"/>
        </w:rPr>
        <w:footnoteRef/>
      </w:r>
      <w:r w:rsidRPr="009F5087">
        <w:rPr>
          <w:sz w:val="26"/>
          <w:szCs w:val="26"/>
        </w:rPr>
        <w:t xml:space="preserve"> </w:t>
      </w:r>
      <w:r w:rsidRPr="00BF4C75">
        <w:rPr>
          <w:sz w:val="26"/>
          <w:szCs w:val="26"/>
        </w:rPr>
        <w:tab/>
      </w:r>
      <w:r w:rsidRPr="006D37C2">
        <w:rPr>
          <w:sz w:val="26"/>
          <w:szCs w:val="26"/>
        </w:rPr>
        <w:t xml:space="preserve">Notice mailed to a party’s last known address and not returned by the post office is presumed to have been received.  </w:t>
      </w:r>
      <w:r w:rsidRPr="006D37C2">
        <w:rPr>
          <w:i/>
          <w:iCs/>
          <w:sz w:val="26"/>
          <w:szCs w:val="26"/>
        </w:rPr>
        <w:t>See</w:t>
      </w:r>
      <w:r w:rsidRPr="005177CB">
        <w:rPr>
          <w:sz w:val="26"/>
          <w:szCs w:val="26"/>
        </w:rPr>
        <w:t xml:space="preserve">, </w:t>
      </w:r>
      <w:hyperlink r:id="rId2" w:history="1">
        <w:r w:rsidRPr="00BF4C75">
          <w:rPr>
            <w:i/>
            <w:iCs/>
            <w:sz w:val="26"/>
            <w:szCs w:val="26"/>
          </w:rPr>
          <w:t>Berkowitz v. Mayflower Securities, Inc.</w:t>
        </w:r>
        <w:r w:rsidRPr="003E7698">
          <w:rPr>
            <w:sz w:val="26"/>
            <w:szCs w:val="26"/>
          </w:rPr>
          <w:t>,</w:t>
        </w:r>
        <w:r w:rsidRPr="00BF4C75">
          <w:rPr>
            <w:sz w:val="26"/>
            <w:szCs w:val="26"/>
          </w:rPr>
          <w:t xml:space="preserve">  317 A.2d 584 (Pa. 1974)</w:t>
        </w:r>
      </w:hyperlink>
      <w:r w:rsidRPr="00BF4C75">
        <w:rPr>
          <w:sz w:val="26"/>
          <w:szCs w:val="26"/>
        </w:rPr>
        <w:t xml:space="preserve"> (</w:t>
      </w:r>
      <w:r w:rsidRPr="006D37C2">
        <w:rPr>
          <w:i/>
          <w:iCs/>
          <w:sz w:val="26"/>
          <w:szCs w:val="26"/>
        </w:rPr>
        <w:t>Mayflower</w:t>
      </w:r>
      <w:r w:rsidRPr="006D37C2">
        <w:rPr>
          <w:sz w:val="26"/>
          <w:szCs w:val="26"/>
        </w:rPr>
        <w:t xml:space="preserve">); </w:t>
      </w:r>
      <w:hyperlink r:id="rId3" w:anchor="co_pp_sp_162_946" w:history="1">
        <w:proofErr w:type="spellStart"/>
        <w:r w:rsidRPr="00BF4C75">
          <w:rPr>
            <w:i/>
            <w:iCs/>
            <w:sz w:val="26"/>
            <w:szCs w:val="26"/>
          </w:rPr>
          <w:t>Chartiers</w:t>
        </w:r>
        <w:proofErr w:type="spellEnd"/>
        <w:r w:rsidRPr="00BF4C75">
          <w:rPr>
            <w:i/>
            <w:iCs/>
            <w:sz w:val="26"/>
            <w:szCs w:val="26"/>
          </w:rPr>
          <w:t xml:space="preserve"> Industrial and Commercial Development Authority v. Allegheny County Bd. of Property Assessment Appeals and Review</w:t>
        </w:r>
        <w:r w:rsidRPr="00FA0580">
          <w:rPr>
            <w:sz w:val="26"/>
            <w:szCs w:val="26"/>
          </w:rPr>
          <w:t>,</w:t>
        </w:r>
        <w:r w:rsidRPr="00BF4C75">
          <w:rPr>
            <w:sz w:val="26"/>
            <w:szCs w:val="26"/>
          </w:rPr>
          <w:t xml:space="preserve"> 645 A.2d 944, 946 (Pa. </w:t>
        </w:r>
        <w:proofErr w:type="spellStart"/>
        <w:r w:rsidRPr="00BF4C75">
          <w:rPr>
            <w:sz w:val="26"/>
            <w:szCs w:val="26"/>
          </w:rPr>
          <w:t>Cmwlth</w:t>
        </w:r>
        <w:proofErr w:type="spellEnd"/>
        <w:r w:rsidRPr="00BF4C75">
          <w:rPr>
            <w:sz w:val="26"/>
            <w:szCs w:val="26"/>
          </w:rPr>
          <w:t>. 1994)</w:t>
        </w:r>
      </w:hyperlink>
      <w:r w:rsidRPr="00BF4C75">
        <w:rPr>
          <w:sz w:val="26"/>
          <w:szCs w:val="26"/>
        </w:rPr>
        <w:t xml:space="preserve">, </w:t>
      </w:r>
      <w:r w:rsidRPr="006D37C2">
        <w:rPr>
          <w:i/>
          <w:iCs/>
          <w:sz w:val="26"/>
          <w:szCs w:val="26"/>
        </w:rPr>
        <w:t>appeal denied</w:t>
      </w:r>
      <w:r w:rsidR="00FA0580">
        <w:rPr>
          <w:sz w:val="26"/>
          <w:szCs w:val="26"/>
        </w:rPr>
        <w:t xml:space="preserve">, </w:t>
      </w:r>
      <w:hyperlink r:id="rId4" w:history="1">
        <w:r w:rsidRPr="00BF4C75">
          <w:rPr>
            <w:sz w:val="26"/>
            <w:szCs w:val="26"/>
          </w:rPr>
          <w:t>653 A.2d 1234 (Pa.</w:t>
        </w:r>
        <w:r w:rsidR="003E7698">
          <w:rPr>
            <w:sz w:val="26"/>
            <w:szCs w:val="26"/>
          </w:rPr>
          <w:t> </w:t>
        </w:r>
        <w:r w:rsidRPr="00BF4C75">
          <w:rPr>
            <w:sz w:val="26"/>
            <w:szCs w:val="26"/>
          </w:rPr>
          <w:t>1994)</w:t>
        </w:r>
      </w:hyperlink>
      <w:r w:rsidRPr="00BF4C75">
        <w:rPr>
          <w:sz w:val="26"/>
          <w:szCs w:val="26"/>
        </w:rPr>
        <w:t xml:space="preserve">; </w:t>
      </w:r>
      <w:hyperlink r:id="rId5" w:history="1">
        <w:r w:rsidRPr="00BF4C75">
          <w:rPr>
            <w:i/>
            <w:iCs/>
            <w:sz w:val="26"/>
            <w:szCs w:val="26"/>
          </w:rPr>
          <w:t>Geary v. Verizon Pennsylvania Inc.</w:t>
        </w:r>
        <w:r w:rsidRPr="00FA0580">
          <w:rPr>
            <w:sz w:val="26"/>
            <w:szCs w:val="26"/>
          </w:rPr>
          <w:t xml:space="preserve">, </w:t>
        </w:r>
        <w:r w:rsidRPr="00BF4C75">
          <w:rPr>
            <w:sz w:val="26"/>
            <w:szCs w:val="26"/>
          </w:rPr>
          <w:t>Docket No. C-2009-2118625 (Order</w:t>
        </w:r>
        <w:r w:rsidR="003E7698">
          <w:rPr>
            <w:sz w:val="26"/>
            <w:szCs w:val="26"/>
          </w:rPr>
          <w:t> </w:t>
        </w:r>
        <w:r w:rsidRPr="00BF4C75">
          <w:rPr>
            <w:sz w:val="26"/>
            <w:szCs w:val="26"/>
          </w:rPr>
          <w:t>entered September 16, 2010)</w:t>
        </w:r>
      </w:hyperlink>
      <w:r w:rsidRPr="00BF4C75">
        <w:rPr>
          <w:sz w:val="26"/>
          <w:szCs w:val="26"/>
        </w:rPr>
        <w:t xml:space="preserve"> (</w:t>
      </w:r>
      <w:r w:rsidRPr="006D37C2">
        <w:rPr>
          <w:i/>
          <w:iCs/>
          <w:sz w:val="26"/>
          <w:szCs w:val="26"/>
        </w:rPr>
        <w:t>Geary</w:t>
      </w:r>
      <w:r w:rsidRPr="006D37C2">
        <w:rPr>
          <w:sz w:val="26"/>
          <w:szCs w:val="26"/>
        </w:rPr>
        <w:t>).</w:t>
      </w:r>
    </w:p>
  </w:footnote>
  <w:footnote w:id="9">
    <w:p w14:paraId="4F1D7A7D" w14:textId="77777777" w:rsidR="007F2A87" w:rsidRPr="00C52FC0" w:rsidRDefault="007F2A87" w:rsidP="00FA0580">
      <w:pPr>
        <w:ind w:firstLine="720"/>
        <w:rPr>
          <w:sz w:val="26"/>
          <w:szCs w:val="26"/>
        </w:rPr>
      </w:pPr>
      <w:r w:rsidRPr="009F5087">
        <w:rPr>
          <w:rStyle w:val="FootnoteReference"/>
          <w:sz w:val="26"/>
          <w:szCs w:val="26"/>
        </w:rPr>
        <w:footnoteRef/>
      </w:r>
      <w:r w:rsidRPr="009F5087">
        <w:rPr>
          <w:sz w:val="26"/>
          <w:szCs w:val="26"/>
        </w:rPr>
        <w:t xml:space="preserve"> </w:t>
      </w:r>
      <w:r w:rsidRPr="00165B0C">
        <w:rPr>
          <w:sz w:val="26"/>
          <w:szCs w:val="26"/>
        </w:rPr>
        <w:tab/>
      </w:r>
      <w:proofErr w:type="spellStart"/>
      <w:r w:rsidRPr="00165B0C">
        <w:rPr>
          <w:i/>
          <w:iCs/>
          <w:sz w:val="26"/>
          <w:szCs w:val="26"/>
        </w:rPr>
        <w:t>Yomari</w:t>
      </w:r>
      <w:proofErr w:type="spellEnd"/>
      <w:r w:rsidRPr="00165B0C">
        <w:rPr>
          <w:i/>
          <w:iCs/>
          <w:sz w:val="26"/>
          <w:szCs w:val="26"/>
        </w:rPr>
        <w:t xml:space="preserve"> Then</w:t>
      </w:r>
      <w:r w:rsidRPr="00165B0C">
        <w:rPr>
          <w:sz w:val="26"/>
          <w:szCs w:val="26"/>
        </w:rPr>
        <w:t xml:space="preserve"> vacated an ALJ’s decision to dismiss a complaint with prejudice and remanded </w:t>
      </w:r>
      <w:r w:rsidRPr="007302F5">
        <w:rPr>
          <w:sz w:val="26"/>
          <w:szCs w:val="26"/>
        </w:rPr>
        <w:t xml:space="preserve">the matter for hearing because complainant attempted to attend the scheduled hearing and appeared in the correct building, but was unable to locate the hearing room in the building due to language challenges. </w:t>
      </w:r>
      <w:r w:rsidRPr="00DA179D">
        <w:rPr>
          <w:sz w:val="26"/>
          <w:szCs w:val="26"/>
        </w:rPr>
        <w:t xml:space="preserve"> This case stands for the proposition that if</w:t>
      </w:r>
      <w:r w:rsidRPr="00165B0C">
        <w:rPr>
          <w:sz w:val="26"/>
          <w:szCs w:val="26"/>
        </w:rPr>
        <w:t xml:space="preserve"> a complainant’s failure to appear was unavoidable or if the complainant made a good faith attempt to appear, the Commission has acknowledged that the public interest is better served when all litigants, particularly </w:t>
      </w:r>
      <w:r w:rsidRPr="00165B0C">
        <w:rPr>
          <w:i/>
          <w:iCs/>
          <w:sz w:val="26"/>
          <w:szCs w:val="26"/>
        </w:rPr>
        <w:t>pro se</w:t>
      </w:r>
      <w:r w:rsidRPr="00165B0C">
        <w:rPr>
          <w:sz w:val="26"/>
          <w:szCs w:val="26"/>
        </w:rPr>
        <w:t xml:space="preserve"> litigants, are afforded a meaningful opportunity to be heard.  </w:t>
      </w:r>
      <w:r w:rsidRPr="00165B0C">
        <w:rPr>
          <w:i/>
          <w:iCs/>
          <w:sz w:val="26"/>
          <w:szCs w:val="26"/>
        </w:rPr>
        <w:t>Id</w:t>
      </w:r>
      <w:r w:rsidRPr="00165B0C">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E17B0"/>
    <w:multiLevelType w:val="hybridMultilevel"/>
    <w:tmpl w:val="54EC3214"/>
    <w:lvl w:ilvl="0" w:tplc="35266C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7FB34FE"/>
    <w:multiLevelType w:val="hybridMultilevel"/>
    <w:tmpl w:val="02E6937E"/>
    <w:lvl w:ilvl="0" w:tplc="D0F00256">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9784567"/>
    <w:multiLevelType w:val="hybridMultilevel"/>
    <w:tmpl w:val="8200D2A0"/>
    <w:lvl w:ilvl="0" w:tplc="BFEA1E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ACCC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84FF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0BCD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A1E4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A569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0D73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6ABC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E85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1B7B2A"/>
    <w:multiLevelType w:val="hybridMultilevel"/>
    <w:tmpl w:val="9F4CD8B8"/>
    <w:lvl w:ilvl="0" w:tplc="A73C458C">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44AD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6640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4B7A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C173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69CE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849E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E101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8A15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6C35EA"/>
    <w:multiLevelType w:val="hybridMultilevel"/>
    <w:tmpl w:val="07F0C388"/>
    <w:lvl w:ilvl="0" w:tplc="EE6A0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665FBC"/>
    <w:multiLevelType w:val="hybridMultilevel"/>
    <w:tmpl w:val="035C5114"/>
    <w:lvl w:ilvl="0" w:tplc="EB02399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0E62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2765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29F8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AD39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ED8C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0850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22C1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68E9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B33302"/>
    <w:multiLevelType w:val="hybridMultilevel"/>
    <w:tmpl w:val="5FACD36E"/>
    <w:lvl w:ilvl="0" w:tplc="3EC42E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5B"/>
    <w:rsid w:val="00002A1C"/>
    <w:rsid w:val="00013D19"/>
    <w:rsid w:val="000378BD"/>
    <w:rsid w:val="000433B8"/>
    <w:rsid w:val="000442E8"/>
    <w:rsid w:val="000648BB"/>
    <w:rsid w:val="00064A33"/>
    <w:rsid w:val="00065A54"/>
    <w:rsid w:val="0006622D"/>
    <w:rsid w:val="00074A64"/>
    <w:rsid w:val="00085BCC"/>
    <w:rsid w:val="00093ECC"/>
    <w:rsid w:val="000947B2"/>
    <w:rsid w:val="000A25BB"/>
    <w:rsid w:val="000A4AAA"/>
    <w:rsid w:val="000B4B67"/>
    <w:rsid w:val="000C58D5"/>
    <w:rsid w:val="000C7195"/>
    <w:rsid w:val="000D0F7E"/>
    <w:rsid w:val="000D1006"/>
    <w:rsid w:val="000D18CF"/>
    <w:rsid w:val="000D3FBC"/>
    <w:rsid w:val="000D6B6F"/>
    <w:rsid w:val="000D7018"/>
    <w:rsid w:val="000D7FB6"/>
    <w:rsid w:val="000E1528"/>
    <w:rsid w:val="000E5248"/>
    <w:rsid w:val="000E54D5"/>
    <w:rsid w:val="000E6C7C"/>
    <w:rsid w:val="00105FD5"/>
    <w:rsid w:val="0011112B"/>
    <w:rsid w:val="001214A4"/>
    <w:rsid w:val="00124D81"/>
    <w:rsid w:val="00132105"/>
    <w:rsid w:val="00132785"/>
    <w:rsid w:val="00137805"/>
    <w:rsid w:val="00145DD1"/>
    <w:rsid w:val="0015753C"/>
    <w:rsid w:val="00165A19"/>
    <w:rsid w:val="00165B0C"/>
    <w:rsid w:val="00167690"/>
    <w:rsid w:val="0017362C"/>
    <w:rsid w:val="001763DA"/>
    <w:rsid w:val="00177729"/>
    <w:rsid w:val="001816E6"/>
    <w:rsid w:val="001825C7"/>
    <w:rsid w:val="00192297"/>
    <w:rsid w:val="00192EE6"/>
    <w:rsid w:val="001A4D39"/>
    <w:rsid w:val="001B011D"/>
    <w:rsid w:val="001B212F"/>
    <w:rsid w:val="001B2D82"/>
    <w:rsid w:val="001B3FF4"/>
    <w:rsid w:val="001B7D12"/>
    <w:rsid w:val="001C430A"/>
    <w:rsid w:val="001C6440"/>
    <w:rsid w:val="001E6366"/>
    <w:rsid w:val="001E7E3E"/>
    <w:rsid w:val="001F5C00"/>
    <w:rsid w:val="0020591C"/>
    <w:rsid w:val="00217569"/>
    <w:rsid w:val="002212B7"/>
    <w:rsid w:val="002217B7"/>
    <w:rsid w:val="002218B2"/>
    <w:rsid w:val="002223DD"/>
    <w:rsid w:val="002244EA"/>
    <w:rsid w:val="00225DF7"/>
    <w:rsid w:val="0023078C"/>
    <w:rsid w:val="002570F5"/>
    <w:rsid w:val="002818F9"/>
    <w:rsid w:val="002855F0"/>
    <w:rsid w:val="002A2EC0"/>
    <w:rsid w:val="002B139D"/>
    <w:rsid w:val="002B6AB4"/>
    <w:rsid w:val="002C051A"/>
    <w:rsid w:val="002C624B"/>
    <w:rsid w:val="002C7F32"/>
    <w:rsid w:val="002E3201"/>
    <w:rsid w:val="002F64B1"/>
    <w:rsid w:val="002F7D38"/>
    <w:rsid w:val="00300F32"/>
    <w:rsid w:val="00302889"/>
    <w:rsid w:val="00303E56"/>
    <w:rsid w:val="0030659D"/>
    <w:rsid w:val="0031068C"/>
    <w:rsid w:val="0032315C"/>
    <w:rsid w:val="00330FF0"/>
    <w:rsid w:val="00332CBF"/>
    <w:rsid w:val="00337AD0"/>
    <w:rsid w:val="00345C31"/>
    <w:rsid w:val="003538BF"/>
    <w:rsid w:val="00364124"/>
    <w:rsid w:val="00364C35"/>
    <w:rsid w:val="00370DA3"/>
    <w:rsid w:val="00375F43"/>
    <w:rsid w:val="003765AD"/>
    <w:rsid w:val="00381B89"/>
    <w:rsid w:val="003869C3"/>
    <w:rsid w:val="003A2DF1"/>
    <w:rsid w:val="003B1324"/>
    <w:rsid w:val="003B2D6B"/>
    <w:rsid w:val="003C29E4"/>
    <w:rsid w:val="003C2A63"/>
    <w:rsid w:val="003E4FCA"/>
    <w:rsid w:val="003E59EA"/>
    <w:rsid w:val="003E7698"/>
    <w:rsid w:val="00400126"/>
    <w:rsid w:val="00405C4E"/>
    <w:rsid w:val="004078E7"/>
    <w:rsid w:val="00411368"/>
    <w:rsid w:val="00414234"/>
    <w:rsid w:val="0041727E"/>
    <w:rsid w:val="00427EEB"/>
    <w:rsid w:val="0043536A"/>
    <w:rsid w:val="00446411"/>
    <w:rsid w:val="00446F97"/>
    <w:rsid w:val="0045332C"/>
    <w:rsid w:val="0045433E"/>
    <w:rsid w:val="004600E3"/>
    <w:rsid w:val="004678CF"/>
    <w:rsid w:val="0047442B"/>
    <w:rsid w:val="004860AE"/>
    <w:rsid w:val="00494E30"/>
    <w:rsid w:val="00496441"/>
    <w:rsid w:val="004B3567"/>
    <w:rsid w:val="004B6EAA"/>
    <w:rsid w:val="004B7575"/>
    <w:rsid w:val="004C7149"/>
    <w:rsid w:val="004D02B6"/>
    <w:rsid w:val="004D1A6D"/>
    <w:rsid w:val="004E25EC"/>
    <w:rsid w:val="004E30CA"/>
    <w:rsid w:val="004E5C54"/>
    <w:rsid w:val="00501B71"/>
    <w:rsid w:val="00504C75"/>
    <w:rsid w:val="00504D4A"/>
    <w:rsid w:val="0050577F"/>
    <w:rsid w:val="00510360"/>
    <w:rsid w:val="005112D8"/>
    <w:rsid w:val="005115E6"/>
    <w:rsid w:val="0051282D"/>
    <w:rsid w:val="005172A3"/>
    <w:rsid w:val="005177CB"/>
    <w:rsid w:val="00531B1E"/>
    <w:rsid w:val="00532AEC"/>
    <w:rsid w:val="005428A3"/>
    <w:rsid w:val="00546744"/>
    <w:rsid w:val="00556059"/>
    <w:rsid w:val="005622D9"/>
    <w:rsid w:val="00571966"/>
    <w:rsid w:val="005753DB"/>
    <w:rsid w:val="00582FA4"/>
    <w:rsid w:val="00583CE3"/>
    <w:rsid w:val="00584C82"/>
    <w:rsid w:val="00592B75"/>
    <w:rsid w:val="005B0C0C"/>
    <w:rsid w:val="005B17C5"/>
    <w:rsid w:val="005B4B67"/>
    <w:rsid w:val="005C2694"/>
    <w:rsid w:val="005C2955"/>
    <w:rsid w:val="005D406D"/>
    <w:rsid w:val="005E1D06"/>
    <w:rsid w:val="005F3E08"/>
    <w:rsid w:val="005F4301"/>
    <w:rsid w:val="00603906"/>
    <w:rsid w:val="0063507F"/>
    <w:rsid w:val="00643A8E"/>
    <w:rsid w:val="00645ACE"/>
    <w:rsid w:val="00662B28"/>
    <w:rsid w:val="00665043"/>
    <w:rsid w:val="00666997"/>
    <w:rsid w:val="0067493A"/>
    <w:rsid w:val="006762DA"/>
    <w:rsid w:val="00690EAC"/>
    <w:rsid w:val="006913F3"/>
    <w:rsid w:val="00693BEE"/>
    <w:rsid w:val="00695DEB"/>
    <w:rsid w:val="006A137C"/>
    <w:rsid w:val="006B38CB"/>
    <w:rsid w:val="006B3C3B"/>
    <w:rsid w:val="006D37C2"/>
    <w:rsid w:val="006D40E7"/>
    <w:rsid w:val="006E0829"/>
    <w:rsid w:val="006F432F"/>
    <w:rsid w:val="007056D9"/>
    <w:rsid w:val="00710C14"/>
    <w:rsid w:val="007144C1"/>
    <w:rsid w:val="007179DF"/>
    <w:rsid w:val="007300F1"/>
    <w:rsid w:val="007302F5"/>
    <w:rsid w:val="00730ADE"/>
    <w:rsid w:val="00744D82"/>
    <w:rsid w:val="007459BD"/>
    <w:rsid w:val="007463E6"/>
    <w:rsid w:val="00756E41"/>
    <w:rsid w:val="00763D54"/>
    <w:rsid w:val="00771AB7"/>
    <w:rsid w:val="00772ED4"/>
    <w:rsid w:val="007815B6"/>
    <w:rsid w:val="00781988"/>
    <w:rsid w:val="00797E7C"/>
    <w:rsid w:val="007A287F"/>
    <w:rsid w:val="007A710C"/>
    <w:rsid w:val="007B0CF7"/>
    <w:rsid w:val="007B0D54"/>
    <w:rsid w:val="007D16D1"/>
    <w:rsid w:val="007D5D57"/>
    <w:rsid w:val="007D6474"/>
    <w:rsid w:val="007E1C76"/>
    <w:rsid w:val="007E262E"/>
    <w:rsid w:val="007E5079"/>
    <w:rsid w:val="007E51DE"/>
    <w:rsid w:val="007E702A"/>
    <w:rsid w:val="007F08D3"/>
    <w:rsid w:val="007F1186"/>
    <w:rsid w:val="007F1925"/>
    <w:rsid w:val="007F2A87"/>
    <w:rsid w:val="007F3E9E"/>
    <w:rsid w:val="007F7479"/>
    <w:rsid w:val="00802024"/>
    <w:rsid w:val="00833CAB"/>
    <w:rsid w:val="00833D3B"/>
    <w:rsid w:val="00835483"/>
    <w:rsid w:val="00842833"/>
    <w:rsid w:val="00843001"/>
    <w:rsid w:val="00846C71"/>
    <w:rsid w:val="00865F13"/>
    <w:rsid w:val="00866538"/>
    <w:rsid w:val="00871DAC"/>
    <w:rsid w:val="00884815"/>
    <w:rsid w:val="00884B6A"/>
    <w:rsid w:val="00884FB2"/>
    <w:rsid w:val="008A12A6"/>
    <w:rsid w:val="008A3CD9"/>
    <w:rsid w:val="008C2DE2"/>
    <w:rsid w:val="008D7A0E"/>
    <w:rsid w:val="008F7043"/>
    <w:rsid w:val="0090418A"/>
    <w:rsid w:val="00906042"/>
    <w:rsid w:val="0090607F"/>
    <w:rsid w:val="00913696"/>
    <w:rsid w:val="00917024"/>
    <w:rsid w:val="00923E87"/>
    <w:rsid w:val="009313D5"/>
    <w:rsid w:val="00935A9B"/>
    <w:rsid w:val="009377AA"/>
    <w:rsid w:val="00952F61"/>
    <w:rsid w:val="009613A3"/>
    <w:rsid w:val="00972609"/>
    <w:rsid w:val="0097451B"/>
    <w:rsid w:val="0097458D"/>
    <w:rsid w:val="009839FE"/>
    <w:rsid w:val="00986CA2"/>
    <w:rsid w:val="00991751"/>
    <w:rsid w:val="00994449"/>
    <w:rsid w:val="009A71B7"/>
    <w:rsid w:val="009A7B17"/>
    <w:rsid w:val="009B0533"/>
    <w:rsid w:val="009B3003"/>
    <w:rsid w:val="009C51A5"/>
    <w:rsid w:val="009C5B40"/>
    <w:rsid w:val="009D5369"/>
    <w:rsid w:val="009E0CED"/>
    <w:rsid w:val="009E183F"/>
    <w:rsid w:val="009E33FA"/>
    <w:rsid w:val="009E3DB5"/>
    <w:rsid w:val="009F3036"/>
    <w:rsid w:val="009F5087"/>
    <w:rsid w:val="009F60B0"/>
    <w:rsid w:val="00A00971"/>
    <w:rsid w:val="00A101BD"/>
    <w:rsid w:val="00A12545"/>
    <w:rsid w:val="00A41D64"/>
    <w:rsid w:val="00A555A1"/>
    <w:rsid w:val="00A71283"/>
    <w:rsid w:val="00A73224"/>
    <w:rsid w:val="00A766D7"/>
    <w:rsid w:val="00A800E1"/>
    <w:rsid w:val="00A86EBC"/>
    <w:rsid w:val="00A95049"/>
    <w:rsid w:val="00A9613B"/>
    <w:rsid w:val="00AB2D26"/>
    <w:rsid w:val="00AB446A"/>
    <w:rsid w:val="00AD09A9"/>
    <w:rsid w:val="00AF1545"/>
    <w:rsid w:val="00B03634"/>
    <w:rsid w:val="00B06B6F"/>
    <w:rsid w:val="00B07647"/>
    <w:rsid w:val="00B147C0"/>
    <w:rsid w:val="00B17A1A"/>
    <w:rsid w:val="00B20C4D"/>
    <w:rsid w:val="00B20C84"/>
    <w:rsid w:val="00B30316"/>
    <w:rsid w:val="00B32D1C"/>
    <w:rsid w:val="00B34CC1"/>
    <w:rsid w:val="00B50A0D"/>
    <w:rsid w:val="00B64219"/>
    <w:rsid w:val="00B64FC0"/>
    <w:rsid w:val="00B72B07"/>
    <w:rsid w:val="00B80FC7"/>
    <w:rsid w:val="00B84746"/>
    <w:rsid w:val="00B84C31"/>
    <w:rsid w:val="00B853FA"/>
    <w:rsid w:val="00B86FB7"/>
    <w:rsid w:val="00BA5E3F"/>
    <w:rsid w:val="00BA7319"/>
    <w:rsid w:val="00BC16E2"/>
    <w:rsid w:val="00BC2F26"/>
    <w:rsid w:val="00BC31E5"/>
    <w:rsid w:val="00BC65E6"/>
    <w:rsid w:val="00BD5C9A"/>
    <w:rsid w:val="00BE082E"/>
    <w:rsid w:val="00BE4007"/>
    <w:rsid w:val="00BF4C75"/>
    <w:rsid w:val="00BF5CD2"/>
    <w:rsid w:val="00BF76F9"/>
    <w:rsid w:val="00C02841"/>
    <w:rsid w:val="00C110F6"/>
    <w:rsid w:val="00C11D9A"/>
    <w:rsid w:val="00C1542D"/>
    <w:rsid w:val="00C1703A"/>
    <w:rsid w:val="00C52FC0"/>
    <w:rsid w:val="00C53A3F"/>
    <w:rsid w:val="00C62667"/>
    <w:rsid w:val="00C649A2"/>
    <w:rsid w:val="00C70B50"/>
    <w:rsid w:val="00C72D88"/>
    <w:rsid w:val="00C808AE"/>
    <w:rsid w:val="00C84430"/>
    <w:rsid w:val="00C85C48"/>
    <w:rsid w:val="00CA3FD6"/>
    <w:rsid w:val="00CA78B3"/>
    <w:rsid w:val="00CB5C73"/>
    <w:rsid w:val="00CE5D90"/>
    <w:rsid w:val="00CF0145"/>
    <w:rsid w:val="00CF44F2"/>
    <w:rsid w:val="00CF7E24"/>
    <w:rsid w:val="00D0426F"/>
    <w:rsid w:val="00D10DAC"/>
    <w:rsid w:val="00D179D5"/>
    <w:rsid w:val="00D22BC2"/>
    <w:rsid w:val="00D27715"/>
    <w:rsid w:val="00D40402"/>
    <w:rsid w:val="00D53209"/>
    <w:rsid w:val="00D57129"/>
    <w:rsid w:val="00D8255A"/>
    <w:rsid w:val="00D82920"/>
    <w:rsid w:val="00D84F79"/>
    <w:rsid w:val="00D86871"/>
    <w:rsid w:val="00D902AF"/>
    <w:rsid w:val="00D947C8"/>
    <w:rsid w:val="00DA179D"/>
    <w:rsid w:val="00DA3691"/>
    <w:rsid w:val="00DC07E6"/>
    <w:rsid w:val="00DC1075"/>
    <w:rsid w:val="00DC11E3"/>
    <w:rsid w:val="00DC4ACB"/>
    <w:rsid w:val="00DC5AA3"/>
    <w:rsid w:val="00DD1C15"/>
    <w:rsid w:val="00DE053D"/>
    <w:rsid w:val="00DE1F79"/>
    <w:rsid w:val="00DE6A36"/>
    <w:rsid w:val="00DF320D"/>
    <w:rsid w:val="00DF4D02"/>
    <w:rsid w:val="00DF6DE2"/>
    <w:rsid w:val="00E00E94"/>
    <w:rsid w:val="00E02471"/>
    <w:rsid w:val="00E02DF7"/>
    <w:rsid w:val="00E03B7F"/>
    <w:rsid w:val="00E3470D"/>
    <w:rsid w:val="00E362F9"/>
    <w:rsid w:val="00E4681D"/>
    <w:rsid w:val="00E54CEF"/>
    <w:rsid w:val="00E63646"/>
    <w:rsid w:val="00E662BA"/>
    <w:rsid w:val="00E70F0B"/>
    <w:rsid w:val="00E93899"/>
    <w:rsid w:val="00EA645B"/>
    <w:rsid w:val="00EA6F5B"/>
    <w:rsid w:val="00EA7550"/>
    <w:rsid w:val="00EC2BB1"/>
    <w:rsid w:val="00EC5AF9"/>
    <w:rsid w:val="00ED61E9"/>
    <w:rsid w:val="00ED6E1F"/>
    <w:rsid w:val="00ED7075"/>
    <w:rsid w:val="00EF2396"/>
    <w:rsid w:val="00EF5D7F"/>
    <w:rsid w:val="00EF77A2"/>
    <w:rsid w:val="00F03585"/>
    <w:rsid w:val="00F13CE5"/>
    <w:rsid w:val="00F155C5"/>
    <w:rsid w:val="00F30CF2"/>
    <w:rsid w:val="00F32A98"/>
    <w:rsid w:val="00F37B40"/>
    <w:rsid w:val="00F42297"/>
    <w:rsid w:val="00F4618F"/>
    <w:rsid w:val="00F47C62"/>
    <w:rsid w:val="00F51B5E"/>
    <w:rsid w:val="00F51DBC"/>
    <w:rsid w:val="00F54236"/>
    <w:rsid w:val="00F63697"/>
    <w:rsid w:val="00F66498"/>
    <w:rsid w:val="00F72C67"/>
    <w:rsid w:val="00F77908"/>
    <w:rsid w:val="00FA0580"/>
    <w:rsid w:val="00FB2ED0"/>
    <w:rsid w:val="00FC606B"/>
    <w:rsid w:val="00FD4087"/>
    <w:rsid w:val="00FD4163"/>
    <w:rsid w:val="00FD4176"/>
    <w:rsid w:val="00FD4C73"/>
    <w:rsid w:val="00FE3B5E"/>
    <w:rsid w:val="00FF145E"/>
    <w:rsid w:val="00FF51AC"/>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70B2"/>
  <w15:docId w15:val="{C3DFE313-DB56-4403-B775-750C62F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5B"/>
    <w:pPr>
      <w:widowControl w:val="0"/>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uiPriority w:val="9"/>
    <w:qFormat/>
    <w:rsid w:val="007F08D3"/>
    <w:pPr>
      <w:keepNext/>
      <w:keepLines/>
      <w:spacing w:after="114" w:line="259" w:lineRule="auto"/>
      <w:ind w:left="10" w:right="7"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F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iPriority w:val="99"/>
    <w:rsid w:val="00EA6F5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EA6F5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A6F5B"/>
    <w:rPr>
      <w:rFonts w:ascii="Times New Roman" w:eastAsia="Times New Roman" w:hAnsi="Times New Roman" w:cs="Times New Roman"/>
      <w:sz w:val="20"/>
      <w:szCs w:val="20"/>
    </w:rPr>
  </w:style>
  <w:style w:type="paragraph" w:customStyle="1" w:styleId="Default">
    <w:name w:val="Default"/>
    <w:rsid w:val="00DC11E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7F1186"/>
    <w:rPr>
      <w:color w:val="0000FF"/>
      <w:u w:val="single"/>
    </w:rPr>
  </w:style>
  <w:style w:type="character" w:customStyle="1" w:styleId="term1">
    <w:name w:val="term1"/>
    <w:basedOn w:val="DefaultParagraphFont"/>
    <w:rsid w:val="007F1186"/>
    <w:rPr>
      <w:b/>
      <w:bCs/>
    </w:rPr>
  </w:style>
  <w:style w:type="character" w:styleId="Emphasis">
    <w:name w:val="Emphasis"/>
    <w:basedOn w:val="DefaultParagraphFont"/>
    <w:qFormat/>
    <w:rsid w:val="007F1186"/>
    <w:rPr>
      <w:i/>
      <w:iCs/>
    </w:rPr>
  </w:style>
  <w:style w:type="paragraph" w:styleId="Header">
    <w:name w:val="header"/>
    <w:basedOn w:val="Normal"/>
    <w:link w:val="HeaderChar"/>
    <w:uiPriority w:val="99"/>
    <w:unhideWhenUsed/>
    <w:rsid w:val="009377AA"/>
    <w:pPr>
      <w:tabs>
        <w:tab w:val="center" w:pos="4680"/>
        <w:tab w:val="right" w:pos="9360"/>
      </w:tabs>
    </w:pPr>
  </w:style>
  <w:style w:type="character" w:customStyle="1" w:styleId="HeaderChar">
    <w:name w:val="Header Char"/>
    <w:basedOn w:val="DefaultParagraphFont"/>
    <w:link w:val="Header"/>
    <w:uiPriority w:val="99"/>
    <w:rsid w:val="009377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7AA"/>
    <w:pPr>
      <w:tabs>
        <w:tab w:val="center" w:pos="4680"/>
        <w:tab w:val="right" w:pos="9360"/>
      </w:tabs>
    </w:pPr>
  </w:style>
  <w:style w:type="character" w:customStyle="1" w:styleId="FooterChar">
    <w:name w:val="Footer Char"/>
    <w:basedOn w:val="DefaultParagraphFont"/>
    <w:link w:val="Footer"/>
    <w:uiPriority w:val="99"/>
    <w:rsid w:val="009377A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15E6"/>
    <w:rPr>
      <w:sz w:val="16"/>
      <w:szCs w:val="16"/>
    </w:rPr>
  </w:style>
  <w:style w:type="paragraph" w:styleId="CommentText">
    <w:name w:val="annotation text"/>
    <w:basedOn w:val="Normal"/>
    <w:link w:val="CommentTextChar"/>
    <w:uiPriority w:val="99"/>
    <w:semiHidden/>
    <w:unhideWhenUsed/>
    <w:rsid w:val="005115E6"/>
  </w:style>
  <w:style w:type="character" w:customStyle="1" w:styleId="CommentTextChar">
    <w:name w:val="Comment Text Char"/>
    <w:basedOn w:val="DefaultParagraphFont"/>
    <w:link w:val="CommentText"/>
    <w:uiPriority w:val="99"/>
    <w:semiHidden/>
    <w:rsid w:val="00511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15E6"/>
    <w:rPr>
      <w:b/>
      <w:bCs/>
    </w:rPr>
  </w:style>
  <w:style w:type="character" w:customStyle="1" w:styleId="CommentSubjectChar">
    <w:name w:val="Comment Subject Char"/>
    <w:basedOn w:val="CommentTextChar"/>
    <w:link w:val="CommentSubject"/>
    <w:uiPriority w:val="99"/>
    <w:semiHidden/>
    <w:rsid w:val="00511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15E6"/>
    <w:rPr>
      <w:rFonts w:ascii="Tahoma" w:hAnsi="Tahoma" w:cs="Tahoma"/>
      <w:sz w:val="16"/>
      <w:szCs w:val="16"/>
    </w:rPr>
  </w:style>
  <w:style w:type="character" w:customStyle="1" w:styleId="BalloonTextChar">
    <w:name w:val="Balloon Text Char"/>
    <w:basedOn w:val="DefaultParagraphFont"/>
    <w:link w:val="BalloonText"/>
    <w:uiPriority w:val="99"/>
    <w:semiHidden/>
    <w:rsid w:val="005115E6"/>
    <w:rPr>
      <w:rFonts w:ascii="Tahoma" w:eastAsia="Times New Roman" w:hAnsi="Tahoma" w:cs="Tahoma"/>
      <w:sz w:val="16"/>
      <w:szCs w:val="16"/>
    </w:rPr>
  </w:style>
  <w:style w:type="character" w:customStyle="1" w:styleId="Heading1Char">
    <w:name w:val="Heading 1 Char"/>
    <w:basedOn w:val="DefaultParagraphFont"/>
    <w:link w:val="Heading1"/>
    <w:uiPriority w:val="9"/>
    <w:rsid w:val="007F08D3"/>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1B3FF4"/>
    <w:pPr>
      <w:ind w:left="720"/>
      <w:contextualSpacing/>
    </w:pPr>
  </w:style>
  <w:style w:type="character" w:styleId="PlaceholderText">
    <w:name w:val="Placeholder Text"/>
    <w:basedOn w:val="DefaultParagraphFont"/>
    <w:uiPriority w:val="99"/>
    <w:semiHidden/>
    <w:rsid w:val="00E63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69680">
      <w:bodyDiv w:val="1"/>
      <w:marLeft w:val="0"/>
      <w:marRight w:val="0"/>
      <w:marTop w:val="0"/>
      <w:marBottom w:val="0"/>
      <w:divBdr>
        <w:top w:val="none" w:sz="0" w:space="0" w:color="auto"/>
        <w:left w:val="none" w:sz="0" w:space="0" w:color="auto"/>
        <w:bottom w:val="none" w:sz="0" w:space="0" w:color="auto"/>
        <w:right w:val="none" w:sz="0" w:space="0" w:color="auto"/>
      </w:divBdr>
      <w:divsChild>
        <w:div w:id="312224391">
          <w:marLeft w:val="0"/>
          <w:marRight w:val="0"/>
          <w:marTop w:val="0"/>
          <w:marBottom w:val="0"/>
          <w:divBdr>
            <w:top w:val="none" w:sz="0" w:space="0" w:color="auto"/>
            <w:left w:val="single" w:sz="6" w:space="0" w:color="BBBBBB"/>
            <w:bottom w:val="single" w:sz="6" w:space="0" w:color="BBBBBB"/>
            <w:right w:val="single" w:sz="6" w:space="0" w:color="BBBBBB"/>
          </w:divBdr>
          <w:divsChild>
            <w:div w:id="1139033854">
              <w:marLeft w:val="0"/>
              <w:marRight w:val="0"/>
              <w:marTop w:val="0"/>
              <w:marBottom w:val="0"/>
              <w:divBdr>
                <w:top w:val="none" w:sz="0" w:space="0" w:color="auto"/>
                <w:left w:val="none" w:sz="0" w:space="0" w:color="auto"/>
                <w:bottom w:val="none" w:sz="0" w:space="0" w:color="auto"/>
                <w:right w:val="none" w:sz="0" w:space="0" w:color="auto"/>
              </w:divBdr>
              <w:divsChild>
                <w:div w:id="131217340">
                  <w:marLeft w:val="0"/>
                  <w:marRight w:val="0"/>
                  <w:marTop w:val="75"/>
                  <w:marBottom w:val="0"/>
                  <w:divBdr>
                    <w:top w:val="none" w:sz="0" w:space="0" w:color="auto"/>
                    <w:left w:val="none" w:sz="0" w:space="0" w:color="auto"/>
                    <w:bottom w:val="none" w:sz="0" w:space="0" w:color="auto"/>
                    <w:right w:val="none" w:sz="0" w:space="0" w:color="auto"/>
                  </w:divBdr>
                  <w:divsChild>
                    <w:div w:id="1647859388">
                      <w:marLeft w:val="0"/>
                      <w:marRight w:val="0"/>
                      <w:marTop w:val="0"/>
                      <w:marBottom w:val="0"/>
                      <w:divBdr>
                        <w:top w:val="none" w:sz="0" w:space="0" w:color="auto"/>
                        <w:left w:val="none" w:sz="0" w:space="0" w:color="auto"/>
                        <w:bottom w:val="none" w:sz="0" w:space="0" w:color="auto"/>
                        <w:right w:val="none" w:sz="0" w:space="0" w:color="auto"/>
                      </w:divBdr>
                      <w:divsChild>
                        <w:div w:id="1765540676">
                          <w:marLeft w:val="0"/>
                          <w:marRight w:val="0"/>
                          <w:marTop w:val="0"/>
                          <w:marBottom w:val="0"/>
                          <w:divBdr>
                            <w:top w:val="none" w:sz="0" w:space="0" w:color="auto"/>
                            <w:left w:val="none" w:sz="0" w:space="0" w:color="auto"/>
                            <w:bottom w:val="none" w:sz="0" w:space="0" w:color="auto"/>
                            <w:right w:val="none" w:sz="0" w:space="0" w:color="auto"/>
                          </w:divBdr>
                          <w:divsChild>
                            <w:div w:id="973801565">
                              <w:marLeft w:val="0"/>
                              <w:marRight w:val="0"/>
                              <w:marTop w:val="0"/>
                              <w:marBottom w:val="0"/>
                              <w:divBdr>
                                <w:top w:val="none" w:sz="0" w:space="0" w:color="auto"/>
                                <w:left w:val="none" w:sz="0" w:space="0" w:color="auto"/>
                                <w:bottom w:val="none" w:sz="0" w:space="0" w:color="auto"/>
                                <w:right w:val="none" w:sz="0" w:space="0" w:color="auto"/>
                              </w:divBdr>
                              <w:divsChild>
                                <w:div w:id="787819394">
                                  <w:marLeft w:val="0"/>
                                  <w:marRight w:val="0"/>
                                  <w:marTop w:val="0"/>
                                  <w:marBottom w:val="0"/>
                                  <w:divBdr>
                                    <w:top w:val="none" w:sz="0" w:space="0" w:color="auto"/>
                                    <w:left w:val="none" w:sz="0" w:space="0" w:color="auto"/>
                                    <w:bottom w:val="none" w:sz="0" w:space="0" w:color="auto"/>
                                    <w:right w:val="none" w:sz="0" w:space="0" w:color="auto"/>
                                  </w:divBdr>
                                  <w:divsChild>
                                    <w:div w:id="339939811">
                                      <w:marLeft w:val="0"/>
                                      <w:marRight w:val="0"/>
                                      <w:marTop w:val="0"/>
                                      <w:marBottom w:val="0"/>
                                      <w:divBdr>
                                        <w:top w:val="none" w:sz="0" w:space="0" w:color="auto"/>
                                        <w:left w:val="none" w:sz="0" w:space="0" w:color="auto"/>
                                        <w:bottom w:val="none" w:sz="0" w:space="0" w:color="auto"/>
                                        <w:right w:val="none" w:sz="0" w:space="0" w:color="auto"/>
                                      </w:divBdr>
                                      <w:divsChild>
                                        <w:div w:id="1364332192">
                                          <w:marLeft w:val="1200"/>
                                          <w:marRight w:val="1200"/>
                                          <w:marTop w:val="0"/>
                                          <w:marBottom w:val="0"/>
                                          <w:divBdr>
                                            <w:top w:val="none" w:sz="0" w:space="0" w:color="auto"/>
                                            <w:left w:val="none" w:sz="0" w:space="0" w:color="auto"/>
                                            <w:bottom w:val="none" w:sz="0" w:space="0" w:color="auto"/>
                                            <w:right w:val="none" w:sz="0" w:space="0" w:color="auto"/>
                                          </w:divBdr>
                                          <w:divsChild>
                                            <w:div w:id="180169776">
                                              <w:marLeft w:val="0"/>
                                              <w:marRight w:val="0"/>
                                              <w:marTop w:val="0"/>
                                              <w:marBottom w:val="0"/>
                                              <w:divBdr>
                                                <w:top w:val="none" w:sz="0" w:space="0" w:color="auto"/>
                                                <w:left w:val="none" w:sz="0" w:space="0" w:color="auto"/>
                                                <w:bottom w:val="none" w:sz="0" w:space="0" w:color="auto"/>
                                                <w:right w:val="none" w:sz="0" w:space="0" w:color="auto"/>
                                              </w:divBdr>
                                              <w:divsChild>
                                                <w:div w:id="459419968">
                                                  <w:marLeft w:val="0"/>
                                                  <w:marRight w:val="0"/>
                                                  <w:marTop w:val="0"/>
                                                  <w:marBottom w:val="0"/>
                                                  <w:divBdr>
                                                    <w:top w:val="none" w:sz="0" w:space="0" w:color="auto"/>
                                                    <w:left w:val="none" w:sz="0" w:space="0" w:color="auto"/>
                                                    <w:bottom w:val="none" w:sz="0" w:space="0" w:color="auto"/>
                                                    <w:right w:val="none" w:sz="0" w:space="0" w:color="auto"/>
                                                  </w:divBdr>
                                                </w:div>
                                                <w:div w:id="505363101">
                                                  <w:marLeft w:val="0"/>
                                                  <w:marRight w:val="0"/>
                                                  <w:marTop w:val="0"/>
                                                  <w:marBottom w:val="0"/>
                                                  <w:divBdr>
                                                    <w:top w:val="none" w:sz="0" w:space="0" w:color="auto"/>
                                                    <w:left w:val="none" w:sz="0" w:space="0" w:color="auto"/>
                                                    <w:bottom w:val="none" w:sz="0" w:space="0" w:color="auto"/>
                                                    <w:right w:val="none" w:sz="0" w:space="0" w:color="auto"/>
                                                  </w:divBdr>
                                                  <w:divsChild>
                                                    <w:div w:id="100147870">
                                                      <w:marLeft w:val="0"/>
                                                      <w:marRight w:val="0"/>
                                                      <w:marTop w:val="0"/>
                                                      <w:marBottom w:val="0"/>
                                                      <w:divBdr>
                                                        <w:top w:val="none" w:sz="0" w:space="0" w:color="auto"/>
                                                        <w:left w:val="none" w:sz="0" w:space="0" w:color="auto"/>
                                                        <w:bottom w:val="none" w:sz="0" w:space="0" w:color="auto"/>
                                                        <w:right w:val="none" w:sz="0" w:space="0" w:color="auto"/>
                                                      </w:divBdr>
                                                    </w:div>
                                                    <w:div w:id="676229124">
                                                      <w:marLeft w:val="0"/>
                                                      <w:marRight w:val="0"/>
                                                      <w:marTop w:val="0"/>
                                                      <w:marBottom w:val="0"/>
                                                      <w:divBdr>
                                                        <w:top w:val="none" w:sz="0" w:space="0" w:color="auto"/>
                                                        <w:left w:val="none" w:sz="0" w:space="0" w:color="auto"/>
                                                        <w:bottom w:val="none" w:sz="0" w:space="0" w:color="auto"/>
                                                        <w:right w:val="none" w:sz="0" w:space="0" w:color="auto"/>
                                                      </w:divBdr>
                                                    </w:div>
                                                    <w:div w:id="1803771371">
                                                      <w:marLeft w:val="0"/>
                                                      <w:marRight w:val="0"/>
                                                      <w:marTop w:val="0"/>
                                                      <w:marBottom w:val="0"/>
                                                      <w:divBdr>
                                                        <w:top w:val="none" w:sz="0" w:space="0" w:color="auto"/>
                                                        <w:left w:val="none" w:sz="0" w:space="0" w:color="auto"/>
                                                        <w:bottom w:val="none" w:sz="0" w:space="0" w:color="auto"/>
                                                        <w:right w:val="none" w:sz="0" w:space="0" w:color="auto"/>
                                                      </w:divBdr>
                                                    </w:div>
                                                  </w:divsChild>
                                                </w:div>
                                                <w:div w:id="1157183140">
                                                  <w:marLeft w:val="0"/>
                                                  <w:marRight w:val="0"/>
                                                  <w:marTop w:val="0"/>
                                                  <w:marBottom w:val="0"/>
                                                  <w:divBdr>
                                                    <w:top w:val="none" w:sz="0" w:space="0" w:color="auto"/>
                                                    <w:left w:val="none" w:sz="0" w:space="0" w:color="auto"/>
                                                    <w:bottom w:val="none" w:sz="0" w:space="0" w:color="auto"/>
                                                    <w:right w:val="none" w:sz="0" w:space="0" w:color="auto"/>
                                                  </w:divBdr>
                                                  <w:divsChild>
                                                    <w:div w:id="575745326">
                                                      <w:marLeft w:val="0"/>
                                                      <w:marRight w:val="0"/>
                                                      <w:marTop w:val="0"/>
                                                      <w:marBottom w:val="0"/>
                                                      <w:divBdr>
                                                        <w:top w:val="none" w:sz="0" w:space="0" w:color="auto"/>
                                                        <w:left w:val="none" w:sz="0" w:space="0" w:color="auto"/>
                                                        <w:bottom w:val="none" w:sz="0" w:space="0" w:color="auto"/>
                                                        <w:right w:val="none" w:sz="0" w:space="0" w:color="auto"/>
                                                      </w:divBdr>
                                                    </w:div>
                                                  </w:divsChild>
                                                </w:div>
                                                <w:div w:id="645472859">
                                                  <w:marLeft w:val="0"/>
                                                  <w:marRight w:val="0"/>
                                                  <w:marTop w:val="0"/>
                                                  <w:marBottom w:val="0"/>
                                                  <w:divBdr>
                                                    <w:top w:val="none" w:sz="0" w:space="0" w:color="auto"/>
                                                    <w:left w:val="none" w:sz="0" w:space="0" w:color="auto"/>
                                                    <w:bottom w:val="none" w:sz="0" w:space="0" w:color="auto"/>
                                                    <w:right w:val="none" w:sz="0" w:space="0" w:color="auto"/>
                                                  </w:divBdr>
                                                  <w:divsChild>
                                                    <w:div w:id="940914703">
                                                      <w:marLeft w:val="0"/>
                                                      <w:marRight w:val="0"/>
                                                      <w:marTop w:val="0"/>
                                                      <w:marBottom w:val="0"/>
                                                      <w:divBdr>
                                                        <w:top w:val="none" w:sz="0" w:space="0" w:color="auto"/>
                                                        <w:left w:val="none" w:sz="0" w:space="0" w:color="auto"/>
                                                        <w:bottom w:val="none" w:sz="0" w:space="0" w:color="auto"/>
                                                        <w:right w:val="none" w:sz="0" w:space="0" w:color="auto"/>
                                                      </w:divBdr>
                                                    </w:div>
                                                  </w:divsChild>
                                                </w:div>
                                                <w:div w:id="1830635312">
                                                  <w:marLeft w:val="0"/>
                                                  <w:marRight w:val="0"/>
                                                  <w:marTop w:val="0"/>
                                                  <w:marBottom w:val="0"/>
                                                  <w:divBdr>
                                                    <w:top w:val="none" w:sz="0" w:space="0" w:color="auto"/>
                                                    <w:left w:val="none" w:sz="0" w:space="0" w:color="auto"/>
                                                    <w:bottom w:val="none" w:sz="0" w:space="0" w:color="auto"/>
                                                    <w:right w:val="none" w:sz="0" w:space="0" w:color="auto"/>
                                                  </w:divBdr>
                                                  <w:divsChild>
                                                    <w:div w:id="196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607420">
      <w:bodyDiv w:val="1"/>
      <w:marLeft w:val="0"/>
      <w:marRight w:val="0"/>
      <w:marTop w:val="0"/>
      <w:marBottom w:val="0"/>
      <w:divBdr>
        <w:top w:val="none" w:sz="0" w:space="0" w:color="auto"/>
        <w:left w:val="none" w:sz="0" w:space="0" w:color="auto"/>
        <w:bottom w:val="none" w:sz="0" w:space="0" w:color="auto"/>
        <w:right w:val="none" w:sz="0" w:space="0" w:color="auto"/>
      </w:divBdr>
    </w:div>
    <w:div w:id="1040739346">
      <w:bodyDiv w:val="1"/>
      <w:marLeft w:val="0"/>
      <w:marRight w:val="0"/>
      <w:marTop w:val="0"/>
      <w:marBottom w:val="0"/>
      <w:divBdr>
        <w:top w:val="none" w:sz="0" w:space="0" w:color="auto"/>
        <w:left w:val="none" w:sz="0" w:space="0" w:color="auto"/>
        <w:bottom w:val="none" w:sz="0" w:space="0" w:color="auto"/>
        <w:right w:val="none" w:sz="0" w:space="0" w:color="auto"/>
      </w:divBdr>
    </w:div>
    <w:div w:id="1100833765">
      <w:bodyDiv w:val="1"/>
      <w:marLeft w:val="0"/>
      <w:marRight w:val="0"/>
      <w:marTop w:val="0"/>
      <w:marBottom w:val="0"/>
      <w:divBdr>
        <w:top w:val="none" w:sz="0" w:space="0" w:color="auto"/>
        <w:left w:val="none" w:sz="0" w:space="0" w:color="auto"/>
        <w:bottom w:val="none" w:sz="0" w:space="0" w:color="auto"/>
        <w:right w:val="none" w:sz="0" w:space="0" w:color="auto"/>
      </w:divBdr>
    </w:div>
    <w:div w:id="1169712581">
      <w:bodyDiv w:val="1"/>
      <w:marLeft w:val="0"/>
      <w:marRight w:val="0"/>
      <w:marTop w:val="0"/>
      <w:marBottom w:val="0"/>
      <w:divBdr>
        <w:top w:val="none" w:sz="0" w:space="0" w:color="auto"/>
        <w:left w:val="none" w:sz="0" w:space="0" w:color="auto"/>
        <w:bottom w:val="none" w:sz="0" w:space="0" w:color="auto"/>
        <w:right w:val="none" w:sz="0" w:space="0" w:color="auto"/>
      </w:divBdr>
    </w:div>
    <w:div w:id="1632436486">
      <w:bodyDiv w:val="1"/>
      <w:marLeft w:val="0"/>
      <w:marRight w:val="0"/>
      <w:marTop w:val="0"/>
      <w:marBottom w:val="0"/>
      <w:divBdr>
        <w:top w:val="none" w:sz="0" w:space="0" w:color="auto"/>
        <w:left w:val="none" w:sz="0" w:space="0" w:color="auto"/>
        <w:bottom w:val="none" w:sz="0" w:space="0" w:color="auto"/>
        <w:right w:val="none" w:sz="0" w:space="0" w:color="auto"/>
      </w:divBdr>
    </w:div>
    <w:div w:id="1680162142">
      <w:bodyDiv w:val="1"/>
      <w:marLeft w:val="0"/>
      <w:marRight w:val="0"/>
      <w:marTop w:val="0"/>
      <w:marBottom w:val="0"/>
      <w:divBdr>
        <w:top w:val="none" w:sz="0" w:space="0" w:color="auto"/>
        <w:left w:val="none" w:sz="0" w:space="0" w:color="auto"/>
        <w:bottom w:val="none" w:sz="0" w:space="0" w:color="auto"/>
        <w:right w:val="none" w:sz="0" w:space="0" w:color="auto"/>
      </w:divBdr>
    </w:div>
    <w:div w:id="1966547839">
      <w:bodyDiv w:val="1"/>
      <w:marLeft w:val="0"/>
      <w:marRight w:val="0"/>
      <w:marTop w:val="0"/>
      <w:marBottom w:val="0"/>
      <w:divBdr>
        <w:top w:val="none" w:sz="0" w:space="0" w:color="auto"/>
        <w:left w:val="none" w:sz="0" w:space="0" w:color="auto"/>
        <w:bottom w:val="none" w:sz="0" w:space="0" w:color="auto"/>
        <w:right w:val="none" w:sz="0" w:space="0" w:color="auto"/>
      </w:divBdr>
      <w:divsChild>
        <w:div w:id="310599840">
          <w:marLeft w:val="0"/>
          <w:marRight w:val="0"/>
          <w:marTop w:val="0"/>
          <w:marBottom w:val="0"/>
          <w:divBdr>
            <w:top w:val="none" w:sz="0" w:space="0" w:color="auto"/>
            <w:left w:val="single" w:sz="6" w:space="0" w:color="BBBBBB"/>
            <w:bottom w:val="single" w:sz="6" w:space="0" w:color="BBBBBB"/>
            <w:right w:val="single" w:sz="6" w:space="0" w:color="BBBBBB"/>
          </w:divBdr>
          <w:divsChild>
            <w:div w:id="2073381520">
              <w:marLeft w:val="0"/>
              <w:marRight w:val="0"/>
              <w:marTop w:val="0"/>
              <w:marBottom w:val="0"/>
              <w:divBdr>
                <w:top w:val="none" w:sz="0" w:space="0" w:color="auto"/>
                <w:left w:val="none" w:sz="0" w:space="0" w:color="auto"/>
                <w:bottom w:val="none" w:sz="0" w:space="0" w:color="auto"/>
                <w:right w:val="none" w:sz="0" w:space="0" w:color="auto"/>
              </w:divBdr>
              <w:divsChild>
                <w:div w:id="295450087">
                  <w:marLeft w:val="0"/>
                  <w:marRight w:val="0"/>
                  <w:marTop w:val="75"/>
                  <w:marBottom w:val="0"/>
                  <w:divBdr>
                    <w:top w:val="none" w:sz="0" w:space="0" w:color="auto"/>
                    <w:left w:val="none" w:sz="0" w:space="0" w:color="auto"/>
                    <w:bottom w:val="none" w:sz="0" w:space="0" w:color="auto"/>
                    <w:right w:val="none" w:sz="0" w:space="0" w:color="auto"/>
                  </w:divBdr>
                  <w:divsChild>
                    <w:div w:id="613437229">
                      <w:marLeft w:val="0"/>
                      <w:marRight w:val="0"/>
                      <w:marTop w:val="0"/>
                      <w:marBottom w:val="0"/>
                      <w:divBdr>
                        <w:top w:val="none" w:sz="0" w:space="0" w:color="auto"/>
                        <w:left w:val="none" w:sz="0" w:space="0" w:color="auto"/>
                        <w:bottom w:val="none" w:sz="0" w:space="0" w:color="auto"/>
                        <w:right w:val="none" w:sz="0" w:space="0" w:color="auto"/>
                      </w:divBdr>
                      <w:divsChild>
                        <w:div w:id="1459297396">
                          <w:marLeft w:val="0"/>
                          <w:marRight w:val="0"/>
                          <w:marTop w:val="0"/>
                          <w:marBottom w:val="0"/>
                          <w:divBdr>
                            <w:top w:val="none" w:sz="0" w:space="0" w:color="auto"/>
                            <w:left w:val="none" w:sz="0" w:space="0" w:color="auto"/>
                            <w:bottom w:val="none" w:sz="0" w:space="0" w:color="auto"/>
                            <w:right w:val="none" w:sz="0" w:space="0" w:color="auto"/>
                          </w:divBdr>
                          <w:divsChild>
                            <w:div w:id="628973533">
                              <w:marLeft w:val="0"/>
                              <w:marRight w:val="0"/>
                              <w:marTop w:val="0"/>
                              <w:marBottom w:val="0"/>
                              <w:divBdr>
                                <w:top w:val="none" w:sz="0" w:space="0" w:color="auto"/>
                                <w:left w:val="none" w:sz="0" w:space="0" w:color="auto"/>
                                <w:bottom w:val="none" w:sz="0" w:space="0" w:color="auto"/>
                                <w:right w:val="none" w:sz="0" w:space="0" w:color="auto"/>
                              </w:divBdr>
                              <w:divsChild>
                                <w:div w:id="579682560">
                                  <w:marLeft w:val="0"/>
                                  <w:marRight w:val="0"/>
                                  <w:marTop w:val="0"/>
                                  <w:marBottom w:val="0"/>
                                  <w:divBdr>
                                    <w:top w:val="none" w:sz="0" w:space="0" w:color="auto"/>
                                    <w:left w:val="none" w:sz="0" w:space="0" w:color="auto"/>
                                    <w:bottom w:val="none" w:sz="0" w:space="0" w:color="auto"/>
                                    <w:right w:val="none" w:sz="0" w:space="0" w:color="auto"/>
                                  </w:divBdr>
                                  <w:divsChild>
                                    <w:div w:id="1938445676">
                                      <w:marLeft w:val="0"/>
                                      <w:marRight w:val="0"/>
                                      <w:marTop w:val="0"/>
                                      <w:marBottom w:val="0"/>
                                      <w:divBdr>
                                        <w:top w:val="none" w:sz="0" w:space="0" w:color="auto"/>
                                        <w:left w:val="none" w:sz="0" w:space="0" w:color="auto"/>
                                        <w:bottom w:val="none" w:sz="0" w:space="0" w:color="auto"/>
                                        <w:right w:val="none" w:sz="0" w:space="0" w:color="auto"/>
                                      </w:divBdr>
                                      <w:divsChild>
                                        <w:div w:id="394665172">
                                          <w:marLeft w:val="1200"/>
                                          <w:marRight w:val="1200"/>
                                          <w:marTop w:val="0"/>
                                          <w:marBottom w:val="0"/>
                                          <w:divBdr>
                                            <w:top w:val="none" w:sz="0" w:space="0" w:color="auto"/>
                                            <w:left w:val="none" w:sz="0" w:space="0" w:color="auto"/>
                                            <w:bottom w:val="none" w:sz="0" w:space="0" w:color="auto"/>
                                            <w:right w:val="none" w:sz="0" w:space="0" w:color="auto"/>
                                          </w:divBdr>
                                          <w:divsChild>
                                            <w:div w:id="847330986">
                                              <w:marLeft w:val="0"/>
                                              <w:marRight w:val="0"/>
                                              <w:marTop w:val="0"/>
                                              <w:marBottom w:val="0"/>
                                              <w:divBdr>
                                                <w:top w:val="none" w:sz="0" w:space="0" w:color="auto"/>
                                                <w:left w:val="none" w:sz="0" w:space="0" w:color="auto"/>
                                                <w:bottom w:val="none" w:sz="0" w:space="0" w:color="auto"/>
                                                <w:right w:val="none" w:sz="0" w:space="0" w:color="auto"/>
                                              </w:divBdr>
                                              <w:divsChild>
                                                <w:div w:id="957905826">
                                                  <w:marLeft w:val="0"/>
                                                  <w:marRight w:val="0"/>
                                                  <w:marTop w:val="0"/>
                                                  <w:marBottom w:val="0"/>
                                                  <w:divBdr>
                                                    <w:top w:val="none" w:sz="0" w:space="0" w:color="auto"/>
                                                    <w:left w:val="none" w:sz="0" w:space="0" w:color="auto"/>
                                                    <w:bottom w:val="none" w:sz="0" w:space="0" w:color="auto"/>
                                                    <w:right w:val="none" w:sz="0" w:space="0" w:color="auto"/>
                                                  </w:divBdr>
                                                </w:div>
                                                <w:div w:id="1816952187">
                                                  <w:marLeft w:val="0"/>
                                                  <w:marRight w:val="0"/>
                                                  <w:marTop w:val="0"/>
                                                  <w:marBottom w:val="0"/>
                                                  <w:divBdr>
                                                    <w:top w:val="none" w:sz="0" w:space="0" w:color="auto"/>
                                                    <w:left w:val="none" w:sz="0" w:space="0" w:color="auto"/>
                                                    <w:bottom w:val="none" w:sz="0" w:space="0" w:color="auto"/>
                                                    <w:right w:val="none" w:sz="0" w:space="0" w:color="auto"/>
                                                  </w:divBdr>
                                                  <w:divsChild>
                                                    <w:div w:id="695735086">
                                                      <w:marLeft w:val="0"/>
                                                      <w:marRight w:val="0"/>
                                                      <w:marTop w:val="0"/>
                                                      <w:marBottom w:val="0"/>
                                                      <w:divBdr>
                                                        <w:top w:val="none" w:sz="0" w:space="0" w:color="auto"/>
                                                        <w:left w:val="none" w:sz="0" w:space="0" w:color="auto"/>
                                                        <w:bottom w:val="none" w:sz="0" w:space="0" w:color="auto"/>
                                                        <w:right w:val="none" w:sz="0" w:space="0" w:color="auto"/>
                                                      </w:divBdr>
                                                    </w:div>
                                                  </w:divsChild>
                                                </w:div>
                                                <w:div w:id="892735524">
                                                  <w:marLeft w:val="0"/>
                                                  <w:marRight w:val="0"/>
                                                  <w:marTop w:val="0"/>
                                                  <w:marBottom w:val="0"/>
                                                  <w:divBdr>
                                                    <w:top w:val="none" w:sz="0" w:space="0" w:color="auto"/>
                                                    <w:left w:val="none" w:sz="0" w:space="0" w:color="auto"/>
                                                    <w:bottom w:val="none" w:sz="0" w:space="0" w:color="auto"/>
                                                    <w:right w:val="none" w:sz="0" w:space="0" w:color="auto"/>
                                                  </w:divBdr>
                                                  <w:divsChild>
                                                    <w:div w:id="1922442667">
                                                      <w:marLeft w:val="0"/>
                                                      <w:marRight w:val="0"/>
                                                      <w:marTop w:val="0"/>
                                                      <w:marBottom w:val="0"/>
                                                      <w:divBdr>
                                                        <w:top w:val="none" w:sz="0" w:space="0" w:color="auto"/>
                                                        <w:left w:val="none" w:sz="0" w:space="0" w:color="auto"/>
                                                        <w:bottom w:val="none" w:sz="0" w:space="0" w:color="auto"/>
                                                        <w:right w:val="none" w:sz="0" w:space="0" w:color="auto"/>
                                                      </w:divBdr>
                                                    </w:div>
                                                  </w:divsChild>
                                                </w:div>
                                                <w:div w:id="1873959119">
                                                  <w:marLeft w:val="0"/>
                                                  <w:marRight w:val="0"/>
                                                  <w:marTop w:val="0"/>
                                                  <w:marBottom w:val="0"/>
                                                  <w:divBdr>
                                                    <w:top w:val="none" w:sz="0" w:space="0" w:color="auto"/>
                                                    <w:left w:val="none" w:sz="0" w:space="0" w:color="auto"/>
                                                    <w:bottom w:val="none" w:sz="0" w:space="0" w:color="auto"/>
                                                    <w:right w:val="none" w:sz="0" w:space="0" w:color="auto"/>
                                                  </w:divBdr>
                                                  <w:divsChild>
                                                    <w:div w:id="783617051">
                                                      <w:marLeft w:val="0"/>
                                                      <w:marRight w:val="0"/>
                                                      <w:marTop w:val="0"/>
                                                      <w:marBottom w:val="0"/>
                                                      <w:divBdr>
                                                        <w:top w:val="none" w:sz="0" w:space="0" w:color="auto"/>
                                                        <w:left w:val="none" w:sz="0" w:space="0" w:color="auto"/>
                                                        <w:bottom w:val="none" w:sz="0" w:space="0" w:color="auto"/>
                                                        <w:right w:val="none" w:sz="0" w:space="0" w:color="auto"/>
                                                      </w:divBdr>
                                                    </w:div>
                                                  </w:divsChild>
                                                </w:div>
                                                <w:div w:id="1283346421">
                                                  <w:marLeft w:val="0"/>
                                                  <w:marRight w:val="0"/>
                                                  <w:marTop w:val="0"/>
                                                  <w:marBottom w:val="0"/>
                                                  <w:divBdr>
                                                    <w:top w:val="none" w:sz="0" w:space="0" w:color="auto"/>
                                                    <w:left w:val="none" w:sz="0" w:space="0" w:color="auto"/>
                                                    <w:bottom w:val="none" w:sz="0" w:space="0" w:color="auto"/>
                                                    <w:right w:val="none" w:sz="0" w:space="0" w:color="auto"/>
                                                  </w:divBdr>
                                                  <w:divsChild>
                                                    <w:div w:id="279606385">
                                                      <w:marLeft w:val="0"/>
                                                      <w:marRight w:val="0"/>
                                                      <w:marTop w:val="0"/>
                                                      <w:marBottom w:val="0"/>
                                                      <w:divBdr>
                                                        <w:top w:val="none" w:sz="0" w:space="0" w:color="auto"/>
                                                        <w:left w:val="none" w:sz="0" w:space="0" w:color="auto"/>
                                                        <w:bottom w:val="none" w:sz="0" w:space="0" w:color="auto"/>
                                                        <w:right w:val="none" w:sz="0" w:space="0" w:color="auto"/>
                                                      </w:divBdr>
                                                    </w:div>
                                                  </w:divsChild>
                                                </w:div>
                                                <w:div w:id="547768846">
                                                  <w:marLeft w:val="0"/>
                                                  <w:marRight w:val="0"/>
                                                  <w:marTop w:val="0"/>
                                                  <w:marBottom w:val="0"/>
                                                  <w:divBdr>
                                                    <w:top w:val="none" w:sz="0" w:space="0" w:color="auto"/>
                                                    <w:left w:val="none" w:sz="0" w:space="0" w:color="auto"/>
                                                    <w:bottom w:val="none" w:sz="0" w:space="0" w:color="auto"/>
                                                    <w:right w:val="none" w:sz="0" w:space="0" w:color="auto"/>
                                                  </w:divBdr>
                                                  <w:divsChild>
                                                    <w:div w:id="1999965155">
                                                      <w:marLeft w:val="0"/>
                                                      <w:marRight w:val="0"/>
                                                      <w:marTop w:val="0"/>
                                                      <w:marBottom w:val="0"/>
                                                      <w:divBdr>
                                                        <w:top w:val="none" w:sz="0" w:space="0" w:color="auto"/>
                                                        <w:left w:val="none" w:sz="0" w:space="0" w:color="auto"/>
                                                        <w:bottom w:val="none" w:sz="0" w:space="0" w:color="auto"/>
                                                        <w:right w:val="none" w:sz="0" w:space="0" w:color="auto"/>
                                                      </w:divBdr>
                                                    </w:div>
                                                  </w:divsChild>
                                                </w:div>
                                                <w:div w:id="1046829190">
                                                  <w:marLeft w:val="0"/>
                                                  <w:marRight w:val="0"/>
                                                  <w:marTop w:val="0"/>
                                                  <w:marBottom w:val="0"/>
                                                  <w:divBdr>
                                                    <w:top w:val="none" w:sz="0" w:space="0" w:color="auto"/>
                                                    <w:left w:val="none" w:sz="0" w:space="0" w:color="auto"/>
                                                    <w:bottom w:val="none" w:sz="0" w:space="0" w:color="auto"/>
                                                    <w:right w:val="none" w:sz="0" w:space="0" w:color="auto"/>
                                                  </w:divBdr>
                                                  <w:divsChild>
                                                    <w:div w:id="1873952951">
                                                      <w:marLeft w:val="0"/>
                                                      <w:marRight w:val="0"/>
                                                      <w:marTop w:val="0"/>
                                                      <w:marBottom w:val="0"/>
                                                      <w:divBdr>
                                                        <w:top w:val="none" w:sz="0" w:space="0" w:color="auto"/>
                                                        <w:left w:val="none" w:sz="0" w:space="0" w:color="auto"/>
                                                        <w:bottom w:val="none" w:sz="0" w:space="0" w:color="auto"/>
                                                        <w:right w:val="none" w:sz="0" w:space="0" w:color="auto"/>
                                                      </w:divBdr>
                                                      <w:divsChild>
                                                        <w:div w:id="1740861964">
                                                          <w:marLeft w:val="0"/>
                                                          <w:marRight w:val="0"/>
                                                          <w:marTop w:val="0"/>
                                                          <w:marBottom w:val="0"/>
                                                          <w:divBdr>
                                                            <w:top w:val="none" w:sz="0" w:space="0" w:color="auto"/>
                                                            <w:left w:val="none" w:sz="0" w:space="0" w:color="auto"/>
                                                            <w:bottom w:val="none" w:sz="0" w:space="0" w:color="auto"/>
                                                            <w:right w:val="none" w:sz="0" w:space="0" w:color="auto"/>
                                                          </w:divBdr>
                                                          <w:divsChild>
                                                            <w:div w:id="1598052477">
                                                              <w:marLeft w:val="0"/>
                                                              <w:marRight w:val="0"/>
                                                              <w:marTop w:val="0"/>
                                                              <w:marBottom w:val="0"/>
                                                              <w:divBdr>
                                                                <w:top w:val="none" w:sz="0" w:space="0" w:color="auto"/>
                                                                <w:left w:val="none" w:sz="0" w:space="0" w:color="auto"/>
                                                                <w:bottom w:val="none" w:sz="0" w:space="0" w:color="auto"/>
                                                                <w:right w:val="none" w:sz="0" w:space="0" w:color="auto"/>
                                                              </w:divBdr>
                                                              <w:divsChild>
                                                                <w:div w:id="1258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1.2&amp;originatingDoc=Ic9a70d10f2c811e99b14f2ee541cf11a&amp;refType=LQ&amp;originationContext=document&amp;transitionType=DocumentItem&amp;contextData=(sc.UserEnteredCitation)" TargetMode="External"/><Relationship Id="rId13" Type="http://schemas.openxmlformats.org/officeDocument/2006/relationships/hyperlink" Target="https://1.next.westlaw.com/Link/Document/FullText?findType=L&amp;pubNum=1000262&amp;cite=PA66S703&amp;originatingDoc=I009ab7eb414111e99d59c04243316042&amp;refType=LQ&amp;originationContext=document&amp;transitionType=DocumentItem&amp;contextData=(sc.UserEnteredCitation)" TargetMode="External"/><Relationship Id="rId18" Type="http://schemas.openxmlformats.org/officeDocument/2006/relationships/hyperlink" Target="https://1.next.westlaw.com/Link/Document/FullText?findType=Y&amp;serNum=2030817771&amp;pubNum=0004031&amp;originatingDoc=Ic9a70d10f2c811e99b14f2ee541cf11a&amp;refType=RP&amp;originationContext=document&amp;transitionType=DocumentItem&amp;contextData=(sc.UserEnteredCita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1.next.westlaw.com/Link/Document/FullText?findType=L&amp;pubNum=1000262&amp;cite=PA66S701&amp;originatingDoc=I009ab7eb414111e99d59c04243316042&amp;refType=LQ&amp;originationContext=document&amp;transitionType=DocumentItem&amp;contextData=(sc.UserEnteredCitation)" TargetMode="External"/><Relationship Id="rId7" Type="http://schemas.openxmlformats.org/officeDocument/2006/relationships/endnotes" Target="endnotes.xml"/><Relationship Id="rId12" Type="http://schemas.openxmlformats.org/officeDocument/2006/relationships/hyperlink" Target="https://1.next.westlaw.com/Link/Document/FullText?findType=Y&amp;serNum=1972101518&amp;pubNum=0000162&amp;originatingDoc=I009ab7eb414111e99d59c04243316042&amp;refType=RP&amp;originationContext=document&amp;transitionType=DocumentItem&amp;contextData=(sc.UserEnteredCitation)" TargetMode="External"/><Relationship Id="rId17" Type="http://schemas.openxmlformats.org/officeDocument/2006/relationships/hyperlink" Target="https://1.next.westlaw.com/Link/Document/FullText?findType=L&amp;pubNum=1000636&amp;cite=52PAADCS5.245&amp;originatingDoc=I009ab7eb414111e99d59c04243316042&amp;refType=LQ&amp;originationContext=document&amp;transitionType=DocumentItem&amp;contextData=(sc.UserEnteredCitation)"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1.next.westlaw.com/Link/Document/FullText?findType=L&amp;pubNum=1000262&amp;cite=PA66S332&amp;originatingDoc=I009ab7eb414111e99d59c04243316042&amp;refType=LQ&amp;originationContext=document&amp;transitionType=DocumentItem&amp;contextData=(sc.UserEnteredCitation)" TargetMode="External"/><Relationship Id="rId20" Type="http://schemas.openxmlformats.org/officeDocument/2006/relationships/hyperlink" Target="https://1.next.westlaw.com/Link/Document/FullText?findType=Y&amp;serNum=1990183190&amp;pubNum=0000930&amp;originatingDoc=I009ab7eb414111e99d59c04243316042&amp;refType=RP&amp;originationContext=document&amp;transitionType=DocumentItem&amp;contextData=(sc.UserEnteredCi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4130795&amp;pubNum=0000162&amp;originatingDoc=I009ab7eb414111e99d59c04243316042&amp;refType=RP&amp;fi=co_pp_sp_162_15&amp;originationContext=document&amp;transitionType=DocumentItem&amp;contextData=(sc.UserEnteredCitation)" TargetMode="External"/><Relationship Id="rId24"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L&amp;pubNum=1000636&amp;cite=52PAADCS1.15&amp;originatingDoc=I009ab7eb414111e99d59c04243316042&amp;refType=LQ&amp;originationContext=document&amp;transitionType=DocumentItem&amp;contextData=(sc.UserEnteredCitation)" TargetMode="External"/><Relationship Id="rId23" Type="http://schemas.openxmlformats.org/officeDocument/2006/relationships/hyperlink" Target="https://1.next.westlaw.com/Link/Document/FullText?findType=Y&amp;serNum=2014624692&amp;pubNum=0000162&amp;originatingDoc=I02cf353deef211e8bbbcd57aa014637b&amp;refType=RP&amp;fi=co_pp_sp_162_614&amp;originationContext=document&amp;transitionType=DocumentItem&amp;contextData=(sc.Search)" TargetMode="External"/><Relationship Id="rId28" Type="http://schemas.openxmlformats.org/officeDocument/2006/relationships/theme" Target="theme/theme1.xml"/><Relationship Id="rId10" Type="http://schemas.openxmlformats.org/officeDocument/2006/relationships/hyperlink" Target="https://1.next.westlaw.com/Link/Document/FullText?findType=Y&amp;serNum=1978100250&amp;pubNum=0000162&amp;originatingDoc=I009ab7eb414111e99d59c04243316042&amp;refType=RP&amp;originationContext=document&amp;transitionType=DocumentItem&amp;contextData=(sc.UserEnteredCitation)" TargetMode="External"/><Relationship Id="rId19" Type="http://schemas.openxmlformats.org/officeDocument/2006/relationships/hyperlink" Target="https://1.next.westlaw.com/Link/Document/FullText?findType=Y&amp;serNum=2026612545&amp;pubNum=0004031&amp;originatingDoc=Ic9a70d10f2c811e99b14f2ee541cf11a&amp;refType=RP&amp;originationContext=document&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84130795&amp;pubNum=0000162&amp;originatingDoc=I009ab7eb414111e99d59c04243316042&amp;refType=RP&amp;fi=co_pp_sp_162_15&amp;originationContext=document&amp;transitionType=DocumentItem&amp;contextData=(sc.UserEnteredCitation)" TargetMode="External"/><Relationship Id="rId14" Type="http://schemas.openxmlformats.org/officeDocument/2006/relationships/hyperlink" Target="https://1.next.westlaw.com/Link/Document/FullText?findType=L&amp;pubNum=1000636&amp;cite=52PAADCS5.201&amp;originatingDoc=I009ab7eb414111e99d59c04243316042&amp;refType=LQ&amp;originationContext=document&amp;transitionType=DocumentItem&amp;contextData=(sc.UserEnteredCitation)" TargetMode="External"/><Relationship Id="rId22" Type="http://schemas.openxmlformats.org/officeDocument/2006/relationships/hyperlink" Target="https://1.next.westlaw.com/Link/Document/FullText?findType=Y&amp;serNum=1999133986&amp;pubNum=0000162&amp;originatingDoc=I02cf353deef211e8bbbcd57aa014637b&amp;refType=RP&amp;originationContext=document&amp;transitionType=DocumentItem&amp;contextData=(sc.Search)"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Y&amp;serNum=1994148714&amp;pubNum=0000162&amp;originatingDoc=I009ab7eb414111e99d59c04243316042&amp;refType=RP&amp;fi=co_pp_sp_162_946&amp;originationContext=document&amp;transitionType=DocumentItem&amp;contextData=(sc.UserEnteredCitation)" TargetMode="External"/><Relationship Id="rId2" Type="http://schemas.openxmlformats.org/officeDocument/2006/relationships/hyperlink" Target="https://1.next.westlaw.com/Link/Document/FullText?findType=Y&amp;serNum=1974100738&amp;pubNum=0000162&amp;originatingDoc=I009ab7eb414111e99d59c04243316042&amp;refType=RP&amp;originationContext=document&amp;transitionType=DocumentItem&amp;contextData=(sc.UserEnteredCitation)" TargetMode="External"/><Relationship Id="rId1" Type="http://schemas.openxmlformats.org/officeDocument/2006/relationships/hyperlink" Target="https://1.next.westlaw.com/Link/Document/FullText?findType=L&amp;pubNum=1000636&amp;cite=52PAADCS56.173&amp;originatingDoc=I4c753b06b45d11e9a76eb9e71287f4ea&amp;refType=LQ&amp;originationContext=document&amp;transitionType=DocumentItem&amp;contextData=(sc.Search)" TargetMode="External"/><Relationship Id="rId5" Type="http://schemas.openxmlformats.org/officeDocument/2006/relationships/hyperlink" Target="https://1.next.westlaw.com/Link/Document/FullText?findType=Y&amp;serNum=2023142586&amp;pubNum=0004031&amp;originatingDoc=I009ab7eb414111e99d59c04243316042&amp;refType=RP&amp;originationContext=document&amp;transitionType=DocumentItem&amp;contextData=(sc.UserEnteredCitation)" TargetMode="External"/><Relationship Id="rId4" Type="http://schemas.openxmlformats.org/officeDocument/2006/relationships/hyperlink" Target="https://1.next.westlaw.com/Link/Document/FullText?findType=Y&amp;serNum=1995027403&amp;pubNum=0000162&amp;originatingDoc=I009ab7eb414111e99d59c04243316042&amp;refType=RP&amp;originationContext=document&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ABA9-BB00-4B9B-8441-A13C6C20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Carran, Robert</dc:creator>
  <cp:lastModifiedBy>Reside, Melissa</cp:lastModifiedBy>
  <cp:revision>3</cp:revision>
  <cp:lastPrinted>2020-06-24T14:45:00Z</cp:lastPrinted>
  <dcterms:created xsi:type="dcterms:W3CDTF">2020-05-11T11:39:00Z</dcterms:created>
  <dcterms:modified xsi:type="dcterms:W3CDTF">2020-06-24T14:45:00Z</dcterms:modified>
</cp:coreProperties>
</file>