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892A" w14:textId="77777777" w:rsidR="00BC4189" w:rsidRDefault="00BC4189" w:rsidP="008004FC">
      <w:pPr>
        <w:tabs>
          <w:tab w:val="center" w:pos="4680"/>
        </w:tabs>
        <w:jc w:val="both"/>
        <w:rPr>
          <w:b/>
          <w:sz w:val="24"/>
        </w:rPr>
      </w:pPr>
      <w:r>
        <w:rPr>
          <w:sz w:val="24"/>
        </w:rPr>
        <w:tab/>
      </w:r>
      <w:r>
        <w:rPr>
          <w:b/>
          <w:sz w:val="24"/>
        </w:rPr>
        <w:t>BEFORE THE</w:t>
      </w:r>
    </w:p>
    <w:p w14:paraId="05BEB101" w14:textId="77777777" w:rsidR="00BC4189" w:rsidRPr="003F2F6A" w:rsidRDefault="00BC4189" w:rsidP="008004FC">
      <w:pPr>
        <w:tabs>
          <w:tab w:val="center" w:pos="4680"/>
        </w:tabs>
        <w:jc w:val="both"/>
        <w:rPr>
          <w:b/>
          <w:sz w:val="24"/>
          <w:szCs w:val="24"/>
        </w:rPr>
      </w:pPr>
      <w:r w:rsidRPr="003F2F6A">
        <w:rPr>
          <w:b/>
          <w:sz w:val="24"/>
          <w:szCs w:val="24"/>
        </w:rPr>
        <w:tab/>
        <w:t>PENNSYLVANIA PUBLIC UTILITY COMMISSION</w:t>
      </w:r>
    </w:p>
    <w:p w14:paraId="7F99354C" w14:textId="77777777" w:rsidR="00BC4189" w:rsidRPr="003F2F6A" w:rsidRDefault="00BC4189" w:rsidP="008004FC">
      <w:pPr>
        <w:tabs>
          <w:tab w:val="center" w:pos="4680"/>
        </w:tabs>
        <w:jc w:val="both"/>
        <w:rPr>
          <w:sz w:val="24"/>
          <w:szCs w:val="24"/>
        </w:rPr>
      </w:pPr>
    </w:p>
    <w:p w14:paraId="2A8E996B" w14:textId="77777777" w:rsidR="009D62E0" w:rsidRDefault="009D62E0" w:rsidP="009D62E0">
      <w:pPr>
        <w:rPr>
          <w:rFonts w:ascii="Microsoft Sans Serif" w:hAnsi="Microsoft Sans Serif" w:cs="Microsoft Sans Serif"/>
          <w:sz w:val="24"/>
          <w:szCs w:val="24"/>
        </w:rPr>
      </w:pPr>
      <w:r w:rsidRPr="009D62E0">
        <w:rPr>
          <w:rFonts w:ascii="Microsoft Sans Serif" w:hAnsi="Microsoft Sans Serif" w:cs="Microsoft Sans Serif"/>
          <w:sz w:val="24"/>
          <w:szCs w:val="24"/>
        </w:rPr>
        <w:t>Via electronic service only due to Emergency Order at M-2020-3019262</w:t>
      </w:r>
    </w:p>
    <w:p w14:paraId="076B0524" w14:textId="2B50E0A2" w:rsidR="005D48FE" w:rsidRDefault="005D48FE" w:rsidP="008004FC">
      <w:pPr>
        <w:tabs>
          <w:tab w:val="left" w:pos="360"/>
        </w:tabs>
        <w:jc w:val="both"/>
        <w:rPr>
          <w:b/>
          <w:sz w:val="24"/>
          <w:szCs w:val="24"/>
        </w:rPr>
      </w:pPr>
    </w:p>
    <w:p w14:paraId="58C66EB5" w14:textId="77777777" w:rsidR="009D62E0" w:rsidRPr="005D48FE" w:rsidRDefault="009D62E0" w:rsidP="008004FC">
      <w:pPr>
        <w:tabs>
          <w:tab w:val="left" w:pos="360"/>
        </w:tabs>
        <w:jc w:val="both"/>
        <w:rPr>
          <w:b/>
          <w:sz w:val="24"/>
          <w:szCs w:val="24"/>
        </w:rPr>
      </w:pPr>
    </w:p>
    <w:p w14:paraId="2FB0E476" w14:textId="77777777" w:rsidR="005D48FE" w:rsidRPr="005D48FE" w:rsidRDefault="005D48FE" w:rsidP="008004FC">
      <w:pPr>
        <w:tabs>
          <w:tab w:val="left" w:pos="0"/>
        </w:tabs>
        <w:jc w:val="both"/>
        <w:rPr>
          <w:b/>
          <w:sz w:val="24"/>
          <w:szCs w:val="24"/>
        </w:rPr>
      </w:pPr>
    </w:p>
    <w:p w14:paraId="3039470E"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2067A2CE"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2DD6D96"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43C1E889"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102AFD5" w14:textId="77777777" w:rsidR="005D48FE" w:rsidRPr="005D48FE" w:rsidRDefault="005D48FE" w:rsidP="008004FC">
      <w:pPr>
        <w:tabs>
          <w:tab w:val="left" w:pos="0"/>
        </w:tabs>
        <w:jc w:val="both"/>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5F202C9C" w14:textId="77777777" w:rsidR="005D48FE" w:rsidRPr="005D48FE" w:rsidRDefault="005D48FE" w:rsidP="008004FC">
      <w:pPr>
        <w:tabs>
          <w:tab w:val="left" w:pos="0"/>
        </w:tabs>
        <w:jc w:val="both"/>
        <w:rPr>
          <w:sz w:val="24"/>
          <w:szCs w:val="24"/>
        </w:rPr>
      </w:pPr>
      <w:r w:rsidRPr="005D48FE">
        <w:rPr>
          <w:sz w:val="24"/>
          <w:szCs w:val="24"/>
        </w:rPr>
        <w:tab/>
      </w:r>
    </w:p>
    <w:p w14:paraId="705C3948" w14:textId="77777777" w:rsidR="005D48FE" w:rsidRPr="005D48FE" w:rsidRDefault="005D48FE" w:rsidP="008004FC">
      <w:pPr>
        <w:tabs>
          <w:tab w:val="left" w:pos="0"/>
        </w:tabs>
        <w:jc w:val="both"/>
        <w:rPr>
          <w:b/>
          <w:sz w:val="24"/>
          <w:szCs w:val="24"/>
        </w:rPr>
      </w:pPr>
    </w:p>
    <w:p w14:paraId="1D0E77F1" w14:textId="77777777" w:rsidR="005D48FE" w:rsidRPr="005D48FE" w:rsidRDefault="005D48FE" w:rsidP="008004FC">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4F1C2AE5" w14:textId="77777777" w:rsidR="005D48FE" w:rsidRPr="005D48FE" w:rsidRDefault="005D48FE" w:rsidP="008004FC">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6A684F0" w14:textId="77777777" w:rsidR="005D48FE" w:rsidRPr="005D48FE" w:rsidRDefault="005D48FE" w:rsidP="008004FC">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3D469453" w14:textId="77777777" w:rsidR="005D48FE" w:rsidRPr="005D48FE" w:rsidRDefault="005D48FE" w:rsidP="008004FC">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57B50347" w14:textId="77777777" w:rsidR="005D48FE" w:rsidRPr="005D48FE" w:rsidRDefault="005D48FE" w:rsidP="008004FC">
      <w:pPr>
        <w:tabs>
          <w:tab w:val="left" w:pos="0"/>
        </w:tabs>
        <w:jc w:val="both"/>
        <w:rPr>
          <w:sz w:val="24"/>
          <w:szCs w:val="24"/>
        </w:rPr>
      </w:pPr>
      <w:r w:rsidRPr="005D48FE">
        <w:rPr>
          <w:sz w:val="24"/>
          <w:szCs w:val="24"/>
        </w:rPr>
        <w:t>Hidden Valley Utility Services, L.P. - Wastewater</w:t>
      </w:r>
      <w:r w:rsidRPr="005D48FE">
        <w:rPr>
          <w:sz w:val="24"/>
          <w:szCs w:val="24"/>
        </w:rPr>
        <w:tab/>
        <w:t>:</w:t>
      </w:r>
    </w:p>
    <w:p w14:paraId="564B8D70" w14:textId="77777777" w:rsidR="005D48FE" w:rsidRPr="005D48FE" w:rsidRDefault="005D48FE" w:rsidP="008004FC">
      <w:pPr>
        <w:tabs>
          <w:tab w:val="left" w:pos="0"/>
        </w:tabs>
        <w:jc w:val="both"/>
        <w:rPr>
          <w:b/>
          <w:sz w:val="24"/>
          <w:szCs w:val="24"/>
        </w:rPr>
      </w:pPr>
    </w:p>
    <w:p w14:paraId="4E34571B" w14:textId="423D5732" w:rsidR="000C031D" w:rsidRPr="005D48FE" w:rsidRDefault="000C031D" w:rsidP="008004FC">
      <w:pPr>
        <w:tabs>
          <w:tab w:val="left" w:pos="-720"/>
          <w:tab w:val="left" w:pos="0"/>
        </w:tabs>
        <w:suppressAutoHyphens/>
        <w:rPr>
          <w:sz w:val="24"/>
          <w:szCs w:val="24"/>
        </w:rPr>
      </w:pPr>
    </w:p>
    <w:p w14:paraId="48FE98C6" w14:textId="77777777" w:rsidR="00BC4189" w:rsidRPr="005D48FE" w:rsidRDefault="00BC4189" w:rsidP="008004FC">
      <w:pPr>
        <w:jc w:val="both"/>
        <w:rPr>
          <w:sz w:val="24"/>
          <w:szCs w:val="24"/>
        </w:rPr>
      </w:pPr>
    </w:p>
    <w:p w14:paraId="6A37C855" w14:textId="03D3097E" w:rsidR="007812A5" w:rsidRPr="003F2F6A" w:rsidRDefault="00050090" w:rsidP="008004FC">
      <w:pPr>
        <w:jc w:val="center"/>
        <w:rPr>
          <w:b/>
          <w:sz w:val="24"/>
          <w:szCs w:val="24"/>
          <w:u w:val="single"/>
        </w:rPr>
      </w:pPr>
      <w:r>
        <w:rPr>
          <w:b/>
          <w:sz w:val="24"/>
          <w:szCs w:val="24"/>
          <w:u w:val="single"/>
        </w:rPr>
        <w:t>FOURTH</w:t>
      </w:r>
      <w:r w:rsidR="00D819E7">
        <w:rPr>
          <w:b/>
          <w:sz w:val="24"/>
          <w:szCs w:val="24"/>
          <w:u w:val="single"/>
        </w:rPr>
        <w:t xml:space="preserve"> POST-HEARING</w:t>
      </w:r>
      <w:r w:rsidR="00BE67D1">
        <w:rPr>
          <w:b/>
          <w:sz w:val="24"/>
          <w:szCs w:val="24"/>
          <w:u w:val="single"/>
        </w:rPr>
        <w:t xml:space="preserve"> </w:t>
      </w:r>
      <w:r w:rsidR="007812A5" w:rsidRPr="003F2F6A">
        <w:rPr>
          <w:b/>
          <w:sz w:val="24"/>
          <w:szCs w:val="24"/>
          <w:u w:val="single"/>
        </w:rPr>
        <w:t>ORDER</w:t>
      </w:r>
    </w:p>
    <w:p w14:paraId="6BED052F" w14:textId="4826E902" w:rsidR="00327D90" w:rsidRDefault="00050090" w:rsidP="008004FC">
      <w:pPr>
        <w:jc w:val="center"/>
        <w:rPr>
          <w:sz w:val="24"/>
          <w:szCs w:val="24"/>
        </w:rPr>
      </w:pPr>
      <w:r>
        <w:rPr>
          <w:sz w:val="24"/>
          <w:szCs w:val="24"/>
        </w:rPr>
        <w:t>Denial of Request for Extension of Time</w:t>
      </w:r>
    </w:p>
    <w:p w14:paraId="24E3989C" w14:textId="77777777" w:rsidR="001D6370" w:rsidRPr="001D6370" w:rsidRDefault="001D6370" w:rsidP="008004FC">
      <w:pPr>
        <w:spacing w:line="360" w:lineRule="auto"/>
        <w:jc w:val="both"/>
        <w:rPr>
          <w:sz w:val="24"/>
          <w:szCs w:val="24"/>
        </w:rPr>
      </w:pPr>
    </w:p>
    <w:p w14:paraId="27A76653" w14:textId="7D447782" w:rsidR="00FC6CE0" w:rsidRDefault="001D6370" w:rsidP="00D33947">
      <w:pPr>
        <w:spacing w:line="360" w:lineRule="auto"/>
        <w:ind w:firstLine="1440"/>
        <w:rPr>
          <w:sz w:val="24"/>
          <w:szCs w:val="24"/>
        </w:rPr>
      </w:pPr>
      <w:r w:rsidRPr="001D6370">
        <w:rPr>
          <w:sz w:val="24"/>
          <w:szCs w:val="24"/>
        </w:rPr>
        <w:t xml:space="preserve">On May 15, 2019, the Commonwealth Court of Pennsylvania issued its </w:t>
      </w:r>
      <w:r w:rsidRPr="001D6370">
        <w:rPr>
          <w:bCs/>
          <w:sz w:val="24"/>
          <w:szCs w:val="24"/>
        </w:rPr>
        <w:t>Memorandum Opinion in which it</w:t>
      </w:r>
      <w:r w:rsidRPr="001D6370">
        <w:rPr>
          <w:sz w:val="24"/>
          <w:szCs w:val="24"/>
        </w:rPr>
        <w:t xml:space="preserve"> quashed the Petition for Review </w:t>
      </w:r>
      <w:r w:rsidR="00E97AD1">
        <w:rPr>
          <w:sz w:val="24"/>
          <w:szCs w:val="24"/>
        </w:rPr>
        <w:t xml:space="preserve">of </w:t>
      </w:r>
      <w:r w:rsidR="003D4660">
        <w:rPr>
          <w:sz w:val="24"/>
          <w:szCs w:val="24"/>
        </w:rPr>
        <w:t xml:space="preserve">an Opinion and Order dated January 17, 2019 (January 17, 2019 Order) of </w:t>
      </w:r>
      <w:r w:rsidR="00E97AD1">
        <w:rPr>
          <w:sz w:val="24"/>
          <w:szCs w:val="24"/>
        </w:rPr>
        <w:t xml:space="preserve">the </w:t>
      </w:r>
      <w:r w:rsidR="003D4660">
        <w:rPr>
          <w:sz w:val="24"/>
          <w:szCs w:val="24"/>
        </w:rPr>
        <w:t>Pennsylvania Public Utility Commission (</w:t>
      </w:r>
      <w:r w:rsidR="00E97AD1">
        <w:rPr>
          <w:sz w:val="24"/>
          <w:szCs w:val="24"/>
        </w:rPr>
        <w:t>Commission</w:t>
      </w:r>
      <w:r w:rsidR="003D4660">
        <w:rPr>
          <w:sz w:val="24"/>
          <w:szCs w:val="24"/>
        </w:rPr>
        <w:t xml:space="preserve">), </w:t>
      </w:r>
      <w:r w:rsidR="00E97AD1">
        <w:rPr>
          <w:sz w:val="24"/>
          <w:szCs w:val="24"/>
        </w:rPr>
        <w:t xml:space="preserve">which </w:t>
      </w:r>
      <w:r w:rsidR="00D33947">
        <w:rPr>
          <w:sz w:val="24"/>
          <w:szCs w:val="24"/>
        </w:rPr>
        <w:t xml:space="preserve">appellate petition </w:t>
      </w:r>
      <w:r w:rsidR="00E97AD1">
        <w:rPr>
          <w:sz w:val="24"/>
          <w:szCs w:val="24"/>
        </w:rPr>
        <w:t xml:space="preserve">was </w:t>
      </w:r>
      <w:r w:rsidRPr="001D6370">
        <w:rPr>
          <w:sz w:val="24"/>
          <w:szCs w:val="24"/>
        </w:rPr>
        <w:t>filed by Hidden Valley Utility Services, L.P. (Hidden Valley).  Hidden Valley had filed the Petition for Review to appeal the January 17, 2019</w:t>
      </w:r>
      <w:r w:rsidR="00E97AD1">
        <w:rPr>
          <w:sz w:val="24"/>
          <w:szCs w:val="24"/>
        </w:rPr>
        <w:t xml:space="preserve"> Order</w:t>
      </w:r>
      <w:r w:rsidR="00D33947">
        <w:rPr>
          <w:sz w:val="24"/>
          <w:szCs w:val="24"/>
        </w:rPr>
        <w:t>.  The Commission’s January 17, 2019 Order</w:t>
      </w:r>
      <w:r w:rsidR="00E97AD1">
        <w:rPr>
          <w:sz w:val="24"/>
          <w:szCs w:val="24"/>
        </w:rPr>
        <w:t xml:space="preserve"> </w:t>
      </w:r>
      <w:r w:rsidR="00D33947">
        <w:rPr>
          <w:sz w:val="24"/>
          <w:szCs w:val="24"/>
        </w:rPr>
        <w:t xml:space="preserve">discussed Ordering Paragraph 20 from the Commission’s earlier </w:t>
      </w:r>
      <w:r w:rsidR="003D4660">
        <w:rPr>
          <w:sz w:val="24"/>
          <w:szCs w:val="24"/>
        </w:rPr>
        <w:t xml:space="preserve">Opinion and </w:t>
      </w:r>
      <w:r w:rsidR="00D33947">
        <w:rPr>
          <w:sz w:val="24"/>
          <w:szCs w:val="24"/>
        </w:rPr>
        <w:t xml:space="preserve">Order dated January 18, 2018 </w:t>
      </w:r>
      <w:r w:rsidR="003D4660">
        <w:rPr>
          <w:sz w:val="24"/>
          <w:szCs w:val="24"/>
        </w:rPr>
        <w:t xml:space="preserve">(January 18, 2018 Order) </w:t>
      </w:r>
      <w:r w:rsidR="00D33947">
        <w:rPr>
          <w:sz w:val="24"/>
          <w:szCs w:val="24"/>
        </w:rPr>
        <w:t xml:space="preserve">in which the Commission ordered the Office of Administrative Law Judge </w:t>
      </w:r>
      <w:r w:rsidR="003D4660">
        <w:rPr>
          <w:sz w:val="24"/>
          <w:szCs w:val="24"/>
        </w:rPr>
        <w:t xml:space="preserve">(OALJ) </w:t>
      </w:r>
      <w:r w:rsidR="00D33947">
        <w:rPr>
          <w:sz w:val="24"/>
          <w:szCs w:val="24"/>
        </w:rPr>
        <w:t>to conduct a hearing concerning the engineer’s report filed on Hidden Valley’s behalf</w:t>
      </w:r>
      <w:r w:rsidRPr="001D6370">
        <w:rPr>
          <w:sz w:val="24"/>
          <w:szCs w:val="24"/>
        </w:rPr>
        <w:t xml:space="preserve">.  In its </w:t>
      </w:r>
      <w:r w:rsidR="00D33947">
        <w:rPr>
          <w:sz w:val="24"/>
          <w:szCs w:val="24"/>
        </w:rPr>
        <w:t xml:space="preserve">May 2019 </w:t>
      </w:r>
      <w:r w:rsidRPr="001D6370">
        <w:rPr>
          <w:sz w:val="24"/>
          <w:szCs w:val="24"/>
        </w:rPr>
        <w:t xml:space="preserve">Memorandum Opinion, the appellate court noted the January 17, 2019 Order was interlocutory in nature and directed </w:t>
      </w:r>
      <w:r>
        <w:rPr>
          <w:sz w:val="24"/>
          <w:szCs w:val="24"/>
        </w:rPr>
        <w:t xml:space="preserve">the Commission to schedule </w:t>
      </w:r>
      <w:r w:rsidRPr="001D6370">
        <w:rPr>
          <w:sz w:val="24"/>
          <w:szCs w:val="24"/>
        </w:rPr>
        <w:t>an evidentiary hearing</w:t>
      </w:r>
      <w:r w:rsidR="00D33947">
        <w:rPr>
          <w:sz w:val="24"/>
          <w:szCs w:val="24"/>
        </w:rPr>
        <w:t>, as envisioned by the Commission’s January 18, 2018 Order</w:t>
      </w:r>
      <w:r w:rsidR="003D4660">
        <w:rPr>
          <w:sz w:val="24"/>
          <w:szCs w:val="24"/>
        </w:rPr>
        <w:t>,</w:t>
      </w:r>
      <w:r w:rsidRPr="001D6370">
        <w:rPr>
          <w:sz w:val="24"/>
          <w:szCs w:val="24"/>
        </w:rPr>
        <w:t xml:space="preserve"> concerning the propriety of Hidden Valley’s engineer’s report, with </w:t>
      </w:r>
      <w:r w:rsidR="00D33947">
        <w:rPr>
          <w:sz w:val="24"/>
          <w:szCs w:val="24"/>
        </w:rPr>
        <w:t>the</w:t>
      </w:r>
      <w:r w:rsidRPr="001D6370">
        <w:rPr>
          <w:sz w:val="24"/>
          <w:szCs w:val="24"/>
        </w:rPr>
        <w:t xml:space="preserve"> estimated schedule included.  </w:t>
      </w:r>
    </w:p>
    <w:p w14:paraId="02C54D30" w14:textId="77777777" w:rsidR="00FC6CE0" w:rsidRDefault="00FC6CE0" w:rsidP="008004FC">
      <w:pPr>
        <w:spacing w:line="360" w:lineRule="auto"/>
        <w:ind w:firstLine="1440"/>
        <w:rPr>
          <w:sz w:val="24"/>
          <w:szCs w:val="24"/>
        </w:rPr>
      </w:pPr>
    </w:p>
    <w:p w14:paraId="05843EE1" w14:textId="530D2974" w:rsidR="00FC6CE0" w:rsidRDefault="001D6370" w:rsidP="0030283D">
      <w:pPr>
        <w:spacing w:line="360" w:lineRule="auto"/>
        <w:ind w:firstLine="1440"/>
        <w:rPr>
          <w:sz w:val="24"/>
          <w:szCs w:val="24"/>
        </w:rPr>
      </w:pPr>
      <w:r>
        <w:rPr>
          <w:sz w:val="24"/>
          <w:szCs w:val="24"/>
        </w:rPr>
        <w:lastRenderedPageBreak/>
        <w:t>On February 25, 2020, t</w:t>
      </w:r>
      <w:r w:rsidRPr="001D6370">
        <w:rPr>
          <w:sz w:val="24"/>
          <w:szCs w:val="24"/>
        </w:rPr>
        <w:t xml:space="preserve">he </w:t>
      </w:r>
      <w:r w:rsidR="003D4660">
        <w:rPr>
          <w:sz w:val="24"/>
          <w:szCs w:val="24"/>
        </w:rPr>
        <w:t>presiding officer</w:t>
      </w:r>
      <w:r w:rsidRPr="001D6370">
        <w:rPr>
          <w:sz w:val="24"/>
          <w:szCs w:val="24"/>
        </w:rPr>
        <w:t xml:space="preserve"> conducted the prehearing conference</w:t>
      </w:r>
      <w:r w:rsidR="003D4660">
        <w:rPr>
          <w:sz w:val="24"/>
          <w:szCs w:val="24"/>
        </w:rPr>
        <w:t xml:space="preserve">.  </w:t>
      </w:r>
      <w:r w:rsidR="00050090">
        <w:rPr>
          <w:sz w:val="24"/>
          <w:szCs w:val="24"/>
        </w:rPr>
        <w:t>At the prehearing conference, the presiding officer reminded the parties the only issue involved in the instant proceeding</w:t>
      </w:r>
      <w:r w:rsidR="000739E9">
        <w:rPr>
          <w:sz w:val="24"/>
          <w:szCs w:val="24"/>
        </w:rPr>
        <w:t xml:space="preserve"> concerned the engineer’s report from April 18, 2018.  Accordingly, the inquiry herein would consider the following three questions</w:t>
      </w:r>
      <w:r w:rsidR="00F4483F">
        <w:rPr>
          <w:sz w:val="24"/>
          <w:szCs w:val="24"/>
        </w:rPr>
        <w:t xml:space="preserve"> arising from the Commission’s Opinion and Order dated January 17, 2019</w:t>
      </w:r>
      <w:r w:rsidR="00050090">
        <w:rPr>
          <w:sz w:val="24"/>
          <w:szCs w:val="24"/>
        </w:rPr>
        <w:t xml:space="preserve">: </w:t>
      </w:r>
      <w:r w:rsidR="000739E9">
        <w:rPr>
          <w:sz w:val="24"/>
          <w:szCs w:val="24"/>
        </w:rPr>
        <w:t xml:space="preserve">(1) the </w:t>
      </w:r>
      <w:r w:rsidR="000739E9">
        <w:rPr>
          <w:sz w:val="24"/>
        </w:rPr>
        <w:t>propriety of the recommendations, proposed time schedules and financing plans for the recommendations contained in the engineer’s report of Hidden Valley Utility Services from April 18, 2018; (2) the sufficiency of the report of the engineer of Hidden Valley Utility Services from April 18, 2018; and (3) the sufficiency of the previously ordered one-year compliance deadline</w:t>
      </w:r>
      <w:r w:rsidR="0030283D">
        <w:rPr>
          <w:sz w:val="24"/>
          <w:szCs w:val="24"/>
        </w:rPr>
        <w:t xml:space="preserve">.  </w:t>
      </w:r>
      <w:r w:rsidR="00FC6CE0" w:rsidRPr="003810E7">
        <w:rPr>
          <w:sz w:val="24"/>
          <w:szCs w:val="24"/>
        </w:rPr>
        <w:t xml:space="preserve">On </w:t>
      </w:r>
      <w:r w:rsidR="0030283D">
        <w:rPr>
          <w:sz w:val="24"/>
          <w:szCs w:val="24"/>
        </w:rPr>
        <w:t xml:space="preserve">Monday, </w:t>
      </w:r>
      <w:r w:rsidR="00FC6CE0" w:rsidRPr="003810E7">
        <w:rPr>
          <w:sz w:val="24"/>
          <w:szCs w:val="24"/>
        </w:rPr>
        <w:t>March 11, 2020, the presiding officer issued the Prehearing Order</w:t>
      </w:r>
      <w:r w:rsidR="00FC6CE0" w:rsidRPr="001D6370">
        <w:rPr>
          <w:sz w:val="24"/>
          <w:szCs w:val="24"/>
        </w:rPr>
        <w:t xml:space="preserve">.  </w:t>
      </w:r>
    </w:p>
    <w:p w14:paraId="3E88CE8C" w14:textId="216896EB" w:rsidR="000739E9" w:rsidRDefault="000739E9" w:rsidP="008004FC">
      <w:pPr>
        <w:spacing w:line="360" w:lineRule="auto"/>
        <w:ind w:firstLine="1440"/>
        <w:rPr>
          <w:sz w:val="24"/>
          <w:szCs w:val="24"/>
        </w:rPr>
      </w:pPr>
    </w:p>
    <w:p w14:paraId="447288D7" w14:textId="414C47D5" w:rsidR="000739E9" w:rsidRPr="00F4483F" w:rsidRDefault="000739E9" w:rsidP="008004FC">
      <w:pPr>
        <w:spacing w:line="360" w:lineRule="auto"/>
        <w:ind w:firstLine="1440"/>
        <w:rPr>
          <w:sz w:val="24"/>
          <w:szCs w:val="24"/>
        </w:rPr>
      </w:pPr>
      <w:r w:rsidRPr="00F4483F">
        <w:rPr>
          <w:sz w:val="24"/>
          <w:szCs w:val="24"/>
        </w:rPr>
        <w:t xml:space="preserve">On </w:t>
      </w:r>
      <w:r w:rsidR="0030283D">
        <w:rPr>
          <w:sz w:val="24"/>
          <w:szCs w:val="24"/>
        </w:rPr>
        <w:t xml:space="preserve">Tuesday, </w:t>
      </w:r>
      <w:r w:rsidRPr="00F4483F">
        <w:rPr>
          <w:sz w:val="24"/>
          <w:szCs w:val="24"/>
        </w:rPr>
        <w:t xml:space="preserve">May 19, 2020, the presiding officer conducted a telephonic </w:t>
      </w:r>
      <w:r w:rsidR="00F4483F" w:rsidRPr="00F4483F">
        <w:rPr>
          <w:sz w:val="24"/>
          <w:szCs w:val="24"/>
        </w:rPr>
        <w:t xml:space="preserve">prehearing conference at which time the presiding officer reminded the parties </w:t>
      </w:r>
      <w:r w:rsidR="0030283D">
        <w:rPr>
          <w:sz w:val="24"/>
          <w:szCs w:val="24"/>
        </w:rPr>
        <w:t xml:space="preserve">about </w:t>
      </w:r>
      <w:r w:rsidR="00F4483F" w:rsidRPr="00F4483F">
        <w:rPr>
          <w:sz w:val="24"/>
          <w:szCs w:val="24"/>
        </w:rPr>
        <w:t xml:space="preserve">the limited purpose for the instant proceeding.  The presiding officer reminded the parties that the sole Commission at issue was the Commission’s </w:t>
      </w:r>
      <w:r w:rsidR="0030283D">
        <w:rPr>
          <w:sz w:val="24"/>
          <w:szCs w:val="24"/>
        </w:rPr>
        <w:t xml:space="preserve">January 17, 2019 </w:t>
      </w:r>
      <w:r w:rsidR="00F4483F" w:rsidRPr="00F4483F">
        <w:rPr>
          <w:sz w:val="24"/>
          <w:szCs w:val="24"/>
        </w:rPr>
        <w:t>Order, which Order was the subject of Hidden Valley’s appeal to Commonwealth Court</w:t>
      </w:r>
      <w:r w:rsidR="00846AA2">
        <w:rPr>
          <w:sz w:val="24"/>
          <w:szCs w:val="24"/>
        </w:rPr>
        <w:t xml:space="preserve"> of Pennsylvania.  </w:t>
      </w:r>
    </w:p>
    <w:p w14:paraId="77A053BD" w14:textId="77777777" w:rsidR="003E44FB" w:rsidRPr="00F4483F" w:rsidRDefault="00A00830" w:rsidP="008004FC">
      <w:pPr>
        <w:spacing w:line="360" w:lineRule="auto"/>
        <w:rPr>
          <w:sz w:val="24"/>
          <w:szCs w:val="24"/>
        </w:rPr>
      </w:pPr>
      <w:r w:rsidRPr="00F4483F">
        <w:rPr>
          <w:sz w:val="24"/>
          <w:szCs w:val="24"/>
        </w:rPr>
        <w:tab/>
      </w:r>
    </w:p>
    <w:p w14:paraId="51472EF5" w14:textId="2EAE4CBF" w:rsidR="00C67853" w:rsidRDefault="00EA52F1" w:rsidP="008004FC">
      <w:pPr>
        <w:spacing w:line="360" w:lineRule="auto"/>
        <w:rPr>
          <w:sz w:val="24"/>
          <w:szCs w:val="24"/>
        </w:rPr>
      </w:pPr>
      <w:r>
        <w:rPr>
          <w:sz w:val="24"/>
          <w:szCs w:val="24"/>
        </w:rPr>
        <w:tab/>
      </w:r>
      <w:r>
        <w:rPr>
          <w:sz w:val="24"/>
          <w:szCs w:val="24"/>
        </w:rPr>
        <w:tab/>
        <w:t xml:space="preserve">On </w:t>
      </w:r>
      <w:r w:rsidR="0030283D">
        <w:rPr>
          <w:sz w:val="24"/>
          <w:szCs w:val="24"/>
        </w:rPr>
        <w:t xml:space="preserve">Wednesday, </w:t>
      </w:r>
      <w:r>
        <w:rPr>
          <w:sz w:val="24"/>
          <w:szCs w:val="24"/>
        </w:rPr>
        <w:t xml:space="preserve">May 20, 2020, </w:t>
      </w:r>
      <w:r w:rsidR="00664B27">
        <w:rPr>
          <w:sz w:val="24"/>
          <w:szCs w:val="24"/>
        </w:rPr>
        <w:t>the presiding officer conducted the</w:t>
      </w:r>
      <w:r w:rsidR="00F4483F">
        <w:rPr>
          <w:sz w:val="24"/>
          <w:szCs w:val="24"/>
        </w:rPr>
        <w:t xml:space="preserve"> telephonic</w:t>
      </w:r>
      <w:r w:rsidR="00664B27">
        <w:rPr>
          <w:sz w:val="24"/>
          <w:szCs w:val="24"/>
        </w:rPr>
        <w:t xml:space="preserve"> evidentiary hearin</w:t>
      </w:r>
      <w:r w:rsidR="0030283D">
        <w:rPr>
          <w:sz w:val="24"/>
          <w:szCs w:val="24"/>
        </w:rPr>
        <w:t>g, at which time the presiding officer reminded the parties about the limited purpose of the evidentiary hearing, as outlined by the Commission and encouraged by the appellate court.</w:t>
      </w:r>
    </w:p>
    <w:p w14:paraId="3E6AFCAB" w14:textId="77777777" w:rsidR="00C67853" w:rsidRDefault="00C67853" w:rsidP="008004FC">
      <w:pPr>
        <w:spacing w:line="360" w:lineRule="auto"/>
        <w:rPr>
          <w:sz w:val="24"/>
          <w:szCs w:val="24"/>
        </w:rPr>
      </w:pPr>
    </w:p>
    <w:p w14:paraId="2D950435" w14:textId="483C6CC7" w:rsidR="00AB6D69" w:rsidRDefault="00AB6D69" w:rsidP="008004FC">
      <w:pPr>
        <w:spacing w:line="360" w:lineRule="auto"/>
        <w:rPr>
          <w:sz w:val="24"/>
          <w:szCs w:val="24"/>
        </w:rPr>
      </w:pPr>
      <w:r>
        <w:rPr>
          <w:sz w:val="24"/>
          <w:szCs w:val="24"/>
        </w:rPr>
        <w:tab/>
      </w:r>
      <w:r>
        <w:rPr>
          <w:sz w:val="24"/>
          <w:szCs w:val="24"/>
        </w:rPr>
        <w:tab/>
      </w:r>
      <w:r w:rsidR="00C67853">
        <w:rPr>
          <w:sz w:val="24"/>
          <w:szCs w:val="24"/>
        </w:rPr>
        <w:t>On</w:t>
      </w:r>
      <w:r>
        <w:rPr>
          <w:sz w:val="24"/>
          <w:szCs w:val="24"/>
        </w:rPr>
        <w:t xml:space="preserve"> </w:t>
      </w:r>
      <w:r w:rsidR="0030283D">
        <w:rPr>
          <w:sz w:val="24"/>
          <w:szCs w:val="24"/>
        </w:rPr>
        <w:t xml:space="preserve">Monday, </w:t>
      </w:r>
      <w:r>
        <w:rPr>
          <w:sz w:val="24"/>
          <w:szCs w:val="24"/>
        </w:rPr>
        <w:t xml:space="preserve">June 8, 2020, </w:t>
      </w:r>
      <w:r w:rsidR="0030283D">
        <w:rPr>
          <w:sz w:val="24"/>
          <w:szCs w:val="24"/>
        </w:rPr>
        <w:t>Office of Consumer Advocate (</w:t>
      </w:r>
      <w:r>
        <w:rPr>
          <w:sz w:val="24"/>
          <w:szCs w:val="24"/>
        </w:rPr>
        <w:t>OCA</w:t>
      </w:r>
      <w:r w:rsidR="0030283D">
        <w:rPr>
          <w:sz w:val="24"/>
          <w:szCs w:val="24"/>
        </w:rPr>
        <w:t>)</w:t>
      </w:r>
      <w:r>
        <w:rPr>
          <w:sz w:val="24"/>
          <w:szCs w:val="24"/>
        </w:rPr>
        <w:t xml:space="preserve"> sent a request on behalf of both OCA and Hidden Valley </w:t>
      </w:r>
      <w:r w:rsidR="006354B2">
        <w:rPr>
          <w:sz w:val="24"/>
          <w:szCs w:val="24"/>
        </w:rPr>
        <w:t>requesting that</w:t>
      </w:r>
      <w:r>
        <w:rPr>
          <w:sz w:val="24"/>
          <w:szCs w:val="24"/>
        </w:rPr>
        <w:t xml:space="preserve"> the presiding officer extend the dates when the Main Briefs and Reply Briefs would be </w:t>
      </w:r>
      <w:r w:rsidR="000E6478">
        <w:rPr>
          <w:sz w:val="24"/>
          <w:szCs w:val="24"/>
        </w:rPr>
        <w:t>required</w:t>
      </w:r>
      <w:r>
        <w:rPr>
          <w:sz w:val="24"/>
          <w:szCs w:val="24"/>
        </w:rPr>
        <w:t xml:space="preserve">.  </w:t>
      </w:r>
      <w:r w:rsidR="006354B2">
        <w:rPr>
          <w:sz w:val="24"/>
          <w:szCs w:val="24"/>
        </w:rPr>
        <w:t>Specifically, OCA asked that the Main Briefs be due on June 26, 2020 instead of June 19, 2020, and that the Reply Briefs be due on July10, 2020 instead of July 2, 2020.</w:t>
      </w:r>
    </w:p>
    <w:p w14:paraId="4A62B0B4" w14:textId="4721C7BA" w:rsidR="000E6478" w:rsidRDefault="000E6478" w:rsidP="008004FC">
      <w:pPr>
        <w:spacing w:line="360" w:lineRule="auto"/>
        <w:rPr>
          <w:sz w:val="24"/>
          <w:szCs w:val="24"/>
        </w:rPr>
      </w:pPr>
    </w:p>
    <w:p w14:paraId="5D0BB473" w14:textId="40248D3A" w:rsidR="00C627EF" w:rsidRDefault="000E6478" w:rsidP="0030283D">
      <w:pPr>
        <w:spacing w:line="360" w:lineRule="auto"/>
        <w:rPr>
          <w:sz w:val="24"/>
          <w:szCs w:val="24"/>
        </w:rPr>
      </w:pPr>
      <w:r>
        <w:rPr>
          <w:sz w:val="24"/>
          <w:szCs w:val="24"/>
        </w:rPr>
        <w:tab/>
      </w:r>
      <w:r>
        <w:rPr>
          <w:sz w:val="24"/>
          <w:szCs w:val="24"/>
        </w:rPr>
        <w:tab/>
        <w:t xml:space="preserve">On </w:t>
      </w:r>
      <w:r w:rsidR="0030283D">
        <w:rPr>
          <w:sz w:val="24"/>
          <w:szCs w:val="24"/>
        </w:rPr>
        <w:t xml:space="preserve">Wednesday, </w:t>
      </w:r>
      <w:r>
        <w:rPr>
          <w:sz w:val="24"/>
          <w:szCs w:val="24"/>
        </w:rPr>
        <w:t>June 1</w:t>
      </w:r>
      <w:r w:rsidR="0063465F">
        <w:rPr>
          <w:sz w:val="24"/>
          <w:szCs w:val="24"/>
        </w:rPr>
        <w:t>0</w:t>
      </w:r>
      <w:r>
        <w:rPr>
          <w:sz w:val="24"/>
          <w:szCs w:val="24"/>
        </w:rPr>
        <w:t>, 2020, the transcript from the evidentiary hearing was filed with the Secretary’s Bureau.</w:t>
      </w:r>
      <w:r w:rsidR="00C627EF">
        <w:rPr>
          <w:sz w:val="24"/>
          <w:szCs w:val="24"/>
        </w:rPr>
        <w:t xml:space="preserve">  On the same date, June 10, 2020, the presiding officer asked </w:t>
      </w:r>
      <w:r w:rsidR="00C627EF">
        <w:rPr>
          <w:sz w:val="24"/>
          <w:szCs w:val="24"/>
        </w:rPr>
        <w:lastRenderedPageBreak/>
        <w:t xml:space="preserve">the parties via email if the parties still wanted to use the current due dates of June 26, 2020 and July 10, 2020 for the filing of Main Briefs and Reply Briefs.  No party replied to the email.  </w:t>
      </w:r>
    </w:p>
    <w:p w14:paraId="1A20A133" w14:textId="70D4D05B" w:rsidR="007A0479" w:rsidRDefault="007A0479" w:rsidP="008004FC">
      <w:pPr>
        <w:spacing w:line="360" w:lineRule="auto"/>
        <w:rPr>
          <w:sz w:val="24"/>
          <w:szCs w:val="24"/>
        </w:rPr>
      </w:pPr>
    </w:p>
    <w:p w14:paraId="2F4A210E" w14:textId="4EB81F3A" w:rsidR="007A0479" w:rsidRDefault="007A0479" w:rsidP="008004FC">
      <w:pPr>
        <w:spacing w:line="360" w:lineRule="auto"/>
        <w:rPr>
          <w:sz w:val="24"/>
          <w:szCs w:val="24"/>
        </w:rPr>
      </w:pPr>
      <w:r>
        <w:rPr>
          <w:sz w:val="24"/>
          <w:szCs w:val="24"/>
        </w:rPr>
        <w:tab/>
      </w:r>
      <w:r>
        <w:rPr>
          <w:sz w:val="24"/>
          <w:szCs w:val="24"/>
        </w:rPr>
        <w:tab/>
        <w:t xml:space="preserve">On </w:t>
      </w:r>
      <w:r w:rsidR="0030283D">
        <w:rPr>
          <w:sz w:val="24"/>
          <w:szCs w:val="24"/>
        </w:rPr>
        <w:t xml:space="preserve">Thursday, </w:t>
      </w:r>
      <w:r>
        <w:rPr>
          <w:sz w:val="24"/>
          <w:szCs w:val="24"/>
        </w:rPr>
        <w:t>June</w:t>
      </w:r>
      <w:r w:rsidR="0096135C">
        <w:rPr>
          <w:sz w:val="24"/>
          <w:szCs w:val="24"/>
        </w:rPr>
        <w:t xml:space="preserve"> </w:t>
      </w:r>
      <w:r>
        <w:rPr>
          <w:sz w:val="24"/>
          <w:szCs w:val="24"/>
        </w:rPr>
        <w:t xml:space="preserve">11, 2020, the presiding officer issued the Second Post Hearing Order which granted the request of OCA to amend the litigation schedule by extending the due dates for filing Main Briefs </w:t>
      </w:r>
      <w:r w:rsidR="00C627EF">
        <w:rPr>
          <w:sz w:val="24"/>
          <w:szCs w:val="24"/>
        </w:rPr>
        <w:t xml:space="preserve">by June 26, 2020 </w:t>
      </w:r>
      <w:r>
        <w:rPr>
          <w:sz w:val="24"/>
          <w:szCs w:val="24"/>
        </w:rPr>
        <w:t>and Reply Briefs</w:t>
      </w:r>
      <w:r w:rsidR="00C627EF">
        <w:rPr>
          <w:sz w:val="24"/>
          <w:szCs w:val="24"/>
        </w:rPr>
        <w:t xml:space="preserve"> by July 10, 2020</w:t>
      </w:r>
      <w:r>
        <w:rPr>
          <w:sz w:val="24"/>
          <w:szCs w:val="24"/>
        </w:rPr>
        <w:t xml:space="preserve">.  </w:t>
      </w:r>
    </w:p>
    <w:p w14:paraId="3CBA7198" w14:textId="57A4A60A" w:rsidR="007A0479" w:rsidRDefault="007A0479" w:rsidP="008004FC">
      <w:pPr>
        <w:spacing w:line="360" w:lineRule="auto"/>
        <w:rPr>
          <w:sz w:val="24"/>
          <w:szCs w:val="24"/>
        </w:rPr>
      </w:pPr>
    </w:p>
    <w:p w14:paraId="61B0788D" w14:textId="42C83525" w:rsidR="007A0479" w:rsidRDefault="007A0479" w:rsidP="008004FC">
      <w:pPr>
        <w:spacing w:line="360" w:lineRule="auto"/>
        <w:rPr>
          <w:sz w:val="24"/>
          <w:szCs w:val="24"/>
        </w:rPr>
      </w:pPr>
      <w:r>
        <w:rPr>
          <w:sz w:val="24"/>
          <w:szCs w:val="24"/>
        </w:rPr>
        <w:tab/>
      </w:r>
      <w:r>
        <w:rPr>
          <w:sz w:val="24"/>
          <w:szCs w:val="24"/>
        </w:rPr>
        <w:tab/>
        <w:t xml:space="preserve">On </w:t>
      </w:r>
      <w:r w:rsidR="0030283D">
        <w:rPr>
          <w:sz w:val="24"/>
          <w:szCs w:val="24"/>
        </w:rPr>
        <w:t xml:space="preserve">Friday, </w:t>
      </w:r>
      <w:r w:rsidRPr="0096135C">
        <w:rPr>
          <w:sz w:val="24"/>
          <w:szCs w:val="24"/>
        </w:rPr>
        <w:t>June 12, 2020, Hidden Valley requested</w:t>
      </w:r>
      <w:r w:rsidR="0096135C" w:rsidRPr="0096135C">
        <w:rPr>
          <w:sz w:val="24"/>
          <w:szCs w:val="24"/>
        </w:rPr>
        <w:t>, on behalf of BIE, OCA and itself,</w:t>
      </w:r>
      <w:r w:rsidRPr="0096135C">
        <w:rPr>
          <w:sz w:val="24"/>
          <w:szCs w:val="24"/>
        </w:rPr>
        <w:t xml:space="preserve"> </w:t>
      </w:r>
      <w:r w:rsidR="00F4483F">
        <w:rPr>
          <w:sz w:val="24"/>
          <w:szCs w:val="24"/>
        </w:rPr>
        <w:t xml:space="preserve">that </w:t>
      </w:r>
      <w:r w:rsidRPr="0096135C">
        <w:rPr>
          <w:sz w:val="24"/>
          <w:szCs w:val="24"/>
        </w:rPr>
        <w:t>the presiding officer further extend the dates when the Main Briefs and Reply Briefs would be required.  Specifically, Hidden Valley asked the presiding officer to require Main Briefs to be filed June 30, 2020 instead of June 26, 2020, and that the Reply Briefs be due on July14, 2020 instead of July 10, 2020.</w:t>
      </w:r>
      <w:r w:rsidR="00F4483F">
        <w:rPr>
          <w:sz w:val="24"/>
          <w:szCs w:val="24"/>
        </w:rPr>
        <w:t xml:space="preserve">  </w:t>
      </w:r>
      <w:r>
        <w:rPr>
          <w:sz w:val="24"/>
          <w:szCs w:val="24"/>
        </w:rPr>
        <w:t>No party filed an objection to Hidden Valley’s request.</w:t>
      </w:r>
    </w:p>
    <w:p w14:paraId="67D9F9FD" w14:textId="30584018" w:rsidR="00F4483F" w:rsidRDefault="00F4483F" w:rsidP="008004FC">
      <w:pPr>
        <w:spacing w:line="360" w:lineRule="auto"/>
        <w:rPr>
          <w:sz w:val="24"/>
          <w:szCs w:val="24"/>
        </w:rPr>
      </w:pPr>
    </w:p>
    <w:p w14:paraId="449FA2BF" w14:textId="42C48C85" w:rsidR="00F4483F" w:rsidRDefault="00F4483F" w:rsidP="008004FC">
      <w:pPr>
        <w:spacing w:line="360" w:lineRule="auto"/>
        <w:rPr>
          <w:sz w:val="24"/>
          <w:szCs w:val="24"/>
        </w:rPr>
      </w:pPr>
      <w:r>
        <w:rPr>
          <w:sz w:val="24"/>
          <w:szCs w:val="24"/>
        </w:rPr>
        <w:tab/>
      </w:r>
      <w:r>
        <w:rPr>
          <w:sz w:val="24"/>
          <w:szCs w:val="24"/>
        </w:rPr>
        <w:tab/>
        <w:t xml:space="preserve">On </w:t>
      </w:r>
      <w:r w:rsidR="0030283D">
        <w:rPr>
          <w:sz w:val="24"/>
          <w:szCs w:val="24"/>
        </w:rPr>
        <w:t xml:space="preserve">Thursday, </w:t>
      </w:r>
      <w:r>
        <w:rPr>
          <w:sz w:val="24"/>
          <w:szCs w:val="24"/>
        </w:rPr>
        <w:t xml:space="preserve">June 18, 2020, the presiding officer issued the Third </w:t>
      </w:r>
      <w:r w:rsidR="0030283D">
        <w:rPr>
          <w:sz w:val="24"/>
          <w:szCs w:val="24"/>
        </w:rPr>
        <w:t>Po</w:t>
      </w:r>
      <w:r>
        <w:rPr>
          <w:sz w:val="24"/>
          <w:szCs w:val="24"/>
        </w:rPr>
        <w:t>st-Hearing Order which moved the due date of the filing of the Main Briefs and Reply Briefs</w:t>
      </w:r>
      <w:r w:rsidR="0030283D">
        <w:rPr>
          <w:sz w:val="24"/>
          <w:szCs w:val="24"/>
        </w:rPr>
        <w:t xml:space="preserve"> to June 30, 2020 and July 14, 2020, respectively</w:t>
      </w:r>
      <w:r>
        <w:rPr>
          <w:sz w:val="24"/>
          <w:szCs w:val="24"/>
        </w:rPr>
        <w:t>.</w:t>
      </w:r>
    </w:p>
    <w:p w14:paraId="6258574C" w14:textId="7219DDB1" w:rsidR="00F4483F" w:rsidRDefault="00F4483F" w:rsidP="008004FC">
      <w:pPr>
        <w:spacing w:line="360" w:lineRule="auto"/>
        <w:rPr>
          <w:sz w:val="24"/>
          <w:szCs w:val="24"/>
        </w:rPr>
      </w:pPr>
    </w:p>
    <w:p w14:paraId="655ABC65" w14:textId="6A9124CC" w:rsidR="00F4483F" w:rsidRDefault="00F4483F" w:rsidP="008004FC">
      <w:pPr>
        <w:spacing w:line="360" w:lineRule="auto"/>
        <w:rPr>
          <w:sz w:val="24"/>
          <w:szCs w:val="24"/>
        </w:rPr>
      </w:pPr>
      <w:r>
        <w:rPr>
          <w:sz w:val="24"/>
          <w:szCs w:val="24"/>
        </w:rPr>
        <w:tab/>
      </w:r>
      <w:r>
        <w:rPr>
          <w:sz w:val="24"/>
          <w:szCs w:val="24"/>
        </w:rPr>
        <w:tab/>
        <w:t xml:space="preserve">On </w:t>
      </w:r>
      <w:r w:rsidR="0030283D">
        <w:rPr>
          <w:sz w:val="24"/>
          <w:szCs w:val="24"/>
        </w:rPr>
        <w:t xml:space="preserve">Tuesday, </w:t>
      </w:r>
      <w:r>
        <w:rPr>
          <w:sz w:val="24"/>
          <w:szCs w:val="24"/>
        </w:rPr>
        <w:t>June 23, 2020, Hidden Valley filed a Request for Extension of Time, pursuant to 52 Pa.Code § 1.15(a)(1)</w:t>
      </w:r>
      <w:r w:rsidR="00846AA2">
        <w:rPr>
          <w:rStyle w:val="FootnoteReference"/>
          <w:sz w:val="24"/>
          <w:szCs w:val="24"/>
        </w:rPr>
        <w:footnoteReference w:id="1"/>
      </w:r>
      <w:r w:rsidR="00547057">
        <w:rPr>
          <w:sz w:val="24"/>
          <w:szCs w:val="24"/>
        </w:rPr>
        <w:t xml:space="preserve"> </w:t>
      </w:r>
      <w:r w:rsidR="009E71D7">
        <w:rPr>
          <w:sz w:val="24"/>
          <w:szCs w:val="24"/>
        </w:rPr>
        <w:t>to Hold a Semi-Annual Meeting with Customers.</w:t>
      </w:r>
      <w:r>
        <w:rPr>
          <w:sz w:val="24"/>
          <w:szCs w:val="24"/>
        </w:rPr>
        <w:t xml:space="preserve">  Hidden Valley averred it needed an extension of thirty days in which to hold </w:t>
      </w:r>
      <w:r w:rsidR="00E309C1">
        <w:rPr>
          <w:sz w:val="24"/>
          <w:szCs w:val="24"/>
        </w:rPr>
        <w:t>a semi-annual</w:t>
      </w:r>
      <w:r>
        <w:rPr>
          <w:sz w:val="24"/>
          <w:szCs w:val="24"/>
        </w:rPr>
        <w:t xml:space="preserve"> meeting </w:t>
      </w:r>
      <w:r w:rsidR="00E309C1">
        <w:rPr>
          <w:sz w:val="24"/>
          <w:szCs w:val="24"/>
        </w:rPr>
        <w:t xml:space="preserve">with customer, because these meetings were </w:t>
      </w:r>
      <w:r>
        <w:rPr>
          <w:sz w:val="24"/>
          <w:szCs w:val="24"/>
        </w:rPr>
        <w:t>required by Ordering Paragraph 5(b) in the Commission’s January 18, 2018 Order.</w:t>
      </w:r>
      <w:r w:rsidR="00BB16E9">
        <w:rPr>
          <w:rStyle w:val="FootnoteReference"/>
          <w:sz w:val="24"/>
          <w:szCs w:val="24"/>
        </w:rPr>
        <w:footnoteReference w:id="2"/>
      </w:r>
      <w:r>
        <w:rPr>
          <w:sz w:val="24"/>
          <w:szCs w:val="24"/>
        </w:rPr>
        <w:t xml:space="preserve">  </w:t>
      </w:r>
      <w:r w:rsidR="00846AA2">
        <w:rPr>
          <w:sz w:val="24"/>
          <w:szCs w:val="24"/>
        </w:rPr>
        <w:t xml:space="preserve">Hidden Valley averred it had good cause to request an extension because it had been unable to secure a site near the territory that would permit an in-person meeting with its customers while maintaining social distancing and other mitigation measures required during the CoVid19 pandemic.  Hidden Valley asserted it needs additional time to explore other means of holding a virtual meeting with a large number of customers.  </w:t>
      </w:r>
      <w:r w:rsidR="00846AA2">
        <w:rPr>
          <w:sz w:val="24"/>
          <w:szCs w:val="24"/>
        </w:rPr>
        <w:lastRenderedPageBreak/>
        <w:t xml:space="preserve">Hidden Valley averred </w:t>
      </w:r>
      <w:r w:rsidR="00E309C1">
        <w:rPr>
          <w:sz w:val="24"/>
          <w:szCs w:val="24"/>
        </w:rPr>
        <w:t xml:space="preserve">OCA and </w:t>
      </w:r>
      <w:r w:rsidR="00846AA2">
        <w:rPr>
          <w:sz w:val="24"/>
          <w:szCs w:val="24"/>
        </w:rPr>
        <w:t xml:space="preserve">Complainant Robert Kollar indicated they did not oppose the request.  </w:t>
      </w:r>
      <w:r w:rsidR="00E309C1">
        <w:rPr>
          <w:sz w:val="24"/>
          <w:szCs w:val="24"/>
        </w:rPr>
        <w:t>Complainant Howard-Frieri indicated she had no opposition.</w:t>
      </w:r>
    </w:p>
    <w:p w14:paraId="1FA6B3EE" w14:textId="6673E6C5" w:rsidR="00846AA2" w:rsidRDefault="00846AA2" w:rsidP="008004FC">
      <w:pPr>
        <w:spacing w:line="360" w:lineRule="auto"/>
        <w:rPr>
          <w:sz w:val="24"/>
          <w:szCs w:val="24"/>
        </w:rPr>
      </w:pPr>
    </w:p>
    <w:p w14:paraId="07690589" w14:textId="33933D22" w:rsidR="00846AA2" w:rsidRPr="00E97AD1" w:rsidRDefault="00846AA2" w:rsidP="008004FC">
      <w:pPr>
        <w:spacing w:line="360" w:lineRule="auto"/>
        <w:rPr>
          <w:sz w:val="24"/>
          <w:szCs w:val="24"/>
          <w:u w:val="single"/>
        </w:rPr>
      </w:pPr>
      <w:r w:rsidRPr="00E97AD1">
        <w:rPr>
          <w:sz w:val="24"/>
          <w:szCs w:val="24"/>
          <w:u w:val="single"/>
        </w:rPr>
        <w:t>Discussion</w:t>
      </w:r>
    </w:p>
    <w:p w14:paraId="329CFE92" w14:textId="4BDEE9E0" w:rsidR="00846AA2" w:rsidRDefault="00846AA2" w:rsidP="008004FC">
      <w:pPr>
        <w:spacing w:line="360" w:lineRule="auto"/>
        <w:rPr>
          <w:sz w:val="24"/>
          <w:szCs w:val="24"/>
        </w:rPr>
      </w:pPr>
    </w:p>
    <w:p w14:paraId="52F03995" w14:textId="3BBB1F89" w:rsidR="00D33947" w:rsidRDefault="00846AA2" w:rsidP="008004FC">
      <w:pPr>
        <w:spacing w:line="360" w:lineRule="auto"/>
        <w:rPr>
          <w:sz w:val="24"/>
          <w:szCs w:val="24"/>
        </w:rPr>
      </w:pPr>
      <w:r>
        <w:rPr>
          <w:sz w:val="24"/>
          <w:szCs w:val="24"/>
        </w:rPr>
        <w:tab/>
      </w:r>
      <w:r>
        <w:rPr>
          <w:sz w:val="24"/>
          <w:szCs w:val="24"/>
        </w:rPr>
        <w:tab/>
        <w:t>Hidden Valley provide</w:t>
      </w:r>
      <w:r w:rsidR="00E309C1">
        <w:rPr>
          <w:sz w:val="24"/>
          <w:szCs w:val="24"/>
        </w:rPr>
        <w:t>s</w:t>
      </w:r>
      <w:r>
        <w:rPr>
          <w:sz w:val="24"/>
          <w:szCs w:val="24"/>
        </w:rPr>
        <w:t xml:space="preserve"> no explanation for why Ordering Paragraph </w:t>
      </w:r>
      <w:r w:rsidR="00D33947">
        <w:rPr>
          <w:sz w:val="24"/>
          <w:szCs w:val="24"/>
        </w:rPr>
        <w:t xml:space="preserve">5(b) </w:t>
      </w:r>
      <w:r>
        <w:rPr>
          <w:sz w:val="24"/>
          <w:szCs w:val="24"/>
        </w:rPr>
        <w:t xml:space="preserve">from the </w:t>
      </w:r>
      <w:r w:rsidR="00E309C1">
        <w:rPr>
          <w:sz w:val="24"/>
          <w:szCs w:val="24"/>
        </w:rPr>
        <w:t xml:space="preserve">January 18, 2018 </w:t>
      </w:r>
      <w:r>
        <w:rPr>
          <w:sz w:val="24"/>
          <w:szCs w:val="24"/>
        </w:rPr>
        <w:t>Order ha</w:t>
      </w:r>
      <w:r w:rsidR="00E309C1">
        <w:rPr>
          <w:sz w:val="24"/>
          <w:szCs w:val="24"/>
        </w:rPr>
        <w:t>s</w:t>
      </w:r>
      <w:r>
        <w:rPr>
          <w:sz w:val="24"/>
          <w:szCs w:val="24"/>
        </w:rPr>
        <w:t xml:space="preserve"> bearing on </w:t>
      </w:r>
      <w:r w:rsidR="00E309C1">
        <w:rPr>
          <w:sz w:val="24"/>
          <w:szCs w:val="24"/>
        </w:rPr>
        <w:t xml:space="preserve">this proceeding.  This proceeding concerns the </w:t>
      </w:r>
      <w:r>
        <w:rPr>
          <w:sz w:val="24"/>
          <w:szCs w:val="24"/>
        </w:rPr>
        <w:t xml:space="preserve">application and disposition of Ordering Paragraph No. 20 from the </w:t>
      </w:r>
      <w:r w:rsidR="00BB16E9">
        <w:rPr>
          <w:sz w:val="24"/>
          <w:szCs w:val="24"/>
        </w:rPr>
        <w:t>same</w:t>
      </w:r>
      <w:r>
        <w:rPr>
          <w:sz w:val="24"/>
          <w:szCs w:val="24"/>
        </w:rPr>
        <w:t xml:space="preserve"> Order</w:t>
      </w:r>
      <w:r w:rsidR="00BB16E9">
        <w:rPr>
          <w:sz w:val="24"/>
          <w:szCs w:val="24"/>
        </w:rPr>
        <w:t xml:space="preserve">, which was later ratified by the Commission in its </w:t>
      </w:r>
      <w:r w:rsidR="00E309C1">
        <w:rPr>
          <w:sz w:val="24"/>
          <w:szCs w:val="24"/>
        </w:rPr>
        <w:t xml:space="preserve">January 17, 2019 </w:t>
      </w:r>
      <w:r w:rsidR="00BB16E9">
        <w:rPr>
          <w:sz w:val="24"/>
          <w:szCs w:val="24"/>
        </w:rPr>
        <w:t>Order</w:t>
      </w:r>
      <w:r>
        <w:rPr>
          <w:sz w:val="24"/>
          <w:szCs w:val="24"/>
        </w:rPr>
        <w:t>.</w:t>
      </w:r>
      <w:r w:rsidR="00BB16E9">
        <w:rPr>
          <w:sz w:val="24"/>
          <w:szCs w:val="24"/>
        </w:rPr>
        <w:t xml:space="preserve">  </w:t>
      </w:r>
      <w:r w:rsidR="00E97AD1">
        <w:rPr>
          <w:sz w:val="24"/>
          <w:szCs w:val="24"/>
        </w:rPr>
        <w:t xml:space="preserve">Hidden Valley appealed the </w:t>
      </w:r>
      <w:r w:rsidR="00BB16E9" w:rsidRPr="00E97AD1">
        <w:rPr>
          <w:sz w:val="24"/>
          <w:szCs w:val="24"/>
        </w:rPr>
        <w:t>la</w:t>
      </w:r>
      <w:r w:rsidR="00D33947">
        <w:rPr>
          <w:sz w:val="24"/>
          <w:szCs w:val="24"/>
        </w:rPr>
        <w:t>t</w:t>
      </w:r>
      <w:r w:rsidR="00BB16E9" w:rsidRPr="00E97AD1">
        <w:rPr>
          <w:sz w:val="24"/>
          <w:szCs w:val="24"/>
        </w:rPr>
        <w:t xml:space="preserve">ter Order to Commonwealth Court and </w:t>
      </w:r>
      <w:r w:rsidR="00E97AD1">
        <w:rPr>
          <w:sz w:val="24"/>
          <w:szCs w:val="24"/>
        </w:rPr>
        <w:t xml:space="preserve">that appeal </w:t>
      </w:r>
      <w:r w:rsidR="00D33947">
        <w:rPr>
          <w:sz w:val="24"/>
          <w:szCs w:val="24"/>
        </w:rPr>
        <w:t>was quashed by</w:t>
      </w:r>
      <w:r w:rsidR="00BB16E9" w:rsidRPr="00E97AD1">
        <w:rPr>
          <w:sz w:val="24"/>
          <w:szCs w:val="24"/>
        </w:rPr>
        <w:t xml:space="preserve"> Commonwealth Court</w:t>
      </w:r>
      <w:r w:rsidR="00E97AD1">
        <w:rPr>
          <w:sz w:val="24"/>
          <w:szCs w:val="24"/>
        </w:rPr>
        <w:t xml:space="preserve"> </w:t>
      </w:r>
      <w:r w:rsidR="00D33947">
        <w:rPr>
          <w:sz w:val="24"/>
          <w:szCs w:val="24"/>
        </w:rPr>
        <w:t>which</w:t>
      </w:r>
      <w:r w:rsidR="00BB16E9" w:rsidRPr="00E97AD1">
        <w:rPr>
          <w:sz w:val="24"/>
          <w:szCs w:val="24"/>
        </w:rPr>
        <w:t xml:space="preserve"> resulted in this proceeding.  </w:t>
      </w:r>
    </w:p>
    <w:p w14:paraId="2E1A041F" w14:textId="77777777" w:rsidR="00D33947" w:rsidRDefault="00D33947" w:rsidP="008004FC">
      <w:pPr>
        <w:spacing w:line="360" w:lineRule="auto"/>
        <w:rPr>
          <w:sz w:val="24"/>
          <w:szCs w:val="24"/>
        </w:rPr>
      </w:pPr>
    </w:p>
    <w:p w14:paraId="41BF111D" w14:textId="4F9F4FFF" w:rsidR="00846AA2" w:rsidRDefault="00846AA2" w:rsidP="00D33947">
      <w:pPr>
        <w:spacing w:line="360" w:lineRule="auto"/>
        <w:ind w:firstLine="1440"/>
        <w:rPr>
          <w:sz w:val="24"/>
          <w:szCs w:val="24"/>
        </w:rPr>
      </w:pPr>
      <w:r w:rsidRPr="00E97AD1">
        <w:rPr>
          <w:sz w:val="24"/>
          <w:szCs w:val="24"/>
        </w:rPr>
        <w:t xml:space="preserve">This proceeding concerns only the </w:t>
      </w:r>
      <w:r w:rsidR="001C535D">
        <w:rPr>
          <w:sz w:val="24"/>
          <w:szCs w:val="24"/>
        </w:rPr>
        <w:t xml:space="preserve">engineer’s report required by </w:t>
      </w:r>
      <w:r w:rsidRPr="00E97AD1">
        <w:rPr>
          <w:sz w:val="24"/>
          <w:szCs w:val="24"/>
        </w:rPr>
        <w:t>the Commission</w:t>
      </w:r>
      <w:r w:rsidR="00E309C1">
        <w:rPr>
          <w:sz w:val="24"/>
          <w:szCs w:val="24"/>
        </w:rPr>
        <w:t>’s January 18, 2018</w:t>
      </w:r>
      <w:r w:rsidRPr="00E97AD1">
        <w:rPr>
          <w:sz w:val="24"/>
          <w:szCs w:val="24"/>
        </w:rPr>
        <w:t xml:space="preserve"> Order.  Paragraph 5 from the </w:t>
      </w:r>
      <w:r w:rsidR="00BB16E9" w:rsidRPr="00E97AD1">
        <w:rPr>
          <w:sz w:val="24"/>
          <w:szCs w:val="24"/>
        </w:rPr>
        <w:t xml:space="preserve">same </w:t>
      </w:r>
      <w:r w:rsidRPr="00E97AD1">
        <w:rPr>
          <w:sz w:val="24"/>
          <w:szCs w:val="24"/>
        </w:rPr>
        <w:t>Commission Orde</w:t>
      </w:r>
      <w:r w:rsidR="00BB16E9" w:rsidRPr="00E97AD1">
        <w:rPr>
          <w:sz w:val="24"/>
          <w:szCs w:val="24"/>
        </w:rPr>
        <w:t xml:space="preserve">r concerns </w:t>
      </w:r>
      <w:r w:rsidR="001C535D">
        <w:rPr>
          <w:sz w:val="24"/>
          <w:szCs w:val="24"/>
        </w:rPr>
        <w:t>two</w:t>
      </w:r>
      <w:r w:rsidR="00BB16E9" w:rsidRPr="00E97AD1">
        <w:rPr>
          <w:sz w:val="24"/>
          <w:szCs w:val="24"/>
        </w:rPr>
        <w:t xml:space="preserve"> different issue</w:t>
      </w:r>
      <w:r w:rsidR="001C535D">
        <w:rPr>
          <w:sz w:val="24"/>
          <w:szCs w:val="24"/>
        </w:rPr>
        <w:t>s</w:t>
      </w:r>
      <w:r w:rsidR="00BB16E9" w:rsidRPr="00E97AD1">
        <w:rPr>
          <w:sz w:val="24"/>
          <w:szCs w:val="24"/>
        </w:rPr>
        <w:t xml:space="preserve"> </w:t>
      </w:r>
      <w:r w:rsidR="001C535D">
        <w:rPr>
          <w:sz w:val="24"/>
          <w:szCs w:val="24"/>
        </w:rPr>
        <w:t xml:space="preserve">(the installation of pipes in the Heights and Valley View sections and the conduct of twice-yearly meetings between Hidden Valley and its customers).  Paragraph </w:t>
      </w:r>
      <w:r w:rsidR="00E309C1">
        <w:rPr>
          <w:sz w:val="24"/>
          <w:szCs w:val="24"/>
        </w:rPr>
        <w:t xml:space="preserve">5 </w:t>
      </w:r>
      <w:r w:rsidR="001C535D">
        <w:rPr>
          <w:sz w:val="24"/>
          <w:szCs w:val="24"/>
        </w:rPr>
        <w:t xml:space="preserve">is specifically </w:t>
      </w:r>
      <w:r w:rsidR="00BB16E9" w:rsidRPr="00E97AD1">
        <w:rPr>
          <w:sz w:val="24"/>
          <w:szCs w:val="24"/>
        </w:rPr>
        <w:t xml:space="preserve">related to a provision from a </w:t>
      </w:r>
      <w:r w:rsidR="00E97AD1" w:rsidRPr="00E97AD1">
        <w:rPr>
          <w:sz w:val="24"/>
          <w:szCs w:val="24"/>
        </w:rPr>
        <w:t>2005 S</w:t>
      </w:r>
      <w:r w:rsidR="00BB16E9" w:rsidRPr="00E97AD1">
        <w:rPr>
          <w:sz w:val="24"/>
          <w:szCs w:val="24"/>
        </w:rPr>
        <w:t xml:space="preserve">ettlement </w:t>
      </w:r>
      <w:r w:rsidR="00E97AD1" w:rsidRPr="00E97AD1">
        <w:rPr>
          <w:sz w:val="24"/>
          <w:szCs w:val="24"/>
        </w:rPr>
        <w:t>Agreement which was approved by the Commission Order entered on July 15, 2005 at Docket Nos. A-00210117 and A</w:t>
      </w:r>
      <w:r w:rsidR="00E97AD1" w:rsidRPr="00E97AD1">
        <w:rPr>
          <w:sz w:val="24"/>
          <w:szCs w:val="24"/>
        </w:rPr>
        <w:noBreakHyphen/>
        <w:t>00230101</w:t>
      </w:r>
      <w:r w:rsidRPr="00E97AD1">
        <w:rPr>
          <w:sz w:val="24"/>
          <w:szCs w:val="24"/>
        </w:rPr>
        <w:t>.</w:t>
      </w:r>
    </w:p>
    <w:p w14:paraId="3A3FABA7" w14:textId="37A8F1B9" w:rsidR="00D33947" w:rsidRDefault="00D33947" w:rsidP="008004FC">
      <w:pPr>
        <w:spacing w:line="360" w:lineRule="auto"/>
        <w:rPr>
          <w:sz w:val="24"/>
          <w:szCs w:val="24"/>
        </w:rPr>
      </w:pPr>
    </w:p>
    <w:p w14:paraId="674E07B1" w14:textId="053F7102" w:rsidR="00D33947" w:rsidRDefault="00D33947" w:rsidP="008004FC">
      <w:pPr>
        <w:spacing w:line="360" w:lineRule="auto"/>
        <w:rPr>
          <w:sz w:val="24"/>
          <w:szCs w:val="24"/>
        </w:rPr>
      </w:pPr>
      <w:r>
        <w:rPr>
          <w:sz w:val="24"/>
          <w:szCs w:val="24"/>
        </w:rPr>
        <w:tab/>
      </w:r>
      <w:r>
        <w:rPr>
          <w:sz w:val="24"/>
          <w:szCs w:val="24"/>
        </w:rPr>
        <w:tab/>
        <w:t xml:space="preserve">In contrast, </w:t>
      </w:r>
      <w:r w:rsidR="001C535D">
        <w:rPr>
          <w:sz w:val="24"/>
          <w:szCs w:val="24"/>
        </w:rPr>
        <w:t xml:space="preserve">the engineer’s report is required in Ordering Paragraph 6 and </w:t>
      </w:r>
      <w:r w:rsidR="001C06C3">
        <w:rPr>
          <w:sz w:val="24"/>
          <w:szCs w:val="24"/>
        </w:rPr>
        <w:t>a future proceeding before OALJ is discussed</w:t>
      </w:r>
      <w:r w:rsidR="001C535D">
        <w:rPr>
          <w:sz w:val="24"/>
          <w:szCs w:val="24"/>
        </w:rPr>
        <w:t xml:space="preserve"> in </w:t>
      </w:r>
      <w:r>
        <w:rPr>
          <w:sz w:val="24"/>
          <w:szCs w:val="24"/>
        </w:rPr>
        <w:t>Ordering Paragraph 20</w:t>
      </w:r>
      <w:r w:rsidR="001C535D">
        <w:rPr>
          <w:sz w:val="24"/>
          <w:szCs w:val="24"/>
        </w:rPr>
        <w:t xml:space="preserve">.  </w:t>
      </w:r>
      <w:r>
        <w:rPr>
          <w:sz w:val="24"/>
          <w:szCs w:val="24"/>
        </w:rPr>
        <w:t xml:space="preserve"> </w:t>
      </w:r>
      <w:r w:rsidR="001C535D">
        <w:rPr>
          <w:sz w:val="24"/>
          <w:szCs w:val="24"/>
        </w:rPr>
        <w:t xml:space="preserve">  </w:t>
      </w:r>
      <w:r>
        <w:rPr>
          <w:sz w:val="24"/>
          <w:szCs w:val="24"/>
        </w:rPr>
        <w:t xml:space="preserve">  </w:t>
      </w:r>
    </w:p>
    <w:p w14:paraId="1B88B922" w14:textId="67330CD0" w:rsidR="00E97AD1" w:rsidRDefault="00E97AD1" w:rsidP="008004FC">
      <w:pPr>
        <w:spacing w:line="360" w:lineRule="auto"/>
        <w:rPr>
          <w:sz w:val="24"/>
          <w:szCs w:val="24"/>
        </w:rPr>
      </w:pPr>
    </w:p>
    <w:p w14:paraId="2C7F81FF" w14:textId="183E2AA6" w:rsidR="00E97AD1" w:rsidRDefault="00E97AD1" w:rsidP="008004FC">
      <w:pPr>
        <w:spacing w:line="360" w:lineRule="auto"/>
        <w:rPr>
          <w:sz w:val="24"/>
          <w:szCs w:val="24"/>
        </w:rPr>
      </w:pPr>
      <w:r>
        <w:rPr>
          <w:sz w:val="24"/>
          <w:szCs w:val="24"/>
        </w:rPr>
        <w:tab/>
      </w:r>
      <w:r>
        <w:rPr>
          <w:sz w:val="24"/>
          <w:szCs w:val="24"/>
        </w:rPr>
        <w:tab/>
        <w:t xml:space="preserve">Hidden Valley </w:t>
      </w:r>
      <w:r w:rsidR="001C535D">
        <w:rPr>
          <w:sz w:val="24"/>
          <w:szCs w:val="24"/>
        </w:rPr>
        <w:t xml:space="preserve">asserts it advanced a “good cause” but </w:t>
      </w:r>
      <w:r>
        <w:rPr>
          <w:sz w:val="24"/>
          <w:szCs w:val="24"/>
        </w:rPr>
        <w:t xml:space="preserve">fails to show what </w:t>
      </w:r>
      <w:r w:rsidR="001C535D">
        <w:rPr>
          <w:sz w:val="24"/>
          <w:szCs w:val="24"/>
        </w:rPr>
        <w:t xml:space="preserve">that </w:t>
      </w:r>
      <w:r>
        <w:rPr>
          <w:sz w:val="24"/>
          <w:szCs w:val="24"/>
        </w:rPr>
        <w:t>good cause is and</w:t>
      </w:r>
      <w:r w:rsidR="001C535D">
        <w:rPr>
          <w:sz w:val="24"/>
          <w:szCs w:val="24"/>
        </w:rPr>
        <w:t>/or</w:t>
      </w:r>
      <w:r>
        <w:rPr>
          <w:sz w:val="24"/>
          <w:szCs w:val="24"/>
        </w:rPr>
        <w:t xml:space="preserve"> </w:t>
      </w:r>
      <w:r w:rsidR="001C535D">
        <w:rPr>
          <w:sz w:val="24"/>
          <w:szCs w:val="24"/>
        </w:rPr>
        <w:t>what</w:t>
      </w:r>
      <w:r>
        <w:rPr>
          <w:sz w:val="24"/>
          <w:szCs w:val="24"/>
        </w:rPr>
        <w:t xml:space="preserve"> justifies extending the due date for the filing of main briefs and reply briefs</w:t>
      </w:r>
      <w:r w:rsidR="001C535D">
        <w:rPr>
          <w:sz w:val="24"/>
          <w:szCs w:val="24"/>
        </w:rPr>
        <w:t xml:space="preserve"> by another 30 days</w:t>
      </w:r>
      <w:r>
        <w:rPr>
          <w:sz w:val="24"/>
          <w:szCs w:val="24"/>
        </w:rPr>
        <w:t xml:space="preserve">.  Hidden Valley’s request seeks a further extension to a proceeding which Commonwealth Court and the Commission intended would be a straight-forward proceeding.  The other provisions in the January 18, 2018 Order are not at issue in this proceeding.  </w:t>
      </w:r>
      <w:r w:rsidR="00535F16">
        <w:rPr>
          <w:sz w:val="24"/>
          <w:szCs w:val="24"/>
        </w:rPr>
        <w:t xml:space="preserve">  </w:t>
      </w:r>
      <w:r>
        <w:rPr>
          <w:sz w:val="24"/>
          <w:szCs w:val="24"/>
        </w:rPr>
        <w:t xml:space="preserve"> </w:t>
      </w:r>
    </w:p>
    <w:p w14:paraId="1AFAAA07" w14:textId="1D59A0D1" w:rsidR="00E97AD1" w:rsidRDefault="00E97AD1" w:rsidP="008004FC">
      <w:pPr>
        <w:spacing w:line="360" w:lineRule="auto"/>
        <w:rPr>
          <w:sz w:val="24"/>
          <w:szCs w:val="24"/>
        </w:rPr>
      </w:pPr>
    </w:p>
    <w:p w14:paraId="127B3657" w14:textId="2F1217C9" w:rsidR="00E97AD1" w:rsidRPr="00E97AD1" w:rsidRDefault="00E97AD1" w:rsidP="008004FC">
      <w:pPr>
        <w:spacing w:line="360" w:lineRule="auto"/>
        <w:rPr>
          <w:sz w:val="24"/>
          <w:szCs w:val="24"/>
        </w:rPr>
      </w:pPr>
      <w:r>
        <w:rPr>
          <w:sz w:val="24"/>
          <w:szCs w:val="24"/>
        </w:rPr>
        <w:tab/>
      </w:r>
      <w:r>
        <w:rPr>
          <w:sz w:val="24"/>
          <w:szCs w:val="24"/>
        </w:rPr>
        <w:tab/>
        <w:t xml:space="preserve">Accordingly, the </w:t>
      </w:r>
      <w:r w:rsidR="00535F16">
        <w:rPr>
          <w:sz w:val="24"/>
          <w:szCs w:val="24"/>
        </w:rPr>
        <w:t xml:space="preserve">request for an extension will be denied and the </w:t>
      </w:r>
      <w:r>
        <w:rPr>
          <w:sz w:val="24"/>
          <w:szCs w:val="24"/>
        </w:rPr>
        <w:t>filing of Main Briefs will be due on June 30, 2020 and Reply Briefs will be due on July 14, 2020.</w:t>
      </w:r>
    </w:p>
    <w:p w14:paraId="30FECAFA" w14:textId="39BDB55C" w:rsidR="007A0479" w:rsidRPr="00E97AD1" w:rsidRDefault="007A0479" w:rsidP="008004FC">
      <w:pPr>
        <w:spacing w:line="360" w:lineRule="auto"/>
        <w:rPr>
          <w:sz w:val="24"/>
          <w:szCs w:val="24"/>
        </w:rPr>
      </w:pPr>
    </w:p>
    <w:p w14:paraId="46A9A3D8" w14:textId="4E6137A6" w:rsidR="00192591" w:rsidRDefault="00192591" w:rsidP="008004FC">
      <w:pPr>
        <w:spacing w:line="360" w:lineRule="auto"/>
        <w:ind w:firstLine="1440"/>
        <w:rPr>
          <w:sz w:val="24"/>
          <w:szCs w:val="24"/>
        </w:rPr>
      </w:pPr>
      <w:r>
        <w:rPr>
          <w:sz w:val="24"/>
          <w:szCs w:val="24"/>
        </w:rPr>
        <w:lastRenderedPageBreak/>
        <w:t>THEREFORE,</w:t>
      </w:r>
    </w:p>
    <w:p w14:paraId="74FF81BD" w14:textId="77777777" w:rsidR="00192591" w:rsidRDefault="00192591" w:rsidP="008004FC">
      <w:pPr>
        <w:spacing w:line="360" w:lineRule="auto"/>
        <w:rPr>
          <w:sz w:val="24"/>
          <w:szCs w:val="24"/>
        </w:rPr>
      </w:pPr>
    </w:p>
    <w:p w14:paraId="09211B90" w14:textId="77777777" w:rsidR="00192591" w:rsidRDefault="00192591" w:rsidP="008004FC">
      <w:pPr>
        <w:spacing w:line="360" w:lineRule="auto"/>
        <w:rPr>
          <w:sz w:val="24"/>
          <w:szCs w:val="24"/>
        </w:rPr>
      </w:pPr>
      <w:r>
        <w:rPr>
          <w:sz w:val="24"/>
          <w:szCs w:val="24"/>
        </w:rPr>
        <w:tab/>
      </w:r>
      <w:r>
        <w:rPr>
          <w:sz w:val="24"/>
          <w:szCs w:val="24"/>
        </w:rPr>
        <w:tab/>
        <w:t>IT IS ORDERED:</w:t>
      </w:r>
    </w:p>
    <w:p w14:paraId="3E9E9098" w14:textId="77777777" w:rsidR="00D819E7" w:rsidRDefault="00192591" w:rsidP="00D819E7">
      <w:pPr>
        <w:spacing w:line="360" w:lineRule="auto"/>
        <w:rPr>
          <w:sz w:val="24"/>
          <w:szCs w:val="24"/>
        </w:rPr>
      </w:pPr>
      <w:r>
        <w:rPr>
          <w:sz w:val="24"/>
          <w:szCs w:val="24"/>
        </w:rPr>
        <w:tab/>
      </w:r>
      <w:r>
        <w:rPr>
          <w:sz w:val="24"/>
          <w:szCs w:val="24"/>
        </w:rPr>
        <w:tab/>
      </w:r>
    </w:p>
    <w:p w14:paraId="641DFA32" w14:textId="196EC3DE" w:rsidR="00D819E7" w:rsidRDefault="00D819E7" w:rsidP="00D819E7">
      <w:pPr>
        <w:spacing w:line="360" w:lineRule="auto"/>
        <w:rPr>
          <w:spacing w:val="-3"/>
          <w:sz w:val="24"/>
          <w:szCs w:val="24"/>
        </w:rPr>
      </w:pPr>
      <w:r>
        <w:rPr>
          <w:sz w:val="24"/>
          <w:szCs w:val="24"/>
        </w:rPr>
        <w:tab/>
      </w:r>
      <w:r>
        <w:rPr>
          <w:sz w:val="24"/>
          <w:szCs w:val="24"/>
        </w:rPr>
        <w:tab/>
        <w:t xml:space="preserve">That </w:t>
      </w:r>
      <w:r w:rsidR="00C67853">
        <w:rPr>
          <w:sz w:val="24"/>
          <w:szCs w:val="24"/>
        </w:rPr>
        <w:t xml:space="preserve">the </w:t>
      </w:r>
      <w:r w:rsidR="00F4483F">
        <w:rPr>
          <w:sz w:val="24"/>
          <w:szCs w:val="24"/>
        </w:rPr>
        <w:t>Request for Extension of Ti</w:t>
      </w:r>
      <w:r w:rsidR="00547057">
        <w:rPr>
          <w:sz w:val="24"/>
          <w:szCs w:val="24"/>
        </w:rPr>
        <w:t>m</w:t>
      </w:r>
      <w:r w:rsidR="00F4483F">
        <w:rPr>
          <w:sz w:val="24"/>
          <w:szCs w:val="24"/>
        </w:rPr>
        <w:t xml:space="preserve">e to Hold a Semi-Annual Meeting with Customers, filed by Hidden Valley on June 23, 2020, is denied.  </w:t>
      </w:r>
      <w:r>
        <w:rPr>
          <w:sz w:val="24"/>
          <w:szCs w:val="24"/>
        </w:rPr>
        <w:t xml:space="preserve">  </w:t>
      </w:r>
    </w:p>
    <w:p w14:paraId="2E68CECB" w14:textId="77777777" w:rsidR="00753161" w:rsidRDefault="00753161" w:rsidP="008004FC">
      <w:pPr>
        <w:pStyle w:val="Footer"/>
        <w:tabs>
          <w:tab w:val="clear" w:pos="4320"/>
          <w:tab w:val="clear" w:pos="8640"/>
        </w:tabs>
        <w:spacing w:line="360" w:lineRule="auto"/>
        <w:rPr>
          <w:spacing w:val="-3"/>
          <w:sz w:val="24"/>
          <w:szCs w:val="24"/>
        </w:rPr>
      </w:pPr>
    </w:p>
    <w:p w14:paraId="028B7AD2" w14:textId="77777777" w:rsidR="00600AF8" w:rsidRPr="00E77C24" w:rsidRDefault="00600AF8" w:rsidP="008004FC">
      <w:pPr>
        <w:pStyle w:val="Footer"/>
        <w:tabs>
          <w:tab w:val="clear" w:pos="4320"/>
          <w:tab w:val="clear" w:pos="8640"/>
        </w:tabs>
        <w:spacing w:line="360" w:lineRule="auto"/>
        <w:rPr>
          <w:spacing w:val="-3"/>
          <w:sz w:val="24"/>
          <w:szCs w:val="24"/>
        </w:rPr>
      </w:pPr>
    </w:p>
    <w:p w14:paraId="3BF38050" w14:textId="486B496A" w:rsidR="0042732B" w:rsidRPr="00E77C24" w:rsidRDefault="0042732B" w:rsidP="0042732B">
      <w:pPr>
        <w:pStyle w:val="Footer"/>
        <w:tabs>
          <w:tab w:val="clear" w:pos="4320"/>
          <w:tab w:val="clear" w:pos="8640"/>
        </w:tabs>
        <w:rPr>
          <w:spacing w:val="-3"/>
          <w:sz w:val="24"/>
          <w:szCs w:val="24"/>
        </w:rPr>
      </w:pPr>
      <w:r w:rsidRPr="00E77C24">
        <w:rPr>
          <w:spacing w:val="-3"/>
          <w:sz w:val="24"/>
          <w:szCs w:val="24"/>
        </w:rPr>
        <w:t>Date:</w:t>
      </w:r>
      <w:r w:rsidR="001600CA">
        <w:rPr>
          <w:spacing w:val="-3"/>
          <w:sz w:val="24"/>
          <w:szCs w:val="24"/>
        </w:rPr>
        <w:t xml:space="preserve"> </w:t>
      </w:r>
      <w:r w:rsidRPr="00E77C24">
        <w:rPr>
          <w:spacing w:val="-3"/>
          <w:sz w:val="24"/>
          <w:szCs w:val="24"/>
        </w:rPr>
        <w:t xml:space="preserve">  </w:t>
      </w:r>
      <w:r w:rsidR="00D819E7">
        <w:rPr>
          <w:spacing w:val="-3"/>
          <w:sz w:val="24"/>
          <w:szCs w:val="24"/>
          <w:u w:val="single"/>
        </w:rPr>
        <w:t xml:space="preserve">June </w:t>
      </w:r>
      <w:r w:rsidR="00F4483F">
        <w:rPr>
          <w:spacing w:val="-3"/>
          <w:sz w:val="24"/>
          <w:szCs w:val="24"/>
          <w:u w:val="single"/>
        </w:rPr>
        <w:t>24</w:t>
      </w:r>
      <w:r w:rsidR="003673A5">
        <w:rPr>
          <w:spacing w:val="-3"/>
          <w:sz w:val="24"/>
          <w:szCs w:val="24"/>
          <w:u w:val="single"/>
        </w:rPr>
        <w:t>, 2020</w:t>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003673A5">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535514">
        <w:rPr>
          <w:spacing w:val="-3"/>
          <w:sz w:val="24"/>
          <w:szCs w:val="24"/>
          <w:u w:val="single"/>
        </w:rPr>
        <w:t>/s/</w:t>
      </w:r>
      <w:r w:rsidRPr="00E77C24">
        <w:rPr>
          <w:spacing w:val="-3"/>
          <w:sz w:val="24"/>
          <w:szCs w:val="24"/>
          <w:u w:val="single"/>
        </w:rPr>
        <w:tab/>
      </w:r>
      <w:r w:rsidRPr="00E77C24">
        <w:rPr>
          <w:spacing w:val="-3"/>
          <w:sz w:val="24"/>
          <w:szCs w:val="24"/>
          <w:u w:val="single"/>
        </w:rPr>
        <w:tab/>
      </w:r>
      <w:r w:rsidR="00473D5E" w:rsidRPr="00E77C24">
        <w:rPr>
          <w:spacing w:val="-3"/>
          <w:sz w:val="24"/>
          <w:szCs w:val="24"/>
          <w:u w:val="single"/>
        </w:rPr>
        <w:tab/>
      </w:r>
    </w:p>
    <w:p w14:paraId="078E557C" w14:textId="77777777" w:rsidR="0042732B" w:rsidRPr="00E77C24" w:rsidRDefault="0042732B" w:rsidP="0042732B">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1600CA">
        <w:rPr>
          <w:spacing w:val="-3"/>
          <w:sz w:val="24"/>
          <w:szCs w:val="24"/>
        </w:rPr>
        <w:tab/>
      </w:r>
      <w:r w:rsidRPr="00E77C24">
        <w:rPr>
          <w:spacing w:val="-3"/>
          <w:sz w:val="24"/>
          <w:szCs w:val="24"/>
        </w:rPr>
        <w:t>Katrina L. Dunderdale</w:t>
      </w:r>
    </w:p>
    <w:p w14:paraId="1AE9C206" w14:textId="322B8CE7" w:rsidR="00D450AD" w:rsidRDefault="00600AF8" w:rsidP="00375D67">
      <w:pPr>
        <w:pStyle w:val="Footer"/>
        <w:tabs>
          <w:tab w:val="clear" w:pos="4320"/>
          <w:tab w:val="clear" w:pos="8640"/>
        </w:tabs>
        <w:rPr>
          <w:sz w:val="24"/>
          <w:szCs w:val="24"/>
        </w:rPr>
      </w:pP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Pr="00600AF8">
        <w:rPr>
          <w:sz w:val="24"/>
          <w:szCs w:val="24"/>
        </w:rPr>
        <w:tab/>
      </w:r>
      <w:r w:rsidR="001600CA">
        <w:rPr>
          <w:sz w:val="24"/>
          <w:szCs w:val="24"/>
        </w:rPr>
        <w:tab/>
      </w:r>
      <w:r w:rsidRPr="00600AF8">
        <w:rPr>
          <w:sz w:val="24"/>
          <w:szCs w:val="24"/>
        </w:rPr>
        <w:t>Administrative Law Judg</w:t>
      </w:r>
      <w:r>
        <w:rPr>
          <w:sz w:val="24"/>
          <w:szCs w:val="24"/>
        </w:rPr>
        <w:t>e</w:t>
      </w:r>
    </w:p>
    <w:p w14:paraId="15E1CE86" w14:textId="77777777" w:rsidR="00535514" w:rsidRDefault="00535514" w:rsidP="00375D67">
      <w:pPr>
        <w:pStyle w:val="Footer"/>
        <w:tabs>
          <w:tab w:val="clear" w:pos="4320"/>
          <w:tab w:val="clear" w:pos="8640"/>
        </w:tabs>
        <w:sectPr w:rsidR="00535514" w:rsidSect="00832D96">
          <w:footerReference w:type="even" r:id="rId8"/>
          <w:footerReference w:type="default" r:id="rId9"/>
          <w:pgSz w:w="12240" w:h="15840"/>
          <w:pgMar w:top="1440" w:right="1440" w:bottom="1440" w:left="1440" w:header="720" w:footer="720" w:gutter="0"/>
          <w:pgNumType w:start="1"/>
          <w:cols w:space="720"/>
          <w:titlePg/>
        </w:sectPr>
      </w:pPr>
    </w:p>
    <w:p w14:paraId="4F12E63D" w14:textId="5B638091" w:rsidR="00DA50EB" w:rsidRPr="00DA50EB" w:rsidRDefault="00DA50EB" w:rsidP="00D819E7">
      <w:pPr>
        <w:spacing w:after="160" w:line="259" w:lineRule="auto"/>
        <w:rPr>
          <w:rFonts w:ascii="Calibri" w:hAnsi="Calibri"/>
          <w:sz w:val="22"/>
          <w:szCs w:val="22"/>
        </w:rPr>
      </w:pPr>
    </w:p>
    <w:p w14:paraId="510861EB" w14:textId="77777777" w:rsidR="00883EED" w:rsidRDefault="00883EED" w:rsidP="00375D67">
      <w:pPr>
        <w:pStyle w:val="Footer"/>
        <w:tabs>
          <w:tab w:val="clear" w:pos="4320"/>
          <w:tab w:val="clear" w:pos="8640"/>
        </w:tabs>
        <w:sectPr w:rsidR="00883EED" w:rsidSect="00CB6C4E">
          <w:footerReference w:type="default" r:id="rId10"/>
          <w:type w:val="continuous"/>
          <w:pgSz w:w="12240" w:h="15840"/>
          <w:pgMar w:top="1440" w:right="1440" w:bottom="1440" w:left="1440" w:header="720" w:footer="720" w:gutter="0"/>
          <w:cols w:num="2" w:space="720"/>
          <w:docGrid w:linePitch="360"/>
        </w:sectPr>
      </w:pPr>
    </w:p>
    <w:p w14:paraId="11C255EA" w14:textId="77777777" w:rsidR="00883EED" w:rsidRPr="00883EED" w:rsidRDefault="00883EED" w:rsidP="00883EED">
      <w:pPr>
        <w:spacing w:after="160" w:line="259" w:lineRule="auto"/>
        <w:rPr>
          <w:rFonts w:ascii="Microsoft Sans Serif" w:eastAsia="Microsoft Sans Serif" w:hAnsi="Microsoft Sans Serif" w:cs="Microsoft Sans Serif"/>
          <w:b/>
          <w:sz w:val="24"/>
          <w:szCs w:val="22"/>
          <w:u w:val="single"/>
        </w:rPr>
      </w:pPr>
      <w:r w:rsidRPr="00883EED">
        <w:rPr>
          <w:rFonts w:ascii="Microsoft Sans Serif" w:eastAsia="Microsoft Sans Serif" w:hAnsi="Microsoft Sans Serif" w:cs="Microsoft Sans Serif"/>
          <w:b/>
          <w:sz w:val="24"/>
          <w:szCs w:val="22"/>
          <w:u w:val="single"/>
        </w:rPr>
        <w:lastRenderedPageBreak/>
        <w:t>C-2014-2447138/C-2014-2447169 - OFFICE OF CONSUMER ADVOCATE v. HIDDEN VALLEY UTILITY SERVICES LP</w:t>
      </w:r>
      <w:r w:rsidRPr="00883EED">
        <w:rPr>
          <w:rFonts w:ascii="Microsoft Sans Serif" w:eastAsia="Microsoft Sans Serif" w:hAnsi="Microsoft Sans Serif" w:cs="Microsoft Sans Serif"/>
          <w:b/>
          <w:sz w:val="24"/>
          <w:szCs w:val="22"/>
          <w:u w:val="single"/>
        </w:rPr>
        <w:br/>
      </w:r>
      <w:r w:rsidRPr="00883EED">
        <w:rPr>
          <w:rFonts w:ascii="Microsoft Sans Serif" w:eastAsia="Microsoft Sans Serif" w:hAnsi="Microsoft Sans Serif" w:cs="Microsoft Sans Serif"/>
          <w:b/>
          <w:sz w:val="24"/>
          <w:szCs w:val="22"/>
          <w:u w:val="single"/>
        </w:rPr>
        <w:br/>
      </w:r>
      <w:r w:rsidRPr="00883EED">
        <w:rPr>
          <w:rFonts w:ascii="Microsoft Sans Serif" w:eastAsia="Microsoft Sans Serif" w:hAnsi="Microsoft Sans Serif" w:cs="Microsoft Sans Serif"/>
          <w:bCs/>
          <w:i/>
          <w:iCs/>
          <w:sz w:val="22"/>
        </w:rPr>
        <w:t>Updated 2/25/2020</w:t>
      </w:r>
    </w:p>
    <w:p w14:paraId="6766B31E" w14:textId="77777777" w:rsidR="00883EED" w:rsidRPr="00883EED" w:rsidRDefault="00883EED" w:rsidP="00883EED">
      <w:pPr>
        <w:spacing w:after="160" w:line="259" w:lineRule="auto"/>
        <w:rPr>
          <w:rFonts w:ascii="Microsoft Sans Serif" w:eastAsia="Microsoft Sans Serif" w:hAnsi="Microsoft Sans Serif" w:cs="Microsoft Sans Serif"/>
          <w:b/>
          <w:sz w:val="24"/>
          <w:szCs w:val="22"/>
          <w:u w:val="single"/>
        </w:rPr>
        <w:sectPr w:rsidR="00883EED" w:rsidRPr="00883EED">
          <w:pgSz w:w="12240" w:h="15840"/>
          <w:pgMar w:top="1440" w:right="1440" w:bottom="1440" w:left="1440" w:header="720" w:footer="720" w:gutter="0"/>
          <w:cols w:space="720"/>
          <w:docGrid w:linePitch="360"/>
        </w:sectPr>
      </w:pPr>
      <w:r w:rsidRPr="00883EED">
        <w:rPr>
          <w:rFonts w:ascii="Microsoft Sans Serif" w:eastAsia="Microsoft Sans Serif" w:hAnsi="Microsoft Sans Serif" w:cs="Microsoft Sans Serif"/>
          <w:b/>
          <w:sz w:val="24"/>
          <w:szCs w:val="22"/>
          <w:u w:val="single"/>
        </w:rPr>
        <w:cr/>
      </w:r>
    </w:p>
    <w:p w14:paraId="254946AD" w14:textId="77777777" w:rsidR="009D62E0" w:rsidRDefault="00883EED" w:rsidP="009D62E0">
      <w:pPr>
        <w:rPr>
          <w:rFonts w:ascii="Microsoft Sans Serif" w:eastAsia="Microsoft Sans Serif" w:hAnsi="Microsoft Sans Serif" w:cs="Microsoft Sans Serif"/>
          <w:b/>
          <w:bCs/>
          <w:sz w:val="24"/>
          <w:szCs w:val="22"/>
        </w:rPr>
      </w:pPr>
      <w:r w:rsidRPr="00883EED">
        <w:rPr>
          <w:rFonts w:ascii="Microsoft Sans Serif" w:eastAsia="Microsoft Sans Serif" w:hAnsi="Microsoft Sans Serif" w:cs="Microsoft Sans Serif"/>
          <w:sz w:val="24"/>
          <w:szCs w:val="22"/>
        </w:rPr>
        <w:t>ROBERT J KOLLAR &amp; KELLIE A KUHLEMAN</w:t>
      </w:r>
      <w:r w:rsidRPr="00883EED">
        <w:rPr>
          <w:rFonts w:ascii="Microsoft Sans Serif" w:eastAsia="Microsoft Sans Serif" w:hAnsi="Microsoft Sans Serif" w:cs="Microsoft Sans Serif"/>
          <w:sz w:val="24"/>
          <w:szCs w:val="22"/>
        </w:rPr>
        <w:cr/>
        <w:t xml:space="preserve">1374 LANGPORT DRIVE </w:t>
      </w:r>
      <w:r w:rsidRPr="00883EED">
        <w:rPr>
          <w:rFonts w:ascii="Microsoft Sans Serif" w:eastAsia="Microsoft Sans Serif" w:hAnsi="Microsoft Sans Serif" w:cs="Microsoft Sans Serif"/>
          <w:sz w:val="24"/>
          <w:szCs w:val="22"/>
        </w:rPr>
        <w:cr/>
        <w:t>PITTSBURGH PA  15241</w:t>
      </w:r>
      <w:r w:rsidRPr="00883EED">
        <w:rPr>
          <w:rFonts w:ascii="Microsoft Sans Serif" w:eastAsia="Microsoft Sans Serif" w:hAnsi="Microsoft Sans Serif" w:cs="Microsoft Sans Serif"/>
          <w:sz w:val="24"/>
          <w:szCs w:val="22"/>
        </w:rPr>
        <w:cr/>
      </w:r>
      <w:r w:rsidRPr="00883EED">
        <w:rPr>
          <w:rFonts w:ascii="Microsoft Sans Serif" w:eastAsia="Microsoft Sans Serif" w:hAnsi="Microsoft Sans Serif" w:cs="Microsoft Sans Serif"/>
          <w:b/>
          <w:bCs/>
          <w:sz w:val="24"/>
          <w:szCs w:val="22"/>
        </w:rPr>
        <w:t>412.257.4129</w:t>
      </w:r>
    </w:p>
    <w:p w14:paraId="33D39958" w14:textId="1CF0EF27" w:rsidR="009D62E0" w:rsidRPr="009D62E0" w:rsidRDefault="009D62E0" w:rsidP="009D62E0">
      <w:pPr>
        <w:rPr>
          <w:rFonts w:ascii="Microsoft Sans Serif" w:eastAsia="Microsoft Sans Serif" w:hAnsi="Microsoft Sans Serif" w:cs="Microsoft Sans Serif"/>
          <w:b/>
          <w:bCs/>
          <w:sz w:val="24"/>
          <w:szCs w:val="22"/>
        </w:rPr>
      </w:pPr>
      <w:r w:rsidRPr="009D62E0">
        <w:rPr>
          <w:rFonts w:ascii="Microsoft Sans Serif" w:hAnsi="Microsoft Sans Serif" w:cs="Microsoft Sans Serif"/>
          <w:sz w:val="24"/>
          <w:szCs w:val="24"/>
        </w:rPr>
        <w:t xml:space="preserve">Via </w:t>
      </w:r>
      <w:r>
        <w:rPr>
          <w:rFonts w:ascii="Microsoft Sans Serif" w:hAnsi="Microsoft Sans Serif" w:cs="Microsoft Sans Serif"/>
          <w:sz w:val="24"/>
          <w:szCs w:val="24"/>
        </w:rPr>
        <w:t>email</w:t>
      </w:r>
      <w:bookmarkStart w:id="0" w:name="_GoBack"/>
      <w:bookmarkEnd w:id="0"/>
      <w:r w:rsidRPr="009D62E0">
        <w:rPr>
          <w:rFonts w:ascii="Microsoft Sans Serif" w:hAnsi="Microsoft Sans Serif" w:cs="Microsoft Sans Serif"/>
          <w:sz w:val="24"/>
          <w:szCs w:val="24"/>
        </w:rPr>
        <w:t xml:space="preserve"> service only due to Emergency Order at M-2020-3019262</w:t>
      </w:r>
    </w:p>
    <w:p w14:paraId="2DBDFF17" w14:textId="77777777" w:rsidR="009D62E0" w:rsidRPr="00883EED" w:rsidRDefault="009D62E0" w:rsidP="00883EED">
      <w:pPr>
        <w:spacing w:after="160" w:line="259" w:lineRule="auto"/>
        <w:rPr>
          <w:rFonts w:ascii="Microsoft Sans Serif" w:eastAsia="Microsoft Sans Serif" w:hAnsi="Microsoft Sans Serif" w:cs="Microsoft Sans Serif"/>
          <w:sz w:val="24"/>
          <w:szCs w:val="22"/>
        </w:rPr>
      </w:pPr>
    </w:p>
    <w:p w14:paraId="172C4F56" w14:textId="77777777" w:rsidR="00883EED" w:rsidRPr="00883EED" w:rsidRDefault="00883EED" w:rsidP="00883EED">
      <w:pPr>
        <w:spacing w:after="160" w:line="259" w:lineRule="auto"/>
        <w:rPr>
          <w:rFonts w:ascii="Microsoft Sans Serif" w:eastAsia="Microsoft Sans Serif" w:hAnsi="Microsoft Sans Serif" w:cs="Microsoft Sans Serif"/>
          <w:sz w:val="24"/>
          <w:szCs w:val="22"/>
        </w:rPr>
      </w:pPr>
      <w:r w:rsidRPr="00883EED">
        <w:rPr>
          <w:rFonts w:ascii="Microsoft Sans Serif" w:eastAsia="Microsoft Sans Serif" w:hAnsi="Microsoft Sans Serif" w:cs="Microsoft Sans Serif"/>
          <w:sz w:val="24"/>
          <w:szCs w:val="22"/>
        </w:rPr>
        <w:t>ERIN L GANNON ESQUIRE</w:t>
      </w:r>
      <w:r w:rsidRPr="00883EED">
        <w:rPr>
          <w:rFonts w:ascii="Microsoft Sans Serif" w:eastAsia="Microsoft Sans Serif" w:hAnsi="Microsoft Sans Serif" w:cs="Microsoft Sans Serif"/>
          <w:sz w:val="24"/>
          <w:szCs w:val="22"/>
        </w:rPr>
        <w:br/>
        <w:t>CHRISTINE M HOOVER ESQUIRE</w:t>
      </w:r>
      <w:r w:rsidRPr="00883EED">
        <w:rPr>
          <w:rFonts w:ascii="Microsoft Sans Serif" w:eastAsia="Microsoft Sans Serif" w:hAnsi="Microsoft Sans Serif" w:cs="Microsoft Sans Serif"/>
          <w:sz w:val="24"/>
          <w:szCs w:val="22"/>
        </w:rPr>
        <w:cr/>
        <w:t>OFFICE OF CONSUMER ADVOCATE</w:t>
      </w:r>
      <w:r w:rsidRPr="00883EED">
        <w:rPr>
          <w:rFonts w:ascii="Microsoft Sans Serif" w:eastAsia="Microsoft Sans Serif" w:hAnsi="Microsoft Sans Serif" w:cs="Microsoft Sans Serif"/>
          <w:sz w:val="24"/>
          <w:szCs w:val="22"/>
        </w:rPr>
        <w:cr/>
        <w:t>555 WALNUT STREET 5TH FLOOR</w:t>
      </w:r>
      <w:r w:rsidRPr="00883EED">
        <w:rPr>
          <w:rFonts w:ascii="Microsoft Sans Serif" w:eastAsia="Microsoft Sans Serif" w:hAnsi="Microsoft Sans Serif" w:cs="Microsoft Sans Serif"/>
          <w:sz w:val="24"/>
          <w:szCs w:val="22"/>
        </w:rPr>
        <w:cr/>
        <w:t>FORUM PLACE</w:t>
      </w:r>
      <w:r w:rsidRPr="00883EED">
        <w:rPr>
          <w:rFonts w:ascii="Microsoft Sans Serif" w:eastAsia="Microsoft Sans Serif" w:hAnsi="Microsoft Sans Serif" w:cs="Microsoft Sans Serif"/>
          <w:sz w:val="24"/>
          <w:szCs w:val="22"/>
        </w:rPr>
        <w:cr/>
        <w:t>HARRISBURG PA  17101</w:t>
      </w:r>
      <w:r w:rsidRPr="00883EED">
        <w:rPr>
          <w:rFonts w:ascii="Microsoft Sans Serif" w:eastAsia="Microsoft Sans Serif" w:hAnsi="Microsoft Sans Serif" w:cs="Microsoft Sans Serif"/>
          <w:sz w:val="24"/>
          <w:szCs w:val="22"/>
        </w:rPr>
        <w:cr/>
      </w:r>
      <w:r w:rsidRPr="00883EED">
        <w:rPr>
          <w:rFonts w:ascii="Microsoft Sans Serif" w:eastAsia="Microsoft Sans Serif" w:hAnsi="Microsoft Sans Serif" w:cs="Microsoft Sans Serif"/>
          <w:b/>
          <w:bCs/>
          <w:sz w:val="24"/>
          <w:szCs w:val="22"/>
        </w:rPr>
        <w:t>717.783.5048</w:t>
      </w:r>
      <w:r w:rsidRPr="00883EED">
        <w:rPr>
          <w:rFonts w:ascii="Microsoft Sans Serif" w:eastAsia="Microsoft Sans Serif" w:hAnsi="Microsoft Sans Serif" w:cs="Microsoft Sans Serif"/>
          <w:b/>
          <w:bCs/>
          <w:sz w:val="24"/>
          <w:szCs w:val="22"/>
        </w:rPr>
        <w:br/>
        <w:t>717.783.5048</w:t>
      </w:r>
      <w:r w:rsidRPr="00883EED">
        <w:rPr>
          <w:rFonts w:ascii="Microsoft Sans Serif" w:eastAsia="Microsoft Sans Serif" w:hAnsi="Microsoft Sans Serif" w:cs="Microsoft Sans Serif"/>
          <w:b/>
          <w:bCs/>
          <w:sz w:val="24"/>
          <w:szCs w:val="22"/>
        </w:rPr>
        <w:br/>
      </w:r>
      <w:r w:rsidRPr="00883EED">
        <w:rPr>
          <w:rFonts w:ascii="Microsoft Sans Serif" w:eastAsia="Microsoft Sans Serif" w:hAnsi="Microsoft Sans Serif" w:cs="Microsoft Sans Serif"/>
          <w:b/>
          <w:bCs/>
          <w:i/>
          <w:iCs/>
          <w:sz w:val="24"/>
          <w:szCs w:val="22"/>
          <w:u w:val="single"/>
        </w:rPr>
        <w:t>ACCEPTS E-SERVICE</w:t>
      </w:r>
    </w:p>
    <w:p w14:paraId="19EC5BEE" w14:textId="77777777" w:rsidR="00883EED" w:rsidRPr="00883EED" w:rsidRDefault="00883EED" w:rsidP="00883EED">
      <w:pPr>
        <w:spacing w:after="160" w:line="259" w:lineRule="auto"/>
        <w:rPr>
          <w:rFonts w:ascii="Microsoft Sans Serif" w:eastAsia="Microsoft Sans Serif" w:hAnsi="Microsoft Sans Serif" w:cs="Microsoft Sans Serif"/>
          <w:sz w:val="24"/>
          <w:szCs w:val="22"/>
        </w:rPr>
      </w:pPr>
      <w:r w:rsidRPr="00883EED">
        <w:rPr>
          <w:rFonts w:ascii="Microsoft Sans Serif" w:eastAsia="Microsoft Sans Serif" w:hAnsi="Microsoft Sans Serif" w:cs="Microsoft Sans Serif"/>
          <w:sz w:val="24"/>
          <w:szCs w:val="22"/>
        </w:rPr>
        <w:t>JONATHAN NASE ESQUIRE</w:t>
      </w:r>
      <w:r w:rsidRPr="00883EED">
        <w:rPr>
          <w:rFonts w:ascii="Microsoft Sans Serif" w:eastAsia="Microsoft Sans Serif" w:hAnsi="Microsoft Sans Serif" w:cs="Microsoft Sans Serif"/>
          <w:sz w:val="24"/>
          <w:szCs w:val="22"/>
        </w:rPr>
        <w:br/>
        <w:t>DAVID P ZAMBITO ESQUIRE</w:t>
      </w:r>
      <w:r w:rsidRPr="00883EED">
        <w:rPr>
          <w:rFonts w:ascii="Microsoft Sans Serif" w:eastAsia="Microsoft Sans Serif" w:hAnsi="Microsoft Sans Serif" w:cs="Microsoft Sans Serif"/>
          <w:sz w:val="24"/>
          <w:szCs w:val="22"/>
        </w:rPr>
        <w:cr/>
        <w:t>COZEN O'CONNOR</w:t>
      </w:r>
      <w:r w:rsidRPr="00883EED">
        <w:rPr>
          <w:rFonts w:ascii="Microsoft Sans Serif" w:eastAsia="Microsoft Sans Serif" w:hAnsi="Microsoft Sans Serif" w:cs="Microsoft Sans Serif"/>
          <w:sz w:val="24"/>
          <w:szCs w:val="22"/>
        </w:rPr>
        <w:cr/>
        <w:t>17 NORTH SECOND STREET</w:t>
      </w:r>
      <w:r w:rsidRPr="00883EED">
        <w:rPr>
          <w:rFonts w:ascii="Microsoft Sans Serif" w:eastAsia="Microsoft Sans Serif" w:hAnsi="Microsoft Sans Serif" w:cs="Microsoft Sans Serif"/>
          <w:sz w:val="24"/>
          <w:szCs w:val="22"/>
        </w:rPr>
        <w:cr/>
        <w:t>SUITE 1410</w:t>
      </w:r>
      <w:r w:rsidRPr="00883EED">
        <w:rPr>
          <w:rFonts w:ascii="Microsoft Sans Serif" w:eastAsia="Microsoft Sans Serif" w:hAnsi="Microsoft Sans Serif" w:cs="Microsoft Sans Serif"/>
          <w:sz w:val="24"/>
          <w:szCs w:val="22"/>
        </w:rPr>
        <w:cr/>
        <w:t>HARRISBURG PA  17101</w:t>
      </w:r>
      <w:r w:rsidRPr="00883EED">
        <w:rPr>
          <w:rFonts w:ascii="Microsoft Sans Serif" w:eastAsia="Microsoft Sans Serif" w:hAnsi="Microsoft Sans Serif" w:cs="Microsoft Sans Serif"/>
          <w:sz w:val="24"/>
          <w:szCs w:val="22"/>
        </w:rPr>
        <w:cr/>
      </w:r>
      <w:r w:rsidRPr="00883EED">
        <w:rPr>
          <w:rFonts w:ascii="Microsoft Sans Serif" w:eastAsia="Microsoft Sans Serif" w:hAnsi="Microsoft Sans Serif" w:cs="Microsoft Sans Serif"/>
          <w:b/>
          <w:bCs/>
          <w:sz w:val="24"/>
          <w:szCs w:val="22"/>
        </w:rPr>
        <w:t>717.773.4191</w:t>
      </w:r>
      <w:r w:rsidRPr="00883EED">
        <w:rPr>
          <w:rFonts w:ascii="Microsoft Sans Serif" w:eastAsia="Microsoft Sans Serif" w:hAnsi="Microsoft Sans Serif" w:cs="Microsoft Sans Serif"/>
          <w:b/>
          <w:bCs/>
          <w:sz w:val="24"/>
          <w:szCs w:val="22"/>
        </w:rPr>
        <w:br/>
        <w:t>717.703.5892</w:t>
      </w:r>
      <w:r w:rsidRPr="00883EED">
        <w:rPr>
          <w:rFonts w:ascii="Microsoft Sans Serif" w:eastAsia="Microsoft Sans Serif" w:hAnsi="Microsoft Sans Serif" w:cs="Microsoft Sans Serif"/>
          <w:b/>
          <w:bCs/>
          <w:sz w:val="24"/>
          <w:szCs w:val="22"/>
        </w:rPr>
        <w:br/>
      </w:r>
      <w:r w:rsidRPr="00883EED">
        <w:rPr>
          <w:rFonts w:ascii="Microsoft Sans Serif" w:eastAsia="Microsoft Sans Serif" w:hAnsi="Microsoft Sans Serif" w:cs="Microsoft Sans Serif"/>
          <w:b/>
          <w:bCs/>
          <w:i/>
          <w:iCs/>
          <w:sz w:val="24"/>
          <w:szCs w:val="22"/>
          <w:u w:val="single"/>
        </w:rPr>
        <w:t>ACCEPTS E-SERVICE</w:t>
      </w:r>
    </w:p>
    <w:p w14:paraId="1B8F6A18" w14:textId="77777777" w:rsidR="00883EED" w:rsidRPr="00883EED" w:rsidRDefault="00883EED" w:rsidP="00883EED">
      <w:pPr>
        <w:spacing w:after="160" w:line="259" w:lineRule="auto"/>
        <w:rPr>
          <w:rFonts w:ascii="Microsoft Sans Serif" w:eastAsia="Microsoft Sans Serif" w:hAnsi="Microsoft Sans Serif" w:cs="Microsoft Sans Serif"/>
          <w:sz w:val="24"/>
          <w:szCs w:val="22"/>
        </w:rPr>
      </w:pPr>
      <w:r w:rsidRPr="00883EED">
        <w:rPr>
          <w:rFonts w:ascii="Microsoft Sans Serif" w:eastAsia="Microsoft Sans Serif" w:hAnsi="Microsoft Sans Serif" w:cs="Microsoft Sans Serif"/>
          <w:sz w:val="24"/>
          <w:szCs w:val="22"/>
        </w:rPr>
        <w:t>ALLISON C KASTER ESQUIRE</w:t>
      </w:r>
      <w:r w:rsidRPr="00883EED">
        <w:rPr>
          <w:rFonts w:ascii="Microsoft Sans Serif" w:eastAsia="Microsoft Sans Serif" w:hAnsi="Microsoft Sans Serif" w:cs="Microsoft Sans Serif"/>
          <w:sz w:val="24"/>
          <w:szCs w:val="22"/>
        </w:rPr>
        <w:cr/>
        <w:t>PA PUC BIE LEGAL TECHNICAL</w:t>
      </w:r>
      <w:r w:rsidRPr="00883EED">
        <w:rPr>
          <w:rFonts w:ascii="Microsoft Sans Serif" w:eastAsia="Microsoft Sans Serif" w:hAnsi="Microsoft Sans Serif" w:cs="Microsoft Sans Serif"/>
          <w:sz w:val="24"/>
          <w:szCs w:val="22"/>
        </w:rPr>
        <w:cr/>
        <w:t>SECOND FLOOR WEST</w:t>
      </w:r>
      <w:r w:rsidRPr="00883EED">
        <w:rPr>
          <w:rFonts w:ascii="Microsoft Sans Serif" w:eastAsia="Microsoft Sans Serif" w:hAnsi="Microsoft Sans Serif" w:cs="Microsoft Sans Serif"/>
          <w:sz w:val="24"/>
          <w:szCs w:val="22"/>
        </w:rPr>
        <w:cr/>
        <w:t>400 NORTH STREET</w:t>
      </w:r>
      <w:r w:rsidRPr="00883EED">
        <w:rPr>
          <w:rFonts w:ascii="Microsoft Sans Serif" w:eastAsia="Microsoft Sans Serif" w:hAnsi="Microsoft Sans Serif" w:cs="Microsoft Sans Serif"/>
          <w:sz w:val="24"/>
          <w:szCs w:val="22"/>
        </w:rPr>
        <w:cr/>
        <w:t>HARRISBURG PA  17120</w:t>
      </w:r>
      <w:r w:rsidRPr="00883EED">
        <w:rPr>
          <w:rFonts w:ascii="Microsoft Sans Serif" w:eastAsia="Microsoft Sans Serif" w:hAnsi="Microsoft Sans Serif" w:cs="Microsoft Sans Serif"/>
          <w:sz w:val="24"/>
          <w:szCs w:val="22"/>
        </w:rPr>
        <w:cr/>
      </w:r>
      <w:r w:rsidRPr="00883EED">
        <w:rPr>
          <w:rFonts w:ascii="Microsoft Sans Serif" w:eastAsia="Microsoft Sans Serif" w:hAnsi="Microsoft Sans Serif" w:cs="Microsoft Sans Serif"/>
          <w:b/>
          <w:bCs/>
          <w:sz w:val="24"/>
          <w:szCs w:val="22"/>
        </w:rPr>
        <w:t>717.783.6184</w:t>
      </w:r>
      <w:r w:rsidRPr="00883EED">
        <w:rPr>
          <w:rFonts w:ascii="Microsoft Sans Serif" w:eastAsia="Microsoft Sans Serif" w:hAnsi="Microsoft Sans Serif" w:cs="Microsoft Sans Serif"/>
          <w:b/>
          <w:bCs/>
          <w:sz w:val="24"/>
          <w:szCs w:val="22"/>
        </w:rPr>
        <w:br/>
      </w:r>
      <w:r w:rsidRPr="00883EED">
        <w:rPr>
          <w:rFonts w:ascii="Microsoft Sans Serif" w:eastAsia="Microsoft Sans Serif" w:hAnsi="Microsoft Sans Serif" w:cs="Microsoft Sans Serif"/>
          <w:b/>
          <w:bCs/>
          <w:i/>
          <w:iCs/>
          <w:sz w:val="24"/>
          <w:szCs w:val="22"/>
          <w:u w:val="single"/>
        </w:rPr>
        <w:t>ACCEPTS E-SERVICE</w:t>
      </w:r>
    </w:p>
    <w:p w14:paraId="67E5C9C6" w14:textId="77777777" w:rsidR="00883EED" w:rsidRPr="00883EED" w:rsidRDefault="00883EED" w:rsidP="00883EED">
      <w:pPr>
        <w:spacing w:after="160" w:line="259" w:lineRule="auto"/>
        <w:rPr>
          <w:rFonts w:ascii="Microsoft Sans Serif" w:eastAsia="Microsoft Sans Serif" w:hAnsi="Microsoft Sans Serif" w:cs="Microsoft Sans Serif"/>
          <w:sz w:val="24"/>
          <w:szCs w:val="22"/>
        </w:rPr>
      </w:pPr>
      <w:r w:rsidRPr="00883EED">
        <w:rPr>
          <w:rFonts w:ascii="Microsoft Sans Serif" w:eastAsia="Microsoft Sans Serif" w:hAnsi="Microsoft Sans Serif" w:cs="Microsoft Sans Serif"/>
          <w:sz w:val="24"/>
          <w:szCs w:val="22"/>
        </w:rPr>
        <w:cr/>
      </w:r>
    </w:p>
    <w:p w14:paraId="757A8D77" w14:textId="77777777" w:rsidR="00883EED" w:rsidRPr="00883EED" w:rsidRDefault="00883EED" w:rsidP="00883EED">
      <w:pPr>
        <w:spacing w:after="160" w:line="259" w:lineRule="auto"/>
        <w:rPr>
          <w:rFonts w:ascii="Calibri" w:hAnsi="Calibri"/>
          <w:sz w:val="22"/>
          <w:szCs w:val="22"/>
        </w:rPr>
      </w:pPr>
    </w:p>
    <w:p w14:paraId="4BC95508" w14:textId="6903C779" w:rsidR="00535514" w:rsidRPr="00E77C24" w:rsidRDefault="00535514" w:rsidP="00375D67">
      <w:pPr>
        <w:pStyle w:val="Footer"/>
        <w:tabs>
          <w:tab w:val="clear" w:pos="4320"/>
          <w:tab w:val="clear" w:pos="8640"/>
        </w:tabs>
      </w:pPr>
    </w:p>
    <w:sectPr w:rsidR="00535514" w:rsidRPr="00E77C24" w:rsidSect="00CB6C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51C40" w14:textId="77777777" w:rsidR="00A9424A" w:rsidRDefault="00A9424A">
      <w:r>
        <w:separator/>
      </w:r>
    </w:p>
  </w:endnote>
  <w:endnote w:type="continuationSeparator" w:id="0">
    <w:p w14:paraId="2DE44F28" w14:textId="77777777" w:rsidR="00A9424A" w:rsidRDefault="00A9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88A8"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F862C"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E0F7" w14:textId="77777777" w:rsidR="00D05894" w:rsidRPr="00535514" w:rsidRDefault="00D05894" w:rsidP="00114B66">
    <w:pPr>
      <w:pStyle w:val="Footer"/>
      <w:framePr w:wrap="around" w:vAnchor="text" w:hAnchor="margin" w:xAlign="center" w:y="1"/>
      <w:rPr>
        <w:rStyle w:val="PageNumber"/>
      </w:rPr>
    </w:pPr>
    <w:r w:rsidRPr="00535514">
      <w:rPr>
        <w:rStyle w:val="PageNumber"/>
      </w:rPr>
      <w:fldChar w:fldCharType="begin"/>
    </w:r>
    <w:r w:rsidRPr="00535514">
      <w:rPr>
        <w:rStyle w:val="PageNumber"/>
      </w:rPr>
      <w:instrText xml:space="preserve">PAGE  </w:instrText>
    </w:r>
    <w:r w:rsidRPr="00535514">
      <w:rPr>
        <w:rStyle w:val="PageNumber"/>
      </w:rPr>
      <w:fldChar w:fldCharType="separate"/>
    </w:r>
    <w:r w:rsidR="009D4F19" w:rsidRPr="00535514">
      <w:rPr>
        <w:rStyle w:val="PageNumber"/>
        <w:noProof/>
      </w:rPr>
      <w:t>4</w:t>
    </w:r>
    <w:r w:rsidRPr="00535514">
      <w:rPr>
        <w:rStyle w:val="PageNumber"/>
      </w:rPr>
      <w:fldChar w:fldCharType="end"/>
    </w:r>
  </w:p>
  <w:p w14:paraId="582B0D04" w14:textId="77777777" w:rsidR="00D05894" w:rsidRDefault="00D0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5B13" w14:textId="53AFC42F" w:rsidR="00DA50EB" w:rsidRPr="00DA50EB" w:rsidRDefault="00DA50EB" w:rsidP="00DA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E6530" w14:textId="77777777" w:rsidR="00A9424A" w:rsidRDefault="00A9424A">
      <w:r>
        <w:separator/>
      </w:r>
    </w:p>
  </w:footnote>
  <w:footnote w:type="continuationSeparator" w:id="0">
    <w:p w14:paraId="7947AEC8" w14:textId="77777777" w:rsidR="00A9424A" w:rsidRDefault="00A9424A">
      <w:r>
        <w:continuationSeparator/>
      </w:r>
    </w:p>
  </w:footnote>
  <w:footnote w:id="1">
    <w:p w14:paraId="7592D3FB" w14:textId="23938167" w:rsidR="00846AA2" w:rsidRPr="00BB16E9" w:rsidRDefault="00846AA2">
      <w:pPr>
        <w:pStyle w:val="FootnoteText"/>
      </w:pPr>
      <w:r>
        <w:rPr>
          <w:rStyle w:val="FootnoteReference"/>
        </w:rPr>
        <w:footnoteRef/>
      </w:r>
      <w:r>
        <w:t xml:space="preserve"> </w:t>
      </w:r>
      <w:r>
        <w:tab/>
        <w:t xml:space="preserve">Section 1.15(a)(1) of Title 52 of the Pennsylvania Code provides that a presiding officer may extend a due </w:t>
      </w:r>
      <w:r w:rsidRPr="00BB16E9">
        <w:t xml:space="preserve">date provided there is good cause shown for the necessity of extending the due date.  </w:t>
      </w:r>
    </w:p>
    <w:p w14:paraId="6CD81AB7" w14:textId="77777777" w:rsidR="00BB16E9" w:rsidRPr="00BB16E9" w:rsidRDefault="00BB16E9">
      <w:pPr>
        <w:pStyle w:val="FootnoteText"/>
      </w:pPr>
    </w:p>
  </w:footnote>
  <w:footnote w:id="2">
    <w:p w14:paraId="0041F757" w14:textId="2EB652CE" w:rsidR="00BB16E9" w:rsidRPr="00BB16E9" w:rsidRDefault="00BB16E9">
      <w:pPr>
        <w:pStyle w:val="FootnoteText"/>
      </w:pPr>
      <w:r w:rsidRPr="00BB16E9">
        <w:rPr>
          <w:rStyle w:val="FootnoteReference"/>
        </w:rPr>
        <w:footnoteRef/>
      </w:r>
      <w:r w:rsidRPr="00BB16E9">
        <w:t xml:space="preserve"> </w:t>
      </w:r>
      <w:r w:rsidRPr="00BB16E9">
        <w:tab/>
        <w:t>Ordering Paragraph 5(b) orders Hidden Valley to, “schedule and conduct semi-annual customer meetings, to be held at least every six months, with the first meeting to be held on or before June 30, 2018.  The customer meetings shall continue until the completion of the requirements under Ordering Paragraph No.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1EF72032"/>
    <w:multiLevelType w:val="hybridMultilevel"/>
    <w:tmpl w:val="0D4A0E7E"/>
    <w:lvl w:ilvl="0" w:tplc="F3D497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9"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0"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2"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11"/>
  </w:num>
  <w:num w:numId="3">
    <w:abstractNumId w:val="9"/>
  </w:num>
  <w:num w:numId="4">
    <w:abstractNumId w:val="8"/>
  </w:num>
  <w:num w:numId="5">
    <w:abstractNumId w:val="3"/>
  </w:num>
  <w:num w:numId="6">
    <w:abstractNumId w:val="12"/>
  </w:num>
  <w:num w:numId="7">
    <w:abstractNumId w:val="13"/>
  </w:num>
  <w:num w:numId="8">
    <w:abstractNumId w:val="6"/>
  </w:num>
  <w:num w:numId="9">
    <w:abstractNumId w:val="10"/>
  </w:num>
  <w:num w:numId="10">
    <w:abstractNumId w:val="0"/>
  </w:num>
  <w:num w:numId="11">
    <w:abstractNumId w:val="2"/>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17B4D"/>
    <w:rsid w:val="0002120A"/>
    <w:rsid w:val="00021683"/>
    <w:rsid w:val="00021B72"/>
    <w:rsid w:val="00023238"/>
    <w:rsid w:val="000350BB"/>
    <w:rsid w:val="000418B4"/>
    <w:rsid w:val="00045EF5"/>
    <w:rsid w:val="00046C41"/>
    <w:rsid w:val="00050090"/>
    <w:rsid w:val="000529D9"/>
    <w:rsid w:val="00052E10"/>
    <w:rsid w:val="000739E9"/>
    <w:rsid w:val="00086392"/>
    <w:rsid w:val="00095381"/>
    <w:rsid w:val="000A45F2"/>
    <w:rsid w:val="000A52A9"/>
    <w:rsid w:val="000B4D71"/>
    <w:rsid w:val="000B6967"/>
    <w:rsid w:val="000C031D"/>
    <w:rsid w:val="000C3C92"/>
    <w:rsid w:val="000C56EC"/>
    <w:rsid w:val="000C76B8"/>
    <w:rsid w:val="000D7976"/>
    <w:rsid w:val="000E4E99"/>
    <w:rsid w:val="000E6478"/>
    <w:rsid w:val="000F075F"/>
    <w:rsid w:val="000F3C31"/>
    <w:rsid w:val="001100DA"/>
    <w:rsid w:val="00113AC9"/>
    <w:rsid w:val="00114B66"/>
    <w:rsid w:val="00154556"/>
    <w:rsid w:val="001600CA"/>
    <w:rsid w:val="0016299C"/>
    <w:rsid w:val="00170037"/>
    <w:rsid w:val="001730BC"/>
    <w:rsid w:val="0017628B"/>
    <w:rsid w:val="00176B72"/>
    <w:rsid w:val="0018143F"/>
    <w:rsid w:val="00192591"/>
    <w:rsid w:val="001A56CB"/>
    <w:rsid w:val="001A5899"/>
    <w:rsid w:val="001B0EDA"/>
    <w:rsid w:val="001C06C3"/>
    <w:rsid w:val="001C535D"/>
    <w:rsid w:val="001D217F"/>
    <w:rsid w:val="001D42AB"/>
    <w:rsid w:val="001D6370"/>
    <w:rsid w:val="001F3232"/>
    <w:rsid w:val="00202E78"/>
    <w:rsid w:val="00224A20"/>
    <w:rsid w:val="00233A6C"/>
    <w:rsid w:val="00246E48"/>
    <w:rsid w:val="00253CFF"/>
    <w:rsid w:val="002549E4"/>
    <w:rsid w:val="00257CEA"/>
    <w:rsid w:val="00270BBF"/>
    <w:rsid w:val="00270C24"/>
    <w:rsid w:val="00273CCE"/>
    <w:rsid w:val="00280258"/>
    <w:rsid w:val="00292335"/>
    <w:rsid w:val="00295F02"/>
    <w:rsid w:val="002A5E32"/>
    <w:rsid w:val="002A7522"/>
    <w:rsid w:val="002E4F28"/>
    <w:rsid w:val="002E6D5A"/>
    <w:rsid w:val="002F1811"/>
    <w:rsid w:val="00300553"/>
    <w:rsid w:val="0030264C"/>
    <w:rsid w:val="0030283D"/>
    <w:rsid w:val="00302A4A"/>
    <w:rsid w:val="00310557"/>
    <w:rsid w:val="00313EDA"/>
    <w:rsid w:val="00314119"/>
    <w:rsid w:val="00327D90"/>
    <w:rsid w:val="00354C4C"/>
    <w:rsid w:val="003673A5"/>
    <w:rsid w:val="00375D67"/>
    <w:rsid w:val="003810E7"/>
    <w:rsid w:val="003821BA"/>
    <w:rsid w:val="0038342A"/>
    <w:rsid w:val="003865B8"/>
    <w:rsid w:val="00386FBE"/>
    <w:rsid w:val="003871D0"/>
    <w:rsid w:val="003A3694"/>
    <w:rsid w:val="003A3F0A"/>
    <w:rsid w:val="003B7256"/>
    <w:rsid w:val="003C3DC9"/>
    <w:rsid w:val="003D3A94"/>
    <w:rsid w:val="003D4660"/>
    <w:rsid w:val="003D6404"/>
    <w:rsid w:val="003E44FB"/>
    <w:rsid w:val="003E5F0E"/>
    <w:rsid w:val="003F0129"/>
    <w:rsid w:val="003F101E"/>
    <w:rsid w:val="003F2488"/>
    <w:rsid w:val="003F2F6A"/>
    <w:rsid w:val="00413FEE"/>
    <w:rsid w:val="00422CB0"/>
    <w:rsid w:val="00424D69"/>
    <w:rsid w:val="004255BA"/>
    <w:rsid w:val="0042732B"/>
    <w:rsid w:val="004358F8"/>
    <w:rsid w:val="00441F5F"/>
    <w:rsid w:val="00454D6A"/>
    <w:rsid w:val="00473D5E"/>
    <w:rsid w:val="00475A2D"/>
    <w:rsid w:val="00482BA6"/>
    <w:rsid w:val="004929AC"/>
    <w:rsid w:val="0049417B"/>
    <w:rsid w:val="00495EC3"/>
    <w:rsid w:val="004A2DA1"/>
    <w:rsid w:val="004A6143"/>
    <w:rsid w:val="004A70FA"/>
    <w:rsid w:val="004C6626"/>
    <w:rsid w:val="004D7A5D"/>
    <w:rsid w:val="004F33AB"/>
    <w:rsid w:val="00505D80"/>
    <w:rsid w:val="00507434"/>
    <w:rsid w:val="00511C67"/>
    <w:rsid w:val="00513445"/>
    <w:rsid w:val="00533BA2"/>
    <w:rsid w:val="00535514"/>
    <w:rsid w:val="00535F16"/>
    <w:rsid w:val="00545BC9"/>
    <w:rsid w:val="00547057"/>
    <w:rsid w:val="00561736"/>
    <w:rsid w:val="005649F3"/>
    <w:rsid w:val="00573340"/>
    <w:rsid w:val="00575758"/>
    <w:rsid w:val="00582AE5"/>
    <w:rsid w:val="00583B09"/>
    <w:rsid w:val="0059654E"/>
    <w:rsid w:val="00596FA0"/>
    <w:rsid w:val="005A3D2D"/>
    <w:rsid w:val="005C521B"/>
    <w:rsid w:val="005D39AE"/>
    <w:rsid w:val="005D48FE"/>
    <w:rsid w:val="005D7E93"/>
    <w:rsid w:val="005E1A00"/>
    <w:rsid w:val="005E23A1"/>
    <w:rsid w:val="005E7B23"/>
    <w:rsid w:val="006009FB"/>
    <w:rsid w:val="00600AF8"/>
    <w:rsid w:val="00616410"/>
    <w:rsid w:val="006274DA"/>
    <w:rsid w:val="0063465F"/>
    <w:rsid w:val="006354B2"/>
    <w:rsid w:val="006467C0"/>
    <w:rsid w:val="00653538"/>
    <w:rsid w:val="00664B27"/>
    <w:rsid w:val="006705CB"/>
    <w:rsid w:val="00671BD3"/>
    <w:rsid w:val="00674DD7"/>
    <w:rsid w:val="00682810"/>
    <w:rsid w:val="00682DD2"/>
    <w:rsid w:val="00690D65"/>
    <w:rsid w:val="00694776"/>
    <w:rsid w:val="006A1EA6"/>
    <w:rsid w:val="006A2B56"/>
    <w:rsid w:val="006C2D92"/>
    <w:rsid w:val="006F2A0C"/>
    <w:rsid w:val="00712988"/>
    <w:rsid w:val="0071531C"/>
    <w:rsid w:val="00727FD9"/>
    <w:rsid w:val="0073760E"/>
    <w:rsid w:val="00740189"/>
    <w:rsid w:val="007441C0"/>
    <w:rsid w:val="00750D6C"/>
    <w:rsid w:val="00751E38"/>
    <w:rsid w:val="00753161"/>
    <w:rsid w:val="00765874"/>
    <w:rsid w:val="00774194"/>
    <w:rsid w:val="007812A5"/>
    <w:rsid w:val="00781641"/>
    <w:rsid w:val="00786760"/>
    <w:rsid w:val="00787C70"/>
    <w:rsid w:val="00790B7D"/>
    <w:rsid w:val="00797B9E"/>
    <w:rsid w:val="007A0479"/>
    <w:rsid w:val="007B40FF"/>
    <w:rsid w:val="007B678C"/>
    <w:rsid w:val="007C4F6E"/>
    <w:rsid w:val="007D779C"/>
    <w:rsid w:val="007D7945"/>
    <w:rsid w:val="007E2591"/>
    <w:rsid w:val="007E3CEB"/>
    <w:rsid w:val="007E421B"/>
    <w:rsid w:val="007F0176"/>
    <w:rsid w:val="007F0362"/>
    <w:rsid w:val="008004FC"/>
    <w:rsid w:val="0080162F"/>
    <w:rsid w:val="00805DC0"/>
    <w:rsid w:val="00807C02"/>
    <w:rsid w:val="00814152"/>
    <w:rsid w:val="00822CA6"/>
    <w:rsid w:val="00832047"/>
    <w:rsid w:val="00832D96"/>
    <w:rsid w:val="008331E8"/>
    <w:rsid w:val="0084043C"/>
    <w:rsid w:val="008433DC"/>
    <w:rsid w:val="00846AA2"/>
    <w:rsid w:val="00864835"/>
    <w:rsid w:val="00883EED"/>
    <w:rsid w:val="008848D9"/>
    <w:rsid w:val="00884E1F"/>
    <w:rsid w:val="00885987"/>
    <w:rsid w:val="00886DB2"/>
    <w:rsid w:val="008A22D5"/>
    <w:rsid w:val="008B2145"/>
    <w:rsid w:val="008B470B"/>
    <w:rsid w:val="008B7A99"/>
    <w:rsid w:val="008C0A9F"/>
    <w:rsid w:val="008C12D5"/>
    <w:rsid w:val="008D4270"/>
    <w:rsid w:val="008D5BFF"/>
    <w:rsid w:val="008D7EA0"/>
    <w:rsid w:val="008E2AAB"/>
    <w:rsid w:val="008F5281"/>
    <w:rsid w:val="009175D2"/>
    <w:rsid w:val="00934A8D"/>
    <w:rsid w:val="00935042"/>
    <w:rsid w:val="00940CB4"/>
    <w:rsid w:val="009555A9"/>
    <w:rsid w:val="00956FF8"/>
    <w:rsid w:val="0096135C"/>
    <w:rsid w:val="009677FA"/>
    <w:rsid w:val="009749FF"/>
    <w:rsid w:val="00975D1A"/>
    <w:rsid w:val="009A0590"/>
    <w:rsid w:val="009A3B1C"/>
    <w:rsid w:val="009B20E4"/>
    <w:rsid w:val="009B5252"/>
    <w:rsid w:val="009B719A"/>
    <w:rsid w:val="009B787B"/>
    <w:rsid w:val="009C060F"/>
    <w:rsid w:val="009C3B4D"/>
    <w:rsid w:val="009C555B"/>
    <w:rsid w:val="009D0066"/>
    <w:rsid w:val="009D4F19"/>
    <w:rsid w:val="009D62E0"/>
    <w:rsid w:val="009E1C6D"/>
    <w:rsid w:val="009E643D"/>
    <w:rsid w:val="009E71D7"/>
    <w:rsid w:val="009F43BE"/>
    <w:rsid w:val="009F52EF"/>
    <w:rsid w:val="00A00830"/>
    <w:rsid w:val="00A042E4"/>
    <w:rsid w:val="00A24827"/>
    <w:rsid w:val="00A379C4"/>
    <w:rsid w:val="00A37E58"/>
    <w:rsid w:val="00A404FF"/>
    <w:rsid w:val="00A44D5E"/>
    <w:rsid w:val="00A71A58"/>
    <w:rsid w:val="00A72824"/>
    <w:rsid w:val="00A9149B"/>
    <w:rsid w:val="00A9318C"/>
    <w:rsid w:val="00A9424A"/>
    <w:rsid w:val="00AB45F1"/>
    <w:rsid w:val="00AB629C"/>
    <w:rsid w:val="00AB6D69"/>
    <w:rsid w:val="00AC411F"/>
    <w:rsid w:val="00AD5599"/>
    <w:rsid w:val="00AD65B0"/>
    <w:rsid w:val="00AE0D85"/>
    <w:rsid w:val="00AE2387"/>
    <w:rsid w:val="00AF257D"/>
    <w:rsid w:val="00B06BCD"/>
    <w:rsid w:val="00B070A7"/>
    <w:rsid w:val="00B134C1"/>
    <w:rsid w:val="00B160E4"/>
    <w:rsid w:val="00B179C7"/>
    <w:rsid w:val="00B40156"/>
    <w:rsid w:val="00B43DA5"/>
    <w:rsid w:val="00B44961"/>
    <w:rsid w:val="00B46713"/>
    <w:rsid w:val="00B46C4F"/>
    <w:rsid w:val="00B51456"/>
    <w:rsid w:val="00B54471"/>
    <w:rsid w:val="00B57E92"/>
    <w:rsid w:val="00B70134"/>
    <w:rsid w:val="00B76BD0"/>
    <w:rsid w:val="00B84D68"/>
    <w:rsid w:val="00B91274"/>
    <w:rsid w:val="00B91A4E"/>
    <w:rsid w:val="00BA6BA0"/>
    <w:rsid w:val="00BB16E9"/>
    <w:rsid w:val="00BB5A19"/>
    <w:rsid w:val="00BB6C6E"/>
    <w:rsid w:val="00BB7F77"/>
    <w:rsid w:val="00BC4189"/>
    <w:rsid w:val="00BE5CCB"/>
    <w:rsid w:val="00BE67D1"/>
    <w:rsid w:val="00BF24F5"/>
    <w:rsid w:val="00BF5A74"/>
    <w:rsid w:val="00C039FB"/>
    <w:rsid w:val="00C06634"/>
    <w:rsid w:val="00C15461"/>
    <w:rsid w:val="00C31467"/>
    <w:rsid w:val="00C33719"/>
    <w:rsid w:val="00C443B0"/>
    <w:rsid w:val="00C50372"/>
    <w:rsid w:val="00C627EF"/>
    <w:rsid w:val="00C67853"/>
    <w:rsid w:val="00C72AF7"/>
    <w:rsid w:val="00CA360C"/>
    <w:rsid w:val="00CA6D1F"/>
    <w:rsid w:val="00CB7713"/>
    <w:rsid w:val="00CC0FAC"/>
    <w:rsid w:val="00CC4192"/>
    <w:rsid w:val="00CD53BE"/>
    <w:rsid w:val="00CF2A4A"/>
    <w:rsid w:val="00D01DFD"/>
    <w:rsid w:val="00D05894"/>
    <w:rsid w:val="00D07FC4"/>
    <w:rsid w:val="00D104B3"/>
    <w:rsid w:val="00D16530"/>
    <w:rsid w:val="00D21C59"/>
    <w:rsid w:val="00D236F9"/>
    <w:rsid w:val="00D33947"/>
    <w:rsid w:val="00D450AD"/>
    <w:rsid w:val="00D711DE"/>
    <w:rsid w:val="00D7795D"/>
    <w:rsid w:val="00D80822"/>
    <w:rsid w:val="00D81026"/>
    <w:rsid w:val="00D819E7"/>
    <w:rsid w:val="00D909DF"/>
    <w:rsid w:val="00D94EBA"/>
    <w:rsid w:val="00DA50EB"/>
    <w:rsid w:val="00DA7A0B"/>
    <w:rsid w:val="00DC34E3"/>
    <w:rsid w:val="00DD34F1"/>
    <w:rsid w:val="00DD63F2"/>
    <w:rsid w:val="00DE0518"/>
    <w:rsid w:val="00DE0DC0"/>
    <w:rsid w:val="00DF76F2"/>
    <w:rsid w:val="00E0254D"/>
    <w:rsid w:val="00E0749D"/>
    <w:rsid w:val="00E309C1"/>
    <w:rsid w:val="00E311E7"/>
    <w:rsid w:val="00E32BBE"/>
    <w:rsid w:val="00E40B0B"/>
    <w:rsid w:val="00E40B7F"/>
    <w:rsid w:val="00E539D9"/>
    <w:rsid w:val="00E56260"/>
    <w:rsid w:val="00E64381"/>
    <w:rsid w:val="00E661CE"/>
    <w:rsid w:val="00E72133"/>
    <w:rsid w:val="00E77C24"/>
    <w:rsid w:val="00E97AD1"/>
    <w:rsid w:val="00EA52F1"/>
    <w:rsid w:val="00EC27D1"/>
    <w:rsid w:val="00EE261E"/>
    <w:rsid w:val="00EF05C1"/>
    <w:rsid w:val="00F05968"/>
    <w:rsid w:val="00F33E27"/>
    <w:rsid w:val="00F34452"/>
    <w:rsid w:val="00F41082"/>
    <w:rsid w:val="00F4483F"/>
    <w:rsid w:val="00F45446"/>
    <w:rsid w:val="00F54C80"/>
    <w:rsid w:val="00F62B4C"/>
    <w:rsid w:val="00F75848"/>
    <w:rsid w:val="00F83D0B"/>
    <w:rsid w:val="00F87292"/>
    <w:rsid w:val="00F87EF1"/>
    <w:rsid w:val="00FA3864"/>
    <w:rsid w:val="00FA771D"/>
    <w:rsid w:val="00FC18E9"/>
    <w:rsid w:val="00FC6CE0"/>
    <w:rsid w:val="00FD0F06"/>
    <w:rsid w:val="00FD133B"/>
    <w:rsid w:val="00FE2357"/>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6FAB"/>
  <w15:docId w15:val="{2284583C-355C-42E8-BC92-D63455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C50372"/>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C50372"/>
    <w:rPr>
      <w:vertAlign w:val="superscript"/>
    </w:rPr>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ListParagraph">
    <w:name w:val="List Paragraph"/>
    <w:basedOn w:val="Normal"/>
    <w:uiPriority w:val="34"/>
    <w:qFormat/>
    <w:rsid w:val="007C4F6E"/>
    <w:pPr>
      <w:ind w:left="720"/>
      <w:contextualSpacing/>
    </w:pPr>
  </w:style>
  <w:style w:type="paragraph" w:styleId="BodyText">
    <w:name w:val="Body Text"/>
    <w:basedOn w:val="Normal"/>
    <w:link w:val="BodyTextChar"/>
    <w:rsid w:val="00CD53BE"/>
    <w:pPr>
      <w:spacing w:line="360" w:lineRule="auto"/>
      <w:jc w:val="both"/>
    </w:pPr>
    <w:rPr>
      <w:sz w:val="26"/>
    </w:rPr>
  </w:style>
  <w:style w:type="character" w:customStyle="1" w:styleId="BodyTextChar">
    <w:name w:val="Body Text Char"/>
    <w:basedOn w:val="DefaultParagraphFont"/>
    <w:link w:val="BodyText"/>
    <w:rsid w:val="00CD53BE"/>
    <w:rPr>
      <w:sz w:val="26"/>
    </w:rPr>
  </w:style>
  <w:style w:type="paragraph" w:customStyle="1" w:styleId="BodyDouble05">
    <w:name w:val="Body Double 0.5"/>
    <w:basedOn w:val="Normal"/>
    <w:link w:val="BodyDouble05Char"/>
    <w:qFormat/>
    <w:rsid w:val="00E311E7"/>
    <w:pPr>
      <w:spacing w:line="480" w:lineRule="auto"/>
      <w:ind w:firstLine="720"/>
    </w:pPr>
    <w:rPr>
      <w:sz w:val="24"/>
    </w:rPr>
  </w:style>
  <w:style w:type="character" w:customStyle="1" w:styleId="BodyDouble05Char">
    <w:name w:val="Body Double 0.5 Char"/>
    <w:basedOn w:val="DefaultParagraphFont"/>
    <w:link w:val="BodyDouble05"/>
    <w:rsid w:val="00E311E7"/>
    <w:rPr>
      <w:sz w:val="24"/>
    </w:rPr>
  </w:style>
  <w:style w:type="character" w:customStyle="1" w:styleId="FooterChar">
    <w:name w:val="Footer Char"/>
    <w:basedOn w:val="DefaultParagraphFont"/>
    <w:link w:val="Footer"/>
    <w:uiPriority w:val="99"/>
    <w:rsid w:val="00D8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46778">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154906765">
      <w:bodyDiv w:val="1"/>
      <w:marLeft w:val="0"/>
      <w:marRight w:val="0"/>
      <w:marTop w:val="0"/>
      <w:marBottom w:val="0"/>
      <w:divBdr>
        <w:top w:val="none" w:sz="0" w:space="0" w:color="auto"/>
        <w:left w:val="none" w:sz="0" w:space="0" w:color="auto"/>
        <w:bottom w:val="none" w:sz="0" w:space="0" w:color="auto"/>
        <w:right w:val="none" w:sz="0" w:space="0" w:color="auto"/>
      </w:divBdr>
    </w:div>
    <w:div w:id="1234580298">
      <w:bodyDiv w:val="1"/>
      <w:marLeft w:val="0"/>
      <w:marRight w:val="0"/>
      <w:marTop w:val="0"/>
      <w:marBottom w:val="0"/>
      <w:divBdr>
        <w:top w:val="none" w:sz="0" w:space="0" w:color="auto"/>
        <w:left w:val="none" w:sz="0" w:space="0" w:color="auto"/>
        <w:bottom w:val="none" w:sz="0" w:space="0" w:color="auto"/>
        <w:right w:val="none" w:sz="0" w:space="0" w:color="auto"/>
      </w:divBdr>
    </w:div>
    <w:div w:id="1421098180">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27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F8D9-A5B2-4F31-881B-15C43A6B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5</cp:revision>
  <cp:lastPrinted>2016-08-24T14:46:00Z</cp:lastPrinted>
  <dcterms:created xsi:type="dcterms:W3CDTF">2020-06-24T15:21:00Z</dcterms:created>
  <dcterms:modified xsi:type="dcterms:W3CDTF">2020-06-24T15:34:00Z</dcterms:modified>
</cp:coreProperties>
</file>