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6310" w14:textId="77777777" w:rsidR="00EB750E" w:rsidRPr="00EB750E" w:rsidRDefault="00EB750E" w:rsidP="00EB750E">
      <w:pPr>
        <w:spacing w:line="240" w:lineRule="auto"/>
        <w:rPr>
          <w:rFonts w:ascii="Microsoft Sans Serif" w:eastAsia="Times New Roman" w:hAnsi="Microsoft Sans Serif" w:cs="Microsoft Sans Serif"/>
          <w:szCs w:val="24"/>
        </w:rPr>
      </w:pPr>
      <w:bookmarkStart w:id="0" w:name="_Hlk29982113"/>
      <w:r w:rsidRPr="00EB750E">
        <w:rPr>
          <w:rFonts w:ascii="Microsoft Sans Serif" w:eastAsia="Times New Roman" w:hAnsi="Microsoft Sans Serif" w:cs="Microsoft Sans Serif"/>
          <w:szCs w:val="24"/>
        </w:rPr>
        <w:t>Via electronic service only due to Emergency Order at M-2020-3019262</w:t>
      </w:r>
    </w:p>
    <w:p w14:paraId="6F1BF419" w14:textId="77777777" w:rsidR="00EB750E" w:rsidRDefault="00EB750E" w:rsidP="00FD23FD">
      <w:pPr>
        <w:tabs>
          <w:tab w:val="left" w:pos="0"/>
        </w:tabs>
        <w:spacing w:line="240" w:lineRule="auto"/>
        <w:jc w:val="center"/>
        <w:rPr>
          <w:rFonts w:eastAsia="Times New Roman"/>
          <w:b/>
          <w:szCs w:val="20"/>
        </w:rPr>
      </w:pPr>
    </w:p>
    <w:p w14:paraId="5DE026CC" w14:textId="5960BC12"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t>C-2019-3011675</w:t>
      </w:r>
    </w:p>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1" w:name="_Hlk25153022"/>
      <w:r w:rsidRPr="00FD23FD">
        <w:rPr>
          <w:rFonts w:eastAsia="Times New Roman"/>
          <w:bCs/>
          <w:szCs w:val="20"/>
        </w:rPr>
        <w:t>Metropolitan Edison Company</w:t>
      </w:r>
      <w:bookmarkEnd w:id="1"/>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24647936" w:rsidR="00113904" w:rsidRPr="00983F38" w:rsidRDefault="009F5B73" w:rsidP="00983F38">
      <w:pPr>
        <w:spacing w:line="240" w:lineRule="auto"/>
        <w:jc w:val="center"/>
        <w:rPr>
          <w:b/>
          <w:bCs/>
        </w:rPr>
      </w:pPr>
      <w:r>
        <w:rPr>
          <w:b/>
          <w:bCs/>
        </w:rPr>
        <w:t xml:space="preserve">SECOND </w:t>
      </w:r>
      <w:r w:rsidR="00D742C3">
        <w:rPr>
          <w:b/>
          <w:bCs/>
        </w:rPr>
        <w:t xml:space="preserve">CORRECTED </w:t>
      </w:r>
      <w:r w:rsidR="00814439">
        <w:rPr>
          <w:b/>
          <w:bCs/>
        </w:rPr>
        <w:t>INTERIM</w:t>
      </w:r>
      <w:r w:rsidR="00860A14">
        <w:rPr>
          <w:b/>
          <w:bCs/>
        </w:rPr>
        <w:t xml:space="preserve"> ORDER</w:t>
      </w:r>
    </w:p>
    <w:p w14:paraId="4585A09A" w14:textId="64F41BAB" w:rsidR="00113904" w:rsidRPr="00983F38" w:rsidRDefault="00860A14" w:rsidP="00983F38">
      <w:pPr>
        <w:spacing w:line="240" w:lineRule="auto"/>
        <w:jc w:val="center"/>
        <w:rPr>
          <w:b/>
          <w:bCs/>
          <w:u w:val="single"/>
        </w:rPr>
      </w:pPr>
      <w:r>
        <w:rPr>
          <w:b/>
          <w:bCs/>
          <w:u w:val="single"/>
        </w:rPr>
        <w:t xml:space="preserve">SETTING </w:t>
      </w:r>
      <w:r w:rsidR="00371922">
        <w:rPr>
          <w:b/>
          <w:bCs/>
          <w:u w:val="single"/>
        </w:rPr>
        <w:t>LITIGATION SCHEDULE</w:t>
      </w:r>
    </w:p>
    <w:p w14:paraId="326F09AA" w14:textId="77777777" w:rsidR="00113904" w:rsidRDefault="00113904" w:rsidP="003C0F7F"/>
    <w:p w14:paraId="68D290CD" w14:textId="425EE4DA" w:rsidR="00113904" w:rsidRDefault="001F05BA" w:rsidP="003C0F7F">
      <w:r>
        <w:tab/>
      </w:r>
      <w:r>
        <w:tab/>
        <w:t xml:space="preserve">On July 22, 2019, the Bureau of Investigation and Enforcement (BIE) filed a </w:t>
      </w:r>
      <w:r w:rsidR="003C0F7F">
        <w:t>F</w:t>
      </w:r>
      <w:r>
        <w:t xml:space="preserve">ormal </w:t>
      </w:r>
      <w:r w:rsidR="003C0F7F">
        <w:t>C</w:t>
      </w:r>
      <w:r>
        <w:t>omp</w:t>
      </w:r>
      <w:r w:rsidR="009E2E61">
        <w:t>la</w:t>
      </w:r>
      <w:r>
        <w:t>int against Metropolitan-Edison Company (Met-Ed), alleging that Met-Ed violated certain provisions of the Public Utility Code, regulations and National Electric Safety Code related to the company’s installation and/or maintenance of certain facilities.  BIE alleges that Met-Ed’s failure to prope</w:t>
      </w:r>
      <w:r w:rsidR="00CB304F">
        <w:t>rl</w:t>
      </w:r>
      <w:r>
        <w: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rsidP="003C0F7F"/>
    <w:p w14:paraId="665D3131" w14:textId="71FFE706" w:rsidR="001F05BA" w:rsidRDefault="001F05BA" w:rsidP="003C0F7F">
      <w:r>
        <w:tab/>
      </w:r>
      <w:r>
        <w:tab/>
        <w:t xml:space="preserve">Met-Ed filed an </w:t>
      </w:r>
      <w:r w:rsidR="003C0F7F">
        <w:t>A</w:t>
      </w:r>
      <w:r>
        <w:t xml:space="preserve">nswer and </w:t>
      </w:r>
      <w:r w:rsidR="003C0F7F">
        <w:t>N</w:t>
      </w:r>
      <w:r>
        <w:t xml:space="preserve">ew </w:t>
      </w:r>
      <w:r w:rsidR="003C0F7F">
        <w:t>M</w:t>
      </w:r>
      <w:r>
        <w:t xml:space="preserve">atter along with </w:t>
      </w:r>
      <w:r w:rsidR="003C0F7F">
        <w:t>P</w:t>
      </w:r>
      <w:r>
        <w:t xml:space="preserve">reliminary </w:t>
      </w:r>
      <w:r w:rsidR="003C0F7F">
        <w:t>O</w:t>
      </w:r>
      <w:r>
        <w:t>bjections on October 31, 2019.</w:t>
      </w:r>
      <w:r>
        <w:rPr>
          <w:rStyle w:val="FootnoteReference"/>
        </w:rPr>
        <w:footnoteReference w:id="1"/>
      </w:r>
      <w:r>
        <w:t xml:space="preserve">  Met-Ed denies the material allegations of the </w:t>
      </w:r>
      <w:r w:rsidR="00C92C20">
        <w:t>Complaint and</w:t>
      </w:r>
      <w:r>
        <w:t xml:space="preserve"> raises affirmative defenses in its </w:t>
      </w:r>
      <w:r w:rsidR="003C0F7F">
        <w:t>N</w:t>
      </w:r>
      <w:r>
        <w:t xml:space="preserve">ew </w:t>
      </w:r>
      <w:r w:rsidR="003C0F7F">
        <w:t>M</w:t>
      </w:r>
      <w:r>
        <w:t xml:space="preserve">atter.  BIE filed a response to the </w:t>
      </w:r>
      <w:r w:rsidR="003C0F7F">
        <w:t>P</w:t>
      </w:r>
      <w:r>
        <w:t xml:space="preserve">reliminary </w:t>
      </w:r>
      <w:r w:rsidR="003C0F7F">
        <w:t>O</w:t>
      </w:r>
      <w:r>
        <w:t>bjections</w:t>
      </w:r>
      <w:r w:rsidR="008250E8">
        <w:t xml:space="preserve"> and </w:t>
      </w:r>
      <w:r w:rsidR="003C0F7F">
        <w:t>A</w:t>
      </w:r>
      <w:r w:rsidR="008250E8">
        <w:t xml:space="preserve">nswer to the </w:t>
      </w:r>
      <w:r w:rsidR="003C0F7F">
        <w:t>N</w:t>
      </w:r>
      <w:r w:rsidR="008250E8">
        <w:t xml:space="preserve">ew </w:t>
      </w:r>
      <w:r w:rsidR="003C0F7F">
        <w:t>M</w:t>
      </w:r>
      <w:r w:rsidR="008250E8">
        <w:t>atter</w:t>
      </w:r>
      <w:r>
        <w:t xml:space="preserve"> on November 20, 2019.</w:t>
      </w:r>
      <w:r>
        <w:rPr>
          <w:rStyle w:val="FootnoteReference"/>
        </w:rPr>
        <w:footnoteReference w:id="2"/>
      </w:r>
    </w:p>
    <w:p w14:paraId="029B8166" w14:textId="53C51376" w:rsidR="008250E8" w:rsidRDefault="008250E8" w:rsidP="003C0F7F"/>
    <w:p w14:paraId="2284D690" w14:textId="75FE4FE0" w:rsidR="00371922" w:rsidRDefault="008250E8" w:rsidP="003C0F7F">
      <w:pPr>
        <w:ind w:firstLine="720"/>
      </w:pPr>
      <w:r>
        <w:lastRenderedPageBreak/>
        <w:tab/>
        <w:t>By notice dated January 9, 2020, this matter was assigned to me and scheduled for a prehearing conference on March 3, 2020.</w:t>
      </w:r>
      <w:r w:rsidR="00371922">
        <w:t xml:space="preserve">  An </w:t>
      </w:r>
      <w:r w:rsidR="003C0F7F">
        <w:t>I</w:t>
      </w:r>
      <w:r w:rsidR="00371922">
        <w:t xml:space="preserve">nterim </w:t>
      </w:r>
      <w:r w:rsidR="003C0F7F">
        <w:t>O</w:t>
      </w:r>
      <w:r w:rsidR="00371922">
        <w:t xml:space="preserve">rder dismissing the </w:t>
      </w:r>
      <w:r w:rsidR="003C0F7F">
        <w:t>P</w:t>
      </w:r>
      <w:r w:rsidR="00371922">
        <w:t xml:space="preserve">reliminary </w:t>
      </w:r>
      <w:r w:rsidR="003C0F7F">
        <w:t>O</w:t>
      </w:r>
      <w:r w:rsidR="00371922">
        <w:t>bjections was issued on January 16, 2020.</w:t>
      </w:r>
      <w:r w:rsidR="00EB750E">
        <w:br/>
      </w:r>
    </w:p>
    <w:p w14:paraId="0D9644D4" w14:textId="66DE5371" w:rsidR="00371922" w:rsidRDefault="00371922" w:rsidP="003C0F7F">
      <w:pPr>
        <w:ind w:firstLine="720"/>
      </w:pPr>
      <w:r>
        <w:tab/>
        <w:t>By letter dated February 26, 2020, Met-Ed requested a 60-day continuance of the March 3, 2020 prehearing conference.  A further continuance was jointly requested by the parties on April 27, 2020.  By notice dated April 27, 2020, the prehearing conference was rescheduled for June 10, 2020.  Both parties timely filed prehearing memoranda.</w:t>
      </w:r>
    </w:p>
    <w:p w14:paraId="75532F04" w14:textId="133FABD6" w:rsidR="00371922" w:rsidRDefault="00371922" w:rsidP="003C0F7F">
      <w:pPr>
        <w:ind w:firstLine="720"/>
      </w:pPr>
    </w:p>
    <w:p w14:paraId="180E011A" w14:textId="1FC3FE51" w:rsidR="0036766C" w:rsidRDefault="00371922" w:rsidP="003C0F7F">
      <w:pPr>
        <w:ind w:firstLine="720"/>
      </w:pPr>
      <w:r>
        <w:tab/>
      </w:r>
      <w:r w:rsidR="003236A8">
        <w:t>A</w:t>
      </w:r>
      <w:r>
        <w:t xml:space="preserve"> prehearing conference convened as scheduled</w:t>
      </w:r>
      <w:r w:rsidR="003236A8">
        <w:t xml:space="preserve"> on June 10, 2020</w:t>
      </w:r>
      <w:r>
        <w:t>.  Attorneys Kourtney Myers and Kayla Rost appeared on behalf of BIE.  Attorneys Tori Giesler and Garrett Lent appeared on behalf of Met-Ed.  The parties reported that although settlement discussions were ongoing, they were unable to agree on a litigation schedule.</w:t>
      </w:r>
      <w:r w:rsidR="003236A8">
        <w:t xml:space="preserve">  The parties were directed to provide a </w:t>
      </w:r>
      <w:r w:rsidR="003C0F7F">
        <w:t>S</w:t>
      </w:r>
      <w:r w:rsidR="003236A8">
        <w:t xml:space="preserve">tatus </w:t>
      </w:r>
      <w:r w:rsidR="003C0F7F">
        <w:t>R</w:t>
      </w:r>
      <w:r w:rsidR="003236A8">
        <w:t>eport and proposed litigation schedule on or before July 3, 2020.</w:t>
      </w:r>
      <w:r w:rsidR="00792DA6">
        <w:br/>
      </w:r>
    </w:p>
    <w:p w14:paraId="62CA8AA4" w14:textId="48E62B95" w:rsidR="0036766C" w:rsidRDefault="0036766C" w:rsidP="003C0F7F">
      <w:pPr>
        <w:ind w:firstLine="720"/>
      </w:pPr>
      <w:r>
        <w:tab/>
        <w:t>THEREFORE,</w:t>
      </w:r>
    </w:p>
    <w:p w14:paraId="4122C387" w14:textId="6DB3E80F" w:rsidR="0036766C" w:rsidRDefault="0036766C" w:rsidP="003C0F7F">
      <w:pPr>
        <w:ind w:firstLine="720"/>
      </w:pPr>
    </w:p>
    <w:p w14:paraId="29DA755F" w14:textId="249CFF94" w:rsidR="0036766C" w:rsidRDefault="0036766C" w:rsidP="003C0F7F">
      <w:pPr>
        <w:ind w:firstLine="720"/>
      </w:pPr>
      <w:r>
        <w:tab/>
        <w:t>IT IS ORDERED</w:t>
      </w:r>
    </w:p>
    <w:p w14:paraId="3605A1EA" w14:textId="11215CFC" w:rsidR="0036766C" w:rsidRDefault="0036766C" w:rsidP="003C0F7F">
      <w:pPr>
        <w:ind w:firstLine="720"/>
      </w:pPr>
    </w:p>
    <w:p w14:paraId="47F8F442" w14:textId="58D79F6D" w:rsidR="0036766C" w:rsidRDefault="0036766C" w:rsidP="003C0F7F">
      <w:pPr>
        <w:ind w:firstLine="720"/>
      </w:pPr>
      <w:r>
        <w:tab/>
      </w:r>
      <w:r w:rsidR="00371922">
        <w:t>1.</w:t>
      </w:r>
      <w:r w:rsidR="00371922">
        <w:tab/>
      </w:r>
      <w:r>
        <w:t xml:space="preserve">That </w:t>
      </w:r>
      <w:r w:rsidR="003236A8">
        <w:t xml:space="preserve">the parties shall file a joint updated </w:t>
      </w:r>
      <w:r w:rsidR="003C0F7F">
        <w:t>S</w:t>
      </w:r>
      <w:r w:rsidR="003236A8">
        <w:t xml:space="preserve">tatus </w:t>
      </w:r>
      <w:r w:rsidR="003C0F7F">
        <w:t>R</w:t>
      </w:r>
      <w:r w:rsidR="003236A8">
        <w:t xml:space="preserve">eport regarding the status of their settlement discussions on or before August 3, 2020. </w:t>
      </w:r>
    </w:p>
    <w:p w14:paraId="4FFA9933" w14:textId="5BD4068D" w:rsidR="00371922" w:rsidRDefault="00371922" w:rsidP="003C0F7F">
      <w:pPr>
        <w:ind w:firstLine="720"/>
      </w:pPr>
    </w:p>
    <w:p w14:paraId="176E1E30" w14:textId="1A8F5288" w:rsidR="003236A8" w:rsidRDefault="00371922" w:rsidP="003C0F7F">
      <w:pPr>
        <w:tabs>
          <w:tab w:val="left" w:pos="720"/>
        </w:tabs>
        <w:rPr>
          <w:szCs w:val="24"/>
        </w:rPr>
      </w:pPr>
      <w:r>
        <w:tab/>
      </w:r>
      <w:r w:rsidR="00196BD7">
        <w:tab/>
      </w:r>
      <w:r>
        <w:t>2.</w:t>
      </w:r>
      <w:r>
        <w:tab/>
      </w:r>
      <w:r w:rsidR="003236A8">
        <w:t xml:space="preserve">That discovery shall be </w:t>
      </w:r>
      <w:r w:rsidR="003236A8" w:rsidRPr="004B7B61">
        <w:rPr>
          <w:b/>
          <w:u w:val="single"/>
        </w:rPr>
        <w:t>completed</w:t>
      </w:r>
      <w:r w:rsidR="003236A8">
        <w:t xml:space="preserve"> no later than </w:t>
      </w:r>
      <w:r w:rsidR="003236A8">
        <w:rPr>
          <w:b/>
        </w:rPr>
        <w:t>December 15, 2020</w:t>
      </w:r>
      <w:r w:rsidR="003236A8">
        <w:t xml:space="preserve">.  </w:t>
      </w:r>
      <w:r w:rsidR="003236A8" w:rsidRPr="0016667B">
        <w:rPr>
          <w:b/>
          <w:szCs w:val="24"/>
        </w:rPr>
        <w:t>All motions to compel must contain a certification of counsel of the informal discovery undertaken and their</w:t>
      </w:r>
      <w:r w:rsidR="003C0F7F">
        <w:rPr>
          <w:b/>
          <w:szCs w:val="24"/>
        </w:rPr>
        <w:t xml:space="preserve"> </w:t>
      </w:r>
      <w:r w:rsidR="003236A8" w:rsidRPr="0016667B">
        <w:rPr>
          <w:b/>
          <w:szCs w:val="24"/>
        </w:rPr>
        <w:t>efforts to resolve their discovery disputes informally.</w:t>
      </w:r>
      <w:r w:rsidR="003236A8" w:rsidRPr="00C055EF">
        <w:rPr>
          <w:szCs w:val="24"/>
        </w:rPr>
        <w:t xml:space="preserve">  </w:t>
      </w:r>
      <w:r w:rsidR="003236A8">
        <w:rPr>
          <w:szCs w:val="24"/>
        </w:rPr>
        <w:br/>
      </w:r>
    </w:p>
    <w:p w14:paraId="3C46C24D" w14:textId="74C7F89A" w:rsidR="003236A8" w:rsidRDefault="003236A8" w:rsidP="003C0F7F">
      <w:pPr>
        <w:tabs>
          <w:tab w:val="left" w:pos="720"/>
        </w:tabs>
        <w:rPr>
          <w:szCs w:val="24"/>
        </w:rPr>
      </w:pPr>
      <w:r>
        <w:rPr>
          <w:szCs w:val="24"/>
        </w:rPr>
        <w:tab/>
      </w:r>
      <w:r>
        <w:rPr>
          <w:szCs w:val="24"/>
        </w:rPr>
        <w:tab/>
        <w:t>3.</w:t>
      </w:r>
      <w:r>
        <w:rPr>
          <w:szCs w:val="24"/>
        </w:rPr>
        <w:tab/>
        <w:t>The parties have agreed to the following litigation schedule:</w:t>
      </w:r>
      <w:r>
        <w:rPr>
          <w:szCs w:val="24"/>
        </w:rPr>
        <w:br/>
      </w:r>
    </w:p>
    <w:tbl>
      <w:tblPr>
        <w:tblW w:w="9397"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44"/>
        <w:gridCol w:w="6553"/>
      </w:tblGrid>
      <w:tr w:rsidR="003236A8" w:rsidRPr="00750B5F" w14:paraId="3BFF38F1" w14:textId="77777777" w:rsidTr="007A62AE">
        <w:trPr>
          <w:trHeight w:val="390"/>
        </w:trPr>
        <w:tc>
          <w:tcPr>
            <w:tcW w:w="2844" w:type="dxa"/>
          </w:tcPr>
          <w:p w14:paraId="4B76C358" w14:textId="77777777" w:rsidR="003236A8" w:rsidRPr="00750B5F" w:rsidRDefault="003236A8" w:rsidP="003C0F7F">
            <w:pPr>
              <w:pStyle w:val="Heading2"/>
              <w:rPr>
                <w:sz w:val="24"/>
                <w:szCs w:val="24"/>
                <w:u w:val="none"/>
              </w:rPr>
            </w:pPr>
            <w:r w:rsidRPr="00750B5F">
              <w:rPr>
                <w:sz w:val="24"/>
                <w:szCs w:val="24"/>
              </w:rPr>
              <w:t>Date</w:t>
            </w:r>
          </w:p>
        </w:tc>
        <w:tc>
          <w:tcPr>
            <w:tcW w:w="6553" w:type="dxa"/>
          </w:tcPr>
          <w:p w14:paraId="2630DF9C" w14:textId="77777777" w:rsidR="003236A8" w:rsidRPr="00750B5F" w:rsidRDefault="003236A8" w:rsidP="003C0F7F">
            <w:pPr>
              <w:pStyle w:val="Heading2"/>
              <w:rPr>
                <w:sz w:val="24"/>
                <w:szCs w:val="24"/>
                <w:u w:val="none"/>
              </w:rPr>
            </w:pPr>
            <w:r w:rsidRPr="00750B5F">
              <w:rPr>
                <w:sz w:val="24"/>
                <w:szCs w:val="24"/>
              </w:rPr>
              <w:t>Event</w:t>
            </w:r>
          </w:p>
        </w:tc>
      </w:tr>
      <w:tr w:rsidR="003236A8" w:rsidRPr="00750B5F" w14:paraId="7801AAC9" w14:textId="77777777" w:rsidTr="007A62AE">
        <w:trPr>
          <w:trHeight w:val="404"/>
        </w:trPr>
        <w:tc>
          <w:tcPr>
            <w:tcW w:w="2844" w:type="dxa"/>
            <w:vAlign w:val="center"/>
          </w:tcPr>
          <w:p w14:paraId="49384426" w14:textId="08859D60" w:rsidR="003236A8" w:rsidRPr="00750B5F" w:rsidRDefault="003236A8" w:rsidP="003C0F7F">
            <w:pPr>
              <w:jc w:val="center"/>
              <w:rPr>
                <w:szCs w:val="24"/>
              </w:rPr>
            </w:pPr>
            <w:r>
              <w:rPr>
                <w:szCs w:val="24"/>
              </w:rPr>
              <w:t>October 9, 2020</w:t>
            </w:r>
          </w:p>
        </w:tc>
        <w:tc>
          <w:tcPr>
            <w:tcW w:w="6553" w:type="dxa"/>
          </w:tcPr>
          <w:p w14:paraId="0E9B5467" w14:textId="06B00AC9" w:rsidR="003236A8" w:rsidRPr="00750B5F" w:rsidRDefault="003236A8" w:rsidP="003C0F7F">
            <w:pPr>
              <w:rPr>
                <w:szCs w:val="24"/>
                <w:u w:val="single"/>
              </w:rPr>
            </w:pPr>
            <w:r w:rsidRPr="00750B5F">
              <w:rPr>
                <w:szCs w:val="24"/>
              </w:rPr>
              <w:t xml:space="preserve">Written Direct Testimony </w:t>
            </w:r>
            <w:r>
              <w:rPr>
                <w:szCs w:val="24"/>
              </w:rPr>
              <w:t>D</w:t>
            </w:r>
            <w:r w:rsidRPr="00750B5F">
              <w:rPr>
                <w:szCs w:val="24"/>
              </w:rPr>
              <w:t xml:space="preserve">ue </w:t>
            </w:r>
            <w:r w:rsidRPr="00750B5F">
              <w:rPr>
                <w:szCs w:val="24"/>
                <w:u w:val="single"/>
              </w:rPr>
              <w:t>In-Hand</w:t>
            </w:r>
          </w:p>
        </w:tc>
      </w:tr>
      <w:tr w:rsidR="003236A8" w:rsidRPr="00750B5F" w14:paraId="6EDD706E" w14:textId="77777777" w:rsidTr="007A62AE">
        <w:trPr>
          <w:trHeight w:val="390"/>
        </w:trPr>
        <w:tc>
          <w:tcPr>
            <w:tcW w:w="2844" w:type="dxa"/>
            <w:vAlign w:val="center"/>
          </w:tcPr>
          <w:p w14:paraId="7301EA23" w14:textId="446FAFBE" w:rsidR="003236A8" w:rsidRPr="00750B5F" w:rsidRDefault="003236A8" w:rsidP="003C0F7F">
            <w:pPr>
              <w:jc w:val="center"/>
              <w:rPr>
                <w:szCs w:val="24"/>
              </w:rPr>
            </w:pPr>
            <w:r>
              <w:rPr>
                <w:szCs w:val="24"/>
              </w:rPr>
              <w:lastRenderedPageBreak/>
              <w:t>November 13, 2020</w:t>
            </w:r>
          </w:p>
        </w:tc>
        <w:tc>
          <w:tcPr>
            <w:tcW w:w="6553" w:type="dxa"/>
          </w:tcPr>
          <w:p w14:paraId="2B802A24" w14:textId="77777777" w:rsidR="003236A8" w:rsidRPr="00750B5F" w:rsidRDefault="003236A8" w:rsidP="003C0F7F">
            <w:pPr>
              <w:rPr>
                <w:szCs w:val="24"/>
              </w:rPr>
            </w:pPr>
            <w:r w:rsidRPr="00750B5F">
              <w:rPr>
                <w:szCs w:val="24"/>
              </w:rPr>
              <w:t xml:space="preserve">Written Rebuttal Testimony Due </w:t>
            </w:r>
            <w:r w:rsidRPr="00750B5F">
              <w:rPr>
                <w:szCs w:val="24"/>
                <w:u w:val="single"/>
              </w:rPr>
              <w:t>In-Hand</w:t>
            </w:r>
          </w:p>
        </w:tc>
      </w:tr>
      <w:tr w:rsidR="003236A8" w:rsidRPr="00750B5F" w14:paraId="7D5A2B52" w14:textId="77777777" w:rsidTr="007A62AE">
        <w:trPr>
          <w:trHeight w:val="390"/>
        </w:trPr>
        <w:tc>
          <w:tcPr>
            <w:tcW w:w="2844" w:type="dxa"/>
            <w:vAlign w:val="center"/>
          </w:tcPr>
          <w:p w14:paraId="402F257F" w14:textId="502D4BF6" w:rsidR="003236A8" w:rsidRPr="00750B5F" w:rsidRDefault="003236A8" w:rsidP="003C0F7F">
            <w:pPr>
              <w:jc w:val="center"/>
              <w:rPr>
                <w:szCs w:val="24"/>
              </w:rPr>
            </w:pPr>
            <w:r>
              <w:rPr>
                <w:szCs w:val="24"/>
              </w:rPr>
              <w:t>December 9, 2020</w:t>
            </w:r>
          </w:p>
        </w:tc>
        <w:tc>
          <w:tcPr>
            <w:tcW w:w="6553" w:type="dxa"/>
          </w:tcPr>
          <w:p w14:paraId="6BBE4496" w14:textId="77777777" w:rsidR="003236A8" w:rsidRPr="00750B5F" w:rsidRDefault="003236A8" w:rsidP="003C0F7F">
            <w:pPr>
              <w:rPr>
                <w:szCs w:val="24"/>
              </w:rPr>
            </w:pPr>
            <w:r w:rsidRPr="00750B5F">
              <w:rPr>
                <w:szCs w:val="24"/>
              </w:rPr>
              <w:t xml:space="preserve">Written Surrebuttal Testimony Due </w:t>
            </w:r>
            <w:r w:rsidRPr="00750B5F">
              <w:rPr>
                <w:szCs w:val="24"/>
                <w:u w:val="single"/>
              </w:rPr>
              <w:t>In-Hand</w:t>
            </w:r>
          </w:p>
        </w:tc>
      </w:tr>
      <w:tr w:rsidR="003236A8" w:rsidRPr="00750B5F" w14:paraId="5A46CF9A" w14:textId="77777777" w:rsidTr="007A62AE">
        <w:trPr>
          <w:trHeight w:val="390"/>
        </w:trPr>
        <w:tc>
          <w:tcPr>
            <w:tcW w:w="2844" w:type="dxa"/>
            <w:vAlign w:val="center"/>
          </w:tcPr>
          <w:p w14:paraId="073CDA4F" w14:textId="31A9AA43" w:rsidR="003236A8" w:rsidRPr="00D742C3" w:rsidRDefault="00D742C3" w:rsidP="003C0F7F">
            <w:pPr>
              <w:jc w:val="center"/>
              <w:rPr>
                <w:b/>
                <w:bCs/>
                <w:szCs w:val="24"/>
              </w:rPr>
            </w:pPr>
            <w:r w:rsidRPr="00D742C3">
              <w:rPr>
                <w:b/>
                <w:bCs/>
                <w:szCs w:val="24"/>
              </w:rPr>
              <w:t>December 15</w:t>
            </w:r>
            <w:r w:rsidR="009F5B73">
              <w:rPr>
                <w:b/>
                <w:bCs/>
                <w:szCs w:val="24"/>
              </w:rPr>
              <w:t>-</w:t>
            </w:r>
            <w:bookmarkStart w:id="2" w:name="_GoBack"/>
            <w:bookmarkEnd w:id="2"/>
            <w:r w:rsidRPr="00D742C3">
              <w:rPr>
                <w:b/>
                <w:bCs/>
                <w:szCs w:val="24"/>
              </w:rPr>
              <w:t>17</w:t>
            </w:r>
            <w:r w:rsidR="003236A8" w:rsidRPr="00D742C3">
              <w:rPr>
                <w:b/>
                <w:bCs/>
                <w:szCs w:val="24"/>
              </w:rPr>
              <w:t>, 2020</w:t>
            </w:r>
          </w:p>
        </w:tc>
        <w:tc>
          <w:tcPr>
            <w:tcW w:w="6553" w:type="dxa"/>
          </w:tcPr>
          <w:p w14:paraId="448FC35E" w14:textId="4BAAA081" w:rsidR="003236A8" w:rsidRPr="00D742C3" w:rsidRDefault="00D742C3" w:rsidP="003C0F7F">
            <w:pPr>
              <w:rPr>
                <w:b/>
                <w:bCs/>
                <w:szCs w:val="24"/>
              </w:rPr>
            </w:pPr>
            <w:r w:rsidRPr="00D742C3">
              <w:rPr>
                <w:b/>
                <w:bCs/>
                <w:szCs w:val="24"/>
              </w:rPr>
              <w:t xml:space="preserve">Telephonic </w:t>
            </w:r>
            <w:r w:rsidR="003236A8" w:rsidRPr="00D742C3">
              <w:rPr>
                <w:b/>
                <w:bCs/>
                <w:szCs w:val="24"/>
              </w:rPr>
              <w:t>Evidentiary Hearings and oral rejoinder</w:t>
            </w:r>
          </w:p>
        </w:tc>
      </w:tr>
    </w:tbl>
    <w:p w14:paraId="08096612" w14:textId="77777777" w:rsidR="003236A8" w:rsidRDefault="003236A8" w:rsidP="003C0F7F">
      <w:pPr>
        <w:tabs>
          <w:tab w:val="left" w:pos="720"/>
        </w:tabs>
        <w:rPr>
          <w:szCs w:val="24"/>
        </w:rPr>
      </w:pPr>
    </w:p>
    <w:p w14:paraId="756B628E" w14:textId="075DF7FD" w:rsidR="003236A8" w:rsidRPr="00750B5F" w:rsidRDefault="003236A8" w:rsidP="003C0F7F">
      <w:pPr>
        <w:rPr>
          <w:szCs w:val="24"/>
        </w:rPr>
      </w:pPr>
      <w:r w:rsidRPr="00750B5F">
        <w:rPr>
          <w:szCs w:val="24"/>
        </w:rPr>
        <w:tab/>
      </w:r>
      <w:r w:rsidRPr="00750B5F">
        <w:rPr>
          <w:szCs w:val="24"/>
        </w:rPr>
        <w:tab/>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750B5F">
        <w:rPr>
          <w:b/>
          <w:szCs w:val="24"/>
        </w:rPr>
        <w:t>No written testimony will be admitted into evidence unless accompanied by a verification or affidavit of the witness</w:t>
      </w:r>
      <w:r w:rsidRPr="00750B5F">
        <w:rPr>
          <w:szCs w:val="24"/>
        </w:rPr>
        <w:t xml:space="preserve">. </w:t>
      </w:r>
      <w:r w:rsidR="003C0F7F">
        <w:rPr>
          <w:szCs w:val="24"/>
        </w:rPr>
        <w:br/>
      </w:r>
    </w:p>
    <w:p w14:paraId="33B0CD7C" w14:textId="3AFF4A73" w:rsidR="003236A8" w:rsidRPr="00750B5F" w:rsidRDefault="003236A8" w:rsidP="003C0F7F">
      <w:pPr>
        <w:ind w:firstLine="1440"/>
        <w:rPr>
          <w:szCs w:val="24"/>
        </w:rPr>
      </w:pPr>
      <w:r w:rsidRPr="00750B5F">
        <w:rPr>
          <w:szCs w:val="24"/>
        </w:rPr>
        <w:t xml:space="preserve">Parties serving prepared testimony in proceedings pending before the Commission pursuant to 52 Pa.Code § 5.412(f) shall be required, within thirty (30) days after the final hearing in an adjudicatory proceeding to either eFile with or provide to the Secretary’s Bureau a Compact Disc (CD) containing all testimony furnished to the court reporter during the proceeding, consistent 52 Pa.Code § 5.412a.  </w:t>
      </w:r>
      <w:r w:rsidR="003C0F7F">
        <w:rPr>
          <w:szCs w:val="24"/>
        </w:rPr>
        <w:br/>
      </w:r>
    </w:p>
    <w:p w14:paraId="700C44EF" w14:textId="24D1F413" w:rsidR="00371922" w:rsidRDefault="003236A8" w:rsidP="003C0F7F">
      <w:pPr>
        <w:ind w:firstLine="720"/>
        <w:rPr>
          <w:rStyle w:val="Hyperlink"/>
          <w:szCs w:val="24"/>
        </w:rPr>
      </w:pPr>
      <w:r>
        <w:rPr>
          <w:szCs w:val="24"/>
        </w:rPr>
        <w:tab/>
      </w: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 (ALJ).  </w:t>
      </w:r>
      <w:r>
        <w:rPr>
          <w:szCs w:val="24"/>
        </w:rPr>
        <w:t>All service of documents shall be in electronic form</w:t>
      </w:r>
      <w:r w:rsidRPr="00C055EF">
        <w:rPr>
          <w:szCs w:val="24"/>
        </w:rPr>
        <w:t xml:space="preserve"> so long as th</w:t>
      </w:r>
      <w:r>
        <w:rPr>
          <w:szCs w:val="24"/>
        </w:rPr>
        <w:t xml:space="preserve">e subject email is received by the date </w:t>
      </w:r>
      <w:r w:rsidRPr="00C055EF">
        <w:rPr>
          <w:szCs w:val="24"/>
        </w:rPr>
        <w:t>due</w:t>
      </w:r>
      <w:r>
        <w:rPr>
          <w:szCs w:val="24"/>
        </w:rPr>
        <w:t xml:space="preserve">.  </w:t>
      </w:r>
      <w:r w:rsidRPr="00542783">
        <w:rPr>
          <w:b/>
          <w:bCs/>
          <w:szCs w:val="24"/>
        </w:rPr>
        <w:t>Until further notice, there is no requirement to follow electronic service 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ALJ</w:t>
      </w:r>
      <w:r>
        <w:rPr>
          <w:szCs w:val="24"/>
        </w:rPr>
        <w:t xml:space="preserve"> </w:t>
      </w:r>
      <w:r w:rsidR="00196BD7">
        <w:rPr>
          <w:szCs w:val="24"/>
        </w:rPr>
        <w:t>is</w:t>
      </w:r>
      <w:r>
        <w:rPr>
          <w:szCs w:val="24"/>
        </w:rPr>
        <w:t>:</w:t>
      </w:r>
      <w:r w:rsidRPr="00C055EF">
        <w:rPr>
          <w:szCs w:val="24"/>
        </w:rPr>
        <w:t xml:space="preserve"> </w:t>
      </w:r>
      <w:hyperlink r:id="rId7" w:history="1">
        <w:r w:rsidRPr="00B26604">
          <w:rPr>
            <w:rStyle w:val="Hyperlink"/>
            <w:szCs w:val="24"/>
          </w:rPr>
          <w:t>malong@pa.gov</w:t>
        </w:r>
      </w:hyperlink>
      <w:r w:rsidR="00196BD7">
        <w:rPr>
          <w:rStyle w:val="Hyperlink"/>
          <w:szCs w:val="24"/>
        </w:rPr>
        <w:t xml:space="preserve">. </w:t>
      </w:r>
    </w:p>
    <w:p w14:paraId="03423F3A" w14:textId="67FE4C3F" w:rsidR="00196BD7" w:rsidRDefault="00196BD7" w:rsidP="003C0F7F">
      <w:pPr>
        <w:ind w:firstLine="720"/>
        <w:rPr>
          <w:rStyle w:val="Hyperlink"/>
          <w:szCs w:val="24"/>
          <w:u w:val="none"/>
        </w:rPr>
      </w:pPr>
    </w:p>
    <w:p w14:paraId="21BFF0B2" w14:textId="2548DC52" w:rsidR="00196BD7" w:rsidRPr="00196BD7" w:rsidRDefault="00196BD7" w:rsidP="003C0F7F">
      <w:r w:rsidRPr="00196BD7">
        <w:rPr>
          <w:rStyle w:val="Hyperlink"/>
          <w:color w:val="auto"/>
          <w:szCs w:val="24"/>
          <w:u w:val="none"/>
        </w:rPr>
        <w:tab/>
      </w:r>
      <w:r>
        <w:rPr>
          <w:rStyle w:val="Hyperlink"/>
          <w:color w:val="auto"/>
          <w:szCs w:val="24"/>
          <w:u w:val="none"/>
        </w:rPr>
        <w:tab/>
      </w:r>
      <w:r w:rsidRPr="00196BD7">
        <w:rPr>
          <w:rStyle w:val="Hyperlink"/>
          <w:color w:val="auto"/>
          <w:szCs w:val="24"/>
          <w:u w:val="none"/>
        </w:rPr>
        <w:t xml:space="preserve">4. </w:t>
      </w:r>
      <w:r w:rsidRPr="00196BD7">
        <w:rPr>
          <w:rStyle w:val="Hyperlink"/>
          <w:color w:val="auto"/>
          <w:szCs w:val="24"/>
          <w:u w:val="none"/>
        </w:rPr>
        <w:tab/>
      </w:r>
      <w:r w:rsidR="00EB750E">
        <w:rPr>
          <w:rStyle w:val="Hyperlink"/>
          <w:color w:val="auto"/>
          <w:szCs w:val="24"/>
          <w:u w:val="none"/>
        </w:rPr>
        <w:t>That a</w:t>
      </w:r>
      <w:r w:rsidRPr="00196BD7">
        <w:rPr>
          <w:rStyle w:val="Hyperlink"/>
          <w:color w:val="auto"/>
          <w:szCs w:val="24"/>
          <w:u w:val="none"/>
        </w:rPr>
        <w:t>ny provisions of this prehearing order may be modified upon motion and good cause shown by any party.</w:t>
      </w:r>
    </w:p>
    <w:p w14:paraId="6D2447C4" w14:textId="772955E6" w:rsidR="00792DA6" w:rsidRDefault="00792DA6" w:rsidP="003C0F7F"/>
    <w:p w14:paraId="07D1614D" w14:textId="068E8D7C" w:rsidR="00792DA6" w:rsidRDefault="00792DA6" w:rsidP="003C0F7F"/>
    <w:p w14:paraId="43EFE88E" w14:textId="16F49A83"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w:t>
      </w:r>
      <w:r w:rsidR="00426DA2">
        <w:rPr>
          <w:rFonts w:eastAsia="Times New Roman"/>
          <w:szCs w:val="24"/>
          <w:u w:val="single"/>
        </w:rPr>
        <w:t>uly 7</w:t>
      </w:r>
      <w:r w:rsidR="005F6723">
        <w:rPr>
          <w:rFonts w:eastAsia="Times New Roman"/>
          <w:szCs w:val="24"/>
          <w:u w:val="single"/>
        </w:rPr>
        <w:t>,</w:t>
      </w:r>
      <w:r w:rsidRPr="00792DA6">
        <w:rPr>
          <w:rFonts w:eastAsia="Times New Roman"/>
          <w:szCs w:val="24"/>
          <w:u w:val="single"/>
        </w:rPr>
        <w:t xml:space="preserve"> 2020</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25D67E9A" w14:textId="6BDC63D4" w:rsidR="00792DA6" w:rsidRDefault="00792DA6" w:rsidP="00D742C3">
      <w:pPr>
        <w:spacing w:line="240" w:lineRule="auto"/>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p>
    <w:p w14:paraId="39E23F8B" w14:textId="77777777" w:rsidR="00792DA6" w:rsidRDefault="00792DA6" w:rsidP="00792DA6"/>
    <w:p w14:paraId="1A5F5C37" w14:textId="77777777" w:rsidR="00705021" w:rsidRDefault="00705021">
      <w:pPr>
        <w:sectPr w:rsidR="00705021" w:rsidSect="007D4781">
          <w:footerReference w:type="default" r:id="rId8"/>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4C336808" w14:textId="77777777" w:rsidR="00490F8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KAYLA ROST ESQUIRE</w:t>
      </w:r>
    </w:p>
    <w:p w14:paraId="35063A9E" w14:textId="03C3EFAD" w:rsidR="00490F81" w:rsidRDefault="00490F81" w:rsidP="00705021">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KOURTNEY MYERS ESQUIRE</w:t>
      </w:r>
      <w:r w:rsidR="00705021" w:rsidRPr="00705021">
        <w:rPr>
          <w:rFonts w:ascii="Microsoft Sans Serif" w:eastAsia="Microsoft Sans Serif" w:hAnsi="Microsoft Sans Serif" w:cs="Microsoft Sans Serif"/>
        </w:rPr>
        <w:cr/>
        <w:t>PA PUC BI&amp;E</w:t>
      </w:r>
      <w:r w:rsidR="00705021" w:rsidRPr="00705021">
        <w:rPr>
          <w:rFonts w:ascii="Microsoft Sans Serif" w:eastAsia="Microsoft Sans Serif" w:hAnsi="Microsoft Sans Serif" w:cs="Microsoft Sans Serif"/>
        </w:rPr>
        <w:cr/>
        <w:t>400 NORTH STREET</w:t>
      </w:r>
      <w:r w:rsidR="00705021" w:rsidRPr="00705021">
        <w:rPr>
          <w:rFonts w:ascii="Microsoft Sans Serif" w:eastAsia="Microsoft Sans Serif" w:hAnsi="Microsoft Sans Serif" w:cs="Microsoft Sans Serif"/>
        </w:rPr>
        <w:cr/>
      </w:r>
      <w:r>
        <w:rPr>
          <w:rFonts w:ascii="Microsoft Sans Serif" w:eastAsia="Microsoft Sans Serif" w:hAnsi="Microsoft Sans Serif" w:cs="Microsoft Sans Serif"/>
        </w:rPr>
        <w:t>PO BOX 3265</w:t>
      </w:r>
    </w:p>
    <w:p w14:paraId="02216BA5" w14:textId="4A8D97D2"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E3833DA" w14:textId="55AF4E9A" w:rsidR="00490F81" w:rsidRDefault="00705021" w:rsidP="00705021">
      <w:pPr>
        <w:spacing w:line="240" w:lineRule="auto"/>
        <w:rPr>
          <w:rFonts w:ascii="Microsoft Sans Serif" w:eastAsia="Microsoft Sans Serif" w:hAnsi="Microsoft Sans Serif" w:cs="Microsoft Sans Serif"/>
          <w:b/>
          <w:bCs/>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r>
      <w:r w:rsidR="00490F81" w:rsidRPr="00490F81">
        <w:rPr>
          <w:rFonts w:ascii="Microsoft Sans Serif" w:eastAsia="Microsoft Sans Serif" w:hAnsi="Microsoft Sans Serif" w:cs="Microsoft Sans Serif"/>
          <w:b/>
          <w:bCs/>
        </w:rPr>
        <w:t>717.705.4366</w:t>
      </w:r>
    </w:p>
    <w:p w14:paraId="34A0A537" w14:textId="77390690" w:rsidR="00705021" w:rsidRPr="00EB750E" w:rsidRDefault="00705021" w:rsidP="00705021">
      <w:pPr>
        <w:spacing w:line="240" w:lineRule="auto"/>
        <w:rPr>
          <w:rFonts w:ascii="Arial" w:hAnsi="Arial" w:cs="Arial"/>
          <w:b/>
          <w:bCs/>
        </w:rPr>
      </w:pPr>
      <w:r w:rsidRPr="00705021">
        <w:rPr>
          <w:rFonts w:ascii="Microsoft Sans Serif" w:eastAsia="Microsoft Sans Serif" w:hAnsi="Microsoft Sans Serif" w:cs="Microsoft Sans Serif"/>
          <w:b/>
          <w:bCs/>
        </w:rPr>
        <w:t>ACCEPTS eSERVICE</w:t>
      </w:r>
      <w:r w:rsidRPr="00705021">
        <w:rPr>
          <w:rFonts w:ascii="Microsoft Sans Serif" w:eastAsia="Microsoft Sans Serif" w:hAnsi="Microsoft Sans Serif" w:cs="Microsoft Sans Serif"/>
        </w:rPr>
        <w:br/>
      </w:r>
      <w:r w:rsidRPr="00705021">
        <w:rPr>
          <w:rFonts w:ascii="Microsoft Sans Serif" w:eastAsia="Microsoft Sans Serif" w:hAnsi="Microsoft Sans Serif" w:cs="Microsoft Sans Serif"/>
        </w:rPr>
        <w:cr/>
        <w:t>DAVID B MACGREGOR ESQUIRE</w:t>
      </w:r>
      <w:r w:rsidRPr="00705021">
        <w:rPr>
          <w:rFonts w:ascii="Microsoft Sans Serif" w:eastAsia="Microsoft Sans Serif" w:hAnsi="Microsoft Sans Serif" w:cs="Microsoft Sans Serif"/>
        </w:rPr>
        <w:cr/>
        <w:t>POST &amp; SCHELL PC</w:t>
      </w:r>
      <w:r w:rsidRPr="00705021">
        <w:rPr>
          <w:rFonts w:ascii="Microsoft Sans Serif" w:eastAsia="Microsoft Sans Serif" w:hAnsi="Microsoft Sans Serif" w:cs="Microsoft Sans Serif"/>
        </w:rPr>
        <w:cr/>
        <w:t>FOUR PENN CENTER</w:t>
      </w:r>
      <w:r w:rsidRPr="00705021">
        <w:rPr>
          <w:rFonts w:ascii="Microsoft Sans Serif" w:eastAsia="Microsoft Sans Serif" w:hAnsi="Microsoft Sans Serif" w:cs="Microsoft Sans Serif"/>
        </w:rPr>
        <w:cr/>
        <w:t>1600 JOHN F KENNEDY BOULEVARD</w:t>
      </w:r>
      <w:r w:rsidRPr="00705021">
        <w:rPr>
          <w:rFonts w:ascii="Microsoft Sans Serif" w:eastAsia="Microsoft Sans Serif" w:hAnsi="Microsoft Sans Serif" w:cs="Microsoft Sans Serif"/>
        </w:rPr>
        <w:cr/>
        <w:t>PHILADELPHIA PA  19103-2808</w:t>
      </w:r>
      <w:r w:rsidRPr="00705021">
        <w:rPr>
          <w:rFonts w:ascii="Microsoft Sans Serif" w:eastAsia="Microsoft Sans Serif" w:hAnsi="Microsoft Sans Serif" w:cs="Microsoft Sans Serif"/>
        </w:rPr>
        <w:cr/>
      </w:r>
      <w:bookmarkEnd w:id="3"/>
      <w:r w:rsidRPr="00705021">
        <w:rPr>
          <w:rFonts w:ascii="Microsoft Sans Serif" w:eastAsia="Microsoft Sans Serif" w:hAnsi="Microsoft Sans Serif" w:cs="Microsoft Sans Serif"/>
          <w:b/>
          <w:bCs/>
        </w:rPr>
        <w:t>215.587.1197</w:t>
      </w:r>
      <w:r w:rsidRPr="00705021">
        <w:rPr>
          <w:rFonts w:ascii="Microsoft Sans Serif" w:eastAsia="Microsoft Sans Serif" w:hAnsi="Microsoft Sans Serif" w:cs="Microsoft Sans Serif"/>
          <w:b/>
          <w:bCs/>
        </w:rPr>
        <w:cr/>
      </w:r>
      <w:r w:rsidR="00EB750E" w:rsidRPr="00EB750E">
        <w:rPr>
          <w:rFonts w:ascii="Arial" w:hAnsi="Arial" w:cs="Arial"/>
          <w:b/>
          <w:bCs/>
        </w:rPr>
        <w:t>dmacgregor@postschell.com</w:t>
      </w:r>
    </w:p>
    <w:p w14:paraId="44751AD0" w14:textId="44CC8B06" w:rsidR="00EB750E" w:rsidRPr="00EB750E" w:rsidRDefault="00EB750E" w:rsidP="00EB750E">
      <w:pPr>
        <w:spacing w:line="240" w:lineRule="auto"/>
        <w:rPr>
          <w:rFonts w:ascii="Microsoft Sans Serif" w:eastAsia="Times New Roman" w:hAnsi="Microsoft Sans Serif" w:cs="Microsoft Sans Serif"/>
          <w:szCs w:val="24"/>
        </w:rPr>
      </w:pPr>
      <w:r w:rsidRPr="00EB750E">
        <w:rPr>
          <w:rFonts w:ascii="Microsoft Sans Serif" w:eastAsia="Times New Roman" w:hAnsi="Microsoft Sans Serif" w:cs="Microsoft Sans Serif"/>
          <w:szCs w:val="24"/>
        </w:rPr>
        <w:t xml:space="preserve">Via </w:t>
      </w:r>
      <w:r>
        <w:rPr>
          <w:rFonts w:ascii="Microsoft Sans Serif" w:eastAsia="Times New Roman" w:hAnsi="Microsoft Sans Serif" w:cs="Microsoft Sans Serif"/>
          <w:szCs w:val="24"/>
        </w:rPr>
        <w:t>email</w:t>
      </w:r>
      <w:r w:rsidRPr="00EB750E">
        <w:rPr>
          <w:rFonts w:ascii="Microsoft Sans Serif" w:eastAsia="Times New Roman" w:hAnsi="Microsoft Sans Serif" w:cs="Microsoft Sans Serif"/>
          <w:szCs w:val="24"/>
        </w:rPr>
        <w:t xml:space="preserve"> service only due to Emergency Order at M-2020-3019262</w:t>
      </w:r>
    </w:p>
    <w:p w14:paraId="77EB6615" w14:textId="77777777" w:rsidR="00EB750E" w:rsidRPr="00705021" w:rsidRDefault="00EB750E" w:rsidP="00705021">
      <w:pPr>
        <w:spacing w:line="240" w:lineRule="auto"/>
        <w:rPr>
          <w:rFonts w:ascii="Microsoft Sans Serif" w:eastAsia="Microsoft Sans Serif" w:hAnsi="Microsoft Sans Serif" w:cs="Microsoft Sans Serif"/>
          <w:b/>
          <w:u w:val="single"/>
        </w:rPr>
      </w:pPr>
    </w:p>
    <w:p w14:paraId="11EF103E"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t>ACCEPTS eSERVICE</w:t>
      </w:r>
      <w:r w:rsidRPr="00705021">
        <w:rPr>
          <w:rFonts w:ascii="Microsoft Sans Serif" w:eastAsia="Microsoft Sans Serif" w:hAnsi="Microsoft Sans Serif" w:cs="Microsoft Sans Serif"/>
        </w:rPr>
        <w:br/>
      </w:r>
    </w:p>
    <w:p w14:paraId="1B4EC529"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TORI L GIESLER ESQUIRE</w:t>
      </w:r>
      <w:r w:rsidRPr="00705021">
        <w:rPr>
          <w:rFonts w:ascii="Microsoft Sans Serif" w:eastAsia="Microsoft Sans Serif" w:hAnsi="Microsoft Sans Serif" w:cs="Microsoft Sans Serif"/>
        </w:rPr>
        <w:br/>
        <w:t xml:space="preserve">LAUREN M LEPKOSKI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t>ACCEPTS eSERVICE</w:t>
      </w:r>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26C8" w14:textId="77777777" w:rsidR="005503C7" w:rsidRDefault="005503C7" w:rsidP="00113904">
      <w:pPr>
        <w:spacing w:line="240" w:lineRule="auto"/>
      </w:pPr>
      <w:r>
        <w:separator/>
      </w:r>
    </w:p>
  </w:endnote>
  <w:endnote w:type="continuationSeparator" w:id="0">
    <w:p w14:paraId="7F339625" w14:textId="77777777" w:rsidR="005503C7" w:rsidRDefault="005503C7"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13A2" w14:textId="77777777" w:rsidR="005503C7" w:rsidRDefault="005503C7" w:rsidP="00113904">
      <w:pPr>
        <w:spacing w:line="240" w:lineRule="auto"/>
      </w:pPr>
      <w:r>
        <w:separator/>
      </w:r>
    </w:p>
  </w:footnote>
  <w:footnote w:type="continuationSeparator" w:id="0">
    <w:p w14:paraId="303DB97A" w14:textId="77777777" w:rsidR="005503C7" w:rsidRDefault="005503C7" w:rsidP="00113904">
      <w:pPr>
        <w:spacing w:line="240" w:lineRule="auto"/>
      </w:pPr>
      <w:r>
        <w:continuationSeparator/>
      </w:r>
    </w:p>
  </w:footnote>
  <w:footnote w:id="1">
    <w:p w14:paraId="4F8FE1D2" w14:textId="6630BD8C" w:rsidR="001F05BA" w:rsidRDefault="001F05BA">
      <w:pPr>
        <w:pStyle w:val="FootnoteText"/>
      </w:pPr>
      <w:r>
        <w:rPr>
          <w:rStyle w:val="FootnoteReference"/>
        </w:rPr>
        <w:footnoteRef/>
      </w:r>
      <w:r>
        <w:t xml:space="preserve"> </w:t>
      </w:r>
      <w:r>
        <w:tab/>
        <w:t>By Secretarial Letter dated August 16, 2019, Met-Ed was granted an extension of time to file its answer.</w:t>
      </w:r>
      <w:r w:rsidR="00043037">
        <w:br/>
      </w:r>
    </w:p>
  </w:footnote>
  <w:footnote w:id="2">
    <w:p w14:paraId="7ED8694E" w14:textId="6CAF8A62"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ts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15BD5"/>
    <w:rsid w:val="00043037"/>
    <w:rsid w:val="00066D87"/>
    <w:rsid w:val="00083973"/>
    <w:rsid w:val="000A6A0A"/>
    <w:rsid w:val="000E3EDE"/>
    <w:rsid w:val="00107E82"/>
    <w:rsid w:val="00113904"/>
    <w:rsid w:val="00126BA8"/>
    <w:rsid w:val="00196BD7"/>
    <w:rsid w:val="001A21B6"/>
    <w:rsid w:val="001B1CBA"/>
    <w:rsid w:val="001B58AE"/>
    <w:rsid w:val="001C446A"/>
    <w:rsid w:val="001D2AF7"/>
    <w:rsid w:val="001F05BA"/>
    <w:rsid w:val="00207743"/>
    <w:rsid w:val="00213167"/>
    <w:rsid w:val="002512F9"/>
    <w:rsid w:val="00267405"/>
    <w:rsid w:val="002869AD"/>
    <w:rsid w:val="003145FA"/>
    <w:rsid w:val="003236A8"/>
    <w:rsid w:val="0036766C"/>
    <w:rsid w:val="00367A41"/>
    <w:rsid w:val="00371922"/>
    <w:rsid w:val="00393C92"/>
    <w:rsid w:val="003A1A41"/>
    <w:rsid w:val="003A3E09"/>
    <w:rsid w:val="003C0F7F"/>
    <w:rsid w:val="003E7BF3"/>
    <w:rsid w:val="00417566"/>
    <w:rsid w:val="0042568C"/>
    <w:rsid w:val="00426DA2"/>
    <w:rsid w:val="00490F81"/>
    <w:rsid w:val="00493B78"/>
    <w:rsid w:val="004D523C"/>
    <w:rsid w:val="00541D4B"/>
    <w:rsid w:val="005423FE"/>
    <w:rsid w:val="005503C7"/>
    <w:rsid w:val="0057571F"/>
    <w:rsid w:val="005A1C17"/>
    <w:rsid w:val="005A2ABA"/>
    <w:rsid w:val="005B4604"/>
    <w:rsid w:val="005D180A"/>
    <w:rsid w:val="005E7B69"/>
    <w:rsid w:val="005F6723"/>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6779"/>
    <w:rsid w:val="00814439"/>
    <w:rsid w:val="00820B4C"/>
    <w:rsid w:val="008250E8"/>
    <w:rsid w:val="0083239D"/>
    <w:rsid w:val="008361A3"/>
    <w:rsid w:val="008529D2"/>
    <w:rsid w:val="00860A14"/>
    <w:rsid w:val="0088105E"/>
    <w:rsid w:val="00906AEA"/>
    <w:rsid w:val="009178C5"/>
    <w:rsid w:val="00917DCA"/>
    <w:rsid w:val="00921F79"/>
    <w:rsid w:val="00926DE3"/>
    <w:rsid w:val="00932CCB"/>
    <w:rsid w:val="00983F38"/>
    <w:rsid w:val="009936C9"/>
    <w:rsid w:val="009E2E61"/>
    <w:rsid w:val="009F5B73"/>
    <w:rsid w:val="00A47096"/>
    <w:rsid w:val="00AA2EC5"/>
    <w:rsid w:val="00AB4C73"/>
    <w:rsid w:val="00AD0B57"/>
    <w:rsid w:val="00AD27C0"/>
    <w:rsid w:val="00AE6F47"/>
    <w:rsid w:val="00B04549"/>
    <w:rsid w:val="00B17386"/>
    <w:rsid w:val="00B55855"/>
    <w:rsid w:val="00B817C4"/>
    <w:rsid w:val="00B91E47"/>
    <w:rsid w:val="00BC6B21"/>
    <w:rsid w:val="00C570AB"/>
    <w:rsid w:val="00C87E57"/>
    <w:rsid w:val="00C92C20"/>
    <w:rsid w:val="00CB260A"/>
    <w:rsid w:val="00CB304F"/>
    <w:rsid w:val="00CF6143"/>
    <w:rsid w:val="00D104C3"/>
    <w:rsid w:val="00D14843"/>
    <w:rsid w:val="00D1584B"/>
    <w:rsid w:val="00D742C3"/>
    <w:rsid w:val="00DD5C37"/>
    <w:rsid w:val="00DF35D9"/>
    <w:rsid w:val="00E178D1"/>
    <w:rsid w:val="00E4239A"/>
    <w:rsid w:val="00E510C0"/>
    <w:rsid w:val="00EB027A"/>
    <w:rsid w:val="00EB750E"/>
    <w:rsid w:val="00EC1CBA"/>
    <w:rsid w:val="00EE39E8"/>
    <w:rsid w:val="00EE7801"/>
    <w:rsid w:val="00F11A19"/>
    <w:rsid w:val="00F16554"/>
    <w:rsid w:val="00F544E1"/>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3236A8"/>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uiPriority w:val="99"/>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 w:type="character" w:customStyle="1" w:styleId="Heading2Char">
    <w:name w:val="Heading 2 Char"/>
    <w:basedOn w:val="DefaultParagraphFont"/>
    <w:link w:val="Heading2"/>
    <w:rsid w:val="003236A8"/>
    <w:rPr>
      <w:rFonts w:eastAsia="Times New Roman"/>
      <w:b/>
      <w:sz w:val="26"/>
      <w:u w:val="single"/>
    </w:rPr>
  </w:style>
  <w:style w:type="character" w:styleId="Hyperlink">
    <w:name w:val="Hyperlink"/>
    <w:rsid w:val="0032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o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2020-07-07T16:06:00Z</dcterms:created>
  <dcterms:modified xsi:type="dcterms:W3CDTF">2020-07-07T16:06:00Z</dcterms:modified>
</cp:coreProperties>
</file>