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AA30F" w14:textId="77777777" w:rsidR="007719E4" w:rsidRPr="005C54B9" w:rsidRDefault="007719E4" w:rsidP="00BF42DC">
      <w:pPr>
        <w:autoSpaceDE w:val="0"/>
        <w:autoSpaceDN w:val="0"/>
        <w:jc w:val="center"/>
        <w:rPr>
          <w:b/>
          <w:szCs w:val="24"/>
        </w:rPr>
      </w:pPr>
      <w:bookmarkStart w:id="0" w:name="_GoBack"/>
      <w:bookmarkEnd w:id="0"/>
      <w:r w:rsidRPr="005C54B9">
        <w:rPr>
          <w:b/>
          <w:szCs w:val="24"/>
        </w:rPr>
        <w:t>BEFORE THE</w:t>
      </w:r>
    </w:p>
    <w:p w14:paraId="3CBE6724" w14:textId="77777777" w:rsidR="007719E4" w:rsidRPr="005C54B9" w:rsidRDefault="007719E4" w:rsidP="00BF42DC">
      <w:pPr>
        <w:autoSpaceDE w:val="0"/>
        <w:autoSpaceDN w:val="0"/>
        <w:jc w:val="center"/>
        <w:rPr>
          <w:b/>
          <w:szCs w:val="24"/>
        </w:rPr>
      </w:pPr>
      <w:r w:rsidRPr="005C54B9">
        <w:rPr>
          <w:b/>
          <w:szCs w:val="24"/>
        </w:rPr>
        <w:t>PENNSYLVANIA PUBLIC UTILITY COMMISSION</w:t>
      </w:r>
    </w:p>
    <w:p w14:paraId="6F87B11C" w14:textId="77777777" w:rsidR="007719E4" w:rsidRPr="005C54B9" w:rsidRDefault="007719E4" w:rsidP="00BF42DC">
      <w:pPr>
        <w:autoSpaceDE w:val="0"/>
        <w:autoSpaceDN w:val="0"/>
        <w:rPr>
          <w:b/>
          <w:szCs w:val="24"/>
        </w:rPr>
      </w:pPr>
    </w:p>
    <w:p w14:paraId="43A261A1" w14:textId="77777777" w:rsidR="007719E4" w:rsidRPr="005C54B9" w:rsidRDefault="007719E4" w:rsidP="00BF42DC">
      <w:pPr>
        <w:autoSpaceDE w:val="0"/>
        <w:autoSpaceDN w:val="0"/>
        <w:rPr>
          <w:b/>
          <w:szCs w:val="24"/>
        </w:rPr>
      </w:pPr>
    </w:p>
    <w:p w14:paraId="47882B0A" w14:textId="77777777" w:rsidR="007719E4" w:rsidRPr="005C54B9" w:rsidRDefault="007719E4" w:rsidP="00BF42DC">
      <w:pPr>
        <w:autoSpaceDE w:val="0"/>
        <w:autoSpaceDN w:val="0"/>
        <w:rPr>
          <w:b/>
          <w:szCs w:val="24"/>
        </w:rPr>
      </w:pPr>
    </w:p>
    <w:p w14:paraId="4DE7F865" w14:textId="77777777" w:rsidR="007719E4" w:rsidRPr="005C54B9" w:rsidRDefault="007719E4" w:rsidP="00BF42DC">
      <w:pPr>
        <w:autoSpaceDE w:val="0"/>
        <w:autoSpaceDN w:val="0"/>
        <w:rPr>
          <w:szCs w:val="24"/>
        </w:rPr>
      </w:pPr>
      <w:r w:rsidRPr="005C54B9">
        <w:rPr>
          <w:szCs w:val="24"/>
        </w:rPr>
        <w:t>Pennsylvania Public Utility Commission</w:t>
      </w:r>
      <w:r w:rsidRPr="005C54B9">
        <w:rPr>
          <w:szCs w:val="24"/>
        </w:rPr>
        <w:tab/>
      </w:r>
      <w:r w:rsidRPr="005C54B9">
        <w:rPr>
          <w:szCs w:val="24"/>
        </w:rPr>
        <w:tab/>
        <w:t>:</w:t>
      </w:r>
      <w:r w:rsidRPr="005C54B9">
        <w:rPr>
          <w:szCs w:val="24"/>
        </w:rPr>
        <w:tab/>
      </w:r>
      <w:r w:rsidRPr="005C54B9">
        <w:rPr>
          <w:szCs w:val="24"/>
        </w:rPr>
        <w:tab/>
        <w:t>R-2020- 3017206</w:t>
      </w:r>
    </w:p>
    <w:p w14:paraId="57312BC2" w14:textId="77777777" w:rsidR="007719E4" w:rsidRPr="005C54B9" w:rsidRDefault="007719E4" w:rsidP="00BF42DC">
      <w:pPr>
        <w:pStyle w:val="NoSpacing"/>
        <w:rPr>
          <w:rFonts w:ascii="Times New Roman" w:hAnsi="Times New Roman"/>
          <w:sz w:val="24"/>
          <w:szCs w:val="24"/>
        </w:rPr>
      </w:pPr>
      <w:r w:rsidRPr="005C54B9">
        <w:rPr>
          <w:rFonts w:ascii="Times New Roman" w:hAnsi="Times New Roman"/>
          <w:sz w:val="24"/>
          <w:szCs w:val="24"/>
        </w:rPr>
        <w:tab/>
      </w:r>
      <w:r w:rsidRPr="005C54B9">
        <w:rPr>
          <w:rFonts w:ascii="Times New Roman" w:hAnsi="Times New Roman"/>
          <w:sz w:val="24"/>
          <w:szCs w:val="24"/>
        </w:rPr>
        <w:tab/>
      </w:r>
      <w:r w:rsidRPr="005C54B9">
        <w:rPr>
          <w:rFonts w:ascii="Times New Roman" w:hAnsi="Times New Roman"/>
          <w:sz w:val="24"/>
          <w:szCs w:val="24"/>
        </w:rPr>
        <w:tab/>
      </w:r>
      <w:r w:rsidRPr="005C54B9">
        <w:rPr>
          <w:rFonts w:ascii="Times New Roman" w:hAnsi="Times New Roman"/>
          <w:sz w:val="24"/>
          <w:szCs w:val="24"/>
        </w:rPr>
        <w:tab/>
      </w:r>
      <w:r w:rsidRPr="005C54B9">
        <w:rPr>
          <w:rFonts w:ascii="Times New Roman" w:hAnsi="Times New Roman"/>
          <w:sz w:val="24"/>
          <w:szCs w:val="24"/>
        </w:rPr>
        <w:tab/>
      </w:r>
      <w:r w:rsidRPr="005C54B9">
        <w:rPr>
          <w:rFonts w:ascii="Times New Roman" w:hAnsi="Times New Roman"/>
          <w:sz w:val="24"/>
          <w:szCs w:val="24"/>
        </w:rPr>
        <w:tab/>
      </w:r>
      <w:r w:rsidRPr="005C54B9">
        <w:rPr>
          <w:rFonts w:ascii="Times New Roman" w:hAnsi="Times New Roman"/>
          <w:sz w:val="24"/>
          <w:szCs w:val="24"/>
        </w:rPr>
        <w:tab/>
        <w:t>:</w:t>
      </w:r>
    </w:p>
    <w:p w14:paraId="14688EFD" w14:textId="77777777" w:rsidR="007719E4" w:rsidRPr="005C54B9" w:rsidRDefault="007719E4" w:rsidP="00BF42DC">
      <w:pPr>
        <w:autoSpaceDE w:val="0"/>
        <w:autoSpaceDN w:val="0"/>
        <w:rPr>
          <w:szCs w:val="24"/>
        </w:rPr>
      </w:pPr>
      <w:r w:rsidRPr="005C54B9">
        <w:rPr>
          <w:szCs w:val="24"/>
        </w:rPr>
        <w:tab/>
      </w:r>
      <w:r w:rsidRPr="005C54B9">
        <w:rPr>
          <w:szCs w:val="24"/>
        </w:rPr>
        <w:tab/>
      </w:r>
      <w:r w:rsidRPr="005C54B9">
        <w:rPr>
          <w:szCs w:val="24"/>
        </w:rPr>
        <w:tab/>
      </w:r>
      <w:r w:rsidRPr="005C54B9">
        <w:rPr>
          <w:szCs w:val="24"/>
        </w:rPr>
        <w:tab/>
      </w:r>
      <w:r w:rsidRPr="005C54B9">
        <w:rPr>
          <w:szCs w:val="24"/>
        </w:rPr>
        <w:tab/>
      </w:r>
      <w:r w:rsidRPr="005C54B9">
        <w:rPr>
          <w:szCs w:val="24"/>
        </w:rPr>
        <w:tab/>
      </w:r>
      <w:r w:rsidRPr="005C54B9">
        <w:rPr>
          <w:szCs w:val="24"/>
        </w:rPr>
        <w:tab/>
        <w:t>:</w:t>
      </w:r>
    </w:p>
    <w:p w14:paraId="0A424DC4" w14:textId="77777777" w:rsidR="007719E4" w:rsidRPr="005C54B9" w:rsidRDefault="007719E4" w:rsidP="00BF42DC">
      <w:pPr>
        <w:autoSpaceDE w:val="0"/>
        <w:autoSpaceDN w:val="0"/>
        <w:rPr>
          <w:szCs w:val="24"/>
        </w:rPr>
      </w:pPr>
      <w:r w:rsidRPr="005C54B9">
        <w:rPr>
          <w:szCs w:val="24"/>
        </w:rPr>
        <w:t>Office of Consumer Advocate</w:t>
      </w:r>
      <w:r w:rsidRPr="005C54B9">
        <w:rPr>
          <w:szCs w:val="24"/>
        </w:rPr>
        <w:tab/>
      </w:r>
      <w:r w:rsidRPr="005C54B9">
        <w:rPr>
          <w:szCs w:val="24"/>
        </w:rPr>
        <w:tab/>
      </w:r>
      <w:r w:rsidRPr="005C54B9">
        <w:rPr>
          <w:szCs w:val="24"/>
        </w:rPr>
        <w:tab/>
        <w:t>:</w:t>
      </w:r>
      <w:r w:rsidRPr="005C54B9">
        <w:rPr>
          <w:szCs w:val="24"/>
        </w:rPr>
        <w:tab/>
      </w:r>
      <w:r w:rsidRPr="005C54B9">
        <w:rPr>
          <w:szCs w:val="24"/>
        </w:rPr>
        <w:tab/>
        <w:t>C-2020-3019161</w:t>
      </w:r>
    </w:p>
    <w:p w14:paraId="2CAE011E" w14:textId="77777777" w:rsidR="007719E4" w:rsidRPr="005C54B9" w:rsidRDefault="007719E4" w:rsidP="00BF42DC">
      <w:pPr>
        <w:autoSpaceDE w:val="0"/>
        <w:autoSpaceDN w:val="0"/>
        <w:rPr>
          <w:szCs w:val="24"/>
        </w:rPr>
      </w:pPr>
      <w:r w:rsidRPr="005C54B9">
        <w:rPr>
          <w:szCs w:val="24"/>
        </w:rPr>
        <w:t>Office of Small Business Advocate</w:t>
      </w:r>
      <w:r w:rsidRPr="005C54B9">
        <w:rPr>
          <w:szCs w:val="24"/>
        </w:rPr>
        <w:tab/>
      </w:r>
      <w:r w:rsidRPr="005C54B9">
        <w:rPr>
          <w:szCs w:val="24"/>
        </w:rPr>
        <w:tab/>
      </w:r>
      <w:r w:rsidRPr="005C54B9">
        <w:rPr>
          <w:szCs w:val="24"/>
        </w:rPr>
        <w:tab/>
        <w:t>:</w:t>
      </w:r>
      <w:r w:rsidRPr="005C54B9">
        <w:rPr>
          <w:szCs w:val="24"/>
        </w:rPr>
        <w:tab/>
      </w:r>
      <w:r w:rsidRPr="005C54B9">
        <w:rPr>
          <w:szCs w:val="24"/>
        </w:rPr>
        <w:tab/>
        <w:t>C-2020-3019100</w:t>
      </w:r>
    </w:p>
    <w:p w14:paraId="2A6D961F" w14:textId="77777777" w:rsidR="007719E4" w:rsidRPr="005C54B9" w:rsidRDefault="007719E4" w:rsidP="00BF42DC">
      <w:pPr>
        <w:autoSpaceDE w:val="0"/>
        <w:autoSpaceDN w:val="0"/>
        <w:rPr>
          <w:szCs w:val="24"/>
        </w:rPr>
      </w:pPr>
      <w:r w:rsidRPr="005C54B9">
        <w:rPr>
          <w:szCs w:val="24"/>
        </w:rPr>
        <w:t>Philadelphia Industrial and Commercial</w:t>
      </w:r>
      <w:r w:rsidRPr="005C54B9">
        <w:rPr>
          <w:szCs w:val="24"/>
        </w:rPr>
        <w:tab/>
      </w:r>
      <w:r w:rsidRPr="005C54B9">
        <w:rPr>
          <w:szCs w:val="24"/>
        </w:rPr>
        <w:tab/>
        <w:t>:</w:t>
      </w:r>
    </w:p>
    <w:p w14:paraId="4924DBE8" w14:textId="77777777" w:rsidR="007719E4" w:rsidRPr="005C54B9" w:rsidRDefault="007719E4" w:rsidP="00BF42DC">
      <w:pPr>
        <w:autoSpaceDE w:val="0"/>
        <w:autoSpaceDN w:val="0"/>
        <w:rPr>
          <w:szCs w:val="24"/>
        </w:rPr>
      </w:pPr>
      <w:r w:rsidRPr="005C54B9">
        <w:rPr>
          <w:szCs w:val="24"/>
        </w:rPr>
        <w:t xml:space="preserve">Gas User Group </w:t>
      </w:r>
      <w:r w:rsidRPr="005C54B9">
        <w:rPr>
          <w:szCs w:val="24"/>
        </w:rPr>
        <w:tab/>
      </w:r>
      <w:r w:rsidRPr="005C54B9">
        <w:rPr>
          <w:szCs w:val="24"/>
        </w:rPr>
        <w:tab/>
      </w:r>
      <w:r w:rsidRPr="005C54B9">
        <w:rPr>
          <w:szCs w:val="24"/>
        </w:rPr>
        <w:tab/>
      </w:r>
      <w:r w:rsidRPr="005C54B9">
        <w:rPr>
          <w:szCs w:val="24"/>
        </w:rPr>
        <w:tab/>
      </w:r>
      <w:r w:rsidRPr="005C54B9">
        <w:rPr>
          <w:szCs w:val="24"/>
        </w:rPr>
        <w:tab/>
        <w:t>:</w:t>
      </w:r>
      <w:r w:rsidRPr="005C54B9">
        <w:rPr>
          <w:szCs w:val="24"/>
        </w:rPr>
        <w:tab/>
      </w:r>
      <w:r w:rsidRPr="005C54B9">
        <w:rPr>
          <w:szCs w:val="24"/>
        </w:rPr>
        <w:tab/>
        <w:t>C-2020-3019430</w:t>
      </w:r>
    </w:p>
    <w:p w14:paraId="26153969" w14:textId="77777777" w:rsidR="007719E4" w:rsidRPr="005C54B9" w:rsidRDefault="007719E4" w:rsidP="00BF42DC">
      <w:pPr>
        <w:tabs>
          <w:tab w:val="left" w:pos="720"/>
        </w:tabs>
        <w:autoSpaceDE w:val="0"/>
        <w:autoSpaceDN w:val="0"/>
        <w:rPr>
          <w:szCs w:val="24"/>
        </w:rPr>
      </w:pPr>
      <w:r w:rsidRPr="005C54B9">
        <w:rPr>
          <w:szCs w:val="24"/>
        </w:rPr>
        <w:tab/>
        <w:t>v.</w:t>
      </w:r>
      <w:r w:rsidRPr="005C54B9">
        <w:rPr>
          <w:szCs w:val="24"/>
        </w:rPr>
        <w:tab/>
      </w:r>
      <w:r w:rsidRPr="005C54B9">
        <w:rPr>
          <w:szCs w:val="24"/>
        </w:rPr>
        <w:tab/>
      </w:r>
      <w:r w:rsidRPr="005C54B9">
        <w:rPr>
          <w:szCs w:val="24"/>
        </w:rPr>
        <w:tab/>
      </w:r>
      <w:r w:rsidRPr="005C54B9">
        <w:rPr>
          <w:szCs w:val="24"/>
        </w:rPr>
        <w:tab/>
      </w:r>
      <w:r w:rsidRPr="005C54B9">
        <w:rPr>
          <w:szCs w:val="24"/>
        </w:rPr>
        <w:tab/>
      </w:r>
      <w:r w:rsidRPr="005C54B9">
        <w:rPr>
          <w:szCs w:val="24"/>
        </w:rPr>
        <w:tab/>
        <w:t>:</w:t>
      </w:r>
    </w:p>
    <w:p w14:paraId="17483ABA" w14:textId="77777777" w:rsidR="007719E4" w:rsidRPr="005C54B9" w:rsidRDefault="007719E4" w:rsidP="00BF42DC">
      <w:pPr>
        <w:autoSpaceDE w:val="0"/>
        <w:autoSpaceDN w:val="0"/>
        <w:rPr>
          <w:szCs w:val="24"/>
        </w:rPr>
      </w:pPr>
      <w:r w:rsidRPr="005C54B9">
        <w:rPr>
          <w:szCs w:val="24"/>
        </w:rPr>
        <w:tab/>
      </w:r>
      <w:r w:rsidRPr="005C54B9">
        <w:rPr>
          <w:szCs w:val="24"/>
        </w:rPr>
        <w:tab/>
      </w:r>
      <w:r w:rsidRPr="005C54B9">
        <w:rPr>
          <w:szCs w:val="24"/>
        </w:rPr>
        <w:tab/>
      </w:r>
      <w:r w:rsidRPr="005C54B9">
        <w:rPr>
          <w:szCs w:val="24"/>
        </w:rPr>
        <w:tab/>
      </w:r>
      <w:r w:rsidRPr="005C54B9">
        <w:rPr>
          <w:szCs w:val="24"/>
        </w:rPr>
        <w:tab/>
      </w:r>
      <w:r w:rsidRPr="005C54B9">
        <w:rPr>
          <w:szCs w:val="24"/>
        </w:rPr>
        <w:tab/>
      </w:r>
      <w:r w:rsidRPr="005C54B9">
        <w:rPr>
          <w:szCs w:val="24"/>
        </w:rPr>
        <w:tab/>
        <w:t>:</w:t>
      </w:r>
    </w:p>
    <w:p w14:paraId="4901B348" w14:textId="77777777" w:rsidR="007719E4" w:rsidRPr="005C54B9" w:rsidRDefault="007719E4" w:rsidP="00BF42DC">
      <w:pPr>
        <w:autoSpaceDE w:val="0"/>
        <w:autoSpaceDN w:val="0"/>
        <w:rPr>
          <w:szCs w:val="24"/>
        </w:rPr>
      </w:pPr>
      <w:r w:rsidRPr="005C54B9">
        <w:rPr>
          <w:szCs w:val="24"/>
        </w:rPr>
        <w:t>Philadelphia Gas Works</w:t>
      </w:r>
      <w:r w:rsidRPr="005C54B9">
        <w:rPr>
          <w:szCs w:val="24"/>
        </w:rPr>
        <w:tab/>
      </w:r>
      <w:r w:rsidRPr="005C54B9">
        <w:rPr>
          <w:szCs w:val="24"/>
        </w:rPr>
        <w:tab/>
      </w:r>
      <w:r w:rsidRPr="005C54B9">
        <w:rPr>
          <w:szCs w:val="24"/>
        </w:rPr>
        <w:tab/>
      </w:r>
      <w:r w:rsidRPr="005C54B9">
        <w:rPr>
          <w:szCs w:val="24"/>
        </w:rPr>
        <w:tab/>
        <w:t>:</w:t>
      </w:r>
    </w:p>
    <w:p w14:paraId="3E26AD97" w14:textId="77777777" w:rsidR="00BE3098" w:rsidRDefault="00BE3098" w:rsidP="00BF42DC"/>
    <w:p w14:paraId="6CDE3C3D" w14:textId="77777777" w:rsidR="00BE3098" w:rsidRDefault="00BE3098" w:rsidP="00BF42DC"/>
    <w:p w14:paraId="24B9EDD1" w14:textId="77777777" w:rsidR="00BE3098" w:rsidRDefault="00BE3098" w:rsidP="00BF42DC">
      <w:pPr>
        <w:pStyle w:val="Heading1"/>
      </w:pPr>
    </w:p>
    <w:p w14:paraId="0BA712EC" w14:textId="3B1501E4" w:rsidR="007719E4" w:rsidRDefault="007719E4" w:rsidP="00BF42DC">
      <w:pPr>
        <w:pStyle w:val="Heading1"/>
        <w:rPr>
          <w:b/>
        </w:rPr>
      </w:pPr>
      <w:r>
        <w:rPr>
          <w:b/>
        </w:rPr>
        <w:t>ORDER ON PGW’S MOTION</w:t>
      </w:r>
      <w:r w:rsidR="00AA24A7">
        <w:rPr>
          <w:b/>
        </w:rPr>
        <w:t>S</w:t>
      </w:r>
      <w:r>
        <w:rPr>
          <w:b/>
        </w:rPr>
        <w:t xml:space="preserve"> </w:t>
      </w:r>
      <w:r w:rsidRPr="007719E4">
        <w:rPr>
          <w:b/>
          <w:i/>
          <w:iCs/>
        </w:rPr>
        <w:t>IN LIMINE</w:t>
      </w:r>
      <w:r>
        <w:rPr>
          <w:b/>
        </w:rPr>
        <w:t xml:space="preserve"> </w:t>
      </w:r>
    </w:p>
    <w:p w14:paraId="6BBF5991" w14:textId="01396906" w:rsidR="00404185" w:rsidRDefault="007719E4" w:rsidP="00BF42DC">
      <w:pPr>
        <w:pStyle w:val="Heading1"/>
        <w:rPr>
          <w:b/>
        </w:rPr>
      </w:pPr>
      <w:r>
        <w:rPr>
          <w:b/>
        </w:rPr>
        <w:t>REGARDING TESTIMONY ON BEHALF OF OCA AND TURN</w:t>
      </w:r>
      <w:r w:rsidR="003F3B2A">
        <w:rPr>
          <w:b/>
        </w:rPr>
        <w:t xml:space="preserve"> </w:t>
      </w:r>
    </w:p>
    <w:p w14:paraId="127EAEB3" w14:textId="2100C041" w:rsidR="00BD1B6F" w:rsidRDefault="00BD1B6F" w:rsidP="00BF42DC"/>
    <w:p w14:paraId="34DC3792" w14:textId="7F4CB5D6" w:rsidR="00BD1B6F" w:rsidRDefault="00BD1B6F" w:rsidP="00BF42DC"/>
    <w:p w14:paraId="3CE8DA7A" w14:textId="064C8BC0" w:rsidR="00BD1B6F" w:rsidRPr="00977453" w:rsidRDefault="00BD1B6F" w:rsidP="00BF42DC">
      <w:pPr>
        <w:jc w:val="center"/>
      </w:pPr>
      <w:r w:rsidRPr="00977453">
        <w:rPr>
          <w:u w:val="single"/>
        </w:rPr>
        <w:t>HISTORY OF THE PROCEEDING</w:t>
      </w:r>
    </w:p>
    <w:p w14:paraId="5927E215" w14:textId="6A192395" w:rsidR="00404185" w:rsidRDefault="00404185" w:rsidP="00C3249B">
      <w:pPr>
        <w:spacing w:line="360" w:lineRule="auto"/>
      </w:pPr>
    </w:p>
    <w:p w14:paraId="6492B4D9" w14:textId="77777777" w:rsidR="00404185" w:rsidRDefault="00404185" w:rsidP="00BF42DC">
      <w:pPr>
        <w:spacing w:line="360" w:lineRule="auto"/>
        <w:ind w:firstLine="1440"/>
        <w:rPr>
          <w:szCs w:val="24"/>
        </w:rPr>
      </w:pPr>
      <w:r>
        <w:rPr>
          <w:szCs w:val="24"/>
        </w:rPr>
        <w:t xml:space="preserve">On February 28, 2020, PGW filed Supplement No. 128 to PGW’s Gas Service Tariff – PA. P.U.C. No. 2 (Supplement No. 128) and Supplement No. 85 to PGW’s Supplier Tariff – Pa. P.U.C. No. 1 (Supplement No. 85) to become effective April 28, 2020, seeking a general rate increase calculated to produce $70 million (10.5%) in additional annual revenues.  At that time, PGW also filed a Petition for Waiver seeking waiver of the application of the statutory definition of the fully projected future test year (FPFTY) so as to permit PGW to use a FPFTY beginning on September 1, 2020 (its fiscal year) in this proceeding.   </w:t>
      </w:r>
    </w:p>
    <w:p w14:paraId="6B30D540" w14:textId="77777777" w:rsidR="00404185" w:rsidRDefault="00404185" w:rsidP="00BF42DC">
      <w:pPr>
        <w:spacing w:line="360" w:lineRule="auto"/>
        <w:rPr>
          <w:szCs w:val="24"/>
        </w:rPr>
      </w:pPr>
    </w:p>
    <w:p w14:paraId="4B71F215" w14:textId="672419C2" w:rsidR="00404185" w:rsidRDefault="00404185" w:rsidP="00BF42DC">
      <w:pPr>
        <w:spacing w:line="360" w:lineRule="auto"/>
        <w:ind w:firstLine="1440"/>
        <w:rPr>
          <w:szCs w:val="24"/>
        </w:rPr>
      </w:pPr>
      <w:r>
        <w:rPr>
          <w:szCs w:val="24"/>
        </w:rPr>
        <w:t>By Order entered April 16, 2020 (“Suspension Order”), the Pennsylvania Public Utility Commission (Commission</w:t>
      </w:r>
      <w:r w:rsidR="00BD1B6F">
        <w:rPr>
          <w:szCs w:val="24"/>
        </w:rPr>
        <w:t xml:space="preserve"> or PUC</w:t>
      </w:r>
      <w:r>
        <w:rPr>
          <w:szCs w:val="24"/>
        </w:rPr>
        <w:t xml:space="preserve">) instituted an investigation into the lawfulness, justness, and reasonableness of the proposed rate increase.  Supplement No. 128 and Supplement No. 85 were suspended by operation of law until November 28, 2020, unless permitted by Commission Order to become effective at an earlier date.  The Suspension Order did not consider the Petition for Waiver.  </w:t>
      </w:r>
    </w:p>
    <w:p w14:paraId="6D60F6F4" w14:textId="77777777" w:rsidR="00404185" w:rsidRDefault="00404185" w:rsidP="00BF42DC">
      <w:pPr>
        <w:spacing w:line="360" w:lineRule="auto"/>
        <w:ind w:firstLine="1440"/>
        <w:rPr>
          <w:szCs w:val="24"/>
        </w:rPr>
      </w:pPr>
    </w:p>
    <w:p w14:paraId="3BEEDAFD" w14:textId="61A5DF40" w:rsidR="00404185" w:rsidRDefault="00404185" w:rsidP="00BF42DC">
      <w:pPr>
        <w:spacing w:line="360" w:lineRule="auto"/>
        <w:ind w:firstLine="1440"/>
        <w:rPr>
          <w:szCs w:val="24"/>
        </w:rPr>
      </w:pPr>
      <w:r>
        <w:rPr>
          <w:szCs w:val="24"/>
        </w:rPr>
        <w:lastRenderedPageBreak/>
        <w:t xml:space="preserve">The Commission’s Bureau of Investigation and Enforcement (BIE) filed a Notice of Appearance.  Three formal complaints have been filed: The Office of Consumer Advocate (OCA); the Office of Small Business Advocate (OSBA); and the Philadelphia Industrial and Commercial Gas Users Group (PICGUG). </w:t>
      </w:r>
    </w:p>
    <w:p w14:paraId="5553E890" w14:textId="77777777" w:rsidR="00404185" w:rsidRDefault="00404185" w:rsidP="00BF42DC">
      <w:pPr>
        <w:spacing w:line="360" w:lineRule="auto"/>
        <w:rPr>
          <w:szCs w:val="24"/>
        </w:rPr>
      </w:pPr>
    </w:p>
    <w:p w14:paraId="0F0DAF30" w14:textId="502178D9" w:rsidR="00404185" w:rsidRDefault="00404185" w:rsidP="00BF42DC">
      <w:pPr>
        <w:spacing w:line="360" w:lineRule="auto"/>
        <w:ind w:firstLine="1440"/>
        <w:rPr>
          <w:rFonts w:eastAsiaTheme="minorHAnsi"/>
          <w:szCs w:val="24"/>
        </w:rPr>
      </w:pPr>
      <w:r>
        <w:rPr>
          <w:szCs w:val="24"/>
        </w:rPr>
        <w:t xml:space="preserve">The matter was assigned to the Office of Administrative Law Judge (OALJ), Administrative Law Judges Darlene Heep and Marta Guhl, to schedule such hearings as necessary to develop a record in this proceeding. </w:t>
      </w:r>
    </w:p>
    <w:p w14:paraId="1B0673DF" w14:textId="77777777" w:rsidR="00404185" w:rsidRDefault="00404185" w:rsidP="00BF42DC">
      <w:pPr>
        <w:spacing w:line="360" w:lineRule="auto"/>
        <w:rPr>
          <w:rFonts w:eastAsia="Calibri"/>
          <w:szCs w:val="24"/>
        </w:rPr>
      </w:pPr>
    </w:p>
    <w:p w14:paraId="6197E4A9" w14:textId="2F2609DB" w:rsidR="00404185" w:rsidRDefault="00404185" w:rsidP="00BF42DC">
      <w:pPr>
        <w:spacing w:line="360" w:lineRule="auto"/>
        <w:ind w:firstLine="1440"/>
        <w:rPr>
          <w:szCs w:val="24"/>
        </w:rPr>
      </w:pPr>
      <w:r>
        <w:rPr>
          <w:szCs w:val="24"/>
        </w:rPr>
        <w:t xml:space="preserve">A Telephonic Prehearing Conference was held on Tuesday, May 5, 2020, at which </w:t>
      </w:r>
      <w:r w:rsidR="00BD1B6F">
        <w:rPr>
          <w:szCs w:val="24"/>
        </w:rPr>
        <w:t>time multiple issues were address</w:t>
      </w:r>
      <w:r>
        <w:rPr>
          <w:szCs w:val="24"/>
        </w:rPr>
        <w:t>.</w:t>
      </w:r>
      <w:r w:rsidR="00BD1B6F">
        <w:rPr>
          <w:szCs w:val="24"/>
        </w:rPr>
        <w:t xml:space="preserve">  A Prehearing Order was issued which granted the Petitions to Intervene, and Petition for Waiver.  </w:t>
      </w:r>
    </w:p>
    <w:p w14:paraId="1B2C1F82" w14:textId="77777777" w:rsidR="00404185" w:rsidRDefault="00404185" w:rsidP="00BF42DC">
      <w:pPr>
        <w:spacing w:line="360" w:lineRule="auto"/>
        <w:ind w:firstLine="720"/>
        <w:rPr>
          <w:szCs w:val="24"/>
        </w:rPr>
      </w:pPr>
    </w:p>
    <w:p w14:paraId="06C1783A" w14:textId="77777777" w:rsidR="00404185" w:rsidRDefault="00404185" w:rsidP="00BF42DC">
      <w:pPr>
        <w:spacing w:line="360" w:lineRule="auto"/>
        <w:ind w:firstLine="1440"/>
        <w:rPr>
          <w:szCs w:val="24"/>
        </w:rPr>
      </w:pPr>
      <w:r>
        <w:rPr>
          <w:szCs w:val="24"/>
        </w:rPr>
        <w:t xml:space="preserve">On May 14, 2020, a Telephonic Public Input Hearings Notice was issued which indicated that telephonic public input hearings were scheduled for June 2 and 3, 2020, at 1:00 p.m. and 6:00 p.m. each day.    </w:t>
      </w:r>
    </w:p>
    <w:p w14:paraId="472DECD0" w14:textId="77777777" w:rsidR="00404185" w:rsidRDefault="00404185" w:rsidP="00BF42DC">
      <w:pPr>
        <w:spacing w:line="360" w:lineRule="auto"/>
        <w:ind w:firstLine="1440"/>
        <w:rPr>
          <w:szCs w:val="24"/>
        </w:rPr>
      </w:pPr>
    </w:p>
    <w:p w14:paraId="47E2B3B1" w14:textId="77777777" w:rsidR="00404185" w:rsidRDefault="00404185" w:rsidP="00BF42DC">
      <w:pPr>
        <w:spacing w:line="360" w:lineRule="auto"/>
        <w:ind w:firstLine="1440"/>
        <w:rPr>
          <w:rFonts w:eastAsia="Calibri"/>
          <w:color w:val="000000"/>
          <w:szCs w:val="24"/>
        </w:rPr>
      </w:pPr>
      <w:r>
        <w:rPr>
          <w:szCs w:val="24"/>
        </w:rPr>
        <w:t>On June 2 and 3, 2020, the telephonic public input hearings were held as scheduled</w:t>
      </w:r>
      <w:r>
        <w:rPr>
          <w:color w:val="000000"/>
          <w:szCs w:val="24"/>
        </w:rPr>
        <w:t xml:space="preserve">.  Members of the public and legislators provided testimony regarding the pending PGW filing.  </w:t>
      </w:r>
    </w:p>
    <w:p w14:paraId="5F1455C1" w14:textId="77777777" w:rsidR="00404185" w:rsidRDefault="00404185" w:rsidP="00BF42DC">
      <w:pPr>
        <w:spacing w:line="360" w:lineRule="auto"/>
        <w:rPr>
          <w:color w:val="000000"/>
          <w:szCs w:val="24"/>
        </w:rPr>
      </w:pPr>
    </w:p>
    <w:p w14:paraId="57AAB043" w14:textId="5D168542" w:rsidR="00404185" w:rsidRDefault="00404185" w:rsidP="00BF42DC">
      <w:pPr>
        <w:spacing w:line="360" w:lineRule="auto"/>
        <w:ind w:firstLine="1440"/>
        <w:rPr>
          <w:color w:val="000000"/>
          <w:szCs w:val="24"/>
        </w:rPr>
      </w:pPr>
      <w:r>
        <w:rPr>
          <w:color w:val="000000"/>
          <w:szCs w:val="24"/>
        </w:rPr>
        <w:t xml:space="preserve">On June 2, 2020, </w:t>
      </w:r>
      <w:proofErr w:type="spellStart"/>
      <w:r>
        <w:rPr>
          <w:color w:val="000000"/>
          <w:szCs w:val="24"/>
        </w:rPr>
        <w:t>Meenal</w:t>
      </w:r>
      <w:proofErr w:type="spellEnd"/>
      <w:r>
        <w:rPr>
          <w:color w:val="000000"/>
          <w:szCs w:val="24"/>
        </w:rPr>
        <w:t xml:space="preserve"> Ravel offered testimony at the 1:00 p.m. public input hearing and then submitted her statement as an exhibit on the same date.  On June 3, 2020, State Senator Sharif Street offered testimony on behalf of his constituents at the 1:00 p.m. public input hearing and submitted his statement as an exhibit on the same date.  </w:t>
      </w:r>
    </w:p>
    <w:p w14:paraId="4A38D17B" w14:textId="77777777" w:rsidR="00404185" w:rsidRDefault="00404185" w:rsidP="00BF42DC">
      <w:pPr>
        <w:spacing w:line="360" w:lineRule="auto"/>
        <w:ind w:firstLine="1440"/>
        <w:rPr>
          <w:color w:val="000000"/>
          <w:szCs w:val="24"/>
        </w:rPr>
      </w:pPr>
    </w:p>
    <w:p w14:paraId="00C93F0B" w14:textId="6D8D87A5" w:rsidR="00404185" w:rsidRDefault="00404185" w:rsidP="00BF42DC">
      <w:pPr>
        <w:spacing w:line="360" w:lineRule="auto"/>
        <w:ind w:firstLine="1440"/>
        <w:rPr>
          <w:szCs w:val="24"/>
        </w:rPr>
      </w:pPr>
      <w:r>
        <w:rPr>
          <w:color w:val="000000"/>
          <w:szCs w:val="24"/>
        </w:rPr>
        <w:t xml:space="preserve">Via electronic mail dated June 8, 2020, we provided the exhibits to the parties and indicated that any objections to the exhibits have to be submitted by June 15, 2020.  As of this date, no party has submitted an objection to the exhibits.  </w:t>
      </w:r>
      <w:r>
        <w:rPr>
          <w:szCs w:val="24"/>
        </w:rPr>
        <w:t xml:space="preserve">Based on the fact that no party has objected to the public input hearing exhibits and they are relevant to the proceedings, the exhibits </w:t>
      </w:r>
      <w:r w:rsidR="007719E4">
        <w:rPr>
          <w:szCs w:val="24"/>
        </w:rPr>
        <w:t>were</w:t>
      </w:r>
      <w:r>
        <w:rPr>
          <w:szCs w:val="24"/>
        </w:rPr>
        <w:t xml:space="preserve"> entered into the record.  </w:t>
      </w:r>
    </w:p>
    <w:p w14:paraId="2F73A463" w14:textId="77777777" w:rsidR="007719E4" w:rsidRDefault="007719E4" w:rsidP="00BF42DC">
      <w:pPr>
        <w:spacing w:line="360" w:lineRule="auto"/>
        <w:ind w:firstLine="1440"/>
        <w:rPr>
          <w:szCs w:val="24"/>
        </w:rPr>
      </w:pPr>
      <w:r>
        <w:rPr>
          <w:szCs w:val="24"/>
        </w:rPr>
        <w:lastRenderedPageBreak/>
        <w:t xml:space="preserve">On June 9, 2020, PGW filed objections to interrogatories of Environmental Stakeholders. On June 12, 2020, Environmental Stakeholders filed a Motion to Dismiss the objections of PGW. </w:t>
      </w:r>
    </w:p>
    <w:p w14:paraId="02764981" w14:textId="77777777" w:rsidR="007719E4" w:rsidRDefault="007719E4" w:rsidP="00BF42DC">
      <w:pPr>
        <w:spacing w:line="360" w:lineRule="auto"/>
        <w:ind w:firstLine="1440"/>
        <w:rPr>
          <w:szCs w:val="24"/>
        </w:rPr>
      </w:pPr>
    </w:p>
    <w:p w14:paraId="0EEE7DAF" w14:textId="433E2852" w:rsidR="007719E4" w:rsidRDefault="007719E4" w:rsidP="00BF42DC">
      <w:pPr>
        <w:spacing w:line="360" w:lineRule="auto"/>
        <w:ind w:firstLine="1440"/>
        <w:rPr>
          <w:szCs w:val="24"/>
        </w:rPr>
      </w:pPr>
      <w:r>
        <w:rPr>
          <w:szCs w:val="24"/>
        </w:rPr>
        <w:t xml:space="preserve">PGW specifically objected to interrogatories seeking information regarding PGW’s </w:t>
      </w:r>
      <w:proofErr w:type="spellStart"/>
      <w:r>
        <w:rPr>
          <w:szCs w:val="24"/>
        </w:rPr>
        <w:t>EnergySense</w:t>
      </w:r>
      <w:proofErr w:type="spellEnd"/>
      <w:r>
        <w:rPr>
          <w:szCs w:val="24"/>
        </w:rPr>
        <w:t xml:space="preserve"> Program, other energy efficiency programs and environmental concerns, objecting that these matters were addressed in the PGW Demand Side Management implementation Plan and the Universal Service and Energy Conservation Plan proceedings and that the Commission does not have jurisdiction over certain environmental claims.</w:t>
      </w:r>
      <w:r w:rsidR="00AE2AA2">
        <w:rPr>
          <w:szCs w:val="24"/>
        </w:rPr>
        <w:t xml:space="preserve"> </w:t>
      </w:r>
      <w:r>
        <w:rPr>
          <w:szCs w:val="24"/>
        </w:rPr>
        <w:t xml:space="preserve"> The Environmental Stakeholders responded that the interrogatories and responses are relevant to whether the rate sought in the instant proceeding is just and reasonable.  </w:t>
      </w:r>
    </w:p>
    <w:p w14:paraId="6E584F4E" w14:textId="06BC11DC" w:rsidR="007719E4" w:rsidRDefault="007719E4" w:rsidP="00BF42DC">
      <w:pPr>
        <w:spacing w:line="360" w:lineRule="auto"/>
        <w:rPr>
          <w:szCs w:val="24"/>
        </w:rPr>
      </w:pPr>
    </w:p>
    <w:p w14:paraId="7805C80F" w14:textId="497AEE05" w:rsidR="00D83759" w:rsidRDefault="00D83759" w:rsidP="00BF42DC">
      <w:pPr>
        <w:spacing w:line="360" w:lineRule="auto"/>
        <w:rPr>
          <w:szCs w:val="24"/>
        </w:rPr>
      </w:pPr>
      <w:r>
        <w:rPr>
          <w:szCs w:val="24"/>
        </w:rPr>
        <w:tab/>
      </w:r>
      <w:r>
        <w:rPr>
          <w:szCs w:val="24"/>
        </w:rPr>
        <w:tab/>
        <w:t xml:space="preserve">Non-company parties submitted </w:t>
      </w:r>
      <w:r w:rsidR="00BD1B6F">
        <w:rPr>
          <w:szCs w:val="24"/>
        </w:rPr>
        <w:t xml:space="preserve">direct </w:t>
      </w:r>
      <w:r>
        <w:rPr>
          <w:szCs w:val="24"/>
        </w:rPr>
        <w:t xml:space="preserve">testimony </w:t>
      </w:r>
      <w:r w:rsidR="00BD1B6F">
        <w:rPr>
          <w:szCs w:val="24"/>
        </w:rPr>
        <w:t>on</w:t>
      </w:r>
      <w:r>
        <w:rPr>
          <w:szCs w:val="24"/>
        </w:rPr>
        <w:t xml:space="preserve"> June 15, 2020.</w:t>
      </w:r>
    </w:p>
    <w:p w14:paraId="37B0AB35" w14:textId="77777777" w:rsidR="00D83759" w:rsidRDefault="00D83759" w:rsidP="00BF42DC">
      <w:pPr>
        <w:spacing w:line="360" w:lineRule="auto"/>
        <w:rPr>
          <w:szCs w:val="24"/>
        </w:rPr>
      </w:pPr>
    </w:p>
    <w:p w14:paraId="4CE76509" w14:textId="1A22F416" w:rsidR="007719E4" w:rsidRDefault="007719E4" w:rsidP="00BF42DC">
      <w:pPr>
        <w:spacing w:line="360" w:lineRule="auto"/>
        <w:ind w:firstLine="1440"/>
        <w:rPr>
          <w:szCs w:val="24"/>
        </w:rPr>
      </w:pPr>
      <w:r>
        <w:rPr>
          <w:szCs w:val="24"/>
        </w:rPr>
        <w:t xml:space="preserve">A hearing on the </w:t>
      </w:r>
      <w:r w:rsidR="00D83759">
        <w:rPr>
          <w:szCs w:val="24"/>
        </w:rPr>
        <w:t xml:space="preserve">Environmental Stakeholders’ </w:t>
      </w:r>
      <w:r>
        <w:rPr>
          <w:szCs w:val="24"/>
        </w:rPr>
        <w:t>Motion to Dismiss PGW objections was held on June 25, 2020.</w:t>
      </w:r>
      <w:r w:rsidR="00323229">
        <w:rPr>
          <w:szCs w:val="24"/>
        </w:rPr>
        <w:t xml:space="preserve"> </w:t>
      </w:r>
      <w:r>
        <w:rPr>
          <w:szCs w:val="24"/>
        </w:rPr>
        <w:t xml:space="preserve"> Rulings on the objections and motion were made on the record </w:t>
      </w:r>
      <w:r w:rsidR="00BD1B6F">
        <w:rPr>
          <w:szCs w:val="24"/>
        </w:rPr>
        <w:t xml:space="preserve">at the time </w:t>
      </w:r>
      <w:r>
        <w:rPr>
          <w:szCs w:val="24"/>
        </w:rPr>
        <w:t>of the hearing.</w:t>
      </w:r>
      <w:r w:rsidR="00323229">
        <w:rPr>
          <w:szCs w:val="24"/>
        </w:rPr>
        <w:t xml:space="preserve"> </w:t>
      </w:r>
      <w:r>
        <w:rPr>
          <w:szCs w:val="24"/>
        </w:rPr>
        <w:t xml:space="preserve"> PGW objections to interrogatories regarding electrification as alternatives to proposed infrastructure work included in rate calculations were sustained. </w:t>
      </w:r>
      <w:r w:rsidR="00323229">
        <w:rPr>
          <w:szCs w:val="24"/>
        </w:rPr>
        <w:t xml:space="preserve"> </w:t>
      </w:r>
      <w:r>
        <w:rPr>
          <w:szCs w:val="24"/>
        </w:rPr>
        <w:t xml:space="preserve">All other objections were overruled. </w:t>
      </w:r>
    </w:p>
    <w:p w14:paraId="44BB2C22" w14:textId="5B98E57F" w:rsidR="00D83759" w:rsidRDefault="00D83759" w:rsidP="00BF42DC">
      <w:pPr>
        <w:spacing w:line="360" w:lineRule="auto"/>
        <w:ind w:firstLine="1440"/>
        <w:rPr>
          <w:szCs w:val="24"/>
        </w:rPr>
      </w:pPr>
    </w:p>
    <w:p w14:paraId="3A6A8241" w14:textId="0C0A08C4" w:rsidR="00947E5A" w:rsidRDefault="00D83759" w:rsidP="00BF42DC">
      <w:pPr>
        <w:spacing w:line="360" w:lineRule="auto"/>
        <w:ind w:firstLine="1440"/>
        <w:rPr>
          <w:szCs w:val="24"/>
        </w:rPr>
      </w:pPr>
      <w:r>
        <w:rPr>
          <w:szCs w:val="24"/>
        </w:rPr>
        <w:t xml:space="preserve">On June 24, 2020, PGW filed a Motion </w:t>
      </w:r>
      <w:r w:rsidRPr="00F61AE2">
        <w:rPr>
          <w:i/>
          <w:iCs/>
          <w:szCs w:val="24"/>
        </w:rPr>
        <w:t xml:space="preserve">in </w:t>
      </w:r>
      <w:proofErr w:type="spellStart"/>
      <w:r w:rsidRPr="00F61AE2">
        <w:rPr>
          <w:i/>
          <w:iCs/>
          <w:szCs w:val="24"/>
        </w:rPr>
        <w:t>Limine</w:t>
      </w:r>
      <w:proofErr w:type="spellEnd"/>
      <w:r>
        <w:rPr>
          <w:szCs w:val="24"/>
        </w:rPr>
        <w:t xml:space="preserve"> Regarding the Testimony Submitted by Environmental Stakeholders. On June 25, 2020. PGW filed a Motion </w:t>
      </w:r>
      <w:r w:rsidR="00D21CDB" w:rsidRPr="00F61AE2">
        <w:rPr>
          <w:i/>
          <w:iCs/>
          <w:szCs w:val="24"/>
        </w:rPr>
        <w:t>i</w:t>
      </w:r>
      <w:r w:rsidRPr="00F61AE2">
        <w:rPr>
          <w:i/>
          <w:iCs/>
          <w:szCs w:val="24"/>
        </w:rPr>
        <w:t xml:space="preserve">n </w:t>
      </w:r>
      <w:proofErr w:type="spellStart"/>
      <w:r w:rsidRPr="00F61AE2">
        <w:rPr>
          <w:i/>
          <w:iCs/>
          <w:szCs w:val="24"/>
        </w:rPr>
        <w:t>Limine</w:t>
      </w:r>
      <w:proofErr w:type="spellEnd"/>
      <w:r>
        <w:rPr>
          <w:szCs w:val="24"/>
        </w:rPr>
        <w:t xml:space="preserve"> Regarding Testimony Submitted by the Office of Consumer Advocate Regarding Universal Service Programs </w:t>
      </w:r>
      <w:r w:rsidR="00D21CDB">
        <w:rPr>
          <w:szCs w:val="24"/>
        </w:rPr>
        <w:t xml:space="preserve">(OCA Motion) </w:t>
      </w:r>
      <w:r>
        <w:rPr>
          <w:szCs w:val="24"/>
        </w:rPr>
        <w:t xml:space="preserve">and a Motion </w:t>
      </w:r>
      <w:r w:rsidRPr="00F61AE2">
        <w:rPr>
          <w:i/>
          <w:iCs/>
          <w:szCs w:val="24"/>
        </w:rPr>
        <w:t xml:space="preserve">in </w:t>
      </w:r>
      <w:proofErr w:type="spellStart"/>
      <w:r w:rsidRPr="00F61AE2">
        <w:rPr>
          <w:i/>
          <w:iCs/>
          <w:szCs w:val="24"/>
        </w:rPr>
        <w:t>Limine</w:t>
      </w:r>
      <w:proofErr w:type="spellEnd"/>
      <w:r>
        <w:rPr>
          <w:szCs w:val="24"/>
        </w:rPr>
        <w:t xml:space="preserve"> Regarding Testimony Submitted by TURN, et al. Regarding Universal Service Programs</w:t>
      </w:r>
      <w:r w:rsidR="00D21CDB">
        <w:rPr>
          <w:szCs w:val="24"/>
        </w:rPr>
        <w:t xml:space="preserve"> (TURN Motion)</w:t>
      </w:r>
      <w:r>
        <w:rPr>
          <w:szCs w:val="24"/>
        </w:rPr>
        <w:t xml:space="preserve">. </w:t>
      </w:r>
    </w:p>
    <w:p w14:paraId="47F5BC3B" w14:textId="77777777" w:rsidR="00947E5A" w:rsidRDefault="00947E5A" w:rsidP="00BF42DC">
      <w:pPr>
        <w:spacing w:line="360" w:lineRule="auto"/>
        <w:ind w:firstLine="1440"/>
        <w:rPr>
          <w:szCs w:val="24"/>
        </w:rPr>
      </w:pPr>
    </w:p>
    <w:p w14:paraId="0B8BCA5A" w14:textId="72A2FE1F" w:rsidR="007719E4" w:rsidRDefault="00D83759" w:rsidP="00BF42DC">
      <w:pPr>
        <w:spacing w:line="360" w:lineRule="auto"/>
        <w:ind w:firstLine="1440"/>
        <w:rPr>
          <w:szCs w:val="24"/>
        </w:rPr>
      </w:pPr>
      <w:r>
        <w:rPr>
          <w:szCs w:val="24"/>
        </w:rPr>
        <w:t xml:space="preserve">On June 30, 2020, OCA filed an </w:t>
      </w:r>
      <w:r w:rsidR="00CC278D">
        <w:rPr>
          <w:rFonts w:ascii="TimesNewRomanPSMT" w:eastAsiaTheme="minorHAnsi" w:hAnsi="TimesNewRomanPSMT" w:cs="TimesNewRomanPSMT"/>
          <w:szCs w:val="24"/>
        </w:rPr>
        <w:t xml:space="preserve">Answer of the </w:t>
      </w:r>
      <w:r w:rsidR="00D21CDB">
        <w:rPr>
          <w:rFonts w:ascii="TimesNewRomanPSMT" w:eastAsiaTheme="minorHAnsi" w:hAnsi="TimesNewRomanPSMT" w:cs="TimesNewRomanPSMT"/>
          <w:szCs w:val="24"/>
        </w:rPr>
        <w:t>OCA Motion</w:t>
      </w:r>
      <w:r w:rsidR="00CC278D">
        <w:rPr>
          <w:szCs w:val="24"/>
        </w:rPr>
        <w:t xml:space="preserve">; CAUSE-PA filed an </w:t>
      </w:r>
      <w:r w:rsidR="00CC278D">
        <w:rPr>
          <w:rFonts w:ascii="TimesNewRomanPSMT" w:eastAsiaTheme="minorHAnsi" w:hAnsi="TimesNewRomanPSMT" w:cs="TimesNewRomanPSMT"/>
          <w:szCs w:val="24"/>
        </w:rPr>
        <w:t xml:space="preserve">Answer of CAUSE-PA in Opposition to PGW’s </w:t>
      </w:r>
      <w:r w:rsidR="00D21CDB">
        <w:rPr>
          <w:rFonts w:ascii="TimesNewRomanPSMT" w:eastAsiaTheme="minorHAnsi" w:hAnsi="TimesNewRomanPSMT" w:cs="TimesNewRomanPSMT"/>
          <w:szCs w:val="24"/>
        </w:rPr>
        <w:t>TURN Motion</w:t>
      </w:r>
      <w:r w:rsidR="00CC278D">
        <w:rPr>
          <w:szCs w:val="24"/>
        </w:rPr>
        <w:t xml:space="preserve">; </w:t>
      </w:r>
      <w:r w:rsidR="00947E5A">
        <w:rPr>
          <w:szCs w:val="24"/>
        </w:rPr>
        <w:t xml:space="preserve">TURN filed an </w:t>
      </w:r>
      <w:r w:rsidR="00947E5A">
        <w:rPr>
          <w:rFonts w:eastAsiaTheme="minorHAnsi"/>
          <w:szCs w:val="24"/>
        </w:rPr>
        <w:t xml:space="preserve">Answer of </w:t>
      </w:r>
      <w:r w:rsidR="00947E5A">
        <w:rPr>
          <w:rFonts w:eastAsiaTheme="minorHAnsi"/>
          <w:szCs w:val="24"/>
        </w:rPr>
        <w:lastRenderedPageBreak/>
        <w:t xml:space="preserve">the </w:t>
      </w:r>
      <w:r w:rsidR="00D21CDB">
        <w:rPr>
          <w:rFonts w:eastAsiaTheme="minorHAnsi"/>
          <w:szCs w:val="24"/>
        </w:rPr>
        <w:t xml:space="preserve">TURN </w:t>
      </w:r>
      <w:r w:rsidR="00947E5A">
        <w:rPr>
          <w:rFonts w:eastAsiaTheme="minorHAnsi"/>
          <w:szCs w:val="24"/>
        </w:rPr>
        <w:t>Motion</w:t>
      </w:r>
      <w:r w:rsidR="00947E5A">
        <w:rPr>
          <w:szCs w:val="24"/>
        </w:rPr>
        <w:t xml:space="preserve">; and Environmental Stakeholders filed an </w:t>
      </w:r>
      <w:r w:rsidR="00947E5A">
        <w:rPr>
          <w:sz w:val="23"/>
          <w:szCs w:val="23"/>
        </w:rPr>
        <w:t xml:space="preserve">Answer in Opposition to </w:t>
      </w:r>
      <w:r w:rsidR="00D21CDB">
        <w:rPr>
          <w:sz w:val="23"/>
          <w:szCs w:val="23"/>
        </w:rPr>
        <w:t>PGW</w:t>
      </w:r>
      <w:r w:rsidR="00947E5A">
        <w:rPr>
          <w:sz w:val="23"/>
          <w:szCs w:val="23"/>
        </w:rPr>
        <w:t>’</w:t>
      </w:r>
      <w:r w:rsidR="00D21CDB">
        <w:rPr>
          <w:sz w:val="23"/>
          <w:szCs w:val="23"/>
        </w:rPr>
        <w:t>s</w:t>
      </w:r>
      <w:r w:rsidR="00947E5A">
        <w:rPr>
          <w:sz w:val="23"/>
          <w:szCs w:val="23"/>
        </w:rPr>
        <w:t xml:space="preserve"> Motion </w:t>
      </w:r>
      <w:r w:rsidR="00947E5A" w:rsidRPr="00F61AE2">
        <w:rPr>
          <w:i/>
          <w:iCs/>
          <w:sz w:val="23"/>
          <w:szCs w:val="23"/>
        </w:rPr>
        <w:t xml:space="preserve">in </w:t>
      </w:r>
      <w:proofErr w:type="spellStart"/>
      <w:r w:rsidR="00947E5A" w:rsidRPr="00F61AE2">
        <w:rPr>
          <w:i/>
          <w:iCs/>
          <w:sz w:val="23"/>
          <w:szCs w:val="23"/>
        </w:rPr>
        <w:t>Limine</w:t>
      </w:r>
      <w:proofErr w:type="spellEnd"/>
      <w:r w:rsidR="00D21CDB">
        <w:rPr>
          <w:rStyle w:val="FootnoteReference"/>
          <w:i/>
          <w:iCs/>
          <w:sz w:val="23"/>
          <w:szCs w:val="23"/>
        </w:rPr>
        <w:footnoteReference w:id="1"/>
      </w:r>
      <w:r w:rsidR="00947E5A">
        <w:rPr>
          <w:sz w:val="23"/>
          <w:szCs w:val="23"/>
        </w:rPr>
        <w:t>.</w:t>
      </w:r>
    </w:p>
    <w:p w14:paraId="641BF44B" w14:textId="77777777" w:rsidR="007719E4" w:rsidRDefault="007719E4" w:rsidP="00BF42DC">
      <w:pPr>
        <w:spacing w:line="360" w:lineRule="auto"/>
        <w:ind w:firstLine="1440"/>
        <w:rPr>
          <w:szCs w:val="24"/>
        </w:rPr>
      </w:pPr>
    </w:p>
    <w:p w14:paraId="1A36B66F" w14:textId="6EF2369F" w:rsidR="007719E4" w:rsidRDefault="00947E5A" w:rsidP="00BF42DC">
      <w:pPr>
        <w:spacing w:line="360" w:lineRule="auto"/>
        <w:ind w:firstLine="1440"/>
        <w:rPr>
          <w:color w:val="000000"/>
          <w:szCs w:val="24"/>
        </w:rPr>
      </w:pPr>
      <w:r>
        <w:rPr>
          <w:color w:val="000000"/>
          <w:szCs w:val="24"/>
        </w:rPr>
        <w:t xml:space="preserve">The Motions </w:t>
      </w:r>
      <w:r w:rsidRPr="00F61AE2">
        <w:rPr>
          <w:i/>
          <w:iCs/>
          <w:color w:val="000000"/>
          <w:szCs w:val="24"/>
        </w:rPr>
        <w:t xml:space="preserve">in </w:t>
      </w:r>
      <w:proofErr w:type="spellStart"/>
      <w:r w:rsidRPr="00F61AE2">
        <w:rPr>
          <w:i/>
          <w:iCs/>
          <w:color w:val="000000"/>
          <w:szCs w:val="24"/>
        </w:rPr>
        <w:t>Limine</w:t>
      </w:r>
      <w:proofErr w:type="spellEnd"/>
      <w:r>
        <w:rPr>
          <w:color w:val="000000"/>
          <w:szCs w:val="24"/>
        </w:rPr>
        <w:t xml:space="preserve"> </w:t>
      </w:r>
      <w:r w:rsidR="00BB5D5A">
        <w:rPr>
          <w:color w:val="000000"/>
          <w:szCs w:val="24"/>
        </w:rPr>
        <w:t>r</w:t>
      </w:r>
      <w:r>
        <w:rPr>
          <w:color w:val="000000"/>
          <w:szCs w:val="24"/>
        </w:rPr>
        <w:t>egarding OCA and TURN</w:t>
      </w:r>
      <w:r w:rsidR="00D21CDB">
        <w:rPr>
          <w:color w:val="000000"/>
          <w:szCs w:val="24"/>
        </w:rPr>
        <w:t>’s testimony</w:t>
      </w:r>
      <w:r>
        <w:rPr>
          <w:color w:val="000000"/>
          <w:szCs w:val="24"/>
        </w:rPr>
        <w:t xml:space="preserve"> raise like issues</w:t>
      </w:r>
      <w:r w:rsidR="000E288C">
        <w:rPr>
          <w:color w:val="000000"/>
          <w:szCs w:val="24"/>
        </w:rPr>
        <w:t>,</w:t>
      </w:r>
      <w:r>
        <w:rPr>
          <w:color w:val="000000"/>
          <w:szCs w:val="24"/>
        </w:rPr>
        <w:t xml:space="preserve"> and</w:t>
      </w:r>
      <w:r w:rsidR="000E288C">
        <w:rPr>
          <w:color w:val="000000"/>
          <w:szCs w:val="24"/>
        </w:rPr>
        <w:t>,</w:t>
      </w:r>
      <w:r>
        <w:rPr>
          <w:color w:val="000000"/>
          <w:szCs w:val="24"/>
        </w:rPr>
        <w:t xml:space="preserve"> therefore</w:t>
      </w:r>
      <w:r w:rsidR="000E288C">
        <w:rPr>
          <w:color w:val="000000"/>
          <w:szCs w:val="24"/>
        </w:rPr>
        <w:t>,</w:t>
      </w:r>
      <w:r>
        <w:rPr>
          <w:color w:val="000000"/>
          <w:szCs w:val="24"/>
        </w:rPr>
        <w:t xml:space="preserve"> will be addressed in this Order.</w:t>
      </w:r>
    </w:p>
    <w:p w14:paraId="081484AF" w14:textId="1632E732" w:rsidR="00BD1B6F" w:rsidRDefault="00BD1B6F" w:rsidP="00BF42DC">
      <w:pPr>
        <w:spacing w:line="360" w:lineRule="auto"/>
        <w:ind w:firstLine="1440"/>
        <w:rPr>
          <w:color w:val="000000"/>
          <w:szCs w:val="24"/>
        </w:rPr>
      </w:pPr>
    </w:p>
    <w:p w14:paraId="39DC36CA" w14:textId="38A3DBF0" w:rsidR="00BD1B6F" w:rsidRPr="00F61AE2" w:rsidRDefault="00BD1B6F" w:rsidP="00BF42DC">
      <w:pPr>
        <w:spacing w:line="360" w:lineRule="auto"/>
        <w:jc w:val="center"/>
        <w:rPr>
          <w:color w:val="000000"/>
          <w:szCs w:val="24"/>
          <w:u w:val="single"/>
        </w:rPr>
      </w:pPr>
      <w:r w:rsidRPr="00F61AE2">
        <w:rPr>
          <w:color w:val="000000"/>
          <w:szCs w:val="24"/>
          <w:u w:val="single"/>
        </w:rPr>
        <w:t>DISCUSSION</w:t>
      </w:r>
    </w:p>
    <w:p w14:paraId="46089AF9" w14:textId="6923A974" w:rsidR="00947E5A" w:rsidRDefault="00947E5A" w:rsidP="00BF42DC">
      <w:pPr>
        <w:spacing w:line="360" w:lineRule="auto"/>
        <w:ind w:firstLine="1440"/>
        <w:rPr>
          <w:color w:val="000000"/>
          <w:szCs w:val="24"/>
        </w:rPr>
      </w:pPr>
    </w:p>
    <w:p w14:paraId="58613554" w14:textId="775E8E4A" w:rsidR="00977A89" w:rsidRDefault="00ED61D6" w:rsidP="00BF42DC">
      <w:pPr>
        <w:spacing w:line="360" w:lineRule="auto"/>
        <w:ind w:firstLine="1440"/>
        <w:rPr>
          <w:color w:val="000000"/>
          <w:szCs w:val="24"/>
        </w:rPr>
      </w:pPr>
      <w:r>
        <w:rPr>
          <w:color w:val="000000"/>
          <w:szCs w:val="24"/>
        </w:rPr>
        <w:t xml:space="preserve">PGW is seeking to exclude portions of TURN, </w:t>
      </w:r>
      <w:r w:rsidRPr="00914719">
        <w:rPr>
          <w:i/>
          <w:iCs/>
          <w:color w:val="000000"/>
          <w:szCs w:val="24"/>
        </w:rPr>
        <w:t>et al.</w:t>
      </w:r>
      <w:r>
        <w:rPr>
          <w:color w:val="000000"/>
          <w:szCs w:val="24"/>
        </w:rPr>
        <w:t xml:space="preserve"> Statement </w:t>
      </w:r>
      <w:r w:rsidR="00D21CDB">
        <w:rPr>
          <w:color w:val="000000"/>
          <w:szCs w:val="24"/>
        </w:rPr>
        <w:t xml:space="preserve">No. </w:t>
      </w:r>
      <w:r>
        <w:rPr>
          <w:color w:val="000000"/>
          <w:szCs w:val="24"/>
        </w:rPr>
        <w:t xml:space="preserve">1, the </w:t>
      </w:r>
      <w:r w:rsidR="00401218">
        <w:rPr>
          <w:color w:val="000000"/>
          <w:szCs w:val="24"/>
        </w:rPr>
        <w:t>D</w:t>
      </w:r>
      <w:r w:rsidR="00F22685">
        <w:rPr>
          <w:color w:val="000000"/>
          <w:szCs w:val="24"/>
        </w:rPr>
        <w:t xml:space="preserve">irect </w:t>
      </w:r>
      <w:r w:rsidR="00401218">
        <w:rPr>
          <w:color w:val="000000"/>
          <w:szCs w:val="24"/>
        </w:rPr>
        <w:t>T</w:t>
      </w:r>
      <w:r>
        <w:rPr>
          <w:color w:val="000000"/>
          <w:szCs w:val="24"/>
        </w:rPr>
        <w:t>estimony of Harry Geller, contending that testimony regarding changes to the PGW Customer Responsibility Program are not appropriate</w:t>
      </w:r>
      <w:r w:rsidR="00462D29">
        <w:rPr>
          <w:color w:val="000000"/>
          <w:szCs w:val="24"/>
        </w:rPr>
        <w:t>ly</w:t>
      </w:r>
      <w:r>
        <w:rPr>
          <w:color w:val="000000"/>
          <w:szCs w:val="24"/>
        </w:rPr>
        <w:t xml:space="preserve"> raised in this base rate case, </w:t>
      </w:r>
      <w:r w:rsidR="00462D29">
        <w:rPr>
          <w:color w:val="000000"/>
          <w:szCs w:val="24"/>
        </w:rPr>
        <w:t xml:space="preserve">that these issues </w:t>
      </w:r>
      <w:r>
        <w:rPr>
          <w:color w:val="000000"/>
          <w:szCs w:val="24"/>
        </w:rPr>
        <w:t xml:space="preserve">were recently decided in a Universal Service and Energy Conservation Plan </w:t>
      </w:r>
      <w:r w:rsidR="00D21CDB">
        <w:rPr>
          <w:color w:val="000000"/>
          <w:szCs w:val="24"/>
        </w:rPr>
        <w:t xml:space="preserve">(USECP) </w:t>
      </w:r>
      <w:r>
        <w:rPr>
          <w:color w:val="000000"/>
          <w:szCs w:val="24"/>
        </w:rPr>
        <w:t>proceeding before the Commission, that PGW has amended its USECP in accordance with orders of the Commission</w:t>
      </w:r>
      <w:r w:rsidR="00462D29">
        <w:rPr>
          <w:color w:val="000000"/>
          <w:szCs w:val="24"/>
        </w:rPr>
        <w:t xml:space="preserve"> and</w:t>
      </w:r>
      <w:r>
        <w:rPr>
          <w:color w:val="000000"/>
          <w:szCs w:val="24"/>
        </w:rPr>
        <w:t xml:space="preserve"> that </w:t>
      </w:r>
      <w:r w:rsidR="00367BC4">
        <w:rPr>
          <w:color w:val="000000"/>
          <w:szCs w:val="24"/>
        </w:rPr>
        <w:t>t</w:t>
      </w:r>
      <w:r>
        <w:rPr>
          <w:color w:val="000000"/>
          <w:szCs w:val="24"/>
        </w:rPr>
        <w:t xml:space="preserve">he Order approving the amended USECP is under appeal and therefore consideration </w:t>
      </w:r>
      <w:r w:rsidR="00462D29">
        <w:rPr>
          <w:color w:val="000000"/>
          <w:szCs w:val="24"/>
        </w:rPr>
        <w:t xml:space="preserve">of these issues </w:t>
      </w:r>
      <w:r>
        <w:rPr>
          <w:color w:val="000000"/>
          <w:szCs w:val="24"/>
        </w:rPr>
        <w:t xml:space="preserve">is inappropriate in these proceedings.  </w:t>
      </w:r>
      <w:r w:rsidR="001D7C18">
        <w:rPr>
          <w:color w:val="000000"/>
          <w:szCs w:val="24"/>
        </w:rPr>
        <w:t>The Company also seeks to exclude testimony regarding suggestions to change the Customer Responsibility Program</w:t>
      </w:r>
      <w:r w:rsidR="001D7C18">
        <w:rPr>
          <w:rStyle w:val="FootnoteReference"/>
          <w:color w:val="000000"/>
          <w:szCs w:val="24"/>
        </w:rPr>
        <w:footnoteReference w:id="2"/>
      </w:r>
      <w:r w:rsidR="001D7C18">
        <w:rPr>
          <w:color w:val="000000"/>
          <w:szCs w:val="24"/>
        </w:rPr>
        <w:t xml:space="preserve"> (CRP).  Finally, t</w:t>
      </w:r>
      <w:r>
        <w:rPr>
          <w:color w:val="000000"/>
          <w:szCs w:val="24"/>
        </w:rPr>
        <w:t xml:space="preserve">he </w:t>
      </w:r>
      <w:r w:rsidR="001D7C18">
        <w:rPr>
          <w:color w:val="000000"/>
          <w:szCs w:val="24"/>
        </w:rPr>
        <w:t>C</w:t>
      </w:r>
      <w:r>
        <w:rPr>
          <w:color w:val="000000"/>
          <w:szCs w:val="24"/>
        </w:rPr>
        <w:t>ompany seeks to exclude an</w:t>
      </w:r>
      <w:r w:rsidR="00462D29">
        <w:rPr>
          <w:color w:val="000000"/>
          <w:szCs w:val="24"/>
        </w:rPr>
        <w:t>y</w:t>
      </w:r>
      <w:r>
        <w:rPr>
          <w:color w:val="000000"/>
          <w:szCs w:val="24"/>
        </w:rPr>
        <w:t xml:space="preserve"> testimony regarding language access issues </w:t>
      </w:r>
      <w:r w:rsidR="001B51AE">
        <w:rPr>
          <w:color w:val="000000"/>
          <w:szCs w:val="24"/>
        </w:rPr>
        <w:t>as they pertain to</w:t>
      </w:r>
      <w:r w:rsidR="00B24E6C">
        <w:rPr>
          <w:color w:val="000000"/>
          <w:szCs w:val="24"/>
        </w:rPr>
        <w:t xml:space="preserve"> </w:t>
      </w:r>
      <w:r>
        <w:rPr>
          <w:color w:val="000000"/>
          <w:szCs w:val="24"/>
        </w:rPr>
        <w:t xml:space="preserve">the Civil Rights Act of 1964 or the Philadelphia Home Rule Charter. </w:t>
      </w:r>
      <w:r w:rsidR="00B24E6C">
        <w:rPr>
          <w:color w:val="000000"/>
          <w:szCs w:val="24"/>
        </w:rPr>
        <w:t xml:space="preserve">PGW raises </w:t>
      </w:r>
      <w:r w:rsidR="001B51AE">
        <w:rPr>
          <w:color w:val="000000"/>
          <w:szCs w:val="24"/>
        </w:rPr>
        <w:t xml:space="preserve">similar </w:t>
      </w:r>
      <w:r w:rsidR="00B24E6C">
        <w:rPr>
          <w:color w:val="000000"/>
          <w:szCs w:val="24"/>
        </w:rPr>
        <w:t xml:space="preserve">issues with respect to testimony submitted by OCA Statement </w:t>
      </w:r>
      <w:r w:rsidR="00D21CDB">
        <w:rPr>
          <w:color w:val="000000"/>
          <w:szCs w:val="24"/>
        </w:rPr>
        <w:t xml:space="preserve">No. </w:t>
      </w:r>
      <w:r w:rsidR="00B24E6C">
        <w:rPr>
          <w:color w:val="000000"/>
          <w:szCs w:val="24"/>
        </w:rPr>
        <w:t xml:space="preserve">5, </w:t>
      </w:r>
      <w:r w:rsidR="00D21CDB">
        <w:rPr>
          <w:color w:val="000000"/>
          <w:szCs w:val="24"/>
        </w:rPr>
        <w:t>the</w:t>
      </w:r>
      <w:r w:rsidR="00F22685">
        <w:rPr>
          <w:color w:val="000000"/>
          <w:szCs w:val="24"/>
        </w:rPr>
        <w:t xml:space="preserve"> </w:t>
      </w:r>
      <w:r w:rsidR="00401218">
        <w:rPr>
          <w:color w:val="000000"/>
          <w:szCs w:val="24"/>
        </w:rPr>
        <w:t>D</w:t>
      </w:r>
      <w:r w:rsidR="00F22685">
        <w:rPr>
          <w:color w:val="000000"/>
          <w:szCs w:val="24"/>
        </w:rPr>
        <w:t>irect</w:t>
      </w:r>
      <w:r w:rsidR="00D21CDB">
        <w:rPr>
          <w:color w:val="000000"/>
          <w:szCs w:val="24"/>
        </w:rPr>
        <w:t xml:space="preserve"> </w:t>
      </w:r>
      <w:r w:rsidR="00401218">
        <w:rPr>
          <w:color w:val="000000"/>
          <w:szCs w:val="24"/>
        </w:rPr>
        <w:t>T</w:t>
      </w:r>
      <w:r w:rsidR="00D21CDB">
        <w:rPr>
          <w:color w:val="000000"/>
          <w:szCs w:val="24"/>
        </w:rPr>
        <w:t xml:space="preserve">estimony of </w:t>
      </w:r>
      <w:r w:rsidR="00B24E6C">
        <w:rPr>
          <w:color w:val="000000"/>
          <w:szCs w:val="24"/>
        </w:rPr>
        <w:t xml:space="preserve">Roger D. Colton. </w:t>
      </w:r>
    </w:p>
    <w:p w14:paraId="484794EF" w14:textId="7D296E6F" w:rsidR="00C57643" w:rsidRDefault="00C57643" w:rsidP="00BF42DC">
      <w:pPr>
        <w:spacing w:line="360" w:lineRule="auto"/>
        <w:ind w:firstLine="1440"/>
        <w:rPr>
          <w:color w:val="000000"/>
          <w:szCs w:val="24"/>
        </w:rPr>
      </w:pPr>
    </w:p>
    <w:p w14:paraId="6D57C0CA" w14:textId="797F343A" w:rsidR="00C57643" w:rsidRDefault="00C57643" w:rsidP="00BF42DC">
      <w:pPr>
        <w:spacing w:line="360" w:lineRule="auto"/>
        <w:ind w:firstLine="1440"/>
        <w:rPr>
          <w:color w:val="000000"/>
          <w:szCs w:val="24"/>
        </w:rPr>
      </w:pPr>
      <w:r w:rsidRPr="00C57643">
        <w:rPr>
          <w:color w:val="000000"/>
          <w:szCs w:val="24"/>
        </w:rPr>
        <w:t xml:space="preserve">Specifically, PGW </w:t>
      </w:r>
      <w:r>
        <w:rPr>
          <w:color w:val="000000"/>
          <w:szCs w:val="24"/>
        </w:rPr>
        <w:t>seeks</w:t>
      </w:r>
      <w:r w:rsidRPr="00C57643">
        <w:rPr>
          <w:color w:val="000000"/>
          <w:szCs w:val="24"/>
        </w:rPr>
        <w:t xml:space="preserve"> to have removed from this proceeding the following</w:t>
      </w:r>
      <w:r>
        <w:rPr>
          <w:color w:val="000000"/>
          <w:szCs w:val="24"/>
        </w:rPr>
        <w:t>:</w:t>
      </w:r>
    </w:p>
    <w:p w14:paraId="2FE08748" w14:textId="53B2A0FC" w:rsidR="00C57643" w:rsidRDefault="00C57643" w:rsidP="00BF42DC">
      <w:pPr>
        <w:spacing w:line="360" w:lineRule="auto"/>
        <w:ind w:firstLine="1440"/>
        <w:rPr>
          <w:color w:val="000000"/>
          <w:szCs w:val="24"/>
        </w:rPr>
      </w:pPr>
    </w:p>
    <w:p w14:paraId="5205DC83" w14:textId="3E2C27BD" w:rsidR="00C57643" w:rsidRPr="00C57643" w:rsidRDefault="00C57643" w:rsidP="00815974">
      <w:pPr>
        <w:spacing w:line="360" w:lineRule="auto"/>
        <w:ind w:left="720" w:firstLine="720"/>
        <w:rPr>
          <w:color w:val="000000"/>
          <w:szCs w:val="24"/>
        </w:rPr>
      </w:pPr>
      <w:r w:rsidRPr="00C57643">
        <w:rPr>
          <w:color w:val="000000"/>
          <w:szCs w:val="24"/>
        </w:rPr>
        <w:t xml:space="preserve">TURN </w:t>
      </w:r>
      <w:r w:rsidRPr="00914719">
        <w:rPr>
          <w:i/>
          <w:iCs/>
          <w:color w:val="000000"/>
          <w:szCs w:val="24"/>
        </w:rPr>
        <w:t>et al.</w:t>
      </w:r>
      <w:r w:rsidRPr="00C57643">
        <w:rPr>
          <w:color w:val="000000"/>
          <w:szCs w:val="24"/>
        </w:rPr>
        <w:t xml:space="preserve"> Statement No. 1</w:t>
      </w:r>
      <w:r w:rsidR="00815974">
        <w:rPr>
          <w:color w:val="000000"/>
          <w:szCs w:val="24"/>
        </w:rPr>
        <w:t>:</w:t>
      </w:r>
    </w:p>
    <w:p w14:paraId="45E97A89" w14:textId="6E59AA3F" w:rsidR="00C57643" w:rsidRPr="00C57643" w:rsidRDefault="00C57643" w:rsidP="00815974">
      <w:pPr>
        <w:spacing w:line="360" w:lineRule="auto"/>
        <w:rPr>
          <w:color w:val="000000"/>
          <w:szCs w:val="24"/>
        </w:rPr>
      </w:pPr>
    </w:p>
    <w:p w14:paraId="290EB7A8" w14:textId="149B7E58" w:rsidR="00C57643" w:rsidRPr="00C57643" w:rsidRDefault="00C57643" w:rsidP="00BF42DC">
      <w:pPr>
        <w:spacing w:line="360" w:lineRule="auto"/>
        <w:ind w:firstLine="1440"/>
        <w:rPr>
          <w:color w:val="000000"/>
          <w:szCs w:val="24"/>
        </w:rPr>
      </w:pPr>
      <w:r w:rsidRPr="00C57643">
        <w:rPr>
          <w:color w:val="000000"/>
          <w:szCs w:val="24"/>
        </w:rPr>
        <w:t xml:space="preserve">Page 8, line 5 through and including page 8, line </w:t>
      </w:r>
      <w:proofErr w:type="gramStart"/>
      <w:r w:rsidRPr="00C57643">
        <w:rPr>
          <w:color w:val="000000"/>
          <w:szCs w:val="24"/>
        </w:rPr>
        <w:t>9;</w:t>
      </w:r>
      <w:proofErr w:type="gramEnd"/>
      <w:r w:rsidRPr="00C57643">
        <w:rPr>
          <w:color w:val="000000"/>
          <w:szCs w:val="24"/>
        </w:rPr>
        <w:t xml:space="preserve"> </w:t>
      </w:r>
    </w:p>
    <w:p w14:paraId="34A8725C" w14:textId="49C8CFC3" w:rsidR="00C57643" w:rsidRPr="00C57643" w:rsidRDefault="00C57643" w:rsidP="00BF42DC">
      <w:pPr>
        <w:spacing w:line="360" w:lineRule="auto"/>
        <w:ind w:firstLine="1440"/>
        <w:rPr>
          <w:color w:val="000000"/>
          <w:szCs w:val="24"/>
        </w:rPr>
      </w:pPr>
      <w:r w:rsidRPr="00C57643">
        <w:rPr>
          <w:color w:val="000000"/>
          <w:szCs w:val="24"/>
        </w:rPr>
        <w:t xml:space="preserve">Page 8, line 17 through and including page 9, line </w:t>
      </w:r>
      <w:proofErr w:type="gramStart"/>
      <w:r w:rsidRPr="00C57643">
        <w:rPr>
          <w:color w:val="000000"/>
          <w:szCs w:val="24"/>
        </w:rPr>
        <w:t>3;</w:t>
      </w:r>
      <w:proofErr w:type="gramEnd"/>
      <w:r w:rsidRPr="00C57643">
        <w:rPr>
          <w:color w:val="000000"/>
          <w:szCs w:val="24"/>
        </w:rPr>
        <w:t xml:space="preserve"> </w:t>
      </w:r>
    </w:p>
    <w:p w14:paraId="3D381474" w14:textId="5B42373B" w:rsidR="00C57643" w:rsidRPr="00C57643" w:rsidRDefault="00C57643" w:rsidP="00BF42DC">
      <w:pPr>
        <w:spacing w:line="360" w:lineRule="auto"/>
        <w:ind w:firstLine="1440"/>
        <w:rPr>
          <w:color w:val="000000"/>
          <w:szCs w:val="24"/>
        </w:rPr>
      </w:pPr>
      <w:r w:rsidRPr="00C57643">
        <w:rPr>
          <w:color w:val="000000"/>
          <w:szCs w:val="24"/>
        </w:rPr>
        <w:t xml:space="preserve">Page 12, line 1 through and including page 12, line </w:t>
      </w:r>
      <w:proofErr w:type="gramStart"/>
      <w:r w:rsidRPr="00C57643">
        <w:rPr>
          <w:color w:val="000000"/>
          <w:szCs w:val="24"/>
        </w:rPr>
        <w:t>4;</w:t>
      </w:r>
      <w:proofErr w:type="gramEnd"/>
      <w:r w:rsidRPr="00C57643">
        <w:rPr>
          <w:color w:val="000000"/>
          <w:szCs w:val="24"/>
        </w:rPr>
        <w:t xml:space="preserve"> </w:t>
      </w:r>
    </w:p>
    <w:p w14:paraId="2B758899" w14:textId="3FE1C80E" w:rsidR="00C57643" w:rsidRPr="00C57643" w:rsidRDefault="00C57643" w:rsidP="00BF42DC">
      <w:pPr>
        <w:spacing w:line="360" w:lineRule="auto"/>
        <w:ind w:firstLine="1440"/>
        <w:rPr>
          <w:color w:val="000000"/>
          <w:szCs w:val="24"/>
        </w:rPr>
      </w:pPr>
      <w:r w:rsidRPr="00C57643">
        <w:rPr>
          <w:color w:val="000000"/>
          <w:szCs w:val="24"/>
        </w:rPr>
        <w:lastRenderedPageBreak/>
        <w:t xml:space="preserve">Page 19, line 17 through and including page 20, line </w:t>
      </w:r>
      <w:proofErr w:type="gramStart"/>
      <w:r w:rsidRPr="00C57643">
        <w:rPr>
          <w:color w:val="000000"/>
          <w:szCs w:val="24"/>
        </w:rPr>
        <w:t>5;</w:t>
      </w:r>
      <w:proofErr w:type="gramEnd"/>
      <w:r w:rsidRPr="00C57643">
        <w:rPr>
          <w:color w:val="000000"/>
          <w:szCs w:val="24"/>
        </w:rPr>
        <w:t xml:space="preserve"> </w:t>
      </w:r>
    </w:p>
    <w:p w14:paraId="570622FB" w14:textId="37C32FEB" w:rsidR="00C57643" w:rsidRPr="00C57643" w:rsidRDefault="00C57643" w:rsidP="00BF42DC">
      <w:pPr>
        <w:spacing w:line="360" w:lineRule="auto"/>
        <w:ind w:firstLine="1440"/>
        <w:rPr>
          <w:color w:val="000000"/>
          <w:szCs w:val="24"/>
        </w:rPr>
      </w:pPr>
      <w:r w:rsidRPr="00C57643">
        <w:rPr>
          <w:color w:val="000000"/>
          <w:szCs w:val="24"/>
        </w:rPr>
        <w:t xml:space="preserve">Page 25, line 9 through and including page 25, line </w:t>
      </w:r>
      <w:proofErr w:type="gramStart"/>
      <w:r w:rsidRPr="00C57643">
        <w:rPr>
          <w:color w:val="000000"/>
          <w:szCs w:val="24"/>
        </w:rPr>
        <w:t>12;</w:t>
      </w:r>
      <w:proofErr w:type="gramEnd"/>
      <w:r w:rsidRPr="00C57643">
        <w:rPr>
          <w:color w:val="000000"/>
          <w:szCs w:val="24"/>
        </w:rPr>
        <w:t xml:space="preserve"> </w:t>
      </w:r>
    </w:p>
    <w:p w14:paraId="2178E960" w14:textId="0F9CAD75" w:rsidR="00C57643" w:rsidRPr="00C57643" w:rsidRDefault="00C57643" w:rsidP="00BF42DC">
      <w:pPr>
        <w:spacing w:line="360" w:lineRule="auto"/>
        <w:ind w:firstLine="1440"/>
        <w:rPr>
          <w:color w:val="000000"/>
          <w:szCs w:val="24"/>
        </w:rPr>
      </w:pPr>
      <w:r w:rsidRPr="00C57643">
        <w:rPr>
          <w:color w:val="000000"/>
          <w:szCs w:val="24"/>
        </w:rPr>
        <w:t xml:space="preserve">Page 25, line 13 through and including page 26, line </w:t>
      </w:r>
      <w:proofErr w:type="gramStart"/>
      <w:r w:rsidRPr="00C57643">
        <w:rPr>
          <w:color w:val="000000"/>
          <w:szCs w:val="24"/>
        </w:rPr>
        <w:t>2;</w:t>
      </w:r>
      <w:proofErr w:type="gramEnd"/>
      <w:r w:rsidRPr="00C57643">
        <w:rPr>
          <w:color w:val="000000"/>
          <w:szCs w:val="24"/>
        </w:rPr>
        <w:t xml:space="preserve"> </w:t>
      </w:r>
    </w:p>
    <w:p w14:paraId="20A9D29E" w14:textId="060E3A16" w:rsidR="00C57643" w:rsidRPr="00C57643" w:rsidRDefault="00C57643" w:rsidP="00BF42DC">
      <w:pPr>
        <w:spacing w:line="360" w:lineRule="auto"/>
        <w:ind w:firstLine="1440"/>
        <w:rPr>
          <w:color w:val="000000"/>
          <w:szCs w:val="24"/>
        </w:rPr>
      </w:pPr>
      <w:r w:rsidRPr="00C57643">
        <w:rPr>
          <w:color w:val="000000"/>
          <w:szCs w:val="24"/>
        </w:rPr>
        <w:t xml:space="preserve">Page 26, line 22 through and including page 27, line </w:t>
      </w:r>
      <w:proofErr w:type="gramStart"/>
      <w:r w:rsidRPr="00C57643">
        <w:rPr>
          <w:color w:val="000000"/>
          <w:szCs w:val="24"/>
        </w:rPr>
        <w:t>9;</w:t>
      </w:r>
      <w:proofErr w:type="gramEnd"/>
      <w:r w:rsidRPr="00C57643">
        <w:rPr>
          <w:color w:val="000000"/>
          <w:szCs w:val="24"/>
        </w:rPr>
        <w:t xml:space="preserve">  </w:t>
      </w:r>
    </w:p>
    <w:p w14:paraId="2E01C985" w14:textId="55DD5040" w:rsidR="00C57643" w:rsidRPr="00C57643" w:rsidRDefault="00C57643" w:rsidP="00BF42DC">
      <w:pPr>
        <w:spacing w:line="360" w:lineRule="auto"/>
        <w:ind w:firstLine="1440"/>
        <w:rPr>
          <w:color w:val="000000"/>
          <w:szCs w:val="24"/>
        </w:rPr>
      </w:pPr>
      <w:r w:rsidRPr="00C57643">
        <w:rPr>
          <w:color w:val="000000"/>
          <w:szCs w:val="24"/>
        </w:rPr>
        <w:t xml:space="preserve">Page 29, line 5 through and including page 29, line </w:t>
      </w:r>
      <w:proofErr w:type="gramStart"/>
      <w:r w:rsidRPr="00C57643">
        <w:rPr>
          <w:color w:val="000000"/>
          <w:szCs w:val="24"/>
        </w:rPr>
        <w:t>17;</w:t>
      </w:r>
      <w:proofErr w:type="gramEnd"/>
      <w:r w:rsidRPr="00C57643">
        <w:rPr>
          <w:color w:val="000000"/>
          <w:szCs w:val="24"/>
        </w:rPr>
        <w:t xml:space="preserve"> </w:t>
      </w:r>
    </w:p>
    <w:p w14:paraId="159CD028" w14:textId="47411079" w:rsidR="00C57643" w:rsidRPr="00C57643" w:rsidRDefault="00C57643" w:rsidP="00BF42DC">
      <w:pPr>
        <w:spacing w:line="360" w:lineRule="auto"/>
        <w:ind w:firstLine="1440"/>
        <w:rPr>
          <w:color w:val="000000"/>
          <w:szCs w:val="24"/>
        </w:rPr>
      </w:pPr>
      <w:r w:rsidRPr="00C57643">
        <w:rPr>
          <w:color w:val="000000"/>
          <w:szCs w:val="24"/>
        </w:rPr>
        <w:t xml:space="preserve">Page 32, line 3 through and including page 32, line </w:t>
      </w:r>
      <w:proofErr w:type="gramStart"/>
      <w:r w:rsidRPr="00C57643">
        <w:rPr>
          <w:color w:val="000000"/>
          <w:szCs w:val="24"/>
        </w:rPr>
        <w:t>4;</w:t>
      </w:r>
      <w:proofErr w:type="gramEnd"/>
      <w:r w:rsidRPr="00C57643">
        <w:rPr>
          <w:color w:val="000000"/>
          <w:szCs w:val="24"/>
        </w:rPr>
        <w:t xml:space="preserve"> </w:t>
      </w:r>
    </w:p>
    <w:p w14:paraId="3BEA4408" w14:textId="7AF2D300" w:rsidR="00C57643" w:rsidRPr="00C57643" w:rsidRDefault="00C57643" w:rsidP="00BF42DC">
      <w:pPr>
        <w:spacing w:line="360" w:lineRule="auto"/>
        <w:ind w:firstLine="1440"/>
        <w:rPr>
          <w:color w:val="000000"/>
          <w:szCs w:val="24"/>
        </w:rPr>
      </w:pPr>
      <w:r w:rsidRPr="00C57643">
        <w:rPr>
          <w:color w:val="000000"/>
          <w:szCs w:val="24"/>
        </w:rPr>
        <w:t xml:space="preserve">Page 35, line 3 through and including page 36, line </w:t>
      </w:r>
      <w:proofErr w:type="gramStart"/>
      <w:r w:rsidRPr="00C57643">
        <w:rPr>
          <w:color w:val="000000"/>
          <w:szCs w:val="24"/>
        </w:rPr>
        <w:t>7;</w:t>
      </w:r>
      <w:proofErr w:type="gramEnd"/>
      <w:r w:rsidRPr="00C57643">
        <w:rPr>
          <w:color w:val="000000"/>
          <w:szCs w:val="24"/>
        </w:rPr>
        <w:t xml:space="preserve"> </w:t>
      </w:r>
    </w:p>
    <w:p w14:paraId="2540B4E9" w14:textId="178FCF66" w:rsidR="00C57643" w:rsidRPr="00C57643" w:rsidRDefault="00C57643" w:rsidP="00BF42DC">
      <w:pPr>
        <w:spacing w:line="360" w:lineRule="auto"/>
        <w:ind w:firstLine="1440"/>
        <w:rPr>
          <w:color w:val="000000"/>
          <w:szCs w:val="24"/>
        </w:rPr>
      </w:pPr>
      <w:r w:rsidRPr="00C57643">
        <w:rPr>
          <w:color w:val="000000"/>
          <w:szCs w:val="24"/>
        </w:rPr>
        <w:t xml:space="preserve">Page 35, line 5 through and including page 39, line </w:t>
      </w:r>
      <w:proofErr w:type="gramStart"/>
      <w:r w:rsidRPr="00C57643">
        <w:rPr>
          <w:color w:val="000000"/>
          <w:szCs w:val="24"/>
        </w:rPr>
        <w:t>8;</w:t>
      </w:r>
      <w:proofErr w:type="gramEnd"/>
      <w:r w:rsidRPr="00C57643">
        <w:rPr>
          <w:color w:val="000000"/>
          <w:szCs w:val="24"/>
        </w:rPr>
        <w:t xml:space="preserve"> </w:t>
      </w:r>
    </w:p>
    <w:p w14:paraId="3E69057E" w14:textId="3BF9BD57" w:rsidR="00C57643" w:rsidRPr="00C57643" w:rsidRDefault="00C57643" w:rsidP="00BF42DC">
      <w:pPr>
        <w:spacing w:line="360" w:lineRule="auto"/>
        <w:ind w:firstLine="1440"/>
        <w:rPr>
          <w:color w:val="000000"/>
          <w:szCs w:val="24"/>
        </w:rPr>
      </w:pPr>
      <w:r w:rsidRPr="00C57643">
        <w:rPr>
          <w:color w:val="000000"/>
          <w:szCs w:val="24"/>
        </w:rPr>
        <w:t xml:space="preserve">Page 43, line 12 through and including page 43, line </w:t>
      </w:r>
      <w:proofErr w:type="gramStart"/>
      <w:r w:rsidRPr="00C57643">
        <w:rPr>
          <w:color w:val="000000"/>
          <w:szCs w:val="24"/>
        </w:rPr>
        <w:t>14;</w:t>
      </w:r>
      <w:proofErr w:type="gramEnd"/>
      <w:r w:rsidRPr="00C57643">
        <w:rPr>
          <w:color w:val="000000"/>
          <w:szCs w:val="24"/>
        </w:rPr>
        <w:t xml:space="preserve"> </w:t>
      </w:r>
    </w:p>
    <w:p w14:paraId="5E048B1D" w14:textId="46B33021" w:rsidR="00C57643" w:rsidRPr="00C57643" w:rsidRDefault="00C57643" w:rsidP="00BF42DC">
      <w:pPr>
        <w:spacing w:line="360" w:lineRule="auto"/>
        <w:ind w:firstLine="1440"/>
        <w:rPr>
          <w:color w:val="000000"/>
          <w:szCs w:val="24"/>
        </w:rPr>
      </w:pPr>
      <w:r w:rsidRPr="00C57643">
        <w:rPr>
          <w:color w:val="000000"/>
          <w:szCs w:val="24"/>
        </w:rPr>
        <w:t xml:space="preserve">Page 44, line 7 through and including page 45, line </w:t>
      </w:r>
      <w:proofErr w:type="gramStart"/>
      <w:r w:rsidRPr="00C57643">
        <w:rPr>
          <w:color w:val="000000"/>
          <w:szCs w:val="24"/>
        </w:rPr>
        <w:t>18;</w:t>
      </w:r>
      <w:proofErr w:type="gramEnd"/>
      <w:r w:rsidRPr="00C57643">
        <w:rPr>
          <w:color w:val="000000"/>
          <w:szCs w:val="24"/>
        </w:rPr>
        <w:t xml:space="preserve"> </w:t>
      </w:r>
    </w:p>
    <w:p w14:paraId="6F59B74A" w14:textId="34AEE59E" w:rsidR="00C57643" w:rsidRPr="00C57643" w:rsidRDefault="00C57643" w:rsidP="00BF42DC">
      <w:pPr>
        <w:spacing w:line="360" w:lineRule="auto"/>
        <w:ind w:firstLine="1440"/>
        <w:rPr>
          <w:color w:val="000000"/>
          <w:szCs w:val="24"/>
        </w:rPr>
      </w:pPr>
      <w:r w:rsidRPr="00C57643">
        <w:rPr>
          <w:color w:val="000000"/>
          <w:szCs w:val="24"/>
        </w:rPr>
        <w:t xml:space="preserve">Page 54, line 20 through and including page 61, line </w:t>
      </w:r>
      <w:proofErr w:type="gramStart"/>
      <w:r w:rsidRPr="00C57643">
        <w:rPr>
          <w:color w:val="000000"/>
          <w:szCs w:val="24"/>
        </w:rPr>
        <w:t>6;</w:t>
      </w:r>
      <w:proofErr w:type="gramEnd"/>
      <w:r w:rsidRPr="00C57643">
        <w:rPr>
          <w:color w:val="000000"/>
          <w:szCs w:val="24"/>
        </w:rPr>
        <w:t xml:space="preserve"> </w:t>
      </w:r>
    </w:p>
    <w:p w14:paraId="5FD99754" w14:textId="3707B907" w:rsidR="00C57643" w:rsidRPr="00C57643" w:rsidRDefault="00C57643" w:rsidP="00BF42DC">
      <w:pPr>
        <w:spacing w:line="360" w:lineRule="auto"/>
        <w:ind w:firstLine="1440"/>
        <w:rPr>
          <w:color w:val="000000"/>
          <w:szCs w:val="24"/>
        </w:rPr>
      </w:pPr>
      <w:r w:rsidRPr="00C57643">
        <w:rPr>
          <w:color w:val="000000"/>
          <w:szCs w:val="24"/>
        </w:rPr>
        <w:t xml:space="preserve">Page 64, line 11 through and including page 64, line </w:t>
      </w:r>
      <w:proofErr w:type="gramStart"/>
      <w:r w:rsidRPr="00C57643">
        <w:rPr>
          <w:color w:val="000000"/>
          <w:szCs w:val="24"/>
        </w:rPr>
        <w:t>20;</w:t>
      </w:r>
      <w:proofErr w:type="gramEnd"/>
      <w:r w:rsidRPr="00C57643">
        <w:rPr>
          <w:color w:val="000000"/>
          <w:szCs w:val="24"/>
        </w:rPr>
        <w:t xml:space="preserve"> </w:t>
      </w:r>
    </w:p>
    <w:p w14:paraId="398F5EB0" w14:textId="6E2DD911" w:rsidR="00C57643" w:rsidRPr="00C57643" w:rsidRDefault="00C57643" w:rsidP="00BF42DC">
      <w:pPr>
        <w:spacing w:line="360" w:lineRule="auto"/>
        <w:ind w:firstLine="1440"/>
        <w:rPr>
          <w:color w:val="000000"/>
          <w:szCs w:val="24"/>
        </w:rPr>
      </w:pPr>
      <w:r w:rsidRPr="00C57643">
        <w:rPr>
          <w:color w:val="000000"/>
          <w:szCs w:val="24"/>
        </w:rPr>
        <w:t xml:space="preserve">Page 66, line 5 through and including page 68, line </w:t>
      </w:r>
      <w:proofErr w:type="gramStart"/>
      <w:r w:rsidRPr="00C57643">
        <w:rPr>
          <w:color w:val="000000"/>
          <w:szCs w:val="24"/>
        </w:rPr>
        <w:t>19;</w:t>
      </w:r>
      <w:proofErr w:type="gramEnd"/>
      <w:r w:rsidRPr="00C57643">
        <w:rPr>
          <w:color w:val="000000"/>
          <w:szCs w:val="24"/>
        </w:rPr>
        <w:t xml:space="preserve"> </w:t>
      </w:r>
    </w:p>
    <w:p w14:paraId="4C30525D" w14:textId="7CAD06CC" w:rsidR="00C57643" w:rsidRPr="00C57643" w:rsidRDefault="00C57643" w:rsidP="00BF42DC">
      <w:pPr>
        <w:spacing w:line="360" w:lineRule="auto"/>
        <w:ind w:firstLine="1440"/>
        <w:rPr>
          <w:color w:val="000000"/>
          <w:szCs w:val="24"/>
        </w:rPr>
      </w:pPr>
      <w:r w:rsidRPr="00C57643">
        <w:rPr>
          <w:color w:val="000000"/>
          <w:szCs w:val="24"/>
        </w:rPr>
        <w:t xml:space="preserve">Page 69, line 15 through and including page 70, line 2; and </w:t>
      </w:r>
    </w:p>
    <w:p w14:paraId="06D6B67F" w14:textId="0D36CAEF" w:rsidR="00C57643" w:rsidRDefault="00C57643" w:rsidP="00BF42DC">
      <w:pPr>
        <w:spacing w:line="360" w:lineRule="auto"/>
        <w:ind w:firstLine="1440"/>
        <w:rPr>
          <w:color w:val="000000"/>
          <w:szCs w:val="24"/>
        </w:rPr>
      </w:pPr>
      <w:r w:rsidRPr="00C57643">
        <w:rPr>
          <w:color w:val="000000"/>
          <w:szCs w:val="24"/>
        </w:rPr>
        <w:t>Page 72, line 7 through and including page 72, line 23.</w:t>
      </w:r>
    </w:p>
    <w:p w14:paraId="47D92796" w14:textId="77777777" w:rsidR="00C57643" w:rsidRDefault="00C57643" w:rsidP="00BF42DC">
      <w:pPr>
        <w:spacing w:line="360" w:lineRule="auto"/>
        <w:ind w:firstLine="1440"/>
        <w:rPr>
          <w:color w:val="000000"/>
          <w:szCs w:val="24"/>
        </w:rPr>
      </w:pPr>
    </w:p>
    <w:p w14:paraId="0DA67646" w14:textId="3EFD5434" w:rsidR="00C57643" w:rsidRDefault="00C57643" w:rsidP="00BF42DC">
      <w:pPr>
        <w:spacing w:line="360" w:lineRule="auto"/>
        <w:ind w:firstLine="1440"/>
        <w:rPr>
          <w:color w:val="000000"/>
          <w:szCs w:val="24"/>
        </w:rPr>
      </w:pPr>
      <w:r w:rsidRPr="00C57643">
        <w:rPr>
          <w:color w:val="000000"/>
          <w:szCs w:val="24"/>
        </w:rPr>
        <w:t>OCA Statement No. 5</w:t>
      </w:r>
      <w:r w:rsidR="00815974">
        <w:rPr>
          <w:color w:val="000000"/>
          <w:szCs w:val="24"/>
        </w:rPr>
        <w:t>:</w:t>
      </w:r>
      <w:r w:rsidRPr="00C57643">
        <w:rPr>
          <w:color w:val="000000"/>
          <w:szCs w:val="24"/>
        </w:rPr>
        <w:t xml:space="preserve"> </w:t>
      </w:r>
    </w:p>
    <w:p w14:paraId="28ED0BC0" w14:textId="77777777" w:rsidR="00C57643" w:rsidRPr="00C57643" w:rsidRDefault="00C57643" w:rsidP="00BF42DC">
      <w:pPr>
        <w:spacing w:line="360" w:lineRule="auto"/>
        <w:ind w:firstLine="1440"/>
        <w:rPr>
          <w:color w:val="000000"/>
          <w:szCs w:val="24"/>
        </w:rPr>
      </w:pPr>
    </w:p>
    <w:p w14:paraId="461411FA" w14:textId="19148146" w:rsidR="00C57643" w:rsidRPr="00C57643" w:rsidRDefault="00C57643" w:rsidP="00BF42DC">
      <w:pPr>
        <w:spacing w:line="360" w:lineRule="auto"/>
        <w:ind w:firstLine="1440"/>
        <w:rPr>
          <w:color w:val="000000"/>
          <w:szCs w:val="24"/>
        </w:rPr>
      </w:pPr>
      <w:r w:rsidRPr="00C57643">
        <w:rPr>
          <w:color w:val="000000"/>
          <w:szCs w:val="24"/>
        </w:rPr>
        <w:t xml:space="preserve">Page 3, line 26 through and including page 3, line </w:t>
      </w:r>
      <w:proofErr w:type="gramStart"/>
      <w:r w:rsidRPr="00C57643">
        <w:rPr>
          <w:color w:val="000000"/>
          <w:szCs w:val="24"/>
        </w:rPr>
        <w:t>27;</w:t>
      </w:r>
      <w:proofErr w:type="gramEnd"/>
      <w:r w:rsidRPr="00C57643">
        <w:rPr>
          <w:color w:val="000000"/>
          <w:szCs w:val="24"/>
        </w:rPr>
        <w:t xml:space="preserve"> </w:t>
      </w:r>
    </w:p>
    <w:p w14:paraId="0B0286A7" w14:textId="77574BD9" w:rsidR="00C57643" w:rsidRPr="00C57643" w:rsidRDefault="00C57643" w:rsidP="00BF42DC">
      <w:pPr>
        <w:spacing w:line="360" w:lineRule="auto"/>
        <w:ind w:firstLine="1440"/>
        <w:rPr>
          <w:color w:val="000000"/>
          <w:szCs w:val="24"/>
        </w:rPr>
      </w:pPr>
      <w:r w:rsidRPr="00C57643">
        <w:rPr>
          <w:color w:val="000000"/>
          <w:szCs w:val="24"/>
        </w:rPr>
        <w:t xml:space="preserve">Page 4, line 9 through and including page 4, line </w:t>
      </w:r>
      <w:proofErr w:type="gramStart"/>
      <w:r w:rsidRPr="00C57643">
        <w:rPr>
          <w:color w:val="000000"/>
          <w:szCs w:val="24"/>
        </w:rPr>
        <w:t>22;</w:t>
      </w:r>
      <w:proofErr w:type="gramEnd"/>
      <w:r w:rsidRPr="00C57643">
        <w:rPr>
          <w:color w:val="000000"/>
          <w:szCs w:val="24"/>
        </w:rPr>
        <w:t xml:space="preserve"> </w:t>
      </w:r>
    </w:p>
    <w:p w14:paraId="7AF47E8B" w14:textId="53DA4612" w:rsidR="00C57643" w:rsidRPr="00C57643" w:rsidRDefault="00C57643" w:rsidP="00BF42DC">
      <w:pPr>
        <w:spacing w:line="360" w:lineRule="auto"/>
        <w:ind w:firstLine="1440"/>
        <w:rPr>
          <w:color w:val="000000"/>
          <w:szCs w:val="24"/>
        </w:rPr>
      </w:pPr>
      <w:r w:rsidRPr="00C57643">
        <w:rPr>
          <w:color w:val="000000"/>
          <w:szCs w:val="24"/>
        </w:rPr>
        <w:t xml:space="preserve">Page 4, line 31 through and including page 5, line </w:t>
      </w:r>
      <w:proofErr w:type="gramStart"/>
      <w:r w:rsidRPr="00C57643">
        <w:rPr>
          <w:color w:val="000000"/>
          <w:szCs w:val="24"/>
        </w:rPr>
        <w:t>18;</w:t>
      </w:r>
      <w:proofErr w:type="gramEnd"/>
      <w:r w:rsidRPr="00C57643">
        <w:rPr>
          <w:color w:val="000000"/>
          <w:szCs w:val="24"/>
        </w:rPr>
        <w:t xml:space="preserve"> </w:t>
      </w:r>
    </w:p>
    <w:p w14:paraId="10A79E73" w14:textId="781EC44C" w:rsidR="00C57643" w:rsidRPr="00C57643" w:rsidRDefault="00C57643" w:rsidP="00BF42DC">
      <w:pPr>
        <w:spacing w:line="360" w:lineRule="auto"/>
        <w:ind w:firstLine="1440"/>
        <w:rPr>
          <w:color w:val="000000"/>
          <w:szCs w:val="24"/>
        </w:rPr>
      </w:pPr>
      <w:r w:rsidRPr="00C57643">
        <w:rPr>
          <w:color w:val="000000"/>
          <w:szCs w:val="24"/>
        </w:rPr>
        <w:t xml:space="preserve">Page 60, line 6 through and including page 60, line 21; and </w:t>
      </w:r>
    </w:p>
    <w:p w14:paraId="1F0DB0ED" w14:textId="46F74E53" w:rsidR="00C57643" w:rsidRDefault="00C57643" w:rsidP="007E5F64">
      <w:pPr>
        <w:spacing w:line="360" w:lineRule="auto"/>
        <w:ind w:firstLine="1440"/>
        <w:rPr>
          <w:color w:val="000000"/>
          <w:szCs w:val="24"/>
        </w:rPr>
      </w:pPr>
      <w:r w:rsidRPr="00C57643">
        <w:rPr>
          <w:color w:val="000000"/>
          <w:szCs w:val="24"/>
        </w:rPr>
        <w:t xml:space="preserve">Page 65, line 16 through and including page 73, line 20. </w:t>
      </w:r>
    </w:p>
    <w:p w14:paraId="68D5AADC" w14:textId="6808B481" w:rsidR="00655106" w:rsidRDefault="00655106" w:rsidP="00BF42DC">
      <w:pPr>
        <w:spacing w:line="360" w:lineRule="auto"/>
        <w:ind w:firstLine="1440"/>
        <w:rPr>
          <w:color w:val="000000"/>
          <w:szCs w:val="24"/>
        </w:rPr>
      </w:pPr>
    </w:p>
    <w:p w14:paraId="08767798" w14:textId="524CE65B" w:rsidR="00462D29" w:rsidRDefault="00977A89" w:rsidP="00BF42DC">
      <w:pPr>
        <w:spacing w:line="360" w:lineRule="auto"/>
        <w:ind w:firstLine="1440"/>
        <w:rPr>
          <w:sz w:val="23"/>
          <w:szCs w:val="23"/>
        </w:rPr>
      </w:pPr>
      <w:r>
        <w:rPr>
          <w:color w:val="000000"/>
          <w:szCs w:val="24"/>
        </w:rPr>
        <w:t xml:space="preserve">TURN, </w:t>
      </w:r>
      <w:r w:rsidRPr="00F61AE2">
        <w:rPr>
          <w:i/>
          <w:iCs/>
          <w:color w:val="000000"/>
          <w:szCs w:val="24"/>
        </w:rPr>
        <w:t>et</w:t>
      </w:r>
      <w:r w:rsidR="00BD1B6F" w:rsidRPr="00F61AE2">
        <w:rPr>
          <w:i/>
          <w:iCs/>
          <w:color w:val="000000"/>
          <w:szCs w:val="24"/>
        </w:rPr>
        <w:t>.</w:t>
      </w:r>
      <w:r w:rsidRPr="00F61AE2">
        <w:rPr>
          <w:i/>
          <w:iCs/>
          <w:color w:val="000000"/>
          <w:szCs w:val="24"/>
        </w:rPr>
        <w:t xml:space="preserve"> al</w:t>
      </w:r>
      <w:r w:rsidR="00BD1B6F">
        <w:rPr>
          <w:color w:val="000000"/>
          <w:szCs w:val="24"/>
        </w:rPr>
        <w:t>.</w:t>
      </w:r>
      <w:r>
        <w:rPr>
          <w:color w:val="000000"/>
          <w:szCs w:val="24"/>
        </w:rPr>
        <w:t xml:space="preserve"> contends that </w:t>
      </w:r>
      <w:r>
        <w:rPr>
          <w:rFonts w:eastAsiaTheme="minorHAnsi"/>
          <w:szCs w:val="24"/>
        </w:rPr>
        <w:t>Mr. Geller makes several suggestions to improve prog</w:t>
      </w:r>
      <w:r>
        <w:rPr>
          <w:rFonts w:ascii="TimesNewRomanPSMT" w:eastAsiaTheme="minorHAnsi" w:hAnsi="TimesNewRomanPSMT" w:cs="TimesNewRomanPSMT"/>
          <w:szCs w:val="24"/>
        </w:rPr>
        <w:t>rams and policies for PGW’s low</w:t>
      </w:r>
      <w:r>
        <w:rPr>
          <w:rFonts w:eastAsiaTheme="minorHAnsi"/>
          <w:szCs w:val="24"/>
        </w:rPr>
        <w:t>-income customers that could mitigate the impact of the proposed rate increase.</w:t>
      </w:r>
      <w:r>
        <w:rPr>
          <w:color w:val="000000"/>
          <w:szCs w:val="24"/>
        </w:rPr>
        <w:t xml:space="preserve"> </w:t>
      </w:r>
      <w:r w:rsidR="00367BC4">
        <w:rPr>
          <w:color w:val="000000"/>
          <w:szCs w:val="24"/>
        </w:rPr>
        <w:t>OCA contends that testimony recommending changes to the low-income program at PGW is relevant to this matter because it is a quality of service issue that should be considered in a base rate case</w:t>
      </w:r>
      <w:r w:rsidR="00930B31">
        <w:rPr>
          <w:color w:val="000000"/>
          <w:szCs w:val="24"/>
        </w:rPr>
        <w:t xml:space="preserve">. </w:t>
      </w:r>
      <w:r>
        <w:rPr>
          <w:color w:val="000000"/>
          <w:szCs w:val="24"/>
        </w:rPr>
        <w:t>CAUSE – PA states that “</w:t>
      </w:r>
      <w:r>
        <w:rPr>
          <w:sz w:val="23"/>
          <w:szCs w:val="23"/>
        </w:rPr>
        <w:t xml:space="preserve">CAUSE-PA shares the concerns raised by Mr. Geller in his Direct Testimony regarding the potential impact that PGW’s proposed rate increase may have on its low-income customers, including customers enrolled in PGW’s universal service </w:t>
      </w:r>
      <w:r>
        <w:rPr>
          <w:sz w:val="23"/>
          <w:szCs w:val="23"/>
        </w:rPr>
        <w:lastRenderedPageBreak/>
        <w:t xml:space="preserve">programs, and the critical need for universal service program improvements and reforms.” CAUSE-PA Answer at 5. </w:t>
      </w:r>
      <w:r w:rsidR="00655106">
        <w:rPr>
          <w:sz w:val="23"/>
          <w:szCs w:val="23"/>
        </w:rPr>
        <w:t xml:space="preserve"> </w:t>
      </w:r>
    </w:p>
    <w:p w14:paraId="49781B0F" w14:textId="77777777" w:rsidR="00462D29" w:rsidRDefault="00462D29" w:rsidP="00BF42DC">
      <w:pPr>
        <w:spacing w:line="360" w:lineRule="auto"/>
        <w:ind w:firstLine="1440"/>
        <w:rPr>
          <w:sz w:val="23"/>
          <w:szCs w:val="23"/>
        </w:rPr>
      </w:pPr>
    </w:p>
    <w:p w14:paraId="07EECA2A" w14:textId="40022E2E" w:rsidR="00367BC4" w:rsidRDefault="00655106" w:rsidP="00BF42DC">
      <w:pPr>
        <w:spacing w:line="360" w:lineRule="auto"/>
        <w:ind w:firstLine="1440"/>
        <w:rPr>
          <w:color w:val="000000"/>
          <w:szCs w:val="24"/>
        </w:rPr>
      </w:pPr>
      <w:r>
        <w:rPr>
          <w:sz w:val="23"/>
          <w:szCs w:val="23"/>
        </w:rPr>
        <w:t xml:space="preserve">TURN, OCA and CAUSE-PA </w:t>
      </w:r>
      <w:r w:rsidR="00462D29">
        <w:rPr>
          <w:sz w:val="23"/>
          <w:szCs w:val="23"/>
        </w:rPr>
        <w:t xml:space="preserve">each </w:t>
      </w:r>
      <w:r>
        <w:rPr>
          <w:color w:val="000000"/>
          <w:szCs w:val="24"/>
        </w:rPr>
        <w:t xml:space="preserve">contend that language access issues under the Civil Rights Act of 1964 </w:t>
      </w:r>
      <w:r w:rsidR="00462D29">
        <w:rPr>
          <w:color w:val="000000"/>
          <w:szCs w:val="24"/>
        </w:rPr>
        <w:t>and/</w:t>
      </w:r>
      <w:r>
        <w:rPr>
          <w:color w:val="000000"/>
          <w:szCs w:val="24"/>
        </w:rPr>
        <w:t>or the Philadelphia Home Rule Charter are relevant to the quality of service and whether the rates are just and reasonable</w:t>
      </w:r>
      <w:r w:rsidR="00462D29">
        <w:rPr>
          <w:color w:val="000000"/>
          <w:szCs w:val="24"/>
        </w:rPr>
        <w:t xml:space="preserve"> and therefore should be addressed in this proceeding</w:t>
      </w:r>
      <w:r>
        <w:rPr>
          <w:color w:val="000000"/>
          <w:szCs w:val="24"/>
        </w:rPr>
        <w:t xml:space="preserve">. </w:t>
      </w:r>
    </w:p>
    <w:p w14:paraId="2EB27E97" w14:textId="10AF4591" w:rsidR="00F22685" w:rsidRDefault="00F22685" w:rsidP="00BF42DC">
      <w:pPr>
        <w:spacing w:line="360" w:lineRule="auto"/>
        <w:ind w:firstLine="1440"/>
        <w:rPr>
          <w:color w:val="000000"/>
          <w:szCs w:val="24"/>
        </w:rPr>
      </w:pPr>
    </w:p>
    <w:p w14:paraId="2F0C95EE" w14:textId="3B01B7F0" w:rsidR="00F22685" w:rsidRDefault="00F22685" w:rsidP="00F22685">
      <w:pPr>
        <w:tabs>
          <w:tab w:val="left" w:pos="1440"/>
        </w:tabs>
        <w:spacing w:line="360" w:lineRule="auto"/>
        <w:ind w:firstLine="1440"/>
      </w:pPr>
      <w:r>
        <w:rPr>
          <w:szCs w:val="24"/>
        </w:rPr>
        <w:t xml:space="preserve">As stated in the Suspension Order of April 16, 2020, these proceedings are to investigate and consider </w:t>
      </w:r>
      <w:r>
        <w:t>the lawfulness, justness, and reasonableness of the proposed rates, rules, and regulations as well as the lawfulness, justness, and reasonableness of the Philadelphia Gas Works’ existing rates, rules, and regulations. Any evidence that is not irrelevant, immaterial or unduly repetitious should be considered. 66 Pa. C.S. § 332(b); 52 Pa. Code § 5.401(a).</w:t>
      </w:r>
    </w:p>
    <w:p w14:paraId="4BFA52FF" w14:textId="5D4ECE30" w:rsidR="00401218" w:rsidRDefault="00401218" w:rsidP="00F22685">
      <w:pPr>
        <w:tabs>
          <w:tab w:val="left" w:pos="1440"/>
        </w:tabs>
        <w:spacing w:line="360" w:lineRule="auto"/>
        <w:ind w:firstLine="1440"/>
      </w:pPr>
    </w:p>
    <w:p w14:paraId="5F9E60F8" w14:textId="0379AC74" w:rsidR="007C35E4" w:rsidRDefault="00401218" w:rsidP="001D7C18">
      <w:pPr>
        <w:tabs>
          <w:tab w:val="left" w:pos="1440"/>
        </w:tabs>
        <w:spacing w:line="360" w:lineRule="auto"/>
        <w:ind w:firstLine="1440"/>
      </w:pPr>
      <w:r>
        <w:t>We agree with OCA</w:t>
      </w:r>
      <w:r w:rsidR="00193F4D">
        <w:t xml:space="preserve"> and TURN, </w:t>
      </w:r>
      <w:r w:rsidR="00193F4D" w:rsidRPr="00914719">
        <w:rPr>
          <w:i/>
          <w:iCs/>
        </w:rPr>
        <w:t>et al.</w:t>
      </w:r>
      <w:r>
        <w:t xml:space="preserve"> that the Company’s USECP and CRP programs</w:t>
      </w:r>
      <w:r w:rsidR="00914719">
        <w:t xml:space="preserve"> are</w:t>
      </w:r>
      <w:r>
        <w:t xml:space="preserve"> subject to review pursuant to the Commission’s April 16, 2020 </w:t>
      </w:r>
      <w:r w:rsidRPr="00914719">
        <w:rPr>
          <w:iCs/>
        </w:rPr>
        <w:t>Suspension Order</w:t>
      </w:r>
      <w:r>
        <w:t xml:space="preserve">.  </w:t>
      </w:r>
      <w:r w:rsidR="00193F4D">
        <w:rPr>
          <w:color w:val="000000"/>
          <w:szCs w:val="24"/>
        </w:rPr>
        <w:t xml:space="preserve">OCA is correct that, in accordance with 52 Pa. Code §69.2703(a)(8), the effect of a rate on universal services is one of many issues to be considered in a rate case.  </w:t>
      </w:r>
      <w:r w:rsidR="00914719">
        <w:t>U</w:t>
      </w:r>
      <w:r>
        <w:t>niversal service and customer assistance programs</w:t>
      </w:r>
      <w:r w:rsidRPr="00401218">
        <w:t xml:space="preserve">, </w:t>
      </w:r>
      <w:r>
        <w:t>including outreach to low income customers and providing rate protection from the proposed rate increase</w:t>
      </w:r>
      <w:r w:rsidRPr="00401218">
        <w:t>, are relevant to determining whether the rates increase sought by PGW for infrastructure work</w:t>
      </w:r>
      <w:r>
        <w:t xml:space="preserve"> and declining usage</w:t>
      </w:r>
      <w:r w:rsidRPr="00401218">
        <w:t xml:space="preserve"> is just and reasonable.  </w:t>
      </w:r>
      <w:r w:rsidR="00781207">
        <w:t>The</w:t>
      </w:r>
      <w:r w:rsidR="00781207" w:rsidRPr="00401218">
        <w:t xml:space="preserve"> weight of </w:t>
      </w:r>
      <w:r w:rsidR="00781207">
        <w:t>any evidence concerning the USECP and CRP programs as well as whether this is the appropriate action in which to order changes to any of the programs, given the concurrent universal service proceedings,</w:t>
      </w:r>
      <w:r w:rsidR="00781207">
        <w:rPr>
          <w:rStyle w:val="FootnoteReference"/>
        </w:rPr>
        <w:footnoteReference w:id="3"/>
      </w:r>
      <w:r w:rsidR="00781207">
        <w:t xml:space="preserve"> </w:t>
      </w:r>
      <w:r w:rsidR="00781207" w:rsidRPr="00401218">
        <w:t xml:space="preserve"> </w:t>
      </w:r>
      <w:r w:rsidR="00781207">
        <w:t>would</w:t>
      </w:r>
      <w:r w:rsidR="00781207" w:rsidRPr="00401218">
        <w:t xml:space="preserve"> be determine</w:t>
      </w:r>
      <w:r w:rsidR="00781207">
        <w:t>d</w:t>
      </w:r>
      <w:r w:rsidR="00781207" w:rsidRPr="00401218">
        <w:t xml:space="preserve"> after the hearing</w:t>
      </w:r>
      <w:r w:rsidR="00781207">
        <w:t xml:space="preserve">. </w:t>
      </w:r>
    </w:p>
    <w:p w14:paraId="091578DA" w14:textId="77777777" w:rsidR="007C35E4" w:rsidRDefault="007C35E4" w:rsidP="001D7C18">
      <w:pPr>
        <w:tabs>
          <w:tab w:val="left" w:pos="1440"/>
        </w:tabs>
        <w:spacing w:line="360" w:lineRule="auto"/>
        <w:ind w:firstLine="1440"/>
      </w:pPr>
    </w:p>
    <w:p w14:paraId="78A7C5BA" w14:textId="31A95622" w:rsidR="001D7C18" w:rsidRPr="00F22685" w:rsidRDefault="001D7C18" w:rsidP="001D7C18">
      <w:pPr>
        <w:tabs>
          <w:tab w:val="left" w:pos="1440"/>
        </w:tabs>
        <w:spacing w:line="360" w:lineRule="auto"/>
        <w:ind w:firstLine="1440"/>
      </w:pPr>
      <w:r w:rsidRPr="001D7C18">
        <w:t>As previously noted, the Commission instituted an investigation into the lawfulness, justness, and reasonableness of the proposed rate increase through the Suspension Order.  More precisely, at ordering paragraph 4</w:t>
      </w:r>
      <w:r w:rsidR="007C35E4">
        <w:t>,</w:t>
      </w:r>
      <w:r w:rsidRPr="001D7C18">
        <w:t xml:space="preserve"> the Commission specifically directed that this </w:t>
      </w:r>
      <w:r w:rsidRPr="001D7C18">
        <w:lastRenderedPageBreak/>
        <w:t xml:space="preserve">investigation “include consideration of the lawfulness, justness, and reasonableness of the Philadelphia Gas Works’ existing rates, rules, and regulations.”  The Commission did not place any limitations on that directive in the </w:t>
      </w:r>
      <w:r>
        <w:t xml:space="preserve">April 16, 2020 Suspension </w:t>
      </w:r>
      <w:r w:rsidRPr="001D7C18">
        <w:t xml:space="preserve">Order.  As the Commission did not impose any limitations, and </w:t>
      </w:r>
      <w:r w:rsidR="007C35E4">
        <w:t>because</w:t>
      </w:r>
      <w:r w:rsidR="007C35E4" w:rsidRPr="001D7C18">
        <w:t xml:space="preserve"> </w:t>
      </w:r>
      <w:r w:rsidRPr="001D7C18">
        <w:t xml:space="preserve">the </w:t>
      </w:r>
      <w:r>
        <w:t>USECP and CRP programs</w:t>
      </w:r>
      <w:r w:rsidRPr="001D7C18">
        <w:t xml:space="preserve"> </w:t>
      </w:r>
      <w:r>
        <w:t>are</w:t>
      </w:r>
      <w:r w:rsidRPr="001D7C18">
        <w:t xml:space="preserve"> set out in PGW’s current tariff, consideration of th</w:t>
      </w:r>
      <w:r>
        <w:t>ese</w:t>
      </w:r>
      <w:r w:rsidRPr="001D7C18">
        <w:t xml:space="preserve"> tariff provision</w:t>
      </w:r>
      <w:r>
        <w:t>s</w:t>
      </w:r>
      <w:r w:rsidRPr="001D7C18">
        <w:t xml:space="preserve"> is appropriate within the context of this proceeding.  Accordingly, we will deny PGW’s Motion</w:t>
      </w:r>
      <w:r>
        <w:t>s</w:t>
      </w:r>
      <w:r w:rsidRPr="001D7C18">
        <w:t xml:space="preserve"> </w:t>
      </w:r>
      <w:r w:rsidRPr="00914719">
        <w:rPr>
          <w:i/>
          <w:iCs/>
        </w:rPr>
        <w:t xml:space="preserve">in </w:t>
      </w:r>
      <w:proofErr w:type="spellStart"/>
      <w:r w:rsidRPr="00914719">
        <w:rPr>
          <w:i/>
          <w:iCs/>
        </w:rPr>
        <w:t>Limine</w:t>
      </w:r>
      <w:proofErr w:type="spellEnd"/>
      <w:r>
        <w:t xml:space="preserve"> in part with respect to the USECP and CRP programs. </w:t>
      </w:r>
    </w:p>
    <w:p w14:paraId="4CD39B1C" w14:textId="3C210CE6" w:rsidR="00367BC4" w:rsidRDefault="00367BC4" w:rsidP="00914719">
      <w:pPr>
        <w:spacing w:line="360" w:lineRule="auto"/>
        <w:rPr>
          <w:color w:val="000000"/>
          <w:szCs w:val="24"/>
        </w:rPr>
      </w:pPr>
    </w:p>
    <w:p w14:paraId="0FD09C29" w14:textId="27DACA59" w:rsidR="00B24E6C" w:rsidRPr="00914C75" w:rsidRDefault="00193F4D" w:rsidP="00606BF3">
      <w:pPr>
        <w:spacing w:line="360" w:lineRule="auto"/>
        <w:ind w:firstLine="1440"/>
        <w:rPr>
          <w:color w:val="000000"/>
          <w:szCs w:val="24"/>
        </w:rPr>
      </w:pPr>
      <w:bookmarkStart w:id="1" w:name="_Hlk45087552"/>
      <w:r>
        <w:rPr>
          <w:color w:val="000000"/>
          <w:szCs w:val="24"/>
        </w:rPr>
        <w:t>However, a</w:t>
      </w:r>
      <w:r w:rsidR="00B24E6C" w:rsidRPr="00B24E6C">
        <w:rPr>
          <w:color w:val="000000"/>
          <w:szCs w:val="24"/>
        </w:rPr>
        <w:t xml:space="preserve"> base rate matter is not the appropriate proceeding to consider language access considerations.  </w:t>
      </w:r>
      <w:r w:rsidR="00C07F84">
        <w:rPr>
          <w:color w:val="000000"/>
          <w:szCs w:val="24"/>
        </w:rPr>
        <w:t xml:space="preserve"> </w:t>
      </w:r>
      <w:bookmarkEnd w:id="1"/>
      <w:r w:rsidR="006B4ECE">
        <w:rPr>
          <w:color w:val="000000"/>
          <w:szCs w:val="24"/>
        </w:rPr>
        <w:t>The</w:t>
      </w:r>
      <w:r w:rsidR="00B24E6C" w:rsidRPr="00914C75">
        <w:rPr>
          <w:color w:val="000000"/>
          <w:szCs w:val="24"/>
        </w:rPr>
        <w:t xml:space="preserve"> Commissio</w:t>
      </w:r>
      <w:r w:rsidR="00914C75" w:rsidRPr="00914C75">
        <w:rPr>
          <w:color w:val="000000"/>
          <w:szCs w:val="24"/>
        </w:rPr>
        <w:t xml:space="preserve">n </w:t>
      </w:r>
      <w:r w:rsidR="00914C75" w:rsidRPr="00914C75">
        <w:rPr>
          <w:rFonts w:eastAsiaTheme="minorHAnsi"/>
          <w:szCs w:val="24"/>
        </w:rPr>
        <w:t xml:space="preserve">must act within, and cannot exceed, its jurisdiction. </w:t>
      </w:r>
      <w:r w:rsidR="00F921EC">
        <w:rPr>
          <w:rFonts w:eastAsiaTheme="minorHAnsi"/>
          <w:szCs w:val="24"/>
        </w:rPr>
        <w:t xml:space="preserve"> </w:t>
      </w:r>
      <w:r w:rsidR="00914C75" w:rsidRPr="00914719">
        <w:rPr>
          <w:rFonts w:eastAsiaTheme="minorHAnsi"/>
          <w:i/>
          <w:iCs/>
          <w:szCs w:val="24"/>
        </w:rPr>
        <w:t>See</w:t>
      </w:r>
      <w:r w:rsidR="00914C75" w:rsidRPr="00914C75">
        <w:rPr>
          <w:rFonts w:eastAsiaTheme="minorHAnsi"/>
          <w:i/>
          <w:iCs/>
          <w:szCs w:val="24"/>
        </w:rPr>
        <w:t xml:space="preserve"> Feingold v. Bell Tel. Co. of Pa.,</w:t>
      </w:r>
      <w:r w:rsidR="00914C75" w:rsidRPr="00914C75">
        <w:rPr>
          <w:rFonts w:eastAsiaTheme="minorHAnsi"/>
          <w:szCs w:val="24"/>
        </w:rPr>
        <w:t xml:space="preserve">383 A.2d 791, 795 (Pa. 1977); </w:t>
      </w:r>
      <w:r w:rsidR="00914C75" w:rsidRPr="00914C75">
        <w:rPr>
          <w:rFonts w:eastAsiaTheme="minorHAnsi"/>
          <w:i/>
          <w:iCs/>
          <w:szCs w:val="24"/>
        </w:rPr>
        <w:t xml:space="preserve">Tod and Lisa </w:t>
      </w:r>
      <w:proofErr w:type="spellStart"/>
      <w:r w:rsidR="00914C75" w:rsidRPr="00914C75">
        <w:rPr>
          <w:rFonts w:eastAsiaTheme="minorHAnsi"/>
          <w:i/>
          <w:iCs/>
          <w:szCs w:val="24"/>
        </w:rPr>
        <w:t>Shedlosky</w:t>
      </w:r>
      <w:proofErr w:type="spellEnd"/>
      <w:r w:rsidR="00914C75" w:rsidRPr="00914C75">
        <w:rPr>
          <w:rFonts w:eastAsiaTheme="minorHAnsi"/>
          <w:i/>
          <w:iCs/>
          <w:szCs w:val="24"/>
        </w:rPr>
        <w:t xml:space="preserve"> v. Pennsylvania Electric Co., </w:t>
      </w:r>
      <w:r w:rsidR="00914C75" w:rsidRPr="00914C75">
        <w:rPr>
          <w:rFonts w:eastAsiaTheme="minorHAnsi"/>
          <w:szCs w:val="24"/>
        </w:rPr>
        <w:t>Docket No. C-20066937 (Order entered May 28, 2008)</w:t>
      </w:r>
      <w:r w:rsidR="00914C75">
        <w:rPr>
          <w:rFonts w:eastAsiaTheme="minorHAnsi"/>
          <w:szCs w:val="24"/>
        </w:rPr>
        <w:t>. This forum and, particularly</w:t>
      </w:r>
      <w:r w:rsidR="00462D29">
        <w:rPr>
          <w:rFonts w:eastAsiaTheme="minorHAnsi"/>
          <w:szCs w:val="24"/>
        </w:rPr>
        <w:t>,</w:t>
      </w:r>
      <w:r w:rsidR="00914C75">
        <w:rPr>
          <w:rFonts w:eastAsiaTheme="minorHAnsi"/>
          <w:szCs w:val="24"/>
        </w:rPr>
        <w:t xml:space="preserve"> this base rate matter, is </w:t>
      </w:r>
      <w:r w:rsidR="00B24E6C" w:rsidRPr="00914C75">
        <w:rPr>
          <w:color w:val="000000"/>
          <w:szCs w:val="24"/>
        </w:rPr>
        <w:t xml:space="preserve">not the </w:t>
      </w:r>
      <w:r w:rsidR="00914C75">
        <w:rPr>
          <w:color w:val="000000"/>
          <w:szCs w:val="24"/>
        </w:rPr>
        <w:t>place</w:t>
      </w:r>
      <w:r w:rsidR="00B24E6C" w:rsidRPr="00914C75">
        <w:rPr>
          <w:color w:val="000000"/>
          <w:szCs w:val="24"/>
        </w:rPr>
        <w:t xml:space="preserve"> to address </w:t>
      </w:r>
      <w:r w:rsidR="001B51AE">
        <w:rPr>
          <w:color w:val="000000"/>
          <w:szCs w:val="24"/>
        </w:rPr>
        <w:t xml:space="preserve">the </w:t>
      </w:r>
      <w:r w:rsidR="00914C75" w:rsidRPr="00914C75">
        <w:rPr>
          <w:color w:val="000000"/>
          <w:szCs w:val="24"/>
        </w:rPr>
        <w:t>Civil Rights Act of 1964 or the Philadelphia Home Rule Charter compliance issues</w:t>
      </w:r>
      <w:r w:rsidR="00914C75">
        <w:rPr>
          <w:color w:val="000000"/>
          <w:szCs w:val="24"/>
        </w:rPr>
        <w:t xml:space="preserve"> with respect to CRP </w:t>
      </w:r>
      <w:r w:rsidR="00462D29">
        <w:rPr>
          <w:color w:val="000000"/>
          <w:szCs w:val="24"/>
        </w:rPr>
        <w:t xml:space="preserve">language access </w:t>
      </w:r>
      <w:r w:rsidR="00914C75">
        <w:rPr>
          <w:color w:val="000000"/>
          <w:szCs w:val="24"/>
        </w:rPr>
        <w:t xml:space="preserve">program design. </w:t>
      </w:r>
      <w:r w:rsidR="00914C75" w:rsidRPr="00914C75">
        <w:rPr>
          <w:color w:val="000000"/>
          <w:szCs w:val="24"/>
        </w:rPr>
        <w:t xml:space="preserve"> </w:t>
      </w:r>
      <w:r w:rsidR="00B274DA">
        <w:rPr>
          <w:color w:val="000000"/>
          <w:szCs w:val="24"/>
        </w:rPr>
        <w:t xml:space="preserve">As such, this </w:t>
      </w:r>
      <w:r w:rsidR="006B4ECE">
        <w:rPr>
          <w:color w:val="000000"/>
          <w:szCs w:val="24"/>
        </w:rPr>
        <w:t xml:space="preserve">direct </w:t>
      </w:r>
      <w:r w:rsidR="00B274DA">
        <w:rPr>
          <w:color w:val="000000"/>
          <w:szCs w:val="24"/>
        </w:rPr>
        <w:t xml:space="preserve">testimony from OCA and TURN, </w:t>
      </w:r>
      <w:r w:rsidR="00B274DA" w:rsidRPr="00914719">
        <w:rPr>
          <w:i/>
          <w:iCs/>
          <w:color w:val="000000"/>
          <w:szCs w:val="24"/>
        </w:rPr>
        <w:t>et al.</w:t>
      </w:r>
      <w:r w:rsidR="00B274DA">
        <w:rPr>
          <w:color w:val="000000"/>
          <w:szCs w:val="24"/>
        </w:rPr>
        <w:t xml:space="preserve"> </w:t>
      </w:r>
      <w:r w:rsidR="006B4ECE">
        <w:rPr>
          <w:color w:val="000000"/>
          <w:szCs w:val="24"/>
        </w:rPr>
        <w:t xml:space="preserve">regarding language access issues </w:t>
      </w:r>
      <w:r w:rsidR="00B274DA">
        <w:rPr>
          <w:color w:val="000000"/>
          <w:szCs w:val="24"/>
        </w:rPr>
        <w:t xml:space="preserve">will be stricken from the testimony and will not be considered in this proceeding.  </w:t>
      </w:r>
    </w:p>
    <w:p w14:paraId="17486AFE" w14:textId="3B2BD455" w:rsidR="00B24E6C" w:rsidRDefault="00B24E6C" w:rsidP="00BF42DC">
      <w:pPr>
        <w:spacing w:line="360" w:lineRule="auto"/>
        <w:ind w:firstLine="1440"/>
        <w:rPr>
          <w:color w:val="000000"/>
          <w:szCs w:val="24"/>
        </w:rPr>
      </w:pPr>
    </w:p>
    <w:p w14:paraId="1B7D8A3C" w14:textId="1EA47B44" w:rsidR="00F4791E" w:rsidRPr="00F61AE2" w:rsidRDefault="00F4791E" w:rsidP="00BF42DC">
      <w:pPr>
        <w:spacing w:line="360" w:lineRule="auto"/>
        <w:jc w:val="center"/>
        <w:rPr>
          <w:color w:val="000000"/>
          <w:szCs w:val="24"/>
          <w:u w:val="single"/>
        </w:rPr>
      </w:pPr>
      <w:r w:rsidRPr="00F61AE2">
        <w:rPr>
          <w:color w:val="000000"/>
          <w:szCs w:val="24"/>
          <w:u w:val="single"/>
        </w:rPr>
        <w:t>ORDER</w:t>
      </w:r>
    </w:p>
    <w:p w14:paraId="597E8A5C" w14:textId="6C519759" w:rsidR="00B24E6C" w:rsidRDefault="00B24E6C" w:rsidP="00BF42DC">
      <w:pPr>
        <w:spacing w:line="360" w:lineRule="auto"/>
        <w:ind w:firstLine="1440"/>
        <w:rPr>
          <w:color w:val="000000"/>
          <w:szCs w:val="24"/>
        </w:rPr>
      </w:pPr>
    </w:p>
    <w:p w14:paraId="11281B49" w14:textId="77777777" w:rsidR="00ED54B8" w:rsidRDefault="00ED54B8" w:rsidP="00BF42DC">
      <w:pPr>
        <w:spacing w:line="360" w:lineRule="auto"/>
        <w:ind w:firstLine="1440"/>
        <w:rPr>
          <w:color w:val="000000"/>
          <w:szCs w:val="24"/>
        </w:rPr>
      </w:pPr>
    </w:p>
    <w:p w14:paraId="2FE8BEDF" w14:textId="3C08C50D" w:rsidR="00B24E6C" w:rsidRDefault="00930B31" w:rsidP="00BF42DC">
      <w:pPr>
        <w:spacing w:line="360" w:lineRule="auto"/>
        <w:ind w:firstLine="1440"/>
        <w:rPr>
          <w:color w:val="000000"/>
          <w:szCs w:val="24"/>
        </w:rPr>
      </w:pPr>
      <w:r>
        <w:rPr>
          <w:color w:val="000000"/>
          <w:szCs w:val="24"/>
        </w:rPr>
        <w:t>THEREFORE</w:t>
      </w:r>
    </w:p>
    <w:p w14:paraId="377C5E76" w14:textId="3940AD6F" w:rsidR="00930B31" w:rsidRDefault="00930B31" w:rsidP="00BF42DC">
      <w:pPr>
        <w:spacing w:line="360" w:lineRule="auto"/>
        <w:ind w:firstLine="1440"/>
        <w:rPr>
          <w:color w:val="000000"/>
          <w:szCs w:val="24"/>
        </w:rPr>
      </w:pPr>
    </w:p>
    <w:p w14:paraId="014A49A1" w14:textId="543F5D84" w:rsidR="00930B31" w:rsidRDefault="00930B31" w:rsidP="00BF42DC">
      <w:pPr>
        <w:spacing w:line="360" w:lineRule="auto"/>
        <w:ind w:firstLine="1440"/>
        <w:rPr>
          <w:color w:val="000000"/>
          <w:szCs w:val="24"/>
        </w:rPr>
      </w:pPr>
      <w:r>
        <w:rPr>
          <w:color w:val="000000"/>
          <w:szCs w:val="24"/>
        </w:rPr>
        <w:t>IT IS ORDERED</w:t>
      </w:r>
    </w:p>
    <w:p w14:paraId="1DF36C5E" w14:textId="1E911CB4" w:rsidR="00930B31" w:rsidRDefault="00930B31" w:rsidP="00BF42DC">
      <w:pPr>
        <w:spacing w:line="360" w:lineRule="auto"/>
        <w:ind w:firstLine="1440"/>
        <w:rPr>
          <w:color w:val="000000"/>
          <w:szCs w:val="24"/>
        </w:rPr>
      </w:pPr>
    </w:p>
    <w:p w14:paraId="13E0AD6F" w14:textId="7ED3F1A9" w:rsidR="00EB2C50" w:rsidRDefault="00836907" w:rsidP="00BF42DC">
      <w:pPr>
        <w:pStyle w:val="ListParagraph"/>
        <w:numPr>
          <w:ilvl w:val="0"/>
          <w:numId w:val="5"/>
        </w:numPr>
        <w:tabs>
          <w:tab w:val="left" w:pos="270"/>
        </w:tabs>
        <w:spacing w:line="360" w:lineRule="auto"/>
        <w:ind w:left="0" w:firstLine="1440"/>
        <w:rPr>
          <w:color w:val="000000"/>
          <w:szCs w:val="24"/>
        </w:rPr>
      </w:pPr>
      <w:r>
        <w:rPr>
          <w:color w:val="000000"/>
          <w:szCs w:val="24"/>
        </w:rPr>
        <w:t>That the Philadelphia Gas Works’</w:t>
      </w:r>
      <w:r w:rsidR="00462D29">
        <w:rPr>
          <w:color w:val="000000"/>
          <w:szCs w:val="24"/>
        </w:rPr>
        <w:t xml:space="preserve"> </w:t>
      </w:r>
      <w:r w:rsidR="00930B31">
        <w:rPr>
          <w:szCs w:val="24"/>
        </w:rPr>
        <w:t xml:space="preserve">Motion </w:t>
      </w:r>
      <w:r w:rsidR="00EB2C50">
        <w:rPr>
          <w:i/>
          <w:iCs/>
          <w:szCs w:val="24"/>
        </w:rPr>
        <w:t>i</w:t>
      </w:r>
      <w:r w:rsidR="00930B31" w:rsidRPr="00F61AE2">
        <w:rPr>
          <w:i/>
          <w:iCs/>
          <w:szCs w:val="24"/>
        </w:rPr>
        <w:t xml:space="preserve">n </w:t>
      </w:r>
      <w:proofErr w:type="spellStart"/>
      <w:r w:rsidR="00930B31" w:rsidRPr="00F61AE2">
        <w:rPr>
          <w:i/>
          <w:iCs/>
          <w:szCs w:val="24"/>
        </w:rPr>
        <w:t>Limine</w:t>
      </w:r>
      <w:proofErr w:type="spellEnd"/>
      <w:r w:rsidR="00930B31">
        <w:rPr>
          <w:szCs w:val="24"/>
        </w:rPr>
        <w:t xml:space="preserve"> </w:t>
      </w:r>
      <w:r w:rsidR="00B274DA">
        <w:rPr>
          <w:szCs w:val="24"/>
        </w:rPr>
        <w:t>r</w:t>
      </w:r>
      <w:r w:rsidR="00930B31">
        <w:rPr>
          <w:szCs w:val="24"/>
        </w:rPr>
        <w:t>egarding</w:t>
      </w:r>
      <w:r w:rsidR="00B274DA">
        <w:rPr>
          <w:szCs w:val="24"/>
        </w:rPr>
        <w:t xml:space="preserve"> Direct</w:t>
      </w:r>
      <w:r w:rsidR="00930B31">
        <w:rPr>
          <w:szCs w:val="24"/>
        </w:rPr>
        <w:t xml:space="preserve"> Testimony</w:t>
      </w:r>
      <w:r w:rsidR="00B274DA">
        <w:rPr>
          <w:szCs w:val="24"/>
        </w:rPr>
        <w:t xml:space="preserve"> of Rodger D. Colton, OCA Statement No. 5</w:t>
      </w:r>
      <w:r w:rsidR="00930B31">
        <w:rPr>
          <w:szCs w:val="24"/>
        </w:rPr>
        <w:t xml:space="preserve"> </w:t>
      </w:r>
      <w:r w:rsidR="00B274DA">
        <w:rPr>
          <w:szCs w:val="24"/>
        </w:rPr>
        <w:t>s</w:t>
      </w:r>
      <w:r w:rsidR="00930B31">
        <w:rPr>
          <w:szCs w:val="24"/>
        </w:rPr>
        <w:t xml:space="preserve">ubmitted by the Office of Consumer Advocate </w:t>
      </w:r>
      <w:r w:rsidR="00EB2C50">
        <w:rPr>
          <w:szCs w:val="24"/>
        </w:rPr>
        <w:t xml:space="preserve">with respect to specific </w:t>
      </w:r>
      <w:r w:rsidR="00EB2C50">
        <w:rPr>
          <w:color w:val="000000"/>
          <w:szCs w:val="24"/>
        </w:rPr>
        <w:t xml:space="preserve">language access requirements under the Civil Rights Act of 1964 or the Philadelphia Home Rule Charter, </w:t>
      </w:r>
      <w:r w:rsidR="00C07F84">
        <w:rPr>
          <w:color w:val="000000"/>
          <w:szCs w:val="24"/>
        </w:rPr>
        <w:t>is</w:t>
      </w:r>
      <w:r w:rsidR="00EB2C50">
        <w:rPr>
          <w:color w:val="000000"/>
          <w:szCs w:val="24"/>
        </w:rPr>
        <w:t xml:space="preserve"> granted</w:t>
      </w:r>
      <w:r w:rsidR="001B16CF">
        <w:rPr>
          <w:color w:val="000000"/>
          <w:szCs w:val="24"/>
        </w:rPr>
        <w:t xml:space="preserve"> in part</w:t>
      </w:r>
      <w:r w:rsidR="00F84AA7">
        <w:rPr>
          <w:color w:val="000000"/>
          <w:szCs w:val="24"/>
        </w:rPr>
        <w:t>.</w:t>
      </w:r>
    </w:p>
    <w:p w14:paraId="49B51B8F" w14:textId="77777777" w:rsidR="00B274DA" w:rsidRDefault="00B274DA" w:rsidP="00B274DA">
      <w:pPr>
        <w:pStyle w:val="ListParagraph"/>
        <w:tabs>
          <w:tab w:val="left" w:pos="270"/>
        </w:tabs>
        <w:spacing w:line="360" w:lineRule="auto"/>
        <w:ind w:left="1440"/>
        <w:rPr>
          <w:color w:val="000000"/>
          <w:szCs w:val="24"/>
        </w:rPr>
      </w:pPr>
    </w:p>
    <w:p w14:paraId="3895393B" w14:textId="0486419B" w:rsidR="00815974" w:rsidRDefault="00F84AA7" w:rsidP="00815974">
      <w:pPr>
        <w:pStyle w:val="ListParagraph"/>
        <w:numPr>
          <w:ilvl w:val="0"/>
          <w:numId w:val="5"/>
        </w:numPr>
        <w:tabs>
          <w:tab w:val="left" w:pos="270"/>
        </w:tabs>
        <w:spacing w:line="360" w:lineRule="auto"/>
        <w:ind w:left="0" w:firstLine="1440"/>
        <w:rPr>
          <w:color w:val="000000"/>
          <w:szCs w:val="24"/>
        </w:rPr>
      </w:pPr>
      <w:r>
        <w:rPr>
          <w:color w:val="000000"/>
          <w:szCs w:val="24"/>
        </w:rPr>
        <w:lastRenderedPageBreak/>
        <w:t>That</w:t>
      </w:r>
      <w:r w:rsidR="00815974">
        <w:rPr>
          <w:color w:val="000000"/>
          <w:szCs w:val="24"/>
        </w:rPr>
        <w:t xml:space="preserve"> the following testimony in OCA Statement </w:t>
      </w:r>
      <w:r w:rsidR="00B274DA">
        <w:rPr>
          <w:color w:val="000000"/>
          <w:szCs w:val="24"/>
        </w:rPr>
        <w:t>No.</w:t>
      </w:r>
      <w:r w:rsidR="00815974">
        <w:rPr>
          <w:color w:val="000000"/>
          <w:szCs w:val="24"/>
        </w:rPr>
        <w:t xml:space="preserve"> 5</w:t>
      </w:r>
      <w:r w:rsidR="00B274DA">
        <w:rPr>
          <w:color w:val="000000"/>
          <w:szCs w:val="24"/>
        </w:rPr>
        <w:t>, the Direct Testimony of Rodger D. Colton,</w:t>
      </w:r>
      <w:r w:rsidR="00815974">
        <w:rPr>
          <w:color w:val="000000"/>
          <w:szCs w:val="24"/>
        </w:rPr>
        <w:t xml:space="preserve"> is excluded:</w:t>
      </w:r>
    </w:p>
    <w:p w14:paraId="33B5E13C" w14:textId="77777777" w:rsidR="00815974" w:rsidRDefault="00815974" w:rsidP="00815974">
      <w:pPr>
        <w:pStyle w:val="ListParagraph"/>
        <w:tabs>
          <w:tab w:val="left" w:pos="270"/>
        </w:tabs>
        <w:spacing w:line="360" w:lineRule="auto"/>
        <w:ind w:left="1440"/>
        <w:rPr>
          <w:color w:val="000000"/>
          <w:szCs w:val="24"/>
        </w:rPr>
      </w:pPr>
    </w:p>
    <w:p w14:paraId="4DD8ABDF" w14:textId="23AB3A04" w:rsidR="00815974" w:rsidRPr="00B274DA" w:rsidRDefault="00815974" w:rsidP="00B274DA">
      <w:pPr>
        <w:pStyle w:val="ListParagraph"/>
        <w:numPr>
          <w:ilvl w:val="1"/>
          <w:numId w:val="5"/>
        </w:numPr>
        <w:tabs>
          <w:tab w:val="left" w:pos="270"/>
        </w:tabs>
        <w:spacing w:line="360" w:lineRule="auto"/>
        <w:rPr>
          <w:color w:val="000000"/>
          <w:szCs w:val="24"/>
        </w:rPr>
      </w:pPr>
      <w:r w:rsidRPr="00815974">
        <w:rPr>
          <w:color w:val="000000"/>
          <w:szCs w:val="24"/>
        </w:rPr>
        <w:t xml:space="preserve">Page 3, line 26 through and including page 3, line </w:t>
      </w:r>
      <w:proofErr w:type="gramStart"/>
      <w:r w:rsidRPr="00815974">
        <w:rPr>
          <w:color w:val="000000"/>
          <w:szCs w:val="24"/>
        </w:rPr>
        <w:t>27;</w:t>
      </w:r>
      <w:proofErr w:type="gramEnd"/>
      <w:r w:rsidRPr="00815974">
        <w:rPr>
          <w:color w:val="000000"/>
          <w:szCs w:val="24"/>
        </w:rPr>
        <w:t xml:space="preserve"> </w:t>
      </w:r>
    </w:p>
    <w:p w14:paraId="3609B362" w14:textId="77D1A6EB" w:rsidR="00815974" w:rsidRPr="00914719" w:rsidRDefault="00815974" w:rsidP="00B274DA">
      <w:pPr>
        <w:pStyle w:val="ListParagraph"/>
        <w:numPr>
          <w:ilvl w:val="1"/>
          <w:numId w:val="5"/>
        </w:numPr>
        <w:tabs>
          <w:tab w:val="left" w:pos="270"/>
        </w:tabs>
        <w:spacing w:line="360" w:lineRule="auto"/>
        <w:rPr>
          <w:color w:val="000000"/>
          <w:szCs w:val="24"/>
        </w:rPr>
      </w:pPr>
      <w:r w:rsidRPr="00815974">
        <w:rPr>
          <w:color w:val="000000"/>
          <w:szCs w:val="24"/>
        </w:rPr>
        <w:t xml:space="preserve">Page 4, line 31 through and including page 5, line 18; </w:t>
      </w:r>
      <w:r w:rsidRPr="00914719">
        <w:rPr>
          <w:color w:val="000000"/>
          <w:szCs w:val="24"/>
        </w:rPr>
        <w:t xml:space="preserve">and </w:t>
      </w:r>
    </w:p>
    <w:p w14:paraId="73146983" w14:textId="2D338C3F" w:rsidR="00815974" w:rsidRDefault="00815974" w:rsidP="00815974">
      <w:pPr>
        <w:pStyle w:val="ListParagraph"/>
        <w:numPr>
          <w:ilvl w:val="1"/>
          <w:numId w:val="5"/>
        </w:numPr>
        <w:tabs>
          <w:tab w:val="left" w:pos="270"/>
        </w:tabs>
        <w:spacing w:line="360" w:lineRule="auto"/>
        <w:rPr>
          <w:color w:val="000000"/>
          <w:szCs w:val="24"/>
        </w:rPr>
      </w:pPr>
      <w:r w:rsidRPr="00C57643">
        <w:rPr>
          <w:color w:val="000000"/>
          <w:szCs w:val="24"/>
        </w:rPr>
        <w:t>Page 65, line 16 through and including page 73, line 20</w:t>
      </w:r>
    </w:p>
    <w:p w14:paraId="6814F148" w14:textId="69B75B58" w:rsidR="00EB2C50" w:rsidRPr="00F61AE2" w:rsidRDefault="00EB2C50" w:rsidP="00BF42DC">
      <w:pPr>
        <w:tabs>
          <w:tab w:val="left" w:pos="270"/>
        </w:tabs>
        <w:spacing w:line="360" w:lineRule="auto"/>
        <w:rPr>
          <w:color w:val="000000"/>
          <w:szCs w:val="24"/>
        </w:rPr>
      </w:pPr>
    </w:p>
    <w:p w14:paraId="515CEE33" w14:textId="09FEDE46" w:rsidR="001B16CF" w:rsidRDefault="001B16CF" w:rsidP="00BF42DC">
      <w:pPr>
        <w:pStyle w:val="ListParagraph"/>
        <w:numPr>
          <w:ilvl w:val="0"/>
          <w:numId w:val="4"/>
        </w:numPr>
        <w:tabs>
          <w:tab w:val="left" w:pos="270"/>
        </w:tabs>
        <w:spacing w:line="360" w:lineRule="auto"/>
        <w:ind w:left="0" w:firstLine="1440"/>
        <w:rPr>
          <w:color w:val="000000"/>
          <w:szCs w:val="24"/>
        </w:rPr>
      </w:pPr>
      <w:r>
        <w:rPr>
          <w:color w:val="000000"/>
          <w:szCs w:val="24"/>
        </w:rPr>
        <w:t xml:space="preserve">That the Philadelphia Gas Works’ Motion </w:t>
      </w:r>
      <w:r w:rsidRPr="00914719">
        <w:rPr>
          <w:i/>
          <w:iCs/>
          <w:color w:val="000000"/>
          <w:szCs w:val="24"/>
        </w:rPr>
        <w:t xml:space="preserve">in </w:t>
      </w:r>
      <w:proofErr w:type="spellStart"/>
      <w:r w:rsidRPr="00914719">
        <w:rPr>
          <w:i/>
          <w:iCs/>
          <w:color w:val="000000"/>
          <w:szCs w:val="24"/>
        </w:rPr>
        <w:t>Limine</w:t>
      </w:r>
      <w:proofErr w:type="spellEnd"/>
      <w:r>
        <w:rPr>
          <w:color w:val="000000"/>
          <w:szCs w:val="24"/>
        </w:rPr>
        <w:t xml:space="preserve"> regarding the Direct Testimony of Rodger D. Colton, OCA Statement No. 5 with respect to suggestions of changes to the Customer Responsibility Program is denied.</w:t>
      </w:r>
    </w:p>
    <w:p w14:paraId="11A1DE40" w14:textId="3F9C1A51" w:rsidR="001B16CF" w:rsidRPr="00914719" w:rsidRDefault="001B16CF" w:rsidP="00914719">
      <w:pPr>
        <w:pStyle w:val="ListParagraph"/>
        <w:tabs>
          <w:tab w:val="left" w:pos="270"/>
        </w:tabs>
        <w:spacing w:line="360" w:lineRule="auto"/>
        <w:ind w:left="1440"/>
        <w:rPr>
          <w:color w:val="000000"/>
          <w:szCs w:val="24"/>
        </w:rPr>
      </w:pPr>
    </w:p>
    <w:p w14:paraId="4006F4F7" w14:textId="52D8A5E9" w:rsidR="00930B31" w:rsidRDefault="00EB2C50" w:rsidP="00BF42DC">
      <w:pPr>
        <w:pStyle w:val="ListParagraph"/>
        <w:numPr>
          <w:ilvl w:val="0"/>
          <w:numId w:val="4"/>
        </w:numPr>
        <w:tabs>
          <w:tab w:val="left" w:pos="270"/>
        </w:tabs>
        <w:spacing w:line="360" w:lineRule="auto"/>
        <w:ind w:left="0" w:firstLine="1440"/>
        <w:rPr>
          <w:color w:val="000000"/>
          <w:szCs w:val="24"/>
        </w:rPr>
      </w:pPr>
      <w:r>
        <w:rPr>
          <w:szCs w:val="24"/>
        </w:rPr>
        <w:t xml:space="preserve">That </w:t>
      </w:r>
      <w:r w:rsidR="00655106">
        <w:rPr>
          <w:szCs w:val="24"/>
        </w:rPr>
        <w:t xml:space="preserve">the </w:t>
      </w:r>
      <w:r>
        <w:rPr>
          <w:szCs w:val="24"/>
        </w:rPr>
        <w:t xml:space="preserve">Philadelphia Gas Works’ </w:t>
      </w:r>
      <w:r w:rsidR="00655106">
        <w:rPr>
          <w:szCs w:val="24"/>
        </w:rPr>
        <w:t xml:space="preserve">Motion </w:t>
      </w:r>
      <w:r w:rsidR="00655106" w:rsidRPr="00F61AE2">
        <w:rPr>
          <w:i/>
          <w:iCs/>
          <w:szCs w:val="24"/>
        </w:rPr>
        <w:t xml:space="preserve">in </w:t>
      </w:r>
      <w:proofErr w:type="spellStart"/>
      <w:r w:rsidR="00655106" w:rsidRPr="00F61AE2">
        <w:rPr>
          <w:i/>
          <w:iCs/>
          <w:szCs w:val="24"/>
        </w:rPr>
        <w:t>Limine</w:t>
      </w:r>
      <w:proofErr w:type="spellEnd"/>
      <w:r w:rsidR="00655106">
        <w:rPr>
          <w:szCs w:val="24"/>
        </w:rPr>
        <w:t xml:space="preserve"> </w:t>
      </w:r>
      <w:r w:rsidR="001B16CF">
        <w:rPr>
          <w:szCs w:val="24"/>
        </w:rPr>
        <w:t>r</w:t>
      </w:r>
      <w:r w:rsidR="00655106">
        <w:rPr>
          <w:szCs w:val="24"/>
        </w:rPr>
        <w:t xml:space="preserve">egarding </w:t>
      </w:r>
      <w:r w:rsidR="001B16CF">
        <w:rPr>
          <w:szCs w:val="24"/>
        </w:rPr>
        <w:t xml:space="preserve">the Direct </w:t>
      </w:r>
      <w:r w:rsidR="00655106">
        <w:rPr>
          <w:szCs w:val="24"/>
        </w:rPr>
        <w:t>Testimony</w:t>
      </w:r>
      <w:r w:rsidR="001B16CF">
        <w:rPr>
          <w:szCs w:val="24"/>
        </w:rPr>
        <w:t xml:space="preserve"> of Harry Gellar, TURN, </w:t>
      </w:r>
      <w:r w:rsidR="001B16CF" w:rsidRPr="00914719">
        <w:rPr>
          <w:i/>
          <w:iCs/>
          <w:szCs w:val="24"/>
        </w:rPr>
        <w:t>et al.</w:t>
      </w:r>
      <w:r w:rsidR="001B16CF">
        <w:rPr>
          <w:szCs w:val="24"/>
        </w:rPr>
        <w:t xml:space="preserve"> Statement No. 1,</w:t>
      </w:r>
      <w:r w:rsidR="00655106">
        <w:rPr>
          <w:szCs w:val="24"/>
        </w:rPr>
        <w:t xml:space="preserve"> </w:t>
      </w:r>
      <w:r w:rsidR="001B16CF">
        <w:rPr>
          <w:szCs w:val="24"/>
        </w:rPr>
        <w:t>s</w:t>
      </w:r>
      <w:r w:rsidR="00655106">
        <w:rPr>
          <w:szCs w:val="24"/>
        </w:rPr>
        <w:t xml:space="preserve">ubmitted by TURN, </w:t>
      </w:r>
      <w:r w:rsidR="00655106" w:rsidRPr="00F61AE2">
        <w:rPr>
          <w:i/>
          <w:iCs/>
          <w:szCs w:val="24"/>
        </w:rPr>
        <w:t>et al.</w:t>
      </w:r>
      <w:r w:rsidR="00655106">
        <w:rPr>
          <w:szCs w:val="24"/>
        </w:rPr>
        <w:t xml:space="preserve"> </w:t>
      </w:r>
      <w:r w:rsidR="001B16CF">
        <w:rPr>
          <w:szCs w:val="24"/>
        </w:rPr>
        <w:t>r</w:t>
      </w:r>
      <w:r w:rsidR="00655106">
        <w:rPr>
          <w:szCs w:val="24"/>
        </w:rPr>
        <w:t xml:space="preserve">egarding </w:t>
      </w:r>
      <w:r w:rsidR="00462D29">
        <w:rPr>
          <w:szCs w:val="24"/>
        </w:rPr>
        <w:t xml:space="preserve">specific </w:t>
      </w:r>
      <w:r w:rsidR="00977A89">
        <w:rPr>
          <w:color w:val="000000"/>
          <w:szCs w:val="24"/>
        </w:rPr>
        <w:t xml:space="preserve">language access requirements under the </w:t>
      </w:r>
      <w:r w:rsidR="00977A89" w:rsidRPr="00914C75">
        <w:rPr>
          <w:color w:val="000000"/>
          <w:szCs w:val="24"/>
        </w:rPr>
        <w:t>Civil Rights Act of 1964 or the Philadelphia Home Rule Charter</w:t>
      </w:r>
      <w:r w:rsidR="001E6107">
        <w:rPr>
          <w:color w:val="000000"/>
          <w:szCs w:val="24"/>
        </w:rPr>
        <w:t>,</w:t>
      </w:r>
      <w:r w:rsidR="00655106">
        <w:rPr>
          <w:color w:val="000000"/>
          <w:szCs w:val="24"/>
        </w:rPr>
        <w:t xml:space="preserve"> </w:t>
      </w:r>
      <w:r w:rsidR="00C07F84">
        <w:rPr>
          <w:color w:val="000000"/>
          <w:szCs w:val="24"/>
        </w:rPr>
        <w:t xml:space="preserve">is </w:t>
      </w:r>
      <w:r w:rsidR="00655106">
        <w:rPr>
          <w:color w:val="000000"/>
          <w:szCs w:val="24"/>
        </w:rPr>
        <w:t>granted.</w:t>
      </w:r>
    </w:p>
    <w:p w14:paraId="17E37518" w14:textId="77777777" w:rsidR="00815974" w:rsidRDefault="00815974" w:rsidP="00815974">
      <w:pPr>
        <w:pStyle w:val="ListParagraph"/>
        <w:tabs>
          <w:tab w:val="left" w:pos="270"/>
        </w:tabs>
        <w:spacing w:line="360" w:lineRule="auto"/>
        <w:ind w:left="1440"/>
        <w:rPr>
          <w:color w:val="000000"/>
          <w:szCs w:val="24"/>
        </w:rPr>
      </w:pPr>
    </w:p>
    <w:p w14:paraId="0A9D9A01" w14:textId="5C61C524" w:rsidR="00F84AA7" w:rsidRPr="00914719" w:rsidRDefault="00F84AA7" w:rsidP="00BF42DC">
      <w:pPr>
        <w:pStyle w:val="ListParagraph"/>
        <w:numPr>
          <w:ilvl w:val="0"/>
          <w:numId w:val="4"/>
        </w:numPr>
        <w:tabs>
          <w:tab w:val="left" w:pos="270"/>
        </w:tabs>
        <w:spacing w:line="360" w:lineRule="auto"/>
        <w:ind w:left="0" w:firstLine="1440"/>
        <w:rPr>
          <w:color w:val="000000"/>
          <w:szCs w:val="24"/>
        </w:rPr>
      </w:pPr>
      <w:r>
        <w:rPr>
          <w:szCs w:val="24"/>
        </w:rPr>
        <w:t xml:space="preserve">That the following testimony in </w:t>
      </w:r>
      <w:r w:rsidR="001B16CF">
        <w:rPr>
          <w:szCs w:val="24"/>
        </w:rPr>
        <w:t>TURN</w:t>
      </w:r>
      <w:r w:rsidR="00815974">
        <w:rPr>
          <w:szCs w:val="24"/>
        </w:rPr>
        <w:t>,</w:t>
      </w:r>
      <w:r>
        <w:rPr>
          <w:szCs w:val="24"/>
        </w:rPr>
        <w:t xml:space="preserve"> et al</w:t>
      </w:r>
      <w:r w:rsidR="001B16CF">
        <w:rPr>
          <w:szCs w:val="24"/>
        </w:rPr>
        <w:t>.</w:t>
      </w:r>
      <w:r>
        <w:rPr>
          <w:szCs w:val="24"/>
        </w:rPr>
        <w:t xml:space="preserve"> Statement No. 1</w:t>
      </w:r>
      <w:r w:rsidR="001B16CF">
        <w:rPr>
          <w:szCs w:val="24"/>
        </w:rPr>
        <w:t>, the Direct Testimony of Harry Gellar,</w:t>
      </w:r>
      <w:r>
        <w:rPr>
          <w:szCs w:val="24"/>
        </w:rPr>
        <w:t xml:space="preserve"> is excluded:</w:t>
      </w:r>
    </w:p>
    <w:p w14:paraId="4AA8D493" w14:textId="77777777" w:rsidR="001B16CF" w:rsidRPr="00914719" w:rsidRDefault="001B16CF" w:rsidP="00914719">
      <w:pPr>
        <w:tabs>
          <w:tab w:val="left" w:pos="270"/>
        </w:tabs>
        <w:spacing w:line="360" w:lineRule="auto"/>
        <w:rPr>
          <w:color w:val="000000"/>
          <w:szCs w:val="24"/>
        </w:rPr>
      </w:pPr>
    </w:p>
    <w:p w14:paraId="336B3DE6" w14:textId="10602167" w:rsidR="00F84AA7" w:rsidRDefault="00F84AA7" w:rsidP="00BF42DC">
      <w:pPr>
        <w:pStyle w:val="ListParagraph"/>
        <w:numPr>
          <w:ilvl w:val="1"/>
          <w:numId w:val="4"/>
        </w:numPr>
        <w:tabs>
          <w:tab w:val="left" w:pos="270"/>
        </w:tabs>
        <w:spacing w:line="360" w:lineRule="auto"/>
        <w:rPr>
          <w:color w:val="000000"/>
          <w:szCs w:val="24"/>
        </w:rPr>
      </w:pPr>
      <w:r w:rsidRPr="00C57643">
        <w:rPr>
          <w:color w:val="000000"/>
          <w:szCs w:val="24"/>
        </w:rPr>
        <w:t xml:space="preserve">Page </w:t>
      </w:r>
      <w:r w:rsidR="00C5290E">
        <w:rPr>
          <w:color w:val="000000"/>
          <w:szCs w:val="24"/>
        </w:rPr>
        <w:t>9</w:t>
      </w:r>
      <w:r w:rsidRPr="00C57643">
        <w:rPr>
          <w:color w:val="000000"/>
          <w:szCs w:val="24"/>
        </w:rPr>
        <w:t>, line 5</w:t>
      </w:r>
      <w:r w:rsidR="00C5290E">
        <w:rPr>
          <w:color w:val="000000"/>
          <w:szCs w:val="24"/>
        </w:rPr>
        <w:t>—“Language Access for Limited English Proficient customers”</w:t>
      </w:r>
    </w:p>
    <w:p w14:paraId="43ABD798" w14:textId="19F6FC97" w:rsidR="00815974" w:rsidRDefault="00815974" w:rsidP="00815974">
      <w:pPr>
        <w:pStyle w:val="ListParagraph"/>
        <w:numPr>
          <w:ilvl w:val="1"/>
          <w:numId w:val="4"/>
        </w:numPr>
        <w:tabs>
          <w:tab w:val="left" w:pos="270"/>
        </w:tabs>
        <w:spacing w:line="360" w:lineRule="auto"/>
        <w:rPr>
          <w:color w:val="000000"/>
          <w:szCs w:val="24"/>
        </w:rPr>
      </w:pPr>
      <w:r w:rsidRPr="00815974">
        <w:rPr>
          <w:color w:val="000000"/>
          <w:szCs w:val="24"/>
        </w:rPr>
        <w:t xml:space="preserve">Page 54, line </w:t>
      </w:r>
      <w:r w:rsidR="00C5290E">
        <w:rPr>
          <w:color w:val="000000"/>
          <w:szCs w:val="24"/>
        </w:rPr>
        <w:t>19</w:t>
      </w:r>
      <w:r w:rsidRPr="00815974">
        <w:rPr>
          <w:color w:val="000000"/>
          <w:szCs w:val="24"/>
        </w:rPr>
        <w:t xml:space="preserve"> through and including page 61, line </w:t>
      </w:r>
      <w:r w:rsidR="00C5290E">
        <w:rPr>
          <w:color w:val="000000"/>
          <w:szCs w:val="24"/>
        </w:rPr>
        <w:t>3</w:t>
      </w:r>
      <w:r w:rsidRPr="00815974">
        <w:rPr>
          <w:color w:val="000000"/>
          <w:szCs w:val="24"/>
        </w:rPr>
        <w:t>;</w:t>
      </w:r>
      <w:r w:rsidR="00C5290E">
        <w:rPr>
          <w:color w:val="000000"/>
          <w:szCs w:val="24"/>
        </w:rPr>
        <w:t xml:space="preserve"> and</w:t>
      </w:r>
    </w:p>
    <w:p w14:paraId="44A334A5" w14:textId="76AA3EAA" w:rsidR="00815974" w:rsidRPr="00815974" w:rsidRDefault="00815974" w:rsidP="00815974">
      <w:pPr>
        <w:pStyle w:val="ListParagraph"/>
        <w:numPr>
          <w:ilvl w:val="1"/>
          <w:numId w:val="4"/>
        </w:numPr>
        <w:tabs>
          <w:tab w:val="left" w:pos="270"/>
        </w:tabs>
        <w:spacing w:line="360" w:lineRule="auto"/>
        <w:rPr>
          <w:color w:val="000000"/>
          <w:szCs w:val="24"/>
        </w:rPr>
      </w:pPr>
      <w:r w:rsidRPr="00815974">
        <w:rPr>
          <w:color w:val="000000"/>
          <w:szCs w:val="24"/>
        </w:rPr>
        <w:t>Page 69, line 1</w:t>
      </w:r>
      <w:r w:rsidR="00C5290E">
        <w:rPr>
          <w:color w:val="000000"/>
          <w:szCs w:val="24"/>
        </w:rPr>
        <w:t>1</w:t>
      </w:r>
      <w:r w:rsidRPr="00815974">
        <w:rPr>
          <w:color w:val="000000"/>
          <w:szCs w:val="24"/>
        </w:rPr>
        <w:t xml:space="preserve"> through</w:t>
      </w:r>
      <w:r w:rsidR="00C5290E">
        <w:rPr>
          <w:color w:val="000000"/>
          <w:szCs w:val="24"/>
        </w:rPr>
        <w:t xml:space="preserve"> </w:t>
      </w:r>
      <w:proofErr w:type="gramStart"/>
      <w:r w:rsidR="00C5290E">
        <w:rPr>
          <w:color w:val="000000"/>
          <w:szCs w:val="24"/>
        </w:rPr>
        <w:t>21</w:t>
      </w:r>
      <w:r w:rsidRPr="00815974">
        <w:rPr>
          <w:color w:val="000000"/>
          <w:szCs w:val="24"/>
        </w:rPr>
        <w:t>;</w:t>
      </w:r>
      <w:proofErr w:type="gramEnd"/>
    </w:p>
    <w:p w14:paraId="381745A0" w14:textId="400246AA" w:rsidR="00ED54B8" w:rsidRDefault="00ED54B8">
      <w:pPr>
        <w:spacing w:after="200" w:line="276" w:lineRule="auto"/>
        <w:rPr>
          <w:color w:val="000000"/>
          <w:szCs w:val="24"/>
        </w:rPr>
      </w:pPr>
      <w:r>
        <w:rPr>
          <w:color w:val="000000"/>
          <w:szCs w:val="24"/>
        </w:rPr>
        <w:br w:type="page"/>
      </w:r>
    </w:p>
    <w:p w14:paraId="27DECE4A" w14:textId="0F9187D6" w:rsidR="00F4463F" w:rsidRDefault="00EB2C50">
      <w:pPr>
        <w:pStyle w:val="ListParagraph"/>
        <w:numPr>
          <w:ilvl w:val="0"/>
          <w:numId w:val="4"/>
        </w:numPr>
        <w:tabs>
          <w:tab w:val="left" w:pos="270"/>
        </w:tabs>
        <w:spacing w:line="360" w:lineRule="auto"/>
        <w:ind w:left="0" w:firstLine="1440"/>
        <w:rPr>
          <w:color w:val="000000"/>
          <w:szCs w:val="24"/>
        </w:rPr>
      </w:pPr>
      <w:r>
        <w:rPr>
          <w:szCs w:val="24"/>
        </w:rPr>
        <w:lastRenderedPageBreak/>
        <w:t xml:space="preserve">That the </w:t>
      </w:r>
      <w:r w:rsidR="00462D29">
        <w:rPr>
          <w:szCs w:val="24"/>
        </w:rPr>
        <w:t>P</w:t>
      </w:r>
      <w:r>
        <w:rPr>
          <w:szCs w:val="24"/>
        </w:rPr>
        <w:t xml:space="preserve">hiladelphia Gas Works’ </w:t>
      </w:r>
      <w:r w:rsidR="00655106">
        <w:rPr>
          <w:szCs w:val="24"/>
        </w:rPr>
        <w:t xml:space="preserve">Motion </w:t>
      </w:r>
      <w:r w:rsidR="00655106" w:rsidRPr="00F61AE2">
        <w:rPr>
          <w:i/>
          <w:iCs/>
          <w:szCs w:val="24"/>
        </w:rPr>
        <w:t xml:space="preserve">in </w:t>
      </w:r>
      <w:proofErr w:type="spellStart"/>
      <w:r w:rsidR="00655106" w:rsidRPr="00F61AE2">
        <w:rPr>
          <w:i/>
          <w:iCs/>
          <w:szCs w:val="24"/>
        </w:rPr>
        <w:t>Limine</w:t>
      </w:r>
      <w:proofErr w:type="spellEnd"/>
      <w:r w:rsidR="00655106">
        <w:rPr>
          <w:szCs w:val="24"/>
        </w:rPr>
        <w:t xml:space="preserve"> </w:t>
      </w:r>
      <w:r w:rsidR="001B16CF">
        <w:rPr>
          <w:szCs w:val="24"/>
        </w:rPr>
        <w:t>r</w:t>
      </w:r>
      <w:r w:rsidR="00655106">
        <w:rPr>
          <w:szCs w:val="24"/>
        </w:rPr>
        <w:t xml:space="preserve">egarding </w:t>
      </w:r>
      <w:r w:rsidR="001B16CF">
        <w:rPr>
          <w:szCs w:val="24"/>
        </w:rPr>
        <w:t xml:space="preserve">Direct </w:t>
      </w:r>
      <w:r w:rsidR="00655106">
        <w:rPr>
          <w:szCs w:val="24"/>
        </w:rPr>
        <w:t xml:space="preserve">Testimony </w:t>
      </w:r>
      <w:r w:rsidR="001B16CF">
        <w:rPr>
          <w:szCs w:val="24"/>
        </w:rPr>
        <w:t xml:space="preserve">of Harry Gellar submitted </w:t>
      </w:r>
      <w:r w:rsidR="00655106">
        <w:rPr>
          <w:szCs w:val="24"/>
        </w:rPr>
        <w:t xml:space="preserve">by TURN, </w:t>
      </w:r>
      <w:r w:rsidR="00655106" w:rsidRPr="00914719">
        <w:rPr>
          <w:i/>
          <w:iCs/>
          <w:szCs w:val="24"/>
        </w:rPr>
        <w:t>et al.</w:t>
      </w:r>
      <w:r w:rsidR="00655106">
        <w:rPr>
          <w:szCs w:val="24"/>
        </w:rPr>
        <w:t xml:space="preserve"> </w:t>
      </w:r>
      <w:r w:rsidR="001B16CF">
        <w:rPr>
          <w:szCs w:val="24"/>
        </w:rPr>
        <w:t>r</w:t>
      </w:r>
      <w:r w:rsidR="00655106">
        <w:rPr>
          <w:szCs w:val="24"/>
        </w:rPr>
        <w:t xml:space="preserve">egarding Universal Service </w:t>
      </w:r>
      <w:r w:rsidR="001B16CF">
        <w:rPr>
          <w:szCs w:val="24"/>
        </w:rPr>
        <w:t>and Customer Assistance Programs and suggestions of changes</w:t>
      </w:r>
      <w:r w:rsidR="00F4463F">
        <w:rPr>
          <w:szCs w:val="24"/>
        </w:rPr>
        <w:t xml:space="preserve"> </w:t>
      </w:r>
      <w:r w:rsidR="006D0834">
        <w:rPr>
          <w:szCs w:val="24"/>
        </w:rPr>
        <w:t xml:space="preserve">to those programs </w:t>
      </w:r>
      <w:r w:rsidR="00C07F84">
        <w:rPr>
          <w:szCs w:val="24"/>
        </w:rPr>
        <w:t>is denied</w:t>
      </w:r>
      <w:r w:rsidR="00655106">
        <w:rPr>
          <w:color w:val="000000"/>
          <w:szCs w:val="24"/>
        </w:rPr>
        <w:t xml:space="preserve">. </w:t>
      </w:r>
    </w:p>
    <w:p w14:paraId="2EE5C6A4" w14:textId="3942D486" w:rsidR="00ED54B8" w:rsidRDefault="00ED54B8" w:rsidP="00C3249B">
      <w:pPr>
        <w:spacing w:after="200" w:line="360" w:lineRule="auto"/>
        <w:rPr>
          <w:color w:val="000000"/>
          <w:szCs w:val="24"/>
        </w:rPr>
      </w:pPr>
    </w:p>
    <w:p w14:paraId="7352BE7B" w14:textId="77777777" w:rsidR="00BE3098" w:rsidRPr="00462D29" w:rsidRDefault="00BE3098" w:rsidP="00BF42DC">
      <w:pPr>
        <w:spacing w:line="360" w:lineRule="auto"/>
        <w:jc w:val="center"/>
      </w:pPr>
    </w:p>
    <w:p w14:paraId="52219D41" w14:textId="00E9B883" w:rsidR="005030CC" w:rsidRPr="00462D29" w:rsidRDefault="00977453" w:rsidP="00BF42DC">
      <w:r>
        <w:t xml:space="preserve">Date: </w:t>
      </w:r>
      <w:r w:rsidR="005030CC" w:rsidRPr="00462D29">
        <w:tab/>
      </w:r>
      <w:r w:rsidR="00ED54B8">
        <w:rPr>
          <w:u w:val="single"/>
        </w:rPr>
        <w:t>July 8, 2020</w:t>
      </w:r>
      <w:r w:rsidR="005030CC" w:rsidRPr="00462D29">
        <w:tab/>
      </w:r>
      <w:r w:rsidR="005030CC" w:rsidRPr="00462D29">
        <w:tab/>
      </w:r>
      <w:r w:rsidR="005030CC" w:rsidRPr="00462D29">
        <w:tab/>
      </w:r>
      <w:r w:rsidR="005030CC" w:rsidRPr="00462D29">
        <w:tab/>
      </w:r>
      <w:r w:rsidR="005030CC" w:rsidRPr="00462D29">
        <w:tab/>
      </w:r>
      <w:r w:rsidR="005030CC" w:rsidRPr="00F61AE2">
        <w:rPr>
          <w:u w:val="single"/>
        </w:rPr>
        <w:t>_______</w:t>
      </w:r>
      <w:r w:rsidRPr="00F61AE2">
        <w:rPr>
          <w:u w:val="single"/>
        </w:rPr>
        <w:t>/s/</w:t>
      </w:r>
      <w:r w:rsidR="005030CC" w:rsidRPr="00F61AE2">
        <w:rPr>
          <w:u w:val="single"/>
        </w:rPr>
        <w:t>_______________________</w:t>
      </w:r>
    </w:p>
    <w:p w14:paraId="7E173F00" w14:textId="77777777" w:rsidR="005030CC" w:rsidRPr="00462D29" w:rsidRDefault="005030CC" w:rsidP="00BF42DC">
      <w:r w:rsidRPr="00462D29">
        <w:tab/>
      </w:r>
      <w:r w:rsidRPr="00462D29">
        <w:tab/>
      </w:r>
      <w:r w:rsidRPr="00462D29">
        <w:tab/>
      </w:r>
      <w:r w:rsidRPr="00462D29">
        <w:tab/>
      </w:r>
      <w:r w:rsidRPr="00462D29">
        <w:tab/>
      </w:r>
      <w:r w:rsidRPr="00462D29">
        <w:tab/>
      </w:r>
      <w:r w:rsidRPr="00462D29">
        <w:tab/>
        <w:t>Darlene Heep</w:t>
      </w:r>
    </w:p>
    <w:p w14:paraId="4711F9EE" w14:textId="1A6D9889" w:rsidR="00BE3098" w:rsidRPr="00462D29" w:rsidRDefault="005030CC" w:rsidP="00BF42DC">
      <w:r w:rsidRPr="00462D29">
        <w:tab/>
      </w:r>
      <w:r w:rsidRPr="00462D29">
        <w:tab/>
      </w:r>
      <w:r w:rsidRPr="00462D29">
        <w:tab/>
      </w:r>
      <w:r w:rsidRPr="00462D29">
        <w:tab/>
      </w:r>
      <w:r w:rsidRPr="00462D29">
        <w:tab/>
      </w:r>
      <w:r w:rsidRPr="00462D29">
        <w:tab/>
      </w:r>
      <w:r w:rsidRPr="00462D29">
        <w:tab/>
        <w:t>Administrative Law Judge</w:t>
      </w:r>
      <w:r w:rsidR="00BE3098" w:rsidRPr="00462D29">
        <w:tab/>
      </w:r>
      <w:r w:rsidR="001D1EE9" w:rsidRPr="00462D29">
        <w:tab/>
      </w:r>
    </w:p>
    <w:p w14:paraId="17ADF269" w14:textId="77777777" w:rsidR="00CC3DAD" w:rsidRPr="00462D29" w:rsidRDefault="00CC3DAD" w:rsidP="00BF42DC"/>
    <w:p w14:paraId="07395C8C" w14:textId="77777777" w:rsidR="002F6D54" w:rsidRPr="00462D29" w:rsidRDefault="002F6D54" w:rsidP="00BF42DC"/>
    <w:p w14:paraId="3EA01564" w14:textId="7C247902" w:rsidR="002F6D54" w:rsidRPr="00F61AE2" w:rsidRDefault="002F6D54" w:rsidP="00BF42DC">
      <w:pPr>
        <w:rPr>
          <w:u w:val="single"/>
        </w:rPr>
      </w:pPr>
      <w:r w:rsidRPr="00462D29">
        <w:tab/>
      </w:r>
      <w:r w:rsidRPr="00462D29">
        <w:tab/>
      </w:r>
      <w:r w:rsidRPr="00462D29">
        <w:tab/>
      </w:r>
      <w:r w:rsidRPr="00462D29">
        <w:tab/>
      </w:r>
      <w:r w:rsidRPr="00462D29">
        <w:tab/>
      </w:r>
      <w:r w:rsidRPr="00462D29">
        <w:tab/>
      </w:r>
      <w:r w:rsidRPr="00462D29">
        <w:tab/>
      </w:r>
      <w:r w:rsidRPr="00F61AE2">
        <w:rPr>
          <w:u w:val="single"/>
        </w:rPr>
        <w:t>______</w:t>
      </w:r>
      <w:r w:rsidR="00977453" w:rsidRPr="00F61AE2">
        <w:rPr>
          <w:u w:val="single"/>
        </w:rPr>
        <w:t>/s/</w:t>
      </w:r>
      <w:r w:rsidRPr="00F61AE2">
        <w:rPr>
          <w:u w:val="single"/>
        </w:rPr>
        <w:t>_________________________</w:t>
      </w:r>
    </w:p>
    <w:p w14:paraId="1E616F74" w14:textId="77777777" w:rsidR="002F6D54" w:rsidRPr="00462D29" w:rsidRDefault="002F6D54" w:rsidP="00BF42DC">
      <w:r w:rsidRPr="00462D29">
        <w:tab/>
      </w:r>
      <w:r w:rsidRPr="00462D29">
        <w:tab/>
      </w:r>
      <w:r w:rsidRPr="00462D29">
        <w:tab/>
      </w:r>
      <w:r w:rsidRPr="00462D29">
        <w:tab/>
      </w:r>
      <w:r w:rsidRPr="00462D29">
        <w:tab/>
      </w:r>
      <w:r w:rsidRPr="00462D29">
        <w:tab/>
      </w:r>
      <w:r w:rsidRPr="00462D29">
        <w:tab/>
        <w:t>Marta Guhl</w:t>
      </w:r>
    </w:p>
    <w:p w14:paraId="1AFD6B9E" w14:textId="615E8E8A" w:rsidR="006654BB" w:rsidRDefault="002F6D54" w:rsidP="00BF42DC">
      <w:r w:rsidRPr="00462D29">
        <w:tab/>
      </w:r>
      <w:r w:rsidRPr="00462D29">
        <w:tab/>
      </w:r>
      <w:r w:rsidRPr="00462D29">
        <w:tab/>
      </w:r>
      <w:r w:rsidRPr="00462D29">
        <w:tab/>
      </w:r>
      <w:r w:rsidRPr="00462D29">
        <w:tab/>
      </w:r>
      <w:r w:rsidRPr="00462D29">
        <w:tab/>
      </w:r>
      <w:r w:rsidRPr="00462D29">
        <w:tab/>
        <w:t>Administrative Law Judge</w:t>
      </w:r>
    </w:p>
    <w:p w14:paraId="038F2638" w14:textId="77777777" w:rsidR="00FA066A" w:rsidRPr="00462D29" w:rsidRDefault="00FA066A" w:rsidP="00BF42DC"/>
    <w:p w14:paraId="46F1EF58" w14:textId="77777777" w:rsidR="00FA066A" w:rsidRDefault="006654BB" w:rsidP="00FA066A">
      <w:pPr>
        <w:rPr>
          <w:rFonts w:eastAsia="Calibri"/>
          <w:b/>
          <w:bCs/>
          <w:color w:val="000000"/>
          <w:szCs w:val="24"/>
          <w:u w:val="single"/>
        </w:rPr>
      </w:pPr>
      <w:r w:rsidRPr="00462D29">
        <w:br w:type="page"/>
      </w:r>
      <w:r w:rsidR="00FA066A">
        <w:rPr>
          <w:rFonts w:eastAsia="Calibri"/>
          <w:b/>
          <w:bCs/>
          <w:color w:val="000000"/>
          <w:szCs w:val="24"/>
          <w:u w:val="single"/>
        </w:rPr>
        <w:lastRenderedPageBreak/>
        <w:t>R-2020-3017206 - PA PUBLIC UTILITY COMMISSION, et. al. v. PHILADELPHIA GAS WORKS</w:t>
      </w:r>
    </w:p>
    <w:p w14:paraId="4A77D5C4" w14:textId="65D8F951" w:rsidR="00FA066A" w:rsidRDefault="00FA066A" w:rsidP="00FA066A">
      <w:pPr>
        <w:rPr>
          <w:rFonts w:eastAsia="Calibri"/>
          <w:color w:val="000000"/>
          <w:szCs w:val="24"/>
        </w:rPr>
      </w:pPr>
    </w:p>
    <w:p w14:paraId="4FE17483" w14:textId="173FA87F" w:rsidR="00FA066A" w:rsidRDefault="00FA066A" w:rsidP="00FA066A">
      <w:pPr>
        <w:rPr>
          <w:rFonts w:eastAsia="Calibri"/>
          <w:color w:val="000000"/>
          <w:szCs w:val="24"/>
        </w:rPr>
      </w:pPr>
    </w:p>
    <w:p w14:paraId="002FE0FD" w14:textId="6C45136B" w:rsidR="00FA066A" w:rsidRDefault="003326F4" w:rsidP="003326F4">
      <w:pPr>
        <w:jc w:val="center"/>
        <w:rPr>
          <w:rFonts w:eastAsia="Calibri"/>
          <w:color w:val="000000"/>
          <w:szCs w:val="24"/>
          <w:u w:val="single"/>
        </w:rPr>
      </w:pPr>
      <w:r w:rsidRPr="00C3249B">
        <w:rPr>
          <w:rFonts w:eastAsia="Calibri"/>
          <w:color w:val="000000"/>
          <w:szCs w:val="24"/>
          <w:u w:val="single"/>
        </w:rPr>
        <w:t>SERVICE LIST</w:t>
      </w:r>
    </w:p>
    <w:p w14:paraId="3106CE35" w14:textId="6D21951A" w:rsidR="003326F4" w:rsidRDefault="003326F4" w:rsidP="003326F4">
      <w:pPr>
        <w:jc w:val="center"/>
        <w:rPr>
          <w:rFonts w:eastAsia="Calibri"/>
          <w:color w:val="000000"/>
          <w:szCs w:val="24"/>
          <w:u w:val="single"/>
        </w:rPr>
      </w:pPr>
    </w:p>
    <w:p w14:paraId="3C61FC15" w14:textId="77777777" w:rsidR="003326F4" w:rsidRPr="00C3249B" w:rsidRDefault="003326F4" w:rsidP="00C3249B">
      <w:pPr>
        <w:jc w:val="center"/>
        <w:rPr>
          <w:rFonts w:eastAsia="Calibri"/>
          <w:color w:val="000000"/>
          <w:szCs w:val="24"/>
          <w:u w:val="single"/>
        </w:rPr>
      </w:pPr>
    </w:p>
    <w:p w14:paraId="72508F06"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DANIEL CLEARFIELD ESQUIRE</w:t>
      </w:r>
    </w:p>
    <w:p w14:paraId="178BDCAE"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SARAH C STONER ESQUIRE</w:t>
      </w:r>
      <w:r>
        <w:rPr>
          <w:rFonts w:ascii="Microsoft Sans Serif" w:hAnsi="Microsoft Sans Serif" w:cs="Microsoft Sans Serif"/>
          <w:color w:val="000000"/>
          <w:szCs w:val="24"/>
        </w:rPr>
        <w:br/>
      </w:r>
      <w:r>
        <w:rPr>
          <w:rFonts w:ascii="Microsoft Sans Serif" w:eastAsia="Microsoft Sans Serif" w:hAnsi="Microsoft Sans Serif" w:cs="Microsoft Sans Serif"/>
        </w:rPr>
        <w:t>KRISTINE MARSILIO ESQUIRE</w:t>
      </w:r>
    </w:p>
    <w:p w14:paraId="6B9DD0A8"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ECKERT SEAMANS</w:t>
      </w:r>
    </w:p>
    <w:p w14:paraId="205AA7E2"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213 MARKET STREET</w:t>
      </w:r>
    </w:p>
    <w:p w14:paraId="50E73D7A"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 xml:space="preserve">HARRISBURG PA 17101 </w:t>
      </w:r>
    </w:p>
    <w:p w14:paraId="522E49E3" w14:textId="77777777" w:rsidR="00FA066A" w:rsidRDefault="00FA066A" w:rsidP="00FA066A">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 xml:space="preserve">717.237.7173 </w:t>
      </w:r>
    </w:p>
    <w:p w14:paraId="54D557C4" w14:textId="77777777" w:rsidR="00FA066A" w:rsidRDefault="00FA066A" w:rsidP="00FA066A">
      <w:pPr>
        <w:rPr>
          <w:rFonts w:ascii="Microsoft Sans Serif" w:hAnsi="Microsoft Sans Serif" w:cs="Microsoft Sans Serif"/>
          <w:i/>
          <w:iCs/>
          <w:color w:val="000000"/>
          <w:sz w:val="22"/>
          <w:szCs w:val="22"/>
        </w:rPr>
      </w:pPr>
      <w:r>
        <w:rPr>
          <w:rFonts w:ascii="Microsoft Sans Serif" w:hAnsi="Microsoft Sans Serif" w:cs="Microsoft Sans Serif"/>
          <w:i/>
          <w:iCs/>
          <w:color w:val="000000"/>
        </w:rPr>
        <w:t>Representing Philadelphia Gas Works</w:t>
      </w:r>
    </w:p>
    <w:p w14:paraId="1794CCED" w14:textId="77777777" w:rsidR="00FA066A" w:rsidRDefault="00FA066A" w:rsidP="00FA066A">
      <w:pPr>
        <w:rPr>
          <w:rFonts w:ascii="Microsoft Sans Serif" w:hAnsi="Microsoft Sans Serif" w:cs="Microsoft Sans Serif"/>
          <w:b/>
          <w:bCs/>
          <w:i/>
          <w:iCs/>
          <w:color w:val="000000"/>
          <w:szCs w:val="24"/>
          <w:u w:val="single"/>
        </w:rPr>
      </w:pPr>
      <w:r>
        <w:rPr>
          <w:rFonts w:ascii="Microsoft Sans Serif" w:hAnsi="Microsoft Sans Serif" w:cs="Microsoft Sans Serif"/>
          <w:b/>
          <w:bCs/>
          <w:i/>
          <w:iCs/>
          <w:color w:val="000000"/>
          <w:szCs w:val="24"/>
          <w:u w:val="single"/>
        </w:rPr>
        <w:t>ACCEPTS E-SERVICE</w:t>
      </w:r>
    </w:p>
    <w:p w14:paraId="428667F4" w14:textId="77777777" w:rsidR="00FA066A" w:rsidRDefault="00FA066A" w:rsidP="00FA066A">
      <w:pPr>
        <w:rPr>
          <w:rFonts w:ascii="Microsoft Sans Serif" w:hAnsi="Microsoft Sans Serif" w:cs="Microsoft Sans Serif"/>
          <w:color w:val="000000"/>
          <w:szCs w:val="24"/>
        </w:rPr>
      </w:pPr>
    </w:p>
    <w:p w14:paraId="394EDCE6"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GREGORY J STUNDER ESQUIRE</w:t>
      </w:r>
    </w:p>
    <w:p w14:paraId="217D348E"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b/>
          <w:bCs/>
          <w:color w:val="000000"/>
          <w:szCs w:val="24"/>
        </w:rPr>
        <w:t>*</w:t>
      </w:r>
      <w:r>
        <w:rPr>
          <w:rFonts w:ascii="Microsoft Sans Serif" w:hAnsi="Microsoft Sans Serif" w:cs="Microsoft Sans Serif"/>
          <w:color w:val="000000"/>
          <w:szCs w:val="24"/>
        </w:rPr>
        <w:t>CRAIG BERRY ESQUIRE</w:t>
      </w:r>
    </w:p>
    <w:p w14:paraId="5B55EC9F"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PHILADELPHIA GAS WORKS</w:t>
      </w:r>
    </w:p>
    <w:p w14:paraId="0A638314"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800 WEST MONTGOMERY AVENUE</w:t>
      </w:r>
    </w:p>
    <w:p w14:paraId="26A85EA6" w14:textId="77777777" w:rsidR="00FA066A" w:rsidRDefault="00FA066A" w:rsidP="00FA066A">
      <w:pPr>
        <w:rPr>
          <w:rFonts w:ascii="Microsoft Sans Serif" w:hAnsi="Microsoft Sans Serif" w:cs="Microsoft Sans Serif"/>
          <w:b/>
          <w:bCs/>
          <w:color w:val="000000"/>
          <w:szCs w:val="24"/>
        </w:rPr>
      </w:pPr>
      <w:r>
        <w:rPr>
          <w:rFonts w:ascii="Microsoft Sans Serif" w:hAnsi="Microsoft Sans Serif" w:cs="Microsoft Sans Serif"/>
          <w:color w:val="000000"/>
          <w:szCs w:val="24"/>
        </w:rPr>
        <w:t>PHILADELPHIA PA 19122</w:t>
      </w:r>
      <w:r>
        <w:rPr>
          <w:rFonts w:ascii="Microsoft Sans Serif" w:hAnsi="Microsoft Sans Serif" w:cs="Microsoft Sans Serif"/>
          <w:color w:val="000000"/>
          <w:szCs w:val="24"/>
        </w:rPr>
        <w:br/>
      </w:r>
      <w:r>
        <w:rPr>
          <w:rFonts w:ascii="Microsoft Sans Serif" w:hAnsi="Microsoft Sans Serif" w:cs="Microsoft Sans Serif"/>
          <w:b/>
          <w:bCs/>
          <w:color w:val="000000"/>
          <w:szCs w:val="24"/>
        </w:rPr>
        <w:t>215.684.6878</w:t>
      </w:r>
    </w:p>
    <w:p w14:paraId="2443CB9E" w14:textId="77777777" w:rsidR="00FA066A" w:rsidRDefault="00FA066A" w:rsidP="00FA066A">
      <w:pPr>
        <w:rPr>
          <w:rFonts w:ascii="Microsoft Sans Serif" w:hAnsi="Microsoft Sans Serif" w:cs="Microsoft Sans Serif"/>
          <w:b/>
          <w:bCs/>
          <w:i/>
          <w:iCs/>
          <w:color w:val="000000"/>
          <w:szCs w:val="24"/>
          <w:u w:val="single"/>
        </w:rPr>
      </w:pPr>
      <w:r>
        <w:rPr>
          <w:rFonts w:ascii="Microsoft Sans Serif" w:hAnsi="Microsoft Sans Serif" w:cs="Microsoft Sans Serif"/>
          <w:b/>
          <w:bCs/>
          <w:i/>
          <w:iCs/>
          <w:color w:val="000000"/>
          <w:szCs w:val="24"/>
          <w:u w:val="single"/>
        </w:rPr>
        <w:t>ACCEPTS E-SERVICE</w:t>
      </w:r>
      <w:r>
        <w:rPr>
          <w:rFonts w:ascii="Microsoft Sans Serif" w:hAnsi="Microsoft Sans Serif" w:cs="Microsoft Sans Serif"/>
          <w:b/>
          <w:bCs/>
          <w:i/>
          <w:iCs/>
          <w:color w:val="000000"/>
          <w:szCs w:val="24"/>
          <w:u w:val="single"/>
        </w:rPr>
        <w:br/>
      </w:r>
      <w:r>
        <w:rPr>
          <w:rFonts w:ascii="Microsoft Sans Serif" w:eastAsia="Microsoft Sans Serif" w:hAnsi="Microsoft Sans Serif" w:cs="Microsoft Sans Serif"/>
          <w:i/>
          <w:iCs/>
        </w:rPr>
        <w:t>*Via e-mail only due to Emergency Order at M-2020-3019262</w:t>
      </w:r>
      <w:r>
        <w:rPr>
          <w:rFonts w:ascii="Microsoft Sans Serif" w:eastAsia="Microsoft Sans Serif" w:hAnsi="Microsoft Sans Serif" w:cs="Microsoft Sans Serif"/>
          <w:i/>
          <w:iCs/>
        </w:rPr>
        <w:br/>
        <w:t>craig.berry@pgworks.com</w:t>
      </w:r>
    </w:p>
    <w:p w14:paraId="57E7208C" w14:textId="77777777" w:rsidR="00FA066A" w:rsidRDefault="00FA066A" w:rsidP="00FA066A">
      <w:pPr>
        <w:rPr>
          <w:rFonts w:ascii="Microsoft Sans Serif" w:hAnsi="Microsoft Sans Serif" w:cs="Microsoft Sans Serif"/>
          <w:b/>
          <w:bCs/>
          <w:i/>
          <w:iCs/>
          <w:color w:val="000000"/>
          <w:szCs w:val="24"/>
          <w:u w:val="single"/>
        </w:rPr>
      </w:pPr>
    </w:p>
    <w:p w14:paraId="58D884E2" w14:textId="77777777" w:rsidR="00FA066A" w:rsidRDefault="00FA066A" w:rsidP="00FA066A">
      <w:pPr>
        <w:rPr>
          <w:rFonts w:ascii="Microsoft Sans Serif" w:eastAsia="Microsoft Sans Serif" w:hAnsi="Microsoft Sans Serif" w:cs="Microsoft Sans Serif"/>
          <w:b/>
          <w:bCs/>
        </w:rPr>
      </w:pPr>
      <w:r>
        <w:rPr>
          <w:rFonts w:ascii="Microsoft Sans Serif" w:eastAsia="Microsoft Sans Serif" w:hAnsi="Microsoft Sans Serif" w:cs="Microsoft Sans Serif"/>
        </w:rPr>
        <w:t>LAUREN M BURGE ESQUIRE</w:t>
      </w:r>
      <w:r>
        <w:rPr>
          <w:szCs w:val="24"/>
        </w:rPr>
        <w:br/>
      </w:r>
      <w:r>
        <w:rPr>
          <w:rFonts w:ascii="Microsoft Sans Serif" w:eastAsia="Microsoft Sans Serif" w:hAnsi="Microsoft Sans Serif" w:cs="Microsoft Sans Serif"/>
        </w:rPr>
        <w:t>600 GRANT STREET</w:t>
      </w:r>
      <w:r>
        <w:rPr>
          <w:rFonts w:ascii="Microsoft Sans Serif" w:eastAsia="Microsoft Sans Serif" w:hAnsi="Microsoft Sans Serif" w:cs="Microsoft Sans Serif"/>
        </w:rPr>
        <w:br/>
        <w:t>44TH FLOOR</w:t>
      </w:r>
      <w:r>
        <w:rPr>
          <w:rFonts w:ascii="Microsoft Sans Serif" w:eastAsia="Microsoft Sans Serif" w:hAnsi="Microsoft Sans Serif" w:cs="Microsoft Sans Serif"/>
        </w:rPr>
        <w:br/>
        <w:t>PITTSBURGH PA  15219</w:t>
      </w:r>
      <w:r>
        <w:rPr>
          <w:rFonts w:ascii="Microsoft Sans Serif" w:eastAsia="Microsoft Sans Serif" w:hAnsi="Microsoft Sans Serif" w:cs="Microsoft Sans Serif"/>
        </w:rPr>
        <w:br/>
      </w:r>
      <w:r>
        <w:rPr>
          <w:rFonts w:ascii="Microsoft Sans Serif" w:eastAsia="Microsoft Sans Serif" w:hAnsi="Microsoft Sans Serif" w:cs="Microsoft Sans Serif"/>
          <w:b/>
          <w:bCs/>
        </w:rPr>
        <w:t>412.566.2146</w:t>
      </w:r>
    </w:p>
    <w:p w14:paraId="056EACC5" w14:textId="77777777" w:rsidR="00FA066A" w:rsidRDefault="00FA066A" w:rsidP="00FA066A">
      <w:pPr>
        <w:rPr>
          <w:rFonts w:ascii="Microsoft Sans Serif" w:hAnsi="Microsoft Sans Serif" w:cs="Microsoft Sans Serif"/>
          <w:b/>
          <w:bCs/>
          <w:i/>
          <w:iCs/>
          <w:color w:val="000000"/>
          <w:szCs w:val="24"/>
          <w:u w:val="single"/>
        </w:rPr>
      </w:pPr>
      <w:r>
        <w:rPr>
          <w:rFonts w:ascii="Microsoft Sans Serif" w:eastAsia="Microsoft Sans Serif" w:hAnsi="Microsoft Sans Serif" w:cs="Microsoft Sans Serif"/>
          <w:i/>
          <w:iCs/>
        </w:rPr>
        <w:t>Representing Philadelphia Gas Works</w:t>
      </w:r>
      <w:r>
        <w:rPr>
          <w:szCs w:val="24"/>
        </w:rPr>
        <w:br/>
      </w:r>
      <w:r>
        <w:rPr>
          <w:rFonts w:ascii="Microsoft Sans Serif" w:hAnsi="Microsoft Sans Serif" w:cs="Microsoft Sans Serif"/>
          <w:b/>
          <w:bCs/>
          <w:i/>
          <w:iCs/>
          <w:color w:val="000000"/>
          <w:szCs w:val="24"/>
          <w:u w:val="single"/>
        </w:rPr>
        <w:t>ACCEPTS E-SERVICE</w:t>
      </w:r>
    </w:p>
    <w:p w14:paraId="01E6ACCE" w14:textId="77777777" w:rsidR="00FA066A" w:rsidRDefault="00FA066A" w:rsidP="00FA066A">
      <w:pPr>
        <w:rPr>
          <w:rFonts w:ascii="Microsoft Sans Serif" w:hAnsi="Microsoft Sans Serif" w:cs="Microsoft Sans Serif"/>
          <w:color w:val="000000"/>
          <w:szCs w:val="24"/>
        </w:rPr>
      </w:pPr>
    </w:p>
    <w:p w14:paraId="098006E6" w14:textId="77777777" w:rsidR="00FA066A" w:rsidRDefault="00FA066A" w:rsidP="00FA066A">
      <w:pPr>
        <w:rPr>
          <w:rFonts w:ascii="Microsoft Sans Serif" w:hAnsi="Microsoft Sans Serif" w:cs="Microsoft Sans Serif"/>
          <w:b/>
          <w:bCs/>
          <w:color w:val="000000"/>
          <w:szCs w:val="24"/>
        </w:rPr>
      </w:pPr>
      <w:r>
        <w:rPr>
          <w:rFonts w:ascii="Microsoft Sans Serif" w:hAnsi="Microsoft Sans Serif" w:cs="Microsoft Sans Serif"/>
          <w:color w:val="000000"/>
          <w:szCs w:val="24"/>
        </w:rPr>
        <w:t>SHARON E WEBB ESQUIRE</w:t>
      </w:r>
    </w:p>
    <w:p w14:paraId="0F95518B" w14:textId="77777777" w:rsidR="00FA066A" w:rsidRDefault="00FA066A" w:rsidP="00FA066A">
      <w:pPr>
        <w:rPr>
          <w:rFonts w:ascii="Microsoft Sans Serif" w:hAnsi="Microsoft Sans Serif" w:cs="Microsoft Sans Serif"/>
          <w:b/>
          <w:bCs/>
          <w:color w:val="000000"/>
          <w:szCs w:val="24"/>
        </w:rPr>
      </w:pPr>
      <w:r>
        <w:rPr>
          <w:rFonts w:ascii="Microsoft Sans Serif" w:hAnsi="Microsoft Sans Serif" w:cs="Microsoft Sans Serif"/>
          <w:color w:val="000000"/>
          <w:szCs w:val="24"/>
        </w:rPr>
        <w:t>DANIEL ASMUS ESQUIRE</w:t>
      </w:r>
    </w:p>
    <w:p w14:paraId="6E65FD80"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 xml:space="preserve">OFFICE OF SMALL BUSINESS ADVOCATE </w:t>
      </w:r>
    </w:p>
    <w:p w14:paraId="59BB1B69"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 xml:space="preserve">FORUM PLACE </w:t>
      </w:r>
    </w:p>
    <w:p w14:paraId="7A176FC5"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555 WALNUT STREET 1ST FLOOR</w:t>
      </w:r>
    </w:p>
    <w:p w14:paraId="7027D698"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 xml:space="preserve">HARRISBURG PA 17101 </w:t>
      </w:r>
    </w:p>
    <w:p w14:paraId="43607324" w14:textId="77777777" w:rsidR="00FA066A" w:rsidRDefault="00FA066A" w:rsidP="00FA066A">
      <w:pPr>
        <w:rPr>
          <w:sz w:val="20"/>
        </w:rPr>
      </w:pPr>
      <w:r>
        <w:rPr>
          <w:rFonts w:ascii="Microsoft Sans Serif" w:hAnsi="Microsoft Sans Serif" w:cs="Microsoft Sans Serif"/>
          <w:b/>
          <w:bCs/>
          <w:color w:val="000000"/>
          <w:szCs w:val="24"/>
        </w:rPr>
        <w:t>717.783.2525</w:t>
      </w:r>
      <w:r>
        <w:rPr>
          <w:rFonts w:ascii="Microsoft Sans Serif" w:hAnsi="Microsoft Sans Serif" w:cs="Microsoft Sans Serif"/>
          <w:b/>
          <w:bCs/>
          <w:color w:val="000000"/>
          <w:szCs w:val="24"/>
        </w:rPr>
        <w:br/>
      </w:r>
      <w:r>
        <w:rPr>
          <w:rFonts w:ascii="Microsoft Sans Serif" w:eastAsia="Microsoft Sans Serif" w:hAnsi="Microsoft Sans Serif" w:cs="Microsoft Sans Serif"/>
          <w:i/>
          <w:iCs/>
        </w:rPr>
        <w:t>Via e-mail only due to Emergency Order at M-2020-3019262</w:t>
      </w:r>
      <w:r>
        <w:rPr>
          <w:rFonts w:ascii="Microsoft Sans Serif" w:hAnsi="Microsoft Sans Serif" w:cs="Microsoft Sans Serif"/>
          <w:b/>
          <w:bCs/>
          <w:color w:val="000000"/>
          <w:szCs w:val="24"/>
        </w:rPr>
        <w:br/>
      </w:r>
      <w:hyperlink r:id="rId8" w:history="1">
        <w:r>
          <w:rPr>
            <w:rStyle w:val="Hyperlink"/>
            <w:rFonts w:ascii="Microsoft Sans Serif" w:hAnsi="Microsoft Sans Serif" w:cs="Microsoft Sans Serif"/>
            <w:szCs w:val="24"/>
          </w:rPr>
          <w:t>swebb@pa.gov</w:t>
        </w:r>
      </w:hyperlink>
      <w:r>
        <w:rPr>
          <w:rFonts w:ascii="Microsoft Sans Serif" w:hAnsi="Microsoft Sans Serif" w:cs="Microsoft Sans Serif"/>
          <w:color w:val="000000"/>
          <w:szCs w:val="24"/>
        </w:rPr>
        <w:br/>
      </w:r>
      <w:hyperlink r:id="rId9" w:history="1">
        <w:r>
          <w:rPr>
            <w:rStyle w:val="Hyperlink"/>
            <w:rFonts w:ascii="Microsoft Sans Serif" w:hAnsi="Microsoft Sans Serif" w:cs="Microsoft Sans Serif"/>
            <w:szCs w:val="24"/>
          </w:rPr>
          <w:t>dasmus@pa.gov</w:t>
        </w:r>
      </w:hyperlink>
    </w:p>
    <w:p w14:paraId="662DF189" w14:textId="77777777" w:rsidR="00FA066A" w:rsidRDefault="00FA066A" w:rsidP="00FA066A"/>
    <w:p w14:paraId="0B97FD39" w14:textId="77777777" w:rsidR="00FA066A" w:rsidRDefault="00FA066A" w:rsidP="00FA066A">
      <w:pPr>
        <w:spacing w:after="160" w:line="256" w:lineRule="auto"/>
        <w:rPr>
          <w:rFonts w:ascii="Microsoft Sans Serif" w:hAnsi="Microsoft Sans Serif" w:cs="Microsoft Sans Serif"/>
          <w:color w:val="000000"/>
          <w:szCs w:val="24"/>
        </w:rPr>
      </w:pPr>
      <w:r>
        <w:rPr>
          <w:rFonts w:ascii="Microsoft Sans Serif" w:hAnsi="Microsoft Sans Serif" w:cs="Microsoft Sans Serif"/>
          <w:color w:val="000000"/>
          <w:szCs w:val="24"/>
        </w:rPr>
        <w:br w:type="page"/>
      </w:r>
    </w:p>
    <w:p w14:paraId="60DA2F20"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lastRenderedPageBreak/>
        <w:t>DARRYL A LAWRENCE ESQUIRE</w:t>
      </w:r>
    </w:p>
    <w:p w14:paraId="2D4EBA0A"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SANTO G SPARTARO ESQUIRE</w:t>
      </w:r>
    </w:p>
    <w:p w14:paraId="4043DC30"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LAURA J ANTINUCCI ESQUIRE</w:t>
      </w:r>
    </w:p>
    <w:p w14:paraId="0662ED04"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OFFICE OF CONSUMER ADVOCATE</w:t>
      </w:r>
    </w:p>
    <w:p w14:paraId="1C2B622F"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5TH FLOOR FORUM PLACE</w:t>
      </w:r>
    </w:p>
    <w:p w14:paraId="47627399"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555 WALNUT STREET</w:t>
      </w:r>
    </w:p>
    <w:p w14:paraId="26F99C36"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HARRISBURG PA 17101-1923</w:t>
      </w:r>
    </w:p>
    <w:p w14:paraId="50EA7F1C" w14:textId="77777777" w:rsidR="00FA066A" w:rsidRDefault="00FA066A" w:rsidP="00FA066A">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717.783.5048</w:t>
      </w:r>
    </w:p>
    <w:p w14:paraId="4F1B378D" w14:textId="77777777" w:rsidR="00FA066A" w:rsidRDefault="00FA066A" w:rsidP="00FA066A">
      <w:pPr>
        <w:rPr>
          <w:rFonts w:ascii="Microsoft Sans Serif" w:hAnsi="Microsoft Sans Serif" w:cs="Microsoft Sans Serif"/>
          <w:b/>
          <w:bCs/>
          <w:i/>
          <w:iCs/>
          <w:color w:val="000000"/>
          <w:szCs w:val="24"/>
          <w:u w:val="single"/>
        </w:rPr>
      </w:pPr>
      <w:r>
        <w:rPr>
          <w:rFonts w:ascii="Microsoft Sans Serif" w:hAnsi="Microsoft Sans Serif" w:cs="Microsoft Sans Serif"/>
          <w:b/>
          <w:bCs/>
          <w:i/>
          <w:iCs/>
          <w:color w:val="000000"/>
          <w:szCs w:val="24"/>
          <w:u w:val="single"/>
        </w:rPr>
        <w:t>ACCEPTS E-SERVICE</w:t>
      </w:r>
    </w:p>
    <w:p w14:paraId="622F0904" w14:textId="77777777" w:rsidR="00FA066A" w:rsidRDefault="00FA066A" w:rsidP="00FA066A">
      <w:pPr>
        <w:rPr>
          <w:rFonts w:ascii="Microsoft Sans Serif" w:hAnsi="Microsoft Sans Serif" w:cs="Microsoft Sans Serif"/>
          <w:b/>
          <w:bCs/>
          <w:i/>
          <w:iCs/>
          <w:color w:val="000000"/>
          <w:szCs w:val="24"/>
          <w:u w:val="single"/>
        </w:rPr>
      </w:pPr>
    </w:p>
    <w:p w14:paraId="4179D4C4"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JOHN SWEET ESQUIRE</w:t>
      </w:r>
    </w:p>
    <w:p w14:paraId="79E435C5"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ELIZABETH R MARX ESQUIRE</w:t>
      </w:r>
    </w:p>
    <w:p w14:paraId="42EFCD36"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RIA PEREIRA ESQUIRE</w:t>
      </w:r>
    </w:p>
    <w:p w14:paraId="04A07A32"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PA UTILITY LAW PROJECT</w:t>
      </w:r>
    </w:p>
    <w:p w14:paraId="1B7C8105"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118 LOCUST STREET</w:t>
      </w:r>
    </w:p>
    <w:p w14:paraId="126E60C8"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HARRISBURG PA 17101</w:t>
      </w:r>
    </w:p>
    <w:p w14:paraId="2F838278" w14:textId="77777777" w:rsidR="00FA066A" w:rsidRDefault="00FA066A" w:rsidP="00FA066A">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717.701.3837</w:t>
      </w:r>
    </w:p>
    <w:p w14:paraId="6330F6B4" w14:textId="77777777" w:rsidR="00FA066A" w:rsidRDefault="00FA066A" w:rsidP="00FA066A">
      <w:pPr>
        <w:rPr>
          <w:rFonts w:ascii="Microsoft Sans Serif" w:hAnsi="Microsoft Sans Serif" w:cs="Microsoft Sans Serif"/>
          <w:b/>
          <w:bCs/>
          <w:color w:val="000000"/>
          <w:sz w:val="22"/>
          <w:szCs w:val="22"/>
        </w:rPr>
      </w:pPr>
      <w:r>
        <w:rPr>
          <w:rFonts w:ascii="Microsoft Sans Serif" w:hAnsi="Microsoft Sans Serif" w:cs="Microsoft Sans Serif"/>
          <w:i/>
          <w:iCs/>
          <w:color w:val="000000"/>
        </w:rPr>
        <w:t>Representing CAUSE-PA</w:t>
      </w:r>
      <w:r>
        <w:rPr>
          <w:rFonts w:ascii="Microsoft Sans Serif" w:hAnsi="Microsoft Sans Serif" w:cs="Microsoft Sans Serif"/>
          <w:b/>
          <w:bCs/>
          <w:color w:val="000000"/>
        </w:rPr>
        <w:t xml:space="preserve"> </w:t>
      </w:r>
    </w:p>
    <w:p w14:paraId="687551AC" w14:textId="77777777" w:rsidR="00FA066A" w:rsidRDefault="00FA066A" w:rsidP="00FA066A">
      <w:pPr>
        <w:rPr>
          <w:rFonts w:ascii="Microsoft Sans Serif" w:hAnsi="Microsoft Sans Serif" w:cs="Microsoft Sans Serif"/>
          <w:b/>
          <w:bCs/>
          <w:i/>
          <w:iCs/>
          <w:color w:val="000000"/>
          <w:szCs w:val="24"/>
          <w:u w:val="single"/>
        </w:rPr>
      </w:pPr>
      <w:r>
        <w:rPr>
          <w:rFonts w:ascii="Microsoft Sans Serif" w:hAnsi="Microsoft Sans Serif" w:cs="Microsoft Sans Serif"/>
          <w:b/>
          <w:bCs/>
          <w:i/>
          <w:iCs/>
          <w:color w:val="000000"/>
          <w:szCs w:val="24"/>
          <w:u w:val="single"/>
        </w:rPr>
        <w:t>ACCEPTS E-SERVICE</w:t>
      </w:r>
    </w:p>
    <w:p w14:paraId="77CB1E1B" w14:textId="77777777" w:rsidR="00FA066A" w:rsidRDefault="00FA066A" w:rsidP="00FA066A">
      <w:pPr>
        <w:rPr>
          <w:rFonts w:ascii="Microsoft Sans Serif" w:hAnsi="Microsoft Sans Serif" w:cs="Microsoft Sans Serif"/>
          <w:b/>
          <w:bCs/>
          <w:i/>
          <w:iCs/>
          <w:color w:val="000000"/>
          <w:szCs w:val="24"/>
          <w:u w:val="single"/>
        </w:rPr>
      </w:pPr>
    </w:p>
    <w:p w14:paraId="464EDDDB"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CARRIE B WRIGHT ESQUIRE</w:t>
      </w:r>
    </w:p>
    <w:p w14:paraId="5AA1F1B3"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PUBLIC UTILITY COMMISSION</w:t>
      </w:r>
    </w:p>
    <w:p w14:paraId="11C24363"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BUREAU OF INVESTIGATION AND ENFORCEMENT</w:t>
      </w:r>
    </w:p>
    <w:p w14:paraId="649FDAE5"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SECOND FLOOR WEST</w:t>
      </w:r>
    </w:p>
    <w:p w14:paraId="639D6A4A"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400 NORTH STREET</w:t>
      </w:r>
    </w:p>
    <w:p w14:paraId="290396B0"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HARRISBURG PA 17120</w:t>
      </w:r>
    </w:p>
    <w:p w14:paraId="09B8B6CE" w14:textId="77777777" w:rsidR="00FA066A" w:rsidRDefault="00FA066A" w:rsidP="00FA066A">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717.783.6156</w:t>
      </w:r>
    </w:p>
    <w:p w14:paraId="0E49C0A6" w14:textId="77777777" w:rsidR="00FA066A" w:rsidRDefault="00FA066A" w:rsidP="00FA066A">
      <w:pPr>
        <w:rPr>
          <w:rFonts w:ascii="Microsoft Sans Serif" w:hAnsi="Microsoft Sans Serif" w:cs="Microsoft Sans Serif"/>
          <w:b/>
          <w:bCs/>
          <w:i/>
          <w:iCs/>
          <w:color w:val="000000"/>
          <w:szCs w:val="24"/>
          <w:u w:val="single"/>
        </w:rPr>
      </w:pPr>
      <w:r>
        <w:rPr>
          <w:rFonts w:ascii="Microsoft Sans Serif" w:hAnsi="Microsoft Sans Serif" w:cs="Microsoft Sans Serif"/>
          <w:b/>
          <w:bCs/>
          <w:i/>
          <w:iCs/>
          <w:color w:val="000000"/>
          <w:szCs w:val="24"/>
          <w:u w:val="single"/>
        </w:rPr>
        <w:t>ACCEPTS E-SERVICE</w:t>
      </w:r>
    </w:p>
    <w:p w14:paraId="3E70628B" w14:textId="77777777" w:rsidR="00FA066A" w:rsidRDefault="00FA066A" w:rsidP="00FA066A">
      <w:pPr>
        <w:rPr>
          <w:rFonts w:ascii="Microsoft Sans Serif" w:hAnsi="Microsoft Sans Serif" w:cs="Microsoft Sans Serif"/>
          <w:color w:val="000000"/>
          <w:szCs w:val="24"/>
        </w:rPr>
      </w:pPr>
    </w:p>
    <w:p w14:paraId="788137D9"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TODD S STEWART ESQUIRE</w:t>
      </w:r>
    </w:p>
    <w:p w14:paraId="1048795E"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HAWKE MCKEON AND SNISCAK LLP</w:t>
      </w:r>
    </w:p>
    <w:p w14:paraId="4764D69A"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100 NORTH TENTH STREET</w:t>
      </w:r>
    </w:p>
    <w:p w14:paraId="0289A86B"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HARRISBURG PA 17101</w:t>
      </w:r>
    </w:p>
    <w:p w14:paraId="760EB582" w14:textId="77777777" w:rsidR="00FA066A" w:rsidRDefault="00FA066A" w:rsidP="00FA066A">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717.236.1300</w:t>
      </w:r>
    </w:p>
    <w:p w14:paraId="2D56359D" w14:textId="77777777" w:rsidR="00FA066A" w:rsidRDefault="00FA066A" w:rsidP="00FA066A">
      <w:pPr>
        <w:rPr>
          <w:rFonts w:ascii="Microsoft Sans Serif" w:hAnsi="Microsoft Sans Serif" w:cs="Microsoft Sans Serif"/>
          <w:i/>
          <w:iCs/>
          <w:color w:val="000000"/>
          <w:sz w:val="22"/>
          <w:szCs w:val="22"/>
        </w:rPr>
      </w:pPr>
      <w:r>
        <w:rPr>
          <w:rFonts w:ascii="Microsoft Sans Serif" w:hAnsi="Microsoft Sans Serif" w:cs="Microsoft Sans Serif"/>
          <w:i/>
          <w:iCs/>
          <w:color w:val="000000"/>
        </w:rPr>
        <w:t>Representing Direct Energy Services</w:t>
      </w:r>
    </w:p>
    <w:p w14:paraId="5F539C7A" w14:textId="77777777" w:rsidR="00FA066A" w:rsidRDefault="00FA066A" w:rsidP="00FA066A">
      <w:pPr>
        <w:rPr>
          <w:rFonts w:ascii="Microsoft Sans Serif" w:hAnsi="Microsoft Sans Serif" w:cs="Microsoft Sans Serif"/>
          <w:b/>
          <w:bCs/>
          <w:i/>
          <w:iCs/>
          <w:color w:val="000000"/>
          <w:szCs w:val="24"/>
          <w:u w:val="single"/>
        </w:rPr>
      </w:pPr>
      <w:r>
        <w:rPr>
          <w:rFonts w:ascii="Microsoft Sans Serif" w:hAnsi="Microsoft Sans Serif" w:cs="Microsoft Sans Serif"/>
          <w:b/>
          <w:bCs/>
          <w:i/>
          <w:iCs/>
          <w:color w:val="000000"/>
          <w:szCs w:val="24"/>
          <w:u w:val="single"/>
        </w:rPr>
        <w:t>ACCEPTS E-SERVICE</w:t>
      </w:r>
    </w:p>
    <w:p w14:paraId="25A6E95C" w14:textId="77777777" w:rsidR="00FA066A" w:rsidRDefault="00FA066A" w:rsidP="00FA066A">
      <w:pPr>
        <w:rPr>
          <w:rFonts w:eastAsia="Calibri"/>
          <w:color w:val="000000"/>
          <w:szCs w:val="24"/>
        </w:rPr>
      </w:pPr>
    </w:p>
    <w:p w14:paraId="0F533DA0"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CHARIS MINCAVAGE ESQUIRE</w:t>
      </w:r>
    </w:p>
    <w:p w14:paraId="076FD661"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ADEOLU A BAKARE ESQUIRE</w:t>
      </w:r>
    </w:p>
    <w:p w14:paraId="68800401"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JO-ANNE THOMPSON ESQUIRE</w:t>
      </w:r>
    </w:p>
    <w:p w14:paraId="1226801E"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MCNEES WALLACE &amp; NURICK</w:t>
      </w:r>
    </w:p>
    <w:p w14:paraId="6A0DCBFF"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100 PINE STREET</w:t>
      </w:r>
    </w:p>
    <w:p w14:paraId="2E57F252"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PO BOX 1166</w:t>
      </w:r>
    </w:p>
    <w:p w14:paraId="7EF7F0DA"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HARRISBURG PA 17108</w:t>
      </w:r>
    </w:p>
    <w:p w14:paraId="08DFDCD3" w14:textId="77777777" w:rsidR="00FA066A" w:rsidRDefault="00FA066A" w:rsidP="00FA066A">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717.237.5437</w:t>
      </w:r>
    </w:p>
    <w:p w14:paraId="0F27476C" w14:textId="77777777" w:rsidR="00FA066A" w:rsidRDefault="00FA066A" w:rsidP="00FA066A">
      <w:pPr>
        <w:rPr>
          <w:rFonts w:ascii="Microsoft Sans Serif" w:hAnsi="Microsoft Sans Serif" w:cs="Microsoft Sans Serif"/>
          <w:i/>
          <w:iCs/>
          <w:color w:val="000000"/>
          <w:sz w:val="22"/>
          <w:szCs w:val="22"/>
        </w:rPr>
      </w:pPr>
      <w:r>
        <w:rPr>
          <w:rFonts w:ascii="Microsoft Sans Serif" w:hAnsi="Microsoft Sans Serif" w:cs="Microsoft Sans Serif"/>
          <w:i/>
          <w:iCs/>
          <w:color w:val="000000"/>
        </w:rPr>
        <w:t>Representing PICGUG</w:t>
      </w:r>
    </w:p>
    <w:p w14:paraId="70EBB99F" w14:textId="77777777" w:rsidR="00FA066A" w:rsidRDefault="00FA066A" w:rsidP="00FA066A">
      <w:pPr>
        <w:rPr>
          <w:rFonts w:ascii="Microsoft Sans Serif" w:hAnsi="Microsoft Sans Serif" w:cs="Microsoft Sans Serif"/>
          <w:b/>
          <w:bCs/>
          <w:i/>
          <w:iCs/>
          <w:color w:val="000000"/>
          <w:szCs w:val="24"/>
          <w:u w:val="single"/>
        </w:rPr>
      </w:pPr>
      <w:r>
        <w:rPr>
          <w:rFonts w:ascii="Microsoft Sans Serif" w:hAnsi="Microsoft Sans Serif" w:cs="Microsoft Sans Serif"/>
          <w:b/>
          <w:bCs/>
          <w:i/>
          <w:iCs/>
          <w:color w:val="000000"/>
          <w:szCs w:val="24"/>
          <w:u w:val="single"/>
        </w:rPr>
        <w:t xml:space="preserve">ACCEPTS E-SERVICE </w:t>
      </w:r>
    </w:p>
    <w:p w14:paraId="1E3CFC3B"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lastRenderedPageBreak/>
        <w:t>JOSIE B H PICKENS ESQUIRE</w:t>
      </w:r>
    </w:p>
    <w:p w14:paraId="24A51377"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ROBERT W BALLENGER ESQUIRE</w:t>
      </w:r>
    </w:p>
    <w:p w14:paraId="6BE88043"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JOLINE PRICE ESQUIRE</w:t>
      </w:r>
      <w:r>
        <w:rPr>
          <w:rFonts w:ascii="Microsoft Sans Serif" w:hAnsi="Microsoft Sans Serif" w:cs="Microsoft Sans Serif"/>
          <w:color w:val="000000"/>
          <w:szCs w:val="24"/>
        </w:rPr>
        <w:br/>
      </w:r>
      <w:r>
        <w:rPr>
          <w:rFonts w:ascii="Microsoft Sans Serif" w:eastAsia="Microsoft Sans Serif" w:hAnsi="Microsoft Sans Serif" w:cs="Microsoft Sans Serif"/>
          <w:b/>
          <w:bCs/>
        </w:rPr>
        <w:t>*</w:t>
      </w:r>
      <w:r>
        <w:rPr>
          <w:rFonts w:ascii="Microsoft Sans Serif" w:eastAsia="Microsoft Sans Serif" w:hAnsi="Microsoft Sans Serif" w:cs="Microsoft Sans Serif"/>
        </w:rPr>
        <w:t>KINTESHIA SCOTT ESQUIRE</w:t>
      </w:r>
    </w:p>
    <w:p w14:paraId="518D87D8"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COMMUNITY LEGAL SERVICES</w:t>
      </w:r>
    </w:p>
    <w:p w14:paraId="3DA14CE6"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1410 WEST ERIE AVENUE</w:t>
      </w:r>
    </w:p>
    <w:p w14:paraId="700FEED1" w14:textId="77777777" w:rsidR="00FA066A" w:rsidRDefault="00FA066A" w:rsidP="00FA066A">
      <w:pPr>
        <w:rPr>
          <w:rFonts w:ascii="Microsoft Sans Serif" w:hAnsi="Microsoft Sans Serif" w:cs="Microsoft Sans Serif"/>
          <w:color w:val="000000"/>
          <w:szCs w:val="24"/>
        </w:rPr>
      </w:pPr>
      <w:r>
        <w:rPr>
          <w:rFonts w:ascii="Microsoft Sans Serif" w:hAnsi="Microsoft Sans Serif" w:cs="Microsoft Sans Serif"/>
          <w:color w:val="000000"/>
          <w:szCs w:val="24"/>
        </w:rPr>
        <w:t>PHILADELPHIA PA 19140</w:t>
      </w:r>
    </w:p>
    <w:p w14:paraId="2E49AAE8" w14:textId="77777777" w:rsidR="00FA066A" w:rsidRDefault="00FA066A" w:rsidP="00FA066A">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215.227.4378</w:t>
      </w:r>
    </w:p>
    <w:p w14:paraId="5B2E5E2C" w14:textId="77777777" w:rsidR="00FA066A" w:rsidRDefault="00FA066A" w:rsidP="00FA066A">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215.981.3788</w:t>
      </w:r>
    </w:p>
    <w:p w14:paraId="1CDF9A4C" w14:textId="77777777" w:rsidR="00FA066A" w:rsidRDefault="00FA066A" w:rsidP="00FA066A">
      <w:pPr>
        <w:rPr>
          <w:rFonts w:ascii="Microsoft Sans Serif" w:hAnsi="Microsoft Sans Serif" w:cs="Microsoft Sans Serif"/>
          <w:b/>
          <w:bCs/>
          <w:color w:val="000000"/>
          <w:szCs w:val="24"/>
        </w:rPr>
      </w:pPr>
      <w:r>
        <w:rPr>
          <w:rFonts w:ascii="Microsoft Sans Serif" w:hAnsi="Microsoft Sans Serif" w:cs="Microsoft Sans Serif"/>
          <w:b/>
          <w:bCs/>
          <w:color w:val="000000"/>
          <w:szCs w:val="24"/>
        </w:rPr>
        <w:t>717.236.9486</w:t>
      </w:r>
    </w:p>
    <w:p w14:paraId="492F270E" w14:textId="77777777" w:rsidR="00FA066A" w:rsidRDefault="00FA066A" w:rsidP="00FA066A">
      <w:pPr>
        <w:rPr>
          <w:rFonts w:ascii="Microsoft Sans Serif" w:hAnsi="Microsoft Sans Serif" w:cs="Microsoft Sans Serif"/>
          <w:i/>
          <w:iCs/>
          <w:color w:val="000000"/>
          <w:sz w:val="22"/>
          <w:szCs w:val="22"/>
        </w:rPr>
      </w:pPr>
      <w:r>
        <w:rPr>
          <w:rFonts w:ascii="Microsoft Sans Serif" w:hAnsi="Microsoft Sans Serif" w:cs="Microsoft Sans Serif"/>
          <w:i/>
          <w:iCs/>
          <w:color w:val="000000"/>
        </w:rPr>
        <w:t>Representing TURN, et. al.</w:t>
      </w:r>
    </w:p>
    <w:p w14:paraId="30FA2EEF" w14:textId="77777777" w:rsidR="00FA066A" w:rsidRDefault="00FA066A" w:rsidP="00FA066A">
      <w:pPr>
        <w:rPr>
          <w:rFonts w:ascii="Microsoft Sans Serif" w:eastAsia="Microsoft Sans Serif" w:hAnsi="Microsoft Sans Serif" w:cs="Microsoft Sans Serif"/>
        </w:rPr>
      </w:pPr>
      <w:r>
        <w:rPr>
          <w:rFonts w:ascii="Microsoft Sans Serif" w:hAnsi="Microsoft Sans Serif" w:cs="Microsoft Sans Serif"/>
          <w:b/>
          <w:bCs/>
          <w:i/>
          <w:iCs/>
          <w:color w:val="000000"/>
          <w:szCs w:val="24"/>
          <w:u w:val="single"/>
        </w:rPr>
        <w:t>ACCEPTS E-SERVICE</w:t>
      </w:r>
      <w:r>
        <w:rPr>
          <w:rFonts w:ascii="Microsoft Sans Serif" w:hAnsi="Microsoft Sans Serif" w:cs="Microsoft Sans Serif"/>
          <w:b/>
          <w:bCs/>
          <w:i/>
          <w:iCs/>
          <w:color w:val="000000"/>
          <w:szCs w:val="24"/>
          <w:u w:val="single"/>
        </w:rPr>
        <w:br/>
      </w:r>
      <w:r>
        <w:rPr>
          <w:rFonts w:ascii="Microsoft Sans Serif" w:eastAsia="Microsoft Sans Serif" w:hAnsi="Microsoft Sans Serif" w:cs="Microsoft Sans Serif"/>
          <w:b/>
          <w:bCs/>
          <w:i/>
          <w:iCs/>
        </w:rPr>
        <w:t>*</w:t>
      </w:r>
      <w:r>
        <w:rPr>
          <w:rFonts w:ascii="Microsoft Sans Serif" w:eastAsia="Microsoft Sans Serif" w:hAnsi="Microsoft Sans Serif" w:cs="Microsoft Sans Serif"/>
          <w:i/>
          <w:iCs/>
        </w:rPr>
        <w:t>Via e-mail only due to Emergency Order at M-2020-3019262</w:t>
      </w:r>
      <w:r>
        <w:rPr>
          <w:rFonts w:ascii="Microsoft Sans Serif" w:eastAsia="Microsoft Sans Serif" w:hAnsi="Microsoft Sans Serif" w:cs="Microsoft Sans Serif"/>
          <w:i/>
          <w:iCs/>
        </w:rPr>
        <w:br/>
      </w:r>
      <w:hyperlink r:id="rId10" w:history="1">
        <w:r>
          <w:rPr>
            <w:rStyle w:val="Hyperlink"/>
            <w:rFonts w:ascii="Microsoft Sans Serif" w:eastAsia="Microsoft Sans Serif" w:hAnsi="Microsoft Sans Serif" w:cs="Microsoft Sans Serif"/>
          </w:rPr>
          <w:t>kscott@clsphila.org</w:t>
        </w:r>
      </w:hyperlink>
    </w:p>
    <w:p w14:paraId="08E7616B" w14:textId="77777777" w:rsidR="00FA066A" w:rsidRDefault="00FA066A" w:rsidP="00FA066A">
      <w:pPr>
        <w:rPr>
          <w:rFonts w:ascii="Microsoft Sans Serif" w:eastAsia="Microsoft Sans Serif" w:hAnsi="Microsoft Sans Serif" w:cs="Microsoft Sans Serif"/>
        </w:rPr>
      </w:pPr>
    </w:p>
    <w:p w14:paraId="2F90EA23" w14:textId="77777777" w:rsidR="00FA066A" w:rsidRDefault="00FA066A" w:rsidP="00FA066A">
      <w:pPr>
        <w:rPr>
          <w:rFonts w:eastAsiaTheme="minorHAnsi"/>
          <w:szCs w:val="24"/>
        </w:rPr>
      </w:pPr>
      <w:r>
        <w:rPr>
          <w:rFonts w:ascii="Microsoft Sans Serif" w:eastAsia="Microsoft Sans Serif" w:hAnsi="Microsoft Sans Serif" w:cs="Microsoft Sans Serif"/>
        </w:rPr>
        <w:t>JOSEPH OTIS MINOTT ESQUIRE</w:t>
      </w:r>
      <w:r>
        <w:rPr>
          <w:rFonts w:ascii="Microsoft Sans Serif" w:eastAsia="Microsoft Sans Serif" w:hAnsi="Microsoft Sans Serif" w:cs="Microsoft Sans Serif"/>
        </w:rPr>
        <w:br/>
        <w:t>LOGAN WELDE ESQUIRE</w:t>
      </w:r>
      <w:r>
        <w:rPr>
          <w:rFonts w:ascii="Microsoft Sans Serif" w:eastAsia="Microsoft Sans Serif" w:hAnsi="Microsoft Sans Serif" w:cs="Microsoft Sans Serif"/>
        </w:rPr>
        <w:br/>
        <w:t>CLEAN AIR COUNCIL</w:t>
      </w:r>
      <w:r>
        <w:rPr>
          <w:rFonts w:ascii="Microsoft Sans Serif" w:eastAsia="Microsoft Sans Serif" w:hAnsi="Microsoft Sans Serif" w:cs="Microsoft Sans Serif"/>
        </w:rPr>
        <w:br/>
        <w:t>135 S 19TH STREET</w:t>
      </w:r>
      <w:r>
        <w:rPr>
          <w:rFonts w:ascii="Microsoft Sans Serif" w:eastAsia="Microsoft Sans Serif" w:hAnsi="Microsoft Sans Serif" w:cs="Microsoft Sans Serif"/>
        </w:rPr>
        <w:br/>
        <w:t>SUITE 300</w:t>
      </w:r>
      <w:r>
        <w:rPr>
          <w:rFonts w:ascii="Microsoft Sans Serif" w:eastAsia="Microsoft Sans Serif" w:hAnsi="Microsoft Sans Serif" w:cs="Microsoft Sans Serif"/>
        </w:rPr>
        <w:br/>
        <w:t>PHILADELPHIA PA  19103</w:t>
      </w:r>
      <w:r>
        <w:rPr>
          <w:rFonts w:ascii="Microsoft Sans Serif" w:eastAsia="Microsoft Sans Serif" w:hAnsi="Microsoft Sans Serif" w:cs="Microsoft Sans Serif"/>
        </w:rPr>
        <w:br/>
      </w:r>
      <w:r>
        <w:rPr>
          <w:rFonts w:ascii="Microsoft Sans Serif" w:eastAsia="Microsoft Sans Serif" w:hAnsi="Microsoft Sans Serif" w:cs="Microsoft Sans Serif"/>
          <w:b/>
          <w:bCs/>
        </w:rPr>
        <w:t>215.567.4004</w:t>
      </w:r>
      <w:r>
        <w:rPr>
          <w:rFonts w:ascii="Microsoft Sans Serif" w:eastAsia="Microsoft Sans Serif" w:hAnsi="Microsoft Sans Serif" w:cs="Microsoft Sans Serif"/>
          <w:b/>
          <w:bCs/>
        </w:rPr>
        <w:br/>
      </w:r>
      <w:r>
        <w:rPr>
          <w:rFonts w:ascii="Microsoft Sans Serif" w:eastAsia="Microsoft Sans Serif" w:hAnsi="Microsoft Sans Serif" w:cs="Microsoft Sans Serif"/>
          <w:i/>
          <w:iCs/>
        </w:rPr>
        <w:t>Representing Environmental Stakeholders</w:t>
      </w:r>
      <w:r>
        <w:rPr>
          <w:rFonts w:ascii="Microsoft Sans Serif" w:eastAsia="Microsoft Sans Serif" w:hAnsi="Microsoft Sans Serif" w:cs="Microsoft Sans Serif"/>
          <w:b/>
          <w:bCs/>
        </w:rPr>
        <w:br/>
      </w:r>
      <w:r>
        <w:rPr>
          <w:rFonts w:ascii="Microsoft Sans Serif" w:eastAsia="Microsoft Sans Serif" w:hAnsi="Microsoft Sans Serif" w:cs="Microsoft Sans Serif"/>
          <w:b/>
          <w:bCs/>
          <w:i/>
          <w:iCs/>
          <w:caps/>
          <w:u w:val="single"/>
        </w:rPr>
        <w:t>Accepts e-Service</w:t>
      </w:r>
      <w:r>
        <w:rPr>
          <w:szCs w:val="24"/>
        </w:rPr>
        <w:t xml:space="preserve"> </w:t>
      </w:r>
    </w:p>
    <w:p w14:paraId="65731741" w14:textId="77777777" w:rsidR="00FA066A" w:rsidRDefault="00FA066A" w:rsidP="00FA066A">
      <w:pPr>
        <w:rPr>
          <w:rFonts w:eastAsiaTheme="minorHAnsi"/>
          <w:szCs w:val="24"/>
        </w:rPr>
      </w:pPr>
      <w:r>
        <w:rPr>
          <w:rFonts w:ascii="Microsoft Sans Serif" w:eastAsia="Microsoft Sans Serif" w:hAnsi="Microsoft Sans Serif" w:cs="Microsoft Sans Serif"/>
        </w:rPr>
        <w:br/>
        <w:t>CASSANDRA R MCCRAE ESQUIRE</w:t>
      </w:r>
      <w:r>
        <w:rPr>
          <w:rFonts w:ascii="Microsoft Sans Serif" w:eastAsia="Microsoft Sans Serif" w:hAnsi="Microsoft Sans Serif" w:cs="Microsoft Sans Serif"/>
        </w:rPr>
        <w:br/>
        <w:t>EARTHJUSTICE</w:t>
      </w:r>
      <w:r>
        <w:rPr>
          <w:rFonts w:ascii="Microsoft Sans Serif" w:eastAsia="Microsoft Sans Serif" w:hAnsi="Microsoft Sans Serif" w:cs="Microsoft Sans Serif"/>
        </w:rPr>
        <w:br/>
        <w:t>1617 JFK BLVD</w:t>
      </w:r>
      <w:r>
        <w:rPr>
          <w:rFonts w:ascii="Microsoft Sans Serif" w:eastAsia="Microsoft Sans Serif" w:hAnsi="Microsoft Sans Serif" w:cs="Microsoft Sans Serif"/>
        </w:rPr>
        <w:br/>
        <w:t>SUITE 1130</w:t>
      </w:r>
      <w:r>
        <w:rPr>
          <w:rFonts w:ascii="Microsoft Sans Serif" w:eastAsia="Microsoft Sans Serif" w:hAnsi="Microsoft Sans Serif" w:cs="Microsoft Sans Serif"/>
        </w:rPr>
        <w:br/>
        <w:t>PHILADELPHIA PA  19103</w:t>
      </w:r>
      <w:r>
        <w:rPr>
          <w:rFonts w:ascii="Microsoft Sans Serif" w:eastAsia="Microsoft Sans Serif" w:hAnsi="Microsoft Sans Serif" w:cs="Microsoft Sans Serif"/>
        </w:rPr>
        <w:br/>
      </w:r>
      <w:r>
        <w:rPr>
          <w:rFonts w:ascii="Microsoft Sans Serif" w:eastAsia="Microsoft Sans Serif" w:hAnsi="Microsoft Sans Serif" w:cs="Microsoft Sans Serif"/>
          <w:b/>
          <w:bCs/>
        </w:rPr>
        <w:t>407.462.1342</w:t>
      </w:r>
      <w:r>
        <w:rPr>
          <w:rFonts w:ascii="Microsoft Sans Serif" w:eastAsia="Microsoft Sans Serif" w:hAnsi="Microsoft Sans Serif" w:cs="Microsoft Sans Serif"/>
          <w:b/>
          <w:bCs/>
        </w:rPr>
        <w:br/>
      </w:r>
      <w:r>
        <w:rPr>
          <w:rFonts w:ascii="Microsoft Sans Serif" w:eastAsia="Microsoft Sans Serif" w:hAnsi="Microsoft Sans Serif" w:cs="Microsoft Sans Serif"/>
          <w:i/>
          <w:iCs/>
        </w:rPr>
        <w:t>Representing Clean Air &amp; Sierra Club</w:t>
      </w:r>
      <w:r>
        <w:rPr>
          <w:rFonts w:ascii="Microsoft Sans Serif" w:eastAsia="Microsoft Sans Serif" w:hAnsi="Microsoft Sans Serif" w:cs="Microsoft Sans Serif"/>
          <w:i/>
          <w:iCs/>
        </w:rPr>
        <w:br/>
      </w:r>
      <w:r>
        <w:rPr>
          <w:rFonts w:ascii="Microsoft Sans Serif" w:eastAsia="Microsoft Sans Serif" w:hAnsi="Microsoft Sans Serif" w:cs="Microsoft Sans Serif"/>
          <w:b/>
          <w:bCs/>
          <w:i/>
          <w:iCs/>
          <w:caps/>
          <w:u w:val="single"/>
        </w:rPr>
        <w:t>Accepts e-Service</w:t>
      </w:r>
      <w:r>
        <w:rPr>
          <w:szCs w:val="24"/>
        </w:rPr>
        <w:t xml:space="preserve"> </w:t>
      </w:r>
    </w:p>
    <w:p w14:paraId="0B5010F4" w14:textId="77777777" w:rsidR="00FA066A" w:rsidRDefault="00FA066A" w:rsidP="00FA066A">
      <w:pPr>
        <w:rPr>
          <w:rFonts w:ascii="Microsoft Sans Serif" w:eastAsia="Microsoft Sans Serif" w:hAnsi="Microsoft Sans Serif" w:cs="Microsoft Sans Serif"/>
          <w:szCs w:val="22"/>
        </w:rPr>
      </w:pPr>
    </w:p>
    <w:p w14:paraId="19A7092E" w14:textId="77777777" w:rsidR="00FA066A" w:rsidRDefault="00FA066A" w:rsidP="00FA066A">
      <w:pPr>
        <w:rPr>
          <w:rFonts w:eastAsiaTheme="minorHAnsi"/>
          <w:szCs w:val="24"/>
        </w:rPr>
      </w:pPr>
      <w:r>
        <w:rPr>
          <w:rFonts w:ascii="Microsoft Sans Serif" w:eastAsia="Microsoft Sans Serif" w:hAnsi="Microsoft Sans Serif" w:cs="Microsoft Sans Serif"/>
        </w:rPr>
        <w:t>DEVIN MCDOUGALL ESQUIRE</w:t>
      </w:r>
      <w:r>
        <w:rPr>
          <w:rFonts w:ascii="Microsoft Sans Serif" w:eastAsia="Microsoft Sans Serif" w:hAnsi="Microsoft Sans Serif" w:cs="Microsoft Sans Serif"/>
        </w:rPr>
        <w:br/>
        <w:t>EARTHJUSTICE</w:t>
      </w:r>
      <w:r>
        <w:rPr>
          <w:rFonts w:ascii="Microsoft Sans Serif" w:eastAsia="Microsoft Sans Serif" w:hAnsi="Microsoft Sans Serif" w:cs="Microsoft Sans Serif"/>
        </w:rPr>
        <w:br/>
        <w:t>476 CLINTON AVENUE</w:t>
      </w:r>
      <w:r>
        <w:rPr>
          <w:szCs w:val="24"/>
        </w:rPr>
        <w:br/>
      </w:r>
      <w:r>
        <w:rPr>
          <w:rFonts w:ascii="Microsoft Sans Serif" w:eastAsia="Microsoft Sans Serif" w:hAnsi="Microsoft Sans Serif" w:cs="Microsoft Sans Serif"/>
        </w:rPr>
        <w:t>APARTMENT 6F</w:t>
      </w:r>
      <w:r>
        <w:rPr>
          <w:rFonts w:ascii="Microsoft Sans Serif" w:eastAsia="Microsoft Sans Serif" w:hAnsi="Microsoft Sans Serif" w:cs="Microsoft Sans Serif"/>
        </w:rPr>
        <w:br/>
        <w:t>BROOKLYN NY  11238</w:t>
      </w:r>
      <w:r>
        <w:rPr>
          <w:rFonts w:ascii="Microsoft Sans Serif" w:eastAsia="Microsoft Sans Serif" w:hAnsi="Microsoft Sans Serif" w:cs="Microsoft Sans Serif"/>
        </w:rPr>
        <w:br/>
      </w:r>
      <w:r>
        <w:rPr>
          <w:rFonts w:ascii="Microsoft Sans Serif" w:eastAsia="Microsoft Sans Serif" w:hAnsi="Microsoft Sans Serif" w:cs="Microsoft Sans Serif"/>
          <w:b/>
          <w:bCs/>
        </w:rPr>
        <w:t>646.397.8370</w:t>
      </w:r>
      <w:r>
        <w:rPr>
          <w:rFonts w:ascii="Microsoft Sans Serif" w:eastAsia="Microsoft Sans Serif" w:hAnsi="Microsoft Sans Serif" w:cs="Microsoft Sans Serif"/>
          <w:b/>
          <w:bCs/>
        </w:rPr>
        <w:br/>
      </w:r>
      <w:r>
        <w:rPr>
          <w:rFonts w:ascii="Microsoft Sans Serif" w:eastAsia="Microsoft Sans Serif" w:hAnsi="Microsoft Sans Serif" w:cs="Microsoft Sans Serif"/>
          <w:i/>
          <w:iCs/>
        </w:rPr>
        <w:t>Representing Clean Air &amp; Sierra Club</w:t>
      </w:r>
      <w:r>
        <w:rPr>
          <w:rFonts w:ascii="Microsoft Sans Serif" w:eastAsia="Microsoft Sans Serif" w:hAnsi="Microsoft Sans Serif" w:cs="Microsoft Sans Serif"/>
          <w:i/>
          <w:iCs/>
        </w:rPr>
        <w:br/>
      </w:r>
      <w:r>
        <w:rPr>
          <w:rFonts w:ascii="Microsoft Sans Serif" w:eastAsia="Microsoft Sans Serif" w:hAnsi="Microsoft Sans Serif" w:cs="Microsoft Sans Serif"/>
          <w:b/>
          <w:bCs/>
          <w:i/>
          <w:iCs/>
          <w:caps/>
          <w:u w:val="single"/>
        </w:rPr>
        <w:t>Accepts e-Service</w:t>
      </w:r>
      <w:r>
        <w:rPr>
          <w:szCs w:val="24"/>
        </w:rPr>
        <w:t xml:space="preserve"> </w:t>
      </w:r>
    </w:p>
    <w:p w14:paraId="7C284B9B" w14:textId="77777777" w:rsidR="006654BB" w:rsidRDefault="006654BB" w:rsidP="00630516">
      <w:pPr>
        <w:spacing w:after="200" w:line="276" w:lineRule="auto"/>
      </w:pPr>
    </w:p>
    <w:p w14:paraId="0A72D7A7" w14:textId="02DD154C" w:rsidR="006654BB" w:rsidRDefault="006654BB" w:rsidP="00C3249B">
      <w:pPr>
        <w:pStyle w:val="Heading1"/>
        <w:jc w:val="left"/>
        <w:rPr>
          <w:caps/>
        </w:rPr>
      </w:pPr>
    </w:p>
    <w:sectPr w:rsidR="006654BB" w:rsidSect="006C4178">
      <w:footerReference w:type="default" r:id="rId11"/>
      <w:footerReference w:type="firs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85488" w14:textId="77777777" w:rsidR="001006F4" w:rsidRDefault="001006F4" w:rsidP="00BE3098">
      <w:r>
        <w:separator/>
      </w:r>
    </w:p>
  </w:endnote>
  <w:endnote w:type="continuationSeparator" w:id="0">
    <w:p w14:paraId="4D4A9B66" w14:textId="77777777" w:rsidR="001006F4" w:rsidRDefault="001006F4" w:rsidP="00BE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2067437"/>
      <w:docPartObj>
        <w:docPartGallery w:val="Page Numbers (Bottom of Page)"/>
        <w:docPartUnique/>
      </w:docPartObj>
    </w:sdtPr>
    <w:sdtEndPr>
      <w:rPr>
        <w:noProof/>
        <w:sz w:val="20"/>
      </w:rPr>
    </w:sdtEndPr>
    <w:sdtContent>
      <w:p w14:paraId="2D6E6B08" w14:textId="77777777" w:rsidR="00123B00" w:rsidRPr="001A2043" w:rsidRDefault="00123B00">
        <w:pPr>
          <w:pStyle w:val="Footer"/>
          <w:jc w:val="center"/>
          <w:rPr>
            <w:sz w:val="20"/>
          </w:rPr>
        </w:pPr>
        <w:r w:rsidRPr="001A2043">
          <w:rPr>
            <w:sz w:val="20"/>
          </w:rPr>
          <w:fldChar w:fldCharType="begin"/>
        </w:r>
        <w:r w:rsidRPr="001A2043">
          <w:rPr>
            <w:sz w:val="20"/>
          </w:rPr>
          <w:instrText xml:space="preserve"> PAGE   \* MERGEFORMAT </w:instrText>
        </w:r>
        <w:r w:rsidRPr="001A2043">
          <w:rPr>
            <w:sz w:val="20"/>
          </w:rPr>
          <w:fldChar w:fldCharType="separate"/>
        </w:r>
        <w:r w:rsidR="005F0EBD">
          <w:rPr>
            <w:noProof/>
            <w:sz w:val="20"/>
          </w:rPr>
          <w:t>2</w:t>
        </w:r>
        <w:r w:rsidRPr="001A2043">
          <w:rPr>
            <w:noProof/>
            <w:sz w:val="20"/>
          </w:rPr>
          <w:fldChar w:fldCharType="end"/>
        </w:r>
      </w:p>
    </w:sdtContent>
  </w:sdt>
  <w:p w14:paraId="000CD246" w14:textId="77777777" w:rsidR="00123B00" w:rsidRPr="00174EDA" w:rsidRDefault="00123B00">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20605" w14:textId="77777777" w:rsidR="00123B00" w:rsidRDefault="00123B00">
    <w:pPr>
      <w:pStyle w:val="Footer"/>
      <w:jc w:val="center"/>
    </w:pPr>
  </w:p>
  <w:p w14:paraId="4FAD970C" w14:textId="77777777" w:rsidR="00123B00" w:rsidRDefault="0012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CEDA1" w14:textId="77777777" w:rsidR="001006F4" w:rsidRDefault="001006F4" w:rsidP="00BE3098">
      <w:r>
        <w:separator/>
      </w:r>
    </w:p>
  </w:footnote>
  <w:footnote w:type="continuationSeparator" w:id="0">
    <w:p w14:paraId="2C76141A" w14:textId="77777777" w:rsidR="001006F4" w:rsidRDefault="001006F4" w:rsidP="00BE3098">
      <w:r>
        <w:continuationSeparator/>
      </w:r>
    </w:p>
  </w:footnote>
  <w:footnote w:id="1">
    <w:p w14:paraId="4F1E30E3" w14:textId="7E712C98" w:rsidR="00D21CDB" w:rsidRDefault="00D21CDB">
      <w:pPr>
        <w:pStyle w:val="FootnoteText"/>
      </w:pPr>
      <w:r>
        <w:rPr>
          <w:rStyle w:val="FootnoteReference"/>
        </w:rPr>
        <w:footnoteRef/>
      </w:r>
      <w:r>
        <w:t xml:space="preserve"> </w:t>
      </w:r>
      <w:r>
        <w:tab/>
      </w:r>
      <w:r w:rsidRPr="00F61AE2">
        <w:rPr>
          <w:rFonts w:ascii="Times New Roman" w:hAnsi="Times New Roman" w:cs="Times New Roman"/>
          <w:sz w:val="20"/>
          <w:szCs w:val="20"/>
        </w:rPr>
        <w:t xml:space="preserve">The Motion </w:t>
      </w:r>
      <w:r w:rsidRPr="00F61AE2">
        <w:rPr>
          <w:rFonts w:ascii="Times New Roman" w:hAnsi="Times New Roman" w:cs="Times New Roman"/>
          <w:i/>
          <w:iCs/>
          <w:sz w:val="20"/>
          <w:szCs w:val="20"/>
        </w:rPr>
        <w:t xml:space="preserve">in Limine </w:t>
      </w:r>
      <w:r w:rsidRPr="00F61AE2">
        <w:rPr>
          <w:rFonts w:ascii="Times New Roman" w:hAnsi="Times New Roman" w:cs="Times New Roman"/>
          <w:sz w:val="20"/>
          <w:szCs w:val="20"/>
        </w:rPr>
        <w:t>regarding the Environmental Shakeholders’ testimony will be addressed in a separate order.</w:t>
      </w:r>
      <w:r>
        <w:t xml:space="preserve">   </w:t>
      </w:r>
    </w:p>
    <w:p w14:paraId="56C8B02A" w14:textId="77777777" w:rsidR="001D7C18" w:rsidRDefault="001D7C18">
      <w:pPr>
        <w:pStyle w:val="FootnoteText"/>
      </w:pPr>
    </w:p>
  </w:footnote>
  <w:footnote w:id="2">
    <w:p w14:paraId="19A7D1FB" w14:textId="0787384C" w:rsidR="001D7C18" w:rsidRPr="00914719" w:rsidRDefault="001D7C18">
      <w:pPr>
        <w:pStyle w:val="FootnoteText"/>
        <w:rPr>
          <w:rFonts w:ascii="Times New Roman" w:hAnsi="Times New Roman" w:cs="Times New Roman"/>
          <w:sz w:val="20"/>
          <w:szCs w:val="20"/>
        </w:rPr>
      </w:pPr>
      <w:r>
        <w:rPr>
          <w:rStyle w:val="FootnoteReference"/>
        </w:rPr>
        <w:footnoteRef/>
      </w:r>
      <w:r>
        <w:t xml:space="preserve"> </w:t>
      </w:r>
      <w:r>
        <w:tab/>
      </w:r>
      <w:r w:rsidRPr="00914719">
        <w:rPr>
          <w:rFonts w:ascii="Times New Roman" w:hAnsi="Times New Roman" w:cs="Times New Roman"/>
          <w:sz w:val="20"/>
          <w:szCs w:val="20"/>
        </w:rPr>
        <w:t xml:space="preserve">The CRP program is PGW’s customer assistance program for low income customers.  </w:t>
      </w:r>
    </w:p>
  </w:footnote>
  <w:footnote w:id="3">
    <w:p w14:paraId="3D2A1978" w14:textId="2167D754" w:rsidR="00781207" w:rsidRPr="00606BF3" w:rsidRDefault="00781207" w:rsidP="00781207">
      <w:pPr>
        <w:pStyle w:val="FootnoteText"/>
        <w:rPr>
          <w:rFonts w:ascii="Times New Roman" w:hAnsi="Times New Roman" w:cs="Times New Roman"/>
        </w:rPr>
      </w:pPr>
      <w:r>
        <w:rPr>
          <w:rStyle w:val="FootnoteReference"/>
        </w:rPr>
        <w:footnoteRef/>
      </w:r>
      <w:r>
        <w:t xml:space="preserve"> </w:t>
      </w:r>
      <w:r w:rsidR="00606BF3">
        <w:tab/>
      </w:r>
      <w:r w:rsidRPr="00606BF3">
        <w:rPr>
          <w:rFonts w:ascii="Times New Roman" w:hAnsi="Times New Roman" w:cs="Times New Roman"/>
          <w:sz w:val="20"/>
          <w:szCs w:val="20"/>
        </w:rPr>
        <w:t xml:space="preserve">See </w:t>
      </w:r>
      <w:r w:rsidRPr="00606BF3">
        <w:rPr>
          <w:rFonts w:ascii="Times New Roman" w:hAnsi="Times New Roman" w:cs="Times New Roman"/>
          <w:i/>
          <w:iCs/>
          <w:sz w:val="20"/>
          <w:szCs w:val="20"/>
        </w:rPr>
        <w:t>Final Policy Statement and Order</w:t>
      </w:r>
      <w:r w:rsidRPr="00606BF3">
        <w:rPr>
          <w:rFonts w:ascii="Times New Roman" w:hAnsi="Times New Roman" w:cs="Times New Roman"/>
          <w:sz w:val="20"/>
          <w:szCs w:val="20"/>
        </w:rPr>
        <w:t xml:space="preserve">, Docket No. M-2019-3012599; </w:t>
      </w:r>
      <w:r w:rsidRPr="00606BF3">
        <w:rPr>
          <w:rFonts w:ascii="Times New Roman" w:hAnsi="Times New Roman" w:cs="Times New Roman"/>
          <w:i/>
          <w:iCs/>
          <w:sz w:val="20"/>
          <w:szCs w:val="20"/>
        </w:rPr>
        <w:t>Philadelphia Gas Works Universal Service and Energy Conservation Plan for 2017-2022; Petition to Amend Philadelphia Gas Works Universal Service and Energy Conservation Plan for 2017-2022</w:t>
      </w:r>
      <w:r w:rsidRPr="00606BF3">
        <w:rPr>
          <w:rFonts w:ascii="Times New Roman" w:hAnsi="Times New Roman" w:cs="Times New Roman"/>
          <w:sz w:val="20"/>
          <w:szCs w:val="20"/>
        </w:rPr>
        <w:t xml:space="preserve">, </w:t>
      </w:r>
      <w:hyperlink r:id="rId1" w:history="1">
        <w:r w:rsidRPr="00606BF3">
          <w:rPr>
            <w:rStyle w:val="Hyperlink"/>
            <w:rFonts w:ascii="Times New Roman" w:hAnsi="Times New Roman" w:cs="Times New Roman"/>
            <w:color w:val="auto"/>
            <w:sz w:val="20"/>
            <w:u w:val="none"/>
          </w:rPr>
          <w:t>2020 Pa. PUC LEXIS 61 (Pa. P.U.C. March 26, 2020)</w:t>
        </w:r>
      </w:hyperlink>
      <w:r w:rsidRPr="00606BF3">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F6E45"/>
    <w:multiLevelType w:val="hybridMultilevel"/>
    <w:tmpl w:val="1F1E2FE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7766501"/>
    <w:multiLevelType w:val="hybridMultilevel"/>
    <w:tmpl w:val="3BFCBB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4AB08B7"/>
    <w:multiLevelType w:val="hybridMultilevel"/>
    <w:tmpl w:val="ED8A4A3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4C212F3"/>
    <w:multiLevelType w:val="hybridMultilevel"/>
    <w:tmpl w:val="672EB162"/>
    <w:lvl w:ilvl="0" w:tplc="FCF4B8D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4D7263D8"/>
    <w:multiLevelType w:val="hybridMultilevel"/>
    <w:tmpl w:val="1A3E1396"/>
    <w:lvl w:ilvl="0" w:tplc="0409000F">
      <w:start w:val="1"/>
      <w:numFmt w:val="decimal"/>
      <w:lvlText w:val="%1."/>
      <w:lvlJc w:val="left"/>
      <w:pPr>
        <w:ind w:left="17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DA45B73"/>
    <w:multiLevelType w:val="hybridMultilevel"/>
    <w:tmpl w:val="3EB88462"/>
    <w:lvl w:ilvl="0" w:tplc="B214317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98"/>
    <w:rsid w:val="0001422F"/>
    <w:rsid w:val="00097DDB"/>
    <w:rsid w:val="000B2D66"/>
    <w:rsid w:val="000D49DB"/>
    <w:rsid w:val="000E288C"/>
    <w:rsid w:val="000E5061"/>
    <w:rsid w:val="001006F4"/>
    <w:rsid w:val="00111751"/>
    <w:rsid w:val="00123B00"/>
    <w:rsid w:val="00133FA1"/>
    <w:rsid w:val="00135909"/>
    <w:rsid w:val="001565B2"/>
    <w:rsid w:val="00174EDA"/>
    <w:rsid w:val="00193F4D"/>
    <w:rsid w:val="001A2043"/>
    <w:rsid w:val="001B16CF"/>
    <w:rsid w:val="001B51AE"/>
    <w:rsid w:val="001D1EE9"/>
    <w:rsid w:val="001D7C18"/>
    <w:rsid w:val="001E6107"/>
    <w:rsid w:val="001F0E2D"/>
    <w:rsid w:val="001F3F29"/>
    <w:rsid w:val="00205AAA"/>
    <w:rsid w:val="00213179"/>
    <w:rsid w:val="00221736"/>
    <w:rsid w:val="00231F02"/>
    <w:rsid w:val="0025747D"/>
    <w:rsid w:val="00265EAA"/>
    <w:rsid w:val="002A7C14"/>
    <w:rsid w:val="002C7955"/>
    <w:rsid w:val="002D2284"/>
    <w:rsid w:val="002D3A6F"/>
    <w:rsid w:val="002F4DFE"/>
    <w:rsid w:val="002F6D54"/>
    <w:rsid w:val="00300E9B"/>
    <w:rsid w:val="00316894"/>
    <w:rsid w:val="00323229"/>
    <w:rsid w:val="00324963"/>
    <w:rsid w:val="00326147"/>
    <w:rsid w:val="003326F4"/>
    <w:rsid w:val="00343D90"/>
    <w:rsid w:val="003670B9"/>
    <w:rsid w:val="00367BC4"/>
    <w:rsid w:val="00371EDF"/>
    <w:rsid w:val="00396CCE"/>
    <w:rsid w:val="003D2A4E"/>
    <w:rsid w:val="003D3B1F"/>
    <w:rsid w:val="003F0974"/>
    <w:rsid w:val="003F3B2A"/>
    <w:rsid w:val="00401218"/>
    <w:rsid w:val="00404185"/>
    <w:rsid w:val="00462D29"/>
    <w:rsid w:val="00465A12"/>
    <w:rsid w:val="00480CC8"/>
    <w:rsid w:val="004954A3"/>
    <w:rsid w:val="004E150D"/>
    <w:rsid w:val="004E5610"/>
    <w:rsid w:val="004F6BF6"/>
    <w:rsid w:val="00501ACF"/>
    <w:rsid w:val="005030CC"/>
    <w:rsid w:val="00551418"/>
    <w:rsid w:val="00561863"/>
    <w:rsid w:val="005B2E67"/>
    <w:rsid w:val="005C62A7"/>
    <w:rsid w:val="005D78B0"/>
    <w:rsid w:val="005E7785"/>
    <w:rsid w:val="005F0EBD"/>
    <w:rsid w:val="005F17DE"/>
    <w:rsid w:val="005F1C88"/>
    <w:rsid w:val="005F3909"/>
    <w:rsid w:val="00606BF3"/>
    <w:rsid w:val="0061524E"/>
    <w:rsid w:val="00630516"/>
    <w:rsid w:val="00655106"/>
    <w:rsid w:val="006654BB"/>
    <w:rsid w:val="00681620"/>
    <w:rsid w:val="00690B11"/>
    <w:rsid w:val="006B252B"/>
    <w:rsid w:val="006B4ECE"/>
    <w:rsid w:val="006B7673"/>
    <w:rsid w:val="006B7883"/>
    <w:rsid w:val="006C4178"/>
    <w:rsid w:val="006D0834"/>
    <w:rsid w:val="006D6880"/>
    <w:rsid w:val="006F1E80"/>
    <w:rsid w:val="006F64DF"/>
    <w:rsid w:val="00723C78"/>
    <w:rsid w:val="007360A5"/>
    <w:rsid w:val="00763EC3"/>
    <w:rsid w:val="007719E4"/>
    <w:rsid w:val="00771F0B"/>
    <w:rsid w:val="00777B6E"/>
    <w:rsid w:val="00781207"/>
    <w:rsid w:val="00790B0E"/>
    <w:rsid w:val="007A3D38"/>
    <w:rsid w:val="007B7208"/>
    <w:rsid w:val="007B7896"/>
    <w:rsid w:val="007C030F"/>
    <w:rsid w:val="007C35E4"/>
    <w:rsid w:val="007C67DB"/>
    <w:rsid w:val="007D7636"/>
    <w:rsid w:val="007E5F64"/>
    <w:rsid w:val="007E6C67"/>
    <w:rsid w:val="007F25D0"/>
    <w:rsid w:val="0081499C"/>
    <w:rsid w:val="00815974"/>
    <w:rsid w:val="00836907"/>
    <w:rsid w:val="00872EEC"/>
    <w:rsid w:val="0087599A"/>
    <w:rsid w:val="00883A04"/>
    <w:rsid w:val="008B2373"/>
    <w:rsid w:val="008C1BC9"/>
    <w:rsid w:val="00914719"/>
    <w:rsid w:val="00914C75"/>
    <w:rsid w:val="00920FA3"/>
    <w:rsid w:val="00930B31"/>
    <w:rsid w:val="00932C86"/>
    <w:rsid w:val="009447D8"/>
    <w:rsid w:val="00947E5A"/>
    <w:rsid w:val="00957FF9"/>
    <w:rsid w:val="00977453"/>
    <w:rsid w:val="00977A89"/>
    <w:rsid w:val="00984328"/>
    <w:rsid w:val="00996277"/>
    <w:rsid w:val="009A1292"/>
    <w:rsid w:val="009B5AAB"/>
    <w:rsid w:val="009D7D72"/>
    <w:rsid w:val="009F0CC9"/>
    <w:rsid w:val="00A111E7"/>
    <w:rsid w:val="00A26548"/>
    <w:rsid w:val="00A26EA0"/>
    <w:rsid w:val="00A469ED"/>
    <w:rsid w:val="00A53F3F"/>
    <w:rsid w:val="00A92874"/>
    <w:rsid w:val="00AA24A7"/>
    <w:rsid w:val="00AA39DC"/>
    <w:rsid w:val="00AE2AA2"/>
    <w:rsid w:val="00B24E6C"/>
    <w:rsid w:val="00B274DA"/>
    <w:rsid w:val="00B4292B"/>
    <w:rsid w:val="00B46FC2"/>
    <w:rsid w:val="00B76E8A"/>
    <w:rsid w:val="00BA478A"/>
    <w:rsid w:val="00BB5D5A"/>
    <w:rsid w:val="00BC42D7"/>
    <w:rsid w:val="00BC551D"/>
    <w:rsid w:val="00BC5986"/>
    <w:rsid w:val="00BC7742"/>
    <w:rsid w:val="00BD133E"/>
    <w:rsid w:val="00BD1B6F"/>
    <w:rsid w:val="00BD2F58"/>
    <w:rsid w:val="00BE3098"/>
    <w:rsid w:val="00BF42DC"/>
    <w:rsid w:val="00C07F84"/>
    <w:rsid w:val="00C3249B"/>
    <w:rsid w:val="00C5290E"/>
    <w:rsid w:val="00C57643"/>
    <w:rsid w:val="00C713E9"/>
    <w:rsid w:val="00C714D8"/>
    <w:rsid w:val="00C71FD4"/>
    <w:rsid w:val="00C80392"/>
    <w:rsid w:val="00CB15B9"/>
    <w:rsid w:val="00CC278D"/>
    <w:rsid w:val="00CC3DAD"/>
    <w:rsid w:val="00CC451C"/>
    <w:rsid w:val="00CE23E7"/>
    <w:rsid w:val="00D02A10"/>
    <w:rsid w:val="00D14679"/>
    <w:rsid w:val="00D21CDB"/>
    <w:rsid w:val="00D836C1"/>
    <w:rsid w:val="00D83759"/>
    <w:rsid w:val="00D8646D"/>
    <w:rsid w:val="00D92CF6"/>
    <w:rsid w:val="00DA1B85"/>
    <w:rsid w:val="00DA47B6"/>
    <w:rsid w:val="00DB6DA0"/>
    <w:rsid w:val="00E038C8"/>
    <w:rsid w:val="00E23993"/>
    <w:rsid w:val="00E40EE0"/>
    <w:rsid w:val="00E4171C"/>
    <w:rsid w:val="00E53FDD"/>
    <w:rsid w:val="00E63510"/>
    <w:rsid w:val="00E834EE"/>
    <w:rsid w:val="00E95DD1"/>
    <w:rsid w:val="00EB2C50"/>
    <w:rsid w:val="00EB2DD3"/>
    <w:rsid w:val="00ED54B8"/>
    <w:rsid w:val="00ED61D6"/>
    <w:rsid w:val="00EE5DC9"/>
    <w:rsid w:val="00F22685"/>
    <w:rsid w:val="00F24504"/>
    <w:rsid w:val="00F4463F"/>
    <w:rsid w:val="00F4791E"/>
    <w:rsid w:val="00F61AE2"/>
    <w:rsid w:val="00F636F6"/>
    <w:rsid w:val="00F6615E"/>
    <w:rsid w:val="00F84AA7"/>
    <w:rsid w:val="00F921EC"/>
    <w:rsid w:val="00F93509"/>
    <w:rsid w:val="00F95DB7"/>
    <w:rsid w:val="00FA066A"/>
    <w:rsid w:val="00FD00BD"/>
    <w:rsid w:val="00FF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0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E3098"/>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3098"/>
    <w:rPr>
      <w:rFonts w:ascii="Times New Roman" w:eastAsia="Times New Roman" w:hAnsi="Times New Roman" w:cs="Times New Roman"/>
      <w:sz w:val="24"/>
      <w:szCs w:val="20"/>
      <w:u w:val="single"/>
    </w:rPr>
  </w:style>
  <w:style w:type="character" w:styleId="Hyperlink">
    <w:name w:val="Hyperlink"/>
    <w:uiPriority w:val="99"/>
    <w:unhideWhenUsed/>
    <w:rsid w:val="00BE3098"/>
    <w:rPr>
      <w:color w:val="0000FF"/>
      <w:u w:val="single"/>
    </w:rPr>
  </w:style>
  <w:style w:type="paragraph" w:styleId="FootnoteText">
    <w:name w:val="footnote text"/>
    <w:basedOn w:val="Normal"/>
    <w:link w:val="FootnoteTextChar"/>
    <w:uiPriority w:val="99"/>
    <w:semiHidden/>
    <w:unhideWhenUsed/>
    <w:rsid w:val="00BE3098"/>
    <w:pPr>
      <w:autoSpaceDE w:val="0"/>
      <w:autoSpaceDN w:val="0"/>
    </w:pPr>
    <w:rPr>
      <w:rFonts w:ascii="CG Times" w:hAnsi="CG Times" w:cs="CG Times"/>
      <w:szCs w:val="24"/>
    </w:rPr>
  </w:style>
  <w:style w:type="character" w:customStyle="1" w:styleId="FootnoteTextChar">
    <w:name w:val="Footnote Text Char"/>
    <w:basedOn w:val="DefaultParagraphFont"/>
    <w:link w:val="FootnoteText"/>
    <w:uiPriority w:val="99"/>
    <w:semiHidden/>
    <w:rsid w:val="00BE3098"/>
    <w:rPr>
      <w:rFonts w:ascii="CG Times" w:eastAsia="Times New Roman" w:hAnsi="CG Times" w:cs="CG Times"/>
      <w:sz w:val="24"/>
      <w:szCs w:val="24"/>
    </w:rPr>
  </w:style>
  <w:style w:type="paragraph" w:styleId="Footer">
    <w:name w:val="footer"/>
    <w:basedOn w:val="Normal"/>
    <w:link w:val="FooterChar"/>
    <w:uiPriority w:val="99"/>
    <w:unhideWhenUsed/>
    <w:rsid w:val="00BE3098"/>
    <w:pPr>
      <w:tabs>
        <w:tab w:val="center" w:pos="4320"/>
        <w:tab w:val="right" w:pos="8640"/>
      </w:tabs>
    </w:pPr>
  </w:style>
  <w:style w:type="character" w:customStyle="1" w:styleId="FooterChar">
    <w:name w:val="Footer Char"/>
    <w:basedOn w:val="DefaultParagraphFont"/>
    <w:link w:val="Footer"/>
    <w:uiPriority w:val="99"/>
    <w:rsid w:val="00BE3098"/>
    <w:rPr>
      <w:rFonts w:ascii="Times New Roman" w:eastAsia="Times New Roman" w:hAnsi="Times New Roman" w:cs="Times New Roman"/>
      <w:sz w:val="24"/>
      <w:szCs w:val="20"/>
    </w:rPr>
  </w:style>
  <w:style w:type="paragraph" w:styleId="Title">
    <w:name w:val="Title"/>
    <w:basedOn w:val="Normal"/>
    <w:link w:val="TitleChar"/>
    <w:qFormat/>
    <w:rsid w:val="00BE3098"/>
    <w:pPr>
      <w:jc w:val="center"/>
    </w:pPr>
    <w:rPr>
      <w:b/>
    </w:rPr>
  </w:style>
  <w:style w:type="character" w:customStyle="1" w:styleId="TitleChar">
    <w:name w:val="Title Char"/>
    <w:basedOn w:val="DefaultParagraphFont"/>
    <w:link w:val="Title"/>
    <w:rsid w:val="00BE3098"/>
    <w:rPr>
      <w:rFonts w:ascii="Times New Roman" w:eastAsia="Times New Roman" w:hAnsi="Times New Roman" w:cs="Times New Roman"/>
      <w:b/>
      <w:sz w:val="24"/>
      <w:szCs w:val="20"/>
    </w:rPr>
  </w:style>
  <w:style w:type="paragraph" w:styleId="Subtitle">
    <w:name w:val="Subtitle"/>
    <w:basedOn w:val="Normal"/>
    <w:link w:val="SubtitleChar"/>
    <w:qFormat/>
    <w:rsid w:val="00BE3098"/>
    <w:pPr>
      <w:jc w:val="center"/>
    </w:pPr>
    <w:rPr>
      <w:b/>
    </w:rPr>
  </w:style>
  <w:style w:type="character" w:customStyle="1" w:styleId="SubtitleChar">
    <w:name w:val="Subtitle Char"/>
    <w:basedOn w:val="DefaultParagraphFont"/>
    <w:link w:val="Subtitle"/>
    <w:rsid w:val="00BE3098"/>
    <w:rPr>
      <w:rFonts w:ascii="Times New Roman" w:eastAsia="Times New Roman" w:hAnsi="Times New Roman" w:cs="Times New Roman"/>
      <w:b/>
      <w:sz w:val="24"/>
      <w:szCs w:val="20"/>
    </w:rPr>
  </w:style>
  <w:style w:type="paragraph" w:styleId="ListParagraph">
    <w:name w:val="List Paragraph"/>
    <w:basedOn w:val="Normal"/>
    <w:uiPriority w:val="34"/>
    <w:qFormat/>
    <w:rsid w:val="00BE3098"/>
    <w:pPr>
      <w:ind w:left="720"/>
      <w:contextualSpacing/>
    </w:pPr>
  </w:style>
  <w:style w:type="character" w:styleId="FootnoteReference">
    <w:name w:val="footnote reference"/>
    <w:aliases w:val="o,fr"/>
    <w:uiPriority w:val="99"/>
    <w:unhideWhenUsed/>
    <w:rsid w:val="00BE3098"/>
    <w:rPr>
      <w:vertAlign w:val="superscript"/>
    </w:rPr>
  </w:style>
  <w:style w:type="character" w:styleId="CommentReference">
    <w:name w:val="annotation reference"/>
    <w:basedOn w:val="DefaultParagraphFont"/>
    <w:uiPriority w:val="99"/>
    <w:semiHidden/>
    <w:unhideWhenUsed/>
    <w:rsid w:val="009F0CC9"/>
    <w:rPr>
      <w:sz w:val="16"/>
      <w:szCs w:val="16"/>
    </w:rPr>
  </w:style>
  <w:style w:type="paragraph" w:styleId="CommentText">
    <w:name w:val="annotation text"/>
    <w:basedOn w:val="Normal"/>
    <w:link w:val="CommentTextChar"/>
    <w:uiPriority w:val="99"/>
    <w:semiHidden/>
    <w:unhideWhenUsed/>
    <w:rsid w:val="009F0CC9"/>
    <w:rPr>
      <w:sz w:val="20"/>
    </w:rPr>
  </w:style>
  <w:style w:type="character" w:customStyle="1" w:styleId="CommentTextChar">
    <w:name w:val="Comment Text Char"/>
    <w:basedOn w:val="DefaultParagraphFont"/>
    <w:link w:val="CommentText"/>
    <w:uiPriority w:val="99"/>
    <w:semiHidden/>
    <w:rsid w:val="009F0C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0CC9"/>
    <w:rPr>
      <w:b/>
      <w:bCs/>
    </w:rPr>
  </w:style>
  <w:style w:type="character" w:customStyle="1" w:styleId="CommentSubjectChar">
    <w:name w:val="Comment Subject Char"/>
    <w:basedOn w:val="CommentTextChar"/>
    <w:link w:val="CommentSubject"/>
    <w:uiPriority w:val="99"/>
    <w:semiHidden/>
    <w:rsid w:val="009F0CC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F0CC9"/>
    <w:rPr>
      <w:rFonts w:ascii="Tahoma" w:hAnsi="Tahoma" w:cs="Tahoma"/>
      <w:sz w:val="16"/>
      <w:szCs w:val="16"/>
    </w:rPr>
  </w:style>
  <w:style w:type="character" w:customStyle="1" w:styleId="BalloonTextChar">
    <w:name w:val="Balloon Text Char"/>
    <w:basedOn w:val="DefaultParagraphFont"/>
    <w:link w:val="BalloonText"/>
    <w:uiPriority w:val="99"/>
    <w:semiHidden/>
    <w:rsid w:val="009F0CC9"/>
    <w:rPr>
      <w:rFonts w:ascii="Tahoma" w:eastAsia="Times New Roman" w:hAnsi="Tahoma" w:cs="Tahoma"/>
      <w:sz w:val="16"/>
      <w:szCs w:val="16"/>
    </w:rPr>
  </w:style>
  <w:style w:type="paragraph" w:styleId="Header">
    <w:name w:val="header"/>
    <w:basedOn w:val="Normal"/>
    <w:link w:val="HeaderChar"/>
    <w:uiPriority w:val="99"/>
    <w:unhideWhenUsed/>
    <w:rsid w:val="007C67DB"/>
    <w:pPr>
      <w:tabs>
        <w:tab w:val="center" w:pos="4680"/>
        <w:tab w:val="right" w:pos="9360"/>
      </w:tabs>
    </w:pPr>
  </w:style>
  <w:style w:type="character" w:customStyle="1" w:styleId="HeaderChar">
    <w:name w:val="Header Char"/>
    <w:basedOn w:val="DefaultParagraphFont"/>
    <w:link w:val="Header"/>
    <w:uiPriority w:val="99"/>
    <w:rsid w:val="007C67DB"/>
    <w:rPr>
      <w:rFonts w:ascii="Times New Roman" w:eastAsia="Times New Roman" w:hAnsi="Times New Roman" w:cs="Times New Roman"/>
      <w:sz w:val="24"/>
      <w:szCs w:val="20"/>
    </w:rPr>
  </w:style>
  <w:style w:type="paragraph" w:styleId="NoSpacing">
    <w:name w:val="No Spacing"/>
    <w:uiPriority w:val="1"/>
    <w:qFormat/>
    <w:rsid w:val="007719E4"/>
    <w:pPr>
      <w:spacing w:after="0" w:line="240" w:lineRule="auto"/>
    </w:pPr>
    <w:rPr>
      <w:rFonts w:ascii="Calibri" w:eastAsia="Calibri" w:hAnsi="Calibri" w:cs="Times New Roman"/>
    </w:rPr>
  </w:style>
  <w:style w:type="paragraph" w:customStyle="1" w:styleId="Default">
    <w:name w:val="Default"/>
    <w:rsid w:val="00947E5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77B6E"/>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85205">
      <w:bodyDiv w:val="1"/>
      <w:marLeft w:val="0"/>
      <w:marRight w:val="0"/>
      <w:marTop w:val="0"/>
      <w:marBottom w:val="0"/>
      <w:divBdr>
        <w:top w:val="none" w:sz="0" w:space="0" w:color="auto"/>
        <w:left w:val="none" w:sz="0" w:space="0" w:color="auto"/>
        <w:bottom w:val="none" w:sz="0" w:space="0" w:color="auto"/>
        <w:right w:val="none" w:sz="0" w:space="0" w:color="auto"/>
      </w:divBdr>
    </w:div>
    <w:div w:id="40372728">
      <w:bodyDiv w:val="1"/>
      <w:marLeft w:val="0"/>
      <w:marRight w:val="0"/>
      <w:marTop w:val="0"/>
      <w:marBottom w:val="0"/>
      <w:divBdr>
        <w:top w:val="none" w:sz="0" w:space="0" w:color="auto"/>
        <w:left w:val="none" w:sz="0" w:space="0" w:color="auto"/>
        <w:bottom w:val="none" w:sz="0" w:space="0" w:color="auto"/>
        <w:right w:val="none" w:sz="0" w:space="0" w:color="auto"/>
      </w:divBdr>
    </w:div>
    <w:div w:id="140773567">
      <w:bodyDiv w:val="1"/>
      <w:marLeft w:val="0"/>
      <w:marRight w:val="0"/>
      <w:marTop w:val="0"/>
      <w:marBottom w:val="0"/>
      <w:divBdr>
        <w:top w:val="none" w:sz="0" w:space="0" w:color="auto"/>
        <w:left w:val="none" w:sz="0" w:space="0" w:color="auto"/>
        <w:bottom w:val="none" w:sz="0" w:space="0" w:color="auto"/>
        <w:right w:val="none" w:sz="0" w:space="0" w:color="auto"/>
      </w:divBdr>
    </w:div>
    <w:div w:id="277221393">
      <w:bodyDiv w:val="1"/>
      <w:marLeft w:val="0"/>
      <w:marRight w:val="0"/>
      <w:marTop w:val="0"/>
      <w:marBottom w:val="0"/>
      <w:divBdr>
        <w:top w:val="none" w:sz="0" w:space="0" w:color="auto"/>
        <w:left w:val="none" w:sz="0" w:space="0" w:color="auto"/>
        <w:bottom w:val="none" w:sz="0" w:space="0" w:color="auto"/>
        <w:right w:val="none" w:sz="0" w:space="0" w:color="auto"/>
      </w:divBdr>
    </w:div>
    <w:div w:id="549000546">
      <w:bodyDiv w:val="1"/>
      <w:marLeft w:val="0"/>
      <w:marRight w:val="0"/>
      <w:marTop w:val="0"/>
      <w:marBottom w:val="0"/>
      <w:divBdr>
        <w:top w:val="none" w:sz="0" w:space="0" w:color="auto"/>
        <w:left w:val="none" w:sz="0" w:space="0" w:color="auto"/>
        <w:bottom w:val="none" w:sz="0" w:space="0" w:color="auto"/>
        <w:right w:val="none" w:sz="0" w:space="0" w:color="auto"/>
      </w:divBdr>
    </w:div>
    <w:div w:id="562444728">
      <w:bodyDiv w:val="1"/>
      <w:marLeft w:val="0"/>
      <w:marRight w:val="0"/>
      <w:marTop w:val="0"/>
      <w:marBottom w:val="0"/>
      <w:divBdr>
        <w:top w:val="none" w:sz="0" w:space="0" w:color="auto"/>
        <w:left w:val="none" w:sz="0" w:space="0" w:color="auto"/>
        <w:bottom w:val="none" w:sz="0" w:space="0" w:color="auto"/>
        <w:right w:val="none" w:sz="0" w:space="0" w:color="auto"/>
      </w:divBdr>
    </w:div>
    <w:div w:id="607539749">
      <w:bodyDiv w:val="1"/>
      <w:marLeft w:val="0"/>
      <w:marRight w:val="0"/>
      <w:marTop w:val="0"/>
      <w:marBottom w:val="0"/>
      <w:divBdr>
        <w:top w:val="none" w:sz="0" w:space="0" w:color="auto"/>
        <w:left w:val="none" w:sz="0" w:space="0" w:color="auto"/>
        <w:bottom w:val="none" w:sz="0" w:space="0" w:color="auto"/>
        <w:right w:val="none" w:sz="0" w:space="0" w:color="auto"/>
      </w:divBdr>
    </w:div>
    <w:div w:id="809522719">
      <w:bodyDiv w:val="1"/>
      <w:marLeft w:val="0"/>
      <w:marRight w:val="0"/>
      <w:marTop w:val="0"/>
      <w:marBottom w:val="0"/>
      <w:divBdr>
        <w:top w:val="none" w:sz="0" w:space="0" w:color="auto"/>
        <w:left w:val="none" w:sz="0" w:space="0" w:color="auto"/>
        <w:bottom w:val="none" w:sz="0" w:space="0" w:color="auto"/>
        <w:right w:val="none" w:sz="0" w:space="0" w:color="auto"/>
      </w:divBdr>
    </w:div>
    <w:div w:id="839851211">
      <w:bodyDiv w:val="1"/>
      <w:marLeft w:val="0"/>
      <w:marRight w:val="0"/>
      <w:marTop w:val="0"/>
      <w:marBottom w:val="0"/>
      <w:divBdr>
        <w:top w:val="none" w:sz="0" w:space="0" w:color="auto"/>
        <w:left w:val="none" w:sz="0" w:space="0" w:color="auto"/>
        <w:bottom w:val="none" w:sz="0" w:space="0" w:color="auto"/>
        <w:right w:val="none" w:sz="0" w:space="0" w:color="auto"/>
      </w:divBdr>
    </w:div>
    <w:div w:id="985283472">
      <w:bodyDiv w:val="1"/>
      <w:marLeft w:val="0"/>
      <w:marRight w:val="0"/>
      <w:marTop w:val="0"/>
      <w:marBottom w:val="0"/>
      <w:divBdr>
        <w:top w:val="none" w:sz="0" w:space="0" w:color="auto"/>
        <w:left w:val="none" w:sz="0" w:space="0" w:color="auto"/>
        <w:bottom w:val="none" w:sz="0" w:space="0" w:color="auto"/>
        <w:right w:val="none" w:sz="0" w:space="0" w:color="auto"/>
      </w:divBdr>
    </w:div>
    <w:div w:id="1017384507">
      <w:bodyDiv w:val="1"/>
      <w:marLeft w:val="0"/>
      <w:marRight w:val="0"/>
      <w:marTop w:val="0"/>
      <w:marBottom w:val="0"/>
      <w:divBdr>
        <w:top w:val="none" w:sz="0" w:space="0" w:color="auto"/>
        <w:left w:val="none" w:sz="0" w:space="0" w:color="auto"/>
        <w:bottom w:val="none" w:sz="0" w:space="0" w:color="auto"/>
        <w:right w:val="none" w:sz="0" w:space="0" w:color="auto"/>
      </w:divBdr>
    </w:div>
    <w:div w:id="1225293372">
      <w:bodyDiv w:val="1"/>
      <w:marLeft w:val="0"/>
      <w:marRight w:val="0"/>
      <w:marTop w:val="0"/>
      <w:marBottom w:val="0"/>
      <w:divBdr>
        <w:top w:val="none" w:sz="0" w:space="0" w:color="auto"/>
        <w:left w:val="none" w:sz="0" w:space="0" w:color="auto"/>
        <w:bottom w:val="none" w:sz="0" w:space="0" w:color="auto"/>
        <w:right w:val="none" w:sz="0" w:space="0" w:color="auto"/>
      </w:divBdr>
    </w:div>
    <w:div w:id="1311057051">
      <w:bodyDiv w:val="1"/>
      <w:marLeft w:val="0"/>
      <w:marRight w:val="0"/>
      <w:marTop w:val="0"/>
      <w:marBottom w:val="0"/>
      <w:divBdr>
        <w:top w:val="none" w:sz="0" w:space="0" w:color="auto"/>
        <w:left w:val="none" w:sz="0" w:space="0" w:color="auto"/>
        <w:bottom w:val="none" w:sz="0" w:space="0" w:color="auto"/>
        <w:right w:val="none" w:sz="0" w:space="0" w:color="auto"/>
      </w:divBdr>
    </w:div>
    <w:div w:id="1990673836">
      <w:bodyDiv w:val="1"/>
      <w:marLeft w:val="0"/>
      <w:marRight w:val="0"/>
      <w:marTop w:val="0"/>
      <w:marBottom w:val="0"/>
      <w:divBdr>
        <w:top w:val="none" w:sz="0" w:space="0" w:color="auto"/>
        <w:left w:val="none" w:sz="0" w:space="0" w:color="auto"/>
        <w:bottom w:val="none" w:sz="0" w:space="0" w:color="auto"/>
        <w:right w:val="none" w:sz="0" w:space="0" w:color="auto"/>
      </w:divBdr>
    </w:div>
    <w:div w:id="210255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ebb@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scott@clsphila.org" TargetMode="External"/><Relationship Id="rId4" Type="http://schemas.openxmlformats.org/officeDocument/2006/relationships/settings" Target="settings.xml"/><Relationship Id="rId9" Type="http://schemas.openxmlformats.org/officeDocument/2006/relationships/hyperlink" Target="mailto:dasmus@pa.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dvance.lexis.com/api/document/collection/administrative-materials/id/5YJ8-RMF1-F1P7-B02C-00000-00?cite=2020%20Pa.%20PUC%20LEXIS%2061&amp;context=10005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B0689-FCDE-435C-A510-B15B40C41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2467</Words>
  <Characters>14063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2020-07-08T16:56:00Z</dcterms:created>
  <dcterms:modified xsi:type="dcterms:W3CDTF">2020-07-08T17:42:00Z</dcterms:modified>
</cp:coreProperties>
</file>