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17A69" w14:textId="77777777" w:rsidR="00D14B95" w:rsidRPr="001D3D26" w:rsidRDefault="00D14B95" w:rsidP="00DB18DA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1D3D26">
        <w:rPr>
          <w:rFonts w:ascii="Times New Roman" w:hAnsi="Times New Roman"/>
          <w:b/>
          <w:sz w:val="24"/>
          <w:szCs w:val="24"/>
        </w:rPr>
        <w:t>BEFORE THE</w:t>
      </w:r>
    </w:p>
    <w:p w14:paraId="2A41D720" w14:textId="77777777" w:rsidR="00D14B95" w:rsidRPr="001D3D26" w:rsidRDefault="00D14B95" w:rsidP="00DB18DA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D3D26">
        <w:rPr>
          <w:rFonts w:ascii="Times New Roman" w:hAnsi="Times New Roman"/>
          <w:b/>
          <w:spacing w:val="-3"/>
          <w:sz w:val="24"/>
          <w:szCs w:val="24"/>
        </w:rPr>
        <w:t>PENNSYLVANIA PUBLIC UTILITY COMMISSION</w:t>
      </w:r>
    </w:p>
    <w:p w14:paraId="3AE6BD51" w14:textId="77777777" w:rsidR="00D14B95" w:rsidRPr="001D3D26" w:rsidRDefault="00D14B95" w:rsidP="00DB18D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bCs/>
          <w:spacing w:val="-3"/>
          <w:sz w:val="24"/>
          <w:szCs w:val="24"/>
        </w:rPr>
      </w:pPr>
    </w:p>
    <w:p w14:paraId="40F9AC56" w14:textId="77777777" w:rsidR="00D14B95" w:rsidRPr="001D3D26" w:rsidRDefault="00D14B95" w:rsidP="00DB18DA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bCs/>
          <w:spacing w:val="-3"/>
          <w:sz w:val="24"/>
          <w:szCs w:val="24"/>
        </w:rPr>
      </w:pPr>
    </w:p>
    <w:p w14:paraId="455525E6" w14:textId="77777777" w:rsidR="00D14B95" w:rsidRPr="001D3D26" w:rsidRDefault="00D14B95" w:rsidP="00DB18D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53DBF6A9" w14:textId="37B82E71" w:rsidR="00D14B95" w:rsidRPr="000E7C88" w:rsidRDefault="00D14B95" w:rsidP="00DB18DA">
      <w:pPr>
        <w:jc w:val="both"/>
        <w:rPr>
          <w:rFonts w:ascii="Times New Roman" w:eastAsia="Calibri" w:hAnsi="Times New Roman"/>
        </w:rPr>
      </w:pPr>
      <w:r w:rsidRPr="000E7C88">
        <w:rPr>
          <w:rFonts w:ascii="Times New Roman" w:eastAsia="Calibri" w:hAnsi="Times New Roman"/>
        </w:rPr>
        <w:t>Steve Magill and Betty Magill</w:t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>:</w:t>
      </w:r>
      <w:r w:rsidRPr="000E7C88">
        <w:rPr>
          <w:rFonts w:ascii="Times New Roman" w:eastAsia="Calibri" w:hAnsi="Times New Roman"/>
        </w:rPr>
        <w:tab/>
      </w:r>
    </w:p>
    <w:p w14:paraId="3892823E" w14:textId="77777777" w:rsidR="00D14B95" w:rsidRPr="000E7C88" w:rsidRDefault="00D14B95" w:rsidP="00DB18DA">
      <w:pPr>
        <w:jc w:val="both"/>
        <w:rPr>
          <w:rFonts w:ascii="Times New Roman" w:eastAsia="Calibri" w:hAnsi="Times New Roman"/>
        </w:rPr>
      </w:pP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  <w:t>:</w:t>
      </w:r>
    </w:p>
    <w:p w14:paraId="679B5DFC" w14:textId="77777777" w:rsidR="00D14B95" w:rsidRPr="000E7C88" w:rsidRDefault="00D14B95" w:rsidP="00DB18DA">
      <w:pPr>
        <w:jc w:val="both"/>
        <w:rPr>
          <w:rFonts w:ascii="Times New Roman" w:eastAsia="Calibri" w:hAnsi="Times New Roman"/>
        </w:rPr>
      </w:pPr>
      <w:r w:rsidRPr="000E7C88">
        <w:rPr>
          <w:rFonts w:ascii="Times New Roman" w:eastAsia="Calibri" w:hAnsi="Times New Roman"/>
        </w:rPr>
        <w:tab/>
        <w:t>v.</w:t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  <w:t>:</w:t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  <w:t>C-2018-3005818</w:t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  <w:t>:</w:t>
      </w:r>
    </w:p>
    <w:p w14:paraId="4E71881A" w14:textId="2FDA7873" w:rsidR="00D14B95" w:rsidRPr="000E7C88" w:rsidRDefault="00D14B95" w:rsidP="00DB18DA">
      <w:pPr>
        <w:jc w:val="both"/>
        <w:rPr>
          <w:rFonts w:ascii="Times New Roman" w:eastAsia="Calibri" w:hAnsi="Times New Roman"/>
        </w:rPr>
      </w:pPr>
      <w:r w:rsidRPr="000E7C88">
        <w:rPr>
          <w:rFonts w:ascii="Times New Roman" w:eastAsia="Calibri" w:hAnsi="Times New Roman"/>
        </w:rPr>
        <w:t xml:space="preserve">West Penn Power Company     </w:t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>:</w:t>
      </w:r>
    </w:p>
    <w:p w14:paraId="747F3B70" w14:textId="77777777" w:rsidR="00D14B95" w:rsidRPr="000E7C88" w:rsidRDefault="00D14B95" w:rsidP="00DB18DA">
      <w:pPr>
        <w:jc w:val="both"/>
        <w:rPr>
          <w:rFonts w:ascii="Times New Roman" w:eastAsia="Calibri" w:hAnsi="Times New Roman"/>
        </w:rPr>
      </w:pP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  <w:r w:rsidRPr="000E7C88">
        <w:rPr>
          <w:rFonts w:ascii="Times New Roman" w:eastAsia="Calibri" w:hAnsi="Times New Roman"/>
        </w:rPr>
        <w:tab/>
      </w:r>
    </w:p>
    <w:p w14:paraId="4C76BB4A" w14:textId="77777777" w:rsidR="00D14B95" w:rsidRPr="001D3D26" w:rsidRDefault="00D14B95" w:rsidP="00DB18DA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01FBDF77" w14:textId="77777777" w:rsidR="00D14B95" w:rsidRPr="001D3D26" w:rsidRDefault="00D14B95" w:rsidP="00DB18DA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36B87E4C" w14:textId="77777777" w:rsidR="00D14B95" w:rsidRPr="001D3D26" w:rsidRDefault="00D14B95" w:rsidP="00DB18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D3D26">
        <w:rPr>
          <w:rFonts w:ascii="Times New Roman" w:hAnsi="Times New Roman"/>
          <w:b/>
          <w:spacing w:val="-3"/>
          <w:sz w:val="24"/>
          <w:szCs w:val="24"/>
        </w:rPr>
        <w:t xml:space="preserve">INTERIM ORDER </w:t>
      </w:r>
    </w:p>
    <w:p w14:paraId="089276E5" w14:textId="0E004103" w:rsidR="00DB18DA" w:rsidRDefault="00D14B95" w:rsidP="00DB18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D3D26">
        <w:rPr>
          <w:rFonts w:ascii="Times New Roman" w:hAnsi="Times New Roman"/>
          <w:b/>
          <w:spacing w:val="-3"/>
          <w:sz w:val="24"/>
          <w:szCs w:val="24"/>
        </w:rPr>
        <w:t>DENYING COMPLAINANTS</w:t>
      </w:r>
      <w:r w:rsidR="006F3C2A">
        <w:rPr>
          <w:rFonts w:ascii="Times New Roman" w:hAnsi="Times New Roman"/>
          <w:b/>
          <w:spacing w:val="-3"/>
          <w:sz w:val="24"/>
          <w:szCs w:val="24"/>
        </w:rPr>
        <w:t>’</w:t>
      </w:r>
      <w:r w:rsidRPr="001D3D26">
        <w:rPr>
          <w:rFonts w:ascii="Times New Roman" w:hAnsi="Times New Roman"/>
          <w:b/>
          <w:spacing w:val="-3"/>
          <w:sz w:val="24"/>
          <w:szCs w:val="24"/>
        </w:rPr>
        <w:t xml:space="preserve"> MOTION</w:t>
      </w:r>
    </w:p>
    <w:p w14:paraId="35ADEB90" w14:textId="59BC2524" w:rsidR="00D14B95" w:rsidRPr="00DB18DA" w:rsidRDefault="00D14B95" w:rsidP="00DB18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DB18DA">
        <w:rPr>
          <w:rFonts w:ascii="Times New Roman" w:hAnsi="Times New Roman"/>
          <w:b/>
          <w:spacing w:val="-3"/>
          <w:sz w:val="24"/>
          <w:szCs w:val="24"/>
          <w:u w:val="single"/>
        </w:rPr>
        <w:t>TO STAY</w:t>
      </w:r>
      <w:r w:rsidR="00DB18DA" w:rsidRPr="00DB18DA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1D3D26">
        <w:rPr>
          <w:rFonts w:ascii="Times New Roman" w:hAnsi="Times New Roman"/>
          <w:b/>
          <w:spacing w:val="-3"/>
          <w:sz w:val="24"/>
          <w:szCs w:val="24"/>
          <w:u w:val="single"/>
        </w:rPr>
        <w:t>PROCEEDINGS</w:t>
      </w:r>
    </w:p>
    <w:p w14:paraId="724E95D9" w14:textId="77777777" w:rsidR="00D14B95" w:rsidRDefault="00D14B95" w:rsidP="00DB18D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bCs/>
          <w:spacing w:val="-3"/>
          <w:sz w:val="24"/>
          <w:szCs w:val="24"/>
        </w:rPr>
      </w:pPr>
    </w:p>
    <w:p w14:paraId="4BD79DA4" w14:textId="155B4E0E" w:rsidR="00D14B95" w:rsidRDefault="00D14B95" w:rsidP="00DB18DA">
      <w:pPr>
        <w:pStyle w:val="NoSpacing"/>
        <w:spacing w:line="360" w:lineRule="auto"/>
        <w:ind w:firstLine="1440"/>
        <w:rPr>
          <w:bCs/>
        </w:rPr>
      </w:pPr>
      <w:r w:rsidRPr="001D3D26">
        <w:rPr>
          <w:bCs/>
        </w:rPr>
        <w:t xml:space="preserve">On </w:t>
      </w:r>
      <w:r w:rsidR="004F632C">
        <w:rPr>
          <w:bCs/>
        </w:rPr>
        <w:t>March 11, 2020</w:t>
      </w:r>
      <w:r w:rsidRPr="001D3D26">
        <w:rPr>
          <w:bCs/>
        </w:rPr>
        <w:t xml:space="preserve">, Complainant filed a Motion </w:t>
      </w:r>
      <w:r w:rsidR="00B010EE">
        <w:rPr>
          <w:bCs/>
        </w:rPr>
        <w:t>t</w:t>
      </w:r>
      <w:r w:rsidR="004F632C">
        <w:rPr>
          <w:bCs/>
        </w:rPr>
        <w:t xml:space="preserve">o </w:t>
      </w:r>
      <w:r w:rsidRPr="001D3D26">
        <w:rPr>
          <w:bCs/>
        </w:rPr>
        <w:t xml:space="preserve">Stay </w:t>
      </w:r>
      <w:r w:rsidR="00B010EE">
        <w:rPr>
          <w:bCs/>
        </w:rPr>
        <w:t>o</w:t>
      </w:r>
      <w:r w:rsidR="004F632C">
        <w:rPr>
          <w:bCs/>
        </w:rPr>
        <w:t xml:space="preserve">f </w:t>
      </w:r>
      <w:r w:rsidRPr="001D3D26">
        <w:rPr>
          <w:bCs/>
        </w:rPr>
        <w:t>Proceedings</w:t>
      </w:r>
      <w:r w:rsidR="004F632C">
        <w:rPr>
          <w:bCs/>
        </w:rPr>
        <w:t xml:space="preserve">, dated March 10, 2020.  </w:t>
      </w:r>
      <w:r w:rsidRPr="001D3D26">
        <w:rPr>
          <w:bCs/>
        </w:rPr>
        <w:t>Complainant</w:t>
      </w:r>
      <w:r w:rsidR="00DE4DA5">
        <w:rPr>
          <w:bCs/>
        </w:rPr>
        <w:t>s</w:t>
      </w:r>
      <w:r w:rsidRPr="001D3D26">
        <w:rPr>
          <w:bCs/>
        </w:rPr>
        <w:t xml:space="preserve"> averred that </w:t>
      </w:r>
      <w:r w:rsidR="00DE4DA5">
        <w:rPr>
          <w:bCs/>
        </w:rPr>
        <w:t xml:space="preserve">they are </w:t>
      </w:r>
      <w:r w:rsidRPr="001D3D26">
        <w:rPr>
          <w:bCs/>
        </w:rPr>
        <w:t xml:space="preserve">aware of </w:t>
      </w:r>
      <w:r w:rsidR="00DE4DA5">
        <w:rPr>
          <w:bCs/>
        </w:rPr>
        <w:t xml:space="preserve">various </w:t>
      </w:r>
      <w:r w:rsidRPr="001D3D26">
        <w:rPr>
          <w:bCs/>
        </w:rPr>
        <w:t>case</w:t>
      </w:r>
      <w:r w:rsidR="00DE4DA5">
        <w:rPr>
          <w:bCs/>
        </w:rPr>
        <w:t>s</w:t>
      </w:r>
      <w:r>
        <w:rPr>
          <w:bCs/>
        </w:rPr>
        <w:t xml:space="preserve"> pending</w:t>
      </w:r>
      <w:r w:rsidRPr="001D3D26">
        <w:rPr>
          <w:bCs/>
        </w:rPr>
        <w:t xml:space="preserve"> before the Commonwealth Court of Pennsylvania </w:t>
      </w:r>
      <w:r>
        <w:rPr>
          <w:bCs/>
        </w:rPr>
        <w:t xml:space="preserve">and </w:t>
      </w:r>
      <w:r w:rsidR="00DE4DA5">
        <w:rPr>
          <w:bCs/>
        </w:rPr>
        <w:t>asserted</w:t>
      </w:r>
      <w:r>
        <w:rPr>
          <w:bCs/>
        </w:rPr>
        <w:t xml:space="preserve"> that it would be prudent to postpone unnecessary and costly activities in this proceeding until</w:t>
      </w:r>
      <w:r w:rsidR="00DE4DA5">
        <w:rPr>
          <w:bCs/>
        </w:rPr>
        <w:t xml:space="preserve"> at least one month after</w:t>
      </w:r>
      <w:r>
        <w:rPr>
          <w:bCs/>
        </w:rPr>
        <w:t xml:space="preserve"> a ruling is made by the Commonwealth Court in th</w:t>
      </w:r>
      <w:r w:rsidR="00DE4DA5">
        <w:rPr>
          <w:bCs/>
        </w:rPr>
        <w:t xml:space="preserve">ose </w:t>
      </w:r>
      <w:r>
        <w:rPr>
          <w:bCs/>
        </w:rPr>
        <w:t>case</w:t>
      </w:r>
      <w:r w:rsidR="00DE4DA5">
        <w:rPr>
          <w:bCs/>
        </w:rPr>
        <w:t>s</w:t>
      </w:r>
      <w:r>
        <w:rPr>
          <w:bCs/>
        </w:rPr>
        <w:t>.</w:t>
      </w:r>
    </w:p>
    <w:p w14:paraId="29C78781" w14:textId="77777777" w:rsidR="00D14B95" w:rsidRDefault="00D14B95" w:rsidP="00DB18DA">
      <w:pPr>
        <w:pStyle w:val="NoSpacing"/>
        <w:spacing w:line="360" w:lineRule="auto"/>
        <w:ind w:firstLine="1440"/>
        <w:rPr>
          <w:bCs/>
        </w:rPr>
      </w:pPr>
    </w:p>
    <w:p w14:paraId="66A61B0E" w14:textId="351B0279" w:rsidR="00D14B95" w:rsidRPr="00CF0C27" w:rsidRDefault="00D14B95" w:rsidP="00DB18DA">
      <w:pPr>
        <w:pStyle w:val="NoSpacing"/>
        <w:spacing w:line="360" w:lineRule="auto"/>
        <w:ind w:firstLine="1440"/>
        <w:rPr>
          <w:bCs/>
        </w:rPr>
      </w:pPr>
      <w:r>
        <w:rPr>
          <w:bCs/>
        </w:rPr>
        <w:t xml:space="preserve">On </w:t>
      </w:r>
      <w:r w:rsidR="00DE4DA5">
        <w:rPr>
          <w:bCs/>
        </w:rPr>
        <w:t>March 19</w:t>
      </w:r>
      <w:r>
        <w:rPr>
          <w:bCs/>
        </w:rPr>
        <w:t xml:space="preserve">, 2020, Respondent filed an Answer in Opposition to </w:t>
      </w:r>
      <w:r w:rsidR="00DE4DA5">
        <w:rPr>
          <w:bCs/>
        </w:rPr>
        <w:t xml:space="preserve">the Motion to </w:t>
      </w:r>
      <w:r>
        <w:rPr>
          <w:bCs/>
        </w:rPr>
        <w:t>Stay of Proceedings.</w:t>
      </w:r>
    </w:p>
    <w:p w14:paraId="0D68D4F6" w14:textId="77777777" w:rsidR="00D14B95" w:rsidRPr="001D3D26" w:rsidRDefault="00D14B95" w:rsidP="00DB18DA">
      <w:pPr>
        <w:pStyle w:val="NoSpacing"/>
        <w:spacing w:line="360" w:lineRule="auto"/>
        <w:ind w:firstLine="1440"/>
        <w:rPr>
          <w:bCs/>
        </w:rPr>
      </w:pPr>
    </w:p>
    <w:p w14:paraId="09BE91ED" w14:textId="77777777" w:rsidR="00D14B95" w:rsidRPr="001D3D26" w:rsidRDefault="00D14B95" w:rsidP="00DB18DA">
      <w:pPr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1D3D26">
        <w:rPr>
          <w:rFonts w:ascii="Times New Roman" w:hAnsi="Times New Roman"/>
          <w:sz w:val="24"/>
          <w:szCs w:val="24"/>
        </w:rPr>
        <w:t xml:space="preserve">The Commission has adopted the standards set forth in </w:t>
      </w:r>
      <w:hyperlink r:id="rId7" w:history="1">
        <w:r w:rsidRPr="001D3D26">
          <w:rPr>
            <w:rFonts w:ascii="Times New Roman" w:hAnsi="Times New Roman"/>
            <w:i/>
            <w:iCs/>
            <w:sz w:val="24"/>
            <w:szCs w:val="24"/>
          </w:rPr>
          <w:t>Pa. PUC v. Process Gas Consumers Group</w:t>
        </w:r>
        <w:r w:rsidRPr="001D3D26">
          <w:rPr>
            <w:rFonts w:ascii="Times New Roman" w:hAnsi="Times New Roman"/>
            <w:sz w:val="24"/>
            <w:szCs w:val="24"/>
          </w:rPr>
          <w:t>, 502 Pa. 545, 467 A.2d 805 (1983)</w:t>
        </w:r>
      </w:hyperlink>
      <w:r w:rsidRPr="001D3D26">
        <w:rPr>
          <w:rFonts w:ascii="Times New Roman" w:hAnsi="Times New Roman"/>
          <w:sz w:val="24"/>
          <w:szCs w:val="24"/>
        </w:rPr>
        <w:t xml:space="preserve"> (</w:t>
      </w:r>
      <w:r w:rsidRPr="001D3D26">
        <w:rPr>
          <w:rFonts w:ascii="Times New Roman" w:hAnsi="Times New Roman"/>
          <w:i/>
          <w:iCs/>
          <w:sz w:val="24"/>
          <w:szCs w:val="24"/>
        </w:rPr>
        <w:t>Process Gas</w:t>
      </w:r>
      <w:r w:rsidRPr="001D3D26">
        <w:rPr>
          <w:rFonts w:ascii="Times New Roman" w:hAnsi="Times New Roman"/>
          <w:sz w:val="24"/>
          <w:szCs w:val="24"/>
        </w:rPr>
        <w:t>) for guidance regarding the issuance of a stay or supersedeas.</w:t>
      </w:r>
      <w:r w:rsidRPr="001D3D26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1D3D26">
        <w:rPr>
          <w:rFonts w:ascii="Times New Roman" w:hAnsi="Times New Roman"/>
          <w:sz w:val="24"/>
          <w:szCs w:val="24"/>
        </w:rPr>
        <w:t xml:space="preserve">  In order to prevail on such a petition, the petitioner must:</w:t>
      </w:r>
    </w:p>
    <w:p w14:paraId="6EF0D92F" w14:textId="77777777" w:rsidR="00D14B95" w:rsidRPr="001D3D26" w:rsidRDefault="00D14B95" w:rsidP="00DB18DA">
      <w:pPr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28C8C0BC" w14:textId="77777777" w:rsidR="00D14B95" w:rsidRPr="001D3D26" w:rsidRDefault="00D14B95" w:rsidP="00A12B48">
      <w:pPr>
        <w:pStyle w:val="ListParagraph"/>
        <w:keepNext/>
        <w:keepLines/>
        <w:numPr>
          <w:ilvl w:val="0"/>
          <w:numId w:val="2"/>
        </w:numPr>
        <w:autoSpaceDE/>
        <w:autoSpaceDN/>
        <w:ind w:right="1440"/>
        <w:contextualSpacing/>
        <w:rPr>
          <w:rFonts w:ascii="Times New Roman" w:hAnsi="Times New Roman"/>
        </w:rPr>
      </w:pPr>
      <w:r w:rsidRPr="001D3D26">
        <w:rPr>
          <w:rFonts w:ascii="Times New Roman" w:hAnsi="Times New Roman"/>
        </w:rPr>
        <w:lastRenderedPageBreak/>
        <w:t>Make a strong showing of likelihood to prevail on the merits;</w:t>
      </w:r>
    </w:p>
    <w:p w14:paraId="3896AC10" w14:textId="77777777" w:rsidR="00D14B95" w:rsidRPr="001D3D26" w:rsidRDefault="00D14B95" w:rsidP="00A12B48">
      <w:pPr>
        <w:pStyle w:val="ListParagraph"/>
        <w:keepNext/>
        <w:keepLines/>
        <w:ind w:left="2160" w:right="1440"/>
        <w:rPr>
          <w:rFonts w:ascii="Times New Roman" w:hAnsi="Times New Roman"/>
        </w:rPr>
      </w:pPr>
    </w:p>
    <w:p w14:paraId="0753AB65" w14:textId="77777777" w:rsidR="00D14B95" w:rsidRPr="001D3D26" w:rsidRDefault="00D14B95" w:rsidP="00A12B48">
      <w:pPr>
        <w:pStyle w:val="ListParagraph"/>
        <w:keepNext/>
        <w:keepLines/>
        <w:numPr>
          <w:ilvl w:val="0"/>
          <w:numId w:val="2"/>
        </w:numPr>
        <w:autoSpaceDE/>
        <w:autoSpaceDN/>
        <w:ind w:right="1440"/>
        <w:contextualSpacing/>
        <w:rPr>
          <w:rFonts w:ascii="Times New Roman" w:hAnsi="Times New Roman"/>
        </w:rPr>
      </w:pPr>
      <w:r w:rsidRPr="001D3D26">
        <w:rPr>
          <w:rFonts w:ascii="Times New Roman" w:hAnsi="Times New Roman"/>
        </w:rPr>
        <w:t>Show that denial of relief will cause irreparable injury;</w:t>
      </w:r>
    </w:p>
    <w:p w14:paraId="2FE30368" w14:textId="77777777" w:rsidR="00D14B95" w:rsidRPr="001D3D26" w:rsidRDefault="00D14B95" w:rsidP="00A12B48">
      <w:pPr>
        <w:pStyle w:val="ListParagraph"/>
        <w:ind w:left="2160" w:right="1440"/>
        <w:rPr>
          <w:rFonts w:ascii="Times New Roman" w:hAnsi="Times New Roman"/>
        </w:rPr>
      </w:pPr>
    </w:p>
    <w:p w14:paraId="33066BB9" w14:textId="77777777" w:rsidR="00D14B95" w:rsidRPr="001D3D26" w:rsidRDefault="00D14B95" w:rsidP="00A12B48">
      <w:pPr>
        <w:pStyle w:val="ListParagraph"/>
        <w:numPr>
          <w:ilvl w:val="0"/>
          <w:numId w:val="2"/>
        </w:numPr>
        <w:autoSpaceDE/>
        <w:autoSpaceDN/>
        <w:ind w:right="1440"/>
        <w:contextualSpacing/>
        <w:rPr>
          <w:rFonts w:ascii="Times New Roman" w:hAnsi="Times New Roman"/>
        </w:rPr>
      </w:pPr>
      <w:r w:rsidRPr="001D3D26">
        <w:rPr>
          <w:rFonts w:ascii="Times New Roman" w:hAnsi="Times New Roman"/>
        </w:rPr>
        <w:t>Show that the issuance of a stay will not substantially harm other interested parties in the proceedings; and</w:t>
      </w:r>
    </w:p>
    <w:p w14:paraId="185F61DD" w14:textId="77777777" w:rsidR="00D14B95" w:rsidRPr="001D3D26" w:rsidRDefault="00D14B95" w:rsidP="00A12B48">
      <w:pPr>
        <w:pStyle w:val="ListParagraph"/>
        <w:ind w:left="2160" w:right="1440"/>
        <w:rPr>
          <w:rFonts w:ascii="Times New Roman" w:hAnsi="Times New Roman"/>
        </w:rPr>
      </w:pPr>
    </w:p>
    <w:p w14:paraId="1E3A23F8" w14:textId="77777777" w:rsidR="00D14B95" w:rsidRDefault="00D14B95" w:rsidP="00A12B48">
      <w:pPr>
        <w:ind w:left="2160" w:right="1440" w:hanging="720"/>
        <w:rPr>
          <w:rFonts w:ascii="Times New Roman" w:hAnsi="Times New Roman"/>
          <w:sz w:val="24"/>
          <w:szCs w:val="24"/>
        </w:rPr>
      </w:pPr>
      <w:r w:rsidRPr="001D3D26">
        <w:rPr>
          <w:rFonts w:ascii="Times New Roman" w:hAnsi="Times New Roman"/>
          <w:sz w:val="24"/>
          <w:szCs w:val="24"/>
        </w:rPr>
        <w:t>4.</w:t>
      </w:r>
      <w:r w:rsidRPr="001D3D26">
        <w:rPr>
          <w:rFonts w:ascii="Times New Roman" w:hAnsi="Times New Roman"/>
          <w:sz w:val="24"/>
          <w:szCs w:val="24"/>
        </w:rPr>
        <w:tab/>
        <w:t>Show that the issuance of a stay will not adversely affect the public interest.</w:t>
      </w:r>
    </w:p>
    <w:p w14:paraId="37829BEA" w14:textId="77777777" w:rsidR="00D14B95" w:rsidRPr="001D3D26" w:rsidRDefault="00D14B95" w:rsidP="00571884">
      <w:pPr>
        <w:ind w:left="2160" w:right="1440" w:hanging="720"/>
        <w:rPr>
          <w:rFonts w:ascii="Times New Roman" w:hAnsi="Times New Roman"/>
          <w:sz w:val="24"/>
          <w:szCs w:val="24"/>
        </w:rPr>
      </w:pPr>
    </w:p>
    <w:p w14:paraId="28A42A0A" w14:textId="77777777" w:rsidR="00D14B95" w:rsidRPr="001D3D26" w:rsidRDefault="00477D06" w:rsidP="00DB18DA">
      <w:pPr>
        <w:spacing w:line="360" w:lineRule="auto"/>
        <w:rPr>
          <w:rFonts w:ascii="Times New Roman" w:hAnsi="Times New Roman"/>
          <w:sz w:val="24"/>
          <w:szCs w:val="24"/>
        </w:rPr>
      </w:pPr>
      <w:hyperlink r:id="rId8" w:anchor="co_pp_sp_162_808" w:history="1">
        <w:r w:rsidR="00D14B95" w:rsidRPr="001D3D26">
          <w:rPr>
            <w:rFonts w:ascii="Times New Roman" w:hAnsi="Times New Roman"/>
            <w:sz w:val="24"/>
            <w:szCs w:val="24"/>
          </w:rPr>
          <w:t>502 Pa.</w:t>
        </w:r>
        <w:r w:rsidR="00D14B95">
          <w:rPr>
            <w:rFonts w:ascii="Times New Roman" w:hAnsi="Times New Roman"/>
            <w:sz w:val="24"/>
            <w:szCs w:val="24"/>
          </w:rPr>
          <w:t>Code</w:t>
        </w:r>
        <w:r w:rsidR="00D14B95" w:rsidRPr="001D3D26">
          <w:rPr>
            <w:rFonts w:ascii="Times New Roman" w:hAnsi="Times New Roman"/>
            <w:sz w:val="24"/>
            <w:szCs w:val="24"/>
          </w:rPr>
          <w:t xml:space="preserve"> at 552-553, 467 A.2d at 808-809</w:t>
        </w:r>
      </w:hyperlink>
      <w:r w:rsidR="00D14B95" w:rsidRPr="001D3D26">
        <w:rPr>
          <w:rFonts w:ascii="Times New Roman" w:hAnsi="Times New Roman"/>
          <w:sz w:val="24"/>
          <w:szCs w:val="24"/>
        </w:rPr>
        <w:t>.</w:t>
      </w:r>
    </w:p>
    <w:p w14:paraId="3CED86CB" w14:textId="77777777" w:rsidR="00D14B95" w:rsidRPr="001D3D26" w:rsidRDefault="00D14B95" w:rsidP="00DB18DA">
      <w:pPr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7F58E652" w14:textId="60E821D4" w:rsidR="00D14B95" w:rsidRPr="001D3D26" w:rsidRDefault="00D14B95" w:rsidP="00DB18DA">
      <w:pPr>
        <w:pStyle w:val="NoSpacing"/>
        <w:spacing w:line="360" w:lineRule="auto"/>
        <w:ind w:firstLine="1440"/>
        <w:rPr>
          <w:bCs/>
        </w:rPr>
      </w:pPr>
      <w:r w:rsidRPr="001D3D26">
        <w:rPr>
          <w:bCs/>
        </w:rPr>
        <w:t>Here, Complainant</w:t>
      </w:r>
      <w:r w:rsidR="00093001">
        <w:rPr>
          <w:bCs/>
        </w:rPr>
        <w:t>s have</w:t>
      </w:r>
      <w:r w:rsidRPr="001D3D26">
        <w:rPr>
          <w:bCs/>
        </w:rPr>
        <w:t xml:space="preserve"> not averred sufficient facts or provided specific legal principles or precedent, or made the required showing, as set forth above, to support</w:t>
      </w:r>
      <w:r w:rsidR="00093001">
        <w:rPr>
          <w:bCs/>
        </w:rPr>
        <w:t xml:space="preserve"> their </w:t>
      </w:r>
      <w:r w:rsidRPr="001D3D26">
        <w:rPr>
          <w:bCs/>
        </w:rPr>
        <w:t xml:space="preserve"> request for relief.  The hearing is scheduled to commence in </w:t>
      </w:r>
      <w:r>
        <w:rPr>
          <w:bCs/>
        </w:rPr>
        <w:t>this proceeding</w:t>
      </w:r>
      <w:r w:rsidR="00093001">
        <w:rPr>
          <w:bCs/>
        </w:rPr>
        <w:t xml:space="preserve"> on August 27 and 28, 2020 based upon dates represented as acceptable by the Parties.  </w:t>
      </w:r>
      <w:r>
        <w:rPr>
          <w:bCs/>
        </w:rPr>
        <w:t>I</w:t>
      </w:r>
      <w:r w:rsidRPr="001D3D26">
        <w:rPr>
          <w:bCs/>
        </w:rPr>
        <w:t>t would be unfair, under the particular circumstances in this case and without the required showing by Complainant</w:t>
      </w:r>
      <w:r w:rsidR="00093001">
        <w:rPr>
          <w:bCs/>
        </w:rPr>
        <w:t>s</w:t>
      </w:r>
      <w:r w:rsidRPr="001D3D26">
        <w:rPr>
          <w:bCs/>
        </w:rPr>
        <w:t xml:space="preserve">, to stay this proceeding, given the expenditure of time, money and resources over the past year </w:t>
      </w:r>
      <w:r>
        <w:rPr>
          <w:bCs/>
        </w:rPr>
        <w:t xml:space="preserve">and one half, </w:t>
      </w:r>
      <w:r w:rsidRPr="001D3D26">
        <w:rPr>
          <w:bCs/>
        </w:rPr>
        <w:t>by Complainant</w:t>
      </w:r>
      <w:r w:rsidR="00093001">
        <w:rPr>
          <w:bCs/>
        </w:rPr>
        <w:t>s</w:t>
      </w:r>
      <w:r w:rsidRPr="001D3D26">
        <w:rPr>
          <w:bCs/>
        </w:rPr>
        <w:t xml:space="preserve">, Respondent, counsel and the Commission. </w:t>
      </w:r>
    </w:p>
    <w:p w14:paraId="6ABC5513" w14:textId="77777777" w:rsidR="00D14B95" w:rsidRPr="001D3D26" w:rsidRDefault="00D14B95" w:rsidP="00DB18DA">
      <w:pPr>
        <w:pStyle w:val="NoSpacing"/>
        <w:spacing w:line="360" w:lineRule="auto"/>
        <w:ind w:firstLine="1440"/>
        <w:rPr>
          <w:bCs/>
        </w:rPr>
      </w:pPr>
    </w:p>
    <w:p w14:paraId="56189983" w14:textId="6382C744" w:rsidR="00D14B95" w:rsidRPr="001D3D26" w:rsidRDefault="00D14B95" w:rsidP="00DB18DA">
      <w:pPr>
        <w:pStyle w:val="NoSpacing"/>
        <w:spacing w:line="360" w:lineRule="auto"/>
        <w:ind w:firstLine="1440"/>
      </w:pPr>
      <w:r w:rsidRPr="001D3D26">
        <w:rPr>
          <w:rFonts w:eastAsia="Times New Roman"/>
        </w:rPr>
        <w:t xml:space="preserve">It is well settled that </w:t>
      </w:r>
      <w:r w:rsidRPr="001D3D26">
        <w:rPr>
          <w:bCs/>
        </w:rPr>
        <w:t>the law can only be applied as it exists.  As the Commission has noted, action should not be taken based on speculation.</w:t>
      </w:r>
      <w:r w:rsidRPr="001D3D26">
        <w:rPr>
          <w:i/>
          <w:iCs/>
        </w:rPr>
        <w:t xml:space="preserve">  Pa. PUC v. Duquesne Light Company</w:t>
      </w:r>
      <w:r w:rsidRPr="001D3D26">
        <w:t xml:space="preserve">, 1987 Pa. PUC Lexis 342; </w:t>
      </w:r>
      <w:r w:rsidRPr="001D3D26">
        <w:rPr>
          <w:i/>
          <w:iCs/>
        </w:rPr>
        <w:t>Commonwealth v. Thomas</w:t>
      </w:r>
      <w:r w:rsidRPr="001D3D26">
        <w:t xml:space="preserve">, 51 A.3d 255 (Pa.Super. 2012)).  </w:t>
      </w:r>
    </w:p>
    <w:p w14:paraId="08C607BE" w14:textId="77777777" w:rsidR="00D14B95" w:rsidRPr="001D3D26" w:rsidRDefault="00D14B95" w:rsidP="00DB18DA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3023ACA3" w14:textId="77777777" w:rsidR="00D14B95" w:rsidRPr="001D3D26" w:rsidRDefault="00D14B95" w:rsidP="00DB18DA">
      <w:pPr>
        <w:pStyle w:val="NoSpacing"/>
        <w:spacing w:line="360" w:lineRule="auto"/>
        <w:ind w:firstLine="1440"/>
        <w:rPr>
          <w:bCs/>
          <w:u w:val="single"/>
        </w:rPr>
      </w:pPr>
      <w:r w:rsidRPr="001D3D26">
        <w:rPr>
          <w:rStyle w:val="Hyperlink"/>
          <w:bCs/>
          <w:color w:val="auto"/>
        </w:rPr>
        <w:t xml:space="preserve">It would not be prudent, in the circumstances presented here, for the Commission to delay this proceeding, pending uncertain outcomes or actions or in anticipation of a change in the law, particularly given uncertain time schedules and resolution.  </w:t>
      </w:r>
    </w:p>
    <w:p w14:paraId="63A2ADEC" w14:textId="77777777" w:rsidR="00D14B95" w:rsidRPr="001D3D26" w:rsidRDefault="00D14B95" w:rsidP="00DB18DA">
      <w:pPr>
        <w:pStyle w:val="NoSpacing"/>
        <w:spacing w:line="360" w:lineRule="auto"/>
        <w:rPr>
          <w:bCs/>
          <w:u w:val="single"/>
        </w:rPr>
      </w:pPr>
      <w:r w:rsidRPr="001D3D26">
        <w:rPr>
          <w:bCs/>
        </w:rPr>
        <w:tab/>
      </w:r>
      <w:r w:rsidRPr="001D3D26">
        <w:rPr>
          <w:bCs/>
        </w:rPr>
        <w:tab/>
      </w:r>
    </w:p>
    <w:p w14:paraId="72F7263A" w14:textId="4FF3DB59" w:rsidR="00D14B95" w:rsidRPr="001D3D26" w:rsidRDefault="00D14B95" w:rsidP="00DB18DA">
      <w:pPr>
        <w:pStyle w:val="NoSpacing"/>
        <w:spacing w:line="360" w:lineRule="auto"/>
        <w:rPr>
          <w:bCs/>
        </w:rPr>
      </w:pPr>
      <w:r w:rsidRPr="001D3D26">
        <w:tab/>
      </w:r>
      <w:r w:rsidR="00093001">
        <w:t xml:space="preserve">            </w:t>
      </w:r>
      <w:r w:rsidRPr="001D3D26">
        <w:t xml:space="preserve">Based upon the content of Complainants Motion and the circumstances in this case, the following order will be entered. </w:t>
      </w:r>
      <w:r w:rsidRPr="001D3D26">
        <w:rPr>
          <w:bCs/>
        </w:rPr>
        <w:t xml:space="preserve"> </w:t>
      </w:r>
    </w:p>
    <w:p w14:paraId="0E8263B4" w14:textId="2E59A45F" w:rsidR="00D14B95" w:rsidRDefault="00D14B95" w:rsidP="00DB18DA">
      <w:pPr>
        <w:pStyle w:val="NoSpacing"/>
        <w:spacing w:line="360" w:lineRule="auto"/>
        <w:rPr>
          <w:bCs/>
        </w:rPr>
      </w:pPr>
    </w:p>
    <w:p w14:paraId="4003A063" w14:textId="662CC191" w:rsidR="00B010EE" w:rsidRDefault="00B010EE" w:rsidP="00DB18DA">
      <w:pPr>
        <w:pStyle w:val="NoSpacing"/>
        <w:spacing w:line="360" w:lineRule="auto"/>
        <w:rPr>
          <w:bCs/>
        </w:rPr>
      </w:pPr>
    </w:p>
    <w:p w14:paraId="5E0ABC14" w14:textId="57E5FFC4" w:rsidR="00B010EE" w:rsidRDefault="00B010EE" w:rsidP="00DB18DA">
      <w:pPr>
        <w:pStyle w:val="NoSpacing"/>
        <w:spacing w:line="360" w:lineRule="auto"/>
        <w:rPr>
          <w:bCs/>
        </w:rPr>
      </w:pPr>
    </w:p>
    <w:p w14:paraId="2D91F67E" w14:textId="77777777" w:rsidR="00B010EE" w:rsidRPr="001D3D26" w:rsidRDefault="00B010EE" w:rsidP="00DB18DA">
      <w:pPr>
        <w:pStyle w:val="NoSpacing"/>
        <w:spacing w:line="360" w:lineRule="auto"/>
        <w:rPr>
          <w:bCs/>
        </w:rPr>
      </w:pPr>
    </w:p>
    <w:p w14:paraId="3B37A1C5" w14:textId="77777777" w:rsidR="00D14B95" w:rsidRPr="001D3D26" w:rsidRDefault="00D14B95" w:rsidP="00DB18DA">
      <w:pPr>
        <w:pStyle w:val="NoSpacing"/>
        <w:spacing w:line="360" w:lineRule="auto"/>
        <w:ind w:firstLine="1440"/>
        <w:rPr>
          <w:rFonts w:eastAsia="Times New Roman"/>
          <w:bCs/>
        </w:rPr>
      </w:pPr>
      <w:bookmarkStart w:id="0" w:name="_Hlk29387819"/>
      <w:r w:rsidRPr="001D3D26">
        <w:rPr>
          <w:bCs/>
        </w:rPr>
        <w:lastRenderedPageBreak/>
        <w:t>THEREFORE,</w:t>
      </w:r>
    </w:p>
    <w:p w14:paraId="6045D0F1" w14:textId="77777777" w:rsidR="00D14B95" w:rsidRPr="001D3D26" w:rsidRDefault="00D14B95" w:rsidP="00DB18DA">
      <w:pPr>
        <w:pStyle w:val="NoSpacing"/>
        <w:spacing w:line="360" w:lineRule="auto"/>
        <w:rPr>
          <w:rFonts w:eastAsia="Times New Roman"/>
          <w:bCs/>
        </w:rPr>
      </w:pPr>
    </w:p>
    <w:p w14:paraId="716D873D" w14:textId="77777777" w:rsidR="00D14B95" w:rsidRPr="001D3D26" w:rsidRDefault="00D14B95" w:rsidP="00DB18DA">
      <w:pPr>
        <w:pStyle w:val="NoSpacing"/>
        <w:spacing w:line="360" w:lineRule="auto"/>
        <w:ind w:firstLine="1440"/>
        <w:rPr>
          <w:rFonts w:eastAsia="Times New Roman"/>
          <w:bCs/>
        </w:rPr>
      </w:pPr>
      <w:r w:rsidRPr="001D3D26">
        <w:rPr>
          <w:rFonts w:eastAsia="Times New Roman"/>
          <w:bCs/>
        </w:rPr>
        <w:t>IT IS ORDERED:</w:t>
      </w:r>
    </w:p>
    <w:p w14:paraId="11EA1943" w14:textId="77777777" w:rsidR="00D14B95" w:rsidRPr="001D3D26" w:rsidRDefault="00D14B95" w:rsidP="00DB18DA">
      <w:pPr>
        <w:pStyle w:val="NoSpacing"/>
        <w:spacing w:line="360" w:lineRule="auto"/>
        <w:rPr>
          <w:rFonts w:eastAsia="Times New Roman"/>
          <w:bCs/>
        </w:rPr>
      </w:pPr>
    </w:p>
    <w:p w14:paraId="5CD7DA9B" w14:textId="369A59EF" w:rsidR="00D14B95" w:rsidRDefault="00D14B95" w:rsidP="00DB18DA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 w:rsidRPr="001D3D26">
        <w:rPr>
          <w:rFonts w:ascii="Times New Roman" w:eastAsia="Times New Roman" w:hAnsi="Times New Roman"/>
          <w:bCs/>
        </w:rPr>
        <w:t xml:space="preserve">That the </w:t>
      </w:r>
      <w:r w:rsidRPr="001D3D26">
        <w:rPr>
          <w:rFonts w:ascii="Times New Roman" w:hAnsi="Times New Roman"/>
          <w:bCs/>
        </w:rPr>
        <w:t xml:space="preserve">Motion </w:t>
      </w:r>
      <w:r w:rsidR="00B010EE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 xml:space="preserve">o Stay of </w:t>
      </w:r>
      <w:r w:rsidRPr="001D3D26">
        <w:rPr>
          <w:rFonts w:ascii="Times New Roman" w:hAnsi="Times New Roman"/>
          <w:bCs/>
        </w:rPr>
        <w:t>Proceedings</w:t>
      </w:r>
      <w:r>
        <w:rPr>
          <w:rFonts w:ascii="Times New Roman" w:hAnsi="Times New Roman"/>
          <w:bCs/>
        </w:rPr>
        <w:t xml:space="preserve"> filed by Complainant</w:t>
      </w:r>
      <w:r w:rsidR="00093001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dated </w:t>
      </w:r>
      <w:r w:rsidR="00093001">
        <w:rPr>
          <w:rFonts w:ascii="Times New Roman" w:hAnsi="Times New Roman"/>
          <w:bCs/>
        </w:rPr>
        <w:t xml:space="preserve">March 10, 2020 </w:t>
      </w:r>
      <w:r w:rsidRPr="001D3D26">
        <w:rPr>
          <w:rFonts w:ascii="Times New Roman" w:eastAsia="Times New Roman" w:hAnsi="Times New Roman"/>
          <w:bCs/>
        </w:rPr>
        <w:t xml:space="preserve"> is DENIED.</w:t>
      </w:r>
      <w:r w:rsidR="00DB18DA">
        <w:rPr>
          <w:rFonts w:ascii="Times New Roman" w:eastAsia="Times New Roman" w:hAnsi="Times New Roman"/>
          <w:bCs/>
        </w:rPr>
        <w:br/>
      </w:r>
    </w:p>
    <w:p w14:paraId="03C44B7D" w14:textId="1658913A" w:rsidR="00093001" w:rsidRPr="001D3D26" w:rsidRDefault="00093001" w:rsidP="00DB18DA">
      <w:pPr>
        <w:pStyle w:val="ListParagraph"/>
        <w:numPr>
          <w:ilvl w:val="0"/>
          <w:numId w:val="1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The hearing in this matter will be heard as scheduled on August 27-28, 2020.</w:t>
      </w:r>
    </w:p>
    <w:p w14:paraId="5FEA6025" w14:textId="77777777" w:rsidR="00D14B95" w:rsidRPr="001D3D26" w:rsidRDefault="00D14B95" w:rsidP="00DB18DA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1440"/>
        <w:rPr>
          <w:rFonts w:ascii="Times New Roman" w:eastAsia="Times New Roman" w:hAnsi="Times New Roman"/>
          <w:bCs/>
        </w:rPr>
      </w:pPr>
    </w:p>
    <w:p w14:paraId="3D77649A" w14:textId="77777777" w:rsidR="00D14B95" w:rsidRPr="001D3D26" w:rsidRDefault="00D14B95" w:rsidP="00DB18DA">
      <w:pPr>
        <w:pStyle w:val="ListParagraph"/>
        <w:spacing w:line="360" w:lineRule="auto"/>
        <w:rPr>
          <w:rFonts w:ascii="Times New Roman" w:hAnsi="Times New Roman"/>
          <w:bCs/>
          <w:spacing w:val="-3"/>
        </w:rPr>
      </w:pPr>
    </w:p>
    <w:p w14:paraId="4E5100B4" w14:textId="74AFBB4B" w:rsidR="00D14B95" w:rsidRPr="0053753A" w:rsidRDefault="00D14B95" w:rsidP="00D14B9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1" w:name="_Hlk10727748"/>
      <w:bookmarkEnd w:id="0"/>
      <w:r w:rsidRPr="0053753A">
        <w:rPr>
          <w:rFonts w:ascii="Times New Roman" w:eastAsia="Times New Roman" w:hAnsi="Times New Roman"/>
          <w:sz w:val="24"/>
          <w:szCs w:val="24"/>
        </w:rPr>
        <w:t xml:space="preserve">Date:  </w:t>
      </w:r>
      <w:r w:rsidR="00093001" w:rsidRPr="00DB18DA">
        <w:rPr>
          <w:rFonts w:ascii="Times New Roman" w:eastAsia="Times New Roman" w:hAnsi="Times New Roman"/>
          <w:sz w:val="24"/>
          <w:szCs w:val="24"/>
          <w:u w:val="single"/>
        </w:rPr>
        <w:t>July 14, 2020</w:t>
      </w:r>
      <w:r w:rsidR="00093001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3753A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53753A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3753A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3753A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494CAC4" w14:textId="77777777" w:rsidR="00D14B95" w:rsidRPr="0053753A" w:rsidRDefault="00D14B95" w:rsidP="00D14B9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  <w:t>Jeffrey A. Watson</w:t>
      </w:r>
    </w:p>
    <w:p w14:paraId="2B337EB9" w14:textId="77777777" w:rsidR="00D14B95" w:rsidRPr="0053753A" w:rsidRDefault="00D14B95" w:rsidP="00D14B9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</w:r>
      <w:r w:rsidRPr="0053753A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bookmarkEnd w:id="1"/>
    <w:p w14:paraId="7191378D" w14:textId="77777777" w:rsidR="00D14B95" w:rsidRDefault="00D14B95" w:rsidP="00D14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overflowPunct w:val="0"/>
        <w:adjustRightInd w:val="0"/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B0D0CD6" w14:textId="77777777" w:rsidR="00D14B95" w:rsidRPr="001D3D26" w:rsidRDefault="00D14B95" w:rsidP="00D14B9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bCs/>
          <w:spacing w:val="-3"/>
          <w:sz w:val="24"/>
          <w:szCs w:val="24"/>
        </w:rPr>
      </w:pPr>
    </w:p>
    <w:p w14:paraId="28FABA34" w14:textId="77777777" w:rsidR="00571884" w:rsidRDefault="00571884">
      <w:pPr>
        <w:sectPr w:rsidR="00571884" w:rsidSect="00571884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5C62FB0" w14:textId="77777777" w:rsidR="00571884" w:rsidRPr="00571884" w:rsidRDefault="00571884" w:rsidP="00571884">
      <w:pPr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  <w:r w:rsidRPr="00571884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lastRenderedPageBreak/>
        <w:t>C-2018-3005818 - STEVE &amp; BETTY MAGILL v. WEST PENN POWER COMPANY</w:t>
      </w:r>
      <w:r w:rsidRPr="00571884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</w:p>
    <w:p w14:paraId="0F2041C4" w14:textId="77777777" w:rsidR="00571884" w:rsidRPr="00571884" w:rsidRDefault="00571884" w:rsidP="00571884">
      <w:pPr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</w:pPr>
      <w:r w:rsidRPr="00571884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t>STEVE MAGILL</w:t>
      </w:r>
    </w:p>
    <w:p w14:paraId="6387B2F9" w14:textId="77777777" w:rsidR="00571884" w:rsidRPr="00571884" w:rsidRDefault="00571884" w:rsidP="00571884">
      <w:pPr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t>BETTY MAGILL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  <w:t>265 SHOAF ROAD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  <w:t>SMITHFIELD PA  15478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571884">
        <w:rPr>
          <w:rFonts w:ascii="Microsoft Sans Serif" w:eastAsia="Microsoft Sans Serif" w:hAnsi="Microsoft Sans Serif" w:cs="Microsoft Sans Serif"/>
          <w:b/>
          <w:sz w:val="24"/>
          <w:szCs w:val="20"/>
        </w:rPr>
        <w:t>412.523.1148</w:t>
      </w:r>
    </w:p>
    <w:p w14:paraId="67E9F231" w14:textId="77777777" w:rsidR="00571884" w:rsidRPr="00571884" w:rsidRDefault="00571884" w:rsidP="00571884">
      <w:pPr>
        <w:rPr>
          <w:rFonts w:ascii="Microsoft Sans Serif" w:eastAsia="Microsoft Sans Serif" w:hAnsi="Microsoft Sans Serif" w:cs="Microsoft Sans Serif"/>
          <w:bCs/>
          <w:iCs/>
          <w:sz w:val="24"/>
          <w:szCs w:val="20"/>
        </w:rPr>
      </w:pPr>
      <w:r w:rsidRPr="00571884">
        <w:rPr>
          <w:rFonts w:ascii="Microsoft Sans Serif" w:eastAsia="Microsoft Sans Serif" w:hAnsi="Microsoft Sans Serif" w:cs="Microsoft Sans Serif"/>
          <w:b/>
          <w:sz w:val="24"/>
          <w:szCs w:val="20"/>
        </w:rPr>
        <w:t>724.564.9013</w:t>
      </w:r>
      <w:r w:rsidRPr="00571884">
        <w:rPr>
          <w:rFonts w:ascii="Microsoft Sans Serif" w:eastAsia="Microsoft Sans Serif" w:hAnsi="Microsoft Sans Serif" w:cs="Microsoft Sans Serif"/>
          <w:b/>
          <w:sz w:val="24"/>
          <w:szCs w:val="20"/>
        </w:rPr>
        <w:cr/>
      </w:r>
      <w:r w:rsidRPr="00571884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  <w:r w:rsidRPr="00571884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br/>
      </w:r>
    </w:p>
    <w:p w14:paraId="14FD25AF" w14:textId="77777777" w:rsidR="00571884" w:rsidRPr="00571884" w:rsidRDefault="00571884" w:rsidP="00571884">
      <w:pPr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  <w:t>LAUREN MARISSA LEPKOSKI ESQUIRE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  <w:t>TORI L GIESLER ESQUIRE</w:t>
      </w:r>
    </w:p>
    <w:p w14:paraId="4E9B62EB" w14:textId="77777777" w:rsidR="00571884" w:rsidRPr="00571884" w:rsidRDefault="00571884" w:rsidP="00571884">
      <w:pPr>
        <w:rPr>
          <w:rFonts w:ascii="Microsoft Sans Serif" w:eastAsia="Microsoft Sans Serif" w:hAnsi="Microsoft Sans Serif" w:cs="Microsoft Sans Serif"/>
          <w:b/>
          <w:sz w:val="24"/>
          <w:szCs w:val="20"/>
        </w:rPr>
      </w:pP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t>FIRSTENERGY SERVICE CO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571884">
        <w:rPr>
          <w:rFonts w:ascii="Microsoft Sans Serif" w:eastAsia="Microsoft Sans Serif" w:hAnsi="Microsoft Sans Serif" w:cs="Microsoft Sans Serif"/>
          <w:caps/>
          <w:sz w:val="24"/>
          <w:szCs w:val="20"/>
        </w:rPr>
        <w:t>2800 Pottsville Pike</w:t>
      </w:r>
      <w:r w:rsidRPr="00571884">
        <w:rPr>
          <w:rFonts w:ascii="Microsoft Sans Serif" w:eastAsia="Microsoft Sans Serif" w:hAnsi="Microsoft Sans Serif" w:cs="Microsoft Sans Serif"/>
          <w:caps/>
          <w:sz w:val="24"/>
          <w:szCs w:val="20"/>
        </w:rPr>
        <w:cr/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t>PO BOX 16001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  <w:t>READING PA  19612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571884">
        <w:rPr>
          <w:rFonts w:ascii="Microsoft Sans Serif" w:eastAsia="Microsoft Sans Serif" w:hAnsi="Microsoft Sans Serif" w:cs="Microsoft Sans Serif"/>
          <w:b/>
          <w:sz w:val="24"/>
          <w:szCs w:val="20"/>
        </w:rPr>
        <w:t>610.921.6203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571884">
        <w:rPr>
          <w:rFonts w:ascii="Microsoft Sans Serif" w:eastAsia="Microsoft Sans Serif" w:hAnsi="Microsoft Sans Serif" w:cs="Microsoft Sans Serif"/>
          <w:b/>
          <w:sz w:val="24"/>
          <w:szCs w:val="20"/>
        </w:rPr>
        <w:t>610.921.6658</w:t>
      </w:r>
    </w:p>
    <w:p w14:paraId="3A2EC1FD" w14:textId="77777777" w:rsidR="00571884" w:rsidRPr="00571884" w:rsidRDefault="00571884" w:rsidP="00571884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571884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  <w:r w:rsidRPr="00571884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571884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52940824" w14:textId="74602F12" w:rsidR="00DC28A6" w:rsidRDefault="00477D06"/>
    <w:sectPr w:rsidR="00DC28A6" w:rsidSect="0057188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F94B6" w14:textId="77777777" w:rsidR="00477D06" w:rsidRDefault="00477D06" w:rsidP="00D14B95">
      <w:r>
        <w:separator/>
      </w:r>
    </w:p>
  </w:endnote>
  <w:endnote w:type="continuationSeparator" w:id="0">
    <w:p w14:paraId="17F06952" w14:textId="77777777" w:rsidR="00477D06" w:rsidRDefault="00477D06" w:rsidP="00D1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562553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31DD7D" w14:textId="2DB63737" w:rsidR="00571884" w:rsidRPr="00571884" w:rsidRDefault="00571884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571884">
          <w:rPr>
            <w:rFonts w:ascii="Times New Roman" w:hAnsi="Times New Roman"/>
            <w:sz w:val="20"/>
            <w:szCs w:val="20"/>
          </w:rPr>
          <w:fldChar w:fldCharType="begin"/>
        </w:r>
        <w:r w:rsidRPr="00571884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571884">
          <w:rPr>
            <w:rFonts w:ascii="Times New Roman" w:hAnsi="Times New Roman"/>
            <w:sz w:val="20"/>
            <w:szCs w:val="20"/>
          </w:rPr>
          <w:fldChar w:fldCharType="separate"/>
        </w:r>
        <w:r w:rsidRPr="00571884">
          <w:rPr>
            <w:rFonts w:ascii="Times New Roman" w:hAnsi="Times New Roman"/>
            <w:noProof/>
            <w:sz w:val="20"/>
            <w:szCs w:val="20"/>
          </w:rPr>
          <w:t>2</w:t>
        </w:r>
        <w:r w:rsidRPr="00571884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2F659" w14:textId="77777777" w:rsidR="00477D06" w:rsidRDefault="00477D06" w:rsidP="00D14B95">
      <w:r>
        <w:separator/>
      </w:r>
    </w:p>
  </w:footnote>
  <w:footnote w:type="continuationSeparator" w:id="0">
    <w:p w14:paraId="149AB405" w14:textId="77777777" w:rsidR="00477D06" w:rsidRDefault="00477D06" w:rsidP="00D14B95">
      <w:r>
        <w:continuationSeparator/>
      </w:r>
    </w:p>
  </w:footnote>
  <w:footnote w:id="1">
    <w:p w14:paraId="6EB26E3E" w14:textId="77777777" w:rsidR="00D14B95" w:rsidRPr="001D3D26" w:rsidRDefault="00D14B95" w:rsidP="00D14B95">
      <w:pPr>
        <w:rPr>
          <w:rFonts w:ascii="Times New Roman" w:hAnsi="Times New Roman"/>
          <w:sz w:val="20"/>
          <w:szCs w:val="20"/>
        </w:rPr>
      </w:pPr>
      <w:r w:rsidRPr="001D3D2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D3D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1D3D26">
        <w:rPr>
          <w:rFonts w:ascii="Times New Roman" w:hAnsi="Times New Roman"/>
          <w:sz w:val="20"/>
          <w:szCs w:val="20"/>
        </w:rPr>
        <w:t xml:space="preserve">The Pennsylvania Supreme Court concluded that the standards set forth in </w:t>
      </w:r>
      <w:hyperlink r:id="rId1" w:history="1">
        <w:r w:rsidRPr="001D3D26">
          <w:rPr>
            <w:rFonts w:ascii="Times New Roman" w:hAnsi="Times New Roman"/>
            <w:i/>
            <w:iCs/>
            <w:sz w:val="20"/>
            <w:szCs w:val="20"/>
          </w:rPr>
          <w:t>Virginia Petroleum Jobbers Association v. Federal Power Commission</w:t>
        </w:r>
        <w:r w:rsidRPr="001D3D26">
          <w:rPr>
            <w:rFonts w:ascii="Times New Roman" w:hAnsi="Times New Roman"/>
            <w:iCs/>
            <w:sz w:val="20"/>
            <w:szCs w:val="20"/>
          </w:rPr>
          <w:t>,</w:t>
        </w:r>
        <w:r w:rsidRPr="001D3D26">
          <w:rPr>
            <w:rFonts w:ascii="Times New Roman" w:hAnsi="Times New Roman"/>
            <w:sz w:val="20"/>
            <w:szCs w:val="20"/>
          </w:rPr>
          <w:t xml:space="preserve"> 259 F.2d 921 (D.C. Cir. 1958)</w:t>
        </w:r>
      </w:hyperlink>
      <w:r w:rsidRPr="001D3D26">
        <w:rPr>
          <w:rFonts w:ascii="Times New Roman" w:hAnsi="Times New Roman"/>
          <w:sz w:val="20"/>
          <w:szCs w:val="20"/>
        </w:rPr>
        <w:t xml:space="preserve"> as refined by the holding of </w:t>
      </w:r>
      <w:hyperlink r:id="rId2" w:history="1">
        <w:r w:rsidRPr="001D3D26">
          <w:rPr>
            <w:rFonts w:ascii="Times New Roman" w:hAnsi="Times New Roman"/>
            <w:i/>
            <w:iCs/>
            <w:sz w:val="20"/>
            <w:szCs w:val="20"/>
          </w:rPr>
          <w:t>Washington Metropolitan Area Transit Commission v. Holiday Tours, Inc.</w:t>
        </w:r>
        <w:r w:rsidRPr="001D3D26">
          <w:rPr>
            <w:rFonts w:ascii="Times New Roman" w:hAnsi="Times New Roman"/>
            <w:iCs/>
            <w:sz w:val="20"/>
            <w:szCs w:val="20"/>
          </w:rPr>
          <w:t>,</w:t>
        </w:r>
        <w:r w:rsidRPr="001D3D26">
          <w:rPr>
            <w:rFonts w:ascii="Times New Roman" w:hAnsi="Times New Roman"/>
            <w:sz w:val="20"/>
            <w:szCs w:val="20"/>
          </w:rPr>
          <w:t xml:space="preserve"> 559 F.2d 841 (D.C. Cir. 1977)</w:t>
        </w:r>
      </w:hyperlink>
      <w:r w:rsidRPr="001D3D26">
        <w:rPr>
          <w:rFonts w:ascii="Times New Roman" w:hAnsi="Times New Roman"/>
          <w:sz w:val="20"/>
          <w:szCs w:val="20"/>
        </w:rPr>
        <w:t xml:space="preserve"> provide a rational basis for the issuance of a stay pending appeal and are the criteria to be followed by the courts of the Commonwealth.  502 Pa. at 554, 467 A.2d at 809; </w:t>
      </w:r>
      <w:r w:rsidRPr="001D3D26">
        <w:rPr>
          <w:rFonts w:ascii="Times New Roman" w:hAnsi="Times New Roman"/>
          <w:i/>
          <w:iCs/>
          <w:sz w:val="20"/>
          <w:szCs w:val="20"/>
        </w:rPr>
        <w:t>see also Re Petition of Small et al. for Stay Pending Appeal</w:t>
      </w:r>
      <w:r w:rsidRPr="001D3D26">
        <w:rPr>
          <w:rFonts w:ascii="Times New Roman" w:hAnsi="Times New Roman"/>
          <w:sz w:val="20"/>
          <w:szCs w:val="20"/>
        </w:rPr>
        <w:t xml:space="preserve">, Docket No. A-110550F055 (Order entered May 2, 1991).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B29F9"/>
    <w:multiLevelType w:val="hybridMultilevel"/>
    <w:tmpl w:val="59B4CA16"/>
    <w:lvl w:ilvl="0" w:tplc="3A3C73F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0D528D"/>
    <w:multiLevelType w:val="hybridMultilevel"/>
    <w:tmpl w:val="3C84F40C"/>
    <w:lvl w:ilvl="0" w:tplc="16C27F1A">
      <w:start w:val="1"/>
      <w:numFmt w:val="decimal"/>
      <w:lvlText w:val="%1."/>
      <w:lvlJc w:val="left"/>
      <w:pPr>
        <w:ind w:left="258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3300" w:hanging="360"/>
      </w:pPr>
    </w:lvl>
    <w:lvl w:ilvl="2" w:tplc="0409001B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95"/>
    <w:rsid w:val="00093001"/>
    <w:rsid w:val="00477D06"/>
    <w:rsid w:val="004F632C"/>
    <w:rsid w:val="00571884"/>
    <w:rsid w:val="006F3C2A"/>
    <w:rsid w:val="007B5C79"/>
    <w:rsid w:val="009B01C3"/>
    <w:rsid w:val="00A12B48"/>
    <w:rsid w:val="00B010EE"/>
    <w:rsid w:val="00BC4FBE"/>
    <w:rsid w:val="00D14B95"/>
    <w:rsid w:val="00DB18DA"/>
    <w:rsid w:val="00DC4B5F"/>
    <w:rsid w:val="00DE4DA5"/>
    <w:rsid w:val="00D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D2F6"/>
  <w15:chartTrackingRefBased/>
  <w15:docId w15:val="{ABBCA4BE-95AC-43C8-A2B2-9EACDBE9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9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B95"/>
    <w:pPr>
      <w:autoSpaceDE w:val="0"/>
      <w:autoSpaceDN w:val="0"/>
      <w:ind w:left="720"/>
    </w:pPr>
    <w:rPr>
      <w:rFonts w:ascii="CG Times" w:hAnsi="CG Times"/>
      <w:sz w:val="24"/>
      <w:szCs w:val="24"/>
    </w:rPr>
  </w:style>
  <w:style w:type="paragraph" w:styleId="NoSpacing">
    <w:name w:val="No Spacing"/>
    <w:uiPriority w:val="1"/>
    <w:qFormat/>
    <w:rsid w:val="00D14B9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4B95"/>
    <w:rPr>
      <w:strike w:val="0"/>
      <w:dstrike w:val="0"/>
      <w:color w:val="004B91"/>
      <w:u w:val="none"/>
      <w:effect w:val="none"/>
    </w:rPr>
  </w:style>
  <w:style w:type="character" w:styleId="FootnoteReference">
    <w:name w:val="footnote reference"/>
    <w:aliases w:val="o,fr"/>
    <w:unhideWhenUsed/>
    <w:rsid w:val="00D14B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71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88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1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88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next.westlaw.com/Link/Document/FullText?findType=Y&amp;serNum=1983153879&amp;pubNum=0000162&amp;originatingDoc=I248dc106804c11e9bc5d825c4b9add2e&amp;refType=RP&amp;fi=co_pp_sp_162_808&amp;originationContext=document&amp;transitionType=DocumentItem&amp;contextData=(sc.Keycit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.next.westlaw.com/Link/Document/FullText?findType=Y&amp;serNum=1983153879&amp;pubNum=0000162&amp;originatingDoc=I248dc106804c11e9bc5d825c4b9add2e&amp;refType=RP&amp;originationContext=document&amp;transitionType=DocumentItem&amp;contextData=(sc.Keycit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1.next.westlaw.com/Link/Document/FullText?findType=Y&amp;serNum=1977123214&amp;pubNum=350&amp;originatingDoc=I83caf48234c811d986b0aa9c82c164c0&amp;refType=RP&amp;originationContext=document&amp;transitionType=DocumentItem&amp;contextData=(sc.DocLink)" TargetMode="External"/><Relationship Id="rId1" Type="http://schemas.openxmlformats.org/officeDocument/2006/relationships/hyperlink" Target="https://1.next.westlaw.com/Link/Document/FullText?findType=Y&amp;serNum=1958105365&amp;pubNum=350&amp;originatingDoc=I83caf48234c811d986b0aa9c82c164c0&amp;refType=RP&amp;originationContext=document&amp;transitionType=DocumentItem&amp;contextData=(sc.DocLin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dcterms:created xsi:type="dcterms:W3CDTF">2020-07-14T17:22:00Z</dcterms:created>
  <dcterms:modified xsi:type="dcterms:W3CDTF">2020-07-14T17:24:00Z</dcterms:modified>
</cp:coreProperties>
</file>