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3F76A" w14:textId="77777777" w:rsidR="00C322F0" w:rsidRPr="00E248A5" w:rsidRDefault="00C322F0" w:rsidP="00721B82">
      <w:pPr>
        <w:pStyle w:val="Title"/>
      </w:pPr>
      <w:r w:rsidRPr="00E248A5">
        <w:t>PENNSYLVANIA</w:t>
      </w:r>
    </w:p>
    <w:p w14:paraId="43F781D6" w14:textId="77777777" w:rsidR="00C322F0" w:rsidRPr="00E248A5" w:rsidRDefault="00C322F0" w:rsidP="00C322F0">
      <w:pPr>
        <w:tabs>
          <w:tab w:val="center" w:pos="4680"/>
        </w:tabs>
        <w:spacing w:after="0" w:line="240" w:lineRule="auto"/>
        <w:jc w:val="center"/>
        <w:rPr>
          <w:rFonts w:ascii="Times New Roman" w:eastAsia="Times New Roman" w:hAnsi="Times New Roman" w:cs="Times New Roman"/>
          <w:sz w:val="26"/>
          <w:szCs w:val="26"/>
        </w:rPr>
      </w:pPr>
      <w:r w:rsidRPr="00E248A5">
        <w:rPr>
          <w:rFonts w:ascii="Times New Roman" w:eastAsia="Times New Roman" w:hAnsi="Times New Roman" w:cs="Times New Roman"/>
          <w:b/>
          <w:sz w:val="26"/>
          <w:szCs w:val="26"/>
        </w:rPr>
        <w:t>PUBLIC UTILITY COMMISSION</w:t>
      </w:r>
    </w:p>
    <w:p w14:paraId="093CD0E7" w14:textId="77777777" w:rsidR="00C322F0" w:rsidRPr="00E248A5" w:rsidRDefault="00C322F0" w:rsidP="00C322F0">
      <w:pPr>
        <w:tabs>
          <w:tab w:val="center" w:pos="4680"/>
        </w:tabs>
        <w:spacing w:after="0" w:line="240" w:lineRule="auto"/>
        <w:jc w:val="center"/>
        <w:rPr>
          <w:rFonts w:ascii="Times New Roman" w:eastAsia="Times New Roman" w:hAnsi="Times New Roman" w:cs="Times New Roman"/>
          <w:sz w:val="26"/>
          <w:szCs w:val="26"/>
        </w:rPr>
      </w:pPr>
      <w:r w:rsidRPr="00E248A5">
        <w:rPr>
          <w:rFonts w:ascii="Times New Roman" w:eastAsia="Times New Roman" w:hAnsi="Times New Roman" w:cs="Times New Roman"/>
          <w:b/>
          <w:sz w:val="26"/>
          <w:szCs w:val="26"/>
        </w:rPr>
        <w:t xml:space="preserve">Harrisburg, PA </w:t>
      </w:r>
      <w:r w:rsidR="00CA348C">
        <w:rPr>
          <w:rFonts w:ascii="Times New Roman" w:eastAsia="Times New Roman" w:hAnsi="Times New Roman" w:cs="Times New Roman"/>
          <w:b/>
          <w:sz w:val="26"/>
          <w:szCs w:val="26"/>
        </w:rPr>
        <w:t>17120</w:t>
      </w:r>
    </w:p>
    <w:p w14:paraId="7D26DF71" w14:textId="735BD65A" w:rsidR="00C322F0" w:rsidRDefault="00C322F0" w:rsidP="00C322F0">
      <w:pPr>
        <w:spacing w:after="0" w:line="240" w:lineRule="auto"/>
        <w:rPr>
          <w:rFonts w:ascii="Times New Roman" w:eastAsia="Times New Roman" w:hAnsi="Times New Roman" w:cs="Times New Roman"/>
          <w:sz w:val="26"/>
          <w:szCs w:val="26"/>
        </w:rPr>
      </w:pPr>
    </w:p>
    <w:p w14:paraId="253B32E2" w14:textId="77777777" w:rsidR="00392FFD" w:rsidRPr="00E248A5" w:rsidRDefault="00392FFD" w:rsidP="00C322F0">
      <w:pPr>
        <w:spacing w:after="0" w:line="240" w:lineRule="auto"/>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C322F0" w:rsidRPr="00E248A5" w14:paraId="5485654D" w14:textId="77777777" w:rsidTr="00875DAC">
        <w:tc>
          <w:tcPr>
            <w:tcW w:w="4821" w:type="dxa"/>
          </w:tcPr>
          <w:p w14:paraId="5756F4BA" w14:textId="77777777" w:rsidR="00C322F0" w:rsidRPr="00E248A5" w:rsidRDefault="00C322F0" w:rsidP="00C322F0">
            <w:pPr>
              <w:rPr>
                <w:rFonts w:ascii="Times New Roman" w:eastAsia="Times New Roman" w:hAnsi="Times New Roman" w:cs="Times New Roman"/>
                <w:sz w:val="26"/>
                <w:szCs w:val="26"/>
              </w:rPr>
            </w:pPr>
          </w:p>
        </w:tc>
        <w:tc>
          <w:tcPr>
            <w:tcW w:w="4539" w:type="dxa"/>
          </w:tcPr>
          <w:p w14:paraId="3DF75505" w14:textId="2CAF2BF5" w:rsidR="00C322F0" w:rsidRPr="00E248A5" w:rsidRDefault="00C322F0" w:rsidP="00C322F0">
            <w:pPr>
              <w:jc w:val="right"/>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Public Meeting held </w:t>
            </w:r>
            <w:r w:rsidR="008463E3">
              <w:rPr>
                <w:rFonts w:ascii="Times New Roman" w:eastAsia="Times New Roman" w:hAnsi="Times New Roman" w:cs="Times New Roman"/>
                <w:sz w:val="26"/>
                <w:szCs w:val="26"/>
              </w:rPr>
              <w:t xml:space="preserve">August </w:t>
            </w:r>
            <w:r w:rsidR="006E1C7E">
              <w:rPr>
                <w:rFonts w:ascii="Times New Roman" w:eastAsia="Times New Roman" w:hAnsi="Times New Roman" w:cs="Times New Roman"/>
                <w:sz w:val="26"/>
                <w:szCs w:val="26"/>
              </w:rPr>
              <w:t>6</w:t>
            </w:r>
            <w:r w:rsidR="008463E3">
              <w:rPr>
                <w:rFonts w:ascii="Times New Roman" w:eastAsia="Times New Roman" w:hAnsi="Times New Roman" w:cs="Times New Roman"/>
                <w:sz w:val="26"/>
                <w:szCs w:val="26"/>
              </w:rPr>
              <w:t>, 2020</w:t>
            </w:r>
          </w:p>
        </w:tc>
      </w:tr>
      <w:tr w:rsidR="00C322F0" w:rsidRPr="00E248A5" w14:paraId="70AC64E1" w14:textId="77777777" w:rsidTr="002D6ED4">
        <w:trPr>
          <w:trHeight w:val="2547"/>
        </w:trPr>
        <w:tc>
          <w:tcPr>
            <w:tcW w:w="9360" w:type="dxa"/>
            <w:gridSpan w:val="2"/>
          </w:tcPr>
          <w:p w14:paraId="1C8C1590" w14:textId="77777777" w:rsidR="00C322F0" w:rsidRPr="00E248A5" w:rsidRDefault="00C322F0" w:rsidP="00C322F0">
            <w:pPr>
              <w:rPr>
                <w:rFonts w:ascii="Times New Roman" w:eastAsia="Times New Roman" w:hAnsi="Times New Roman" w:cs="Times New Roman"/>
                <w:sz w:val="26"/>
                <w:szCs w:val="26"/>
              </w:rPr>
            </w:pPr>
          </w:p>
          <w:p w14:paraId="23FD5729" w14:textId="77777777" w:rsidR="00392FFD" w:rsidRDefault="00392FFD" w:rsidP="00C322F0">
            <w:pPr>
              <w:rPr>
                <w:rFonts w:ascii="Times New Roman" w:eastAsia="Times New Roman" w:hAnsi="Times New Roman" w:cs="Times New Roman"/>
                <w:sz w:val="26"/>
                <w:szCs w:val="26"/>
              </w:rPr>
            </w:pPr>
          </w:p>
          <w:p w14:paraId="4523FFF1" w14:textId="6B1BC910" w:rsidR="00C322F0" w:rsidRPr="00E248A5" w:rsidRDefault="00C322F0" w:rsidP="00C322F0">
            <w:pPr>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Commissioners Present:</w:t>
            </w:r>
          </w:p>
          <w:p w14:paraId="111E9719" w14:textId="77777777" w:rsidR="00C322F0" w:rsidRPr="00E248A5" w:rsidRDefault="00C322F0" w:rsidP="00C322F0">
            <w:pPr>
              <w:rPr>
                <w:rFonts w:ascii="Times New Roman" w:eastAsia="Times New Roman" w:hAnsi="Times New Roman" w:cs="Times New Roman"/>
                <w:sz w:val="26"/>
                <w:szCs w:val="26"/>
              </w:rPr>
            </w:pPr>
          </w:p>
          <w:p w14:paraId="5D9745B0" w14:textId="77777777" w:rsidR="00A16920" w:rsidRPr="00E248A5" w:rsidRDefault="00A16920" w:rsidP="00A16920">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Gladys Brown</w:t>
            </w:r>
            <w:r w:rsidR="00CA348C">
              <w:rPr>
                <w:rFonts w:ascii="Times New Roman" w:hAnsi="Times New Roman" w:cs="Times New Roman"/>
                <w:sz w:val="26"/>
                <w:szCs w:val="26"/>
              </w:rPr>
              <w:t xml:space="preserve"> </w:t>
            </w:r>
            <w:proofErr w:type="spellStart"/>
            <w:r w:rsidR="00CA348C">
              <w:rPr>
                <w:rFonts w:ascii="Times New Roman" w:hAnsi="Times New Roman" w:cs="Times New Roman"/>
                <w:sz w:val="26"/>
                <w:szCs w:val="26"/>
              </w:rPr>
              <w:t>Dutrieuille</w:t>
            </w:r>
            <w:proofErr w:type="spellEnd"/>
            <w:r w:rsidRPr="00E248A5">
              <w:rPr>
                <w:rFonts w:ascii="Times New Roman" w:hAnsi="Times New Roman" w:cs="Times New Roman"/>
                <w:sz w:val="26"/>
                <w:szCs w:val="26"/>
              </w:rPr>
              <w:t>, Chairman</w:t>
            </w:r>
          </w:p>
          <w:p w14:paraId="0F596634" w14:textId="77777777" w:rsidR="00A16920" w:rsidRPr="00E248A5" w:rsidRDefault="00A16920" w:rsidP="00A16920">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David W. Sweet, Vice Chairman</w:t>
            </w:r>
          </w:p>
          <w:p w14:paraId="2549921B" w14:textId="77777777" w:rsidR="00C322F0" w:rsidRDefault="00A16920" w:rsidP="000956BA">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John F. Coleman, Jr.</w:t>
            </w:r>
          </w:p>
          <w:p w14:paraId="1276D3C7" w14:textId="77777777" w:rsidR="00CA348C" w:rsidRPr="00E248A5" w:rsidRDefault="00CA348C" w:rsidP="000956BA">
            <w:pPr>
              <w:tabs>
                <w:tab w:val="left" w:pos="-720"/>
              </w:tabs>
              <w:ind w:left="720"/>
              <w:rPr>
                <w:rFonts w:ascii="Times New Roman" w:hAnsi="Times New Roman" w:cs="Times New Roman"/>
                <w:sz w:val="26"/>
                <w:szCs w:val="26"/>
              </w:rPr>
            </w:pPr>
            <w:r>
              <w:rPr>
                <w:rFonts w:ascii="Times New Roman" w:hAnsi="Times New Roman" w:cs="Times New Roman"/>
                <w:sz w:val="26"/>
                <w:szCs w:val="26"/>
              </w:rPr>
              <w:t xml:space="preserve">Ralph V. </w:t>
            </w:r>
            <w:proofErr w:type="spellStart"/>
            <w:r>
              <w:rPr>
                <w:rFonts w:ascii="Times New Roman" w:hAnsi="Times New Roman" w:cs="Times New Roman"/>
                <w:sz w:val="26"/>
                <w:szCs w:val="26"/>
              </w:rPr>
              <w:t>Yanora</w:t>
            </w:r>
            <w:proofErr w:type="spellEnd"/>
          </w:p>
          <w:p w14:paraId="73A73515" w14:textId="77777777" w:rsidR="00A16920" w:rsidRPr="00E248A5" w:rsidRDefault="00A16920" w:rsidP="00A16920">
            <w:pPr>
              <w:rPr>
                <w:rFonts w:ascii="Times New Roman" w:eastAsia="Times New Roman" w:hAnsi="Times New Roman" w:cs="Times New Roman"/>
                <w:sz w:val="26"/>
                <w:szCs w:val="26"/>
              </w:rPr>
            </w:pPr>
          </w:p>
        </w:tc>
      </w:tr>
      <w:tr w:rsidR="00C322F0" w:rsidRPr="00E248A5" w14:paraId="37CAB975" w14:textId="77777777" w:rsidTr="00875DAC">
        <w:tc>
          <w:tcPr>
            <w:tcW w:w="4821" w:type="dxa"/>
          </w:tcPr>
          <w:p w14:paraId="20A70E7E" w14:textId="77777777" w:rsidR="00C322F0" w:rsidRPr="00E248A5" w:rsidRDefault="00C322F0" w:rsidP="00C322F0">
            <w:pPr>
              <w:rPr>
                <w:rFonts w:ascii="Times New Roman" w:eastAsia="Times New Roman" w:hAnsi="Times New Roman" w:cs="Times New Roman"/>
                <w:sz w:val="26"/>
                <w:szCs w:val="26"/>
              </w:rPr>
            </w:pPr>
          </w:p>
          <w:p w14:paraId="43E3A9E7" w14:textId="77777777" w:rsidR="00C322F0" w:rsidRPr="00E248A5" w:rsidRDefault="00CA348C" w:rsidP="00C322F0">
            <w:pPr>
              <w:rPr>
                <w:rFonts w:ascii="Times New Roman" w:eastAsia="Times New Roman" w:hAnsi="Times New Roman" w:cs="Times New Roman"/>
                <w:sz w:val="26"/>
                <w:szCs w:val="26"/>
              </w:rPr>
            </w:pPr>
            <w:bookmarkStart w:id="0" w:name="_Hlk23760095"/>
            <w:r>
              <w:rPr>
                <w:rFonts w:ascii="Times New Roman" w:eastAsia="Times New Roman" w:hAnsi="Times New Roman" w:cs="Times New Roman"/>
                <w:sz w:val="26"/>
                <w:szCs w:val="26"/>
              </w:rPr>
              <w:t xml:space="preserve">Judith </w:t>
            </w:r>
            <w:proofErr w:type="spellStart"/>
            <w:r>
              <w:rPr>
                <w:rFonts w:ascii="Times New Roman" w:eastAsia="Times New Roman" w:hAnsi="Times New Roman" w:cs="Times New Roman"/>
                <w:sz w:val="26"/>
                <w:szCs w:val="26"/>
              </w:rPr>
              <w:t>Benvenger</w:t>
            </w:r>
            <w:proofErr w:type="spellEnd"/>
          </w:p>
          <w:bookmarkEnd w:id="0"/>
          <w:p w14:paraId="0FF9CA41" w14:textId="77777777" w:rsidR="00C322F0" w:rsidRPr="00E248A5" w:rsidRDefault="00C322F0" w:rsidP="00C322F0">
            <w:pPr>
              <w:rPr>
                <w:rFonts w:ascii="Times New Roman" w:eastAsia="Times New Roman" w:hAnsi="Times New Roman" w:cs="Times New Roman"/>
                <w:sz w:val="26"/>
                <w:szCs w:val="26"/>
              </w:rPr>
            </w:pPr>
          </w:p>
        </w:tc>
        <w:tc>
          <w:tcPr>
            <w:tcW w:w="4539" w:type="dxa"/>
          </w:tcPr>
          <w:p w14:paraId="7CD0D017" w14:textId="77777777" w:rsidR="00C322F0" w:rsidRPr="00E248A5" w:rsidRDefault="00C322F0" w:rsidP="00C322F0">
            <w:pPr>
              <w:rPr>
                <w:rFonts w:ascii="Times New Roman" w:eastAsia="Times New Roman" w:hAnsi="Times New Roman" w:cs="Times New Roman"/>
                <w:sz w:val="26"/>
                <w:szCs w:val="26"/>
              </w:rPr>
            </w:pPr>
          </w:p>
          <w:p w14:paraId="71CBF033" w14:textId="77777777" w:rsidR="00C322F0" w:rsidRPr="00E248A5" w:rsidRDefault="00CA348C" w:rsidP="00C322F0">
            <w:pPr>
              <w:jc w:val="right"/>
              <w:rPr>
                <w:rFonts w:ascii="Times New Roman" w:eastAsia="Times New Roman" w:hAnsi="Times New Roman" w:cs="Times New Roman"/>
                <w:sz w:val="26"/>
                <w:szCs w:val="26"/>
              </w:rPr>
            </w:pPr>
            <w:r w:rsidRPr="00040687">
              <w:rPr>
                <w:rFonts w:ascii="Times New Roman" w:eastAsia="Times New Roman" w:hAnsi="Times New Roman" w:cs="Times New Roman"/>
                <w:color w:val="000000"/>
                <w:sz w:val="26"/>
                <w:szCs w:val="26"/>
              </w:rPr>
              <w:t>C-2018-3005286</w:t>
            </w:r>
          </w:p>
        </w:tc>
      </w:tr>
      <w:tr w:rsidR="00C322F0" w:rsidRPr="00E248A5" w14:paraId="5C030E12" w14:textId="77777777" w:rsidTr="00875DAC">
        <w:tc>
          <w:tcPr>
            <w:tcW w:w="4821" w:type="dxa"/>
          </w:tcPr>
          <w:p w14:paraId="77398AC0" w14:textId="77777777" w:rsidR="00C322F0" w:rsidRPr="00E248A5" w:rsidRDefault="00C322F0" w:rsidP="00C322F0">
            <w:pPr>
              <w:ind w:firstLine="720"/>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v.</w:t>
            </w:r>
          </w:p>
          <w:p w14:paraId="758CF25D" w14:textId="77777777" w:rsidR="00C322F0" w:rsidRPr="00E248A5" w:rsidRDefault="00C322F0" w:rsidP="00C322F0">
            <w:pPr>
              <w:ind w:firstLine="1440"/>
              <w:rPr>
                <w:rFonts w:ascii="Times New Roman" w:eastAsia="Times New Roman" w:hAnsi="Times New Roman" w:cs="Times New Roman"/>
                <w:sz w:val="26"/>
                <w:szCs w:val="26"/>
              </w:rPr>
            </w:pPr>
          </w:p>
        </w:tc>
        <w:tc>
          <w:tcPr>
            <w:tcW w:w="4539" w:type="dxa"/>
          </w:tcPr>
          <w:p w14:paraId="3B3ADB7D" w14:textId="77777777" w:rsidR="00C322F0" w:rsidRPr="00E248A5" w:rsidRDefault="00C322F0" w:rsidP="00C322F0">
            <w:pPr>
              <w:rPr>
                <w:rFonts w:ascii="Times New Roman" w:eastAsia="Times New Roman" w:hAnsi="Times New Roman" w:cs="Times New Roman"/>
                <w:sz w:val="26"/>
                <w:szCs w:val="26"/>
              </w:rPr>
            </w:pPr>
          </w:p>
        </w:tc>
      </w:tr>
      <w:tr w:rsidR="00C322F0" w:rsidRPr="00E248A5" w14:paraId="0084819A" w14:textId="77777777" w:rsidTr="00875DAC">
        <w:tc>
          <w:tcPr>
            <w:tcW w:w="4821" w:type="dxa"/>
          </w:tcPr>
          <w:p w14:paraId="7C3FA333" w14:textId="77777777" w:rsidR="00C322F0" w:rsidRPr="00E248A5" w:rsidRDefault="003763E2" w:rsidP="00C322F0">
            <w:pPr>
              <w:rPr>
                <w:rFonts w:ascii="Times New Roman" w:eastAsia="Times New Roman" w:hAnsi="Times New Roman" w:cs="Times New Roman"/>
                <w:sz w:val="26"/>
                <w:szCs w:val="26"/>
              </w:rPr>
            </w:pPr>
            <w:bookmarkStart w:id="1" w:name="_Hlk1649619"/>
            <w:r>
              <w:rPr>
                <w:rFonts w:ascii="Times New Roman" w:eastAsia="Times New Roman" w:hAnsi="Times New Roman" w:cs="Times New Roman"/>
                <w:sz w:val="26"/>
                <w:szCs w:val="26"/>
              </w:rPr>
              <w:t>PECO Energy Company</w:t>
            </w:r>
          </w:p>
          <w:bookmarkEnd w:id="1"/>
          <w:p w14:paraId="3064D37D" w14:textId="77777777" w:rsidR="00C322F0" w:rsidRPr="00E248A5" w:rsidRDefault="00C322F0" w:rsidP="00C322F0">
            <w:pPr>
              <w:rPr>
                <w:rFonts w:ascii="Times New Roman" w:eastAsia="Times New Roman" w:hAnsi="Times New Roman" w:cs="Times New Roman"/>
                <w:sz w:val="26"/>
                <w:szCs w:val="26"/>
              </w:rPr>
            </w:pPr>
          </w:p>
        </w:tc>
        <w:tc>
          <w:tcPr>
            <w:tcW w:w="4539" w:type="dxa"/>
          </w:tcPr>
          <w:p w14:paraId="271234E8" w14:textId="77777777" w:rsidR="00C322F0" w:rsidRPr="00E248A5" w:rsidRDefault="00C322F0" w:rsidP="00C322F0">
            <w:pPr>
              <w:rPr>
                <w:rFonts w:ascii="Times New Roman" w:eastAsia="Times New Roman" w:hAnsi="Times New Roman" w:cs="Times New Roman"/>
                <w:sz w:val="26"/>
                <w:szCs w:val="26"/>
              </w:rPr>
            </w:pPr>
          </w:p>
        </w:tc>
      </w:tr>
    </w:tbl>
    <w:p w14:paraId="3E23B4FB" w14:textId="77777777" w:rsidR="00C322F0" w:rsidRPr="00E248A5" w:rsidRDefault="00C322F0" w:rsidP="00C322F0">
      <w:pPr>
        <w:spacing w:after="0" w:line="240" w:lineRule="auto"/>
        <w:rPr>
          <w:rFonts w:ascii="Times New Roman" w:eastAsia="Times New Roman" w:hAnsi="Times New Roman" w:cs="Times New Roman"/>
          <w:sz w:val="26"/>
          <w:szCs w:val="26"/>
        </w:rPr>
      </w:pPr>
    </w:p>
    <w:p w14:paraId="7AE2D852" w14:textId="77777777" w:rsidR="00C322F0" w:rsidRPr="00CB2064" w:rsidRDefault="002D6ED4" w:rsidP="00CB2064">
      <w:pPr>
        <w:spacing w:after="0" w:line="360" w:lineRule="auto"/>
        <w:jc w:val="center"/>
        <w:rPr>
          <w:rFonts w:ascii="Times New Roman" w:eastAsia="Times New Roman" w:hAnsi="Times New Roman" w:cs="Times New Roman"/>
          <w:b/>
          <w:color w:val="000000" w:themeColor="text1"/>
          <w:sz w:val="26"/>
          <w:szCs w:val="26"/>
        </w:rPr>
      </w:pPr>
      <w:r w:rsidRPr="00CB2064">
        <w:rPr>
          <w:rFonts w:ascii="Times New Roman" w:eastAsia="Times New Roman" w:hAnsi="Times New Roman" w:cs="Times New Roman"/>
          <w:b/>
          <w:color w:val="000000" w:themeColor="text1"/>
          <w:sz w:val="26"/>
          <w:szCs w:val="26"/>
        </w:rPr>
        <w:t>O</w:t>
      </w:r>
      <w:r w:rsidR="00C322F0" w:rsidRPr="00CB2064">
        <w:rPr>
          <w:rFonts w:ascii="Times New Roman" w:eastAsia="Times New Roman" w:hAnsi="Times New Roman" w:cs="Times New Roman"/>
          <w:b/>
          <w:color w:val="000000" w:themeColor="text1"/>
          <w:sz w:val="26"/>
          <w:szCs w:val="26"/>
        </w:rPr>
        <w:t>PINION AND ORDER</w:t>
      </w:r>
    </w:p>
    <w:p w14:paraId="6B91CB81" w14:textId="77777777" w:rsidR="002D6ED4" w:rsidRPr="00CB2064" w:rsidRDefault="002D6ED4" w:rsidP="00CB2064">
      <w:pPr>
        <w:spacing w:after="0" w:line="360" w:lineRule="auto"/>
        <w:rPr>
          <w:rFonts w:ascii="Times New Roman" w:eastAsia="Times New Roman" w:hAnsi="Times New Roman" w:cs="Times New Roman"/>
          <w:b/>
          <w:color w:val="000000" w:themeColor="text1"/>
          <w:sz w:val="26"/>
          <w:szCs w:val="26"/>
        </w:rPr>
      </w:pPr>
    </w:p>
    <w:p w14:paraId="53390EAB" w14:textId="77777777" w:rsidR="00C322F0" w:rsidRPr="00CB2064" w:rsidRDefault="00C322F0" w:rsidP="00CB2064">
      <w:pPr>
        <w:spacing w:after="0" w:line="360" w:lineRule="auto"/>
        <w:rPr>
          <w:rFonts w:ascii="Times New Roman" w:eastAsia="Times New Roman" w:hAnsi="Times New Roman" w:cs="Times New Roman"/>
          <w:b/>
          <w:color w:val="000000" w:themeColor="text1"/>
          <w:sz w:val="26"/>
          <w:szCs w:val="26"/>
        </w:rPr>
      </w:pPr>
      <w:r w:rsidRPr="00CB2064">
        <w:rPr>
          <w:rFonts w:ascii="Times New Roman" w:eastAsia="Times New Roman" w:hAnsi="Times New Roman" w:cs="Times New Roman"/>
          <w:b/>
          <w:color w:val="000000" w:themeColor="text1"/>
          <w:sz w:val="26"/>
          <w:szCs w:val="26"/>
        </w:rPr>
        <w:t>BY THE COMMISSION:</w:t>
      </w:r>
    </w:p>
    <w:p w14:paraId="4EF4AB3C" w14:textId="77777777" w:rsidR="00C322F0" w:rsidRPr="00CB2064" w:rsidRDefault="00C322F0" w:rsidP="00CB2064">
      <w:pPr>
        <w:spacing w:after="0" w:line="360" w:lineRule="auto"/>
        <w:rPr>
          <w:rFonts w:ascii="Times New Roman" w:eastAsia="Times New Roman" w:hAnsi="Times New Roman" w:cs="Times New Roman"/>
          <w:b/>
          <w:color w:val="000000" w:themeColor="text1"/>
          <w:sz w:val="26"/>
          <w:szCs w:val="26"/>
        </w:rPr>
      </w:pPr>
    </w:p>
    <w:p w14:paraId="1B59F2F8" w14:textId="4AB640BE" w:rsidR="00C322F0" w:rsidRPr="00CB2064" w:rsidRDefault="001E7C48" w:rsidP="00756D35">
      <w:pPr>
        <w:spacing w:after="0" w:line="360" w:lineRule="auto"/>
        <w:ind w:firstLine="1440"/>
        <w:rPr>
          <w:rFonts w:ascii="Times New Roman" w:eastAsia="Times New Roman" w:hAnsi="Times New Roman" w:cs="Times New Roman"/>
          <w:color w:val="000000" w:themeColor="text1"/>
          <w:sz w:val="26"/>
          <w:szCs w:val="26"/>
        </w:rPr>
      </w:pPr>
      <w:r w:rsidRPr="00CB2064">
        <w:rPr>
          <w:rFonts w:ascii="Times New Roman" w:hAnsi="Times New Roman" w:cs="Times New Roman"/>
          <w:color w:val="000000" w:themeColor="text1"/>
          <w:sz w:val="26"/>
          <w:szCs w:val="26"/>
        </w:rPr>
        <w:t xml:space="preserve">Before the Pennsylvania Public Utility Commission (Commission) for consideration and disposition </w:t>
      </w:r>
      <w:r w:rsidR="008463E3">
        <w:rPr>
          <w:rFonts w:ascii="Times New Roman" w:hAnsi="Times New Roman" w:cs="Times New Roman"/>
          <w:color w:val="000000" w:themeColor="text1"/>
          <w:sz w:val="26"/>
          <w:szCs w:val="26"/>
        </w:rPr>
        <w:t>is the Petition for Reconsideration (Peti</w:t>
      </w:r>
      <w:r w:rsidR="002B5336">
        <w:rPr>
          <w:rFonts w:ascii="Times New Roman" w:hAnsi="Times New Roman" w:cs="Times New Roman"/>
          <w:color w:val="000000" w:themeColor="text1"/>
          <w:sz w:val="26"/>
          <w:szCs w:val="26"/>
        </w:rPr>
        <w:t>tion)</w:t>
      </w:r>
      <w:r w:rsidRPr="00CB2064">
        <w:rPr>
          <w:rFonts w:ascii="Times New Roman" w:hAnsi="Times New Roman" w:cs="Times New Roman"/>
          <w:color w:val="000000" w:themeColor="text1"/>
          <w:sz w:val="26"/>
          <w:szCs w:val="26"/>
        </w:rPr>
        <w:t xml:space="preserve"> of </w:t>
      </w:r>
      <w:r w:rsidR="00CA348C" w:rsidRPr="00CB2064">
        <w:rPr>
          <w:rFonts w:ascii="Times New Roman" w:hAnsi="Times New Roman" w:cs="Times New Roman"/>
          <w:color w:val="000000" w:themeColor="text1"/>
          <w:sz w:val="26"/>
          <w:szCs w:val="26"/>
        </w:rPr>
        <w:t xml:space="preserve">Judith </w:t>
      </w:r>
      <w:proofErr w:type="spellStart"/>
      <w:r w:rsidR="00CA348C" w:rsidRPr="00CB2064">
        <w:rPr>
          <w:rFonts w:ascii="Times New Roman" w:hAnsi="Times New Roman" w:cs="Times New Roman"/>
          <w:color w:val="000000" w:themeColor="text1"/>
          <w:sz w:val="26"/>
          <w:szCs w:val="26"/>
        </w:rPr>
        <w:t>Benvenger</w:t>
      </w:r>
      <w:proofErr w:type="spellEnd"/>
      <w:r w:rsidRPr="00CB2064">
        <w:rPr>
          <w:rFonts w:ascii="Times New Roman" w:hAnsi="Times New Roman" w:cs="Times New Roman"/>
          <w:color w:val="000000" w:themeColor="text1"/>
          <w:sz w:val="26"/>
          <w:szCs w:val="26"/>
        </w:rPr>
        <w:t xml:space="preserve"> (</w:t>
      </w:r>
      <w:r w:rsidR="002B5336">
        <w:rPr>
          <w:rFonts w:ascii="Times New Roman" w:hAnsi="Times New Roman" w:cs="Times New Roman"/>
          <w:color w:val="000000" w:themeColor="text1"/>
          <w:sz w:val="26"/>
          <w:szCs w:val="26"/>
        </w:rPr>
        <w:t xml:space="preserve">Petitioner </w:t>
      </w:r>
      <w:r w:rsidRPr="00CB2064">
        <w:rPr>
          <w:rFonts w:ascii="Times New Roman" w:hAnsi="Times New Roman" w:cs="Times New Roman"/>
          <w:color w:val="000000" w:themeColor="text1"/>
          <w:sz w:val="26"/>
          <w:szCs w:val="26"/>
        </w:rPr>
        <w:t>or M</w:t>
      </w:r>
      <w:r w:rsidR="00CA348C" w:rsidRPr="00CB2064">
        <w:rPr>
          <w:rFonts w:ascii="Times New Roman" w:hAnsi="Times New Roman" w:cs="Times New Roman"/>
          <w:color w:val="000000" w:themeColor="text1"/>
          <w:sz w:val="26"/>
          <w:szCs w:val="26"/>
        </w:rPr>
        <w:t>s.</w:t>
      </w:r>
      <w:r w:rsidRPr="00CB2064">
        <w:rPr>
          <w:rFonts w:ascii="Times New Roman" w:hAnsi="Times New Roman" w:cs="Times New Roman"/>
          <w:color w:val="000000" w:themeColor="text1"/>
          <w:sz w:val="26"/>
          <w:szCs w:val="26"/>
        </w:rPr>
        <w:t xml:space="preserve"> </w:t>
      </w:r>
      <w:proofErr w:type="spellStart"/>
      <w:r w:rsidR="00CA348C" w:rsidRPr="00CB2064">
        <w:rPr>
          <w:rFonts w:ascii="Times New Roman" w:hAnsi="Times New Roman" w:cs="Times New Roman"/>
          <w:color w:val="000000" w:themeColor="text1"/>
          <w:sz w:val="26"/>
          <w:szCs w:val="26"/>
        </w:rPr>
        <w:t>Benvenger</w:t>
      </w:r>
      <w:proofErr w:type="spellEnd"/>
      <w:r w:rsidRPr="00CB2064">
        <w:rPr>
          <w:rFonts w:ascii="Times New Roman" w:hAnsi="Times New Roman" w:cs="Times New Roman"/>
          <w:color w:val="000000" w:themeColor="text1"/>
          <w:sz w:val="26"/>
          <w:szCs w:val="26"/>
        </w:rPr>
        <w:t xml:space="preserve">) filed </w:t>
      </w:r>
      <w:bookmarkStart w:id="2" w:name="_Hlk46221157"/>
      <w:r w:rsidRPr="00CB2064">
        <w:rPr>
          <w:rFonts w:ascii="Times New Roman" w:hAnsi="Times New Roman" w:cs="Times New Roman"/>
          <w:color w:val="000000" w:themeColor="text1"/>
          <w:sz w:val="26"/>
          <w:szCs w:val="26"/>
        </w:rPr>
        <w:t xml:space="preserve">on </w:t>
      </w:r>
      <w:r w:rsidR="002B5336">
        <w:rPr>
          <w:rFonts w:ascii="Times New Roman" w:hAnsi="Times New Roman" w:cs="Times New Roman"/>
          <w:color w:val="000000" w:themeColor="text1"/>
          <w:sz w:val="26"/>
          <w:szCs w:val="26"/>
        </w:rPr>
        <w:t>January 2, 2020</w:t>
      </w:r>
      <w:bookmarkEnd w:id="2"/>
      <w:r w:rsidRPr="00CB2064">
        <w:rPr>
          <w:rFonts w:ascii="Times New Roman" w:hAnsi="Times New Roman" w:cs="Times New Roman"/>
          <w:color w:val="000000" w:themeColor="text1"/>
          <w:sz w:val="26"/>
          <w:szCs w:val="26"/>
        </w:rPr>
        <w:t xml:space="preserve">, </w:t>
      </w:r>
      <w:r w:rsidR="002B5336">
        <w:rPr>
          <w:rFonts w:ascii="Times New Roman" w:hAnsi="Times New Roman" w:cs="Times New Roman"/>
          <w:color w:val="000000" w:themeColor="text1"/>
          <w:sz w:val="26"/>
          <w:szCs w:val="26"/>
        </w:rPr>
        <w:t>seeking reconsideration of the Opinion and Order entered on December 19, 2019</w:t>
      </w:r>
      <w:r w:rsidR="00302FE2">
        <w:rPr>
          <w:rFonts w:ascii="Times New Roman" w:hAnsi="Times New Roman" w:cs="Times New Roman"/>
          <w:color w:val="000000" w:themeColor="text1"/>
          <w:sz w:val="26"/>
          <w:szCs w:val="26"/>
        </w:rPr>
        <w:t xml:space="preserve"> (</w:t>
      </w:r>
      <w:r w:rsidR="00302FE2" w:rsidRPr="0004794F">
        <w:rPr>
          <w:rFonts w:ascii="Times New Roman" w:hAnsi="Times New Roman" w:cs="Times New Roman"/>
          <w:i/>
          <w:iCs/>
          <w:color w:val="000000" w:themeColor="text1"/>
          <w:sz w:val="26"/>
          <w:szCs w:val="26"/>
        </w:rPr>
        <w:t>December</w:t>
      </w:r>
      <w:r w:rsidR="00756D35">
        <w:rPr>
          <w:rFonts w:ascii="Times New Roman" w:hAnsi="Times New Roman" w:cs="Times New Roman"/>
          <w:i/>
          <w:iCs/>
          <w:color w:val="000000" w:themeColor="text1"/>
          <w:sz w:val="26"/>
          <w:szCs w:val="26"/>
        </w:rPr>
        <w:t> </w:t>
      </w:r>
      <w:r w:rsidR="00302FE2" w:rsidRPr="0004794F">
        <w:rPr>
          <w:rFonts w:ascii="Times New Roman" w:hAnsi="Times New Roman" w:cs="Times New Roman"/>
          <w:i/>
          <w:iCs/>
          <w:color w:val="000000" w:themeColor="text1"/>
          <w:sz w:val="26"/>
          <w:szCs w:val="26"/>
        </w:rPr>
        <w:t>2019 Order</w:t>
      </w:r>
      <w:r w:rsidR="00302FE2">
        <w:rPr>
          <w:rFonts w:ascii="Times New Roman" w:hAnsi="Times New Roman" w:cs="Times New Roman"/>
          <w:color w:val="000000" w:themeColor="text1"/>
          <w:sz w:val="26"/>
          <w:szCs w:val="26"/>
        </w:rPr>
        <w:t>)</w:t>
      </w:r>
      <w:r w:rsidR="002B5336">
        <w:rPr>
          <w:rFonts w:ascii="Times New Roman" w:hAnsi="Times New Roman" w:cs="Times New Roman"/>
          <w:color w:val="000000" w:themeColor="text1"/>
          <w:sz w:val="26"/>
          <w:szCs w:val="26"/>
        </w:rPr>
        <w:t xml:space="preserve">, relative to the above-captioned proceeding.  On </w:t>
      </w:r>
      <w:r w:rsidR="00DF6DC1">
        <w:rPr>
          <w:rFonts w:ascii="Times New Roman" w:hAnsi="Times New Roman" w:cs="Times New Roman"/>
          <w:color w:val="000000" w:themeColor="text1"/>
          <w:sz w:val="26"/>
          <w:szCs w:val="26"/>
        </w:rPr>
        <w:lastRenderedPageBreak/>
        <w:t>February</w:t>
      </w:r>
      <w:r w:rsidR="00756D35">
        <w:rPr>
          <w:rFonts w:ascii="Times New Roman" w:hAnsi="Times New Roman" w:cs="Times New Roman"/>
          <w:color w:val="000000" w:themeColor="text1"/>
          <w:sz w:val="26"/>
          <w:szCs w:val="26"/>
        </w:rPr>
        <w:t> </w:t>
      </w:r>
      <w:r w:rsidR="00DF6DC1">
        <w:rPr>
          <w:rFonts w:ascii="Times New Roman" w:hAnsi="Times New Roman" w:cs="Times New Roman"/>
          <w:color w:val="000000" w:themeColor="text1"/>
          <w:sz w:val="26"/>
          <w:szCs w:val="26"/>
        </w:rPr>
        <w:t>10,</w:t>
      </w:r>
      <w:r w:rsidR="00756D35">
        <w:rPr>
          <w:rFonts w:ascii="Times New Roman" w:hAnsi="Times New Roman" w:cs="Times New Roman"/>
          <w:color w:val="000000" w:themeColor="text1"/>
          <w:sz w:val="26"/>
          <w:szCs w:val="26"/>
        </w:rPr>
        <w:t> </w:t>
      </w:r>
      <w:r w:rsidR="00DF6DC1">
        <w:rPr>
          <w:rFonts w:ascii="Times New Roman" w:hAnsi="Times New Roman" w:cs="Times New Roman"/>
          <w:color w:val="000000" w:themeColor="text1"/>
          <w:sz w:val="26"/>
          <w:szCs w:val="26"/>
        </w:rPr>
        <w:t xml:space="preserve">2020, </w:t>
      </w:r>
      <w:r w:rsidR="003763E2" w:rsidRPr="00CB2064">
        <w:rPr>
          <w:rFonts w:ascii="Times New Roman" w:eastAsia="Times New Roman" w:hAnsi="Times New Roman" w:cs="Times New Roman"/>
          <w:color w:val="000000" w:themeColor="text1"/>
          <w:sz w:val="26"/>
          <w:szCs w:val="26"/>
        </w:rPr>
        <w:t xml:space="preserve">PECO Energy Company </w:t>
      </w:r>
      <w:r w:rsidR="00C322F0" w:rsidRPr="00CB2064">
        <w:rPr>
          <w:rFonts w:ascii="Times New Roman" w:eastAsia="Times New Roman" w:hAnsi="Times New Roman" w:cs="Times New Roman"/>
          <w:color w:val="000000" w:themeColor="text1"/>
          <w:sz w:val="26"/>
          <w:szCs w:val="26"/>
        </w:rPr>
        <w:t>(</w:t>
      </w:r>
      <w:r w:rsidR="003763E2" w:rsidRPr="00CB2064">
        <w:rPr>
          <w:rFonts w:ascii="Times New Roman" w:eastAsia="Times New Roman" w:hAnsi="Times New Roman" w:cs="Times New Roman"/>
          <w:color w:val="000000" w:themeColor="text1"/>
          <w:sz w:val="26"/>
          <w:szCs w:val="26"/>
        </w:rPr>
        <w:t>Respondent or PECO</w:t>
      </w:r>
      <w:r w:rsidR="00C322F0" w:rsidRPr="00CB2064">
        <w:rPr>
          <w:rFonts w:ascii="Times New Roman" w:eastAsia="Times New Roman" w:hAnsi="Times New Roman" w:cs="Times New Roman"/>
          <w:color w:val="000000" w:themeColor="text1"/>
          <w:sz w:val="26"/>
          <w:szCs w:val="26"/>
        </w:rPr>
        <w:t>)</w:t>
      </w:r>
      <w:r w:rsidR="00D22A60" w:rsidRPr="00CB2064">
        <w:rPr>
          <w:rFonts w:ascii="Times New Roman" w:eastAsia="Times New Roman" w:hAnsi="Times New Roman" w:cs="Times New Roman"/>
          <w:color w:val="000000" w:themeColor="text1"/>
          <w:sz w:val="26"/>
          <w:szCs w:val="26"/>
        </w:rPr>
        <w:t xml:space="preserve"> </w:t>
      </w:r>
      <w:r w:rsidR="00DF6DC1">
        <w:rPr>
          <w:rFonts w:ascii="Times New Roman" w:eastAsia="Times New Roman" w:hAnsi="Times New Roman" w:cs="Times New Roman"/>
          <w:color w:val="000000" w:themeColor="text1"/>
          <w:sz w:val="26"/>
          <w:szCs w:val="26"/>
        </w:rPr>
        <w:t>filed an Answer to the Petition.</w:t>
      </w:r>
      <w:r w:rsidR="00DF6DC1">
        <w:rPr>
          <w:rStyle w:val="FootnoteReference"/>
          <w:rFonts w:ascii="Times New Roman" w:hAnsi="Times New Roman" w:cs="Times New Roman"/>
          <w:color w:val="000000" w:themeColor="text1"/>
          <w:sz w:val="26"/>
          <w:szCs w:val="26"/>
        </w:rPr>
        <w:footnoteReference w:id="1"/>
      </w:r>
      <w:r w:rsidR="00DF6DC1">
        <w:rPr>
          <w:rFonts w:ascii="Times New Roman" w:eastAsia="Times New Roman" w:hAnsi="Times New Roman" w:cs="Times New Roman"/>
          <w:color w:val="000000" w:themeColor="text1"/>
          <w:sz w:val="26"/>
          <w:szCs w:val="26"/>
        </w:rPr>
        <w:t xml:space="preserve">  </w:t>
      </w:r>
      <w:r w:rsidR="00C322F0" w:rsidRPr="00CB2064">
        <w:rPr>
          <w:rFonts w:ascii="Times New Roman" w:eastAsia="Times New Roman" w:hAnsi="Times New Roman" w:cs="Times New Roman"/>
          <w:color w:val="000000" w:themeColor="text1"/>
          <w:sz w:val="26"/>
          <w:szCs w:val="26"/>
        </w:rPr>
        <w:t xml:space="preserve">For the reasons set forth below, we shall </w:t>
      </w:r>
      <w:r w:rsidR="003763E2" w:rsidRPr="00CB2064">
        <w:rPr>
          <w:rFonts w:ascii="Times New Roman" w:eastAsia="Times New Roman" w:hAnsi="Times New Roman" w:cs="Times New Roman"/>
          <w:color w:val="000000" w:themeColor="text1"/>
          <w:sz w:val="26"/>
          <w:szCs w:val="26"/>
        </w:rPr>
        <w:t>deny</w:t>
      </w:r>
      <w:r w:rsidR="004A5A4C" w:rsidRPr="00CB2064">
        <w:rPr>
          <w:rFonts w:ascii="Times New Roman" w:eastAsia="Times New Roman" w:hAnsi="Times New Roman" w:cs="Times New Roman"/>
          <w:color w:val="000000" w:themeColor="text1"/>
          <w:sz w:val="26"/>
          <w:szCs w:val="26"/>
        </w:rPr>
        <w:t xml:space="preserve"> </w:t>
      </w:r>
      <w:r w:rsidR="00C322F0" w:rsidRPr="00CB2064">
        <w:rPr>
          <w:rFonts w:ascii="Times New Roman" w:eastAsia="Times New Roman" w:hAnsi="Times New Roman" w:cs="Times New Roman"/>
          <w:color w:val="000000" w:themeColor="text1"/>
          <w:sz w:val="26"/>
          <w:szCs w:val="26"/>
        </w:rPr>
        <w:t xml:space="preserve">the </w:t>
      </w:r>
      <w:r w:rsidR="00DF6DC1">
        <w:rPr>
          <w:rFonts w:ascii="Times New Roman" w:eastAsia="Times New Roman" w:hAnsi="Times New Roman" w:cs="Times New Roman"/>
          <w:color w:val="000000" w:themeColor="text1"/>
          <w:sz w:val="26"/>
          <w:szCs w:val="26"/>
        </w:rPr>
        <w:t>Petition.</w:t>
      </w:r>
    </w:p>
    <w:p w14:paraId="64CAC339" w14:textId="77777777" w:rsidR="00B252C3" w:rsidRPr="00CB2064" w:rsidRDefault="00B252C3" w:rsidP="00CB2064">
      <w:pPr>
        <w:spacing w:after="0" w:line="360" w:lineRule="auto"/>
        <w:ind w:firstLine="1440"/>
        <w:rPr>
          <w:rFonts w:ascii="Times New Roman" w:eastAsia="Times New Roman" w:hAnsi="Times New Roman" w:cs="Times New Roman"/>
          <w:color w:val="000000" w:themeColor="text1"/>
          <w:sz w:val="26"/>
          <w:szCs w:val="26"/>
        </w:rPr>
      </w:pPr>
    </w:p>
    <w:p w14:paraId="51B04536" w14:textId="77777777" w:rsidR="00C322F0" w:rsidRPr="00CB2064" w:rsidRDefault="00C322F0" w:rsidP="00CB2064">
      <w:pPr>
        <w:keepNext/>
        <w:keepLines/>
        <w:spacing w:after="0" w:line="360" w:lineRule="auto"/>
        <w:jc w:val="center"/>
        <w:rPr>
          <w:rFonts w:ascii="Times New Roman" w:eastAsia="Times New Roman" w:hAnsi="Times New Roman" w:cs="Times New Roman"/>
          <w:b/>
          <w:color w:val="000000" w:themeColor="text1"/>
          <w:sz w:val="26"/>
          <w:szCs w:val="26"/>
        </w:rPr>
      </w:pPr>
      <w:r w:rsidRPr="00CB2064">
        <w:rPr>
          <w:rFonts w:ascii="Times New Roman" w:eastAsia="Times New Roman" w:hAnsi="Times New Roman" w:cs="Times New Roman"/>
          <w:b/>
          <w:color w:val="000000" w:themeColor="text1"/>
          <w:sz w:val="26"/>
          <w:szCs w:val="26"/>
        </w:rPr>
        <w:t>History of the Proceeding</w:t>
      </w:r>
    </w:p>
    <w:p w14:paraId="725C0AD8" w14:textId="77777777" w:rsidR="000956BA" w:rsidRPr="00CB2064" w:rsidRDefault="000956BA" w:rsidP="00CB2064">
      <w:pPr>
        <w:keepNext/>
        <w:keepLines/>
        <w:spacing w:after="0" w:line="360" w:lineRule="auto"/>
        <w:jc w:val="center"/>
        <w:rPr>
          <w:rFonts w:ascii="Times New Roman" w:eastAsia="Times New Roman" w:hAnsi="Times New Roman" w:cs="Times New Roman"/>
          <w:b/>
          <w:color w:val="000000" w:themeColor="text1"/>
          <w:sz w:val="26"/>
          <w:szCs w:val="26"/>
        </w:rPr>
      </w:pPr>
    </w:p>
    <w:p w14:paraId="501905B1" w14:textId="77777777" w:rsidR="00E92C89" w:rsidRPr="00CB2064" w:rsidRDefault="00E92C89" w:rsidP="00CB2064">
      <w:pPr>
        <w:spacing w:after="0" w:line="360" w:lineRule="auto"/>
        <w:ind w:right="144" w:firstLine="1656"/>
        <w:textAlignment w:val="baseline"/>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 xml:space="preserve">On October 9, 2018, Ms. </w:t>
      </w:r>
      <w:proofErr w:type="spellStart"/>
      <w:r w:rsidRPr="00CB2064">
        <w:rPr>
          <w:rFonts w:ascii="Times New Roman" w:eastAsia="Times New Roman" w:hAnsi="Times New Roman" w:cs="Times New Roman"/>
          <w:color w:val="000000" w:themeColor="text1"/>
          <w:sz w:val="26"/>
          <w:szCs w:val="26"/>
        </w:rPr>
        <w:t>Benvenger</w:t>
      </w:r>
      <w:proofErr w:type="spellEnd"/>
      <w:r w:rsidRPr="00CB2064">
        <w:rPr>
          <w:rFonts w:ascii="Times New Roman" w:eastAsia="Times New Roman" w:hAnsi="Times New Roman" w:cs="Times New Roman"/>
          <w:color w:val="000000" w:themeColor="text1"/>
          <w:sz w:val="26"/>
          <w:szCs w:val="26"/>
        </w:rPr>
        <w:t xml:space="preserve"> filed a Complaint against PECO alleging that the utility is threatening to shut off her electric service, that there are incorrect charges on her bills from PECO, and that she is having a reliability, safety or quality problem with her electric service.  For</w:t>
      </w:r>
      <w:r w:rsidR="00995396" w:rsidRPr="00CB2064">
        <w:rPr>
          <w:rFonts w:ascii="Times New Roman" w:eastAsia="Times New Roman" w:hAnsi="Times New Roman" w:cs="Times New Roman"/>
          <w:color w:val="000000" w:themeColor="text1"/>
          <w:sz w:val="26"/>
          <w:szCs w:val="26"/>
        </w:rPr>
        <w:t xml:space="preserve"> relief</w:t>
      </w:r>
      <w:r w:rsidRPr="00CB2064">
        <w:rPr>
          <w:rFonts w:ascii="Times New Roman" w:eastAsia="Times New Roman" w:hAnsi="Times New Roman" w:cs="Times New Roman"/>
          <w:color w:val="000000" w:themeColor="text1"/>
          <w:sz w:val="26"/>
          <w:szCs w:val="26"/>
        </w:rPr>
        <w:t xml:space="preserve">, the Complainant requested that the Respondent correct the billing issues and issue her a refund.  In her Complaint, Ms. </w:t>
      </w:r>
      <w:proofErr w:type="spellStart"/>
      <w:r w:rsidRPr="00CB2064">
        <w:rPr>
          <w:rFonts w:ascii="Times New Roman" w:eastAsia="Times New Roman" w:hAnsi="Times New Roman" w:cs="Times New Roman"/>
          <w:color w:val="000000" w:themeColor="text1"/>
          <w:sz w:val="26"/>
          <w:szCs w:val="26"/>
        </w:rPr>
        <w:t>Benvenger</w:t>
      </w:r>
      <w:proofErr w:type="spellEnd"/>
      <w:r w:rsidRPr="00CB2064">
        <w:rPr>
          <w:rFonts w:ascii="Times New Roman" w:eastAsia="Times New Roman" w:hAnsi="Times New Roman" w:cs="Times New Roman"/>
          <w:color w:val="000000" w:themeColor="text1"/>
          <w:sz w:val="26"/>
          <w:szCs w:val="26"/>
        </w:rPr>
        <w:t xml:space="preserve"> indicated that a court has granted a Protection from Abuse (PFA) order for her personal safety or welfare.  However, she did not attach a copy of the PFA order to the pleading.</w:t>
      </w:r>
    </w:p>
    <w:p w14:paraId="6AFC2FA4" w14:textId="77777777" w:rsidR="00E92C89" w:rsidRPr="00CB2064" w:rsidRDefault="00E92C89" w:rsidP="00CB2064">
      <w:pPr>
        <w:spacing w:after="0" w:line="360" w:lineRule="auto"/>
        <w:ind w:left="216" w:right="144" w:firstLine="1440"/>
        <w:textAlignment w:val="baseline"/>
        <w:rPr>
          <w:rFonts w:ascii="Times New Roman" w:eastAsia="Times New Roman" w:hAnsi="Times New Roman" w:cs="Times New Roman"/>
          <w:color w:val="000000" w:themeColor="text1"/>
          <w:sz w:val="26"/>
          <w:szCs w:val="26"/>
        </w:rPr>
      </w:pPr>
    </w:p>
    <w:p w14:paraId="67BC8656" w14:textId="3908B768" w:rsidR="00E92C89" w:rsidRDefault="00E92C89" w:rsidP="00CB2064">
      <w:pPr>
        <w:spacing w:after="0" w:line="360" w:lineRule="auto"/>
        <w:ind w:firstLine="1440"/>
        <w:textAlignment w:val="baseline"/>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 xml:space="preserve">On October 31, 2018, PECO filed an Answer denying all material allegations in the Complaint.  On November 7, 2018, Ms. </w:t>
      </w:r>
      <w:proofErr w:type="spellStart"/>
      <w:r w:rsidRPr="00CB2064">
        <w:rPr>
          <w:rFonts w:ascii="Times New Roman" w:eastAsia="Times New Roman" w:hAnsi="Times New Roman" w:cs="Times New Roman"/>
          <w:color w:val="000000" w:themeColor="text1"/>
          <w:sz w:val="26"/>
          <w:szCs w:val="26"/>
        </w:rPr>
        <w:t>Benvenger</w:t>
      </w:r>
      <w:proofErr w:type="spellEnd"/>
      <w:r w:rsidRPr="00CB2064">
        <w:rPr>
          <w:rFonts w:ascii="Times New Roman" w:eastAsia="Times New Roman" w:hAnsi="Times New Roman" w:cs="Times New Roman"/>
          <w:color w:val="000000" w:themeColor="text1"/>
          <w:sz w:val="26"/>
          <w:szCs w:val="26"/>
        </w:rPr>
        <w:t xml:space="preserve"> filed a reply to PECO’s Answer.</w:t>
      </w:r>
    </w:p>
    <w:p w14:paraId="1E70E84D" w14:textId="77777777" w:rsidR="00E51689" w:rsidRPr="00CB2064" w:rsidRDefault="00E51689" w:rsidP="00CB2064">
      <w:pPr>
        <w:spacing w:after="0" w:line="360" w:lineRule="auto"/>
        <w:ind w:firstLine="1440"/>
        <w:textAlignment w:val="baseline"/>
        <w:rPr>
          <w:rFonts w:ascii="Times New Roman" w:eastAsia="Times New Roman" w:hAnsi="Times New Roman" w:cs="Times New Roman"/>
          <w:color w:val="000000" w:themeColor="text1"/>
          <w:sz w:val="26"/>
          <w:szCs w:val="26"/>
        </w:rPr>
      </w:pPr>
    </w:p>
    <w:p w14:paraId="467A707A" w14:textId="77777777" w:rsidR="00E92C89" w:rsidRPr="00CB2064" w:rsidRDefault="00E92C89" w:rsidP="00CB2064">
      <w:pPr>
        <w:spacing w:after="0" w:line="360" w:lineRule="auto"/>
        <w:ind w:right="504" w:firstLine="1440"/>
        <w:textAlignment w:val="baseline"/>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 xml:space="preserve">A Hearing Notice dated November 8, 2018, notified the Parties that an initial hearing was scheduled in this matter for Wednesday, December 12, 2018, at 10 a.m.  On November 26, 2018, Ms. </w:t>
      </w:r>
      <w:proofErr w:type="spellStart"/>
      <w:r w:rsidRPr="00CB2064">
        <w:rPr>
          <w:rFonts w:ascii="Times New Roman" w:eastAsia="Times New Roman" w:hAnsi="Times New Roman" w:cs="Times New Roman"/>
          <w:color w:val="000000" w:themeColor="text1"/>
          <w:sz w:val="26"/>
          <w:szCs w:val="26"/>
        </w:rPr>
        <w:t>Benvenger</w:t>
      </w:r>
      <w:proofErr w:type="spellEnd"/>
      <w:r w:rsidRPr="00CB2064">
        <w:rPr>
          <w:rFonts w:ascii="Times New Roman" w:eastAsia="Times New Roman" w:hAnsi="Times New Roman" w:cs="Times New Roman"/>
          <w:color w:val="000000" w:themeColor="text1"/>
          <w:sz w:val="26"/>
          <w:szCs w:val="26"/>
        </w:rPr>
        <w:t xml:space="preserve"> mailed the Hearing Notice back to the Commission with several handwritten notes.</w:t>
      </w:r>
    </w:p>
    <w:p w14:paraId="6239CCFD" w14:textId="77777777" w:rsidR="00E92C89" w:rsidRPr="00CB2064" w:rsidRDefault="00E92C89" w:rsidP="00CB2064">
      <w:pPr>
        <w:spacing w:after="0" w:line="360" w:lineRule="auto"/>
        <w:ind w:firstLine="1440"/>
        <w:textAlignment w:val="baseline"/>
        <w:rPr>
          <w:rFonts w:ascii="Times New Roman" w:eastAsia="Times New Roman" w:hAnsi="Times New Roman" w:cs="Times New Roman"/>
          <w:color w:val="000000" w:themeColor="text1"/>
          <w:sz w:val="26"/>
          <w:szCs w:val="26"/>
        </w:rPr>
      </w:pPr>
    </w:p>
    <w:p w14:paraId="5E79E97D" w14:textId="6246DD87" w:rsidR="00E92C89" w:rsidRPr="00CB2064" w:rsidRDefault="00E92C89" w:rsidP="00CB2064">
      <w:pPr>
        <w:spacing w:after="0" w:line="360" w:lineRule="auto"/>
        <w:ind w:firstLine="1440"/>
        <w:textAlignment w:val="baseline"/>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 xml:space="preserve">Thereafter, </w:t>
      </w:r>
      <w:r w:rsidR="00DD5E97">
        <w:rPr>
          <w:rFonts w:ascii="Times New Roman" w:eastAsia="Times New Roman" w:hAnsi="Times New Roman" w:cs="Times New Roman"/>
          <w:color w:val="000000" w:themeColor="text1"/>
          <w:sz w:val="26"/>
          <w:szCs w:val="26"/>
        </w:rPr>
        <w:t xml:space="preserve">Administrative Law Judge (ALJ) Eranda Vero issued </w:t>
      </w:r>
      <w:r w:rsidRPr="00CB2064">
        <w:rPr>
          <w:rFonts w:ascii="Times New Roman" w:eastAsia="Times New Roman" w:hAnsi="Times New Roman" w:cs="Times New Roman"/>
          <w:color w:val="000000" w:themeColor="text1"/>
          <w:sz w:val="26"/>
          <w:szCs w:val="26"/>
        </w:rPr>
        <w:t xml:space="preserve">a Prehearing Order dated November 20, 2018, which </w:t>
      </w:r>
      <w:r w:rsidR="00D80EEE" w:rsidRPr="00CB2064">
        <w:rPr>
          <w:rFonts w:ascii="Times New Roman" w:eastAsia="Times New Roman" w:hAnsi="Times New Roman" w:cs="Times New Roman"/>
          <w:i/>
          <w:iCs/>
          <w:color w:val="000000" w:themeColor="text1"/>
          <w:sz w:val="26"/>
          <w:szCs w:val="26"/>
        </w:rPr>
        <w:t>inter alia,</w:t>
      </w:r>
      <w:r w:rsidR="00D80EEE" w:rsidRPr="00CB2064">
        <w:rPr>
          <w:rFonts w:ascii="Times New Roman" w:eastAsia="Times New Roman" w:hAnsi="Times New Roman" w:cs="Times New Roman"/>
          <w:color w:val="000000" w:themeColor="text1"/>
          <w:sz w:val="26"/>
          <w:szCs w:val="26"/>
        </w:rPr>
        <w:t xml:space="preserve"> </w:t>
      </w:r>
      <w:r w:rsidRPr="00CB2064">
        <w:rPr>
          <w:rFonts w:ascii="Times New Roman" w:eastAsia="Times New Roman" w:hAnsi="Times New Roman" w:cs="Times New Roman"/>
          <w:color w:val="000000" w:themeColor="text1"/>
          <w:sz w:val="26"/>
          <w:szCs w:val="26"/>
        </w:rPr>
        <w:t xml:space="preserve">reminded the Parties of the </w:t>
      </w:r>
      <w:r w:rsidRPr="00CB2064">
        <w:rPr>
          <w:rFonts w:ascii="Times New Roman" w:eastAsia="Times New Roman" w:hAnsi="Times New Roman" w:cs="Times New Roman"/>
          <w:color w:val="000000" w:themeColor="text1"/>
          <w:sz w:val="26"/>
          <w:szCs w:val="26"/>
        </w:rPr>
        <w:lastRenderedPageBreak/>
        <w:t>date and time of the scheduled hearing</w:t>
      </w:r>
      <w:r w:rsidR="00D80EEE" w:rsidRPr="00CB2064">
        <w:rPr>
          <w:rFonts w:ascii="Times New Roman" w:eastAsia="Times New Roman" w:hAnsi="Times New Roman" w:cs="Times New Roman"/>
          <w:color w:val="000000" w:themeColor="text1"/>
          <w:sz w:val="26"/>
          <w:szCs w:val="26"/>
        </w:rPr>
        <w:t xml:space="preserve"> and</w:t>
      </w:r>
      <w:r w:rsidRPr="00CB2064">
        <w:rPr>
          <w:rFonts w:ascii="Times New Roman" w:eastAsia="Times New Roman" w:hAnsi="Times New Roman" w:cs="Times New Roman"/>
          <w:color w:val="000000" w:themeColor="text1"/>
          <w:sz w:val="26"/>
          <w:szCs w:val="26"/>
        </w:rPr>
        <w:t xml:space="preserve"> instructed Ms. </w:t>
      </w:r>
      <w:proofErr w:type="spellStart"/>
      <w:r w:rsidRPr="00CB2064">
        <w:rPr>
          <w:rFonts w:ascii="Times New Roman" w:eastAsia="Times New Roman" w:hAnsi="Times New Roman" w:cs="Times New Roman"/>
          <w:color w:val="000000" w:themeColor="text1"/>
          <w:sz w:val="26"/>
          <w:szCs w:val="26"/>
        </w:rPr>
        <w:t>Benvenger</w:t>
      </w:r>
      <w:proofErr w:type="spellEnd"/>
      <w:r w:rsidRPr="00CB2064">
        <w:rPr>
          <w:rFonts w:ascii="Times New Roman" w:eastAsia="Times New Roman" w:hAnsi="Times New Roman" w:cs="Times New Roman"/>
          <w:color w:val="000000" w:themeColor="text1"/>
          <w:sz w:val="26"/>
          <w:szCs w:val="26"/>
        </w:rPr>
        <w:t xml:space="preserve"> to submit a copy of the PFA order one week before the scheduled hearing.  The ALJ indicated that Ms. </w:t>
      </w:r>
      <w:proofErr w:type="spellStart"/>
      <w:r w:rsidRPr="00CB2064">
        <w:rPr>
          <w:rFonts w:ascii="Times New Roman" w:eastAsia="Times New Roman" w:hAnsi="Times New Roman" w:cs="Times New Roman"/>
          <w:color w:val="000000" w:themeColor="text1"/>
          <w:sz w:val="26"/>
          <w:szCs w:val="26"/>
        </w:rPr>
        <w:t>Benvenger</w:t>
      </w:r>
      <w:proofErr w:type="spellEnd"/>
      <w:r w:rsidRPr="00CB2064">
        <w:rPr>
          <w:rFonts w:ascii="Times New Roman" w:eastAsia="Times New Roman" w:hAnsi="Times New Roman" w:cs="Times New Roman"/>
          <w:color w:val="000000" w:themeColor="text1"/>
          <w:sz w:val="26"/>
          <w:szCs w:val="26"/>
        </w:rPr>
        <w:t xml:space="preserve"> did not submit a copy of her PFA order.  I.D. at 2.</w:t>
      </w:r>
    </w:p>
    <w:p w14:paraId="05FF499D" w14:textId="77777777" w:rsidR="00E92C89" w:rsidRPr="00CB2064" w:rsidRDefault="00E92C89" w:rsidP="00CB2064">
      <w:pPr>
        <w:spacing w:after="0" w:line="360" w:lineRule="auto"/>
        <w:ind w:firstLine="1440"/>
        <w:textAlignment w:val="baseline"/>
        <w:rPr>
          <w:rFonts w:ascii="Times New Roman" w:eastAsia="Times New Roman" w:hAnsi="Times New Roman" w:cs="Times New Roman"/>
          <w:color w:val="000000" w:themeColor="text1"/>
          <w:sz w:val="26"/>
          <w:szCs w:val="26"/>
        </w:rPr>
      </w:pPr>
    </w:p>
    <w:p w14:paraId="2DB7C069" w14:textId="6B06853B" w:rsidR="00E92C89" w:rsidRPr="00CB2064" w:rsidRDefault="00E92C89" w:rsidP="00CB2064">
      <w:pPr>
        <w:spacing w:after="0" w:line="360" w:lineRule="auto"/>
        <w:ind w:right="144" w:firstLine="1440"/>
        <w:textAlignment w:val="baseline"/>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 xml:space="preserve">On November 28, 2018, </w:t>
      </w:r>
      <w:r w:rsidR="00072BDA">
        <w:rPr>
          <w:rFonts w:ascii="Times New Roman" w:eastAsia="Times New Roman" w:hAnsi="Times New Roman" w:cs="Times New Roman"/>
          <w:color w:val="000000" w:themeColor="text1"/>
          <w:sz w:val="26"/>
          <w:szCs w:val="26"/>
        </w:rPr>
        <w:t xml:space="preserve">the </w:t>
      </w:r>
      <w:r w:rsidR="008E36B7">
        <w:rPr>
          <w:rFonts w:ascii="Times New Roman" w:eastAsia="Times New Roman" w:hAnsi="Times New Roman" w:cs="Times New Roman"/>
          <w:color w:val="000000" w:themeColor="text1"/>
          <w:sz w:val="26"/>
          <w:szCs w:val="26"/>
        </w:rPr>
        <w:t xml:space="preserve">Office of Administrative Law Judge </w:t>
      </w:r>
      <w:r w:rsidR="00072BDA">
        <w:rPr>
          <w:rFonts w:ascii="Times New Roman" w:eastAsia="Times New Roman" w:hAnsi="Times New Roman" w:cs="Times New Roman"/>
          <w:color w:val="000000" w:themeColor="text1"/>
          <w:sz w:val="26"/>
          <w:szCs w:val="26"/>
        </w:rPr>
        <w:t xml:space="preserve">received from Ms. </w:t>
      </w:r>
      <w:proofErr w:type="spellStart"/>
      <w:r w:rsidR="00072BDA">
        <w:rPr>
          <w:rFonts w:ascii="Times New Roman" w:eastAsia="Times New Roman" w:hAnsi="Times New Roman" w:cs="Times New Roman"/>
          <w:color w:val="000000" w:themeColor="text1"/>
          <w:sz w:val="26"/>
          <w:szCs w:val="26"/>
        </w:rPr>
        <w:t>Benvenger</w:t>
      </w:r>
      <w:proofErr w:type="spellEnd"/>
      <w:r w:rsidR="00072BDA">
        <w:rPr>
          <w:rFonts w:ascii="Times New Roman" w:eastAsia="Times New Roman" w:hAnsi="Times New Roman" w:cs="Times New Roman"/>
          <w:color w:val="000000" w:themeColor="text1"/>
          <w:sz w:val="26"/>
          <w:szCs w:val="26"/>
        </w:rPr>
        <w:t xml:space="preserve"> a copy of the </w:t>
      </w:r>
      <w:r w:rsidRPr="00CB2064">
        <w:rPr>
          <w:rFonts w:ascii="Times New Roman" w:eastAsia="Times New Roman" w:hAnsi="Times New Roman" w:cs="Times New Roman"/>
          <w:color w:val="000000" w:themeColor="text1"/>
          <w:sz w:val="26"/>
          <w:szCs w:val="26"/>
        </w:rPr>
        <w:t>Prehearing Order with several handwritten notes.  In her notes</w:t>
      </w:r>
      <w:r w:rsidR="00072BDA">
        <w:rPr>
          <w:rFonts w:ascii="Times New Roman" w:eastAsia="Times New Roman" w:hAnsi="Times New Roman" w:cs="Times New Roman"/>
          <w:color w:val="000000" w:themeColor="text1"/>
          <w:sz w:val="26"/>
          <w:szCs w:val="26"/>
        </w:rPr>
        <w:t xml:space="preserve"> on the Prehearing Order</w:t>
      </w:r>
      <w:r w:rsidRPr="00CB2064">
        <w:rPr>
          <w:rFonts w:ascii="Times New Roman" w:eastAsia="Times New Roman" w:hAnsi="Times New Roman" w:cs="Times New Roman"/>
          <w:color w:val="000000" w:themeColor="text1"/>
          <w:sz w:val="26"/>
          <w:szCs w:val="26"/>
        </w:rPr>
        <w:t xml:space="preserve">, Ms. </w:t>
      </w:r>
      <w:proofErr w:type="spellStart"/>
      <w:r w:rsidRPr="00CB2064">
        <w:rPr>
          <w:rFonts w:ascii="Times New Roman" w:eastAsia="Times New Roman" w:hAnsi="Times New Roman" w:cs="Times New Roman"/>
          <w:color w:val="000000" w:themeColor="text1"/>
          <w:sz w:val="26"/>
          <w:szCs w:val="26"/>
        </w:rPr>
        <w:t>Benvenger</w:t>
      </w:r>
      <w:proofErr w:type="spellEnd"/>
      <w:r w:rsidRPr="00CB2064">
        <w:rPr>
          <w:rFonts w:ascii="Times New Roman" w:eastAsia="Times New Roman" w:hAnsi="Times New Roman" w:cs="Times New Roman"/>
          <w:color w:val="000000" w:themeColor="text1"/>
          <w:sz w:val="26"/>
          <w:szCs w:val="26"/>
        </w:rPr>
        <w:t xml:space="preserve"> indicated that she would not be attending the hearing in this matter.  Tr. at 5.</w:t>
      </w:r>
    </w:p>
    <w:p w14:paraId="7D5D54B5" w14:textId="77777777" w:rsidR="00E92C89" w:rsidRPr="00CB2064" w:rsidRDefault="00E92C89" w:rsidP="00CB2064">
      <w:pPr>
        <w:spacing w:after="0" w:line="360" w:lineRule="auto"/>
        <w:ind w:right="144" w:firstLine="1440"/>
        <w:textAlignment w:val="baseline"/>
        <w:rPr>
          <w:rFonts w:ascii="Times New Roman" w:eastAsia="Times New Roman" w:hAnsi="Times New Roman" w:cs="Times New Roman"/>
          <w:color w:val="000000" w:themeColor="text1"/>
          <w:sz w:val="26"/>
          <w:szCs w:val="26"/>
        </w:rPr>
      </w:pPr>
    </w:p>
    <w:p w14:paraId="0087986C" w14:textId="48F0CF15" w:rsidR="00E92C89" w:rsidRPr="00CB2064" w:rsidRDefault="00E92C89" w:rsidP="00CB2064">
      <w:pPr>
        <w:spacing w:after="0" w:line="360" w:lineRule="auto"/>
        <w:ind w:right="72" w:firstLine="1440"/>
        <w:textAlignment w:val="baseline"/>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 xml:space="preserve">The hearing convened as scheduled on December 12, 2018.  Counsel for PECO appeared and was accompanied by a potential witness who was prepared to testify.  </w:t>
      </w:r>
      <w:r w:rsidR="008B335C">
        <w:rPr>
          <w:rFonts w:ascii="Times New Roman" w:eastAsia="Times New Roman" w:hAnsi="Times New Roman" w:cs="Times New Roman"/>
          <w:color w:val="000000" w:themeColor="text1"/>
          <w:sz w:val="26"/>
          <w:szCs w:val="26"/>
        </w:rPr>
        <w:t xml:space="preserve">Ms. </w:t>
      </w:r>
      <w:proofErr w:type="spellStart"/>
      <w:r w:rsidR="008B335C">
        <w:rPr>
          <w:rFonts w:ascii="Times New Roman" w:eastAsia="Times New Roman" w:hAnsi="Times New Roman" w:cs="Times New Roman"/>
          <w:color w:val="000000" w:themeColor="text1"/>
          <w:sz w:val="26"/>
          <w:szCs w:val="26"/>
        </w:rPr>
        <w:t>Benvenger</w:t>
      </w:r>
      <w:proofErr w:type="spellEnd"/>
      <w:r w:rsidRPr="00CB2064">
        <w:rPr>
          <w:rFonts w:ascii="Times New Roman" w:eastAsia="Times New Roman" w:hAnsi="Times New Roman" w:cs="Times New Roman"/>
          <w:color w:val="000000" w:themeColor="text1"/>
          <w:sz w:val="26"/>
          <w:szCs w:val="26"/>
        </w:rPr>
        <w:t xml:space="preserve"> did not appear for the hearing at the scheduled start time.  As a result, the ALJ delayed the start of the hearing and reconvened twenty-nine minutes later.  When the proceeding was </w:t>
      </w:r>
      <w:r w:rsidR="002B6DA8" w:rsidRPr="00CB2064">
        <w:rPr>
          <w:rFonts w:ascii="Times New Roman" w:eastAsia="Times New Roman" w:hAnsi="Times New Roman" w:cs="Times New Roman"/>
          <w:color w:val="000000" w:themeColor="text1"/>
          <w:sz w:val="26"/>
          <w:szCs w:val="26"/>
        </w:rPr>
        <w:t>reconvened,</w:t>
      </w:r>
      <w:r w:rsidRPr="00CB2064">
        <w:rPr>
          <w:rFonts w:ascii="Times New Roman" w:eastAsia="Times New Roman" w:hAnsi="Times New Roman" w:cs="Times New Roman"/>
          <w:color w:val="000000" w:themeColor="text1"/>
          <w:sz w:val="26"/>
          <w:szCs w:val="26"/>
        </w:rPr>
        <w:t xml:space="preserve"> and the </w:t>
      </w:r>
      <w:r w:rsidR="008B335C">
        <w:rPr>
          <w:rFonts w:ascii="Times New Roman" w:eastAsia="Times New Roman" w:hAnsi="Times New Roman" w:cs="Times New Roman"/>
          <w:color w:val="000000" w:themeColor="text1"/>
          <w:sz w:val="26"/>
          <w:szCs w:val="26"/>
        </w:rPr>
        <w:t>Petitioner</w:t>
      </w:r>
      <w:r w:rsidRPr="00CB2064">
        <w:rPr>
          <w:rFonts w:ascii="Times New Roman" w:eastAsia="Times New Roman" w:hAnsi="Times New Roman" w:cs="Times New Roman"/>
          <w:color w:val="000000" w:themeColor="text1"/>
          <w:sz w:val="26"/>
          <w:szCs w:val="26"/>
        </w:rPr>
        <w:t xml:space="preserve"> still had not appeared</w:t>
      </w:r>
      <w:r w:rsidR="003B01BD">
        <w:rPr>
          <w:rFonts w:ascii="Times New Roman" w:eastAsia="Times New Roman" w:hAnsi="Times New Roman" w:cs="Times New Roman"/>
          <w:color w:val="000000" w:themeColor="text1"/>
          <w:sz w:val="26"/>
          <w:szCs w:val="26"/>
        </w:rPr>
        <w:t>,</w:t>
      </w:r>
      <w:r w:rsidRPr="00CB2064">
        <w:rPr>
          <w:rFonts w:ascii="Times New Roman" w:eastAsia="Times New Roman" w:hAnsi="Times New Roman" w:cs="Times New Roman"/>
          <w:color w:val="000000" w:themeColor="text1"/>
          <w:sz w:val="26"/>
          <w:szCs w:val="26"/>
        </w:rPr>
        <w:t xml:space="preserve"> </w:t>
      </w:r>
      <w:r w:rsidR="006A251D" w:rsidRPr="00CB2064">
        <w:rPr>
          <w:rFonts w:ascii="Times New Roman" w:eastAsia="Times New Roman" w:hAnsi="Times New Roman" w:cs="Times New Roman"/>
          <w:color w:val="000000" w:themeColor="text1"/>
          <w:sz w:val="26"/>
          <w:szCs w:val="26"/>
        </w:rPr>
        <w:t>the ALJ</w:t>
      </w:r>
      <w:r w:rsidRPr="00CB2064">
        <w:rPr>
          <w:rFonts w:ascii="Times New Roman" w:eastAsia="Times New Roman" w:hAnsi="Times New Roman" w:cs="Times New Roman"/>
          <w:color w:val="000000" w:themeColor="text1"/>
          <w:sz w:val="26"/>
          <w:szCs w:val="26"/>
        </w:rPr>
        <w:t xml:space="preserve"> conducted </w:t>
      </w:r>
      <w:r w:rsidR="006A251D" w:rsidRPr="00CB2064">
        <w:rPr>
          <w:rFonts w:ascii="Times New Roman" w:eastAsia="Times New Roman" w:hAnsi="Times New Roman" w:cs="Times New Roman"/>
          <w:color w:val="000000" w:themeColor="text1"/>
          <w:sz w:val="26"/>
          <w:szCs w:val="26"/>
        </w:rPr>
        <w:t xml:space="preserve">the hearing </w:t>
      </w:r>
      <w:r w:rsidRPr="00CB2064">
        <w:rPr>
          <w:rFonts w:ascii="Times New Roman" w:eastAsia="Times New Roman" w:hAnsi="Times New Roman" w:cs="Times New Roman"/>
          <w:color w:val="000000" w:themeColor="text1"/>
          <w:sz w:val="26"/>
          <w:szCs w:val="26"/>
        </w:rPr>
        <w:t xml:space="preserve">in Ms. </w:t>
      </w:r>
      <w:proofErr w:type="spellStart"/>
      <w:r w:rsidRPr="00CB2064">
        <w:rPr>
          <w:rFonts w:ascii="Times New Roman" w:eastAsia="Times New Roman" w:hAnsi="Times New Roman" w:cs="Times New Roman"/>
          <w:color w:val="000000" w:themeColor="text1"/>
          <w:sz w:val="26"/>
          <w:szCs w:val="26"/>
        </w:rPr>
        <w:t>Benvenger’s</w:t>
      </w:r>
      <w:proofErr w:type="spellEnd"/>
      <w:r w:rsidRPr="00CB2064">
        <w:rPr>
          <w:rFonts w:ascii="Times New Roman" w:eastAsia="Times New Roman" w:hAnsi="Times New Roman" w:cs="Times New Roman"/>
          <w:color w:val="000000" w:themeColor="text1"/>
          <w:sz w:val="26"/>
          <w:szCs w:val="26"/>
        </w:rPr>
        <w:t xml:space="preserve"> absence.  Tr. at 5.</w:t>
      </w:r>
    </w:p>
    <w:p w14:paraId="6CEF13AA" w14:textId="77777777" w:rsidR="00E92C89" w:rsidRPr="00CB2064" w:rsidRDefault="00E92C89" w:rsidP="00CB2064">
      <w:pPr>
        <w:spacing w:after="0" w:line="360" w:lineRule="auto"/>
        <w:ind w:right="72" w:firstLine="1440"/>
        <w:textAlignment w:val="baseline"/>
        <w:rPr>
          <w:rFonts w:ascii="Times New Roman" w:eastAsia="Times New Roman" w:hAnsi="Times New Roman" w:cs="Times New Roman"/>
          <w:color w:val="000000" w:themeColor="text1"/>
          <w:sz w:val="26"/>
          <w:szCs w:val="26"/>
        </w:rPr>
      </w:pPr>
    </w:p>
    <w:p w14:paraId="2AD255F3" w14:textId="77777777" w:rsidR="00E92C89" w:rsidRPr="00CB2064" w:rsidRDefault="006A251D" w:rsidP="00CB2064">
      <w:pPr>
        <w:spacing w:after="0" w:line="360" w:lineRule="auto"/>
        <w:ind w:left="72" w:firstLine="1368"/>
        <w:textAlignment w:val="baseline"/>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At the hearing, c</w:t>
      </w:r>
      <w:r w:rsidR="00E92C89" w:rsidRPr="00CB2064">
        <w:rPr>
          <w:rFonts w:ascii="Times New Roman" w:eastAsia="Times New Roman" w:hAnsi="Times New Roman" w:cs="Times New Roman"/>
          <w:color w:val="000000" w:themeColor="text1"/>
          <w:sz w:val="26"/>
          <w:szCs w:val="26"/>
        </w:rPr>
        <w:t>ounsel for PECO moved to dismiss the Complaint with prejudice for lack of prosecution.  The ALJ determined that she would grant the Motion to Dismiss subject to a subsequent written order.  Tr. at 6.</w:t>
      </w:r>
    </w:p>
    <w:p w14:paraId="62380D96" w14:textId="77777777" w:rsidR="00E92C89" w:rsidRPr="00CB2064" w:rsidRDefault="00E92C89" w:rsidP="00CB2064">
      <w:pPr>
        <w:spacing w:after="0" w:line="360" w:lineRule="auto"/>
        <w:ind w:left="72" w:right="360" w:firstLine="1440"/>
        <w:textAlignment w:val="baseline"/>
        <w:rPr>
          <w:rFonts w:ascii="Times New Roman" w:eastAsia="Times New Roman" w:hAnsi="Times New Roman" w:cs="Times New Roman"/>
          <w:color w:val="000000" w:themeColor="text1"/>
          <w:sz w:val="26"/>
          <w:szCs w:val="26"/>
        </w:rPr>
      </w:pPr>
    </w:p>
    <w:p w14:paraId="1B6E2A2E" w14:textId="45747B1F" w:rsidR="00E92C89" w:rsidRPr="00CB2064" w:rsidRDefault="00E92C89" w:rsidP="00CB2064">
      <w:pPr>
        <w:spacing w:after="0" w:line="360" w:lineRule="auto"/>
        <w:ind w:left="72" w:right="360" w:firstLine="1440"/>
        <w:textAlignment w:val="baseline"/>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The record was closed upon receipt of the hearing transcript on January</w:t>
      </w:r>
      <w:r w:rsidR="00E7171E">
        <w:rPr>
          <w:rFonts w:ascii="Times New Roman" w:eastAsia="Times New Roman" w:hAnsi="Times New Roman" w:cs="Times New Roman"/>
          <w:color w:val="000000" w:themeColor="text1"/>
          <w:sz w:val="26"/>
          <w:szCs w:val="26"/>
        </w:rPr>
        <w:t> </w:t>
      </w:r>
      <w:r w:rsidRPr="00CB2064">
        <w:rPr>
          <w:rFonts w:ascii="Times New Roman" w:eastAsia="Times New Roman" w:hAnsi="Times New Roman" w:cs="Times New Roman"/>
          <w:color w:val="000000" w:themeColor="text1"/>
          <w:sz w:val="26"/>
          <w:szCs w:val="26"/>
        </w:rPr>
        <w:t>15, 2019.</w:t>
      </w:r>
    </w:p>
    <w:p w14:paraId="6C54F5C2" w14:textId="77777777" w:rsidR="00365726" w:rsidRPr="00CB2064" w:rsidRDefault="00365726" w:rsidP="00CB2064">
      <w:pPr>
        <w:spacing w:after="0" w:line="360" w:lineRule="auto"/>
        <w:ind w:right="360" w:firstLine="1368"/>
        <w:textAlignment w:val="baseline"/>
        <w:rPr>
          <w:rFonts w:ascii="Times New Roman" w:hAnsi="Times New Roman" w:cs="Times New Roman"/>
          <w:color w:val="000000" w:themeColor="text1"/>
          <w:sz w:val="26"/>
          <w:szCs w:val="26"/>
        </w:rPr>
      </w:pPr>
    </w:p>
    <w:p w14:paraId="12650585" w14:textId="77777777" w:rsidR="00C322F0" w:rsidRPr="00CB2064" w:rsidRDefault="008C451D" w:rsidP="00CB2064">
      <w:pPr>
        <w:spacing w:after="0" w:line="360" w:lineRule="auto"/>
        <w:ind w:firstLine="1440"/>
        <w:rPr>
          <w:rFonts w:ascii="Times New Roman" w:hAnsi="Times New Roman" w:cs="Times New Roman"/>
          <w:color w:val="000000" w:themeColor="text1"/>
          <w:sz w:val="26"/>
          <w:szCs w:val="26"/>
        </w:rPr>
      </w:pPr>
      <w:r w:rsidRPr="00CB2064">
        <w:rPr>
          <w:rFonts w:ascii="Times New Roman" w:hAnsi="Times New Roman" w:cs="Times New Roman"/>
          <w:color w:val="000000" w:themeColor="text1"/>
          <w:sz w:val="26"/>
          <w:szCs w:val="26"/>
        </w:rPr>
        <w:t xml:space="preserve">By Initial Decision issued </w:t>
      </w:r>
      <w:r w:rsidR="00E92C89" w:rsidRPr="00CB2064">
        <w:rPr>
          <w:rFonts w:ascii="Times New Roman" w:hAnsi="Times New Roman" w:cs="Times New Roman"/>
          <w:color w:val="000000" w:themeColor="text1"/>
          <w:sz w:val="26"/>
          <w:szCs w:val="26"/>
        </w:rPr>
        <w:t>March 18, 2019</w:t>
      </w:r>
      <w:r w:rsidR="00C322F0" w:rsidRPr="00CB2064">
        <w:rPr>
          <w:rFonts w:ascii="Times New Roman" w:hAnsi="Times New Roman" w:cs="Times New Roman"/>
          <w:color w:val="000000" w:themeColor="text1"/>
          <w:sz w:val="26"/>
          <w:szCs w:val="26"/>
        </w:rPr>
        <w:t xml:space="preserve">, </w:t>
      </w:r>
      <w:r w:rsidR="00C111C4" w:rsidRPr="00CB2064">
        <w:rPr>
          <w:rFonts w:ascii="Times New Roman" w:hAnsi="Times New Roman" w:cs="Times New Roman"/>
          <w:color w:val="000000" w:themeColor="text1"/>
          <w:sz w:val="26"/>
          <w:szCs w:val="26"/>
        </w:rPr>
        <w:t xml:space="preserve">ALJ </w:t>
      </w:r>
      <w:r w:rsidR="00E92C89" w:rsidRPr="00CB2064">
        <w:rPr>
          <w:rFonts w:ascii="Times New Roman" w:hAnsi="Times New Roman" w:cs="Times New Roman"/>
          <w:color w:val="000000" w:themeColor="text1"/>
          <w:sz w:val="26"/>
          <w:szCs w:val="26"/>
        </w:rPr>
        <w:t>Vero</w:t>
      </w:r>
      <w:r w:rsidR="00854B38" w:rsidRPr="00CB2064">
        <w:rPr>
          <w:rFonts w:ascii="Times New Roman" w:hAnsi="Times New Roman" w:cs="Times New Roman"/>
          <w:color w:val="000000" w:themeColor="text1"/>
          <w:sz w:val="26"/>
          <w:szCs w:val="26"/>
        </w:rPr>
        <w:t xml:space="preserve"> </w:t>
      </w:r>
      <w:r w:rsidR="00C322F0" w:rsidRPr="00CB2064">
        <w:rPr>
          <w:rFonts w:ascii="Times New Roman" w:hAnsi="Times New Roman" w:cs="Times New Roman"/>
          <w:color w:val="000000" w:themeColor="text1"/>
          <w:sz w:val="26"/>
          <w:szCs w:val="26"/>
        </w:rPr>
        <w:t>dismiss</w:t>
      </w:r>
      <w:r w:rsidR="00A34D64" w:rsidRPr="00CB2064">
        <w:rPr>
          <w:rFonts w:ascii="Times New Roman" w:hAnsi="Times New Roman" w:cs="Times New Roman"/>
          <w:color w:val="000000" w:themeColor="text1"/>
          <w:sz w:val="26"/>
          <w:szCs w:val="26"/>
        </w:rPr>
        <w:t>ed the Complaint</w:t>
      </w:r>
      <w:r w:rsidR="00C111C4" w:rsidRPr="00CB2064">
        <w:rPr>
          <w:rFonts w:ascii="Times New Roman" w:hAnsi="Times New Roman" w:cs="Times New Roman"/>
          <w:color w:val="000000" w:themeColor="text1"/>
          <w:sz w:val="26"/>
          <w:szCs w:val="26"/>
        </w:rPr>
        <w:t xml:space="preserve"> </w:t>
      </w:r>
      <w:r w:rsidR="00E92C89" w:rsidRPr="00CB2064">
        <w:rPr>
          <w:rFonts w:ascii="Times New Roman" w:hAnsi="Times New Roman" w:cs="Times New Roman"/>
          <w:color w:val="000000" w:themeColor="text1"/>
          <w:sz w:val="26"/>
          <w:szCs w:val="26"/>
        </w:rPr>
        <w:t xml:space="preserve">with prejudice </w:t>
      </w:r>
      <w:r w:rsidR="00C111C4" w:rsidRPr="00CB2064">
        <w:rPr>
          <w:rFonts w:ascii="Times New Roman" w:hAnsi="Times New Roman" w:cs="Times New Roman"/>
          <w:color w:val="000000" w:themeColor="text1"/>
          <w:sz w:val="26"/>
          <w:szCs w:val="26"/>
        </w:rPr>
        <w:t xml:space="preserve">for failure of </w:t>
      </w:r>
      <w:r w:rsidR="00B252C3" w:rsidRPr="00CB2064">
        <w:rPr>
          <w:rFonts w:ascii="Times New Roman" w:hAnsi="Times New Roman" w:cs="Times New Roman"/>
          <w:color w:val="000000" w:themeColor="text1"/>
          <w:sz w:val="26"/>
          <w:szCs w:val="26"/>
        </w:rPr>
        <w:t xml:space="preserve">Ms. </w:t>
      </w:r>
      <w:proofErr w:type="spellStart"/>
      <w:r w:rsidR="00B252C3" w:rsidRPr="00CB2064">
        <w:rPr>
          <w:rFonts w:ascii="Times New Roman" w:hAnsi="Times New Roman" w:cs="Times New Roman"/>
          <w:color w:val="000000" w:themeColor="text1"/>
          <w:sz w:val="26"/>
          <w:szCs w:val="26"/>
        </w:rPr>
        <w:t>Be</w:t>
      </w:r>
      <w:r w:rsidR="002B6DA8" w:rsidRPr="00CB2064">
        <w:rPr>
          <w:rFonts w:ascii="Times New Roman" w:hAnsi="Times New Roman" w:cs="Times New Roman"/>
          <w:color w:val="000000" w:themeColor="text1"/>
          <w:sz w:val="26"/>
          <w:szCs w:val="26"/>
        </w:rPr>
        <w:t>n</w:t>
      </w:r>
      <w:r w:rsidR="00B252C3" w:rsidRPr="00CB2064">
        <w:rPr>
          <w:rFonts w:ascii="Times New Roman" w:hAnsi="Times New Roman" w:cs="Times New Roman"/>
          <w:color w:val="000000" w:themeColor="text1"/>
          <w:sz w:val="26"/>
          <w:szCs w:val="26"/>
        </w:rPr>
        <w:t>venger</w:t>
      </w:r>
      <w:proofErr w:type="spellEnd"/>
      <w:r w:rsidR="00C111C4" w:rsidRPr="00CB2064">
        <w:rPr>
          <w:rFonts w:ascii="Times New Roman" w:hAnsi="Times New Roman" w:cs="Times New Roman"/>
          <w:color w:val="000000" w:themeColor="text1"/>
          <w:sz w:val="26"/>
          <w:szCs w:val="26"/>
        </w:rPr>
        <w:t xml:space="preserve"> to appear for the hearing and prosecute </w:t>
      </w:r>
      <w:r w:rsidR="00B252C3" w:rsidRPr="00CB2064">
        <w:rPr>
          <w:rFonts w:ascii="Times New Roman" w:hAnsi="Times New Roman" w:cs="Times New Roman"/>
          <w:color w:val="000000" w:themeColor="text1"/>
          <w:sz w:val="26"/>
          <w:szCs w:val="26"/>
        </w:rPr>
        <w:t>her</w:t>
      </w:r>
      <w:r w:rsidR="00C111C4" w:rsidRPr="00CB2064">
        <w:rPr>
          <w:rFonts w:ascii="Times New Roman" w:hAnsi="Times New Roman" w:cs="Times New Roman"/>
          <w:color w:val="000000" w:themeColor="text1"/>
          <w:sz w:val="26"/>
          <w:szCs w:val="26"/>
        </w:rPr>
        <w:t xml:space="preserve"> Complaint.</w:t>
      </w:r>
    </w:p>
    <w:p w14:paraId="4891847A" w14:textId="77777777" w:rsidR="00C322F0" w:rsidRPr="00CB2064" w:rsidRDefault="00C322F0" w:rsidP="00CB2064">
      <w:pPr>
        <w:spacing w:after="0" w:line="360" w:lineRule="auto"/>
        <w:rPr>
          <w:rFonts w:ascii="Times New Roman" w:hAnsi="Times New Roman" w:cs="Times New Roman"/>
          <w:color w:val="000000" w:themeColor="text1"/>
          <w:sz w:val="26"/>
          <w:szCs w:val="26"/>
        </w:rPr>
      </w:pPr>
    </w:p>
    <w:p w14:paraId="2E9EAF06" w14:textId="14116AD6" w:rsidR="008B335C" w:rsidRDefault="00FF2709" w:rsidP="0004794F">
      <w:pPr>
        <w:spacing w:after="0" w:line="360" w:lineRule="auto"/>
        <w:ind w:firstLine="1440"/>
        <w:rPr>
          <w:rFonts w:ascii="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lastRenderedPageBreak/>
        <w:t xml:space="preserve">On March 18, 2019, Ms. </w:t>
      </w:r>
      <w:proofErr w:type="spellStart"/>
      <w:r w:rsidRPr="00CB2064">
        <w:rPr>
          <w:rFonts w:ascii="Times New Roman" w:eastAsia="Times New Roman" w:hAnsi="Times New Roman" w:cs="Times New Roman"/>
          <w:color w:val="000000" w:themeColor="text1"/>
          <w:sz w:val="26"/>
          <w:szCs w:val="26"/>
        </w:rPr>
        <w:t>Be</w:t>
      </w:r>
      <w:r w:rsidR="002B6DA8" w:rsidRPr="00CB2064">
        <w:rPr>
          <w:rFonts w:ascii="Times New Roman" w:eastAsia="Times New Roman" w:hAnsi="Times New Roman" w:cs="Times New Roman"/>
          <w:color w:val="000000" w:themeColor="text1"/>
          <w:sz w:val="26"/>
          <w:szCs w:val="26"/>
        </w:rPr>
        <w:t>n</w:t>
      </w:r>
      <w:r w:rsidRPr="00CB2064">
        <w:rPr>
          <w:rFonts w:ascii="Times New Roman" w:eastAsia="Times New Roman" w:hAnsi="Times New Roman" w:cs="Times New Roman"/>
          <w:color w:val="000000" w:themeColor="text1"/>
          <w:sz w:val="26"/>
          <w:szCs w:val="26"/>
        </w:rPr>
        <w:t>venger</w:t>
      </w:r>
      <w:proofErr w:type="spellEnd"/>
      <w:r w:rsidRPr="00CB2064">
        <w:rPr>
          <w:rFonts w:ascii="Times New Roman" w:eastAsia="Times New Roman" w:hAnsi="Times New Roman" w:cs="Times New Roman"/>
          <w:color w:val="000000" w:themeColor="text1"/>
          <w:sz w:val="26"/>
          <w:szCs w:val="26"/>
        </w:rPr>
        <w:t xml:space="preserve"> filed Exceptions.  No Replies to Exceptions </w:t>
      </w:r>
      <w:r w:rsidR="008B335C">
        <w:rPr>
          <w:rFonts w:ascii="Times New Roman" w:eastAsia="Times New Roman" w:hAnsi="Times New Roman" w:cs="Times New Roman"/>
          <w:color w:val="000000" w:themeColor="text1"/>
          <w:sz w:val="26"/>
          <w:szCs w:val="26"/>
        </w:rPr>
        <w:t>were</w:t>
      </w:r>
      <w:r w:rsidRPr="00CB2064">
        <w:rPr>
          <w:rFonts w:ascii="Times New Roman" w:eastAsia="Times New Roman" w:hAnsi="Times New Roman" w:cs="Times New Roman"/>
          <w:color w:val="000000" w:themeColor="text1"/>
          <w:sz w:val="26"/>
          <w:szCs w:val="26"/>
        </w:rPr>
        <w:t xml:space="preserve"> filed.</w:t>
      </w:r>
      <w:r w:rsidR="0004794F">
        <w:rPr>
          <w:rFonts w:ascii="Times New Roman" w:eastAsia="Times New Roman" w:hAnsi="Times New Roman" w:cs="Times New Roman"/>
          <w:color w:val="000000" w:themeColor="text1"/>
          <w:sz w:val="26"/>
          <w:szCs w:val="26"/>
        </w:rPr>
        <w:t xml:space="preserve">  </w:t>
      </w:r>
      <w:r w:rsidR="008B335C">
        <w:rPr>
          <w:rFonts w:ascii="Times New Roman" w:eastAsia="Times New Roman" w:hAnsi="Times New Roman" w:cs="Times New Roman"/>
          <w:color w:val="000000" w:themeColor="text1"/>
          <w:sz w:val="26"/>
          <w:szCs w:val="26"/>
        </w:rPr>
        <w:t xml:space="preserve">In </w:t>
      </w:r>
      <w:r w:rsidR="0004794F">
        <w:rPr>
          <w:rFonts w:ascii="Times New Roman" w:eastAsia="Times New Roman" w:hAnsi="Times New Roman" w:cs="Times New Roman"/>
          <w:color w:val="000000" w:themeColor="text1"/>
          <w:sz w:val="26"/>
          <w:szCs w:val="26"/>
        </w:rPr>
        <w:t xml:space="preserve">the </w:t>
      </w:r>
      <w:r w:rsidR="0004794F" w:rsidRPr="0004794F">
        <w:rPr>
          <w:rFonts w:ascii="Times New Roman" w:hAnsi="Times New Roman" w:cs="Times New Roman"/>
          <w:i/>
          <w:iCs/>
          <w:color w:val="000000" w:themeColor="text1"/>
          <w:sz w:val="26"/>
          <w:szCs w:val="26"/>
        </w:rPr>
        <w:t>December 2019 Order</w:t>
      </w:r>
      <w:r w:rsidR="0004794F">
        <w:rPr>
          <w:rFonts w:ascii="Times New Roman" w:hAnsi="Times New Roman" w:cs="Times New Roman"/>
          <w:color w:val="000000" w:themeColor="text1"/>
          <w:sz w:val="26"/>
          <w:szCs w:val="26"/>
        </w:rPr>
        <w:t xml:space="preserve">, we denied the Exceptions and adopted the Initial Decision.  </w:t>
      </w:r>
    </w:p>
    <w:p w14:paraId="7B3C5826" w14:textId="77777777" w:rsidR="00072BDA" w:rsidRDefault="00072BDA" w:rsidP="0004794F">
      <w:pPr>
        <w:spacing w:after="0" w:line="360" w:lineRule="auto"/>
        <w:ind w:firstLine="1440"/>
        <w:rPr>
          <w:rFonts w:ascii="Times New Roman" w:hAnsi="Times New Roman" w:cs="Times New Roman"/>
          <w:sz w:val="26"/>
          <w:szCs w:val="26"/>
        </w:rPr>
      </w:pPr>
    </w:p>
    <w:p w14:paraId="1DC52351" w14:textId="0B691E2D" w:rsidR="0004794F" w:rsidRPr="0004794F" w:rsidRDefault="0004794F" w:rsidP="0004794F">
      <w:pPr>
        <w:spacing w:after="0" w:line="360" w:lineRule="auto"/>
        <w:ind w:firstLine="1440"/>
        <w:rPr>
          <w:rFonts w:ascii="Times New Roman" w:eastAsia="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Ms. </w:t>
      </w:r>
      <w:proofErr w:type="spellStart"/>
      <w:r>
        <w:rPr>
          <w:rFonts w:ascii="Times New Roman" w:hAnsi="Times New Roman" w:cs="Times New Roman"/>
          <w:color w:val="000000" w:themeColor="text1"/>
          <w:sz w:val="26"/>
          <w:szCs w:val="26"/>
        </w:rPr>
        <w:t>Benvenger</w:t>
      </w:r>
      <w:proofErr w:type="spellEnd"/>
      <w:r>
        <w:rPr>
          <w:rFonts w:ascii="Times New Roman" w:hAnsi="Times New Roman" w:cs="Times New Roman"/>
          <w:color w:val="000000" w:themeColor="text1"/>
          <w:sz w:val="26"/>
          <w:szCs w:val="26"/>
        </w:rPr>
        <w:t xml:space="preserve"> filed the Petition on January 2, 2020.  </w:t>
      </w:r>
      <w:r>
        <w:rPr>
          <w:rFonts w:ascii="Times New Roman" w:hAnsi="Times New Roman" w:cs="Times New Roman"/>
          <w:sz w:val="26"/>
          <w:szCs w:val="26"/>
        </w:rPr>
        <w:t xml:space="preserve">By Opinion and Order entered January 16, 2020, we granted the Petition pending further review of, and consideration on, the merits.  </w:t>
      </w:r>
      <w:r>
        <w:rPr>
          <w:rFonts w:ascii="Times New Roman" w:hAnsi="Times New Roman" w:cs="Times New Roman"/>
          <w:color w:val="000000" w:themeColor="text1"/>
          <w:sz w:val="26"/>
          <w:szCs w:val="26"/>
        </w:rPr>
        <w:t xml:space="preserve">As noted above, PECO filed its Answer to the Petition on February 10, 2020.   </w:t>
      </w:r>
    </w:p>
    <w:p w14:paraId="77262B74" w14:textId="77777777" w:rsidR="00FF2709" w:rsidRPr="00CB2064" w:rsidRDefault="00FF2709" w:rsidP="00CB2064">
      <w:pPr>
        <w:spacing w:after="0" w:line="360" w:lineRule="auto"/>
        <w:rPr>
          <w:rFonts w:ascii="Times New Roman" w:eastAsia="Times New Roman" w:hAnsi="Times New Roman" w:cs="Times New Roman"/>
          <w:color w:val="000000" w:themeColor="text1"/>
          <w:sz w:val="26"/>
          <w:szCs w:val="26"/>
        </w:rPr>
      </w:pPr>
    </w:p>
    <w:p w14:paraId="0E5E016C" w14:textId="77777777" w:rsidR="00C322F0" w:rsidRPr="00CB2064" w:rsidRDefault="00C322F0" w:rsidP="00CB2064">
      <w:pPr>
        <w:keepNext/>
        <w:keepLines/>
        <w:spacing w:after="0"/>
        <w:jc w:val="center"/>
        <w:rPr>
          <w:rFonts w:ascii="Times New Roman" w:eastAsia="Times New Roman" w:hAnsi="Times New Roman" w:cs="Times New Roman"/>
          <w:b/>
          <w:color w:val="000000" w:themeColor="text1"/>
          <w:sz w:val="26"/>
          <w:szCs w:val="26"/>
        </w:rPr>
      </w:pPr>
      <w:r w:rsidRPr="00CB2064">
        <w:rPr>
          <w:rFonts w:ascii="Times New Roman" w:eastAsia="Times New Roman" w:hAnsi="Times New Roman" w:cs="Times New Roman"/>
          <w:b/>
          <w:color w:val="000000" w:themeColor="text1"/>
          <w:sz w:val="26"/>
          <w:szCs w:val="26"/>
        </w:rPr>
        <w:t>Discussion</w:t>
      </w:r>
    </w:p>
    <w:p w14:paraId="47693E83" w14:textId="77777777" w:rsidR="0033498D" w:rsidRPr="00CB2064" w:rsidRDefault="0033498D" w:rsidP="00CB2064">
      <w:pPr>
        <w:keepNext/>
        <w:keepLines/>
        <w:spacing w:after="0" w:line="360" w:lineRule="auto"/>
        <w:rPr>
          <w:rFonts w:ascii="Times New Roman" w:eastAsia="Times New Roman" w:hAnsi="Times New Roman" w:cs="Times New Roman"/>
          <w:b/>
          <w:color w:val="000000" w:themeColor="text1"/>
          <w:sz w:val="26"/>
          <w:szCs w:val="26"/>
        </w:rPr>
      </w:pPr>
    </w:p>
    <w:p w14:paraId="2B8FFCDC" w14:textId="77777777" w:rsidR="00C322F0" w:rsidRPr="00CB2064" w:rsidRDefault="00C322F0" w:rsidP="00CB2064">
      <w:pPr>
        <w:keepNext/>
        <w:keepLines/>
        <w:spacing w:after="0" w:line="360" w:lineRule="auto"/>
        <w:rPr>
          <w:rFonts w:ascii="Times New Roman" w:eastAsia="Times New Roman" w:hAnsi="Times New Roman" w:cs="Times New Roman"/>
          <w:b/>
          <w:color w:val="000000" w:themeColor="text1"/>
          <w:sz w:val="26"/>
          <w:szCs w:val="26"/>
        </w:rPr>
      </w:pPr>
      <w:r w:rsidRPr="00CB2064">
        <w:rPr>
          <w:rFonts w:ascii="Times New Roman" w:eastAsia="Times New Roman" w:hAnsi="Times New Roman" w:cs="Times New Roman"/>
          <w:b/>
          <w:color w:val="000000" w:themeColor="text1"/>
          <w:sz w:val="26"/>
          <w:szCs w:val="26"/>
        </w:rPr>
        <w:t>Legal Standards</w:t>
      </w:r>
    </w:p>
    <w:p w14:paraId="4DE45285" w14:textId="77777777" w:rsidR="00C322F0" w:rsidRPr="00CB2064" w:rsidRDefault="00C322F0" w:rsidP="00CB2064">
      <w:pPr>
        <w:keepNext/>
        <w:keepLines/>
        <w:spacing w:after="0" w:line="360" w:lineRule="auto"/>
        <w:rPr>
          <w:rFonts w:ascii="Times New Roman" w:eastAsia="Times New Roman" w:hAnsi="Times New Roman" w:cs="Times New Roman"/>
          <w:b/>
          <w:color w:val="000000" w:themeColor="text1"/>
          <w:sz w:val="26"/>
          <w:szCs w:val="26"/>
        </w:rPr>
      </w:pPr>
    </w:p>
    <w:p w14:paraId="1BADE3F3" w14:textId="49587B73" w:rsidR="0004794F" w:rsidRPr="00C92AD7" w:rsidRDefault="0004794F" w:rsidP="0004794F">
      <w:pPr>
        <w:spacing w:after="0" w:line="360" w:lineRule="auto"/>
        <w:ind w:firstLine="1440"/>
        <w:rPr>
          <w:rFonts w:ascii="Times New Roman" w:eastAsia="Times New Roman" w:hAnsi="Times New Roman" w:cs="Times New Roman"/>
          <w:sz w:val="26"/>
          <w:szCs w:val="20"/>
        </w:rPr>
      </w:pPr>
      <w:r w:rsidRPr="00C92AD7">
        <w:rPr>
          <w:rFonts w:ascii="Times New Roman" w:eastAsia="Times New Roman" w:hAnsi="Times New Roman" w:cs="Times New Roman"/>
          <w:sz w:val="26"/>
          <w:szCs w:val="20"/>
        </w:rPr>
        <w:t xml:space="preserve">The </w:t>
      </w:r>
      <w:r w:rsidR="00DD5E97">
        <w:rPr>
          <w:rFonts w:ascii="Times New Roman" w:eastAsia="Times New Roman" w:hAnsi="Times New Roman" w:cs="Times New Roman"/>
          <w:sz w:val="26"/>
          <w:szCs w:val="20"/>
        </w:rPr>
        <w:t xml:space="preserve">Public Utility </w:t>
      </w:r>
      <w:r w:rsidRPr="00C92AD7">
        <w:rPr>
          <w:rFonts w:ascii="Times New Roman" w:eastAsia="Times New Roman" w:hAnsi="Times New Roman" w:cs="Times New Roman"/>
          <w:sz w:val="26"/>
          <w:szCs w:val="20"/>
        </w:rPr>
        <w:t xml:space="preserve">Code </w:t>
      </w:r>
      <w:r w:rsidR="00DD5E97">
        <w:rPr>
          <w:rFonts w:ascii="Times New Roman" w:eastAsia="Times New Roman" w:hAnsi="Times New Roman" w:cs="Times New Roman"/>
          <w:sz w:val="26"/>
          <w:szCs w:val="20"/>
        </w:rPr>
        <w:t xml:space="preserve">(Code) </w:t>
      </w:r>
      <w:r w:rsidRPr="00C92AD7">
        <w:rPr>
          <w:rFonts w:ascii="Times New Roman" w:eastAsia="Times New Roman" w:hAnsi="Times New Roman" w:cs="Times New Roman"/>
          <w:sz w:val="26"/>
          <w:szCs w:val="20"/>
        </w:rPr>
        <w:t>establishes a party’s right to seek relief following the issuance of our final decisions pursuant to Subsections 703(f) and (g), 66 Pa.</w:t>
      </w:r>
      <w:r>
        <w:rPr>
          <w:rFonts w:ascii="Times New Roman" w:eastAsia="Times New Roman" w:hAnsi="Times New Roman" w:cs="Times New Roman"/>
          <w:sz w:val="26"/>
          <w:szCs w:val="20"/>
        </w:rPr>
        <w:t xml:space="preserve"> </w:t>
      </w:r>
      <w:r w:rsidRPr="00C92AD7">
        <w:rPr>
          <w:rFonts w:ascii="Times New Roman" w:eastAsia="Times New Roman" w:hAnsi="Times New Roman" w:cs="Times New Roman"/>
          <w:sz w:val="26"/>
          <w:szCs w:val="20"/>
        </w:rPr>
        <w:t xml:space="preserve">C.S. § 703(f) and § 703(g), relating to </w:t>
      </w:r>
      <w:proofErr w:type="spellStart"/>
      <w:r w:rsidRPr="00C92AD7">
        <w:rPr>
          <w:rFonts w:ascii="Times New Roman" w:eastAsia="Times New Roman" w:hAnsi="Times New Roman" w:cs="Times New Roman"/>
          <w:sz w:val="26"/>
          <w:szCs w:val="20"/>
        </w:rPr>
        <w:t>rehearings</w:t>
      </w:r>
      <w:proofErr w:type="spellEnd"/>
      <w:r w:rsidRPr="00C92AD7">
        <w:rPr>
          <w:rFonts w:ascii="Times New Roman" w:eastAsia="Times New Roman" w:hAnsi="Times New Roman" w:cs="Times New Roman"/>
          <w:sz w:val="26"/>
          <w:szCs w:val="20"/>
        </w:rPr>
        <w:t>, as well as the rescission and amendment of orders.  Such requests for relief must be consistent with Section 5.572 of our Regulations, 52 Pa. Code § 5.572, relating to petitions for relief following the issuance of a final decision.</w:t>
      </w:r>
    </w:p>
    <w:p w14:paraId="790E92E0" w14:textId="77777777" w:rsidR="0004794F" w:rsidRPr="00C92AD7" w:rsidRDefault="0004794F" w:rsidP="0004794F">
      <w:pPr>
        <w:widowControl w:val="0"/>
        <w:spacing w:after="0" w:line="360" w:lineRule="auto"/>
        <w:rPr>
          <w:rFonts w:ascii="Times New Roman" w:eastAsia="Times New Roman" w:hAnsi="Times New Roman" w:cs="Times New Roman"/>
          <w:sz w:val="26"/>
          <w:szCs w:val="20"/>
        </w:rPr>
      </w:pPr>
    </w:p>
    <w:p w14:paraId="3F25A505" w14:textId="77777777" w:rsidR="0004794F" w:rsidRPr="00C92AD7" w:rsidRDefault="0004794F" w:rsidP="0004794F">
      <w:pPr>
        <w:widowControl w:val="0"/>
        <w:spacing w:after="0" w:line="360" w:lineRule="auto"/>
        <w:ind w:firstLine="1440"/>
        <w:rPr>
          <w:rFonts w:ascii="Times New Roman" w:eastAsia="Times New Roman" w:hAnsi="Times New Roman" w:cs="Times New Roman"/>
          <w:sz w:val="26"/>
          <w:szCs w:val="20"/>
        </w:rPr>
      </w:pPr>
      <w:r w:rsidRPr="00C92AD7">
        <w:rPr>
          <w:rFonts w:ascii="Times New Roman" w:eastAsia="Times New Roman" w:hAnsi="Times New Roman" w:cs="Times New Roman"/>
          <w:sz w:val="26"/>
          <w:szCs w:val="20"/>
        </w:rPr>
        <w:t xml:space="preserve">The standards for granting a Petition for Reconsideration were set forth in </w:t>
      </w:r>
      <w:proofErr w:type="spellStart"/>
      <w:r w:rsidRPr="00C92AD7">
        <w:rPr>
          <w:rFonts w:ascii="Times New Roman" w:eastAsia="Times New Roman" w:hAnsi="Times New Roman" w:cs="Times New Roman"/>
          <w:i/>
          <w:sz w:val="26"/>
          <w:szCs w:val="20"/>
        </w:rPr>
        <w:t>Duick</w:t>
      </w:r>
      <w:proofErr w:type="spellEnd"/>
      <w:r w:rsidRPr="00C92AD7">
        <w:rPr>
          <w:rFonts w:ascii="Times New Roman" w:eastAsia="Times New Roman" w:hAnsi="Times New Roman" w:cs="Times New Roman"/>
          <w:i/>
          <w:sz w:val="26"/>
          <w:szCs w:val="20"/>
        </w:rPr>
        <w:t> v. Pennsylvania Gas and Water Company</w:t>
      </w:r>
      <w:r w:rsidRPr="00C92AD7">
        <w:rPr>
          <w:rFonts w:ascii="Times New Roman" w:eastAsia="Times New Roman" w:hAnsi="Times New Roman" w:cs="Times New Roman"/>
          <w:sz w:val="26"/>
          <w:szCs w:val="20"/>
        </w:rPr>
        <w:t xml:space="preserve">, </w:t>
      </w:r>
      <w:r w:rsidRPr="00C92AD7">
        <w:rPr>
          <w:rFonts w:ascii="Times New Roman" w:eastAsia="Times New Roman" w:hAnsi="Times New Roman" w:cs="Times New Roman"/>
          <w:sz w:val="26"/>
          <w:szCs w:val="24"/>
        </w:rPr>
        <w:t>56 Pa. P.U.C. 553</w:t>
      </w:r>
      <w:r w:rsidRPr="00C92AD7">
        <w:rPr>
          <w:rFonts w:ascii="Times New Roman" w:eastAsia="Times New Roman" w:hAnsi="Times New Roman" w:cs="Times New Roman"/>
          <w:sz w:val="26"/>
          <w:szCs w:val="20"/>
        </w:rPr>
        <w:t xml:space="preserve"> (1982):</w:t>
      </w:r>
    </w:p>
    <w:p w14:paraId="22387E38" w14:textId="77777777" w:rsidR="0004794F" w:rsidRPr="00C92AD7" w:rsidRDefault="0004794F" w:rsidP="0004794F">
      <w:pPr>
        <w:spacing w:after="0" w:line="240" w:lineRule="auto"/>
        <w:rPr>
          <w:rFonts w:ascii="Times New Roman" w:eastAsia="Times New Roman" w:hAnsi="Times New Roman" w:cs="Times New Roman"/>
          <w:sz w:val="26"/>
          <w:szCs w:val="20"/>
        </w:rPr>
      </w:pPr>
    </w:p>
    <w:p w14:paraId="6C4EF62B" w14:textId="05025522" w:rsidR="0004794F" w:rsidRPr="00C92AD7" w:rsidRDefault="0004794F" w:rsidP="0004794F">
      <w:pPr>
        <w:keepNext/>
        <w:spacing w:after="0" w:line="240" w:lineRule="auto"/>
        <w:ind w:left="1440" w:right="1440"/>
        <w:rPr>
          <w:rFonts w:ascii="Times New Roman" w:eastAsia="Times New Roman" w:hAnsi="Times New Roman" w:cs="Times New Roman"/>
          <w:sz w:val="26"/>
          <w:szCs w:val="20"/>
        </w:rPr>
      </w:pPr>
      <w:r w:rsidRPr="00C92AD7">
        <w:rPr>
          <w:rFonts w:ascii="Times New Roman" w:eastAsia="Times New Roman" w:hAnsi="Times New Roman" w:cs="Times New Roman"/>
          <w:sz w:val="26"/>
          <w:szCs w:val="20"/>
        </w:rPr>
        <w:t xml:space="preserve">A Petition for Reconsideration, under the provisions of 66 Pa. C.S. § 703(g), may properly raise any matters designed to convince the Commission that it should exercise its discretion under this code section to rescind or amend a prior order in whole or in part.  In this regard, we agree with the court in the </w:t>
      </w:r>
      <w:r w:rsidRPr="00C92AD7">
        <w:rPr>
          <w:rFonts w:ascii="Times New Roman" w:eastAsia="Times New Roman" w:hAnsi="Times New Roman" w:cs="Times New Roman"/>
          <w:i/>
          <w:sz w:val="26"/>
          <w:szCs w:val="20"/>
        </w:rPr>
        <w:t>Pennsylvania Railroad Company</w:t>
      </w:r>
      <w:r w:rsidRPr="00C92AD7">
        <w:rPr>
          <w:rFonts w:ascii="Times New Roman" w:eastAsia="Times New Roman" w:hAnsi="Times New Roman" w:cs="Times New Roman"/>
          <w:sz w:val="26"/>
          <w:szCs w:val="20"/>
        </w:rPr>
        <w:t xml:space="preserve"> case, wherein it was stated that “[p]arties . . . cannot be permitted by a second motion to review and reconsider, to raise the same questions which were specifically decided against them </w:t>
      </w:r>
      <w:proofErr w:type="gramStart"/>
      <w:r w:rsidRPr="00C92AD7">
        <w:rPr>
          <w:rFonts w:ascii="Times New Roman" w:eastAsia="Times New Roman" w:hAnsi="Times New Roman" w:cs="Times New Roman"/>
          <w:sz w:val="26"/>
          <w:szCs w:val="20"/>
        </w:rPr>
        <w:t>. . . .</w:t>
      </w:r>
      <w:proofErr w:type="gramEnd"/>
      <w:r w:rsidRPr="00C92AD7">
        <w:rPr>
          <w:rFonts w:ascii="Times New Roman" w:eastAsia="Times New Roman" w:hAnsi="Times New Roman" w:cs="Times New Roman"/>
          <w:sz w:val="26"/>
          <w:szCs w:val="20"/>
        </w:rPr>
        <w:t xml:space="preserve">”  What we </w:t>
      </w:r>
      <w:r w:rsidRPr="00C92AD7">
        <w:rPr>
          <w:rFonts w:ascii="Times New Roman" w:eastAsia="Times New Roman" w:hAnsi="Times New Roman" w:cs="Times New Roman"/>
          <w:sz w:val="26"/>
          <w:szCs w:val="20"/>
        </w:rPr>
        <w:lastRenderedPageBreak/>
        <w:t>expect to see raised in such petitions are new and novel arguments, not previously heard, or considera</w:t>
      </w:r>
      <w:r w:rsidRPr="00C92AD7">
        <w:rPr>
          <w:rFonts w:ascii="Times New Roman" w:eastAsia="Times New Roman" w:hAnsi="Times New Roman" w:cs="Times New Roman"/>
          <w:sz w:val="26"/>
          <w:szCs w:val="20"/>
        </w:rPr>
        <w:softHyphen/>
        <w:t xml:space="preserve">tions which appear to have been overlooked by the Commission.  </w:t>
      </w:r>
    </w:p>
    <w:p w14:paraId="2C46C8EE" w14:textId="77777777" w:rsidR="0004794F" w:rsidRPr="00C92AD7" w:rsidRDefault="0004794F" w:rsidP="0004794F">
      <w:pPr>
        <w:keepNext/>
        <w:spacing w:after="0" w:line="360" w:lineRule="auto"/>
        <w:ind w:right="1440"/>
        <w:rPr>
          <w:rFonts w:ascii="Times New Roman" w:eastAsia="Times New Roman" w:hAnsi="Times New Roman" w:cs="Times New Roman"/>
          <w:sz w:val="26"/>
          <w:szCs w:val="20"/>
        </w:rPr>
      </w:pPr>
    </w:p>
    <w:p w14:paraId="32972F4C" w14:textId="77777777" w:rsidR="0004794F" w:rsidRPr="00C92AD7" w:rsidRDefault="0004794F" w:rsidP="0004794F">
      <w:pPr>
        <w:keepNext/>
        <w:spacing w:after="0" w:line="360" w:lineRule="auto"/>
        <w:rPr>
          <w:rFonts w:ascii="Times New Roman" w:eastAsia="Times New Roman" w:hAnsi="Times New Roman" w:cs="Times New Roman"/>
          <w:sz w:val="26"/>
          <w:szCs w:val="24"/>
        </w:rPr>
      </w:pPr>
      <w:proofErr w:type="spellStart"/>
      <w:r w:rsidRPr="00C92AD7">
        <w:rPr>
          <w:rFonts w:ascii="Times New Roman" w:eastAsia="Times New Roman" w:hAnsi="Times New Roman" w:cs="Times New Roman"/>
          <w:i/>
          <w:sz w:val="26"/>
          <w:szCs w:val="20"/>
        </w:rPr>
        <w:t>Duick</w:t>
      </w:r>
      <w:proofErr w:type="spellEnd"/>
      <w:r w:rsidRPr="00C92AD7">
        <w:rPr>
          <w:rFonts w:ascii="Times New Roman" w:eastAsia="Times New Roman" w:hAnsi="Times New Roman" w:cs="Times New Roman"/>
          <w:i/>
          <w:sz w:val="26"/>
          <w:szCs w:val="20"/>
        </w:rPr>
        <w:t>,</w:t>
      </w:r>
      <w:r w:rsidRPr="00C92AD7">
        <w:rPr>
          <w:rFonts w:ascii="Times New Roman" w:eastAsia="Times New Roman" w:hAnsi="Times New Roman" w:cs="Times New Roman"/>
          <w:sz w:val="26"/>
          <w:szCs w:val="20"/>
        </w:rPr>
        <w:t xml:space="preserve"> </w:t>
      </w:r>
      <w:r w:rsidRPr="00C92AD7">
        <w:rPr>
          <w:rFonts w:ascii="Times New Roman" w:eastAsia="Times New Roman" w:hAnsi="Times New Roman" w:cs="Times New Roman"/>
          <w:sz w:val="26"/>
          <w:szCs w:val="24"/>
        </w:rPr>
        <w:t xml:space="preserve">56 Pa. P.U.C. at 559 (quoting </w:t>
      </w:r>
      <w:r w:rsidRPr="00C92AD7">
        <w:rPr>
          <w:rFonts w:ascii="Times New Roman" w:eastAsia="Times New Roman" w:hAnsi="Times New Roman" w:cs="Times New Roman"/>
          <w:i/>
          <w:sz w:val="26"/>
          <w:szCs w:val="24"/>
        </w:rPr>
        <w:t>Pennsylvania Railroad Co. v. Pennsylvania Public Service Commission</w:t>
      </w:r>
      <w:r w:rsidRPr="00C92AD7">
        <w:rPr>
          <w:rFonts w:ascii="Times New Roman" w:eastAsia="Times New Roman" w:hAnsi="Times New Roman" w:cs="Times New Roman"/>
          <w:sz w:val="26"/>
          <w:szCs w:val="24"/>
        </w:rPr>
        <w:t>, 179 A. 850, 854 (Pa. Super. Ct. 1935)).</w:t>
      </w:r>
    </w:p>
    <w:p w14:paraId="6CFE5278" w14:textId="77777777" w:rsidR="0004794F" w:rsidRPr="00C92AD7" w:rsidRDefault="0004794F" w:rsidP="0004794F">
      <w:pPr>
        <w:spacing w:after="0" w:line="360" w:lineRule="auto"/>
        <w:rPr>
          <w:rFonts w:ascii="Times New Roman" w:eastAsia="Times New Roman" w:hAnsi="Times New Roman" w:cs="Times New Roman"/>
          <w:sz w:val="26"/>
          <w:szCs w:val="20"/>
        </w:rPr>
      </w:pPr>
    </w:p>
    <w:p w14:paraId="73AEB9F4" w14:textId="77777777" w:rsidR="0004794F" w:rsidRPr="00C92AD7" w:rsidRDefault="0004794F" w:rsidP="0004794F">
      <w:pPr>
        <w:suppressAutoHyphens/>
        <w:spacing w:after="0" w:line="360" w:lineRule="auto"/>
        <w:rPr>
          <w:rFonts w:ascii="Times New Roman" w:eastAsia="Times New Roman" w:hAnsi="Times New Roman" w:cs="Times New Roman"/>
          <w:color w:val="000000"/>
          <w:spacing w:val="-3"/>
          <w:sz w:val="26"/>
          <w:szCs w:val="20"/>
          <w:u w:color="000000"/>
        </w:rPr>
      </w:pPr>
      <w:r w:rsidRPr="00C92AD7">
        <w:rPr>
          <w:rFonts w:ascii="Times New Roman" w:eastAsia="Times New Roman" w:hAnsi="Times New Roman" w:cs="Times New Roman"/>
          <w:color w:val="000000"/>
          <w:spacing w:val="-3"/>
          <w:sz w:val="26"/>
          <w:szCs w:val="20"/>
          <w:u w:color="000000"/>
        </w:rPr>
        <w:tab/>
      </w:r>
      <w:r w:rsidRPr="00C92AD7">
        <w:rPr>
          <w:rFonts w:ascii="Times New Roman" w:eastAsia="Times New Roman" w:hAnsi="Times New Roman" w:cs="Times New Roman"/>
          <w:color w:val="000000"/>
          <w:spacing w:val="-3"/>
          <w:sz w:val="26"/>
          <w:szCs w:val="20"/>
          <w:u w:color="000000"/>
        </w:rPr>
        <w:tab/>
        <w:t xml:space="preserve">Under the standards of </w:t>
      </w:r>
      <w:proofErr w:type="spellStart"/>
      <w:r w:rsidRPr="00C92AD7">
        <w:rPr>
          <w:rFonts w:ascii="Times New Roman" w:eastAsia="Times New Roman" w:hAnsi="Times New Roman" w:cs="Times New Roman"/>
          <w:i/>
          <w:color w:val="000000"/>
          <w:spacing w:val="-3"/>
          <w:sz w:val="26"/>
          <w:szCs w:val="20"/>
          <w:u w:color="000000"/>
        </w:rPr>
        <w:t>Duick</w:t>
      </w:r>
      <w:proofErr w:type="spellEnd"/>
      <w:r w:rsidRPr="00C92AD7">
        <w:rPr>
          <w:rFonts w:ascii="Times New Roman" w:eastAsia="Times New Roman" w:hAnsi="Times New Roman" w:cs="Times New Roman"/>
          <w:color w:val="000000"/>
          <w:spacing w:val="-3"/>
          <w:sz w:val="26"/>
          <w:szCs w:val="20"/>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proofErr w:type="spellStart"/>
      <w:r w:rsidRPr="00C92AD7">
        <w:rPr>
          <w:rFonts w:ascii="Times New Roman" w:eastAsia="Times New Roman" w:hAnsi="Times New Roman" w:cs="Times New Roman"/>
          <w:i/>
          <w:color w:val="000000"/>
          <w:spacing w:val="-3"/>
          <w:sz w:val="26"/>
          <w:szCs w:val="20"/>
          <w:u w:color="000000"/>
        </w:rPr>
        <w:t>Duick</w:t>
      </w:r>
      <w:proofErr w:type="spellEnd"/>
      <w:r w:rsidRPr="00C92AD7">
        <w:rPr>
          <w:rFonts w:ascii="Times New Roman" w:eastAsia="Times New Roman" w:hAnsi="Times New Roman" w:cs="Times New Roman"/>
          <w:color w:val="000000"/>
          <w:spacing w:val="-3"/>
          <w:sz w:val="26"/>
          <w:szCs w:val="20"/>
          <w:u w:color="000000"/>
        </w:rPr>
        <w:t>, 56 Pa. P.U.C. at 559.</w:t>
      </w:r>
    </w:p>
    <w:p w14:paraId="1120C94B" w14:textId="77777777" w:rsidR="0004794F" w:rsidRPr="00C92AD7" w:rsidRDefault="0004794F" w:rsidP="0004794F">
      <w:pPr>
        <w:suppressAutoHyphens/>
        <w:spacing w:after="0" w:line="360" w:lineRule="auto"/>
        <w:rPr>
          <w:rFonts w:ascii="Times New Roman" w:eastAsia="Times New Roman" w:hAnsi="Times New Roman" w:cs="Times New Roman"/>
          <w:color w:val="000000"/>
          <w:spacing w:val="-3"/>
          <w:sz w:val="26"/>
          <w:szCs w:val="20"/>
          <w:u w:color="000000"/>
        </w:rPr>
      </w:pPr>
    </w:p>
    <w:p w14:paraId="31D6FB45" w14:textId="4588AA5B" w:rsidR="0004794F" w:rsidRDefault="0004794F" w:rsidP="0004794F">
      <w:pPr>
        <w:suppressAutoHyphens/>
        <w:spacing w:after="0" w:line="360" w:lineRule="auto"/>
        <w:ind w:firstLine="1440"/>
        <w:rPr>
          <w:rFonts w:ascii="Times New Roman" w:eastAsia="Times New Roman" w:hAnsi="Times New Roman" w:cs="Times New Roman"/>
          <w:i/>
          <w:iCs/>
          <w:sz w:val="26"/>
          <w:szCs w:val="26"/>
        </w:rPr>
      </w:pPr>
      <w:r w:rsidRPr="00C92AD7">
        <w:rPr>
          <w:rFonts w:ascii="Times New Roman" w:eastAsia="Times New Roman" w:hAnsi="Times New Roman" w:cs="Times New Roman"/>
          <w:sz w:val="26"/>
          <w:szCs w:val="26"/>
        </w:rPr>
        <w:t xml:space="preserve">As we proceed in our review, we note that the considerations of </w:t>
      </w:r>
      <w:proofErr w:type="spellStart"/>
      <w:r w:rsidRPr="00C92AD7">
        <w:rPr>
          <w:rFonts w:ascii="Times New Roman" w:eastAsia="Times New Roman" w:hAnsi="Times New Roman" w:cs="Times New Roman"/>
          <w:i/>
          <w:iCs/>
          <w:sz w:val="26"/>
          <w:szCs w:val="26"/>
        </w:rPr>
        <w:t>Duick</w:t>
      </w:r>
      <w:proofErr w:type="spellEnd"/>
      <w:r w:rsidRPr="00C92AD7">
        <w:rPr>
          <w:rFonts w:ascii="Times New Roman" w:eastAsia="Times New Roman" w:hAnsi="Times New Roman" w:cs="Times New Roman"/>
          <w:sz w:val="26"/>
          <w:szCs w:val="26"/>
        </w:rPr>
        <w:t xml:space="preserve">, on application, essentially, require a two-step analysis.  </w:t>
      </w:r>
      <w:r w:rsidRPr="00C92AD7">
        <w:rPr>
          <w:rFonts w:ascii="Times New Roman" w:eastAsia="Times New Roman" w:hAnsi="Times New Roman" w:cs="Times New Roman"/>
          <w:i/>
          <w:iCs/>
          <w:sz w:val="26"/>
          <w:szCs w:val="26"/>
        </w:rPr>
        <w:t>See</w:t>
      </w:r>
      <w:r w:rsidR="00335CB5">
        <w:rPr>
          <w:rFonts w:ascii="Times New Roman" w:eastAsia="Times New Roman" w:hAnsi="Times New Roman" w:cs="Times New Roman"/>
          <w:i/>
          <w:iCs/>
          <w:sz w:val="26"/>
          <w:szCs w:val="26"/>
        </w:rPr>
        <w:t>,</w:t>
      </w:r>
      <w:r w:rsidRPr="00C92AD7">
        <w:rPr>
          <w:rFonts w:ascii="Times New Roman" w:eastAsia="Times New Roman" w:hAnsi="Times New Roman" w:cs="Times New Roman"/>
          <w:i/>
          <w:iCs/>
          <w:sz w:val="26"/>
          <w:szCs w:val="26"/>
        </w:rPr>
        <w:t xml:space="preserve"> e.g.</w:t>
      </w:r>
      <w:r w:rsidR="00981A9F">
        <w:rPr>
          <w:rFonts w:ascii="Times New Roman" w:eastAsia="Times New Roman" w:hAnsi="Times New Roman" w:cs="Times New Roman"/>
          <w:sz w:val="26"/>
          <w:szCs w:val="26"/>
        </w:rPr>
        <w:t>,</w:t>
      </w:r>
      <w:r w:rsidRPr="00C92AD7">
        <w:rPr>
          <w:rFonts w:ascii="Times New Roman" w:eastAsia="Times New Roman" w:hAnsi="Times New Roman" w:cs="Times New Roman"/>
          <w:i/>
          <w:iCs/>
          <w:sz w:val="26"/>
          <w:szCs w:val="26"/>
        </w:rPr>
        <w:t xml:space="preserve"> SBG Management Services, Inc./Colonial Garden Realty Co., L.P. v. Philadelphia Gas Works</w:t>
      </w:r>
      <w:r w:rsidRPr="00C92AD7">
        <w:rPr>
          <w:rFonts w:ascii="Times New Roman" w:eastAsia="Times New Roman" w:hAnsi="Times New Roman" w:cs="Times New Roman"/>
          <w:sz w:val="26"/>
          <w:szCs w:val="26"/>
        </w:rPr>
        <w:t xml:space="preserve">, Docket No. C-2012-2304183 (Order entered May 19, 2019) (discussing </w:t>
      </w:r>
      <w:r w:rsidRPr="00C92AD7">
        <w:rPr>
          <w:rFonts w:ascii="Times New Roman" w:eastAsia="Times New Roman" w:hAnsi="Times New Roman" w:cs="Times New Roman"/>
          <w:i/>
          <w:iCs/>
          <w:sz w:val="26"/>
          <w:szCs w:val="26"/>
        </w:rPr>
        <w:t>Application of La Mexicana Express Service, LLC, to transport persons in paratransit service, between points within Berks County</w:t>
      </w:r>
      <w:r w:rsidRPr="00C92AD7">
        <w:rPr>
          <w:rFonts w:ascii="Times New Roman" w:eastAsia="Times New Roman" w:hAnsi="Times New Roman" w:cs="Times New Roman"/>
          <w:sz w:val="26"/>
          <w:szCs w:val="26"/>
        </w:rPr>
        <w:t>, Docket No. A-2012-2329717; A-6415209 (Order entered September 11, 2014)).</w:t>
      </w:r>
      <w:r w:rsidR="00335CB5">
        <w:rPr>
          <w:rFonts w:ascii="Times New Roman" w:eastAsia="Times New Roman" w:hAnsi="Times New Roman" w:cs="Times New Roman"/>
          <w:sz w:val="26"/>
          <w:szCs w:val="26"/>
        </w:rPr>
        <w:t xml:space="preserve"> </w:t>
      </w:r>
      <w:r w:rsidRPr="00C92AD7">
        <w:rPr>
          <w:rFonts w:ascii="Times New Roman" w:eastAsia="Times New Roman" w:hAnsi="Times New Roman" w:cs="Times New Roman"/>
          <w:sz w:val="26"/>
          <w:szCs w:val="26"/>
        </w:rPr>
        <w:t xml:space="preserve"> The first step is that we determine whether a party has offered new and novel arguments or identified considerations that appear to have been overlooked or not addressed by the Commission in its previous order.  </w:t>
      </w:r>
      <w:r w:rsidRPr="00C92AD7">
        <w:rPr>
          <w:rFonts w:ascii="Times New Roman" w:eastAsia="Times New Roman" w:hAnsi="Times New Roman" w:cs="Times New Roman"/>
          <w:i/>
          <w:iCs/>
          <w:sz w:val="26"/>
          <w:szCs w:val="26"/>
        </w:rPr>
        <w:t>Id.</w:t>
      </w:r>
      <w:r w:rsidRPr="00C92AD7">
        <w:rPr>
          <w:rFonts w:ascii="Times New Roman" w:eastAsia="Times New Roman" w:hAnsi="Times New Roman" w:cs="Times New Roman"/>
          <w:sz w:val="26"/>
          <w:szCs w:val="26"/>
        </w:rPr>
        <w:t xml:space="preserve">  The second step of the </w:t>
      </w:r>
      <w:proofErr w:type="spellStart"/>
      <w:r w:rsidRPr="00C92AD7">
        <w:rPr>
          <w:rFonts w:ascii="Times New Roman" w:eastAsia="Times New Roman" w:hAnsi="Times New Roman" w:cs="Times New Roman"/>
          <w:i/>
          <w:iCs/>
          <w:sz w:val="26"/>
          <w:szCs w:val="26"/>
        </w:rPr>
        <w:t>Duick</w:t>
      </w:r>
      <w:proofErr w:type="spellEnd"/>
      <w:r w:rsidRPr="00C92AD7">
        <w:rPr>
          <w:rFonts w:ascii="Times New Roman" w:eastAsia="Times New Roman" w:hAnsi="Times New Roman" w:cs="Times New Roman"/>
          <w:sz w:val="26"/>
          <w:szCs w:val="26"/>
        </w:rPr>
        <w:t xml:space="preserve"> analysis is to evaluate the new or novel argument, or overlooked consideration that is alleged, in order to determine whether to modify our previous decision.  </w:t>
      </w:r>
      <w:r w:rsidRPr="00C92AD7">
        <w:rPr>
          <w:rFonts w:ascii="Times New Roman" w:eastAsia="Times New Roman" w:hAnsi="Times New Roman" w:cs="Times New Roman"/>
          <w:i/>
          <w:iCs/>
          <w:sz w:val="26"/>
          <w:szCs w:val="26"/>
        </w:rPr>
        <w:t>Id.</w:t>
      </w:r>
      <w:r w:rsidRPr="00C92AD7">
        <w:rPr>
          <w:rFonts w:ascii="Times New Roman" w:eastAsia="Times New Roman" w:hAnsi="Times New Roman" w:cs="Times New Roman"/>
          <w:sz w:val="26"/>
          <w:szCs w:val="26"/>
        </w:rPr>
        <w:t xml:space="preserve">  We will not necessarily modify our prior decision just because a party offers a new and novel argument or identifies a consideration that was overlooked or not addressed by the Commission in its previous order.  </w:t>
      </w:r>
      <w:r w:rsidRPr="00C92AD7">
        <w:rPr>
          <w:rFonts w:ascii="Times New Roman" w:eastAsia="Times New Roman" w:hAnsi="Times New Roman" w:cs="Times New Roman"/>
          <w:i/>
          <w:iCs/>
          <w:sz w:val="26"/>
          <w:szCs w:val="26"/>
        </w:rPr>
        <w:t>Id.</w:t>
      </w:r>
    </w:p>
    <w:p w14:paraId="1F6C2EDD" w14:textId="4C560941" w:rsidR="00112C24" w:rsidRPr="00CB2064" w:rsidRDefault="00112C24" w:rsidP="00CB2064">
      <w:pPr>
        <w:spacing w:after="0" w:line="360" w:lineRule="auto"/>
        <w:ind w:firstLine="1440"/>
        <w:rPr>
          <w:rFonts w:ascii="Times New Roman" w:hAnsi="Times New Roman" w:cs="Times New Roman"/>
          <w:color w:val="000000" w:themeColor="text1"/>
          <w:sz w:val="26"/>
          <w:szCs w:val="26"/>
        </w:rPr>
      </w:pPr>
    </w:p>
    <w:p w14:paraId="144EA5CF" w14:textId="77777777" w:rsidR="00112C24" w:rsidRPr="00CB2064" w:rsidRDefault="00112C24" w:rsidP="00CB2064">
      <w:pPr>
        <w:spacing w:after="0" w:line="360" w:lineRule="auto"/>
        <w:rPr>
          <w:rFonts w:ascii="Times New Roman" w:hAnsi="Times New Roman" w:cs="Times New Roman"/>
          <w:color w:val="000000" w:themeColor="text1"/>
          <w:sz w:val="26"/>
          <w:szCs w:val="26"/>
        </w:rPr>
      </w:pPr>
    </w:p>
    <w:p w14:paraId="283BC1A7" w14:textId="7731050B" w:rsidR="00C322F0" w:rsidRPr="00B06DAF" w:rsidRDefault="00B06DAF" w:rsidP="00392FFD">
      <w:pPr>
        <w:keepNext/>
        <w:keepLines/>
        <w:spacing w:after="0" w:line="360" w:lineRule="auto"/>
        <w:rPr>
          <w:rFonts w:ascii="Times New Roman" w:eastAsia="Times New Roman" w:hAnsi="Times New Roman" w:cs="Times New Roman"/>
          <w:i/>
          <w:iCs/>
          <w:color w:val="000000" w:themeColor="text1"/>
          <w:sz w:val="26"/>
          <w:szCs w:val="26"/>
        </w:rPr>
      </w:pPr>
      <w:r w:rsidRPr="00B06DAF">
        <w:rPr>
          <w:rFonts w:ascii="Times New Roman" w:eastAsia="Times New Roman" w:hAnsi="Times New Roman" w:cs="Times New Roman"/>
          <w:b/>
          <w:i/>
          <w:iCs/>
          <w:color w:val="000000" w:themeColor="text1"/>
          <w:sz w:val="26"/>
          <w:szCs w:val="26"/>
        </w:rPr>
        <w:lastRenderedPageBreak/>
        <w:t>December 2019 Order</w:t>
      </w:r>
    </w:p>
    <w:p w14:paraId="1780FA23" w14:textId="77777777" w:rsidR="00C322F0" w:rsidRPr="00CB2064" w:rsidRDefault="00C322F0" w:rsidP="00CB2064">
      <w:pPr>
        <w:keepNext/>
        <w:keepLines/>
        <w:spacing w:after="0" w:line="360" w:lineRule="auto"/>
        <w:rPr>
          <w:rFonts w:ascii="Times New Roman" w:eastAsia="Times New Roman" w:hAnsi="Times New Roman" w:cs="Times New Roman"/>
          <w:color w:val="000000" w:themeColor="text1"/>
          <w:sz w:val="26"/>
          <w:szCs w:val="26"/>
        </w:rPr>
      </w:pPr>
    </w:p>
    <w:p w14:paraId="72AADAF6" w14:textId="68D9098B" w:rsidR="00591C48" w:rsidRPr="00921ACE" w:rsidRDefault="00B06DAF" w:rsidP="00CB2064">
      <w:pPr>
        <w:spacing w:after="0" w:line="360" w:lineRule="auto"/>
        <w:ind w:firstLine="1440"/>
        <w:rPr>
          <w:rFonts w:ascii="Times New Roman" w:eastAsia="Times New Roman" w:hAnsi="Times New Roman" w:cs="Times New Roman"/>
          <w:color w:val="000000" w:themeColor="text1"/>
          <w:sz w:val="26"/>
          <w:szCs w:val="26"/>
        </w:rPr>
      </w:pPr>
      <w:bookmarkStart w:id="3" w:name="_Hlk531348592"/>
      <w:bookmarkStart w:id="4" w:name="_Hlk530386860"/>
      <w:r>
        <w:rPr>
          <w:rFonts w:ascii="Times New Roman" w:eastAsia="Times New Roman" w:hAnsi="Times New Roman" w:cs="Times New Roman"/>
          <w:color w:val="000000" w:themeColor="text1"/>
          <w:sz w:val="26"/>
          <w:szCs w:val="26"/>
        </w:rPr>
        <w:t xml:space="preserve">In the </w:t>
      </w:r>
      <w:r w:rsidRPr="0071693B">
        <w:rPr>
          <w:rFonts w:ascii="Times New Roman" w:eastAsia="Times New Roman" w:hAnsi="Times New Roman" w:cs="Times New Roman"/>
          <w:i/>
          <w:iCs/>
          <w:color w:val="000000" w:themeColor="text1"/>
          <w:sz w:val="26"/>
          <w:szCs w:val="26"/>
        </w:rPr>
        <w:t>December 2019 Order</w:t>
      </w:r>
      <w:r w:rsidR="0071693B">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 xml:space="preserve"> we examined</w:t>
      </w:r>
      <w:r w:rsidR="0071693B">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 xml:space="preserve"> </w:t>
      </w:r>
      <w:r w:rsidR="0071693B">
        <w:rPr>
          <w:rFonts w:ascii="Times New Roman" w:eastAsia="Times New Roman" w:hAnsi="Times New Roman" w:cs="Times New Roman"/>
          <w:color w:val="000000" w:themeColor="text1"/>
          <w:sz w:val="26"/>
          <w:szCs w:val="26"/>
        </w:rPr>
        <w:t>from an</w:t>
      </w:r>
      <w:r w:rsidR="00591C48" w:rsidRPr="00CB2064">
        <w:rPr>
          <w:rFonts w:ascii="Times New Roman" w:eastAsia="Times New Roman" w:hAnsi="Times New Roman" w:cs="Times New Roman"/>
          <w:color w:val="000000" w:themeColor="text1"/>
          <w:sz w:val="26"/>
          <w:szCs w:val="26"/>
        </w:rPr>
        <w:t xml:space="preserve"> administrative due process standpoint, </w:t>
      </w:r>
      <w:r w:rsidR="0071693B">
        <w:rPr>
          <w:rFonts w:ascii="Times New Roman" w:eastAsia="Times New Roman" w:hAnsi="Times New Roman" w:cs="Times New Roman"/>
          <w:color w:val="000000" w:themeColor="text1"/>
          <w:sz w:val="26"/>
          <w:szCs w:val="26"/>
        </w:rPr>
        <w:t>the Petitioner’</w:t>
      </w:r>
      <w:r w:rsidR="00591C48" w:rsidRPr="00CB2064">
        <w:rPr>
          <w:rFonts w:ascii="Times New Roman" w:eastAsia="Times New Roman" w:hAnsi="Times New Roman" w:cs="Times New Roman"/>
          <w:color w:val="000000" w:themeColor="text1"/>
          <w:sz w:val="26"/>
          <w:szCs w:val="26"/>
        </w:rPr>
        <w:t xml:space="preserve">s failure to appear at </w:t>
      </w:r>
      <w:r w:rsidR="0071693B">
        <w:rPr>
          <w:rFonts w:ascii="Times New Roman" w:eastAsia="Times New Roman" w:hAnsi="Times New Roman" w:cs="Times New Roman"/>
          <w:color w:val="000000" w:themeColor="text1"/>
          <w:sz w:val="26"/>
          <w:szCs w:val="26"/>
        </w:rPr>
        <w:t>the</w:t>
      </w:r>
      <w:r w:rsidR="00591C48" w:rsidRPr="00CB2064">
        <w:rPr>
          <w:rFonts w:ascii="Times New Roman" w:eastAsia="Times New Roman" w:hAnsi="Times New Roman" w:cs="Times New Roman"/>
          <w:color w:val="000000" w:themeColor="text1"/>
          <w:sz w:val="26"/>
          <w:szCs w:val="26"/>
        </w:rPr>
        <w:t xml:space="preserve"> scheduled and duly notified hearing </w:t>
      </w:r>
      <w:r w:rsidR="0071693B">
        <w:rPr>
          <w:rFonts w:ascii="Times New Roman" w:eastAsia="Times New Roman" w:hAnsi="Times New Roman" w:cs="Times New Roman"/>
          <w:color w:val="000000" w:themeColor="text1"/>
          <w:sz w:val="26"/>
          <w:szCs w:val="26"/>
        </w:rPr>
        <w:t xml:space="preserve">and her deemed waiver </w:t>
      </w:r>
      <w:r w:rsidR="00591C48" w:rsidRPr="00CB2064">
        <w:rPr>
          <w:rFonts w:ascii="Times New Roman" w:eastAsia="Times New Roman" w:hAnsi="Times New Roman" w:cs="Times New Roman"/>
          <w:color w:val="000000" w:themeColor="text1"/>
          <w:sz w:val="26"/>
          <w:szCs w:val="26"/>
        </w:rPr>
        <w:t>of the opportunity to participate in a hearing in the matter</w:t>
      </w:r>
      <w:r w:rsidR="0071693B">
        <w:rPr>
          <w:rFonts w:ascii="Times New Roman" w:eastAsia="Times New Roman" w:hAnsi="Times New Roman" w:cs="Times New Roman"/>
          <w:color w:val="000000" w:themeColor="text1"/>
          <w:sz w:val="26"/>
          <w:szCs w:val="26"/>
        </w:rPr>
        <w:t>, pursuant to</w:t>
      </w:r>
      <w:r w:rsidR="00591C48" w:rsidRPr="00CB2064">
        <w:rPr>
          <w:rFonts w:ascii="Times New Roman" w:eastAsia="Times New Roman" w:hAnsi="Times New Roman" w:cs="Times New Roman"/>
          <w:color w:val="000000" w:themeColor="text1"/>
          <w:sz w:val="26"/>
          <w:szCs w:val="26"/>
        </w:rPr>
        <w:t xml:space="preserve"> 66</w:t>
      </w:r>
      <w:r w:rsidR="00E01996">
        <w:rPr>
          <w:rFonts w:ascii="Times New Roman" w:eastAsia="Times New Roman" w:hAnsi="Times New Roman" w:cs="Times New Roman"/>
          <w:color w:val="000000" w:themeColor="text1"/>
          <w:sz w:val="26"/>
          <w:szCs w:val="26"/>
        </w:rPr>
        <w:t> </w:t>
      </w:r>
      <w:r w:rsidR="00591C48" w:rsidRPr="00CB2064">
        <w:rPr>
          <w:rFonts w:ascii="Times New Roman" w:eastAsia="Times New Roman" w:hAnsi="Times New Roman" w:cs="Times New Roman"/>
          <w:color w:val="000000" w:themeColor="text1"/>
          <w:sz w:val="26"/>
          <w:szCs w:val="26"/>
        </w:rPr>
        <w:t>Pa.</w:t>
      </w:r>
      <w:r w:rsidR="00E01996">
        <w:rPr>
          <w:rFonts w:ascii="Times New Roman" w:eastAsia="Times New Roman" w:hAnsi="Times New Roman" w:cs="Times New Roman"/>
          <w:color w:val="000000" w:themeColor="text1"/>
          <w:sz w:val="26"/>
          <w:szCs w:val="26"/>
        </w:rPr>
        <w:t> </w:t>
      </w:r>
      <w:r w:rsidR="00591C48" w:rsidRPr="00CB2064">
        <w:rPr>
          <w:rFonts w:ascii="Times New Roman" w:eastAsia="Times New Roman" w:hAnsi="Times New Roman" w:cs="Times New Roman"/>
          <w:color w:val="000000" w:themeColor="text1"/>
          <w:sz w:val="26"/>
          <w:szCs w:val="26"/>
        </w:rPr>
        <w:t xml:space="preserve">C.S. § 332(f); 52 Pa. Code § 5.245(a)-(b).  </w:t>
      </w:r>
      <w:r w:rsidR="0071693B">
        <w:rPr>
          <w:rFonts w:ascii="Times New Roman" w:eastAsia="Times New Roman" w:hAnsi="Times New Roman" w:cs="Times New Roman"/>
          <w:color w:val="000000" w:themeColor="text1"/>
          <w:sz w:val="26"/>
          <w:szCs w:val="26"/>
        </w:rPr>
        <w:t xml:space="preserve">We further considered whether the Petitioner’s </w:t>
      </w:r>
      <w:r w:rsidR="00591C48" w:rsidRPr="00CB2064">
        <w:rPr>
          <w:rFonts w:ascii="Times New Roman" w:eastAsia="Times New Roman" w:hAnsi="Times New Roman" w:cs="Times New Roman"/>
          <w:color w:val="000000" w:themeColor="text1"/>
          <w:sz w:val="26"/>
          <w:szCs w:val="26"/>
        </w:rPr>
        <w:t>failure to appear at the hearing was unavoidable</w:t>
      </w:r>
      <w:r w:rsidR="0071693B">
        <w:rPr>
          <w:rFonts w:ascii="Times New Roman" w:eastAsia="Times New Roman" w:hAnsi="Times New Roman" w:cs="Times New Roman"/>
          <w:color w:val="000000" w:themeColor="text1"/>
          <w:sz w:val="26"/>
          <w:szCs w:val="26"/>
        </w:rPr>
        <w:t>, which</w:t>
      </w:r>
      <w:r w:rsidR="00591C48" w:rsidRPr="00CB2064">
        <w:rPr>
          <w:rFonts w:ascii="Times New Roman" w:eastAsia="Times New Roman" w:hAnsi="Times New Roman" w:cs="Times New Roman"/>
          <w:color w:val="000000" w:themeColor="text1"/>
          <w:sz w:val="26"/>
          <w:szCs w:val="26"/>
        </w:rPr>
        <w:t xml:space="preserve"> </w:t>
      </w:r>
      <w:bookmarkStart w:id="5" w:name="_Hlk530385851"/>
      <w:r w:rsidR="00591C48" w:rsidRPr="00CB2064">
        <w:rPr>
          <w:rFonts w:ascii="Times New Roman" w:eastAsia="Times New Roman" w:hAnsi="Times New Roman" w:cs="Times New Roman"/>
          <w:color w:val="000000" w:themeColor="text1"/>
          <w:sz w:val="26"/>
          <w:szCs w:val="26"/>
        </w:rPr>
        <w:t>is a fact-based question.</w:t>
      </w:r>
      <w:bookmarkEnd w:id="5"/>
      <w:r w:rsidR="00591C48" w:rsidRPr="00CB2064">
        <w:rPr>
          <w:rFonts w:ascii="Times New Roman" w:eastAsia="Times New Roman" w:hAnsi="Times New Roman" w:cs="Times New Roman"/>
          <w:color w:val="000000" w:themeColor="text1"/>
          <w:sz w:val="26"/>
          <w:szCs w:val="26"/>
        </w:rPr>
        <w:t xml:space="preserve"> </w:t>
      </w:r>
      <w:r w:rsidR="00921ACE">
        <w:rPr>
          <w:rFonts w:ascii="Times New Roman" w:eastAsia="Times New Roman" w:hAnsi="Times New Roman" w:cs="Times New Roman"/>
          <w:color w:val="000000" w:themeColor="text1"/>
          <w:sz w:val="26"/>
          <w:szCs w:val="26"/>
        </w:rPr>
        <w:t xml:space="preserve"> There, we found</w:t>
      </w:r>
      <w:r w:rsidR="00AB39D0" w:rsidRPr="00CB2064">
        <w:rPr>
          <w:rFonts w:ascii="Times New Roman" w:eastAsia="Times New Roman" w:hAnsi="Times New Roman" w:cs="Times New Roman"/>
          <w:color w:val="000000" w:themeColor="text1"/>
          <w:sz w:val="26"/>
          <w:szCs w:val="26"/>
        </w:rPr>
        <w:t xml:space="preserve"> that </w:t>
      </w:r>
      <w:r w:rsidR="00921ACE">
        <w:rPr>
          <w:rFonts w:ascii="Times New Roman" w:eastAsia="Times New Roman" w:hAnsi="Times New Roman" w:cs="Times New Roman"/>
          <w:color w:val="000000" w:themeColor="text1"/>
          <w:sz w:val="26"/>
          <w:szCs w:val="26"/>
        </w:rPr>
        <w:t xml:space="preserve">Ms. </w:t>
      </w:r>
      <w:proofErr w:type="spellStart"/>
      <w:r w:rsidR="00921ACE">
        <w:rPr>
          <w:rFonts w:ascii="Times New Roman" w:eastAsia="Times New Roman" w:hAnsi="Times New Roman" w:cs="Times New Roman"/>
          <w:color w:val="000000" w:themeColor="text1"/>
          <w:sz w:val="26"/>
          <w:szCs w:val="26"/>
        </w:rPr>
        <w:t>Benvenger</w:t>
      </w:r>
      <w:proofErr w:type="spellEnd"/>
      <w:r w:rsidR="00AB39D0" w:rsidRPr="00CB2064">
        <w:rPr>
          <w:rFonts w:ascii="Times New Roman" w:eastAsia="Times New Roman" w:hAnsi="Times New Roman" w:cs="Times New Roman"/>
          <w:color w:val="000000" w:themeColor="text1"/>
          <w:sz w:val="26"/>
          <w:szCs w:val="26"/>
        </w:rPr>
        <w:t xml:space="preserve"> </w:t>
      </w:r>
      <w:r w:rsidR="00921ACE">
        <w:rPr>
          <w:rFonts w:ascii="Times New Roman" w:eastAsia="Times New Roman" w:hAnsi="Times New Roman" w:cs="Times New Roman"/>
          <w:color w:val="000000" w:themeColor="text1"/>
          <w:sz w:val="26"/>
          <w:szCs w:val="26"/>
        </w:rPr>
        <w:t xml:space="preserve">did not </w:t>
      </w:r>
      <w:r w:rsidR="00AB39D0" w:rsidRPr="00CB2064">
        <w:rPr>
          <w:rFonts w:ascii="Times New Roman" w:eastAsia="Times New Roman" w:hAnsi="Times New Roman" w:cs="Times New Roman"/>
          <w:color w:val="000000" w:themeColor="text1"/>
          <w:sz w:val="26"/>
          <w:szCs w:val="26"/>
        </w:rPr>
        <w:t>attempt to contact the ALJ to request a continuance or to explain why she failed to appear at the hearing.</w:t>
      </w:r>
      <w:r w:rsidR="00921ACE">
        <w:rPr>
          <w:rFonts w:ascii="Times New Roman" w:eastAsia="Times New Roman" w:hAnsi="Times New Roman" w:cs="Times New Roman"/>
          <w:color w:val="000000" w:themeColor="text1"/>
          <w:sz w:val="26"/>
          <w:szCs w:val="26"/>
        </w:rPr>
        <w:t xml:space="preserve">  </w:t>
      </w:r>
      <w:r w:rsidR="00921ACE" w:rsidRPr="0071693B">
        <w:rPr>
          <w:rFonts w:ascii="Times New Roman" w:eastAsia="Times New Roman" w:hAnsi="Times New Roman" w:cs="Times New Roman"/>
          <w:i/>
          <w:iCs/>
          <w:color w:val="000000" w:themeColor="text1"/>
          <w:sz w:val="26"/>
          <w:szCs w:val="26"/>
        </w:rPr>
        <w:t>December 2019 Order</w:t>
      </w:r>
      <w:r w:rsidR="00921ACE">
        <w:rPr>
          <w:rFonts w:ascii="Times New Roman" w:eastAsia="Times New Roman" w:hAnsi="Times New Roman" w:cs="Times New Roman"/>
          <w:i/>
          <w:iCs/>
          <w:color w:val="000000" w:themeColor="text1"/>
          <w:sz w:val="26"/>
          <w:szCs w:val="26"/>
        </w:rPr>
        <w:t xml:space="preserve"> </w:t>
      </w:r>
      <w:r w:rsidR="00921ACE">
        <w:rPr>
          <w:rFonts w:ascii="Times New Roman" w:eastAsia="Times New Roman" w:hAnsi="Times New Roman" w:cs="Times New Roman"/>
          <w:color w:val="000000" w:themeColor="text1"/>
          <w:sz w:val="26"/>
          <w:szCs w:val="26"/>
        </w:rPr>
        <w:t xml:space="preserve">at 8-9.  </w:t>
      </w:r>
    </w:p>
    <w:bookmarkEnd w:id="3"/>
    <w:p w14:paraId="1F9EFC9D" w14:textId="77777777" w:rsidR="00591C48" w:rsidRPr="00CB2064" w:rsidRDefault="00591C48" w:rsidP="00CB2064">
      <w:pPr>
        <w:overflowPunct w:val="0"/>
        <w:autoSpaceDE w:val="0"/>
        <w:autoSpaceDN w:val="0"/>
        <w:adjustRightInd w:val="0"/>
        <w:spacing w:after="0" w:line="360" w:lineRule="auto"/>
        <w:textAlignment w:val="baseline"/>
        <w:rPr>
          <w:rFonts w:ascii="Times New Roman" w:eastAsia="Times New Roman" w:hAnsi="Times New Roman" w:cs="Times New Roman"/>
          <w:color w:val="000000" w:themeColor="text1"/>
          <w:sz w:val="26"/>
          <w:szCs w:val="26"/>
        </w:rPr>
      </w:pPr>
    </w:p>
    <w:bookmarkEnd w:id="4"/>
    <w:p w14:paraId="4AAF3E10" w14:textId="77777777" w:rsidR="004C2D9A" w:rsidRDefault="00921ACE" w:rsidP="004C2D9A">
      <w:pPr>
        <w:autoSpaceDE w:val="0"/>
        <w:autoSpaceDN w:val="0"/>
        <w:adjustRightInd w:val="0"/>
        <w:spacing w:after="0" w:line="360" w:lineRule="auto"/>
        <w:ind w:firstLine="144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In considering her Exceptions, we explained that the Petitioner </w:t>
      </w:r>
      <w:r w:rsidR="00835C55" w:rsidRPr="00CB2064">
        <w:rPr>
          <w:rFonts w:ascii="Times New Roman" w:eastAsia="Times New Roman" w:hAnsi="Times New Roman" w:cs="Times New Roman"/>
          <w:color w:val="000000" w:themeColor="text1"/>
          <w:sz w:val="26"/>
          <w:szCs w:val="26"/>
        </w:rPr>
        <w:t>provide</w:t>
      </w:r>
      <w:r>
        <w:rPr>
          <w:rFonts w:ascii="Times New Roman" w:eastAsia="Times New Roman" w:hAnsi="Times New Roman" w:cs="Times New Roman"/>
          <w:color w:val="000000" w:themeColor="text1"/>
          <w:sz w:val="26"/>
          <w:szCs w:val="26"/>
        </w:rPr>
        <w:t>d</w:t>
      </w:r>
      <w:r w:rsidR="00835C55" w:rsidRPr="00CB2064">
        <w:rPr>
          <w:rFonts w:ascii="Times New Roman" w:eastAsia="Times New Roman" w:hAnsi="Times New Roman" w:cs="Times New Roman"/>
          <w:color w:val="000000" w:themeColor="text1"/>
          <w:sz w:val="26"/>
          <w:szCs w:val="26"/>
        </w:rPr>
        <w:t xml:space="preserve"> no </w:t>
      </w:r>
      <w:r w:rsidR="007F1860" w:rsidRPr="00CB2064">
        <w:rPr>
          <w:rFonts w:ascii="Times New Roman" w:eastAsia="Times New Roman" w:hAnsi="Times New Roman" w:cs="Times New Roman"/>
          <w:color w:val="000000" w:themeColor="text1"/>
          <w:sz w:val="26"/>
          <w:szCs w:val="26"/>
        </w:rPr>
        <w:t xml:space="preserve">explanation </w:t>
      </w:r>
      <w:r w:rsidR="00B01A33" w:rsidRPr="00CB2064">
        <w:rPr>
          <w:rFonts w:ascii="Times New Roman" w:eastAsia="Times New Roman" w:hAnsi="Times New Roman" w:cs="Times New Roman"/>
          <w:color w:val="000000" w:themeColor="text1"/>
          <w:sz w:val="26"/>
          <w:szCs w:val="26"/>
        </w:rPr>
        <w:t xml:space="preserve">as to why </w:t>
      </w:r>
      <w:r w:rsidR="00AA761C" w:rsidRPr="00CB2064">
        <w:rPr>
          <w:rFonts w:ascii="Times New Roman" w:eastAsia="Times New Roman" w:hAnsi="Times New Roman" w:cs="Times New Roman"/>
          <w:color w:val="000000" w:themeColor="text1"/>
          <w:sz w:val="26"/>
          <w:szCs w:val="26"/>
        </w:rPr>
        <w:t>s</w:t>
      </w:r>
      <w:r w:rsidR="00B01A33" w:rsidRPr="00CB2064">
        <w:rPr>
          <w:rFonts w:ascii="Times New Roman" w:eastAsia="Times New Roman" w:hAnsi="Times New Roman" w:cs="Times New Roman"/>
          <w:color w:val="000000" w:themeColor="text1"/>
          <w:sz w:val="26"/>
          <w:szCs w:val="26"/>
        </w:rPr>
        <w:t>he missed</w:t>
      </w:r>
      <w:r w:rsidR="00B53DA5" w:rsidRPr="00CB2064">
        <w:rPr>
          <w:rFonts w:ascii="Times New Roman" w:eastAsia="Times New Roman" w:hAnsi="Times New Roman" w:cs="Times New Roman"/>
          <w:color w:val="000000" w:themeColor="text1"/>
          <w:sz w:val="26"/>
          <w:szCs w:val="26"/>
        </w:rPr>
        <w:t xml:space="preserve"> the scheduled hearing</w:t>
      </w:r>
      <w:r w:rsidR="00010509" w:rsidRPr="00CB2064">
        <w:rPr>
          <w:rFonts w:ascii="Times New Roman" w:eastAsia="Times New Roman" w:hAnsi="Times New Roman" w:cs="Times New Roman"/>
          <w:color w:val="000000" w:themeColor="text1"/>
          <w:sz w:val="26"/>
          <w:szCs w:val="26"/>
        </w:rPr>
        <w:t xml:space="preserve">.  </w:t>
      </w:r>
      <w:r w:rsidR="00B01A33" w:rsidRPr="00CB2064">
        <w:rPr>
          <w:rFonts w:ascii="Times New Roman" w:eastAsia="Times New Roman" w:hAnsi="Times New Roman" w:cs="Times New Roman"/>
          <w:color w:val="000000" w:themeColor="text1"/>
          <w:sz w:val="26"/>
          <w:szCs w:val="26"/>
        </w:rPr>
        <w:t xml:space="preserve">Thus, </w:t>
      </w:r>
      <w:r>
        <w:rPr>
          <w:rFonts w:ascii="Times New Roman" w:eastAsia="Times New Roman" w:hAnsi="Times New Roman" w:cs="Times New Roman"/>
          <w:color w:val="000000" w:themeColor="text1"/>
          <w:sz w:val="26"/>
          <w:szCs w:val="26"/>
        </w:rPr>
        <w:t xml:space="preserve">we concluded, </w:t>
      </w:r>
      <w:r w:rsidR="00B01A33" w:rsidRPr="00CB2064">
        <w:rPr>
          <w:rFonts w:ascii="Times New Roman" w:eastAsia="Times New Roman" w:hAnsi="Times New Roman" w:cs="Times New Roman"/>
          <w:color w:val="000000" w:themeColor="text1"/>
          <w:sz w:val="26"/>
          <w:szCs w:val="26"/>
        </w:rPr>
        <w:t xml:space="preserve">there </w:t>
      </w:r>
      <w:r>
        <w:rPr>
          <w:rFonts w:ascii="Times New Roman" w:eastAsia="Times New Roman" w:hAnsi="Times New Roman" w:cs="Times New Roman"/>
          <w:color w:val="000000" w:themeColor="text1"/>
          <w:sz w:val="26"/>
          <w:szCs w:val="26"/>
        </w:rPr>
        <w:t>was</w:t>
      </w:r>
      <w:r w:rsidR="00B01A33" w:rsidRPr="00CB2064">
        <w:rPr>
          <w:rFonts w:ascii="Times New Roman" w:eastAsia="Times New Roman" w:hAnsi="Times New Roman" w:cs="Times New Roman"/>
          <w:color w:val="000000" w:themeColor="text1"/>
          <w:sz w:val="26"/>
          <w:szCs w:val="26"/>
        </w:rPr>
        <w:t xml:space="preserve"> no basis to evaluate </w:t>
      </w:r>
      <w:r w:rsidR="0085527B" w:rsidRPr="00CB2064">
        <w:rPr>
          <w:rFonts w:ascii="Times New Roman" w:eastAsia="Times New Roman" w:hAnsi="Times New Roman" w:cs="Times New Roman"/>
          <w:color w:val="000000" w:themeColor="text1"/>
          <w:sz w:val="26"/>
          <w:szCs w:val="26"/>
        </w:rPr>
        <w:t xml:space="preserve">at the Exceptions stage </w:t>
      </w:r>
      <w:r w:rsidR="00B01A33" w:rsidRPr="00CB2064">
        <w:rPr>
          <w:rFonts w:ascii="Times New Roman" w:eastAsia="Times New Roman" w:hAnsi="Times New Roman" w:cs="Times New Roman"/>
          <w:color w:val="000000" w:themeColor="text1"/>
          <w:sz w:val="26"/>
          <w:szCs w:val="26"/>
        </w:rPr>
        <w:t xml:space="preserve">whether </w:t>
      </w:r>
      <w:r w:rsidR="0030375F" w:rsidRPr="00CB2064">
        <w:rPr>
          <w:rFonts w:ascii="Times New Roman" w:eastAsia="Times New Roman" w:hAnsi="Times New Roman" w:cs="Times New Roman"/>
          <w:color w:val="000000" w:themeColor="text1"/>
          <w:sz w:val="26"/>
          <w:szCs w:val="26"/>
        </w:rPr>
        <w:t xml:space="preserve">Ms. </w:t>
      </w:r>
      <w:proofErr w:type="spellStart"/>
      <w:r w:rsidR="0030375F" w:rsidRPr="00CB2064">
        <w:rPr>
          <w:rFonts w:ascii="Times New Roman" w:eastAsia="Times New Roman" w:hAnsi="Times New Roman" w:cs="Times New Roman"/>
          <w:color w:val="000000" w:themeColor="text1"/>
          <w:sz w:val="26"/>
          <w:szCs w:val="26"/>
        </w:rPr>
        <w:t>Benvenger’s</w:t>
      </w:r>
      <w:proofErr w:type="spellEnd"/>
      <w:r w:rsidR="00B01A33" w:rsidRPr="00CB2064">
        <w:rPr>
          <w:rFonts w:ascii="Times New Roman" w:eastAsia="Times New Roman" w:hAnsi="Times New Roman" w:cs="Times New Roman"/>
          <w:color w:val="000000" w:themeColor="text1"/>
          <w:sz w:val="26"/>
          <w:szCs w:val="26"/>
        </w:rPr>
        <w:t xml:space="preserve"> absence from the hearing was unavoidable.  </w:t>
      </w:r>
      <w:r>
        <w:rPr>
          <w:rFonts w:ascii="Times New Roman" w:eastAsia="Times New Roman" w:hAnsi="Times New Roman" w:cs="Times New Roman"/>
          <w:color w:val="000000" w:themeColor="text1"/>
          <w:sz w:val="26"/>
          <w:szCs w:val="26"/>
        </w:rPr>
        <w:t xml:space="preserve">Additionally, we noted our inability </w:t>
      </w:r>
      <w:r w:rsidR="0030375F" w:rsidRPr="00CB2064">
        <w:rPr>
          <w:rFonts w:ascii="Times New Roman" w:eastAsia="Times New Roman" w:hAnsi="Times New Roman" w:cs="Times New Roman"/>
          <w:color w:val="000000" w:themeColor="text1"/>
          <w:sz w:val="26"/>
          <w:szCs w:val="26"/>
        </w:rPr>
        <w:t xml:space="preserve">to discern what arguments </w:t>
      </w:r>
      <w:r>
        <w:rPr>
          <w:rFonts w:ascii="Times New Roman" w:eastAsia="Times New Roman" w:hAnsi="Times New Roman" w:cs="Times New Roman"/>
          <w:color w:val="000000" w:themeColor="text1"/>
          <w:sz w:val="26"/>
          <w:szCs w:val="26"/>
        </w:rPr>
        <w:t>were</w:t>
      </w:r>
      <w:r w:rsidR="0030375F" w:rsidRPr="00CB2064">
        <w:rPr>
          <w:rFonts w:ascii="Times New Roman" w:eastAsia="Times New Roman" w:hAnsi="Times New Roman" w:cs="Times New Roman"/>
          <w:color w:val="000000" w:themeColor="text1"/>
          <w:sz w:val="26"/>
          <w:szCs w:val="26"/>
        </w:rPr>
        <w:t xml:space="preserve"> actually being asserted in her Exceptions</w:t>
      </w:r>
      <w:r>
        <w:rPr>
          <w:rFonts w:ascii="Times New Roman" w:eastAsia="Times New Roman" w:hAnsi="Times New Roman" w:cs="Times New Roman"/>
          <w:color w:val="000000" w:themeColor="text1"/>
          <w:sz w:val="26"/>
          <w:szCs w:val="26"/>
        </w:rPr>
        <w:t xml:space="preserve"> which consisted of various hand-written statements on Commission-issued documents</w:t>
      </w:r>
      <w:r w:rsidR="0085527B" w:rsidRPr="00CB2064">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 xml:space="preserve">  </w:t>
      </w:r>
      <w:r w:rsidRPr="00921ACE">
        <w:rPr>
          <w:rFonts w:ascii="Times New Roman" w:eastAsia="Times New Roman" w:hAnsi="Times New Roman" w:cs="Times New Roman"/>
          <w:i/>
          <w:iCs/>
          <w:color w:val="000000" w:themeColor="text1"/>
          <w:sz w:val="26"/>
          <w:szCs w:val="26"/>
        </w:rPr>
        <w:t>Id.</w:t>
      </w:r>
      <w:r>
        <w:rPr>
          <w:rFonts w:ascii="Times New Roman" w:eastAsia="Times New Roman" w:hAnsi="Times New Roman" w:cs="Times New Roman"/>
          <w:color w:val="000000" w:themeColor="text1"/>
          <w:sz w:val="26"/>
          <w:szCs w:val="26"/>
        </w:rPr>
        <w:t xml:space="preserve"> at 9.</w:t>
      </w:r>
    </w:p>
    <w:p w14:paraId="78E8EF07" w14:textId="77777777" w:rsidR="004C2D9A" w:rsidRDefault="004C2D9A" w:rsidP="004C2D9A">
      <w:pPr>
        <w:autoSpaceDE w:val="0"/>
        <w:autoSpaceDN w:val="0"/>
        <w:adjustRightInd w:val="0"/>
        <w:spacing w:after="0" w:line="360" w:lineRule="auto"/>
        <w:ind w:firstLine="1440"/>
        <w:rPr>
          <w:rFonts w:ascii="Times New Roman" w:eastAsia="Times New Roman" w:hAnsi="Times New Roman" w:cs="Times New Roman"/>
          <w:color w:val="000000" w:themeColor="text1"/>
          <w:sz w:val="26"/>
          <w:szCs w:val="26"/>
        </w:rPr>
      </w:pPr>
    </w:p>
    <w:p w14:paraId="274FC440" w14:textId="77777777" w:rsidR="004C2D9A" w:rsidRDefault="00C014BD" w:rsidP="004C2D9A">
      <w:pPr>
        <w:autoSpaceDE w:val="0"/>
        <w:autoSpaceDN w:val="0"/>
        <w:adjustRightInd w:val="0"/>
        <w:spacing w:after="0" w:line="360" w:lineRule="auto"/>
        <w:ind w:firstLine="1440"/>
        <w:rPr>
          <w:rFonts w:ascii="Times New Roman" w:hAnsi="Times New Roman" w:cs="Times New Roman"/>
          <w:i/>
          <w:iCs/>
          <w:color w:val="000000" w:themeColor="text1"/>
          <w:sz w:val="26"/>
          <w:szCs w:val="26"/>
        </w:rPr>
      </w:pPr>
      <w:r w:rsidRPr="00CB2064">
        <w:rPr>
          <w:rFonts w:ascii="Times New Roman" w:hAnsi="Times New Roman" w:cs="Times New Roman"/>
          <w:color w:val="000000" w:themeColor="text1"/>
          <w:sz w:val="26"/>
          <w:szCs w:val="26"/>
        </w:rPr>
        <w:t>Under the circumstances of this case, we f</w:t>
      </w:r>
      <w:r w:rsidR="00D642E8">
        <w:rPr>
          <w:rFonts w:ascii="Times New Roman" w:hAnsi="Times New Roman" w:cs="Times New Roman"/>
          <w:color w:val="000000" w:themeColor="text1"/>
          <w:sz w:val="26"/>
          <w:szCs w:val="26"/>
        </w:rPr>
        <w:t>ound</w:t>
      </w:r>
      <w:r w:rsidRPr="00CB2064">
        <w:rPr>
          <w:rFonts w:ascii="Times New Roman" w:hAnsi="Times New Roman" w:cs="Times New Roman"/>
          <w:color w:val="000000" w:themeColor="text1"/>
          <w:sz w:val="26"/>
          <w:szCs w:val="26"/>
        </w:rPr>
        <w:t xml:space="preserve"> that the ALJ correctly dismissed the Complaint </w:t>
      </w:r>
      <w:r w:rsidR="006C2461" w:rsidRPr="00CB2064">
        <w:rPr>
          <w:rFonts w:ascii="Times New Roman" w:hAnsi="Times New Roman" w:cs="Times New Roman"/>
          <w:color w:val="000000" w:themeColor="text1"/>
          <w:sz w:val="26"/>
          <w:szCs w:val="26"/>
        </w:rPr>
        <w:t xml:space="preserve">because </w:t>
      </w:r>
      <w:r w:rsidR="0030375F" w:rsidRPr="00CB2064">
        <w:rPr>
          <w:rFonts w:ascii="Times New Roman" w:hAnsi="Times New Roman" w:cs="Times New Roman"/>
          <w:color w:val="000000" w:themeColor="text1"/>
          <w:sz w:val="26"/>
          <w:szCs w:val="26"/>
        </w:rPr>
        <w:t xml:space="preserve">Ms. </w:t>
      </w:r>
      <w:proofErr w:type="spellStart"/>
      <w:r w:rsidR="0030375F" w:rsidRPr="00CB2064">
        <w:rPr>
          <w:rFonts w:ascii="Times New Roman" w:hAnsi="Times New Roman" w:cs="Times New Roman"/>
          <w:color w:val="000000" w:themeColor="text1"/>
          <w:sz w:val="26"/>
          <w:szCs w:val="26"/>
        </w:rPr>
        <w:t>Benvenger</w:t>
      </w:r>
      <w:proofErr w:type="spellEnd"/>
      <w:r w:rsidR="006C2461" w:rsidRPr="00CB2064">
        <w:rPr>
          <w:rFonts w:ascii="Times New Roman" w:hAnsi="Times New Roman" w:cs="Times New Roman"/>
          <w:color w:val="000000" w:themeColor="text1"/>
          <w:sz w:val="26"/>
          <w:szCs w:val="26"/>
        </w:rPr>
        <w:t xml:space="preserve"> failed to appear at the hearing and to present any evidence in support of </w:t>
      </w:r>
      <w:r w:rsidR="006B5AD5" w:rsidRPr="00CB2064">
        <w:rPr>
          <w:rFonts w:ascii="Times New Roman" w:hAnsi="Times New Roman" w:cs="Times New Roman"/>
          <w:color w:val="000000" w:themeColor="text1"/>
          <w:sz w:val="26"/>
          <w:szCs w:val="26"/>
        </w:rPr>
        <w:t>her</w:t>
      </w:r>
      <w:r w:rsidR="006C2461" w:rsidRPr="00CB2064">
        <w:rPr>
          <w:rFonts w:ascii="Times New Roman" w:hAnsi="Times New Roman" w:cs="Times New Roman"/>
          <w:color w:val="000000" w:themeColor="text1"/>
          <w:sz w:val="26"/>
          <w:szCs w:val="26"/>
        </w:rPr>
        <w:t xml:space="preserve"> Complaint</w:t>
      </w:r>
      <w:r w:rsidR="002A7C25" w:rsidRPr="00CB2064">
        <w:rPr>
          <w:rFonts w:ascii="Times New Roman" w:hAnsi="Times New Roman" w:cs="Times New Roman"/>
          <w:color w:val="000000" w:themeColor="text1"/>
          <w:sz w:val="26"/>
          <w:szCs w:val="26"/>
        </w:rPr>
        <w:t>.  Accordingly</w:t>
      </w:r>
      <w:r w:rsidR="006C2461" w:rsidRPr="00CB2064">
        <w:rPr>
          <w:rFonts w:ascii="Times New Roman" w:hAnsi="Times New Roman" w:cs="Times New Roman"/>
          <w:color w:val="000000" w:themeColor="text1"/>
          <w:sz w:val="26"/>
          <w:szCs w:val="26"/>
        </w:rPr>
        <w:t xml:space="preserve">, </w:t>
      </w:r>
      <w:r w:rsidR="00D642E8">
        <w:rPr>
          <w:rFonts w:ascii="Times New Roman" w:hAnsi="Times New Roman" w:cs="Times New Roman"/>
          <w:color w:val="000000" w:themeColor="text1"/>
          <w:sz w:val="26"/>
          <w:szCs w:val="26"/>
        </w:rPr>
        <w:t xml:space="preserve">we determined that </w:t>
      </w:r>
      <w:r w:rsidR="002A7C25" w:rsidRPr="00CB2064">
        <w:rPr>
          <w:rFonts w:ascii="Times New Roman" w:hAnsi="Times New Roman" w:cs="Times New Roman"/>
          <w:color w:val="000000" w:themeColor="text1"/>
          <w:sz w:val="26"/>
          <w:szCs w:val="26"/>
        </w:rPr>
        <w:t xml:space="preserve">the </w:t>
      </w:r>
      <w:r w:rsidR="009D5B16">
        <w:rPr>
          <w:rFonts w:ascii="Times New Roman" w:hAnsi="Times New Roman" w:cs="Times New Roman"/>
          <w:color w:val="000000" w:themeColor="text1"/>
          <w:sz w:val="26"/>
          <w:szCs w:val="26"/>
        </w:rPr>
        <w:t xml:space="preserve">Petitioner </w:t>
      </w:r>
      <w:r w:rsidR="006C2461" w:rsidRPr="00CB2064">
        <w:rPr>
          <w:rFonts w:ascii="Times New Roman" w:hAnsi="Times New Roman" w:cs="Times New Roman"/>
          <w:color w:val="000000" w:themeColor="text1"/>
          <w:sz w:val="26"/>
          <w:szCs w:val="26"/>
        </w:rPr>
        <w:t xml:space="preserve">failed to meet </w:t>
      </w:r>
      <w:r w:rsidR="0085527B" w:rsidRPr="00CB2064">
        <w:rPr>
          <w:rFonts w:ascii="Times New Roman" w:hAnsi="Times New Roman" w:cs="Times New Roman"/>
          <w:color w:val="000000" w:themeColor="text1"/>
          <w:sz w:val="26"/>
          <w:szCs w:val="26"/>
        </w:rPr>
        <w:t>her</w:t>
      </w:r>
      <w:r w:rsidR="006C2461" w:rsidRPr="00CB2064">
        <w:rPr>
          <w:rFonts w:ascii="Times New Roman" w:hAnsi="Times New Roman" w:cs="Times New Roman"/>
          <w:color w:val="000000" w:themeColor="text1"/>
          <w:sz w:val="26"/>
          <w:szCs w:val="26"/>
        </w:rPr>
        <w:t xml:space="preserve"> burden of proof</w:t>
      </w:r>
      <w:r w:rsidR="00D642E8">
        <w:rPr>
          <w:rFonts w:ascii="Times New Roman" w:hAnsi="Times New Roman" w:cs="Times New Roman"/>
          <w:color w:val="000000" w:themeColor="text1"/>
          <w:sz w:val="26"/>
          <w:szCs w:val="26"/>
        </w:rPr>
        <w:t xml:space="preserve"> and denied </w:t>
      </w:r>
      <w:r w:rsidR="00843C06" w:rsidRPr="00CB2064">
        <w:rPr>
          <w:rFonts w:ascii="Times New Roman" w:hAnsi="Times New Roman" w:cs="Times New Roman"/>
          <w:color w:val="000000" w:themeColor="text1"/>
          <w:sz w:val="26"/>
          <w:szCs w:val="26"/>
        </w:rPr>
        <w:t>the Exceptions.</w:t>
      </w:r>
      <w:r w:rsidR="009D5B16">
        <w:rPr>
          <w:rFonts w:ascii="Times New Roman" w:hAnsi="Times New Roman" w:cs="Times New Roman"/>
          <w:color w:val="000000" w:themeColor="text1"/>
          <w:sz w:val="26"/>
          <w:szCs w:val="26"/>
        </w:rPr>
        <w:t xml:space="preserve">  </w:t>
      </w:r>
      <w:r w:rsidR="009D5B16" w:rsidRPr="009D5B16">
        <w:rPr>
          <w:rFonts w:ascii="Times New Roman" w:hAnsi="Times New Roman" w:cs="Times New Roman"/>
          <w:i/>
          <w:iCs/>
          <w:color w:val="000000" w:themeColor="text1"/>
          <w:sz w:val="26"/>
          <w:szCs w:val="26"/>
        </w:rPr>
        <w:t>Id</w:t>
      </w:r>
      <w:r w:rsidR="004C2D9A">
        <w:rPr>
          <w:rFonts w:ascii="Times New Roman" w:hAnsi="Times New Roman" w:cs="Times New Roman"/>
          <w:i/>
          <w:iCs/>
          <w:color w:val="000000" w:themeColor="text1"/>
          <w:sz w:val="26"/>
          <w:szCs w:val="26"/>
        </w:rPr>
        <w:t>.</w:t>
      </w:r>
    </w:p>
    <w:p w14:paraId="4C1D8BD5" w14:textId="77777777" w:rsidR="004C2D9A" w:rsidRDefault="004C2D9A" w:rsidP="004C2D9A">
      <w:pPr>
        <w:autoSpaceDE w:val="0"/>
        <w:autoSpaceDN w:val="0"/>
        <w:adjustRightInd w:val="0"/>
        <w:spacing w:after="0" w:line="360" w:lineRule="auto"/>
        <w:ind w:firstLine="1440"/>
        <w:rPr>
          <w:rFonts w:ascii="Times New Roman" w:hAnsi="Times New Roman" w:cs="Times New Roman"/>
          <w:i/>
          <w:iCs/>
          <w:color w:val="000000" w:themeColor="text1"/>
          <w:sz w:val="26"/>
          <w:szCs w:val="26"/>
        </w:rPr>
      </w:pPr>
    </w:p>
    <w:p w14:paraId="205005EB" w14:textId="77777777" w:rsidR="004C2D9A" w:rsidRDefault="00B326BA" w:rsidP="004C2D9A">
      <w:pPr>
        <w:autoSpaceDE w:val="0"/>
        <w:autoSpaceDN w:val="0"/>
        <w:adjustRightInd w:val="0"/>
        <w:spacing w:after="0" w:line="360" w:lineRule="auto"/>
        <w:rPr>
          <w:rFonts w:ascii="Times New Roman" w:hAnsi="Times New Roman" w:cs="Times New Roman"/>
          <w:b/>
          <w:bCs/>
          <w:sz w:val="26"/>
          <w:szCs w:val="26"/>
        </w:rPr>
      </w:pPr>
      <w:r w:rsidRPr="00861B8F">
        <w:rPr>
          <w:rFonts w:ascii="Times New Roman" w:hAnsi="Times New Roman" w:cs="Times New Roman"/>
          <w:b/>
          <w:bCs/>
          <w:sz w:val="26"/>
          <w:szCs w:val="26"/>
        </w:rPr>
        <w:t>Petition, Answer and Disposition</w:t>
      </w:r>
    </w:p>
    <w:p w14:paraId="4B0369E2" w14:textId="77777777" w:rsidR="004C2D9A" w:rsidRDefault="004C2D9A" w:rsidP="004C2D9A">
      <w:pPr>
        <w:autoSpaceDE w:val="0"/>
        <w:autoSpaceDN w:val="0"/>
        <w:adjustRightInd w:val="0"/>
        <w:spacing w:after="0" w:line="360" w:lineRule="auto"/>
        <w:rPr>
          <w:rFonts w:ascii="Times New Roman" w:hAnsi="Times New Roman" w:cs="Times New Roman"/>
          <w:b/>
          <w:bCs/>
          <w:sz w:val="26"/>
          <w:szCs w:val="26"/>
        </w:rPr>
      </w:pPr>
    </w:p>
    <w:p w14:paraId="3276292E" w14:textId="29ECAAFF" w:rsidR="004C2D9A" w:rsidRDefault="004C2D9A" w:rsidP="004C2D9A">
      <w:pPr>
        <w:autoSpaceDE w:val="0"/>
        <w:autoSpaceDN w:val="0"/>
        <w:adjustRightInd w:val="0"/>
        <w:spacing w:after="0" w:line="360" w:lineRule="auto"/>
        <w:ind w:firstLine="144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In a manner similar to her Exceptions, Ms. </w:t>
      </w:r>
      <w:proofErr w:type="spellStart"/>
      <w:r>
        <w:rPr>
          <w:rFonts w:ascii="Times New Roman" w:hAnsi="Times New Roman" w:cs="Times New Roman"/>
          <w:color w:val="000000" w:themeColor="text1"/>
          <w:sz w:val="26"/>
          <w:szCs w:val="26"/>
        </w:rPr>
        <w:t>Benvenger</w:t>
      </w:r>
      <w:proofErr w:type="spellEnd"/>
      <w:r>
        <w:rPr>
          <w:rFonts w:ascii="Times New Roman" w:hAnsi="Times New Roman" w:cs="Times New Roman"/>
          <w:color w:val="000000" w:themeColor="text1"/>
          <w:sz w:val="26"/>
          <w:szCs w:val="26"/>
        </w:rPr>
        <w:t xml:space="preserve"> in her Petition submits hand-written statements as follows:</w:t>
      </w:r>
    </w:p>
    <w:p w14:paraId="7768D193" w14:textId="0B3CE58C" w:rsidR="004C2D9A" w:rsidRDefault="004C2D9A" w:rsidP="004C2D9A">
      <w:pPr>
        <w:autoSpaceDE w:val="0"/>
        <w:autoSpaceDN w:val="0"/>
        <w:adjustRightInd w:val="0"/>
        <w:spacing w:after="0" w:line="360" w:lineRule="auto"/>
        <w:ind w:firstLine="1440"/>
        <w:rPr>
          <w:rFonts w:ascii="Times New Roman" w:hAnsi="Times New Roman" w:cs="Times New Roman"/>
          <w:color w:val="000000" w:themeColor="text1"/>
          <w:sz w:val="26"/>
          <w:szCs w:val="26"/>
        </w:rPr>
      </w:pPr>
    </w:p>
    <w:p w14:paraId="3A3EEA20" w14:textId="7397087D" w:rsidR="004C2D9A" w:rsidRDefault="004C2D9A" w:rsidP="00A15E3D">
      <w:pPr>
        <w:autoSpaceDE w:val="0"/>
        <w:autoSpaceDN w:val="0"/>
        <w:adjustRightInd w:val="0"/>
        <w:spacing w:after="0" w:line="240" w:lineRule="auto"/>
        <w:ind w:left="1440" w:right="144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1.</w:t>
      </w:r>
      <w:r>
        <w:rPr>
          <w:rFonts w:ascii="Times New Roman" w:hAnsi="Times New Roman" w:cs="Times New Roman"/>
          <w:color w:val="000000" w:themeColor="text1"/>
          <w:sz w:val="26"/>
          <w:szCs w:val="26"/>
        </w:rPr>
        <w:tab/>
        <w:t xml:space="preserve">2018 Year.  PECO </w:t>
      </w:r>
      <w:r w:rsidR="003920B4">
        <w:rPr>
          <w:rFonts w:ascii="Times New Roman" w:hAnsi="Times New Roman" w:cs="Times New Roman"/>
          <w:color w:val="000000" w:themeColor="text1"/>
          <w:sz w:val="26"/>
          <w:szCs w:val="26"/>
        </w:rPr>
        <w:t>– moved to dismiss the Complaint with prejudice for lack of prosecution.  Page 3.</w:t>
      </w:r>
    </w:p>
    <w:p w14:paraId="042DA6D7" w14:textId="77777777" w:rsidR="00A15E3D" w:rsidRDefault="00A15E3D" w:rsidP="00A15E3D">
      <w:pPr>
        <w:autoSpaceDE w:val="0"/>
        <w:autoSpaceDN w:val="0"/>
        <w:adjustRightInd w:val="0"/>
        <w:spacing w:after="0" w:line="240" w:lineRule="auto"/>
        <w:ind w:left="1440" w:right="1440"/>
        <w:rPr>
          <w:rFonts w:ascii="Times New Roman" w:hAnsi="Times New Roman" w:cs="Times New Roman"/>
          <w:color w:val="000000" w:themeColor="text1"/>
          <w:sz w:val="26"/>
          <w:szCs w:val="26"/>
        </w:rPr>
      </w:pPr>
    </w:p>
    <w:p w14:paraId="63346782" w14:textId="66662A4B" w:rsidR="003920B4" w:rsidRDefault="003920B4" w:rsidP="00A15E3D">
      <w:pPr>
        <w:autoSpaceDE w:val="0"/>
        <w:autoSpaceDN w:val="0"/>
        <w:adjustRightInd w:val="0"/>
        <w:spacing w:after="0" w:line="240" w:lineRule="auto"/>
        <w:ind w:left="1440" w:right="144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r>
        <w:rPr>
          <w:rFonts w:ascii="Times New Roman" w:hAnsi="Times New Roman" w:cs="Times New Roman"/>
          <w:color w:val="000000" w:themeColor="text1"/>
          <w:sz w:val="26"/>
          <w:szCs w:val="26"/>
        </w:rPr>
        <w:tab/>
        <w:t>Page 4 – This case is marked closed.  Page 10</w:t>
      </w:r>
    </w:p>
    <w:p w14:paraId="7871752E" w14:textId="77777777" w:rsidR="00A15E3D" w:rsidRDefault="00A15E3D" w:rsidP="00A15E3D">
      <w:pPr>
        <w:autoSpaceDE w:val="0"/>
        <w:autoSpaceDN w:val="0"/>
        <w:adjustRightInd w:val="0"/>
        <w:spacing w:after="0" w:line="240" w:lineRule="auto"/>
        <w:ind w:left="1440" w:right="1440"/>
        <w:rPr>
          <w:rFonts w:ascii="Times New Roman" w:hAnsi="Times New Roman" w:cs="Times New Roman"/>
          <w:color w:val="000000" w:themeColor="text1"/>
          <w:sz w:val="26"/>
          <w:szCs w:val="26"/>
        </w:rPr>
      </w:pPr>
    </w:p>
    <w:p w14:paraId="2A87548E" w14:textId="32753398" w:rsidR="003920B4" w:rsidRDefault="003920B4" w:rsidP="00A15E3D">
      <w:pPr>
        <w:autoSpaceDE w:val="0"/>
        <w:autoSpaceDN w:val="0"/>
        <w:adjustRightInd w:val="0"/>
        <w:spacing w:after="0" w:line="240" w:lineRule="auto"/>
        <w:ind w:left="1440" w:right="144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r>
        <w:rPr>
          <w:rFonts w:ascii="Times New Roman" w:hAnsi="Times New Roman" w:cs="Times New Roman"/>
          <w:color w:val="000000" w:themeColor="text1"/>
          <w:sz w:val="26"/>
          <w:szCs w:val="26"/>
        </w:rPr>
        <w:tab/>
        <w:t>Page 8 – PECO said they have no office in Carlisle, PA – I have env</w:t>
      </w:r>
      <w:r w:rsidR="00A15E3D">
        <w:rPr>
          <w:rFonts w:ascii="Times New Roman" w:hAnsi="Times New Roman" w:cs="Times New Roman"/>
          <w:color w:val="000000" w:themeColor="text1"/>
          <w:sz w:val="26"/>
          <w:szCs w:val="26"/>
        </w:rPr>
        <w:t>e</w:t>
      </w:r>
      <w:r>
        <w:rPr>
          <w:rFonts w:ascii="Times New Roman" w:hAnsi="Times New Roman" w:cs="Times New Roman"/>
          <w:color w:val="000000" w:themeColor="text1"/>
          <w:sz w:val="26"/>
          <w:szCs w:val="26"/>
        </w:rPr>
        <w:t xml:space="preserve">lopes with PECO’s name and Carlisle, PA address.  Investigations </w:t>
      </w:r>
      <w:proofErr w:type="gramStart"/>
      <w:r>
        <w:rPr>
          <w:rFonts w:ascii="Times New Roman" w:hAnsi="Times New Roman" w:cs="Times New Roman"/>
          <w:color w:val="000000" w:themeColor="text1"/>
          <w:sz w:val="26"/>
          <w:szCs w:val="26"/>
        </w:rPr>
        <w:t>World Wide</w:t>
      </w:r>
      <w:proofErr w:type="gramEnd"/>
      <w:r>
        <w:rPr>
          <w:rFonts w:ascii="Times New Roman" w:hAnsi="Times New Roman" w:cs="Times New Roman"/>
          <w:color w:val="000000" w:themeColor="text1"/>
          <w:sz w:val="26"/>
          <w:szCs w:val="26"/>
        </w:rPr>
        <w:t>.</w:t>
      </w:r>
    </w:p>
    <w:p w14:paraId="7157C8EC" w14:textId="77777777" w:rsidR="00A15E3D" w:rsidRDefault="00A15E3D" w:rsidP="00A15E3D">
      <w:pPr>
        <w:autoSpaceDE w:val="0"/>
        <w:autoSpaceDN w:val="0"/>
        <w:adjustRightInd w:val="0"/>
        <w:spacing w:after="0" w:line="240" w:lineRule="auto"/>
        <w:ind w:left="1440" w:right="1440" w:firstLine="1440"/>
        <w:rPr>
          <w:rFonts w:ascii="Times New Roman" w:hAnsi="Times New Roman" w:cs="Times New Roman"/>
          <w:color w:val="000000" w:themeColor="text1"/>
          <w:sz w:val="26"/>
          <w:szCs w:val="26"/>
        </w:rPr>
      </w:pPr>
    </w:p>
    <w:p w14:paraId="76F7B0A9" w14:textId="0C40CF74" w:rsidR="003920B4" w:rsidRDefault="004C10C4" w:rsidP="00A15E3D">
      <w:pPr>
        <w:autoSpaceDE w:val="0"/>
        <w:autoSpaceDN w:val="0"/>
        <w:adjustRightInd w:val="0"/>
        <w:spacing w:after="0" w:line="240" w:lineRule="auto"/>
        <w:ind w:left="1440" w:right="144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w:t>
      </w:r>
      <w:r>
        <w:rPr>
          <w:rFonts w:ascii="Times New Roman" w:hAnsi="Times New Roman" w:cs="Times New Roman"/>
          <w:color w:val="000000" w:themeColor="text1"/>
          <w:sz w:val="26"/>
          <w:szCs w:val="26"/>
        </w:rPr>
        <w:tab/>
        <w:t>The $4.15 Paid – with overpaid accounts – monthly to PECO.</w:t>
      </w:r>
    </w:p>
    <w:p w14:paraId="2D6348FE" w14:textId="77777777" w:rsidR="00A15E3D" w:rsidRDefault="00A15E3D" w:rsidP="00A15E3D">
      <w:pPr>
        <w:autoSpaceDE w:val="0"/>
        <w:autoSpaceDN w:val="0"/>
        <w:adjustRightInd w:val="0"/>
        <w:spacing w:after="0" w:line="240" w:lineRule="auto"/>
        <w:ind w:left="1440" w:right="1440"/>
        <w:rPr>
          <w:rFonts w:ascii="Times New Roman" w:hAnsi="Times New Roman" w:cs="Times New Roman"/>
          <w:color w:val="000000" w:themeColor="text1"/>
          <w:sz w:val="26"/>
          <w:szCs w:val="26"/>
        </w:rPr>
      </w:pPr>
    </w:p>
    <w:p w14:paraId="581BE338" w14:textId="33B40E0D" w:rsidR="004C10C4" w:rsidRDefault="004C10C4" w:rsidP="00A15E3D">
      <w:pPr>
        <w:autoSpaceDE w:val="0"/>
        <w:autoSpaceDN w:val="0"/>
        <w:adjustRightInd w:val="0"/>
        <w:spacing w:after="0" w:line="240" w:lineRule="auto"/>
        <w:ind w:left="1440" w:right="144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w:t>
      </w:r>
      <w:r>
        <w:rPr>
          <w:rFonts w:ascii="Times New Roman" w:hAnsi="Times New Roman" w:cs="Times New Roman"/>
          <w:color w:val="000000" w:themeColor="text1"/>
          <w:sz w:val="26"/>
          <w:szCs w:val="26"/>
        </w:rPr>
        <w:tab/>
        <w:t>My account is now updated at PECO.</w:t>
      </w:r>
    </w:p>
    <w:p w14:paraId="30A74862" w14:textId="77777777" w:rsidR="00A15E3D" w:rsidRDefault="00A15E3D" w:rsidP="00A15E3D">
      <w:pPr>
        <w:autoSpaceDE w:val="0"/>
        <w:autoSpaceDN w:val="0"/>
        <w:adjustRightInd w:val="0"/>
        <w:spacing w:after="0" w:line="240" w:lineRule="auto"/>
        <w:ind w:left="1440" w:right="1440" w:firstLine="1440"/>
        <w:rPr>
          <w:rFonts w:ascii="Times New Roman" w:hAnsi="Times New Roman" w:cs="Times New Roman"/>
          <w:color w:val="000000" w:themeColor="text1"/>
          <w:sz w:val="26"/>
          <w:szCs w:val="26"/>
        </w:rPr>
      </w:pPr>
    </w:p>
    <w:p w14:paraId="1D8BD141" w14:textId="54F4066C" w:rsidR="004C10C4" w:rsidRDefault="004C10C4" w:rsidP="00A15E3D">
      <w:pPr>
        <w:autoSpaceDE w:val="0"/>
        <w:autoSpaceDN w:val="0"/>
        <w:adjustRightInd w:val="0"/>
        <w:spacing w:after="0" w:line="240" w:lineRule="auto"/>
        <w:ind w:left="1440" w:right="144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w:t>
      </w:r>
      <w:r>
        <w:rPr>
          <w:rFonts w:ascii="Times New Roman" w:hAnsi="Times New Roman" w:cs="Times New Roman"/>
          <w:color w:val="000000" w:themeColor="text1"/>
          <w:sz w:val="26"/>
          <w:szCs w:val="26"/>
        </w:rPr>
        <w:tab/>
        <w:t>Cash-money orders paid to PECO’s payment depts. – processing.</w:t>
      </w:r>
    </w:p>
    <w:p w14:paraId="04D9D2BF" w14:textId="3387AB09" w:rsidR="004C10C4" w:rsidRDefault="004C10C4" w:rsidP="004C2D9A">
      <w:pPr>
        <w:autoSpaceDE w:val="0"/>
        <w:autoSpaceDN w:val="0"/>
        <w:adjustRightInd w:val="0"/>
        <w:spacing w:after="0" w:line="360" w:lineRule="auto"/>
        <w:ind w:firstLine="1440"/>
        <w:rPr>
          <w:rFonts w:ascii="Times New Roman" w:hAnsi="Times New Roman" w:cs="Times New Roman"/>
          <w:color w:val="000000" w:themeColor="text1"/>
          <w:sz w:val="26"/>
          <w:szCs w:val="26"/>
        </w:rPr>
      </w:pPr>
    </w:p>
    <w:p w14:paraId="76B940DF" w14:textId="4BF59458" w:rsidR="004C10C4" w:rsidRDefault="004C10C4" w:rsidP="00A15E3D">
      <w:pPr>
        <w:autoSpaceDE w:val="0"/>
        <w:autoSpaceDN w:val="0"/>
        <w:adjustRightInd w:val="0"/>
        <w:spacing w:after="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Peti</w:t>
      </w:r>
      <w:r w:rsidR="00A15E3D">
        <w:rPr>
          <w:rFonts w:ascii="Times New Roman" w:hAnsi="Times New Roman" w:cs="Times New Roman"/>
          <w:color w:val="000000" w:themeColor="text1"/>
          <w:sz w:val="26"/>
          <w:szCs w:val="26"/>
        </w:rPr>
        <w:t>tion at 1-2.</w:t>
      </w:r>
      <w:r w:rsidR="00A15E3D">
        <w:rPr>
          <w:rStyle w:val="FootnoteReference"/>
          <w:rFonts w:ascii="Times New Roman" w:hAnsi="Times New Roman" w:cs="Times New Roman"/>
          <w:color w:val="000000" w:themeColor="text1"/>
          <w:sz w:val="26"/>
          <w:szCs w:val="26"/>
        </w:rPr>
        <w:footnoteReference w:id="2"/>
      </w:r>
    </w:p>
    <w:p w14:paraId="2748DE98" w14:textId="319032E7" w:rsidR="004A6D56" w:rsidRDefault="004A6D56" w:rsidP="00A15E3D">
      <w:pPr>
        <w:autoSpaceDE w:val="0"/>
        <w:autoSpaceDN w:val="0"/>
        <w:adjustRightInd w:val="0"/>
        <w:spacing w:after="0" w:line="360" w:lineRule="auto"/>
        <w:rPr>
          <w:rFonts w:ascii="Times New Roman" w:hAnsi="Times New Roman" w:cs="Times New Roman"/>
          <w:color w:val="000000" w:themeColor="text1"/>
          <w:sz w:val="26"/>
          <w:szCs w:val="26"/>
        </w:rPr>
      </w:pPr>
    </w:p>
    <w:p w14:paraId="089DBD6F" w14:textId="4226AB2C" w:rsidR="00AF70F3" w:rsidRDefault="004A6D56" w:rsidP="00AF70F3">
      <w:pPr>
        <w:autoSpaceDE w:val="0"/>
        <w:autoSpaceDN w:val="0"/>
        <w:adjustRightInd w:val="0"/>
        <w:spacing w:after="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002D4AE6">
        <w:rPr>
          <w:rFonts w:ascii="Times New Roman" w:hAnsi="Times New Roman" w:cs="Times New Roman"/>
          <w:color w:val="000000" w:themeColor="text1"/>
          <w:sz w:val="26"/>
          <w:szCs w:val="26"/>
        </w:rPr>
        <w:t>In its Answer to the Petition</w:t>
      </w:r>
      <w:r w:rsidR="00BD4D3B">
        <w:rPr>
          <w:rFonts w:ascii="Times New Roman" w:hAnsi="Times New Roman" w:cs="Times New Roman"/>
          <w:color w:val="000000" w:themeColor="text1"/>
          <w:sz w:val="26"/>
          <w:szCs w:val="26"/>
        </w:rPr>
        <w:t xml:space="preserve">, PECO argues that it is unable to discern what arguments the Petitioner is making and that she does not appear to assert any new arguments or facts.  PECO contends that Ms. </w:t>
      </w:r>
      <w:proofErr w:type="spellStart"/>
      <w:r w:rsidR="00BD4D3B">
        <w:rPr>
          <w:rFonts w:ascii="Times New Roman" w:hAnsi="Times New Roman" w:cs="Times New Roman"/>
          <w:color w:val="000000" w:themeColor="text1"/>
          <w:sz w:val="26"/>
          <w:szCs w:val="26"/>
        </w:rPr>
        <w:t>Benvenger</w:t>
      </w:r>
      <w:proofErr w:type="spellEnd"/>
      <w:r w:rsidR="00BD4D3B">
        <w:rPr>
          <w:rFonts w:ascii="Times New Roman" w:hAnsi="Times New Roman" w:cs="Times New Roman"/>
          <w:color w:val="000000" w:themeColor="text1"/>
          <w:sz w:val="26"/>
          <w:szCs w:val="26"/>
        </w:rPr>
        <w:t xml:space="preserve"> has failed to set forth any issues that warrant the reopening of the proceeding and that her Petition should be denied in its entirety.  Answer to Petition at </w:t>
      </w:r>
      <w:r w:rsidR="008C79BC">
        <w:rPr>
          <w:rFonts w:ascii="Times New Roman" w:hAnsi="Times New Roman" w:cs="Times New Roman"/>
          <w:color w:val="000000" w:themeColor="text1"/>
          <w:sz w:val="26"/>
          <w:szCs w:val="26"/>
        </w:rPr>
        <w:t>1-</w:t>
      </w:r>
      <w:r w:rsidR="00BD4D3B">
        <w:rPr>
          <w:rFonts w:ascii="Times New Roman" w:hAnsi="Times New Roman" w:cs="Times New Roman"/>
          <w:color w:val="000000" w:themeColor="text1"/>
          <w:sz w:val="26"/>
          <w:szCs w:val="26"/>
        </w:rPr>
        <w:t>2.</w:t>
      </w:r>
    </w:p>
    <w:p w14:paraId="09164432" w14:textId="77777777" w:rsidR="00AF70F3" w:rsidRDefault="00AF70F3" w:rsidP="00AF70F3">
      <w:pPr>
        <w:autoSpaceDE w:val="0"/>
        <w:autoSpaceDN w:val="0"/>
        <w:adjustRightInd w:val="0"/>
        <w:spacing w:after="0" w:line="360" w:lineRule="auto"/>
        <w:rPr>
          <w:rFonts w:ascii="Times New Roman" w:hAnsi="Times New Roman" w:cs="Times New Roman"/>
          <w:color w:val="000000" w:themeColor="text1"/>
          <w:sz w:val="26"/>
          <w:szCs w:val="26"/>
        </w:rPr>
      </w:pPr>
    </w:p>
    <w:p w14:paraId="55578AF1" w14:textId="26FC36F5" w:rsidR="002B3A11" w:rsidRDefault="00C91E50" w:rsidP="00AF70F3">
      <w:pPr>
        <w:autoSpaceDE w:val="0"/>
        <w:autoSpaceDN w:val="0"/>
        <w:adjustRightInd w:val="0"/>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Upon review, </w:t>
      </w:r>
      <w:r w:rsidRPr="00C92AD7">
        <w:rPr>
          <w:rFonts w:ascii="Times New Roman" w:eastAsia="Times New Roman" w:hAnsi="Times New Roman" w:cs="Times New Roman"/>
          <w:sz w:val="26"/>
          <w:szCs w:val="26"/>
        </w:rPr>
        <w:t xml:space="preserve">we determine </w:t>
      </w:r>
      <w:r>
        <w:rPr>
          <w:rFonts w:ascii="Times New Roman" w:eastAsia="Times New Roman" w:hAnsi="Times New Roman" w:cs="Times New Roman"/>
          <w:sz w:val="26"/>
          <w:szCs w:val="26"/>
        </w:rPr>
        <w:t xml:space="preserve">that Ms. </w:t>
      </w:r>
      <w:proofErr w:type="spellStart"/>
      <w:r>
        <w:rPr>
          <w:rFonts w:ascii="Times New Roman" w:eastAsia="Times New Roman" w:hAnsi="Times New Roman" w:cs="Times New Roman"/>
          <w:sz w:val="26"/>
          <w:szCs w:val="26"/>
        </w:rPr>
        <w:t>Benvenger</w:t>
      </w:r>
      <w:proofErr w:type="spellEnd"/>
      <w:r>
        <w:rPr>
          <w:rFonts w:ascii="Times New Roman" w:eastAsia="Times New Roman" w:hAnsi="Times New Roman" w:cs="Times New Roman"/>
          <w:sz w:val="26"/>
          <w:szCs w:val="26"/>
        </w:rPr>
        <w:t xml:space="preserve"> has failed to </w:t>
      </w:r>
      <w:r w:rsidRPr="00C92AD7">
        <w:rPr>
          <w:rFonts w:ascii="Times New Roman" w:eastAsia="Times New Roman" w:hAnsi="Times New Roman" w:cs="Times New Roman"/>
          <w:sz w:val="26"/>
          <w:szCs w:val="26"/>
        </w:rPr>
        <w:t>offer</w:t>
      </w:r>
      <w:r>
        <w:rPr>
          <w:rFonts w:ascii="Times New Roman" w:eastAsia="Times New Roman" w:hAnsi="Times New Roman" w:cs="Times New Roman"/>
          <w:sz w:val="26"/>
          <w:szCs w:val="26"/>
        </w:rPr>
        <w:t xml:space="preserve"> any</w:t>
      </w:r>
      <w:r w:rsidRPr="00C92AD7">
        <w:rPr>
          <w:rFonts w:ascii="Times New Roman" w:eastAsia="Times New Roman" w:hAnsi="Times New Roman" w:cs="Times New Roman"/>
          <w:sz w:val="26"/>
          <w:szCs w:val="26"/>
        </w:rPr>
        <w:t xml:space="preserve"> new and novel arguments or identi</w:t>
      </w:r>
      <w:r>
        <w:rPr>
          <w:rFonts w:ascii="Times New Roman" w:eastAsia="Times New Roman" w:hAnsi="Times New Roman" w:cs="Times New Roman"/>
          <w:sz w:val="26"/>
          <w:szCs w:val="26"/>
        </w:rPr>
        <w:t>fy any</w:t>
      </w:r>
      <w:r w:rsidRPr="00C92AD7">
        <w:rPr>
          <w:rFonts w:ascii="Times New Roman" w:eastAsia="Times New Roman" w:hAnsi="Times New Roman" w:cs="Times New Roman"/>
          <w:sz w:val="26"/>
          <w:szCs w:val="26"/>
        </w:rPr>
        <w:t xml:space="preserve"> considerations that </w:t>
      </w:r>
      <w:r>
        <w:rPr>
          <w:rFonts w:ascii="Times New Roman" w:eastAsia="Times New Roman" w:hAnsi="Times New Roman" w:cs="Times New Roman"/>
          <w:sz w:val="26"/>
          <w:szCs w:val="26"/>
        </w:rPr>
        <w:t xml:space="preserve">we may have overlooked or not addressed in the </w:t>
      </w:r>
      <w:r w:rsidRPr="00C91E50">
        <w:rPr>
          <w:rFonts w:ascii="Times New Roman" w:eastAsia="Times New Roman" w:hAnsi="Times New Roman" w:cs="Times New Roman"/>
          <w:i/>
          <w:iCs/>
          <w:sz w:val="26"/>
          <w:szCs w:val="26"/>
        </w:rPr>
        <w:t>December 2019 Order</w:t>
      </w:r>
      <w:r>
        <w:rPr>
          <w:rFonts w:ascii="Times New Roman" w:eastAsia="Times New Roman" w:hAnsi="Times New Roman" w:cs="Times New Roman"/>
          <w:sz w:val="26"/>
          <w:szCs w:val="26"/>
        </w:rPr>
        <w:t xml:space="preserve">.  In fact, many of the Petitioner’s statements simply repeat the assertions made in her Exceptions.  For example, Ms. </w:t>
      </w:r>
      <w:proofErr w:type="spellStart"/>
      <w:r>
        <w:rPr>
          <w:rFonts w:ascii="Times New Roman" w:eastAsia="Times New Roman" w:hAnsi="Times New Roman" w:cs="Times New Roman"/>
          <w:sz w:val="26"/>
          <w:szCs w:val="26"/>
        </w:rPr>
        <w:t>Benvenger’s</w:t>
      </w:r>
      <w:proofErr w:type="spellEnd"/>
      <w:r>
        <w:rPr>
          <w:rFonts w:ascii="Times New Roman" w:eastAsia="Times New Roman" w:hAnsi="Times New Roman" w:cs="Times New Roman"/>
          <w:sz w:val="26"/>
          <w:szCs w:val="26"/>
        </w:rPr>
        <w:t xml:space="preserve"> references to PECO’s office in Carlisle, Pa., </w:t>
      </w:r>
      <w:r w:rsidR="00AF70F3">
        <w:rPr>
          <w:rFonts w:ascii="Times New Roman" w:eastAsia="Times New Roman" w:hAnsi="Times New Roman" w:cs="Times New Roman"/>
          <w:sz w:val="26"/>
          <w:szCs w:val="26"/>
        </w:rPr>
        <w:t xml:space="preserve">the overpayment of $4.15 monthly to PECO, the payment of cash money orders to the Respondent, and that her account is up to date </w:t>
      </w:r>
      <w:r w:rsidR="00AF70F3">
        <w:rPr>
          <w:rFonts w:ascii="Times New Roman" w:eastAsia="Times New Roman" w:hAnsi="Times New Roman" w:cs="Times New Roman"/>
          <w:sz w:val="26"/>
          <w:szCs w:val="26"/>
        </w:rPr>
        <w:lastRenderedPageBreak/>
        <w:t>were similarly raised in her Exceptions</w:t>
      </w:r>
      <w:r w:rsidR="00BF1663">
        <w:rPr>
          <w:rFonts w:ascii="Times New Roman" w:eastAsia="Times New Roman" w:hAnsi="Times New Roman" w:cs="Times New Roman"/>
          <w:sz w:val="26"/>
          <w:szCs w:val="26"/>
        </w:rPr>
        <w:t xml:space="preserve"> which were denied in the </w:t>
      </w:r>
      <w:r w:rsidR="00BF1663" w:rsidRPr="00C91E50">
        <w:rPr>
          <w:rFonts w:ascii="Times New Roman" w:eastAsia="Times New Roman" w:hAnsi="Times New Roman" w:cs="Times New Roman"/>
          <w:i/>
          <w:iCs/>
          <w:sz w:val="26"/>
          <w:szCs w:val="26"/>
        </w:rPr>
        <w:t>December 2019 Order</w:t>
      </w:r>
      <w:r w:rsidR="00AF70F3">
        <w:rPr>
          <w:rFonts w:ascii="Times New Roman" w:eastAsia="Times New Roman" w:hAnsi="Times New Roman" w:cs="Times New Roman"/>
          <w:sz w:val="26"/>
          <w:szCs w:val="26"/>
        </w:rPr>
        <w:t xml:space="preserve">.  </w:t>
      </w:r>
      <w:r w:rsidR="00AF70F3" w:rsidRPr="00AF70F3">
        <w:rPr>
          <w:rFonts w:ascii="Times New Roman" w:eastAsia="Times New Roman" w:hAnsi="Times New Roman" w:cs="Times New Roman"/>
          <w:i/>
          <w:iCs/>
          <w:sz w:val="26"/>
          <w:szCs w:val="26"/>
        </w:rPr>
        <w:t>See</w:t>
      </w:r>
      <w:r w:rsidR="00AF70F3">
        <w:rPr>
          <w:rFonts w:ascii="Times New Roman" w:eastAsia="Times New Roman" w:hAnsi="Times New Roman" w:cs="Times New Roman"/>
          <w:sz w:val="26"/>
          <w:szCs w:val="26"/>
        </w:rPr>
        <w:t xml:space="preserve"> Exceptions at 1.  </w:t>
      </w:r>
      <w:r>
        <w:rPr>
          <w:rFonts w:ascii="Times New Roman" w:eastAsia="Times New Roman" w:hAnsi="Times New Roman" w:cs="Times New Roman"/>
          <w:sz w:val="26"/>
          <w:szCs w:val="26"/>
        </w:rPr>
        <w:t xml:space="preserve">Accordingly, we shall decline to exercise our discretion to reconsider our prior determination and shall deny the Petition.  </w:t>
      </w:r>
    </w:p>
    <w:p w14:paraId="4B8DF496" w14:textId="77777777" w:rsidR="00AF70F3" w:rsidRPr="004C2D9A" w:rsidRDefault="00AF70F3" w:rsidP="00AF70F3">
      <w:pPr>
        <w:autoSpaceDE w:val="0"/>
        <w:autoSpaceDN w:val="0"/>
        <w:adjustRightInd w:val="0"/>
        <w:spacing w:after="0" w:line="360" w:lineRule="auto"/>
        <w:ind w:firstLine="1440"/>
        <w:rPr>
          <w:rFonts w:ascii="Times New Roman" w:hAnsi="Times New Roman" w:cs="Times New Roman"/>
          <w:color w:val="000000" w:themeColor="text1"/>
          <w:sz w:val="26"/>
          <w:szCs w:val="26"/>
        </w:rPr>
      </w:pPr>
    </w:p>
    <w:p w14:paraId="1A7A2694" w14:textId="77777777" w:rsidR="00C322F0" w:rsidRPr="00CB2064" w:rsidRDefault="00C322F0" w:rsidP="00CB2064">
      <w:pPr>
        <w:keepNext/>
        <w:keepLines/>
        <w:autoSpaceDE w:val="0"/>
        <w:autoSpaceDN w:val="0"/>
        <w:adjustRightInd w:val="0"/>
        <w:spacing w:after="0" w:line="240" w:lineRule="auto"/>
        <w:jc w:val="center"/>
        <w:rPr>
          <w:rFonts w:ascii="Times New Roman" w:eastAsia="Times New Roman" w:hAnsi="Times New Roman" w:cs="Times New Roman"/>
          <w:b/>
          <w:color w:val="000000" w:themeColor="text1"/>
          <w:sz w:val="26"/>
          <w:szCs w:val="26"/>
        </w:rPr>
      </w:pPr>
      <w:r w:rsidRPr="00CB2064">
        <w:rPr>
          <w:rFonts w:ascii="Times New Roman" w:eastAsia="Times New Roman" w:hAnsi="Times New Roman" w:cs="Times New Roman"/>
          <w:b/>
          <w:color w:val="000000" w:themeColor="text1"/>
          <w:sz w:val="26"/>
          <w:szCs w:val="26"/>
        </w:rPr>
        <w:t>Conclusion</w:t>
      </w:r>
    </w:p>
    <w:p w14:paraId="5B26CC3D" w14:textId="77777777" w:rsidR="00C322F0" w:rsidRPr="00CB2064" w:rsidRDefault="00C322F0" w:rsidP="00CB2064">
      <w:pPr>
        <w:keepNext/>
        <w:keepLines/>
        <w:overflowPunct w:val="0"/>
        <w:autoSpaceDE w:val="0"/>
        <w:autoSpaceDN w:val="0"/>
        <w:adjustRightInd w:val="0"/>
        <w:spacing w:after="0" w:line="360" w:lineRule="auto"/>
        <w:textAlignment w:val="baseline"/>
        <w:rPr>
          <w:rFonts w:ascii="Times New Roman" w:eastAsia="Times New Roman" w:hAnsi="Times New Roman" w:cs="Times New Roman"/>
          <w:color w:val="000000" w:themeColor="text1"/>
          <w:sz w:val="26"/>
          <w:szCs w:val="26"/>
        </w:rPr>
      </w:pPr>
    </w:p>
    <w:p w14:paraId="7A761D25" w14:textId="4DD62ECA" w:rsidR="00C322F0" w:rsidRPr="00CB2064" w:rsidRDefault="00047702" w:rsidP="00CB2064">
      <w:pPr>
        <w:autoSpaceDE w:val="0"/>
        <w:autoSpaceDN w:val="0"/>
        <w:adjustRightInd w:val="0"/>
        <w:spacing w:after="0" w:line="360" w:lineRule="auto"/>
        <w:ind w:firstLine="1440"/>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 xml:space="preserve">Based on the foregoing discussion, we shall </w:t>
      </w:r>
      <w:r w:rsidR="00260BF9" w:rsidRPr="00CB2064">
        <w:rPr>
          <w:rFonts w:ascii="Times New Roman" w:eastAsia="Times New Roman" w:hAnsi="Times New Roman" w:cs="Times New Roman"/>
          <w:color w:val="000000" w:themeColor="text1"/>
          <w:sz w:val="26"/>
          <w:szCs w:val="26"/>
        </w:rPr>
        <w:t>deny</w:t>
      </w:r>
      <w:r w:rsidRPr="00CB2064">
        <w:rPr>
          <w:rFonts w:ascii="Times New Roman" w:eastAsia="Times New Roman" w:hAnsi="Times New Roman" w:cs="Times New Roman"/>
          <w:color w:val="000000" w:themeColor="text1"/>
          <w:sz w:val="26"/>
          <w:szCs w:val="26"/>
        </w:rPr>
        <w:t xml:space="preserve"> the </w:t>
      </w:r>
      <w:r w:rsidR="00AF70F3">
        <w:rPr>
          <w:rFonts w:ascii="Times New Roman" w:eastAsia="Times New Roman" w:hAnsi="Times New Roman" w:cs="Times New Roman"/>
          <w:color w:val="000000" w:themeColor="text1"/>
          <w:sz w:val="26"/>
          <w:szCs w:val="26"/>
        </w:rPr>
        <w:t>Petition</w:t>
      </w:r>
      <w:r w:rsidR="00260BF9" w:rsidRPr="00CB2064">
        <w:rPr>
          <w:rFonts w:ascii="Times New Roman" w:eastAsia="Times New Roman" w:hAnsi="Times New Roman" w:cs="Times New Roman"/>
          <w:color w:val="000000" w:themeColor="text1"/>
          <w:sz w:val="26"/>
          <w:szCs w:val="26"/>
        </w:rPr>
        <w:t>,</w:t>
      </w:r>
      <w:r w:rsidRPr="00CB2064">
        <w:rPr>
          <w:rFonts w:ascii="Times New Roman" w:eastAsia="Times New Roman" w:hAnsi="Times New Roman" w:cs="Times New Roman"/>
          <w:color w:val="000000" w:themeColor="text1"/>
          <w:sz w:val="26"/>
          <w:szCs w:val="26"/>
        </w:rPr>
        <w:t xml:space="preserve"> consistent with this Opinion and Order</w:t>
      </w:r>
      <w:r w:rsidR="00C322F0" w:rsidRPr="00CB2064">
        <w:rPr>
          <w:rFonts w:ascii="Times New Roman" w:eastAsia="Times New Roman" w:hAnsi="Times New Roman" w:cs="Times New Roman"/>
          <w:color w:val="000000" w:themeColor="text1"/>
          <w:sz w:val="26"/>
          <w:szCs w:val="26"/>
        </w:rPr>
        <w:t xml:space="preserve">; </w:t>
      </w:r>
      <w:r w:rsidR="00C322F0" w:rsidRPr="00CB2064">
        <w:rPr>
          <w:rFonts w:ascii="Times New Roman" w:eastAsia="Times New Roman" w:hAnsi="Times New Roman" w:cs="Times New Roman"/>
          <w:b/>
          <w:bCs/>
          <w:color w:val="000000" w:themeColor="text1"/>
          <w:sz w:val="26"/>
          <w:szCs w:val="26"/>
        </w:rPr>
        <w:t>THEREFORE</w:t>
      </w:r>
      <w:r w:rsidR="00C322F0" w:rsidRPr="00CB2064">
        <w:rPr>
          <w:rFonts w:ascii="Times New Roman" w:eastAsia="Times New Roman" w:hAnsi="Times New Roman" w:cs="Times New Roman"/>
          <w:color w:val="000000" w:themeColor="text1"/>
          <w:sz w:val="26"/>
          <w:szCs w:val="26"/>
        </w:rPr>
        <w:t>,</w:t>
      </w:r>
    </w:p>
    <w:p w14:paraId="2048FE3E" w14:textId="77777777" w:rsidR="00C322F0" w:rsidRPr="00CB2064" w:rsidRDefault="00C322F0" w:rsidP="00CB2064">
      <w:pPr>
        <w:autoSpaceDE w:val="0"/>
        <w:autoSpaceDN w:val="0"/>
        <w:adjustRightInd w:val="0"/>
        <w:spacing w:after="0" w:line="360" w:lineRule="auto"/>
        <w:jc w:val="both"/>
        <w:rPr>
          <w:rFonts w:ascii="Times New Roman" w:eastAsia="Times New Roman" w:hAnsi="Times New Roman" w:cs="Times New Roman"/>
          <w:color w:val="000000" w:themeColor="text1"/>
          <w:sz w:val="26"/>
          <w:szCs w:val="26"/>
        </w:rPr>
      </w:pPr>
    </w:p>
    <w:p w14:paraId="2B4E5649" w14:textId="77777777" w:rsidR="00C322F0" w:rsidRPr="00CB2064" w:rsidRDefault="00C322F0" w:rsidP="00CB2064">
      <w:pPr>
        <w:keepNext/>
        <w:keepLines/>
        <w:spacing w:after="0" w:line="360" w:lineRule="auto"/>
        <w:ind w:firstLine="1440"/>
        <w:rPr>
          <w:rFonts w:ascii="Times New Roman" w:eastAsia="Times New Roman" w:hAnsi="Times New Roman" w:cs="Times New Roman"/>
          <w:b/>
          <w:color w:val="000000" w:themeColor="text1"/>
          <w:sz w:val="26"/>
          <w:szCs w:val="26"/>
        </w:rPr>
      </w:pPr>
      <w:r w:rsidRPr="00CB2064">
        <w:rPr>
          <w:rFonts w:ascii="Times New Roman" w:eastAsia="Times New Roman" w:hAnsi="Times New Roman" w:cs="Times New Roman"/>
          <w:b/>
          <w:color w:val="000000" w:themeColor="text1"/>
          <w:sz w:val="26"/>
          <w:szCs w:val="26"/>
        </w:rPr>
        <w:t>IT IS ORDERED:</w:t>
      </w:r>
    </w:p>
    <w:p w14:paraId="7750E61D" w14:textId="77777777" w:rsidR="00C322F0" w:rsidRPr="00CB2064" w:rsidRDefault="00C322F0" w:rsidP="00CB2064">
      <w:pPr>
        <w:keepNext/>
        <w:keepLines/>
        <w:spacing w:after="0" w:line="360" w:lineRule="auto"/>
        <w:rPr>
          <w:rFonts w:ascii="Times New Roman" w:eastAsia="Times New Roman" w:hAnsi="Times New Roman" w:cs="Times New Roman"/>
          <w:color w:val="000000" w:themeColor="text1"/>
          <w:sz w:val="26"/>
          <w:szCs w:val="26"/>
        </w:rPr>
      </w:pPr>
    </w:p>
    <w:p w14:paraId="5F35A95E" w14:textId="74EDA9BA" w:rsidR="00260BF9" w:rsidRPr="00CB2064" w:rsidRDefault="00C322F0" w:rsidP="004861ED">
      <w:pPr>
        <w:spacing w:after="0" w:line="360" w:lineRule="auto"/>
        <w:ind w:firstLine="1440"/>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 xml:space="preserve">That the </w:t>
      </w:r>
      <w:r w:rsidR="00AF70F3">
        <w:rPr>
          <w:rFonts w:ascii="Times New Roman" w:eastAsia="Times New Roman" w:hAnsi="Times New Roman" w:cs="Times New Roman"/>
          <w:color w:val="000000" w:themeColor="text1"/>
          <w:sz w:val="26"/>
          <w:szCs w:val="26"/>
        </w:rPr>
        <w:t xml:space="preserve">Petition for Reconsideration </w:t>
      </w:r>
      <w:r w:rsidRPr="00CB2064">
        <w:rPr>
          <w:rFonts w:ascii="Times New Roman" w:eastAsia="Times New Roman" w:hAnsi="Times New Roman" w:cs="Times New Roman"/>
          <w:color w:val="000000" w:themeColor="text1"/>
          <w:sz w:val="26"/>
          <w:szCs w:val="26"/>
        </w:rPr>
        <w:t xml:space="preserve">of </w:t>
      </w:r>
      <w:r w:rsidR="00172304" w:rsidRPr="00CB2064">
        <w:rPr>
          <w:rFonts w:ascii="Times New Roman" w:hAnsi="Times New Roman" w:cs="Times New Roman"/>
          <w:color w:val="000000" w:themeColor="text1"/>
          <w:sz w:val="26"/>
          <w:szCs w:val="26"/>
        </w:rPr>
        <w:t xml:space="preserve">Judith </w:t>
      </w:r>
      <w:proofErr w:type="spellStart"/>
      <w:r w:rsidR="00172304" w:rsidRPr="00CB2064">
        <w:rPr>
          <w:rFonts w:ascii="Times New Roman" w:hAnsi="Times New Roman" w:cs="Times New Roman"/>
          <w:color w:val="000000" w:themeColor="text1"/>
          <w:sz w:val="26"/>
          <w:szCs w:val="26"/>
        </w:rPr>
        <w:t>Benvenger</w:t>
      </w:r>
      <w:proofErr w:type="spellEnd"/>
      <w:r w:rsidR="004A5A4C" w:rsidRPr="00CB2064">
        <w:rPr>
          <w:rFonts w:ascii="Times New Roman" w:hAnsi="Times New Roman" w:cs="Times New Roman"/>
          <w:color w:val="000000" w:themeColor="text1"/>
          <w:sz w:val="26"/>
          <w:szCs w:val="26"/>
        </w:rPr>
        <w:t>,</w:t>
      </w:r>
      <w:r w:rsidRPr="00CB2064">
        <w:rPr>
          <w:rFonts w:ascii="Times New Roman" w:eastAsia="Times New Roman" w:hAnsi="Times New Roman" w:cs="Times New Roman"/>
          <w:color w:val="000000" w:themeColor="text1"/>
          <w:sz w:val="26"/>
          <w:szCs w:val="26"/>
        </w:rPr>
        <w:t xml:space="preserve"> filed </w:t>
      </w:r>
      <w:r w:rsidR="00AF70F3" w:rsidRPr="00CB2064">
        <w:rPr>
          <w:rFonts w:ascii="Times New Roman" w:hAnsi="Times New Roman" w:cs="Times New Roman"/>
          <w:color w:val="000000" w:themeColor="text1"/>
          <w:sz w:val="26"/>
          <w:szCs w:val="26"/>
        </w:rPr>
        <w:t xml:space="preserve">on </w:t>
      </w:r>
      <w:r w:rsidR="00AF70F3">
        <w:rPr>
          <w:rFonts w:ascii="Times New Roman" w:hAnsi="Times New Roman" w:cs="Times New Roman"/>
          <w:color w:val="000000" w:themeColor="text1"/>
          <w:sz w:val="26"/>
          <w:szCs w:val="26"/>
        </w:rPr>
        <w:t>January</w:t>
      </w:r>
      <w:r w:rsidR="00392FFD">
        <w:rPr>
          <w:rFonts w:ascii="Times New Roman" w:hAnsi="Times New Roman" w:cs="Times New Roman"/>
          <w:color w:val="000000" w:themeColor="text1"/>
          <w:sz w:val="26"/>
          <w:szCs w:val="26"/>
        </w:rPr>
        <w:t> </w:t>
      </w:r>
      <w:r w:rsidR="00AF70F3">
        <w:rPr>
          <w:rFonts w:ascii="Times New Roman" w:hAnsi="Times New Roman" w:cs="Times New Roman"/>
          <w:color w:val="000000" w:themeColor="text1"/>
          <w:sz w:val="26"/>
          <w:szCs w:val="26"/>
        </w:rPr>
        <w:t>2, 2020</w:t>
      </w:r>
      <w:r w:rsidRPr="00CB2064">
        <w:rPr>
          <w:rFonts w:ascii="Times New Roman" w:eastAsia="Times New Roman" w:hAnsi="Times New Roman" w:cs="Times New Roman"/>
          <w:color w:val="000000" w:themeColor="text1"/>
          <w:sz w:val="26"/>
          <w:szCs w:val="26"/>
        </w:rPr>
        <w:t xml:space="preserve">, </w:t>
      </w:r>
      <w:r w:rsidR="00AF70F3">
        <w:rPr>
          <w:rFonts w:ascii="Times New Roman" w:eastAsia="Times New Roman" w:hAnsi="Times New Roman" w:cs="Times New Roman"/>
          <w:color w:val="000000" w:themeColor="text1"/>
          <w:sz w:val="26"/>
          <w:szCs w:val="26"/>
        </w:rPr>
        <w:t>is</w:t>
      </w:r>
      <w:r w:rsidRPr="00CB2064">
        <w:rPr>
          <w:rFonts w:ascii="Times New Roman" w:eastAsia="Times New Roman" w:hAnsi="Times New Roman" w:cs="Times New Roman"/>
          <w:color w:val="000000" w:themeColor="text1"/>
          <w:sz w:val="26"/>
          <w:szCs w:val="26"/>
        </w:rPr>
        <w:t xml:space="preserve"> </w:t>
      </w:r>
      <w:r w:rsidR="00260BF9" w:rsidRPr="00CB2064">
        <w:rPr>
          <w:rFonts w:ascii="Times New Roman" w:eastAsia="Times New Roman" w:hAnsi="Times New Roman" w:cs="Times New Roman"/>
          <w:color w:val="000000" w:themeColor="text1"/>
          <w:sz w:val="26"/>
          <w:szCs w:val="26"/>
        </w:rPr>
        <w:t>denied</w:t>
      </w:r>
      <w:r w:rsidR="00047702" w:rsidRPr="00CB2064">
        <w:rPr>
          <w:rFonts w:ascii="Times New Roman" w:eastAsia="Times New Roman" w:hAnsi="Times New Roman" w:cs="Times New Roman"/>
          <w:color w:val="000000" w:themeColor="text1"/>
          <w:sz w:val="26"/>
          <w:szCs w:val="26"/>
        </w:rPr>
        <w:t>,</w:t>
      </w:r>
      <w:r w:rsidR="004A5A4C" w:rsidRPr="00CB2064">
        <w:rPr>
          <w:rFonts w:ascii="Times New Roman" w:eastAsia="Times New Roman" w:hAnsi="Times New Roman" w:cs="Times New Roman"/>
          <w:color w:val="000000" w:themeColor="text1"/>
          <w:sz w:val="26"/>
          <w:szCs w:val="26"/>
        </w:rPr>
        <w:t xml:space="preserve"> </w:t>
      </w:r>
      <w:r w:rsidR="004C46CC" w:rsidRPr="00CB2064">
        <w:rPr>
          <w:rFonts w:ascii="Times New Roman" w:eastAsia="Times New Roman" w:hAnsi="Times New Roman" w:cs="Times New Roman"/>
          <w:color w:val="000000" w:themeColor="text1"/>
          <w:sz w:val="26"/>
          <w:szCs w:val="26"/>
        </w:rPr>
        <w:t>consistent with this Opinion and Order</w:t>
      </w:r>
      <w:r w:rsidRPr="00CB2064">
        <w:rPr>
          <w:rFonts w:ascii="Times New Roman" w:eastAsia="Times New Roman" w:hAnsi="Times New Roman" w:cs="Times New Roman"/>
          <w:color w:val="000000" w:themeColor="text1"/>
          <w:sz w:val="26"/>
          <w:szCs w:val="26"/>
        </w:rPr>
        <w:t>.</w:t>
      </w:r>
    </w:p>
    <w:p w14:paraId="28AF6FBD" w14:textId="77777777" w:rsidR="00C322F0" w:rsidRPr="00CB2064" w:rsidRDefault="00C322F0" w:rsidP="00CB2064">
      <w:pPr>
        <w:keepNext/>
        <w:keepLines/>
        <w:spacing w:after="0" w:line="360" w:lineRule="auto"/>
        <w:rPr>
          <w:rFonts w:ascii="Times New Roman" w:eastAsia="Times New Roman" w:hAnsi="Times New Roman" w:cs="Times New Roman"/>
          <w:color w:val="000000" w:themeColor="text1"/>
          <w:sz w:val="26"/>
          <w:szCs w:val="26"/>
        </w:rPr>
      </w:pPr>
    </w:p>
    <w:p w14:paraId="6D5E7169" w14:textId="7DA90843" w:rsidR="00C322F0" w:rsidRPr="00CB2064" w:rsidRDefault="00E54A50" w:rsidP="00CB2064">
      <w:pPr>
        <w:keepNext/>
        <w:keepLines/>
        <w:tabs>
          <w:tab w:val="left" w:pos="-720"/>
        </w:tabs>
        <w:spacing w:after="0" w:line="240" w:lineRule="auto"/>
        <w:ind w:firstLine="5040"/>
        <w:rPr>
          <w:rFonts w:ascii="Times New Roman" w:eastAsia="Times New Roman" w:hAnsi="Times New Roman" w:cs="Times New Roman"/>
          <w:color w:val="000000" w:themeColor="text1"/>
          <w:sz w:val="26"/>
          <w:szCs w:val="26"/>
        </w:rPr>
      </w:pPr>
      <w:bookmarkStart w:id="6" w:name="_GoBack"/>
      <w:r w:rsidRPr="009F01BA">
        <w:rPr>
          <w:b/>
          <w:noProof/>
          <w:sz w:val="20"/>
          <w:szCs w:val="20"/>
        </w:rPr>
        <w:drawing>
          <wp:anchor distT="0" distB="0" distL="114300" distR="114300" simplePos="0" relativeHeight="251659264" behindDoc="1" locked="0" layoutInCell="1" allowOverlap="1" wp14:anchorId="48D71777" wp14:editId="7B244BB8">
            <wp:simplePos x="0" y="0"/>
            <wp:positionH relativeFrom="column">
              <wp:posOffset>3009900</wp:posOffset>
            </wp:positionH>
            <wp:positionV relativeFrom="paragraph">
              <wp:posOffset>189230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6"/>
      <w:r w:rsidR="00C322F0" w:rsidRPr="00CB2064">
        <w:rPr>
          <w:rFonts w:ascii="Times New Roman" w:eastAsia="Times New Roman" w:hAnsi="Times New Roman" w:cs="Times New Roman"/>
          <w:b/>
          <w:color w:val="000000" w:themeColor="text1"/>
          <w:sz w:val="26"/>
          <w:szCs w:val="26"/>
        </w:rPr>
        <w:t>BY THE COMMISSION,</w:t>
      </w:r>
    </w:p>
    <w:p w14:paraId="5B31BB7C" w14:textId="7CDE77DB" w:rsidR="00C322F0" w:rsidRPr="00CB2064" w:rsidRDefault="00C322F0" w:rsidP="00CB2064">
      <w:pPr>
        <w:keepNext/>
        <w:keepLines/>
        <w:tabs>
          <w:tab w:val="left" w:pos="-720"/>
        </w:tabs>
        <w:spacing w:after="0" w:line="240" w:lineRule="auto"/>
        <w:rPr>
          <w:rFonts w:ascii="Times New Roman" w:eastAsia="Times New Roman" w:hAnsi="Times New Roman" w:cs="Times New Roman"/>
          <w:color w:val="000000" w:themeColor="text1"/>
          <w:sz w:val="26"/>
          <w:szCs w:val="26"/>
        </w:rPr>
      </w:pPr>
    </w:p>
    <w:p w14:paraId="1DF26515" w14:textId="5A16D590" w:rsidR="00C322F0" w:rsidRPr="00CB2064" w:rsidRDefault="0030718A" w:rsidP="0030718A">
      <w:pPr>
        <w:keepNext/>
        <w:keepLines/>
        <w:tabs>
          <w:tab w:val="left" w:pos="-720"/>
          <w:tab w:val="left" w:pos="6495"/>
        </w:tabs>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b/>
      </w:r>
    </w:p>
    <w:p w14:paraId="771C92B8" w14:textId="77777777" w:rsidR="00C322F0" w:rsidRPr="00CB2064" w:rsidRDefault="00C322F0" w:rsidP="00CB2064">
      <w:pPr>
        <w:keepNext/>
        <w:keepLines/>
        <w:tabs>
          <w:tab w:val="left" w:pos="-720"/>
        </w:tabs>
        <w:spacing w:after="0" w:line="240" w:lineRule="auto"/>
        <w:rPr>
          <w:rFonts w:ascii="Times New Roman" w:eastAsia="Times New Roman" w:hAnsi="Times New Roman" w:cs="Times New Roman"/>
          <w:color w:val="000000" w:themeColor="text1"/>
          <w:sz w:val="26"/>
          <w:szCs w:val="26"/>
        </w:rPr>
      </w:pPr>
    </w:p>
    <w:p w14:paraId="1E35909C" w14:textId="77777777" w:rsidR="00C322F0" w:rsidRPr="00CB2064" w:rsidRDefault="00C322F0" w:rsidP="00CB2064">
      <w:pPr>
        <w:keepNext/>
        <w:keepLines/>
        <w:tabs>
          <w:tab w:val="left" w:pos="-720"/>
        </w:tabs>
        <w:spacing w:after="0" w:line="240" w:lineRule="auto"/>
        <w:rPr>
          <w:rFonts w:ascii="Times New Roman" w:eastAsia="Times New Roman" w:hAnsi="Times New Roman" w:cs="Times New Roman"/>
          <w:color w:val="000000" w:themeColor="text1"/>
          <w:sz w:val="26"/>
          <w:szCs w:val="26"/>
        </w:rPr>
      </w:pPr>
    </w:p>
    <w:p w14:paraId="07F97C94" w14:textId="77777777" w:rsidR="00C322F0" w:rsidRPr="00CB2064" w:rsidRDefault="00C322F0" w:rsidP="00CB2064">
      <w:pPr>
        <w:keepNext/>
        <w:keepLines/>
        <w:tabs>
          <w:tab w:val="left" w:pos="-720"/>
        </w:tabs>
        <w:spacing w:after="0" w:line="240" w:lineRule="auto"/>
        <w:ind w:firstLine="5040"/>
        <w:rPr>
          <w:rFonts w:ascii="Times New Roman" w:eastAsia="Times New Roman" w:hAnsi="Times New Roman" w:cs="Times New Roman"/>
          <w:b/>
          <w:color w:val="000000" w:themeColor="text1"/>
          <w:sz w:val="26"/>
          <w:szCs w:val="26"/>
        </w:rPr>
      </w:pPr>
      <w:r w:rsidRPr="00CB2064">
        <w:rPr>
          <w:rFonts w:ascii="Times New Roman" w:eastAsia="Times New Roman" w:hAnsi="Times New Roman" w:cs="Times New Roman"/>
          <w:color w:val="000000" w:themeColor="text1"/>
          <w:sz w:val="26"/>
          <w:szCs w:val="26"/>
        </w:rPr>
        <w:t>Rosemary Chiavetta</w:t>
      </w:r>
    </w:p>
    <w:p w14:paraId="092CED52" w14:textId="77777777" w:rsidR="00C322F0" w:rsidRPr="00CB2064" w:rsidRDefault="00C322F0" w:rsidP="00CB2064">
      <w:pPr>
        <w:keepNext/>
        <w:keepLines/>
        <w:tabs>
          <w:tab w:val="left" w:pos="-720"/>
        </w:tabs>
        <w:spacing w:after="0" w:line="240" w:lineRule="auto"/>
        <w:ind w:firstLine="5040"/>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Secretary</w:t>
      </w:r>
    </w:p>
    <w:p w14:paraId="1B991512" w14:textId="77777777" w:rsidR="00C322F0" w:rsidRPr="00CB2064" w:rsidRDefault="00C322F0" w:rsidP="00CB2064">
      <w:pPr>
        <w:keepNext/>
        <w:keepLines/>
        <w:tabs>
          <w:tab w:val="left" w:pos="-720"/>
        </w:tabs>
        <w:spacing w:after="0" w:line="240" w:lineRule="auto"/>
        <w:rPr>
          <w:rFonts w:ascii="Times New Roman" w:eastAsia="Times New Roman" w:hAnsi="Times New Roman" w:cs="Times New Roman"/>
          <w:color w:val="000000" w:themeColor="text1"/>
          <w:sz w:val="26"/>
          <w:szCs w:val="26"/>
        </w:rPr>
      </w:pPr>
    </w:p>
    <w:p w14:paraId="5ACA0271" w14:textId="77777777" w:rsidR="00C322F0" w:rsidRPr="00CB2064" w:rsidRDefault="00C322F0" w:rsidP="00CB2064">
      <w:pPr>
        <w:keepNext/>
        <w:keepLines/>
        <w:tabs>
          <w:tab w:val="left" w:pos="-720"/>
        </w:tabs>
        <w:spacing w:after="0" w:line="240" w:lineRule="auto"/>
        <w:jc w:val="both"/>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(SEAL)</w:t>
      </w:r>
    </w:p>
    <w:p w14:paraId="12CC9E04" w14:textId="77777777" w:rsidR="00C322F0" w:rsidRPr="00CB2064" w:rsidRDefault="00C322F0" w:rsidP="00CB2064">
      <w:pPr>
        <w:keepNext/>
        <w:keepLines/>
        <w:tabs>
          <w:tab w:val="left" w:pos="-720"/>
        </w:tabs>
        <w:spacing w:after="0" w:line="240" w:lineRule="auto"/>
        <w:jc w:val="both"/>
        <w:rPr>
          <w:rFonts w:ascii="Times New Roman" w:eastAsia="Times New Roman" w:hAnsi="Times New Roman" w:cs="Times New Roman"/>
          <w:color w:val="000000" w:themeColor="text1"/>
          <w:sz w:val="26"/>
          <w:szCs w:val="26"/>
        </w:rPr>
      </w:pPr>
    </w:p>
    <w:p w14:paraId="4ED6C7AF" w14:textId="34D51CF0" w:rsidR="00C322F0" w:rsidRPr="00CB2064" w:rsidRDefault="00C322F0" w:rsidP="00CB2064">
      <w:pPr>
        <w:keepNext/>
        <w:keepLines/>
        <w:tabs>
          <w:tab w:val="left" w:pos="-720"/>
        </w:tabs>
        <w:spacing w:after="0" w:line="240" w:lineRule="auto"/>
        <w:jc w:val="both"/>
        <w:rPr>
          <w:rFonts w:ascii="Times New Roman" w:eastAsia="Times New Roman" w:hAnsi="Times New Roman" w:cs="Times New Roman"/>
          <w:color w:val="000000" w:themeColor="text1"/>
          <w:sz w:val="26"/>
          <w:szCs w:val="26"/>
        </w:rPr>
      </w:pPr>
      <w:r w:rsidRPr="00CB2064">
        <w:rPr>
          <w:rFonts w:ascii="Times New Roman" w:eastAsia="Times New Roman" w:hAnsi="Times New Roman" w:cs="Times New Roman"/>
          <w:color w:val="000000" w:themeColor="text1"/>
          <w:sz w:val="26"/>
          <w:szCs w:val="26"/>
        </w:rPr>
        <w:t xml:space="preserve">ORDER ADOPTED:  </w:t>
      </w:r>
      <w:r w:rsidR="00AF70F3">
        <w:rPr>
          <w:rFonts w:ascii="Times New Roman" w:eastAsia="Times New Roman" w:hAnsi="Times New Roman" w:cs="Times New Roman"/>
          <w:color w:val="000000" w:themeColor="text1"/>
          <w:sz w:val="26"/>
          <w:szCs w:val="26"/>
        </w:rPr>
        <w:t xml:space="preserve">August </w:t>
      </w:r>
      <w:r w:rsidR="00335CB5">
        <w:rPr>
          <w:rFonts w:ascii="Times New Roman" w:eastAsia="Times New Roman" w:hAnsi="Times New Roman" w:cs="Times New Roman"/>
          <w:color w:val="000000" w:themeColor="text1"/>
          <w:sz w:val="26"/>
          <w:szCs w:val="26"/>
        </w:rPr>
        <w:t>6</w:t>
      </w:r>
      <w:r w:rsidR="00AF70F3">
        <w:rPr>
          <w:rFonts w:ascii="Times New Roman" w:eastAsia="Times New Roman" w:hAnsi="Times New Roman" w:cs="Times New Roman"/>
          <w:color w:val="000000" w:themeColor="text1"/>
          <w:sz w:val="26"/>
          <w:szCs w:val="26"/>
        </w:rPr>
        <w:t>, 2020</w:t>
      </w:r>
    </w:p>
    <w:p w14:paraId="20B76250" w14:textId="77777777" w:rsidR="00C322F0" w:rsidRPr="00CB2064" w:rsidRDefault="00C322F0" w:rsidP="00CB2064">
      <w:pPr>
        <w:keepNext/>
        <w:keepLines/>
        <w:tabs>
          <w:tab w:val="left" w:pos="-720"/>
        </w:tabs>
        <w:spacing w:after="0" w:line="240" w:lineRule="auto"/>
        <w:jc w:val="both"/>
        <w:rPr>
          <w:rFonts w:ascii="Times New Roman" w:eastAsia="Times New Roman" w:hAnsi="Times New Roman" w:cs="Times New Roman"/>
          <w:color w:val="000000" w:themeColor="text1"/>
          <w:sz w:val="26"/>
          <w:szCs w:val="26"/>
        </w:rPr>
      </w:pPr>
    </w:p>
    <w:p w14:paraId="36435375" w14:textId="34927883" w:rsidR="003D5C5F" w:rsidRPr="00E248A5" w:rsidRDefault="00C322F0" w:rsidP="00CB2064">
      <w:pPr>
        <w:keepNext/>
        <w:keepLines/>
        <w:tabs>
          <w:tab w:val="left" w:pos="-720"/>
        </w:tabs>
        <w:spacing w:after="0" w:line="240" w:lineRule="auto"/>
        <w:jc w:val="both"/>
        <w:rPr>
          <w:rFonts w:ascii="Times New Roman" w:eastAsia="Times New Roman" w:hAnsi="Times New Roman" w:cs="Times New Roman"/>
          <w:sz w:val="26"/>
          <w:szCs w:val="26"/>
        </w:rPr>
      </w:pPr>
      <w:r w:rsidRPr="00CB2064">
        <w:rPr>
          <w:rFonts w:ascii="Times New Roman" w:eastAsia="Times New Roman" w:hAnsi="Times New Roman" w:cs="Times New Roman"/>
          <w:color w:val="000000" w:themeColor="text1"/>
          <w:sz w:val="26"/>
          <w:szCs w:val="26"/>
        </w:rPr>
        <w:t xml:space="preserve">ORDER ENTERED: </w:t>
      </w:r>
      <w:r w:rsidRPr="00E248A5">
        <w:rPr>
          <w:rFonts w:ascii="Times New Roman" w:eastAsia="Times New Roman" w:hAnsi="Times New Roman" w:cs="Times New Roman"/>
          <w:sz w:val="26"/>
          <w:szCs w:val="26"/>
        </w:rPr>
        <w:t xml:space="preserve"> </w:t>
      </w:r>
      <w:r w:rsidR="00E54A50">
        <w:rPr>
          <w:rFonts w:ascii="Times New Roman" w:eastAsia="Times New Roman" w:hAnsi="Times New Roman" w:cs="Times New Roman"/>
          <w:sz w:val="26"/>
          <w:szCs w:val="26"/>
        </w:rPr>
        <w:t>August 6, 2020</w:t>
      </w:r>
    </w:p>
    <w:sectPr w:rsidR="003D5C5F" w:rsidRPr="00E248A5" w:rsidSect="000B2E16">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70B0E" w14:textId="77777777" w:rsidR="00BB472C" w:rsidRDefault="00BB472C" w:rsidP="00C322F0">
      <w:pPr>
        <w:spacing w:after="0" w:line="240" w:lineRule="auto"/>
      </w:pPr>
      <w:r>
        <w:separator/>
      </w:r>
    </w:p>
  </w:endnote>
  <w:endnote w:type="continuationSeparator" w:id="0">
    <w:p w14:paraId="07E2836B" w14:textId="77777777" w:rsidR="00BB472C" w:rsidRDefault="00BB472C" w:rsidP="00C32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6077376"/>
      <w:docPartObj>
        <w:docPartGallery w:val="Page Numbers (Bottom of Page)"/>
        <w:docPartUnique/>
      </w:docPartObj>
    </w:sdtPr>
    <w:sdtEndPr>
      <w:rPr>
        <w:noProof/>
        <w:sz w:val="26"/>
        <w:szCs w:val="26"/>
      </w:rPr>
    </w:sdtEndPr>
    <w:sdtContent>
      <w:p w14:paraId="1ECC3B2C" w14:textId="18A04DF8" w:rsidR="00520384" w:rsidRPr="001C3AC5" w:rsidRDefault="00520384" w:rsidP="001C3AC5">
        <w:pPr>
          <w:pStyle w:val="Footer"/>
          <w:jc w:val="center"/>
          <w:rPr>
            <w:sz w:val="26"/>
            <w:szCs w:val="26"/>
          </w:rPr>
        </w:pPr>
        <w:r w:rsidRPr="00C70FF7">
          <w:rPr>
            <w:sz w:val="26"/>
            <w:szCs w:val="26"/>
          </w:rPr>
          <w:fldChar w:fldCharType="begin"/>
        </w:r>
        <w:r w:rsidRPr="00C70FF7">
          <w:rPr>
            <w:sz w:val="26"/>
            <w:szCs w:val="26"/>
          </w:rPr>
          <w:instrText xml:space="preserve"> PAGE   \* MERGEFORMAT </w:instrText>
        </w:r>
        <w:r w:rsidRPr="00C70FF7">
          <w:rPr>
            <w:sz w:val="26"/>
            <w:szCs w:val="26"/>
          </w:rPr>
          <w:fldChar w:fldCharType="separate"/>
        </w:r>
        <w:r w:rsidR="00B8017E">
          <w:rPr>
            <w:noProof/>
            <w:sz w:val="26"/>
            <w:szCs w:val="26"/>
          </w:rPr>
          <w:t>3</w:t>
        </w:r>
        <w:r w:rsidRPr="00C70FF7">
          <w:rPr>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4E675" w14:textId="6381D84E" w:rsidR="006E1C7E" w:rsidRDefault="006E1C7E">
    <w:pPr>
      <w:pStyle w:val="Footer"/>
      <w:jc w:val="center"/>
    </w:pPr>
  </w:p>
  <w:p w14:paraId="3175F2EB" w14:textId="77777777" w:rsidR="006E1C7E" w:rsidRDefault="006E1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CE214" w14:textId="77777777" w:rsidR="00BB472C" w:rsidRDefault="00BB472C" w:rsidP="00C322F0">
      <w:pPr>
        <w:spacing w:after="0" w:line="240" w:lineRule="auto"/>
      </w:pPr>
      <w:r>
        <w:separator/>
      </w:r>
    </w:p>
  </w:footnote>
  <w:footnote w:type="continuationSeparator" w:id="0">
    <w:p w14:paraId="6EC6FE16" w14:textId="77777777" w:rsidR="00BB472C" w:rsidRDefault="00BB472C" w:rsidP="00C322F0">
      <w:pPr>
        <w:spacing w:after="0" w:line="240" w:lineRule="auto"/>
      </w:pPr>
      <w:r>
        <w:continuationSeparator/>
      </w:r>
    </w:p>
  </w:footnote>
  <w:footnote w:id="1">
    <w:p w14:paraId="2D6614DB" w14:textId="18C81188" w:rsidR="00DF6DC1" w:rsidRPr="002B5336" w:rsidRDefault="00DF6DC1" w:rsidP="00DF6DC1">
      <w:pPr>
        <w:pStyle w:val="FootnoteText"/>
        <w:keepNext/>
        <w:keepLines/>
        <w:ind w:firstLine="720"/>
        <w:rPr>
          <w:sz w:val="26"/>
          <w:szCs w:val="26"/>
        </w:rPr>
      </w:pPr>
      <w:r w:rsidRPr="002B5336">
        <w:rPr>
          <w:rStyle w:val="FootnoteReference"/>
          <w:sz w:val="26"/>
          <w:szCs w:val="26"/>
        </w:rPr>
        <w:footnoteRef/>
      </w:r>
      <w:r w:rsidRPr="002B5336">
        <w:rPr>
          <w:sz w:val="26"/>
          <w:szCs w:val="26"/>
        </w:rPr>
        <w:t xml:space="preserve"> </w:t>
      </w:r>
      <w:r>
        <w:rPr>
          <w:sz w:val="26"/>
          <w:szCs w:val="26"/>
        </w:rPr>
        <w:tab/>
        <w:t xml:space="preserve">By Secretarial Letter dated January 31, 2020, the Secretary’s Bureau: explained that the Petition did not include a Certificate of Service; provided a copy of the Petition to the Parties; and extended the due date for any responses to the Petition to ten days from the date of the Secretarial Letter. </w:t>
      </w:r>
    </w:p>
  </w:footnote>
  <w:footnote w:id="2">
    <w:p w14:paraId="03E4F14A" w14:textId="58FAD7C3" w:rsidR="00A15E3D" w:rsidRPr="00A15E3D" w:rsidRDefault="00A15E3D" w:rsidP="00A15E3D">
      <w:pPr>
        <w:pStyle w:val="FootnoteText"/>
        <w:ind w:firstLine="720"/>
        <w:rPr>
          <w:sz w:val="26"/>
          <w:szCs w:val="26"/>
        </w:rPr>
      </w:pPr>
      <w:r w:rsidRPr="00A15E3D">
        <w:rPr>
          <w:rStyle w:val="FootnoteReference"/>
          <w:sz w:val="26"/>
          <w:szCs w:val="26"/>
        </w:rPr>
        <w:footnoteRef/>
      </w:r>
      <w:r w:rsidRPr="00A15E3D">
        <w:rPr>
          <w:sz w:val="26"/>
          <w:szCs w:val="26"/>
        </w:rPr>
        <w:t xml:space="preserve"> </w:t>
      </w:r>
      <w:r>
        <w:rPr>
          <w:sz w:val="26"/>
          <w:szCs w:val="26"/>
        </w:rPr>
        <w:tab/>
        <w:t xml:space="preserve">Ms. </w:t>
      </w:r>
      <w:proofErr w:type="spellStart"/>
      <w:r>
        <w:rPr>
          <w:sz w:val="26"/>
          <w:szCs w:val="26"/>
        </w:rPr>
        <w:t>Benvenger</w:t>
      </w:r>
      <w:proofErr w:type="spellEnd"/>
      <w:r>
        <w:rPr>
          <w:sz w:val="26"/>
          <w:szCs w:val="26"/>
        </w:rPr>
        <w:t xml:space="preserve"> makes additional random statements in her Petition, on the margins of the document, and on the back of the envelope which do not appear relevant to her Complaint.  Petition at 1-2.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82DC6"/>
    <w:multiLevelType w:val="hybridMultilevel"/>
    <w:tmpl w:val="5F76A7B8"/>
    <w:lvl w:ilvl="0" w:tplc="39A870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5C93AA2"/>
    <w:multiLevelType w:val="hybridMultilevel"/>
    <w:tmpl w:val="23861AA0"/>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39F5086"/>
    <w:multiLevelType w:val="hybridMultilevel"/>
    <w:tmpl w:val="8DBAB8A8"/>
    <w:lvl w:ilvl="0" w:tplc="4926CB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46E0B5D"/>
    <w:multiLevelType w:val="hybridMultilevel"/>
    <w:tmpl w:val="B58C53D8"/>
    <w:lvl w:ilvl="0" w:tplc="C0B8E11E">
      <w:start w:val="1"/>
      <w:numFmt w:val="upperRoman"/>
      <w:lvlText w:val="%1."/>
      <w:lvlJc w:val="right"/>
      <w:pPr>
        <w:ind w:left="360" w:hanging="360"/>
      </w:pPr>
      <w:rPr>
        <w:rFonts w:ascii="Times New Roman" w:hAnsi="Times New Roman" w:cs="Times New Roman" w:hint="default"/>
        <w:sz w:val="24"/>
        <w:szCs w:val="24"/>
      </w:rPr>
    </w:lvl>
    <w:lvl w:ilvl="1" w:tplc="04090015">
      <w:start w:val="1"/>
      <w:numFmt w:val="upperLetter"/>
      <w:lvlText w:val="%2."/>
      <w:lvlJc w:val="left"/>
      <w:pPr>
        <w:ind w:left="1080" w:hanging="360"/>
      </w:pPr>
      <w:rPr>
        <w:rFonts w:hint="default"/>
      </w:rPr>
    </w:lvl>
    <w:lvl w:ilvl="2" w:tplc="0409000F">
      <w:start w:val="1"/>
      <w:numFmt w:val="decimal"/>
      <w:lvlText w:val="%3."/>
      <w:lvlJc w:val="left"/>
      <w:pPr>
        <w:ind w:left="1800" w:hanging="360"/>
      </w:pPr>
      <w:rPr>
        <w:rFonts w:hint="default"/>
      </w:rPr>
    </w:lvl>
    <w:lvl w:ilvl="3" w:tplc="04090017">
      <w:start w:val="1"/>
      <w:numFmt w:val="lowerLetter"/>
      <w:lvlText w:val="%4)"/>
      <w:lvlJc w:val="left"/>
      <w:pPr>
        <w:ind w:left="2520" w:hanging="360"/>
      </w:pPr>
      <w:rPr>
        <w:rFonts w:hint="default"/>
      </w:rPr>
    </w:lvl>
    <w:lvl w:ilvl="4" w:tplc="0409001B">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6BD1D5A"/>
    <w:multiLevelType w:val="hybridMultilevel"/>
    <w:tmpl w:val="D56AC9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F0"/>
    <w:rsid w:val="00003E8B"/>
    <w:rsid w:val="00005995"/>
    <w:rsid w:val="00010509"/>
    <w:rsid w:val="000372D7"/>
    <w:rsid w:val="000454E2"/>
    <w:rsid w:val="00047702"/>
    <w:rsid w:val="0004794F"/>
    <w:rsid w:val="000539B9"/>
    <w:rsid w:val="000565A5"/>
    <w:rsid w:val="00057FF6"/>
    <w:rsid w:val="00072BDA"/>
    <w:rsid w:val="00077128"/>
    <w:rsid w:val="00082E68"/>
    <w:rsid w:val="00087693"/>
    <w:rsid w:val="000956BA"/>
    <w:rsid w:val="00095C10"/>
    <w:rsid w:val="00096F6E"/>
    <w:rsid w:val="000B2E16"/>
    <w:rsid w:val="000B65EB"/>
    <w:rsid w:val="000B68BE"/>
    <w:rsid w:val="000B6B1A"/>
    <w:rsid w:val="000D5502"/>
    <w:rsid w:val="000D70CB"/>
    <w:rsid w:val="000F2AE1"/>
    <w:rsid w:val="000F6920"/>
    <w:rsid w:val="00104033"/>
    <w:rsid w:val="00105AB0"/>
    <w:rsid w:val="001061B0"/>
    <w:rsid w:val="001119A7"/>
    <w:rsid w:val="00112C24"/>
    <w:rsid w:val="00112F1B"/>
    <w:rsid w:val="00112F21"/>
    <w:rsid w:val="00113B1C"/>
    <w:rsid w:val="00115531"/>
    <w:rsid w:val="00133E29"/>
    <w:rsid w:val="001407D9"/>
    <w:rsid w:val="00141C29"/>
    <w:rsid w:val="00165131"/>
    <w:rsid w:val="00172304"/>
    <w:rsid w:val="00174AF1"/>
    <w:rsid w:val="00184D9A"/>
    <w:rsid w:val="00186BA9"/>
    <w:rsid w:val="00193BFF"/>
    <w:rsid w:val="00193DBC"/>
    <w:rsid w:val="00197C1E"/>
    <w:rsid w:val="001B515D"/>
    <w:rsid w:val="001B62DF"/>
    <w:rsid w:val="001C1C2B"/>
    <w:rsid w:val="001C1D8D"/>
    <w:rsid w:val="001C3AC5"/>
    <w:rsid w:val="001D17F2"/>
    <w:rsid w:val="001D33FA"/>
    <w:rsid w:val="001E047A"/>
    <w:rsid w:val="001E1B17"/>
    <w:rsid w:val="001E1DDA"/>
    <w:rsid w:val="001E3356"/>
    <w:rsid w:val="001E3F30"/>
    <w:rsid w:val="001E5794"/>
    <w:rsid w:val="001E7C48"/>
    <w:rsid w:val="001F725C"/>
    <w:rsid w:val="00201F35"/>
    <w:rsid w:val="00210458"/>
    <w:rsid w:val="002162E9"/>
    <w:rsid w:val="002364AD"/>
    <w:rsid w:val="00247B95"/>
    <w:rsid w:val="0025440C"/>
    <w:rsid w:val="00260BF9"/>
    <w:rsid w:val="00264534"/>
    <w:rsid w:val="00267BEA"/>
    <w:rsid w:val="0027434F"/>
    <w:rsid w:val="00286664"/>
    <w:rsid w:val="00287EE7"/>
    <w:rsid w:val="002901A1"/>
    <w:rsid w:val="00297460"/>
    <w:rsid w:val="002A5824"/>
    <w:rsid w:val="002A72D8"/>
    <w:rsid w:val="002A73A5"/>
    <w:rsid w:val="002A7C25"/>
    <w:rsid w:val="002B3A11"/>
    <w:rsid w:val="002B5336"/>
    <w:rsid w:val="002B6DA8"/>
    <w:rsid w:val="002C1BD5"/>
    <w:rsid w:val="002C2A01"/>
    <w:rsid w:val="002C7168"/>
    <w:rsid w:val="002C7853"/>
    <w:rsid w:val="002D3784"/>
    <w:rsid w:val="002D4AE6"/>
    <w:rsid w:val="002D6ED4"/>
    <w:rsid w:val="002E088C"/>
    <w:rsid w:val="002E0CB7"/>
    <w:rsid w:val="002E24DE"/>
    <w:rsid w:val="002E4CF2"/>
    <w:rsid w:val="002E7906"/>
    <w:rsid w:val="003010F3"/>
    <w:rsid w:val="00302FE2"/>
    <w:rsid w:val="003035D9"/>
    <w:rsid w:val="0030375F"/>
    <w:rsid w:val="00306541"/>
    <w:rsid w:val="0030718A"/>
    <w:rsid w:val="00316D84"/>
    <w:rsid w:val="00317488"/>
    <w:rsid w:val="00326CBC"/>
    <w:rsid w:val="003316BC"/>
    <w:rsid w:val="003317D2"/>
    <w:rsid w:val="0033498D"/>
    <w:rsid w:val="00335CB5"/>
    <w:rsid w:val="0034678C"/>
    <w:rsid w:val="003471C5"/>
    <w:rsid w:val="00352C9C"/>
    <w:rsid w:val="00365726"/>
    <w:rsid w:val="00367289"/>
    <w:rsid w:val="003746F9"/>
    <w:rsid w:val="00375AC5"/>
    <w:rsid w:val="003763E2"/>
    <w:rsid w:val="00381BB4"/>
    <w:rsid w:val="00386843"/>
    <w:rsid w:val="00386A17"/>
    <w:rsid w:val="00386B4D"/>
    <w:rsid w:val="003920B4"/>
    <w:rsid w:val="00392FFD"/>
    <w:rsid w:val="003A7BD2"/>
    <w:rsid w:val="003B01BD"/>
    <w:rsid w:val="003B08C3"/>
    <w:rsid w:val="003B0A46"/>
    <w:rsid w:val="003B4D5D"/>
    <w:rsid w:val="003B4F39"/>
    <w:rsid w:val="003C5662"/>
    <w:rsid w:val="003D0EC4"/>
    <w:rsid w:val="003D5C5F"/>
    <w:rsid w:val="003E0B42"/>
    <w:rsid w:val="003F4739"/>
    <w:rsid w:val="003F769C"/>
    <w:rsid w:val="00402AC9"/>
    <w:rsid w:val="004176AD"/>
    <w:rsid w:val="00424129"/>
    <w:rsid w:val="00425E61"/>
    <w:rsid w:val="00426B67"/>
    <w:rsid w:val="004539EB"/>
    <w:rsid w:val="00455522"/>
    <w:rsid w:val="00457B34"/>
    <w:rsid w:val="00464C38"/>
    <w:rsid w:val="00464C9D"/>
    <w:rsid w:val="004653F3"/>
    <w:rsid w:val="00470C2D"/>
    <w:rsid w:val="004720CE"/>
    <w:rsid w:val="004861ED"/>
    <w:rsid w:val="00490A65"/>
    <w:rsid w:val="00490CE7"/>
    <w:rsid w:val="00492934"/>
    <w:rsid w:val="00492B11"/>
    <w:rsid w:val="004A0CD6"/>
    <w:rsid w:val="004A1324"/>
    <w:rsid w:val="004A14FE"/>
    <w:rsid w:val="004A18C5"/>
    <w:rsid w:val="004A5A4C"/>
    <w:rsid w:val="004A6D56"/>
    <w:rsid w:val="004B27F2"/>
    <w:rsid w:val="004C10C4"/>
    <w:rsid w:val="004C2D9A"/>
    <w:rsid w:val="004C46CC"/>
    <w:rsid w:val="004C7003"/>
    <w:rsid w:val="004C722F"/>
    <w:rsid w:val="004D757B"/>
    <w:rsid w:val="004E1710"/>
    <w:rsid w:val="004E3F2E"/>
    <w:rsid w:val="004F4103"/>
    <w:rsid w:val="00520384"/>
    <w:rsid w:val="00521D42"/>
    <w:rsid w:val="00526E4A"/>
    <w:rsid w:val="00536880"/>
    <w:rsid w:val="00546C1A"/>
    <w:rsid w:val="005470FE"/>
    <w:rsid w:val="0054767F"/>
    <w:rsid w:val="0055357E"/>
    <w:rsid w:val="005542BD"/>
    <w:rsid w:val="005637D8"/>
    <w:rsid w:val="00564F2E"/>
    <w:rsid w:val="005650F3"/>
    <w:rsid w:val="00574415"/>
    <w:rsid w:val="00577E61"/>
    <w:rsid w:val="00590EDF"/>
    <w:rsid w:val="00591C48"/>
    <w:rsid w:val="00594CD0"/>
    <w:rsid w:val="00595A4A"/>
    <w:rsid w:val="005A6284"/>
    <w:rsid w:val="005A7434"/>
    <w:rsid w:val="005B457D"/>
    <w:rsid w:val="005B5047"/>
    <w:rsid w:val="005B5548"/>
    <w:rsid w:val="005B6415"/>
    <w:rsid w:val="005C1518"/>
    <w:rsid w:val="005C51B0"/>
    <w:rsid w:val="005D1E5B"/>
    <w:rsid w:val="005F0246"/>
    <w:rsid w:val="005F1A61"/>
    <w:rsid w:val="00600839"/>
    <w:rsid w:val="006013A2"/>
    <w:rsid w:val="006118A6"/>
    <w:rsid w:val="00611974"/>
    <w:rsid w:val="00617845"/>
    <w:rsid w:val="00626517"/>
    <w:rsid w:val="006323C3"/>
    <w:rsid w:val="00632C39"/>
    <w:rsid w:val="00636007"/>
    <w:rsid w:val="00666E70"/>
    <w:rsid w:val="00680356"/>
    <w:rsid w:val="00682FEB"/>
    <w:rsid w:val="00684D47"/>
    <w:rsid w:val="00686B7D"/>
    <w:rsid w:val="006A105C"/>
    <w:rsid w:val="006A251D"/>
    <w:rsid w:val="006B4843"/>
    <w:rsid w:val="006B5AD5"/>
    <w:rsid w:val="006B6696"/>
    <w:rsid w:val="006B79BC"/>
    <w:rsid w:val="006C2461"/>
    <w:rsid w:val="006C5056"/>
    <w:rsid w:val="006C7520"/>
    <w:rsid w:val="006D4001"/>
    <w:rsid w:val="006D447F"/>
    <w:rsid w:val="006E0474"/>
    <w:rsid w:val="006E0BD0"/>
    <w:rsid w:val="006E1C7E"/>
    <w:rsid w:val="006E4A2C"/>
    <w:rsid w:val="006E5FC6"/>
    <w:rsid w:val="006E6E9B"/>
    <w:rsid w:val="006F1D00"/>
    <w:rsid w:val="006F2297"/>
    <w:rsid w:val="00712B7C"/>
    <w:rsid w:val="0071693B"/>
    <w:rsid w:val="00721B82"/>
    <w:rsid w:val="00725081"/>
    <w:rsid w:val="0073452E"/>
    <w:rsid w:val="00747591"/>
    <w:rsid w:val="00751510"/>
    <w:rsid w:val="00755396"/>
    <w:rsid w:val="00756D35"/>
    <w:rsid w:val="00757D3A"/>
    <w:rsid w:val="0076054D"/>
    <w:rsid w:val="00764C3F"/>
    <w:rsid w:val="00772253"/>
    <w:rsid w:val="00776F9D"/>
    <w:rsid w:val="00796BB7"/>
    <w:rsid w:val="007A7F11"/>
    <w:rsid w:val="007B58E8"/>
    <w:rsid w:val="007B5E0A"/>
    <w:rsid w:val="007B6045"/>
    <w:rsid w:val="007C7A2C"/>
    <w:rsid w:val="007D3776"/>
    <w:rsid w:val="007D6316"/>
    <w:rsid w:val="007D779E"/>
    <w:rsid w:val="007E2145"/>
    <w:rsid w:val="007E3922"/>
    <w:rsid w:val="007F01C9"/>
    <w:rsid w:val="007F1860"/>
    <w:rsid w:val="007F1BA3"/>
    <w:rsid w:val="007F38DA"/>
    <w:rsid w:val="007F3FB8"/>
    <w:rsid w:val="007F55DC"/>
    <w:rsid w:val="007F6862"/>
    <w:rsid w:val="008001C3"/>
    <w:rsid w:val="008033E0"/>
    <w:rsid w:val="00803497"/>
    <w:rsid w:val="00813419"/>
    <w:rsid w:val="008166D9"/>
    <w:rsid w:val="00823C57"/>
    <w:rsid w:val="00835C55"/>
    <w:rsid w:val="00843C06"/>
    <w:rsid w:val="008463E3"/>
    <w:rsid w:val="008516EC"/>
    <w:rsid w:val="00851BA3"/>
    <w:rsid w:val="008528F4"/>
    <w:rsid w:val="00854B38"/>
    <w:rsid w:val="00854BF8"/>
    <w:rsid w:val="0085527B"/>
    <w:rsid w:val="00875DAC"/>
    <w:rsid w:val="0088052F"/>
    <w:rsid w:val="008841D3"/>
    <w:rsid w:val="00885422"/>
    <w:rsid w:val="0088675C"/>
    <w:rsid w:val="00887192"/>
    <w:rsid w:val="00887931"/>
    <w:rsid w:val="00887ACA"/>
    <w:rsid w:val="00891FAB"/>
    <w:rsid w:val="00897D8D"/>
    <w:rsid w:val="008B03EE"/>
    <w:rsid w:val="008B1861"/>
    <w:rsid w:val="008B335C"/>
    <w:rsid w:val="008B35E2"/>
    <w:rsid w:val="008B5F2E"/>
    <w:rsid w:val="008C0198"/>
    <w:rsid w:val="008C386C"/>
    <w:rsid w:val="008C451D"/>
    <w:rsid w:val="008C52F5"/>
    <w:rsid w:val="008C5DC1"/>
    <w:rsid w:val="008C79BC"/>
    <w:rsid w:val="008D2CAD"/>
    <w:rsid w:val="008E0B34"/>
    <w:rsid w:val="008E36AB"/>
    <w:rsid w:val="008E36B7"/>
    <w:rsid w:val="008E5E15"/>
    <w:rsid w:val="008F098B"/>
    <w:rsid w:val="008F0A79"/>
    <w:rsid w:val="008F3978"/>
    <w:rsid w:val="00900576"/>
    <w:rsid w:val="009119C8"/>
    <w:rsid w:val="009139DD"/>
    <w:rsid w:val="00921ACE"/>
    <w:rsid w:val="00921D78"/>
    <w:rsid w:val="00933AE0"/>
    <w:rsid w:val="00935654"/>
    <w:rsid w:val="00940C63"/>
    <w:rsid w:val="009436CA"/>
    <w:rsid w:val="00950B8A"/>
    <w:rsid w:val="00965008"/>
    <w:rsid w:val="00965235"/>
    <w:rsid w:val="00965725"/>
    <w:rsid w:val="00981A9F"/>
    <w:rsid w:val="009924EE"/>
    <w:rsid w:val="009946B3"/>
    <w:rsid w:val="00995396"/>
    <w:rsid w:val="00995B6F"/>
    <w:rsid w:val="009A11D7"/>
    <w:rsid w:val="009B0FA7"/>
    <w:rsid w:val="009B545E"/>
    <w:rsid w:val="009C0854"/>
    <w:rsid w:val="009C4F50"/>
    <w:rsid w:val="009C5990"/>
    <w:rsid w:val="009D19EC"/>
    <w:rsid w:val="009D5B16"/>
    <w:rsid w:val="009E0032"/>
    <w:rsid w:val="009E0A15"/>
    <w:rsid w:val="009E1602"/>
    <w:rsid w:val="009E53EC"/>
    <w:rsid w:val="009F273D"/>
    <w:rsid w:val="009F7E25"/>
    <w:rsid w:val="00A01C67"/>
    <w:rsid w:val="00A0769D"/>
    <w:rsid w:val="00A07F81"/>
    <w:rsid w:val="00A15E3D"/>
    <w:rsid w:val="00A16920"/>
    <w:rsid w:val="00A248FC"/>
    <w:rsid w:val="00A3099D"/>
    <w:rsid w:val="00A34D64"/>
    <w:rsid w:val="00A40CE2"/>
    <w:rsid w:val="00A410CC"/>
    <w:rsid w:val="00A444A2"/>
    <w:rsid w:val="00A46F9C"/>
    <w:rsid w:val="00A474CC"/>
    <w:rsid w:val="00A52F94"/>
    <w:rsid w:val="00A5426B"/>
    <w:rsid w:val="00A5489F"/>
    <w:rsid w:val="00A63E5D"/>
    <w:rsid w:val="00A86AC2"/>
    <w:rsid w:val="00A9527F"/>
    <w:rsid w:val="00A95A4D"/>
    <w:rsid w:val="00A96418"/>
    <w:rsid w:val="00A9762A"/>
    <w:rsid w:val="00AA761C"/>
    <w:rsid w:val="00AB26A7"/>
    <w:rsid w:val="00AB39D0"/>
    <w:rsid w:val="00AC6604"/>
    <w:rsid w:val="00AF074E"/>
    <w:rsid w:val="00AF442E"/>
    <w:rsid w:val="00AF52C0"/>
    <w:rsid w:val="00AF70F3"/>
    <w:rsid w:val="00B01A33"/>
    <w:rsid w:val="00B02242"/>
    <w:rsid w:val="00B045C4"/>
    <w:rsid w:val="00B06DAF"/>
    <w:rsid w:val="00B12D8D"/>
    <w:rsid w:val="00B17C9E"/>
    <w:rsid w:val="00B252C3"/>
    <w:rsid w:val="00B326BA"/>
    <w:rsid w:val="00B3564C"/>
    <w:rsid w:val="00B35E07"/>
    <w:rsid w:val="00B44E93"/>
    <w:rsid w:val="00B46641"/>
    <w:rsid w:val="00B52413"/>
    <w:rsid w:val="00B52A97"/>
    <w:rsid w:val="00B53DA5"/>
    <w:rsid w:val="00B564B9"/>
    <w:rsid w:val="00B63CEE"/>
    <w:rsid w:val="00B65F64"/>
    <w:rsid w:val="00B71B92"/>
    <w:rsid w:val="00B8017E"/>
    <w:rsid w:val="00B84A40"/>
    <w:rsid w:val="00B92AA9"/>
    <w:rsid w:val="00BA77FC"/>
    <w:rsid w:val="00BB16B6"/>
    <w:rsid w:val="00BB472C"/>
    <w:rsid w:val="00BB6216"/>
    <w:rsid w:val="00BB6B09"/>
    <w:rsid w:val="00BC08D6"/>
    <w:rsid w:val="00BC24E4"/>
    <w:rsid w:val="00BC3D83"/>
    <w:rsid w:val="00BC3DE7"/>
    <w:rsid w:val="00BC4F26"/>
    <w:rsid w:val="00BD39C7"/>
    <w:rsid w:val="00BD4D3B"/>
    <w:rsid w:val="00BE11A3"/>
    <w:rsid w:val="00BF0F4C"/>
    <w:rsid w:val="00BF1663"/>
    <w:rsid w:val="00BF2193"/>
    <w:rsid w:val="00BF2D43"/>
    <w:rsid w:val="00BF5C10"/>
    <w:rsid w:val="00BF6EAC"/>
    <w:rsid w:val="00C0113B"/>
    <w:rsid w:val="00C014BD"/>
    <w:rsid w:val="00C01CA3"/>
    <w:rsid w:val="00C02128"/>
    <w:rsid w:val="00C111C4"/>
    <w:rsid w:val="00C322F0"/>
    <w:rsid w:val="00C357FE"/>
    <w:rsid w:val="00C36D45"/>
    <w:rsid w:val="00C47962"/>
    <w:rsid w:val="00C528B7"/>
    <w:rsid w:val="00C543A9"/>
    <w:rsid w:val="00C6103F"/>
    <w:rsid w:val="00C614C4"/>
    <w:rsid w:val="00C65EFF"/>
    <w:rsid w:val="00C70F6D"/>
    <w:rsid w:val="00C70FF7"/>
    <w:rsid w:val="00C738A2"/>
    <w:rsid w:val="00C77F49"/>
    <w:rsid w:val="00C91E50"/>
    <w:rsid w:val="00C95A90"/>
    <w:rsid w:val="00C96300"/>
    <w:rsid w:val="00C9712E"/>
    <w:rsid w:val="00CA2BBF"/>
    <w:rsid w:val="00CA348C"/>
    <w:rsid w:val="00CB2064"/>
    <w:rsid w:val="00CC63E9"/>
    <w:rsid w:val="00CD16C8"/>
    <w:rsid w:val="00CD2123"/>
    <w:rsid w:val="00CD576A"/>
    <w:rsid w:val="00CD5CA2"/>
    <w:rsid w:val="00CE04C1"/>
    <w:rsid w:val="00CE34E8"/>
    <w:rsid w:val="00CE37AE"/>
    <w:rsid w:val="00CF04A2"/>
    <w:rsid w:val="00CF2D45"/>
    <w:rsid w:val="00CF7F5C"/>
    <w:rsid w:val="00D004E9"/>
    <w:rsid w:val="00D06D9F"/>
    <w:rsid w:val="00D07116"/>
    <w:rsid w:val="00D20B55"/>
    <w:rsid w:val="00D22A60"/>
    <w:rsid w:val="00D25CC1"/>
    <w:rsid w:val="00D26593"/>
    <w:rsid w:val="00D5126C"/>
    <w:rsid w:val="00D5611D"/>
    <w:rsid w:val="00D642E8"/>
    <w:rsid w:val="00D676EA"/>
    <w:rsid w:val="00D710CE"/>
    <w:rsid w:val="00D80EEE"/>
    <w:rsid w:val="00D871D8"/>
    <w:rsid w:val="00D947EE"/>
    <w:rsid w:val="00DA26F8"/>
    <w:rsid w:val="00DC17F9"/>
    <w:rsid w:val="00DC1FAF"/>
    <w:rsid w:val="00DD5E97"/>
    <w:rsid w:val="00DD6804"/>
    <w:rsid w:val="00DD7571"/>
    <w:rsid w:val="00DD7C74"/>
    <w:rsid w:val="00DD7F7D"/>
    <w:rsid w:val="00DE1E95"/>
    <w:rsid w:val="00DE5D2F"/>
    <w:rsid w:val="00DE622B"/>
    <w:rsid w:val="00DF1220"/>
    <w:rsid w:val="00DF6DC1"/>
    <w:rsid w:val="00DF7F1B"/>
    <w:rsid w:val="00E01996"/>
    <w:rsid w:val="00E01FF6"/>
    <w:rsid w:val="00E0673C"/>
    <w:rsid w:val="00E124DF"/>
    <w:rsid w:val="00E13C08"/>
    <w:rsid w:val="00E14F10"/>
    <w:rsid w:val="00E248A5"/>
    <w:rsid w:val="00E4194D"/>
    <w:rsid w:val="00E47F00"/>
    <w:rsid w:val="00E51689"/>
    <w:rsid w:val="00E539E8"/>
    <w:rsid w:val="00E54A50"/>
    <w:rsid w:val="00E56560"/>
    <w:rsid w:val="00E62AC5"/>
    <w:rsid w:val="00E63877"/>
    <w:rsid w:val="00E64B62"/>
    <w:rsid w:val="00E7171E"/>
    <w:rsid w:val="00E717A6"/>
    <w:rsid w:val="00E724D8"/>
    <w:rsid w:val="00E769F8"/>
    <w:rsid w:val="00E81663"/>
    <w:rsid w:val="00E82423"/>
    <w:rsid w:val="00E82A27"/>
    <w:rsid w:val="00E928FD"/>
    <w:rsid w:val="00E92C89"/>
    <w:rsid w:val="00E96AC1"/>
    <w:rsid w:val="00EA67DE"/>
    <w:rsid w:val="00EB0B65"/>
    <w:rsid w:val="00EB2E36"/>
    <w:rsid w:val="00ED0D0A"/>
    <w:rsid w:val="00ED294F"/>
    <w:rsid w:val="00EE5620"/>
    <w:rsid w:val="00EF3AF1"/>
    <w:rsid w:val="00EF557C"/>
    <w:rsid w:val="00F00053"/>
    <w:rsid w:val="00F03CCA"/>
    <w:rsid w:val="00F12AAA"/>
    <w:rsid w:val="00F144DB"/>
    <w:rsid w:val="00F17D85"/>
    <w:rsid w:val="00F264A7"/>
    <w:rsid w:val="00F27427"/>
    <w:rsid w:val="00F305B6"/>
    <w:rsid w:val="00F315C6"/>
    <w:rsid w:val="00F412B9"/>
    <w:rsid w:val="00F41E08"/>
    <w:rsid w:val="00F44C96"/>
    <w:rsid w:val="00F47ADB"/>
    <w:rsid w:val="00F47C26"/>
    <w:rsid w:val="00F64217"/>
    <w:rsid w:val="00F7570B"/>
    <w:rsid w:val="00F81327"/>
    <w:rsid w:val="00F85806"/>
    <w:rsid w:val="00FB0894"/>
    <w:rsid w:val="00FB5C52"/>
    <w:rsid w:val="00FD176D"/>
    <w:rsid w:val="00FD42DF"/>
    <w:rsid w:val="00FD4875"/>
    <w:rsid w:val="00FD641C"/>
    <w:rsid w:val="00FD69EF"/>
    <w:rsid w:val="00FF17D0"/>
    <w:rsid w:val="00FF2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9564"/>
  <w15:chartTrackingRefBased/>
  <w15:docId w15:val="{6EF263F9-3D89-4886-918F-17BAC68D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22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iPriority w:val="99"/>
    <w:unhideWhenUsed/>
    <w:qFormat/>
    <w:rsid w:val="00C322F0"/>
    <w:pPr>
      <w:widowControl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C322F0"/>
    <w:rPr>
      <w:rFonts w:ascii="Times New Roman" w:eastAsia="Times New Roman" w:hAnsi="Times New Roman" w:cs="Times New Roman"/>
      <w:sz w:val="20"/>
      <w:szCs w:val="20"/>
    </w:rPr>
  </w:style>
  <w:style w:type="character" w:styleId="FootnoteReference">
    <w:name w:val="footnote reference"/>
    <w:aliases w:val="o,fr,Style 6,Style 20,Appel note de bas de p,Style 8,Style 7,Style 3,Style 17,Style 19"/>
    <w:basedOn w:val="DefaultParagraphFont"/>
    <w:uiPriority w:val="99"/>
    <w:unhideWhenUsed/>
    <w:rsid w:val="00C322F0"/>
    <w:rPr>
      <w:vertAlign w:val="superscript"/>
    </w:rPr>
  </w:style>
  <w:style w:type="paragraph" w:styleId="Footer">
    <w:name w:val="footer"/>
    <w:basedOn w:val="Normal"/>
    <w:link w:val="FooterChar"/>
    <w:uiPriority w:val="99"/>
    <w:unhideWhenUsed/>
    <w:rsid w:val="00C322F0"/>
    <w:pPr>
      <w:widowControl w:val="0"/>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322F0"/>
    <w:rPr>
      <w:rFonts w:ascii="Times New Roman" w:eastAsia="Times New Roman" w:hAnsi="Times New Roman" w:cs="Times New Roman"/>
      <w:sz w:val="20"/>
      <w:szCs w:val="20"/>
    </w:rPr>
  </w:style>
  <w:style w:type="paragraph" w:customStyle="1" w:styleId="Default">
    <w:name w:val="Default"/>
    <w:rsid w:val="00193BF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B4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843"/>
    <w:rPr>
      <w:rFonts w:ascii="Segoe UI" w:hAnsi="Segoe UI" w:cs="Segoe UI"/>
      <w:sz w:val="18"/>
      <w:szCs w:val="18"/>
    </w:rPr>
  </w:style>
  <w:style w:type="character" w:styleId="CommentReference">
    <w:name w:val="annotation reference"/>
    <w:basedOn w:val="DefaultParagraphFont"/>
    <w:uiPriority w:val="99"/>
    <w:semiHidden/>
    <w:unhideWhenUsed/>
    <w:rsid w:val="00DD7571"/>
    <w:rPr>
      <w:sz w:val="16"/>
      <w:szCs w:val="16"/>
    </w:rPr>
  </w:style>
  <w:style w:type="paragraph" w:styleId="CommentText">
    <w:name w:val="annotation text"/>
    <w:basedOn w:val="Normal"/>
    <w:link w:val="CommentTextChar"/>
    <w:uiPriority w:val="99"/>
    <w:semiHidden/>
    <w:unhideWhenUsed/>
    <w:rsid w:val="00DD7571"/>
    <w:pPr>
      <w:spacing w:line="240" w:lineRule="auto"/>
    </w:pPr>
    <w:rPr>
      <w:sz w:val="20"/>
      <w:szCs w:val="20"/>
    </w:rPr>
  </w:style>
  <w:style w:type="character" w:customStyle="1" w:styleId="CommentTextChar">
    <w:name w:val="Comment Text Char"/>
    <w:basedOn w:val="DefaultParagraphFont"/>
    <w:link w:val="CommentText"/>
    <w:uiPriority w:val="99"/>
    <w:semiHidden/>
    <w:rsid w:val="00DD7571"/>
    <w:rPr>
      <w:sz w:val="20"/>
      <w:szCs w:val="20"/>
    </w:rPr>
  </w:style>
  <w:style w:type="paragraph" w:styleId="CommentSubject">
    <w:name w:val="annotation subject"/>
    <w:basedOn w:val="CommentText"/>
    <w:next w:val="CommentText"/>
    <w:link w:val="CommentSubjectChar"/>
    <w:uiPriority w:val="99"/>
    <w:semiHidden/>
    <w:unhideWhenUsed/>
    <w:rsid w:val="00DD7571"/>
    <w:rPr>
      <w:b/>
      <w:bCs/>
    </w:rPr>
  </w:style>
  <w:style w:type="character" w:customStyle="1" w:styleId="CommentSubjectChar">
    <w:name w:val="Comment Subject Char"/>
    <w:basedOn w:val="CommentTextChar"/>
    <w:link w:val="CommentSubject"/>
    <w:uiPriority w:val="99"/>
    <w:semiHidden/>
    <w:rsid w:val="00DD7571"/>
    <w:rPr>
      <w:b/>
      <w:bCs/>
      <w:sz w:val="20"/>
      <w:szCs w:val="20"/>
    </w:rPr>
  </w:style>
  <w:style w:type="paragraph" w:styleId="Header">
    <w:name w:val="header"/>
    <w:basedOn w:val="Normal"/>
    <w:link w:val="HeaderChar"/>
    <w:uiPriority w:val="99"/>
    <w:unhideWhenUsed/>
    <w:rsid w:val="00C70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FF7"/>
  </w:style>
  <w:style w:type="paragraph" w:styleId="ListParagraph">
    <w:name w:val="List Paragraph"/>
    <w:basedOn w:val="Normal"/>
    <w:uiPriority w:val="34"/>
    <w:qFormat/>
    <w:rsid w:val="00887ACA"/>
    <w:pPr>
      <w:ind w:left="720"/>
      <w:contextualSpacing/>
    </w:pPr>
  </w:style>
  <w:style w:type="paragraph" w:styleId="Title">
    <w:name w:val="Title"/>
    <w:basedOn w:val="Normal"/>
    <w:next w:val="Normal"/>
    <w:link w:val="TitleChar"/>
    <w:uiPriority w:val="10"/>
    <w:qFormat/>
    <w:rsid w:val="00721B82"/>
    <w:pPr>
      <w:tabs>
        <w:tab w:val="center" w:pos="4680"/>
      </w:tabs>
      <w:spacing w:after="0" w:line="240" w:lineRule="auto"/>
      <w:jc w:val="center"/>
    </w:pPr>
    <w:rPr>
      <w:rFonts w:ascii="Times New Roman" w:eastAsia="Times New Roman" w:hAnsi="Times New Roman" w:cs="Times New Roman"/>
      <w:b/>
      <w:sz w:val="26"/>
      <w:szCs w:val="26"/>
    </w:rPr>
  </w:style>
  <w:style w:type="character" w:customStyle="1" w:styleId="TitleChar">
    <w:name w:val="Title Char"/>
    <w:basedOn w:val="DefaultParagraphFont"/>
    <w:link w:val="Title"/>
    <w:uiPriority w:val="10"/>
    <w:rsid w:val="00721B82"/>
    <w:rPr>
      <w:rFonts w:ascii="Times New Roman" w:eastAsia="Times New Roman" w:hAnsi="Times New Roman" w:cs="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59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6167dc694bef5d85c0bb9aaa269448e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315817c1ca87ef2b25f4f094d581b91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2298A-6EAF-4A7B-88C5-929FF46430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CA5E90-A838-45CF-AD36-37C39766E265}">
  <ds:schemaRefs>
    <ds:schemaRef ds:uri="http://schemas.microsoft.com/sharepoint/v3/contenttype/forms"/>
  </ds:schemaRefs>
</ds:datastoreItem>
</file>

<file path=customXml/itemProps3.xml><?xml version="1.0" encoding="utf-8"?>
<ds:datastoreItem xmlns:ds="http://schemas.openxmlformats.org/officeDocument/2006/customXml" ds:itemID="{85BAE3F5-2C2B-4033-933F-F0E4ADE13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7289E3-C61A-49FE-B2FC-21ADF3C8D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1595</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Sheffer, Ryan</cp:lastModifiedBy>
  <cp:revision>6</cp:revision>
  <cp:lastPrinted>2019-11-06T19:37:00Z</cp:lastPrinted>
  <dcterms:created xsi:type="dcterms:W3CDTF">2020-07-23T14:03:00Z</dcterms:created>
  <dcterms:modified xsi:type="dcterms:W3CDTF">2020-08-06T15:15:00Z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