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D3730" w14:textId="77777777" w:rsidR="003F2D69" w:rsidRPr="009F73B0" w:rsidRDefault="003F2D69" w:rsidP="00CF1E93">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9F73B0">
        <w:rPr>
          <w:rFonts w:ascii="Times New Roman" w:eastAsia="Times New Roman" w:hAnsi="Times New Roman" w:cs="Times New Roman"/>
          <w:b/>
          <w:sz w:val="26"/>
          <w:szCs w:val="26"/>
        </w:rPr>
        <w:t>PENNSYLVANIA</w:t>
      </w:r>
    </w:p>
    <w:p w14:paraId="19BB34A9" w14:textId="77777777" w:rsidR="003F2D69" w:rsidRPr="009F73B0" w:rsidRDefault="003F2D69" w:rsidP="00CF1E93">
      <w:pPr>
        <w:tabs>
          <w:tab w:val="center" w:pos="4680"/>
        </w:tabs>
        <w:suppressAutoHyphens/>
        <w:spacing w:after="0" w:line="240" w:lineRule="auto"/>
        <w:contextualSpacing/>
        <w:jc w:val="center"/>
        <w:rPr>
          <w:rFonts w:ascii="Times New Roman" w:eastAsia="Times New Roman" w:hAnsi="Times New Roman" w:cs="Times New Roman"/>
          <w:sz w:val="26"/>
          <w:szCs w:val="26"/>
        </w:rPr>
      </w:pPr>
      <w:r w:rsidRPr="009F73B0">
        <w:rPr>
          <w:rFonts w:ascii="Times New Roman" w:eastAsia="Times New Roman" w:hAnsi="Times New Roman" w:cs="Times New Roman"/>
          <w:b/>
          <w:sz w:val="26"/>
          <w:szCs w:val="26"/>
        </w:rPr>
        <w:t>PUBLIC UTILITY COMMISSION</w:t>
      </w:r>
    </w:p>
    <w:p w14:paraId="3DDFF390" w14:textId="33D2D12E" w:rsidR="003F2D69" w:rsidRPr="009F73B0" w:rsidRDefault="003F2D69" w:rsidP="00CF1E93">
      <w:pPr>
        <w:tabs>
          <w:tab w:val="center" w:pos="4680"/>
        </w:tabs>
        <w:suppressAutoHyphens/>
        <w:spacing w:after="0" w:line="240" w:lineRule="auto"/>
        <w:contextualSpacing/>
        <w:jc w:val="center"/>
        <w:rPr>
          <w:rFonts w:ascii="Times New Roman" w:eastAsia="Times New Roman" w:hAnsi="Times New Roman" w:cs="Times New Roman"/>
          <w:sz w:val="26"/>
          <w:szCs w:val="26"/>
        </w:rPr>
      </w:pPr>
      <w:r w:rsidRPr="009F73B0">
        <w:rPr>
          <w:rFonts w:ascii="Times New Roman" w:eastAsia="Times New Roman" w:hAnsi="Times New Roman" w:cs="Times New Roman"/>
          <w:b/>
          <w:sz w:val="26"/>
          <w:szCs w:val="26"/>
        </w:rPr>
        <w:t>Harrisburg, PA 171</w:t>
      </w:r>
      <w:r w:rsidR="008F208C">
        <w:rPr>
          <w:rFonts w:ascii="Times New Roman" w:eastAsia="Times New Roman" w:hAnsi="Times New Roman" w:cs="Times New Roman"/>
          <w:b/>
          <w:sz w:val="26"/>
          <w:szCs w:val="26"/>
        </w:rPr>
        <w:t>20</w:t>
      </w:r>
    </w:p>
    <w:p w14:paraId="538FAFAE" w14:textId="77777777" w:rsidR="003F2D69" w:rsidRPr="009F73B0" w:rsidRDefault="003F2D69" w:rsidP="00CF1E93">
      <w:pPr>
        <w:tabs>
          <w:tab w:val="left" w:pos="-720"/>
        </w:tabs>
        <w:suppressAutoHyphens/>
        <w:spacing w:after="0" w:line="240" w:lineRule="auto"/>
        <w:contextualSpacing/>
        <w:rPr>
          <w:rFonts w:ascii="Times New Roman" w:eastAsia="Times New Roman" w:hAnsi="Times New Roman" w:cs="Times New Roman"/>
          <w:sz w:val="26"/>
          <w:szCs w:val="26"/>
        </w:rPr>
      </w:pPr>
    </w:p>
    <w:p w14:paraId="4A539448" w14:textId="77777777" w:rsidR="003F2D69" w:rsidRPr="009F73B0" w:rsidRDefault="003F2D69" w:rsidP="00CF1E93">
      <w:pPr>
        <w:tabs>
          <w:tab w:val="left" w:pos="-720"/>
        </w:tabs>
        <w:suppressAutoHyphens/>
        <w:spacing w:after="0" w:line="240" w:lineRule="auto"/>
        <w:contextualSpacing/>
        <w:rPr>
          <w:rFonts w:ascii="Times New Roman" w:eastAsia="Times New Roman" w:hAnsi="Times New Roman" w:cs="Times New Roman"/>
          <w:sz w:val="26"/>
          <w:szCs w:val="26"/>
        </w:rPr>
      </w:pPr>
    </w:p>
    <w:p w14:paraId="036C617B" w14:textId="2D5C0794" w:rsidR="003F2D69" w:rsidRPr="009F73B0" w:rsidRDefault="003F2D69" w:rsidP="00CF1E93">
      <w:pPr>
        <w:spacing w:after="0" w:line="240" w:lineRule="auto"/>
        <w:contextualSpacing/>
        <w:jc w:val="right"/>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Public Meeting held </w:t>
      </w:r>
      <w:r w:rsidR="00375BD8">
        <w:rPr>
          <w:rFonts w:ascii="Times New Roman" w:eastAsia="Times New Roman" w:hAnsi="Times New Roman" w:cs="Times New Roman"/>
          <w:sz w:val="26"/>
          <w:szCs w:val="26"/>
        </w:rPr>
        <w:t xml:space="preserve">August </w:t>
      </w:r>
      <w:r w:rsidR="009054CE" w:rsidRPr="009F73B0">
        <w:rPr>
          <w:rFonts w:ascii="Times New Roman" w:eastAsia="Times New Roman" w:hAnsi="Times New Roman" w:cs="Times New Roman"/>
          <w:sz w:val="26"/>
          <w:szCs w:val="26"/>
        </w:rPr>
        <w:t>6</w:t>
      </w:r>
      <w:r w:rsidR="001070D1" w:rsidRPr="009F73B0">
        <w:rPr>
          <w:rFonts w:ascii="Times New Roman" w:eastAsia="Times New Roman" w:hAnsi="Times New Roman" w:cs="Times New Roman"/>
          <w:sz w:val="26"/>
          <w:szCs w:val="26"/>
        </w:rPr>
        <w:t>, 2020</w:t>
      </w:r>
    </w:p>
    <w:p w14:paraId="6FE45E8F" w14:textId="77777777" w:rsidR="003F2D69" w:rsidRPr="009F73B0" w:rsidRDefault="003F2D69" w:rsidP="00CF1E93">
      <w:pPr>
        <w:spacing w:after="0" w:line="240" w:lineRule="auto"/>
        <w:contextualSpacing/>
        <w:rPr>
          <w:rFonts w:ascii="Times New Roman" w:eastAsia="Times New Roman" w:hAnsi="Times New Roman" w:cs="Times New Roman"/>
          <w:sz w:val="26"/>
          <w:szCs w:val="26"/>
        </w:rPr>
      </w:pPr>
    </w:p>
    <w:p w14:paraId="24C83A17" w14:textId="77777777" w:rsidR="0003121C" w:rsidRPr="009F73B0" w:rsidRDefault="0003121C" w:rsidP="00CF1E93">
      <w:pPr>
        <w:spacing w:after="0" w:line="240" w:lineRule="auto"/>
        <w:contextualSpacing/>
        <w:rPr>
          <w:rFonts w:ascii="Times New Roman" w:eastAsia="Times New Roman" w:hAnsi="Times New Roman" w:cs="Times New Roman"/>
          <w:sz w:val="26"/>
          <w:szCs w:val="26"/>
        </w:rPr>
      </w:pPr>
    </w:p>
    <w:p w14:paraId="30695D85" w14:textId="588BFA8B" w:rsidR="00830BCC" w:rsidRDefault="00830BCC" w:rsidP="00CF1E93">
      <w:pPr>
        <w:spacing w:after="0" w:line="240" w:lineRule="auto"/>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Commissioners Present:</w:t>
      </w:r>
    </w:p>
    <w:p w14:paraId="0D1786A2" w14:textId="77777777" w:rsidR="00547063" w:rsidRPr="009F73B0" w:rsidRDefault="00547063" w:rsidP="00CF1E93">
      <w:pPr>
        <w:spacing w:after="0" w:line="240" w:lineRule="auto"/>
        <w:contextualSpacing/>
        <w:rPr>
          <w:rFonts w:ascii="Times New Roman" w:eastAsia="Times New Roman" w:hAnsi="Times New Roman" w:cs="Times New Roman"/>
          <w:sz w:val="26"/>
          <w:szCs w:val="26"/>
        </w:rPr>
      </w:pPr>
    </w:p>
    <w:p w14:paraId="55359700" w14:textId="77777777" w:rsidR="00830BCC" w:rsidRPr="009F73B0" w:rsidRDefault="00830BCC" w:rsidP="00CF1E93">
      <w:pPr>
        <w:spacing w:after="0" w:line="240" w:lineRule="auto"/>
        <w:contextualSpacing/>
        <w:rPr>
          <w:rFonts w:ascii="Times New Roman" w:eastAsia="Times New Roman" w:hAnsi="Times New Roman" w:cs="Times New Roman"/>
          <w:sz w:val="26"/>
          <w:szCs w:val="26"/>
        </w:rPr>
      </w:pPr>
    </w:p>
    <w:p w14:paraId="03EEB31F" w14:textId="6F7724D2" w:rsidR="00830BCC" w:rsidRPr="009F73B0" w:rsidRDefault="00830BCC" w:rsidP="00CF1E93">
      <w:pPr>
        <w:tabs>
          <w:tab w:val="left" w:pos="705"/>
        </w:tabs>
        <w:spacing w:after="0" w:line="240" w:lineRule="auto"/>
        <w:ind w:left="432"/>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Gladys Brown</w:t>
      </w:r>
      <w:r w:rsidR="007D1B3E">
        <w:rPr>
          <w:rFonts w:ascii="Times New Roman" w:eastAsia="Times New Roman" w:hAnsi="Times New Roman" w:cs="Times New Roman"/>
          <w:sz w:val="26"/>
          <w:szCs w:val="26"/>
        </w:rPr>
        <w:t xml:space="preserve"> </w:t>
      </w:r>
      <w:proofErr w:type="spellStart"/>
      <w:r w:rsidR="007D1B3E">
        <w:rPr>
          <w:rFonts w:ascii="Times New Roman" w:eastAsia="Times New Roman" w:hAnsi="Times New Roman" w:cs="Times New Roman"/>
          <w:sz w:val="26"/>
          <w:szCs w:val="26"/>
        </w:rPr>
        <w:t>Dutrieuille</w:t>
      </w:r>
      <w:proofErr w:type="spellEnd"/>
      <w:r w:rsidRPr="009F73B0">
        <w:rPr>
          <w:rFonts w:ascii="Times New Roman" w:eastAsia="Times New Roman" w:hAnsi="Times New Roman" w:cs="Times New Roman"/>
          <w:sz w:val="26"/>
          <w:szCs w:val="26"/>
        </w:rPr>
        <w:t>, Chairman</w:t>
      </w:r>
    </w:p>
    <w:p w14:paraId="775A50C0" w14:textId="32B8459D" w:rsidR="00830BCC" w:rsidRPr="009F73B0" w:rsidRDefault="00325D03" w:rsidP="00CF1E93">
      <w:pPr>
        <w:tabs>
          <w:tab w:val="left" w:pos="705"/>
        </w:tabs>
        <w:spacing w:after="0" w:line="240" w:lineRule="auto"/>
        <w:ind w:left="432"/>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David W. Sweet</w:t>
      </w:r>
      <w:r w:rsidR="00830BCC" w:rsidRPr="009F73B0">
        <w:rPr>
          <w:rFonts w:ascii="Times New Roman" w:eastAsia="Times New Roman" w:hAnsi="Times New Roman" w:cs="Times New Roman"/>
          <w:sz w:val="26"/>
          <w:szCs w:val="26"/>
        </w:rPr>
        <w:t>, Vice Chairman</w:t>
      </w:r>
    </w:p>
    <w:p w14:paraId="139D5573" w14:textId="77777777" w:rsidR="001070D1" w:rsidRPr="009F73B0" w:rsidRDefault="001070D1" w:rsidP="00CF1E93">
      <w:pPr>
        <w:tabs>
          <w:tab w:val="left" w:pos="705"/>
        </w:tabs>
        <w:spacing w:after="0" w:line="240" w:lineRule="auto"/>
        <w:ind w:left="432"/>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John F. Coleman, Jr.</w:t>
      </w:r>
    </w:p>
    <w:p w14:paraId="15E3DEF1" w14:textId="77777777" w:rsidR="001070D1" w:rsidRPr="009F73B0" w:rsidRDefault="001070D1" w:rsidP="00CF1E93">
      <w:pPr>
        <w:tabs>
          <w:tab w:val="left" w:pos="705"/>
        </w:tabs>
        <w:spacing w:after="0" w:line="240" w:lineRule="auto"/>
        <w:ind w:left="432"/>
        <w:contextualSpacing/>
        <w:rPr>
          <w:rFonts w:ascii="Times New Roman" w:eastAsia="Times New Roman" w:hAnsi="Times New Roman" w:cs="Times New Roman"/>
          <w:b/>
          <w:sz w:val="26"/>
          <w:szCs w:val="26"/>
        </w:rPr>
      </w:pPr>
      <w:r w:rsidRPr="009F73B0">
        <w:rPr>
          <w:rFonts w:ascii="Times New Roman" w:eastAsia="Times New Roman" w:hAnsi="Times New Roman" w:cs="Times New Roman"/>
          <w:sz w:val="26"/>
          <w:szCs w:val="26"/>
        </w:rPr>
        <w:t xml:space="preserve">Ralph V. </w:t>
      </w:r>
      <w:proofErr w:type="spellStart"/>
      <w:r w:rsidRPr="009F73B0">
        <w:rPr>
          <w:rFonts w:ascii="Times New Roman" w:eastAsia="Times New Roman" w:hAnsi="Times New Roman" w:cs="Times New Roman"/>
          <w:sz w:val="26"/>
          <w:szCs w:val="26"/>
        </w:rPr>
        <w:t>Yanora</w:t>
      </w:r>
      <w:proofErr w:type="spellEnd"/>
    </w:p>
    <w:p w14:paraId="76EAD97A" w14:textId="59EC8BDE" w:rsidR="00830BCC" w:rsidRDefault="00830BCC" w:rsidP="00CF1E93">
      <w:pPr>
        <w:tabs>
          <w:tab w:val="left" w:pos="705"/>
        </w:tabs>
        <w:spacing w:after="0" w:line="240" w:lineRule="auto"/>
        <w:ind w:left="432"/>
        <w:contextualSpacing/>
        <w:rPr>
          <w:rFonts w:ascii="Times New Roman" w:eastAsia="Times New Roman" w:hAnsi="Times New Roman" w:cs="Times New Roman"/>
          <w:sz w:val="26"/>
          <w:szCs w:val="26"/>
        </w:rPr>
      </w:pPr>
    </w:p>
    <w:p w14:paraId="62BE982A" w14:textId="77777777" w:rsidR="00DF3E25" w:rsidRPr="009F73B0" w:rsidRDefault="00DF3E25">
      <w:pPr>
        <w:tabs>
          <w:tab w:val="left" w:pos="705"/>
        </w:tabs>
        <w:spacing w:after="0" w:line="240" w:lineRule="auto"/>
        <w:ind w:left="432"/>
        <w:contextualSpacing/>
        <w:rPr>
          <w:rFonts w:ascii="Times New Roman" w:eastAsia="Times New Roman" w:hAnsi="Times New Roman" w:cs="Times New Roman"/>
          <w:sz w:val="26"/>
          <w:szCs w:val="26"/>
        </w:rPr>
      </w:pPr>
    </w:p>
    <w:p w14:paraId="063931FF" w14:textId="362EB3D2" w:rsidR="003F2D69" w:rsidRPr="009F73B0" w:rsidRDefault="003F2D69" w:rsidP="00723B1F">
      <w:pPr>
        <w:spacing w:after="0" w:line="240" w:lineRule="auto"/>
        <w:contextualSpacing/>
        <w:rPr>
          <w:rFonts w:ascii="Times New Roman" w:hAnsi="Times New Roman" w:cs="Times New Roman"/>
          <w:sz w:val="26"/>
          <w:szCs w:val="26"/>
        </w:rPr>
      </w:pPr>
      <w:r w:rsidRPr="009F73B0">
        <w:rPr>
          <w:rFonts w:ascii="Times New Roman" w:hAnsi="Times New Roman" w:cs="Times New Roman"/>
          <w:sz w:val="26"/>
          <w:szCs w:val="26"/>
        </w:rPr>
        <w:t>Pennsylvania Public Utility Commission</w:t>
      </w:r>
      <w:r w:rsidRPr="009F73B0">
        <w:rPr>
          <w:rFonts w:ascii="Times New Roman" w:hAnsi="Times New Roman" w:cs="Times New Roman"/>
          <w:sz w:val="26"/>
          <w:szCs w:val="26"/>
        </w:rPr>
        <w:tab/>
      </w:r>
      <w:r w:rsidRPr="009F73B0">
        <w:rPr>
          <w:rFonts w:ascii="Times New Roman" w:hAnsi="Times New Roman" w:cs="Times New Roman"/>
          <w:sz w:val="26"/>
          <w:szCs w:val="26"/>
        </w:rPr>
        <w:tab/>
      </w:r>
      <w:r w:rsidRPr="009F73B0">
        <w:rPr>
          <w:rFonts w:ascii="Times New Roman" w:hAnsi="Times New Roman" w:cs="Times New Roman"/>
          <w:sz w:val="26"/>
          <w:szCs w:val="26"/>
        </w:rPr>
        <w:tab/>
      </w:r>
      <w:r w:rsidRPr="009F73B0">
        <w:rPr>
          <w:rFonts w:ascii="Times New Roman" w:hAnsi="Times New Roman" w:cs="Times New Roman"/>
          <w:sz w:val="26"/>
          <w:szCs w:val="26"/>
        </w:rPr>
        <w:tab/>
      </w:r>
      <w:r w:rsidRPr="009F73B0">
        <w:rPr>
          <w:rFonts w:ascii="Times New Roman" w:hAnsi="Times New Roman" w:cs="Times New Roman"/>
          <w:sz w:val="26"/>
          <w:szCs w:val="26"/>
        </w:rPr>
        <w:tab/>
      </w:r>
      <w:r w:rsidR="000528FC">
        <w:rPr>
          <w:rFonts w:ascii="Times New Roman" w:hAnsi="Times New Roman" w:cs="Times New Roman"/>
          <w:sz w:val="26"/>
          <w:szCs w:val="26"/>
        </w:rPr>
        <w:t xml:space="preserve">     </w:t>
      </w:r>
      <w:r w:rsidRPr="009F73B0">
        <w:rPr>
          <w:rFonts w:ascii="Times New Roman" w:hAnsi="Times New Roman" w:cs="Times New Roman"/>
          <w:sz w:val="26"/>
          <w:szCs w:val="26"/>
        </w:rPr>
        <w:t>R-</w:t>
      </w:r>
      <w:r w:rsidR="00830BCC" w:rsidRPr="009F73B0">
        <w:rPr>
          <w:rFonts w:ascii="Times New Roman" w:hAnsi="Times New Roman" w:cs="Times New Roman"/>
          <w:sz w:val="26"/>
          <w:szCs w:val="26"/>
        </w:rPr>
        <w:t>2018-3002502</w:t>
      </w:r>
    </w:p>
    <w:p w14:paraId="5B3FBB4F" w14:textId="418697F6" w:rsidR="003F2D69" w:rsidRPr="009F73B0" w:rsidRDefault="00830BCC" w:rsidP="00723B1F">
      <w:pPr>
        <w:spacing w:after="0" w:line="240" w:lineRule="auto"/>
        <w:contextualSpacing/>
        <w:rPr>
          <w:rFonts w:ascii="Times New Roman" w:hAnsi="Times New Roman" w:cs="Times New Roman"/>
          <w:sz w:val="26"/>
          <w:szCs w:val="26"/>
        </w:rPr>
      </w:pPr>
      <w:r w:rsidRPr="009F73B0">
        <w:rPr>
          <w:rFonts w:ascii="Times New Roman" w:hAnsi="Times New Roman" w:cs="Times New Roman"/>
          <w:sz w:val="26"/>
          <w:szCs w:val="26"/>
        </w:rPr>
        <w:t>Bureau of Investigation and Enforcement</w:t>
      </w:r>
      <w:r w:rsidR="003F2D69" w:rsidRPr="009F73B0">
        <w:rPr>
          <w:rFonts w:ascii="Times New Roman" w:hAnsi="Times New Roman" w:cs="Times New Roman"/>
          <w:sz w:val="26"/>
          <w:szCs w:val="26"/>
        </w:rPr>
        <w:tab/>
      </w:r>
      <w:r w:rsidR="003F2D69" w:rsidRPr="009F73B0">
        <w:rPr>
          <w:rFonts w:ascii="Times New Roman" w:hAnsi="Times New Roman" w:cs="Times New Roman"/>
          <w:sz w:val="26"/>
          <w:szCs w:val="26"/>
        </w:rPr>
        <w:tab/>
      </w:r>
      <w:r w:rsidR="003F2D69" w:rsidRPr="009F73B0">
        <w:rPr>
          <w:rFonts w:ascii="Times New Roman" w:hAnsi="Times New Roman" w:cs="Times New Roman"/>
          <w:sz w:val="26"/>
          <w:szCs w:val="26"/>
        </w:rPr>
        <w:tab/>
      </w:r>
      <w:r w:rsidR="003F2D69" w:rsidRPr="009F73B0">
        <w:rPr>
          <w:rFonts w:ascii="Times New Roman" w:hAnsi="Times New Roman" w:cs="Times New Roman"/>
          <w:sz w:val="26"/>
          <w:szCs w:val="26"/>
        </w:rPr>
        <w:tab/>
      </w:r>
      <w:r w:rsidR="003F2D69" w:rsidRPr="009F73B0">
        <w:rPr>
          <w:rFonts w:ascii="Times New Roman" w:hAnsi="Times New Roman" w:cs="Times New Roman"/>
          <w:sz w:val="26"/>
          <w:szCs w:val="26"/>
        </w:rPr>
        <w:tab/>
      </w:r>
      <w:r w:rsidR="000528FC">
        <w:rPr>
          <w:rFonts w:ascii="Times New Roman" w:hAnsi="Times New Roman" w:cs="Times New Roman"/>
          <w:sz w:val="26"/>
          <w:szCs w:val="26"/>
        </w:rPr>
        <w:t xml:space="preserve">     </w:t>
      </w:r>
      <w:r w:rsidR="003F2D69" w:rsidRPr="009F73B0">
        <w:rPr>
          <w:rFonts w:ascii="Times New Roman" w:hAnsi="Times New Roman" w:cs="Times New Roman"/>
          <w:sz w:val="26"/>
          <w:szCs w:val="26"/>
        </w:rPr>
        <w:t>C-</w:t>
      </w:r>
      <w:r w:rsidRPr="009F73B0">
        <w:rPr>
          <w:rFonts w:ascii="Times New Roman" w:hAnsi="Times New Roman" w:cs="Times New Roman"/>
          <w:sz w:val="26"/>
          <w:szCs w:val="26"/>
        </w:rPr>
        <w:t>2018-3003600</w:t>
      </w:r>
    </w:p>
    <w:p w14:paraId="37019DF7" w14:textId="77777777" w:rsidR="003F2D69" w:rsidRPr="009F73B0" w:rsidRDefault="003F2D69" w:rsidP="00723B1F">
      <w:pPr>
        <w:spacing w:after="0" w:line="240" w:lineRule="auto"/>
        <w:contextualSpacing/>
        <w:rPr>
          <w:rFonts w:ascii="Times New Roman" w:hAnsi="Times New Roman" w:cs="Times New Roman"/>
          <w:sz w:val="26"/>
          <w:szCs w:val="26"/>
        </w:rPr>
      </w:pPr>
    </w:p>
    <w:p w14:paraId="5415E585" w14:textId="4DAB4C69" w:rsidR="003F2D69" w:rsidRPr="009F73B0" w:rsidRDefault="003F2D69" w:rsidP="00723B1F">
      <w:pPr>
        <w:spacing w:after="0" w:line="240" w:lineRule="auto"/>
        <w:contextualSpacing/>
        <w:rPr>
          <w:rFonts w:ascii="Times New Roman" w:hAnsi="Times New Roman" w:cs="Times New Roman"/>
          <w:sz w:val="26"/>
          <w:szCs w:val="26"/>
        </w:rPr>
      </w:pPr>
      <w:r w:rsidRPr="009F73B0">
        <w:rPr>
          <w:rFonts w:ascii="Times New Roman" w:hAnsi="Times New Roman" w:cs="Times New Roman"/>
          <w:sz w:val="26"/>
          <w:szCs w:val="26"/>
        </w:rPr>
        <w:tab/>
        <w:t>v.</w:t>
      </w:r>
    </w:p>
    <w:p w14:paraId="67130285" w14:textId="77777777" w:rsidR="003F2D69" w:rsidRPr="009F73B0" w:rsidRDefault="003F2D69" w:rsidP="00723B1F">
      <w:pPr>
        <w:spacing w:after="0" w:line="240" w:lineRule="auto"/>
        <w:contextualSpacing/>
        <w:rPr>
          <w:rFonts w:ascii="Times New Roman" w:hAnsi="Times New Roman" w:cs="Times New Roman"/>
          <w:sz w:val="26"/>
          <w:szCs w:val="26"/>
        </w:rPr>
      </w:pPr>
    </w:p>
    <w:p w14:paraId="5F549509" w14:textId="77777777" w:rsidR="003F2D69" w:rsidRPr="009F73B0" w:rsidRDefault="00830BCC" w:rsidP="00723B1F">
      <w:pPr>
        <w:spacing w:after="0" w:line="240" w:lineRule="auto"/>
        <w:contextualSpacing/>
        <w:rPr>
          <w:rFonts w:ascii="Times New Roman" w:hAnsi="Times New Roman" w:cs="Times New Roman"/>
          <w:sz w:val="26"/>
          <w:szCs w:val="26"/>
        </w:rPr>
      </w:pPr>
      <w:r w:rsidRPr="009F73B0">
        <w:rPr>
          <w:rFonts w:ascii="Times New Roman" w:hAnsi="Times New Roman" w:cs="Times New Roman"/>
          <w:sz w:val="26"/>
          <w:szCs w:val="26"/>
        </w:rPr>
        <w:t>Pennsylvania-American</w:t>
      </w:r>
      <w:r w:rsidR="003F2D69" w:rsidRPr="009F73B0">
        <w:rPr>
          <w:rFonts w:ascii="Times New Roman" w:hAnsi="Times New Roman" w:cs="Times New Roman"/>
          <w:sz w:val="26"/>
          <w:szCs w:val="26"/>
        </w:rPr>
        <w:t xml:space="preserve"> Water Company</w:t>
      </w:r>
    </w:p>
    <w:p w14:paraId="4AE6699D" w14:textId="77777777" w:rsidR="003F2D69" w:rsidRPr="009F73B0" w:rsidRDefault="003F2D69" w:rsidP="00723B1F">
      <w:pPr>
        <w:spacing w:after="0" w:line="240" w:lineRule="auto"/>
        <w:contextualSpacing/>
        <w:rPr>
          <w:rFonts w:ascii="Times New Roman" w:hAnsi="Times New Roman" w:cs="Times New Roman"/>
          <w:sz w:val="26"/>
          <w:szCs w:val="26"/>
        </w:rPr>
      </w:pPr>
    </w:p>
    <w:p w14:paraId="046E82BB" w14:textId="77777777" w:rsidR="0003121C" w:rsidRPr="009F73B0" w:rsidRDefault="0003121C" w:rsidP="00723B1F">
      <w:pPr>
        <w:spacing w:after="0" w:line="240" w:lineRule="auto"/>
        <w:contextualSpacing/>
        <w:rPr>
          <w:rFonts w:ascii="Times New Roman" w:hAnsi="Times New Roman" w:cs="Times New Roman"/>
          <w:sz w:val="26"/>
          <w:szCs w:val="26"/>
        </w:rPr>
      </w:pPr>
    </w:p>
    <w:p w14:paraId="1E99F97B" w14:textId="77777777" w:rsidR="003F2D69" w:rsidRPr="009F73B0" w:rsidRDefault="003F2D69" w:rsidP="00723B1F">
      <w:pPr>
        <w:spacing w:after="0" w:line="240" w:lineRule="auto"/>
        <w:contextualSpacing/>
        <w:rPr>
          <w:rFonts w:ascii="Times New Roman" w:hAnsi="Times New Roman" w:cs="Times New Roman"/>
          <w:sz w:val="26"/>
          <w:szCs w:val="26"/>
        </w:rPr>
      </w:pPr>
    </w:p>
    <w:p w14:paraId="1404AA58" w14:textId="04A0F643" w:rsidR="003F2D69" w:rsidRPr="009F73B0" w:rsidRDefault="003F2D69" w:rsidP="00723B1F">
      <w:pPr>
        <w:spacing w:after="0" w:line="240" w:lineRule="auto"/>
        <w:contextualSpacing/>
        <w:rPr>
          <w:rFonts w:ascii="Times New Roman" w:hAnsi="Times New Roman" w:cs="Times New Roman"/>
          <w:sz w:val="26"/>
          <w:szCs w:val="26"/>
        </w:rPr>
      </w:pPr>
      <w:r w:rsidRPr="009F73B0">
        <w:rPr>
          <w:rFonts w:ascii="Times New Roman" w:hAnsi="Times New Roman" w:cs="Times New Roman"/>
          <w:sz w:val="26"/>
          <w:szCs w:val="26"/>
        </w:rPr>
        <w:t>Pennsylvania Public Utility Commission</w:t>
      </w:r>
      <w:r w:rsidRPr="009F73B0">
        <w:rPr>
          <w:rFonts w:ascii="Times New Roman" w:hAnsi="Times New Roman" w:cs="Times New Roman"/>
          <w:sz w:val="26"/>
          <w:szCs w:val="26"/>
        </w:rPr>
        <w:tab/>
      </w:r>
      <w:r w:rsidRPr="009F73B0">
        <w:rPr>
          <w:rFonts w:ascii="Times New Roman" w:hAnsi="Times New Roman" w:cs="Times New Roman"/>
          <w:sz w:val="26"/>
          <w:szCs w:val="26"/>
        </w:rPr>
        <w:tab/>
      </w:r>
      <w:r w:rsidRPr="009F73B0">
        <w:rPr>
          <w:rFonts w:ascii="Times New Roman" w:hAnsi="Times New Roman" w:cs="Times New Roman"/>
          <w:sz w:val="26"/>
          <w:szCs w:val="26"/>
        </w:rPr>
        <w:tab/>
      </w:r>
      <w:r w:rsidRPr="009F73B0">
        <w:rPr>
          <w:rFonts w:ascii="Times New Roman" w:hAnsi="Times New Roman" w:cs="Times New Roman"/>
          <w:sz w:val="26"/>
          <w:szCs w:val="26"/>
        </w:rPr>
        <w:tab/>
      </w:r>
      <w:r w:rsidRPr="009F73B0">
        <w:rPr>
          <w:rFonts w:ascii="Times New Roman" w:hAnsi="Times New Roman" w:cs="Times New Roman"/>
          <w:sz w:val="26"/>
          <w:szCs w:val="26"/>
        </w:rPr>
        <w:tab/>
      </w:r>
      <w:r w:rsidR="000528FC">
        <w:rPr>
          <w:rFonts w:ascii="Times New Roman" w:hAnsi="Times New Roman" w:cs="Times New Roman"/>
          <w:sz w:val="26"/>
          <w:szCs w:val="26"/>
        </w:rPr>
        <w:t xml:space="preserve">    </w:t>
      </w:r>
      <w:r w:rsidR="00830BCC" w:rsidRPr="009F73B0">
        <w:rPr>
          <w:rFonts w:ascii="Times New Roman" w:hAnsi="Times New Roman" w:cs="Times New Roman"/>
          <w:sz w:val="26"/>
          <w:szCs w:val="26"/>
        </w:rPr>
        <w:t>R-2018-3002504</w:t>
      </w:r>
    </w:p>
    <w:p w14:paraId="1207B076" w14:textId="02FB9896" w:rsidR="003F2D69" w:rsidRPr="009F73B0" w:rsidRDefault="00830BCC" w:rsidP="00723B1F">
      <w:pPr>
        <w:spacing w:after="0" w:line="240" w:lineRule="auto"/>
        <w:contextualSpacing/>
        <w:rPr>
          <w:rFonts w:ascii="Times New Roman" w:hAnsi="Times New Roman" w:cs="Times New Roman"/>
          <w:sz w:val="26"/>
          <w:szCs w:val="26"/>
        </w:rPr>
      </w:pPr>
      <w:r w:rsidRPr="009F73B0">
        <w:rPr>
          <w:rFonts w:ascii="Times New Roman" w:hAnsi="Times New Roman" w:cs="Times New Roman"/>
          <w:sz w:val="26"/>
          <w:szCs w:val="26"/>
        </w:rPr>
        <w:t>Bureau of Investigation and Enforcement</w:t>
      </w:r>
      <w:r w:rsidR="003F2D69" w:rsidRPr="009F73B0">
        <w:rPr>
          <w:rFonts w:ascii="Times New Roman" w:hAnsi="Times New Roman" w:cs="Times New Roman"/>
          <w:sz w:val="26"/>
          <w:szCs w:val="26"/>
        </w:rPr>
        <w:tab/>
      </w:r>
      <w:r w:rsidR="003F2D69" w:rsidRPr="009F73B0">
        <w:rPr>
          <w:rFonts w:ascii="Times New Roman" w:hAnsi="Times New Roman" w:cs="Times New Roman"/>
          <w:sz w:val="26"/>
          <w:szCs w:val="26"/>
        </w:rPr>
        <w:tab/>
      </w:r>
      <w:r w:rsidR="003F2D69" w:rsidRPr="009F73B0">
        <w:rPr>
          <w:rFonts w:ascii="Times New Roman" w:hAnsi="Times New Roman" w:cs="Times New Roman"/>
          <w:sz w:val="26"/>
          <w:szCs w:val="26"/>
        </w:rPr>
        <w:tab/>
      </w:r>
      <w:r w:rsidR="003F2D69" w:rsidRPr="009F73B0">
        <w:rPr>
          <w:rFonts w:ascii="Times New Roman" w:hAnsi="Times New Roman" w:cs="Times New Roman"/>
          <w:sz w:val="26"/>
          <w:szCs w:val="26"/>
        </w:rPr>
        <w:tab/>
      </w:r>
      <w:r w:rsidR="003F2D69" w:rsidRPr="009F73B0">
        <w:rPr>
          <w:rFonts w:ascii="Times New Roman" w:hAnsi="Times New Roman" w:cs="Times New Roman"/>
          <w:sz w:val="26"/>
          <w:szCs w:val="26"/>
        </w:rPr>
        <w:tab/>
      </w:r>
      <w:r w:rsidR="000528FC">
        <w:rPr>
          <w:rFonts w:ascii="Times New Roman" w:hAnsi="Times New Roman" w:cs="Times New Roman"/>
          <w:sz w:val="26"/>
          <w:szCs w:val="26"/>
        </w:rPr>
        <w:t xml:space="preserve">    </w:t>
      </w:r>
      <w:r w:rsidRPr="009F73B0">
        <w:rPr>
          <w:rFonts w:ascii="Times New Roman" w:hAnsi="Times New Roman" w:cs="Times New Roman"/>
          <w:sz w:val="26"/>
          <w:szCs w:val="26"/>
        </w:rPr>
        <w:t>C-2018-3003601</w:t>
      </w:r>
    </w:p>
    <w:p w14:paraId="4C096513" w14:textId="77777777" w:rsidR="003F2D69" w:rsidRPr="009F73B0" w:rsidRDefault="003F2D69" w:rsidP="00723B1F">
      <w:pPr>
        <w:spacing w:after="0" w:line="240" w:lineRule="auto"/>
        <w:contextualSpacing/>
        <w:rPr>
          <w:rFonts w:ascii="Times New Roman" w:hAnsi="Times New Roman" w:cs="Times New Roman"/>
          <w:sz w:val="26"/>
          <w:szCs w:val="26"/>
        </w:rPr>
      </w:pPr>
    </w:p>
    <w:p w14:paraId="1F776B50" w14:textId="3F9F35F5" w:rsidR="003F2D69" w:rsidRPr="009F73B0" w:rsidRDefault="003F2D69" w:rsidP="00723B1F">
      <w:pPr>
        <w:spacing w:after="0" w:line="240" w:lineRule="auto"/>
        <w:contextualSpacing/>
        <w:rPr>
          <w:rFonts w:ascii="Times New Roman" w:hAnsi="Times New Roman" w:cs="Times New Roman"/>
          <w:sz w:val="26"/>
          <w:szCs w:val="26"/>
        </w:rPr>
      </w:pPr>
      <w:r w:rsidRPr="009F73B0">
        <w:rPr>
          <w:rFonts w:ascii="Times New Roman" w:hAnsi="Times New Roman" w:cs="Times New Roman"/>
          <w:sz w:val="26"/>
          <w:szCs w:val="26"/>
        </w:rPr>
        <w:tab/>
        <w:t>v.</w:t>
      </w:r>
    </w:p>
    <w:p w14:paraId="435C94A2" w14:textId="77777777" w:rsidR="003F2D69" w:rsidRPr="009F73B0" w:rsidRDefault="003F2D69" w:rsidP="00723B1F">
      <w:pPr>
        <w:spacing w:after="0" w:line="240" w:lineRule="auto"/>
        <w:contextualSpacing/>
        <w:rPr>
          <w:rFonts w:ascii="Times New Roman" w:hAnsi="Times New Roman" w:cs="Times New Roman"/>
          <w:sz w:val="26"/>
          <w:szCs w:val="26"/>
        </w:rPr>
      </w:pPr>
    </w:p>
    <w:p w14:paraId="51BEEA02" w14:textId="77777777" w:rsidR="00830BCC" w:rsidRPr="009F73B0" w:rsidRDefault="00830BCC" w:rsidP="00723B1F">
      <w:pPr>
        <w:spacing w:after="0" w:line="240" w:lineRule="auto"/>
        <w:contextualSpacing/>
        <w:rPr>
          <w:rFonts w:ascii="Times New Roman" w:hAnsi="Times New Roman" w:cs="Times New Roman"/>
          <w:sz w:val="26"/>
          <w:szCs w:val="26"/>
        </w:rPr>
      </w:pPr>
      <w:r w:rsidRPr="009F73B0">
        <w:rPr>
          <w:rFonts w:ascii="Times New Roman" w:hAnsi="Times New Roman" w:cs="Times New Roman"/>
          <w:sz w:val="26"/>
          <w:szCs w:val="26"/>
        </w:rPr>
        <w:t>Pennsylvania-American Water Company</w:t>
      </w:r>
    </w:p>
    <w:p w14:paraId="242442CB" w14:textId="77777777" w:rsidR="0003121C" w:rsidRPr="009F73B0" w:rsidRDefault="00830BCC" w:rsidP="00723B1F">
      <w:pPr>
        <w:spacing w:after="0" w:line="240" w:lineRule="auto"/>
        <w:contextualSpacing/>
        <w:rPr>
          <w:rFonts w:ascii="Times New Roman" w:hAnsi="Times New Roman" w:cs="Times New Roman"/>
          <w:sz w:val="26"/>
          <w:szCs w:val="26"/>
        </w:rPr>
      </w:pPr>
      <w:r w:rsidRPr="009F73B0">
        <w:rPr>
          <w:rFonts w:ascii="Times New Roman" w:hAnsi="Times New Roman" w:cs="Times New Roman"/>
          <w:sz w:val="26"/>
          <w:szCs w:val="26"/>
        </w:rPr>
        <w:t>Wastewater Division</w:t>
      </w:r>
    </w:p>
    <w:p w14:paraId="1E232716" w14:textId="77777777" w:rsidR="0003121C" w:rsidRPr="009F73B0" w:rsidRDefault="0003121C" w:rsidP="00723B1F">
      <w:pPr>
        <w:spacing w:after="0" w:line="240" w:lineRule="auto"/>
        <w:contextualSpacing/>
        <w:rPr>
          <w:rFonts w:ascii="Times New Roman" w:hAnsi="Times New Roman" w:cs="Times New Roman"/>
          <w:sz w:val="26"/>
          <w:szCs w:val="26"/>
        </w:rPr>
      </w:pPr>
    </w:p>
    <w:p w14:paraId="459F3974" w14:textId="77777777" w:rsidR="003F2D69" w:rsidRPr="009F73B0" w:rsidRDefault="003F2D69">
      <w:pPr>
        <w:spacing w:after="0" w:line="240" w:lineRule="auto"/>
        <w:contextualSpacing/>
        <w:rPr>
          <w:rFonts w:ascii="Times New Roman" w:hAnsi="Times New Roman" w:cs="Times New Roman"/>
          <w:sz w:val="26"/>
          <w:szCs w:val="26"/>
        </w:rPr>
      </w:pPr>
    </w:p>
    <w:p w14:paraId="0D90BDE3" w14:textId="512E712D" w:rsidR="001070D1" w:rsidRPr="009F73B0" w:rsidRDefault="001070D1" w:rsidP="00CB6A2A">
      <w:pPr>
        <w:keepNext/>
        <w:keepLines/>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9F73B0">
        <w:rPr>
          <w:rFonts w:ascii="Times New Roman" w:eastAsia="Times New Roman" w:hAnsi="Times New Roman" w:cs="Times New Roman"/>
          <w:b/>
          <w:sz w:val="26"/>
          <w:szCs w:val="26"/>
        </w:rPr>
        <w:lastRenderedPageBreak/>
        <w:t xml:space="preserve">OPINION AND ORDER </w:t>
      </w:r>
    </w:p>
    <w:p w14:paraId="30B2373A" w14:textId="7F7B40C5" w:rsidR="00EF699A" w:rsidRPr="009F73B0" w:rsidRDefault="00EF699A" w:rsidP="00CB6A2A">
      <w:pPr>
        <w:keepNext/>
        <w:keepLines/>
        <w:spacing w:after="0" w:line="360" w:lineRule="auto"/>
        <w:contextualSpacing/>
        <w:rPr>
          <w:rFonts w:ascii="Times New Roman" w:eastAsia="Times New Roman" w:hAnsi="Times New Roman" w:cs="Times New Roman"/>
          <w:b/>
          <w:sz w:val="26"/>
          <w:szCs w:val="26"/>
        </w:rPr>
      </w:pPr>
    </w:p>
    <w:p w14:paraId="3FFD787F" w14:textId="77777777" w:rsidR="00840676" w:rsidRPr="009F73B0" w:rsidRDefault="00840676" w:rsidP="00CB6A2A">
      <w:pPr>
        <w:keepNext/>
        <w:keepLines/>
        <w:spacing w:after="0" w:line="360" w:lineRule="auto"/>
        <w:contextualSpacing/>
        <w:rPr>
          <w:rFonts w:ascii="Times New Roman" w:eastAsia="Times New Roman" w:hAnsi="Times New Roman" w:cs="Times New Roman"/>
          <w:b/>
          <w:sz w:val="26"/>
          <w:szCs w:val="26"/>
        </w:rPr>
      </w:pPr>
      <w:r w:rsidRPr="009F73B0">
        <w:rPr>
          <w:rFonts w:ascii="Times New Roman" w:eastAsia="Times New Roman" w:hAnsi="Times New Roman" w:cs="Times New Roman"/>
          <w:b/>
          <w:sz w:val="26"/>
          <w:szCs w:val="26"/>
        </w:rPr>
        <w:t>BY THE COMMISSION:</w:t>
      </w:r>
    </w:p>
    <w:p w14:paraId="7A048476" w14:textId="77777777" w:rsidR="00840676" w:rsidRPr="009F73B0" w:rsidRDefault="00840676" w:rsidP="00CB6A2A">
      <w:pPr>
        <w:keepNext/>
        <w:keepLines/>
        <w:spacing w:after="0" w:line="360" w:lineRule="auto"/>
        <w:contextualSpacing/>
        <w:rPr>
          <w:rFonts w:ascii="Times New Roman" w:eastAsia="Times New Roman" w:hAnsi="Times New Roman" w:cs="Times New Roman"/>
          <w:sz w:val="26"/>
          <w:szCs w:val="26"/>
        </w:rPr>
      </w:pPr>
    </w:p>
    <w:p w14:paraId="031BEF0A" w14:textId="4678626B" w:rsidR="007271C4" w:rsidRPr="009F73B0" w:rsidRDefault="007271C4" w:rsidP="00CB6A2A">
      <w:pPr>
        <w:keepNext/>
        <w:keepLines/>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Before the Pennsylvania Public Utility Commission (Commission) for consideration is the Petition for Reconsideration (Petition), filed jointly by Pennsylvania-American Water Company-Water Division (PAWC-Water) and Pennsylvania-American Water Company-Wastewater Division (PAWC-Wastewater) (collectively, PAWC), on February 21, 2019, seeking reconsideration of the Commission’s Opinion and Order entered February 7, 2019 (</w:t>
      </w:r>
      <w:r w:rsidRPr="009F73B0">
        <w:rPr>
          <w:rFonts w:ascii="Times New Roman" w:eastAsia="Times New Roman" w:hAnsi="Times New Roman" w:cs="Times New Roman"/>
          <w:i/>
          <w:sz w:val="26"/>
          <w:szCs w:val="26"/>
        </w:rPr>
        <w:t>February 2019 Order</w:t>
      </w:r>
      <w:r w:rsidRPr="009F73B0">
        <w:rPr>
          <w:rFonts w:ascii="Times New Roman" w:eastAsia="Times New Roman" w:hAnsi="Times New Roman" w:cs="Times New Roman"/>
          <w:sz w:val="26"/>
          <w:szCs w:val="26"/>
        </w:rPr>
        <w:t xml:space="preserve">), relative to the above-captioned proceeding.  </w:t>
      </w:r>
    </w:p>
    <w:p w14:paraId="34FB61B2" w14:textId="6A710DF9" w:rsidR="007271C4" w:rsidRPr="009F73B0" w:rsidRDefault="007271C4" w:rsidP="00723B1F">
      <w:pPr>
        <w:spacing w:after="0" w:line="360" w:lineRule="auto"/>
        <w:ind w:firstLine="1440"/>
        <w:contextualSpacing/>
        <w:rPr>
          <w:rFonts w:ascii="Times New Roman" w:eastAsia="Times New Roman" w:hAnsi="Times New Roman" w:cs="Times New Roman"/>
          <w:sz w:val="26"/>
          <w:szCs w:val="26"/>
        </w:rPr>
      </w:pPr>
    </w:p>
    <w:p w14:paraId="73615BBB" w14:textId="3E9B91B5" w:rsidR="00E07E5D" w:rsidRPr="009F73B0" w:rsidRDefault="00E07E5D">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An </w:t>
      </w:r>
      <w:r w:rsidR="001865AE" w:rsidRPr="009F73B0">
        <w:rPr>
          <w:rFonts w:ascii="Times New Roman" w:eastAsia="Times New Roman" w:hAnsi="Times New Roman" w:cs="Times New Roman"/>
          <w:sz w:val="26"/>
          <w:szCs w:val="26"/>
        </w:rPr>
        <w:t>A</w:t>
      </w:r>
      <w:r w:rsidRPr="009F73B0">
        <w:rPr>
          <w:rFonts w:ascii="Times New Roman" w:eastAsia="Times New Roman" w:hAnsi="Times New Roman" w:cs="Times New Roman"/>
          <w:sz w:val="26"/>
          <w:szCs w:val="26"/>
        </w:rPr>
        <w:t>nswer to the Petition</w:t>
      </w:r>
      <w:r w:rsidR="009054CE" w:rsidRPr="009F73B0">
        <w:rPr>
          <w:rFonts w:ascii="Times New Roman" w:eastAsia="Times New Roman" w:hAnsi="Times New Roman" w:cs="Times New Roman"/>
          <w:sz w:val="26"/>
          <w:szCs w:val="26"/>
        </w:rPr>
        <w:t xml:space="preserve"> (Answer)</w:t>
      </w:r>
      <w:r w:rsidRPr="009F73B0">
        <w:rPr>
          <w:rFonts w:ascii="Times New Roman" w:eastAsia="Times New Roman" w:hAnsi="Times New Roman" w:cs="Times New Roman"/>
          <w:sz w:val="26"/>
          <w:szCs w:val="26"/>
        </w:rPr>
        <w:t xml:space="preserve"> was filed by the Commission’s Bureau of Investigation and Enforcement (I&amp;E) on March </w:t>
      </w:r>
      <w:r w:rsidR="004B1797" w:rsidRPr="009F73B0">
        <w:rPr>
          <w:rFonts w:ascii="Times New Roman" w:eastAsia="Times New Roman" w:hAnsi="Times New Roman" w:cs="Times New Roman"/>
          <w:sz w:val="26"/>
          <w:szCs w:val="26"/>
        </w:rPr>
        <w:t>4</w:t>
      </w:r>
      <w:r w:rsidRPr="009F73B0">
        <w:rPr>
          <w:rFonts w:ascii="Times New Roman" w:eastAsia="Times New Roman" w:hAnsi="Times New Roman" w:cs="Times New Roman"/>
          <w:sz w:val="26"/>
          <w:szCs w:val="26"/>
        </w:rPr>
        <w:t>, 201</w:t>
      </w:r>
      <w:r w:rsidR="004B1797" w:rsidRPr="009F73B0">
        <w:rPr>
          <w:rFonts w:ascii="Times New Roman" w:eastAsia="Times New Roman" w:hAnsi="Times New Roman" w:cs="Times New Roman"/>
          <w:sz w:val="26"/>
          <w:szCs w:val="26"/>
        </w:rPr>
        <w:t>9</w:t>
      </w:r>
      <w:r w:rsidRPr="009F73B0">
        <w:rPr>
          <w:rFonts w:ascii="Times New Roman" w:eastAsia="Times New Roman" w:hAnsi="Times New Roman" w:cs="Times New Roman"/>
          <w:sz w:val="26"/>
          <w:szCs w:val="26"/>
        </w:rPr>
        <w:t xml:space="preserve">.  For the reasons stated below, we shall </w:t>
      </w:r>
      <w:r w:rsidR="00375BD8">
        <w:rPr>
          <w:rFonts w:ascii="Times New Roman" w:eastAsia="Times New Roman" w:hAnsi="Times New Roman" w:cs="Times New Roman"/>
          <w:sz w:val="26"/>
          <w:szCs w:val="26"/>
        </w:rPr>
        <w:t>grant</w:t>
      </w:r>
      <w:r w:rsidR="00375BD8" w:rsidRPr="009F73B0">
        <w:rPr>
          <w:rFonts w:ascii="Times New Roman" w:eastAsia="Times New Roman" w:hAnsi="Times New Roman" w:cs="Times New Roman"/>
          <w:sz w:val="26"/>
          <w:szCs w:val="26"/>
        </w:rPr>
        <w:t xml:space="preserve"> </w:t>
      </w:r>
      <w:r w:rsidRPr="009F73B0">
        <w:rPr>
          <w:rFonts w:ascii="Times New Roman" w:eastAsia="Times New Roman" w:hAnsi="Times New Roman" w:cs="Times New Roman"/>
          <w:sz w:val="26"/>
          <w:szCs w:val="26"/>
        </w:rPr>
        <w:t>the Petition.</w:t>
      </w:r>
    </w:p>
    <w:p w14:paraId="03EFF398" w14:textId="77777777" w:rsidR="00C22547" w:rsidRPr="009F73B0" w:rsidRDefault="00C22547">
      <w:pPr>
        <w:pStyle w:val="ListParagraph"/>
        <w:spacing w:line="360" w:lineRule="auto"/>
        <w:ind w:left="0"/>
        <w:contextualSpacing/>
        <w:rPr>
          <w:sz w:val="26"/>
          <w:szCs w:val="26"/>
        </w:rPr>
      </w:pPr>
    </w:p>
    <w:p w14:paraId="2760CB96" w14:textId="10BC364B" w:rsidR="00C22547" w:rsidRPr="009F73B0" w:rsidRDefault="00C22547" w:rsidP="00723B1F">
      <w:pPr>
        <w:pStyle w:val="Heading1"/>
        <w:spacing w:before="0" w:line="360" w:lineRule="auto"/>
        <w:contextualSpacing/>
        <w:jc w:val="center"/>
        <w:rPr>
          <w:rFonts w:ascii="Times New Roman" w:hAnsi="Times New Roman" w:cs="Times New Roman"/>
          <w:b/>
          <w:bCs/>
          <w:color w:val="auto"/>
          <w:sz w:val="26"/>
          <w:szCs w:val="26"/>
        </w:rPr>
      </w:pPr>
      <w:r w:rsidRPr="009F73B0">
        <w:rPr>
          <w:rFonts w:ascii="Times New Roman" w:hAnsi="Times New Roman" w:cs="Times New Roman"/>
          <w:b/>
          <w:bCs/>
          <w:color w:val="auto"/>
          <w:sz w:val="26"/>
          <w:szCs w:val="26"/>
        </w:rPr>
        <w:t>History of the Proceeding</w:t>
      </w:r>
    </w:p>
    <w:p w14:paraId="476F0A44" w14:textId="77777777" w:rsidR="00C22547" w:rsidRPr="009F73B0" w:rsidRDefault="00C22547" w:rsidP="00723B1F">
      <w:pPr>
        <w:keepNext/>
        <w:keepLines/>
        <w:spacing w:after="0" w:line="360" w:lineRule="auto"/>
        <w:ind w:firstLine="1440"/>
        <w:contextualSpacing/>
        <w:rPr>
          <w:rFonts w:ascii="Times New Roman" w:eastAsia="Times New Roman" w:hAnsi="Times New Roman" w:cs="Times New Roman"/>
          <w:b/>
          <w:bCs/>
          <w:sz w:val="26"/>
          <w:szCs w:val="26"/>
        </w:rPr>
      </w:pPr>
    </w:p>
    <w:p w14:paraId="09E9A534" w14:textId="3786BACD"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On June 5, 2018, PAWC-Water filed Tariff Supplement No. 6 to </w:t>
      </w:r>
      <w:bookmarkStart w:id="0" w:name="_Hlk43816179"/>
      <w:r w:rsidRPr="009F73B0">
        <w:rPr>
          <w:rFonts w:ascii="Times New Roman" w:eastAsia="Times New Roman" w:hAnsi="Times New Roman" w:cs="Times New Roman"/>
          <w:sz w:val="26"/>
          <w:szCs w:val="26"/>
        </w:rPr>
        <w:t>Tariff Water–PA P.U.C. No. 5</w:t>
      </w:r>
      <w:bookmarkEnd w:id="0"/>
      <w:r w:rsidRPr="009F73B0">
        <w:rPr>
          <w:rFonts w:ascii="Times New Roman" w:eastAsia="Times New Roman" w:hAnsi="Times New Roman" w:cs="Times New Roman"/>
          <w:sz w:val="26"/>
          <w:szCs w:val="26"/>
        </w:rPr>
        <w:t xml:space="preserve"> (</w:t>
      </w:r>
      <w:bookmarkStart w:id="1" w:name="_Hlk532820854"/>
      <w:r w:rsidRPr="009F73B0">
        <w:rPr>
          <w:rFonts w:ascii="Times New Roman" w:eastAsia="Times New Roman" w:hAnsi="Times New Roman" w:cs="Times New Roman"/>
          <w:sz w:val="26"/>
          <w:szCs w:val="26"/>
        </w:rPr>
        <w:t>Supplement No. 6 Water</w:t>
      </w:r>
      <w:bookmarkEnd w:id="1"/>
      <w:r w:rsidRPr="009F73B0">
        <w:rPr>
          <w:rFonts w:ascii="Times New Roman" w:eastAsia="Times New Roman" w:hAnsi="Times New Roman" w:cs="Times New Roman"/>
          <w:sz w:val="26"/>
          <w:szCs w:val="26"/>
        </w:rPr>
        <w:t>) at Docket No. R-2018-3002502 to become effective August 4, 2018.  Supplement No. 6 Water proposed the addition of Rule and Regulation 29 – Taxes on Deposits for Construction, Customer Advances and Contributions in Aid of Construction.  PAWC served a copy of Supplement No. 6 Water on the Office of Consumer Advocate (OCA), the Office of Small Business Advocate (OSBA), and I&amp;E.</w:t>
      </w:r>
    </w:p>
    <w:p w14:paraId="63736ED7"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5E701BB9" w14:textId="73A10F90" w:rsidR="00C22547" w:rsidRPr="009F73B0" w:rsidRDefault="002805E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Also, o</w:t>
      </w:r>
      <w:r w:rsidR="00C22547" w:rsidRPr="009F73B0">
        <w:rPr>
          <w:rFonts w:ascii="Times New Roman" w:eastAsia="Times New Roman" w:hAnsi="Times New Roman" w:cs="Times New Roman"/>
          <w:sz w:val="26"/>
          <w:szCs w:val="26"/>
        </w:rPr>
        <w:t>n June 5, 2018, PAWC-Wastewater filed Supplement No. 6 to Tariff Wastewater PA P.U.C. No. 16 (Supplement No. 6 Wastewater) at Docket No. R</w:t>
      </w:r>
      <w:r w:rsidR="00181782" w:rsidRPr="009F73B0">
        <w:rPr>
          <w:rFonts w:ascii="Times New Roman" w:eastAsia="Times New Roman" w:hAnsi="Times New Roman" w:cs="Times New Roman"/>
          <w:sz w:val="26"/>
          <w:szCs w:val="26"/>
        </w:rPr>
        <w:noBreakHyphen/>
      </w:r>
      <w:r w:rsidR="00C22547" w:rsidRPr="009F73B0">
        <w:rPr>
          <w:rFonts w:ascii="Times New Roman" w:eastAsia="Times New Roman" w:hAnsi="Times New Roman" w:cs="Times New Roman"/>
          <w:sz w:val="26"/>
          <w:szCs w:val="26"/>
        </w:rPr>
        <w:t>2018</w:t>
      </w:r>
      <w:r w:rsidR="00181782" w:rsidRPr="009F73B0">
        <w:rPr>
          <w:rFonts w:ascii="Times New Roman" w:eastAsia="Times New Roman" w:hAnsi="Times New Roman" w:cs="Times New Roman"/>
          <w:sz w:val="26"/>
          <w:szCs w:val="26"/>
        </w:rPr>
        <w:noBreakHyphen/>
      </w:r>
      <w:r w:rsidR="00C22547" w:rsidRPr="009F73B0">
        <w:rPr>
          <w:rFonts w:ascii="Times New Roman" w:eastAsia="Times New Roman" w:hAnsi="Times New Roman" w:cs="Times New Roman"/>
          <w:sz w:val="26"/>
          <w:szCs w:val="26"/>
        </w:rPr>
        <w:t xml:space="preserve">3002504 to become effective August 4, 2018.  Supplement No. 6 Wastewater </w:t>
      </w:r>
      <w:r w:rsidR="00C22547" w:rsidRPr="009F73B0">
        <w:rPr>
          <w:rFonts w:ascii="Times New Roman" w:eastAsia="Times New Roman" w:hAnsi="Times New Roman" w:cs="Times New Roman"/>
          <w:sz w:val="26"/>
          <w:szCs w:val="26"/>
        </w:rPr>
        <w:lastRenderedPageBreak/>
        <w:t>proposed the addition of Rule and Regulation W – Taxes on Deposits for Construction, Customer Advances and Contributions in Aid of Construction.  PAWC served a copy of Supplement No. 6 Wastewater on the OCA, the OSBA and I&amp;E.</w:t>
      </w:r>
    </w:p>
    <w:p w14:paraId="0DE47E72"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11D3A705" w14:textId="1BEF7E9A"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On July 24, 2018, I&amp;E filed </w:t>
      </w:r>
      <w:r w:rsidR="00C77714" w:rsidRPr="009F73B0">
        <w:rPr>
          <w:rFonts w:ascii="Times New Roman" w:eastAsia="Times New Roman" w:hAnsi="Times New Roman" w:cs="Times New Roman"/>
          <w:sz w:val="26"/>
          <w:szCs w:val="26"/>
        </w:rPr>
        <w:t xml:space="preserve">separate </w:t>
      </w:r>
      <w:r w:rsidRPr="009F73B0">
        <w:rPr>
          <w:rFonts w:ascii="Times New Roman" w:eastAsia="Times New Roman" w:hAnsi="Times New Roman" w:cs="Times New Roman"/>
          <w:sz w:val="26"/>
          <w:szCs w:val="26"/>
        </w:rPr>
        <w:t xml:space="preserve">Formal Complaints against </w:t>
      </w:r>
      <w:r w:rsidR="00C77714" w:rsidRPr="009F73B0">
        <w:rPr>
          <w:rFonts w:ascii="Times New Roman" w:eastAsia="Times New Roman" w:hAnsi="Times New Roman" w:cs="Times New Roman"/>
          <w:sz w:val="26"/>
          <w:szCs w:val="26"/>
        </w:rPr>
        <w:t>the filings submitted by PAWC-Water and PAWC-Wastewater.</w:t>
      </w:r>
      <w:r w:rsidRPr="009F73B0">
        <w:rPr>
          <w:rFonts w:ascii="Times New Roman" w:eastAsia="Times New Roman" w:hAnsi="Times New Roman" w:cs="Times New Roman"/>
          <w:sz w:val="26"/>
          <w:szCs w:val="26"/>
        </w:rPr>
        <w:t xml:space="preserve">  The Complaints were docketed at Docket Nos. C-2018-3003600 and C-2018-3003601</w:t>
      </w:r>
      <w:r w:rsidR="00C77714" w:rsidRPr="009F73B0">
        <w:rPr>
          <w:rFonts w:ascii="Times New Roman" w:eastAsia="Times New Roman" w:hAnsi="Times New Roman" w:cs="Times New Roman"/>
          <w:sz w:val="26"/>
          <w:szCs w:val="26"/>
        </w:rPr>
        <w:t>, respectively</w:t>
      </w:r>
      <w:r w:rsidRPr="009F73B0">
        <w:rPr>
          <w:rFonts w:ascii="Times New Roman" w:eastAsia="Times New Roman" w:hAnsi="Times New Roman" w:cs="Times New Roman"/>
          <w:sz w:val="26"/>
          <w:szCs w:val="26"/>
        </w:rPr>
        <w:t>.</w:t>
      </w:r>
    </w:p>
    <w:p w14:paraId="7FBB28DA"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5C5A118A" w14:textId="77777777" w:rsidR="005D21EB" w:rsidRPr="009F73B0" w:rsidRDefault="005D21EB"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On July 25, 2018, the OCA filed Notices of Intervention and Public Statements.</w:t>
      </w:r>
    </w:p>
    <w:p w14:paraId="12DA076C"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515B7786" w14:textId="4173777E"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Pursuant to Section 1308(b) of the </w:t>
      </w:r>
      <w:r w:rsidR="00FB7E63">
        <w:rPr>
          <w:rFonts w:ascii="Times New Roman" w:eastAsia="Times New Roman" w:hAnsi="Times New Roman" w:cs="Times New Roman"/>
          <w:sz w:val="26"/>
          <w:szCs w:val="26"/>
        </w:rPr>
        <w:t xml:space="preserve">Public Utility </w:t>
      </w:r>
      <w:r w:rsidRPr="009F73B0">
        <w:rPr>
          <w:rFonts w:ascii="Times New Roman" w:eastAsia="Times New Roman" w:hAnsi="Times New Roman" w:cs="Times New Roman"/>
          <w:sz w:val="26"/>
          <w:szCs w:val="26"/>
        </w:rPr>
        <w:t>Code</w:t>
      </w:r>
      <w:r w:rsidR="00FB7E63">
        <w:rPr>
          <w:rFonts w:ascii="Times New Roman" w:eastAsia="Times New Roman" w:hAnsi="Times New Roman" w:cs="Times New Roman"/>
          <w:sz w:val="26"/>
          <w:szCs w:val="26"/>
        </w:rPr>
        <w:t xml:space="preserve"> (Code)</w:t>
      </w:r>
      <w:r w:rsidRPr="009F73B0">
        <w:rPr>
          <w:rFonts w:ascii="Times New Roman" w:eastAsia="Times New Roman" w:hAnsi="Times New Roman" w:cs="Times New Roman"/>
          <w:sz w:val="26"/>
          <w:szCs w:val="26"/>
        </w:rPr>
        <w:t>, 66 Pa. C.S. § 1308(b), by Orders entered August 2, 2018, the Commission suspended the tariffs until February 4, 2019</w:t>
      </w:r>
      <w:r w:rsidR="002029AE" w:rsidRPr="009F73B0">
        <w:rPr>
          <w:rFonts w:ascii="Times New Roman" w:eastAsia="Times New Roman" w:hAnsi="Times New Roman" w:cs="Times New Roman"/>
          <w:sz w:val="26"/>
          <w:szCs w:val="26"/>
        </w:rPr>
        <w:t>,</w:t>
      </w:r>
      <w:r w:rsidRPr="009F73B0">
        <w:rPr>
          <w:rFonts w:ascii="Times New Roman" w:eastAsia="Times New Roman" w:hAnsi="Times New Roman" w:cs="Times New Roman"/>
          <w:sz w:val="26"/>
          <w:szCs w:val="26"/>
        </w:rPr>
        <w:t xml:space="preserve"> and the matters were assigned to the Office of Administrative Law Judge for the prompt scheduling of hearings culminating in the issuance of Recommended Decisions.</w:t>
      </w:r>
    </w:p>
    <w:p w14:paraId="3D053FD9"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0D6F3E74" w14:textId="702882BE"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On August 17, 2018, </w:t>
      </w:r>
      <w:bookmarkStart w:id="2" w:name="_Hlk534639114"/>
      <w:r w:rsidR="00E514D0" w:rsidRPr="009F73B0">
        <w:rPr>
          <w:rFonts w:ascii="Times New Roman" w:eastAsia="Times New Roman" w:hAnsi="Times New Roman" w:cs="Times New Roman"/>
          <w:sz w:val="26"/>
          <w:szCs w:val="26"/>
        </w:rPr>
        <w:t>Pennsylvania Builders Association</w:t>
      </w:r>
      <w:bookmarkEnd w:id="2"/>
      <w:r w:rsidR="00E514D0" w:rsidRPr="009F73B0">
        <w:rPr>
          <w:rFonts w:ascii="Times New Roman" w:eastAsia="Times New Roman" w:hAnsi="Times New Roman" w:cs="Times New Roman"/>
          <w:sz w:val="26"/>
          <w:szCs w:val="26"/>
        </w:rPr>
        <w:t xml:space="preserve"> (PBA)</w:t>
      </w:r>
      <w:r w:rsidRPr="009F73B0">
        <w:rPr>
          <w:rFonts w:ascii="Times New Roman" w:eastAsia="Times New Roman" w:hAnsi="Times New Roman" w:cs="Times New Roman"/>
          <w:sz w:val="26"/>
          <w:szCs w:val="26"/>
        </w:rPr>
        <w:t xml:space="preserve"> filed a Petition to Intervene in both matters.</w:t>
      </w:r>
    </w:p>
    <w:p w14:paraId="7FBB9AB7"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5B2B4F9F" w14:textId="4A0A381C"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On August 30, 2018, PAWC-Water filed Supplement No. 9 to Tariff Water-PA P.U.C. No. 5 and PAWC Wastewater filed Supplement No. 9 to Tariff Wastewater PA P.U.C. No. 16, both of which changed the suspension period end dates to February 8, 2019.</w:t>
      </w:r>
    </w:p>
    <w:p w14:paraId="279A6B64"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 </w:t>
      </w:r>
    </w:p>
    <w:p w14:paraId="6A16B2FE" w14:textId="25B90214"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On August 31, 2018, PAWC filed a Motion to Consolidate the rate proceedings for both the Water and Wastewater Divisions.  The Company indicated in its Motion that there was no objection from the other parties.  No parties filed a Response or Objection to the Motion within the timeframe allowed under 52 Pa. Code § 5.61(a)(1).</w:t>
      </w:r>
    </w:p>
    <w:p w14:paraId="69848BCE"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lastRenderedPageBreak/>
        <w:t>On September 24, 2018, PAWC submitted Direct Testimony.</w:t>
      </w:r>
    </w:p>
    <w:p w14:paraId="1CF44790"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 </w:t>
      </w:r>
    </w:p>
    <w:p w14:paraId="626A1E1A"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On October 4, 2018, I&amp;E and PBA submitted Direct Testimony.</w:t>
      </w:r>
      <w:r w:rsidRPr="009F73B0">
        <w:rPr>
          <w:rStyle w:val="FootnoteReference"/>
          <w:rFonts w:ascii="Times New Roman" w:eastAsia="Times New Roman" w:hAnsi="Times New Roman" w:cs="Times New Roman"/>
          <w:sz w:val="26"/>
          <w:szCs w:val="26"/>
        </w:rPr>
        <w:footnoteReference w:id="1"/>
      </w:r>
      <w:r w:rsidRPr="009F73B0">
        <w:rPr>
          <w:rFonts w:ascii="Times New Roman" w:eastAsia="Times New Roman" w:hAnsi="Times New Roman" w:cs="Times New Roman"/>
          <w:sz w:val="26"/>
          <w:szCs w:val="26"/>
        </w:rPr>
        <w:t xml:space="preserve">   </w:t>
      </w:r>
    </w:p>
    <w:p w14:paraId="1C11AD87"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 </w:t>
      </w:r>
    </w:p>
    <w:p w14:paraId="6D3AE4F7" w14:textId="4B2016FA"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On October 11, 2018, PAWC, I&amp;E and PBA submitted Rebuttal Testimony.</w:t>
      </w:r>
    </w:p>
    <w:p w14:paraId="076EB82B"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3D9BF468" w14:textId="4A2CE02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On October 18, 2018, I&amp;E and PBA submitted </w:t>
      </w:r>
      <w:proofErr w:type="spellStart"/>
      <w:r w:rsidRPr="009F73B0">
        <w:rPr>
          <w:rFonts w:ascii="Times New Roman" w:eastAsia="Times New Roman" w:hAnsi="Times New Roman" w:cs="Times New Roman"/>
          <w:sz w:val="26"/>
          <w:szCs w:val="26"/>
        </w:rPr>
        <w:t>Surrebuttal</w:t>
      </w:r>
      <w:proofErr w:type="spellEnd"/>
      <w:r w:rsidRPr="009F73B0">
        <w:rPr>
          <w:rFonts w:ascii="Times New Roman" w:eastAsia="Times New Roman" w:hAnsi="Times New Roman" w:cs="Times New Roman"/>
          <w:sz w:val="26"/>
          <w:szCs w:val="26"/>
        </w:rPr>
        <w:t xml:space="preserve"> Testimony.</w:t>
      </w:r>
    </w:p>
    <w:p w14:paraId="22FC08C2"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39E8BF30" w14:textId="000E0A61"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On October 18, 2018, counsel for I&amp;E contacted </w:t>
      </w:r>
      <w:r w:rsidR="00F36816" w:rsidRPr="009F73B0">
        <w:rPr>
          <w:rFonts w:ascii="Times New Roman" w:eastAsia="Times New Roman" w:hAnsi="Times New Roman" w:cs="Times New Roman"/>
          <w:sz w:val="26"/>
          <w:szCs w:val="26"/>
        </w:rPr>
        <w:t xml:space="preserve">Administrative Law Judge (ALJ) Marta </w:t>
      </w:r>
      <w:proofErr w:type="spellStart"/>
      <w:r w:rsidR="00F36816" w:rsidRPr="009F73B0">
        <w:rPr>
          <w:rFonts w:ascii="Times New Roman" w:eastAsia="Times New Roman" w:hAnsi="Times New Roman" w:cs="Times New Roman"/>
          <w:sz w:val="26"/>
          <w:szCs w:val="26"/>
        </w:rPr>
        <w:t>Guhl</w:t>
      </w:r>
      <w:proofErr w:type="spellEnd"/>
      <w:r w:rsidRPr="009F73B0">
        <w:rPr>
          <w:rFonts w:ascii="Times New Roman" w:eastAsia="Times New Roman" w:hAnsi="Times New Roman" w:cs="Times New Roman"/>
          <w:sz w:val="26"/>
          <w:szCs w:val="26"/>
        </w:rPr>
        <w:t xml:space="preserve"> to indicate that the Parties had agreed to waive cross-examination of all witnesses in this matter and requested that the testimony in the case be moved into the record by stipulation and motion by the Parties.  The Parties also requested that the hearing scheduled for October</w:t>
      </w:r>
      <w:r w:rsidR="00FA1C5F" w:rsidRPr="009F73B0">
        <w:rPr>
          <w:rFonts w:ascii="Times New Roman" w:eastAsia="Times New Roman" w:hAnsi="Times New Roman" w:cs="Times New Roman"/>
          <w:sz w:val="26"/>
          <w:szCs w:val="26"/>
        </w:rPr>
        <w:t> </w:t>
      </w:r>
      <w:r w:rsidRPr="009F73B0">
        <w:rPr>
          <w:rFonts w:ascii="Times New Roman" w:eastAsia="Times New Roman" w:hAnsi="Times New Roman" w:cs="Times New Roman"/>
          <w:sz w:val="26"/>
          <w:szCs w:val="26"/>
        </w:rPr>
        <w:t>23, 2018, be cancelled.</w:t>
      </w:r>
    </w:p>
    <w:p w14:paraId="30FB5D92"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3641684E" w14:textId="14C04182"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On October 19, 2018, the ALJ issued an Order on the Motion to Consolidate, which granted the request to consolidate the cases under Docket Nos. R</w:t>
      </w:r>
      <w:r w:rsidRPr="009F73B0">
        <w:rPr>
          <w:rFonts w:ascii="Times New Roman" w:eastAsia="Times New Roman" w:hAnsi="Times New Roman" w:cs="Times New Roman"/>
          <w:sz w:val="26"/>
          <w:szCs w:val="26"/>
        </w:rPr>
        <w:noBreakHyphen/>
        <w:t>2018-3002502 and R-2018-3002504.</w:t>
      </w:r>
    </w:p>
    <w:p w14:paraId="064B5002"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1248FDC6"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On November 5, 2018, PAWC, I&amp;E and PBA filed Main Briefs.</w:t>
      </w:r>
      <w:r w:rsidRPr="009F73B0">
        <w:rPr>
          <w:rStyle w:val="FootnoteReference"/>
          <w:rFonts w:ascii="Times New Roman" w:eastAsia="Times New Roman" w:hAnsi="Times New Roman" w:cs="Times New Roman"/>
          <w:sz w:val="26"/>
          <w:szCs w:val="26"/>
        </w:rPr>
        <w:footnoteReference w:id="2"/>
      </w:r>
    </w:p>
    <w:p w14:paraId="153C4C61"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454AE899"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On November 14, 2018, the Parties filed a Stipulation and Motion for Admission of the testimony and attached exhibits, which the ALJ granted through her Recommended Decision.</w:t>
      </w:r>
    </w:p>
    <w:p w14:paraId="65CA1ABC"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15708062"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lastRenderedPageBreak/>
        <w:t>On November 15, 2018, PAWC, I&amp;E and PBA filed Reply Briefs.</w:t>
      </w:r>
      <w:r w:rsidRPr="009F73B0">
        <w:rPr>
          <w:rStyle w:val="FootnoteReference"/>
          <w:rFonts w:ascii="Times New Roman" w:eastAsia="Times New Roman" w:hAnsi="Times New Roman" w:cs="Times New Roman"/>
          <w:sz w:val="26"/>
          <w:szCs w:val="26"/>
        </w:rPr>
        <w:footnoteReference w:id="3"/>
      </w:r>
    </w:p>
    <w:p w14:paraId="17F9DA2A"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67333753" w14:textId="41622C91"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In </w:t>
      </w:r>
      <w:r w:rsidR="00766C77" w:rsidRPr="009F73B0">
        <w:rPr>
          <w:rFonts w:ascii="Times New Roman" w:eastAsia="Times New Roman" w:hAnsi="Times New Roman" w:cs="Times New Roman"/>
          <w:sz w:val="26"/>
          <w:szCs w:val="26"/>
        </w:rPr>
        <w:t>a</w:t>
      </w:r>
      <w:r w:rsidRPr="009F73B0">
        <w:rPr>
          <w:rFonts w:ascii="Times New Roman" w:eastAsia="Times New Roman" w:hAnsi="Times New Roman" w:cs="Times New Roman"/>
          <w:sz w:val="26"/>
          <w:szCs w:val="26"/>
        </w:rPr>
        <w:t xml:space="preserve"> Recommended Decision, issued on December 5, 2018, </w:t>
      </w:r>
      <w:r w:rsidR="00F36816" w:rsidRPr="009F73B0">
        <w:rPr>
          <w:rFonts w:ascii="Times New Roman" w:eastAsia="Times New Roman" w:hAnsi="Times New Roman" w:cs="Times New Roman"/>
          <w:sz w:val="26"/>
          <w:szCs w:val="26"/>
        </w:rPr>
        <w:t>the ALJ</w:t>
      </w:r>
      <w:r w:rsidR="00766C77" w:rsidRPr="009F73B0">
        <w:rPr>
          <w:rFonts w:ascii="Times New Roman" w:eastAsia="Times New Roman" w:hAnsi="Times New Roman" w:cs="Times New Roman"/>
          <w:sz w:val="26"/>
          <w:szCs w:val="26"/>
        </w:rPr>
        <w:t xml:space="preserve"> </w:t>
      </w:r>
      <w:r w:rsidRPr="009F73B0">
        <w:rPr>
          <w:rFonts w:ascii="Times New Roman" w:eastAsia="Times New Roman" w:hAnsi="Times New Roman" w:cs="Times New Roman"/>
          <w:sz w:val="26"/>
          <w:szCs w:val="26"/>
        </w:rPr>
        <w:t>recommended that the Commission deny PAWC’s proposed Supplement No. 6 Water and Supplement No. 6 Wastewater</w:t>
      </w:r>
    </w:p>
    <w:p w14:paraId="32DE6297" w14:textId="77777777"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p>
    <w:p w14:paraId="187902DD" w14:textId="0F7F8DA1" w:rsidR="00C22547" w:rsidRPr="009F73B0" w:rsidRDefault="00C22547"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PAWC and PBA filed Exceptions to the Recommended Decision on December</w:t>
      </w:r>
      <w:r w:rsidR="00743A6C">
        <w:rPr>
          <w:rFonts w:ascii="Times New Roman" w:eastAsia="Times New Roman" w:hAnsi="Times New Roman" w:cs="Times New Roman"/>
          <w:sz w:val="26"/>
          <w:szCs w:val="26"/>
        </w:rPr>
        <w:t xml:space="preserve"> </w:t>
      </w:r>
      <w:r w:rsidRPr="009F73B0">
        <w:rPr>
          <w:rFonts w:ascii="Times New Roman" w:eastAsia="Times New Roman" w:hAnsi="Times New Roman" w:cs="Times New Roman"/>
          <w:sz w:val="26"/>
          <w:szCs w:val="26"/>
        </w:rPr>
        <w:t>11, 2018.  I&amp;E filed Replies to Exceptions on December 17, 2018.</w:t>
      </w:r>
      <w:r w:rsidR="00E514D0" w:rsidRPr="009F73B0">
        <w:rPr>
          <w:rFonts w:ascii="Times New Roman" w:eastAsia="Times New Roman" w:hAnsi="Times New Roman" w:cs="Times New Roman"/>
          <w:sz w:val="26"/>
          <w:szCs w:val="26"/>
        </w:rPr>
        <w:t xml:space="preserve">  By Opinion and Order entered February 7, 2019, we denied the Exceptions of PAWC and PBA and adopted the Recommended Decision of ALJ </w:t>
      </w:r>
      <w:proofErr w:type="spellStart"/>
      <w:r w:rsidR="00E514D0" w:rsidRPr="009F73B0">
        <w:rPr>
          <w:rFonts w:ascii="Times New Roman" w:eastAsia="Times New Roman" w:hAnsi="Times New Roman" w:cs="Times New Roman"/>
          <w:sz w:val="26"/>
          <w:szCs w:val="26"/>
        </w:rPr>
        <w:t>Guhl</w:t>
      </w:r>
      <w:proofErr w:type="spellEnd"/>
      <w:r w:rsidR="00E514D0" w:rsidRPr="009F73B0">
        <w:rPr>
          <w:rFonts w:ascii="Times New Roman" w:eastAsia="Times New Roman" w:hAnsi="Times New Roman" w:cs="Times New Roman"/>
          <w:sz w:val="26"/>
          <w:szCs w:val="26"/>
        </w:rPr>
        <w:t>, as modified.</w:t>
      </w:r>
    </w:p>
    <w:p w14:paraId="041420FE" w14:textId="134252E5" w:rsidR="00E514D0" w:rsidRPr="009F73B0" w:rsidRDefault="00E514D0" w:rsidP="00723B1F">
      <w:pPr>
        <w:spacing w:after="0" w:line="360" w:lineRule="auto"/>
        <w:ind w:firstLine="1440"/>
        <w:contextualSpacing/>
        <w:rPr>
          <w:rFonts w:ascii="Times New Roman" w:eastAsia="Times New Roman" w:hAnsi="Times New Roman" w:cs="Times New Roman"/>
          <w:sz w:val="26"/>
          <w:szCs w:val="26"/>
        </w:rPr>
      </w:pPr>
    </w:p>
    <w:p w14:paraId="3DBB19AA" w14:textId="1997877D" w:rsidR="00671B1F" w:rsidRPr="009F73B0" w:rsidRDefault="00671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As noted above, on February 21, 2019, </w:t>
      </w:r>
      <w:r w:rsidR="00E46766" w:rsidRPr="009F73B0">
        <w:rPr>
          <w:rFonts w:ascii="Times New Roman" w:eastAsia="Times New Roman" w:hAnsi="Times New Roman" w:cs="Times New Roman"/>
          <w:sz w:val="26"/>
          <w:szCs w:val="26"/>
        </w:rPr>
        <w:t>PAWC</w:t>
      </w:r>
      <w:r w:rsidRPr="009F73B0">
        <w:rPr>
          <w:rFonts w:ascii="Times New Roman" w:eastAsia="Times New Roman" w:hAnsi="Times New Roman" w:cs="Times New Roman"/>
          <w:sz w:val="26"/>
          <w:szCs w:val="26"/>
        </w:rPr>
        <w:t xml:space="preserve"> filed its Petitio</w:t>
      </w:r>
      <w:r w:rsidR="003C4E9F" w:rsidRPr="009F73B0">
        <w:rPr>
          <w:rFonts w:ascii="Times New Roman" w:eastAsia="Times New Roman" w:hAnsi="Times New Roman" w:cs="Times New Roman"/>
          <w:sz w:val="26"/>
          <w:szCs w:val="26"/>
        </w:rPr>
        <w:t>n</w:t>
      </w:r>
      <w:r w:rsidRPr="009F73B0">
        <w:rPr>
          <w:rFonts w:ascii="Times New Roman" w:eastAsia="Times New Roman" w:hAnsi="Times New Roman" w:cs="Times New Roman"/>
          <w:i/>
          <w:sz w:val="26"/>
          <w:szCs w:val="26"/>
        </w:rPr>
        <w:t>.</w:t>
      </w:r>
      <w:r w:rsidRPr="009F73B0">
        <w:rPr>
          <w:rFonts w:ascii="Times New Roman" w:eastAsia="Times New Roman" w:hAnsi="Times New Roman" w:cs="Times New Roman"/>
          <w:sz w:val="26"/>
          <w:szCs w:val="26"/>
        </w:rPr>
        <w:t xml:space="preserve">  </w:t>
      </w:r>
    </w:p>
    <w:p w14:paraId="4DD4703D" w14:textId="77777777" w:rsidR="00671B1F" w:rsidRPr="009F73B0" w:rsidRDefault="00671B1F">
      <w:pPr>
        <w:spacing w:after="0" w:line="360" w:lineRule="auto"/>
        <w:ind w:firstLine="1440"/>
        <w:contextualSpacing/>
        <w:rPr>
          <w:rFonts w:ascii="Times New Roman" w:eastAsia="Times New Roman" w:hAnsi="Times New Roman" w:cs="Times New Roman"/>
          <w:sz w:val="26"/>
          <w:szCs w:val="26"/>
        </w:rPr>
      </w:pPr>
    </w:p>
    <w:p w14:paraId="69E2BA0F" w14:textId="351B898B" w:rsidR="00671B1F" w:rsidRPr="009F73B0" w:rsidRDefault="00671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By Opinion and Order entered on </w:t>
      </w:r>
      <w:r w:rsidR="00E46766" w:rsidRPr="009F73B0">
        <w:rPr>
          <w:rFonts w:ascii="Times New Roman" w:eastAsia="Times New Roman" w:hAnsi="Times New Roman" w:cs="Times New Roman"/>
          <w:sz w:val="26"/>
          <w:szCs w:val="26"/>
        </w:rPr>
        <w:t>February 28, 2019</w:t>
      </w:r>
      <w:r w:rsidRPr="009F73B0">
        <w:rPr>
          <w:rFonts w:ascii="Times New Roman" w:eastAsia="Times New Roman" w:hAnsi="Times New Roman" w:cs="Times New Roman"/>
          <w:sz w:val="26"/>
          <w:szCs w:val="26"/>
        </w:rPr>
        <w:t xml:space="preserve">, we granted </w:t>
      </w:r>
      <w:r w:rsidR="00E46766" w:rsidRPr="009F73B0">
        <w:rPr>
          <w:rFonts w:ascii="Times New Roman" w:eastAsia="Times New Roman" w:hAnsi="Times New Roman" w:cs="Times New Roman"/>
          <w:sz w:val="26"/>
          <w:szCs w:val="26"/>
        </w:rPr>
        <w:t>PAWC</w:t>
      </w:r>
      <w:r w:rsidRPr="009F73B0">
        <w:rPr>
          <w:rFonts w:ascii="Times New Roman" w:eastAsia="Times New Roman" w:hAnsi="Times New Roman" w:cs="Times New Roman"/>
          <w:sz w:val="26"/>
          <w:szCs w:val="26"/>
        </w:rPr>
        <w:t>’s Petition, pending review of and consideration on the merits.</w:t>
      </w:r>
    </w:p>
    <w:p w14:paraId="3A08D2DA" w14:textId="77777777" w:rsidR="00671B1F" w:rsidRPr="009F73B0" w:rsidRDefault="00671B1F">
      <w:pPr>
        <w:spacing w:after="0" w:line="360" w:lineRule="auto"/>
        <w:ind w:firstLine="1440"/>
        <w:contextualSpacing/>
        <w:rPr>
          <w:rFonts w:ascii="Times New Roman" w:eastAsia="Times New Roman" w:hAnsi="Times New Roman" w:cs="Times New Roman"/>
          <w:sz w:val="26"/>
          <w:szCs w:val="26"/>
        </w:rPr>
      </w:pPr>
    </w:p>
    <w:p w14:paraId="7F8DC344" w14:textId="36BB8D1E" w:rsidR="00671B1F" w:rsidRPr="009F73B0" w:rsidRDefault="00E46766" w:rsidP="00D6087C">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On</w:t>
      </w:r>
      <w:r w:rsidR="00671B1F" w:rsidRPr="009F73B0">
        <w:rPr>
          <w:rFonts w:ascii="Times New Roman" w:eastAsia="Times New Roman" w:hAnsi="Times New Roman" w:cs="Times New Roman"/>
          <w:sz w:val="26"/>
          <w:szCs w:val="26"/>
        </w:rPr>
        <w:t xml:space="preserve"> </w:t>
      </w:r>
      <w:r w:rsidRPr="009F73B0">
        <w:rPr>
          <w:rFonts w:ascii="Times New Roman" w:eastAsia="Times New Roman" w:hAnsi="Times New Roman" w:cs="Times New Roman"/>
          <w:sz w:val="26"/>
          <w:szCs w:val="26"/>
        </w:rPr>
        <w:t>March 4, 2019</w:t>
      </w:r>
      <w:r w:rsidR="00671B1F" w:rsidRPr="009F73B0">
        <w:rPr>
          <w:rFonts w:ascii="Times New Roman" w:eastAsia="Times New Roman" w:hAnsi="Times New Roman" w:cs="Times New Roman"/>
          <w:sz w:val="26"/>
          <w:szCs w:val="26"/>
        </w:rPr>
        <w:t xml:space="preserve">, </w:t>
      </w:r>
      <w:r w:rsidRPr="009F73B0">
        <w:rPr>
          <w:rFonts w:ascii="Times New Roman" w:eastAsia="Times New Roman" w:hAnsi="Times New Roman" w:cs="Times New Roman"/>
          <w:sz w:val="26"/>
          <w:szCs w:val="26"/>
        </w:rPr>
        <w:t>I&amp;E</w:t>
      </w:r>
      <w:r w:rsidR="00671B1F" w:rsidRPr="009F73B0">
        <w:rPr>
          <w:rFonts w:ascii="Times New Roman" w:eastAsia="Times New Roman" w:hAnsi="Times New Roman" w:cs="Times New Roman"/>
          <w:sz w:val="26"/>
          <w:szCs w:val="26"/>
        </w:rPr>
        <w:t xml:space="preserve"> filed </w:t>
      </w:r>
      <w:r w:rsidR="003C4E9F" w:rsidRPr="009F73B0">
        <w:rPr>
          <w:rFonts w:ascii="Times New Roman" w:eastAsia="Times New Roman" w:hAnsi="Times New Roman" w:cs="Times New Roman"/>
          <w:sz w:val="26"/>
          <w:szCs w:val="26"/>
        </w:rPr>
        <w:t>its Answer</w:t>
      </w:r>
      <w:r w:rsidRPr="009F73B0">
        <w:rPr>
          <w:rFonts w:ascii="Times New Roman" w:eastAsia="Times New Roman" w:hAnsi="Times New Roman" w:cs="Times New Roman"/>
          <w:sz w:val="26"/>
          <w:szCs w:val="26"/>
        </w:rPr>
        <w:t>.</w:t>
      </w:r>
    </w:p>
    <w:p w14:paraId="6B10AF5A" w14:textId="288CCDBF" w:rsidR="003637DD" w:rsidRPr="009F73B0" w:rsidRDefault="003637DD" w:rsidP="00551D54">
      <w:pPr>
        <w:spacing w:after="0" w:line="360" w:lineRule="auto"/>
        <w:contextualSpacing/>
        <w:rPr>
          <w:rFonts w:ascii="Times New Roman" w:eastAsia="Times New Roman" w:hAnsi="Times New Roman" w:cs="Times New Roman"/>
          <w:sz w:val="26"/>
          <w:szCs w:val="26"/>
        </w:rPr>
      </w:pPr>
    </w:p>
    <w:p w14:paraId="3CBDDF92" w14:textId="355159A0" w:rsidR="00136FFB" w:rsidRPr="009F73B0" w:rsidRDefault="00136FFB" w:rsidP="00F070FA">
      <w:pPr>
        <w:pStyle w:val="Heading1"/>
        <w:spacing w:before="0" w:line="360" w:lineRule="auto"/>
        <w:contextualSpacing/>
        <w:jc w:val="center"/>
        <w:rPr>
          <w:rFonts w:ascii="Times New Roman" w:eastAsia="Times New Roman" w:hAnsi="Times New Roman" w:cs="Times New Roman"/>
          <w:b/>
          <w:bCs/>
          <w:color w:val="auto"/>
          <w:sz w:val="26"/>
          <w:szCs w:val="26"/>
        </w:rPr>
      </w:pPr>
      <w:r w:rsidRPr="009F73B0">
        <w:rPr>
          <w:rFonts w:ascii="Times New Roman" w:eastAsia="Times New Roman" w:hAnsi="Times New Roman" w:cs="Times New Roman"/>
          <w:b/>
          <w:bCs/>
          <w:color w:val="auto"/>
          <w:sz w:val="26"/>
          <w:szCs w:val="26"/>
        </w:rPr>
        <w:t>Background</w:t>
      </w:r>
    </w:p>
    <w:p w14:paraId="5B958FA3" w14:textId="13B4443F" w:rsidR="00136FFB" w:rsidRPr="009F73B0" w:rsidRDefault="00136FFB" w:rsidP="00CB6A2A">
      <w:pPr>
        <w:keepNext/>
        <w:keepLines/>
        <w:spacing w:after="0" w:line="360" w:lineRule="auto"/>
        <w:contextualSpacing/>
        <w:rPr>
          <w:rFonts w:ascii="Times New Roman" w:eastAsia="Times New Roman" w:hAnsi="Times New Roman" w:cs="Times New Roman"/>
          <w:sz w:val="26"/>
          <w:szCs w:val="26"/>
        </w:rPr>
      </w:pPr>
    </w:p>
    <w:p w14:paraId="05AAEB2C" w14:textId="3840BA99" w:rsidR="00136FFB" w:rsidRPr="009F73B0" w:rsidRDefault="00136FFB" w:rsidP="00CB6A2A">
      <w:pPr>
        <w:pStyle w:val="Heading2"/>
        <w:spacing w:before="0" w:line="360" w:lineRule="auto"/>
        <w:ind w:left="0"/>
        <w:contextualSpacing/>
        <w:rPr>
          <w:rFonts w:ascii="Times New Roman" w:eastAsia="Times New Roman" w:hAnsi="Times New Roman" w:cs="Times New Roman"/>
          <w:b/>
          <w:bCs/>
          <w:color w:val="auto"/>
        </w:rPr>
      </w:pPr>
      <w:r w:rsidRPr="009F73B0">
        <w:rPr>
          <w:rFonts w:ascii="Times New Roman" w:eastAsia="Times New Roman" w:hAnsi="Times New Roman" w:cs="Times New Roman"/>
          <w:b/>
          <w:bCs/>
          <w:color w:val="auto"/>
        </w:rPr>
        <w:t>PAWC’s Proposed Tariff Supplement</w:t>
      </w:r>
    </w:p>
    <w:p w14:paraId="188E8E1D" w14:textId="13633D99" w:rsidR="00136FFB" w:rsidRPr="009F73B0" w:rsidRDefault="00136FFB" w:rsidP="00CB6A2A">
      <w:pPr>
        <w:keepNext/>
        <w:keepLines/>
        <w:spacing w:after="0" w:line="360" w:lineRule="auto"/>
        <w:contextualSpacing/>
        <w:rPr>
          <w:rFonts w:ascii="Times New Roman" w:eastAsia="Times New Roman" w:hAnsi="Times New Roman" w:cs="Times New Roman"/>
          <w:sz w:val="26"/>
          <w:szCs w:val="26"/>
        </w:rPr>
      </w:pPr>
    </w:p>
    <w:p w14:paraId="0D4163ED" w14:textId="0768109B" w:rsidR="004F15AD" w:rsidRPr="009F73B0" w:rsidRDefault="004F15AD" w:rsidP="0015157D">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On December 22, 2017, President Donald Trump signed Public Law No.</w:t>
      </w:r>
      <w:r w:rsidR="0015157D">
        <w:rPr>
          <w:rFonts w:ascii="Times New Roman" w:hAnsi="Times New Roman" w:cs="Times New Roman"/>
          <w:sz w:val="26"/>
          <w:szCs w:val="26"/>
        </w:rPr>
        <w:t> </w:t>
      </w:r>
      <w:r w:rsidRPr="009F73B0">
        <w:rPr>
          <w:rFonts w:ascii="Times New Roman" w:hAnsi="Times New Roman" w:cs="Times New Roman"/>
          <w:sz w:val="26"/>
          <w:szCs w:val="26"/>
        </w:rPr>
        <w:t>115-97 into law.  Known as the Tax Cuts and Jobs Act (TCJA), this law, which became effective January 1, 2018, repealed or reformed various provisions of the Tax Reform Act of 1986 (</w:t>
      </w:r>
      <w:r w:rsidRPr="009F73B0">
        <w:rPr>
          <w:rFonts w:ascii="Times New Roman" w:hAnsi="Times New Roman" w:cs="Times New Roman"/>
          <w:i/>
          <w:sz w:val="26"/>
          <w:szCs w:val="26"/>
        </w:rPr>
        <w:t>TRA-86</w:t>
      </w:r>
      <w:r w:rsidRPr="009F73B0">
        <w:rPr>
          <w:rFonts w:ascii="Times New Roman" w:hAnsi="Times New Roman" w:cs="Times New Roman"/>
          <w:sz w:val="26"/>
          <w:szCs w:val="26"/>
        </w:rPr>
        <w:t xml:space="preserve">), which was the governing law in the United States prior to </w:t>
      </w:r>
      <w:r w:rsidRPr="009F73B0">
        <w:rPr>
          <w:rFonts w:ascii="Times New Roman" w:hAnsi="Times New Roman" w:cs="Times New Roman"/>
          <w:sz w:val="26"/>
          <w:szCs w:val="26"/>
        </w:rPr>
        <w:lastRenderedPageBreak/>
        <w:t xml:space="preserve">the effective date of the TCJA.  Among the many modifications to the </w:t>
      </w:r>
      <w:r w:rsidRPr="009F73B0">
        <w:rPr>
          <w:rFonts w:ascii="Times New Roman" w:hAnsi="Times New Roman" w:cs="Times New Roman"/>
          <w:i/>
          <w:sz w:val="26"/>
          <w:szCs w:val="26"/>
        </w:rPr>
        <w:t xml:space="preserve">TRA-86 </w:t>
      </w:r>
      <w:r w:rsidRPr="009F73B0">
        <w:rPr>
          <w:rFonts w:ascii="Times New Roman" w:hAnsi="Times New Roman" w:cs="Times New Roman"/>
          <w:sz w:val="26"/>
          <w:szCs w:val="26"/>
        </w:rPr>
        <w:t>resulting from the passage of the TCJA was a reduction in the corporate Federal Income Tax rate.  Specifically, the TCJA reduced the corporate Federal Income Tax rate from 35% to 21%.</w:t>
      </w:r>
    </w:p>
    <w:p w14:paraId="20A3376B" w14:textId="77777777" w:rsidR="004F15AD" w:rsidRPr="009F73B0" w:rsidRDefault="004F15AD" w:rsidP="0015157D">
      <w:pPr>
        <w:spacing w:after="0" w:line="360" w:lineRule="auto"/>
        <w:ind w:firstLine="1440"/>
        <w:contextualSpacing/>
        <w:rPr>
          <w:rFonts w:ascii="Times New Roman" w:hAnsi="Times New Roman" w:cs="Times New Roman"/>
          <w:sz w:val="26"/>
          <w:szCs w:val="26"/>
        </w:rPr>
      </w:pPr>
    </w:p>
    <w:p w14:paraId="3091CB51" w14:textId="77777777" w:rsidR="004F15AD" w:rsidRPr="009F73B0" w:rsidRDefault="004F15AD" w:rsidP="0015157D">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On February 12, 2018, the Commission issued a Secretarial Letter at Docket No. M</w:t>
      </w:r>
      <w:r w:rsidRPr="009F73B0">
        <w:rPr>
          <w:rFonts w:ascii="Times New Roman" w:hAnsi="Times New Roman" w:cs="Times New Roman"/>
          <w:sz w:val="26"/>
          <w:szCs w:val="26"/>
        </w:rPr>
        <w:noBreakHyphen/>
        <w:t>2018</w:t>
      </w:r>
      <w:r w:rsidRPr="009F73B0">
        <w:rPr>
          <w:rFonts w:ascii="Times New Roman" w:hAnsi="Times New Roman" w:cs="Times New Roman"/>
          <w:sz w:val="26"/>
          <w:szCs w:val="26"/>
        </w:rPr>
        <w:noBreakHyphen/>
        <w:t>2641242 (</w:t>
      </w:r>
      <w:r w:rsidRPr="009F73B0">
        <w:rPr>
          <w:rFonts w:ascii="Times New Roman" w:hAnsi="Times New Roman" w:cs="Times New Roman"/>
          <w:i/>
          <w:sz w:val="26"/>
          <w:szCs w:val="26"/>
        </w:rPr>
        <w:t>February 2018 Secretarial Letter</w:t>
      </w:r>
      <w:r w:rsidRPr="009F73B0">
        <w:rPr>
          <w:rFonts w:ascii="Times New Roman" w:hAnsi="Times New Roman" w:cs="Times New Roman"/>
          <w:sz w:val="26"/>
          <w:szCs w:val="26"/>
        </w:rPr>
        <w:t xml:space="preserve">) initiating a proceeding to determine the effects of the TCJA on the tax liabilities of Commission-regulated public utilities.  As part of the </w:t>
      </w:r>
      <w:r w:rsidRPr="009F73B0">
        <w:rPr>
          <w:rFonts w:ascii="Times New Roman" w:hAnsi="Times New Roman" w:cs="Times New Roman"/>
          <w:i/>
          <w:sz w:val="26"/>
          <w:szCs w:val="26"/>
        </w:rPr>
        <w:t>February 2018 Secretarial Letter</w:t>
      </w:r>
      <w:r w:rsidRPr="009F73B0">
        <w:rPr>
          <w:rFonts w:ascii="Times New Roman" w:hAnsi="Times New Roman" w:cs="Times New Roman"/>
          <w:sz w:val="26"/>
          <w:szCs w:val="26"/>
        </w:rPr>
        <w:t>, the Commission requested that certain utilities, including PAWC, provide verified responses to data requests concerning the effect of the TCJA on their tax liabilities.  Additionally, the Commission entered Temporary Rates Orders at the above Docket Number on March 15, 2018 (</w:t>
      </w:r>
      <w:r w:rsidRPr="009F73B0">
        <w:rPr>
          <w:rFonts w:ascii="Times New Roman" w:hAnsi="Times New Roman" w:cs="Times New Roman"/>
          <w:i/>
          <w:sz w:val="26"/>
          <w:szCs w:val="26"/>
        </w:rPr>
        <w:t>March 2018 Order</w:t>
      </w:r>
      <w:r w:rsidRPr="009F73B0">
        <w:rPr>
          <w:rFonts w:ascii="Times New Roman" w:hAnsi="Times New Roman" w:cs="Times New Roman"/>
          <w:sz w:val="26"/>
          <w:szCs w:val="26"/>
        </w:rPr>
        <w:t>), and May 17, 2018 (</w:t>
      </w:r>
      <w:r w:rsidRPr="009F73B0">
        <w:rPr>
          <w:rFonts w:ascii="Times New Roman" w:hAnsi="Times New Roman" w:cs="Times New Roman"/>
          <w:i/>
          <w:sz w:val="26"/>
          <w:szCs w:val="26"/>
        </w:rPr>
        <w:t>May 2018 Order</w:t>
      </w:r>
      <w:r w:rsidRPr="009F73B0">
        <w:rPr>
          <w:rFonts w:ascii="Times New Roman" w:hAnsi="Times New Roman" w:cs="Times New Roman"/>
          <w:sz w:val="26"/>
          <w:szCs w:val="26"/>
        </w:rPr>
        <w:t xml:space="preserve">), concerning the impact of the TCJA on rates.  Further, on May 17, 2018, the Commission also issued orders specific to PAWC’s Water and Wastewater Divisions as a result of the TCJA Proceeding.  </w:t>
      </w:r>
      <w:r w:rsidRPr="009F73B0">
        <w:rPr>
          <w:rFonts w:ascii="Times New Roman" w:eastAsia="Calibri" w:hAnsi="Times New Roman" w:cs="Times New Roman"/>
          <w:i/>
          <w:sz w:val="26"/>
          <w:szCs w:val="26"/>
        </w:rPr>
        <w:t xml:space="preserve">See Tax Cuts and Jobs Act of 2017 – Pennsylvania-American Water Company, </w:t>
      </w:r>
      <w:r w:rsidRPr="009F73B0">
        <w:rPr>
          <w:rFonts w:ascii="Times New Roman" w:eastAsia="Calibri" w:hAnsi="Times New Roman" w:cs="Times New Roman"/>
          <w:sz w:val="26"/>
          <w:szCs w:val="26"/>
        </w:rPr>
        <w:t>Docket No. R</w:t>
      </w:r>
      <w:r w:rsidRPr="009F73B0">
        <w:rPr>
          <w:rFonts w:ascii="Times New Roman" w:eastAsia="Calibri" w:hAnsi="Times New Roman" w:cs="Times New Roman"/>
          <w:sz w:val="26"/>
          <w:szCs w:val="26"/>
        </w:rPr>
        <w:noBreakHyphen/>
        <w:t>2018</w:t>
      </w:r>
      <w:r w:rsidRPr="009F73B0">
        <w:rPr>
          <w:rFonts w:ascii="Times New Roman" w:eastAsia="Calibri" w:hAnsi="Times New Roman" w:cs="Times New Roman"/>
          <w:sz w:val="26"/>
          <w:szCs w:val="26"/>
        </w:rPr>
        <w:noBreakHyphen/>
        <w:t>3000724 (Order entered May 17, 2018)(</w:t>
      </w:r>
      <w:r w:rsidRPr="009F73B0">
        <w:rPr>
          <w:rFonts w:ascii="Times New Roman" w:eastAsia="Calibri" w:hAnsi="Times New Roman" w:cs="Times New Roman"/>
          <w:i/>
          <w:sz w:val="26"/>
          <w:szCs w:val="26"/>
        </w:rPr>
        <w:t>PAWC Water TCJA Order</w:t>
      </w:r>
      <w:r w:rsidRPr="009F73B0">
        <w:rPr>
          <w:rFonts w:ascii="Times New Roman" w:eastAsia="Calibri" w:hAnsi="Times New Roman" w:cs="Times New Roman"/>
          <w:sz w:val="26"/>
          <w:szCs w:val="26"/>
        </w:rPr>
        <w:t xml:space="preserve">); </w:t>
      </w:r>
      <w:r w:rsidRPr="009F73B0">
        <w:rPr>
          <w:rFonts w:ascii="Times New Roman" w:eastAsia="Calibri" w:hAnsi="Times New Roman" w:cs="Times New Roman"/>
          <w:i/>
          <w:sz w:val="26"/>
          <w:szCs w:val="26"/>
        </w:rPr>
        <w:t>Tax Cuts and Jobs Act of 2017 – Pennsylvania-American Water Company – Wastewater Division</w:t>
      </w:r>
      <w:r w:rsidRPr="009F73B0">
        <w:rPr>
          <w:rFonts w:ascii="Times New Roman" w:eastAsia="Calibri" w:hAnsi="Times New Roman" w:cs="Times New Roman"/>
          <w:sz w:val="26"/>
          <w:szCs w:val="26"/>
        </w:rPr>
        <w:t>, Docket No. R</w:t>
      </w:r>
      <w:r w:rsidRPr="009F73B0">
        <w:rPr>
          <w:rFonts w:ascii="Times New Roman" w:eastAsia="Calibri" w:hAnsi="Times New Roman" w:cs="Times New Roman"/>
          <w:sz w:val="26"/>
          <w:szCs w:val="26"/>
        </w:rPr>
        <w:noBreakHyphen/>
        <w:t>2018</w:t>
      </w:r>
      <w:r w:rsidRPr="009F73B0">
        <w:rPr>
          <w:rFonts w:ascii="Times New Roman" w:eastAsia="Calibri" w:hAnsi="Times New Roman" w:cs="Times New Roman"/>
          <w:sz w:val="26"/>
          <w:szCs w:val="26"/>
        </w:rPr>
        <w:noBreakHyphen/>
        <w:t>3000725 (Order entered May 17, 2018)(</w:t>
      </w:r>
      <w:r w:rsidRPr="009F73B0">
        <w:rPr>
          <w:rFonts w:ascii="Times New Roman" w:eastAsia="Calibri" w:hAnsi="Times New Roman" w:cs="Times New Roman"/>
          <w:i/>
          <w:sz w:val="26"/>
          <w:szCs w:val="26"/>
        </w:rPr>
        <w:t>PAWC Wastewater TCJA Order</w:t>
      </w:r>
      <w:r w:rsidRPr="009F73B0">
        <w:rPr>
          <w:rFonts w:ascii="Times New Roman" w:eastAsia="Calibri" w:hAnsi="Times New Roman" w:cs="Times New Roman"/>
          <w:sz w:val="26"/>
          <w:szCs w:val="26"/>
        </w:rPr>
        <w:t xml:space="preserve">) (collectively, </w:t>
      </w:r>
      <w:r w:rsidRPr="009F73B0">
        <w:rPr>
          <w:rFonts w:ascii="Times New Roman" w:eastAsia="Calibri" w:hAnsi="Times New Roman" w:cs="Times New Roman"/>
          <w:i/>
          <w:sz w:val="26"/>
          <w:szCs w:val="26"/>
        </w:rPr>
        <w:t>PAWC TCJA Orders</w:t>
      </w:r>
      <w:r w:rsidRPr="009F73B0">
        <w:rPr>
          <w:rFonts w:ascii="Times New Roman" w:eastAsia="Calibri" w:hAnsi="Times New Roman" w:cs="Times New Roman"/>
          <w:sz w:val="26"/>
          <w:szCs w:val="26"/>
        </w:rPr>
        <w:t>)</w:t>
      </w:r>
      <w:r w:rsidRPr="009F73B0">
        <w:rPr>
          <w:rFonts w:ascii="Times New Roman" w:hAnsi="Times New Roman" w:cs="Times New Roman"/>
          <w:sz w:val="26"/>
          <w:szCs w:val="26"/>
        </w:rPr>
        <w:t>.  However, these orders did not address the Company’s proposed treatment of Customer Advances for Construction (CAC), Customer Contributions In-aid-of-Construction (CIAC), and Customer Deposits for Construction (collectively, Contributions and Advances).</w:t>
      </w:r>
    </w:p>
    <w:p w14:paraId="6431B089" w14:textId="77777777" w:rsidR="004F15AD" w:rsidRPr="009F73B0" w:rsidRDefault="004F15AD" w:rsidP="00723B1F">
      <w:pPr>
        <w:spacing w:after="0" w:line="360" w:lineRule="auto"/>
        <w:ind w:firstLine="1440"/>
        <w:contextualSpacing/>
        <w:rPr>
          <w:rFonts w:ascii="Times New Roman" w:hAnsi="Times New Roman" w:cs="Times New Roman"/>
          <w:sz w:val="26"/>
          <w:szCs w:val="26"/>
        </w:rPr>
      </w:pPr>
    </w:p>
    <w:p w14:paraId="614E729D" w14:textId="775FF52E" w:rsidR="004F15AD" w:rsidRPr="009F73B0" w:rsidRDefault="004F15AD">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Contributions and Advances refer to money or property that a developer, or potential customer, contributes or advances for the development of main and service line extensions to expand utility services to new customers or locations.  The </w:t>
      </w:r>
      <w:r w:rsidRPr="009F73B0">
        <w:rPr>
          <w:rFonts w:ascii="Times New Roman" w:hAnsi="Times New Roman" w:cs="Times New Roman"/>
          <w:i/>
          <w:sz w:val="26"/>
          <w:szCs w:val="26"/>
        </w:rPr>
        <w:t>TRA-86</w:t>
      </w:r>
      <w:r w:rsidRPr="009F73B0">
        <w:rPr>
          <w:rFonts w:ascii="Times New Roman" w:hAnsi="Times New Roman" w:cs="Times New Roman"/>
          <w:sz w:val="26"/>
          <w:szCs w:val="26"/>
        </w:rPr>
        <w:t xml:space="preserve"> provided that Contributions and Advances were to be considered taxable income to regulated utilities.  The taxability of Contributions and Advances raises the issue of how utilities will recover this expense.  While utilities have various options for recovery, </w:t>
      </w:r>
      <w:r w:rsidRPr="009F73B0">
        <w:rPr>
          <w:rFonts w:ascii="Times New Roman" w:hAnsi="Times New Roman" w:cs="Times New Roman"/>
          <w:sz w:val="26"/>
          <w:szCs w:val="26"/>
        </w:rPr>
        <w:lastRenderedPageBreak/>
        <w:t>generally the options fall into one of two categories: (1) the “no gross-up” method, or (2) the “gross</w:t>
      </w:r>
      <w:r w:rsidRPr="009F73B0">
        <w:rPr>
          <w:rFonts w:ascii="Times New Roman" w:hAnsi="Times New Roman" w:cs="Times New Roman"/>
          <w:sz w:val="26"/>
          <w:szCs w:val="26"/>
        </w:rPr>
        <w:noBreakHyphen/>
        <w:t>up” method.  Under the “no gross-up” method, the utility pays the tax and then adds that amount to its rate base, allowing the utility to earn a return on the amount, which decreases as the asset is depreciated.  Essentially, the utility finances the payment of the tax expense and gets reimbursed through rates over the life of the CIAC asset.  Alternatively, under the “gross-up” method, the tax, or a portion thereof, is recovered by the developer or potential customer by “grossing up” the CIAC to reflect the amount of tax that the utility will be required to pay.  Under this method, the asset is also depreciated for tax purposes.  As the asset is depreciated, the utility will either remit the savings resulting from the annual depreciation back to the developer as those savings are realized, or the discounted present value of those future savings will be netted out of the original gross-up amount.</w:t>
      </w:r>
    </w:p>
    <w:p w14:paraId="198FD657" w14:textId="77777777" w:rsidR="004F15AD" w:rsidRPr="009F73B0" w:rsidRDefault="004F15AD">
      <w:pPr>
        <w:spacing w:after="0" w:line="360" w:lineRule="auto"/>
        <w:ind w:firstLine="1440"/>
        <w:contextualSpacing/>
        <w:rPr>
          <w:rFonts w:ascii="Times New Roman" w:hAnsi="Times New Roman" w:cs="Times New Roman"/>
          <w:sz w:val="26"/>
          <w:szCs w:val="26"/>
        </w:rPr>
      </w:pPr>
    </w:p>
    <w:p w14:paraId="3E1E9143" w14:textId="33C9A90A" w:rsidR="004F15AD" w:rsidRPr="009F73B0" w:rsidRDefault="004F15AD"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In light of the tax implications on rates, I&amp;E’s predecessor bureau, the Office of Trial Staff (OTS), filed a Petition on August 10, 1987 at Docket No. P-870246 requesting that an </w:t>
      </w:r>
      <w:r w:rsidR="00DE1FFA" w:rsidRPr="009F73B0">
        <w:rPr>
          <w:rFonts w:ascii="Times New Roman" w:hAnsi="Times New Roman" w:cs="Times New Roman"/>
          <w:sz w:val="26"/>
          <w:szCs w:val="26"/>
        </w:rPr>
        <w:t>i</w:t>
      </w:r>
      <w:r w:rsidRPr="009F73B0">
        <w:rPr>
          <w:rFonts w:ascii="Times New Roman" w:hAnsi="Times New Roman" w:cs="Times New Roman"/>
          <w:sz w:val="26"/>
          <w:szCs w:val="26"/>
        </w:rPr>
        <w:t xml:space="preserve">nvestigation be initiated to address the appropriate accounting and ratemaking treatment of CIAC and CAC.  As a result, on August 18, 1988 the Commission initiated an </w:t>
      </w:r>
      <w:r w:rsidRPr="009F73B0">
        <w:rPr>
          <w:rFonts w:ascii="Times New Roman" w:hAnsi="Times New Roman" w:cs="Times New Roman"/>
          <w:i/>
          <w:sz w:val="26"/>
          <w:szCs w:val="26"/>
        </w:rPr>
        <w:t>Investigation of Accounting and Ratemaking Associated with Contributions in Aid of Construction and Customer Advances</w:t>
      </w:r>
      <w:r w:rsidRPr="00941A50">
        <w:rPr>
          <w:rFonts w:ascii="Times New Roman" w:hAnsi="Times New Roman" w:cs="Times New Roman"/>
          <w:iCs/>
          <w:sz w:val="26"/>
          <w:szCs w:val="26"/>
        </w:rPr>
        <w:t>,</w:t>
      </w:r>
      <w:r w:rsidRPr="009F73B0">
        <w:rPr>
          <w:rFonts w:ascii="Times New Roman" w:hAnsi="Times New Roman" w:cs="Times New Roman"/>
          <w:i/>
          <w:sz w:val="26"/>
          <w:szCs w:val="26"/>
        </w:rPr>
        <w:t xml:space="preserve"> </w:t>
      </w:r>
      <w:r w:rsidRPr="009F73B0">
        <w:rPr>
          <w:rFonts w:ascii="Times New Roman" w:hAnsi="Times New Roman" w:cs="Times New Roman"/>
          <w:sz w:val="26"/>
          <w:szCs w:val="26"/>
        </w:rPr>
        <w:t>at Docket No. I-</w:t>
      </w:r>
      <w:r w:rsidR="00941A50">
        <w:rPr>
          <w:rFonts w:ascii="Times New Roman" w:hAnsi="Times New Roman" w:cs="Times New Roman"/>
          <w:sz w:val="26"/>
          <w:szCs w:val="26"/>
        </w:rPr>
        <w:t>00</w:t>
      </w:r>
      <w:r w:rsidRPr="009F73B0">
        <w:rPr>
          <w:rFonts w:ascii="Times New Roman" w:hAnsi="Times New Roman" w:cs="Times New Roman"/>
          <w:sz w:val="26"/>
          <w:szCs w:val="26"/>
        </w:rPr>
        <w:t>880083, and named all jurisdictional fixed utilities as respondents.  Six different ratemaking methods for CIAC and two for CAC were investigated.  The analysis included three gross-up methodologies and Net Present Value (NPV) computations of the revenue streams from both current ratepayers and contributors.</w:t>
      </w:r>
      <w:r w:rsidRPr="009F73B0">
        <w:rPr>
          <w:rStyle w:val="FootnoteReference"/>
          <w:rFonts w:ascii="Times New Roman" w:hAnsi="Times New Roman" w:cs="Times New Roman"/>
          <w:sz w:val="26"/>
          <w:szCs w:val="26"/>
        </w:rPr>
        <w:footnoteReference w:id="4"/>
      </w:r>
      <w:r w:rsidRPr="009F73B0">
        <w:rPr>
          <w:rFonts w:ascii="Times New Roman" w:hAnsi="Times New Roman" w:cs="Times New Roman"/>
          <w:sz w:val="26"/>
          <w:szCs w:val="26"/>
        </w:rPr>
        <w:t xml:space="preserve">  On June 14, 1989, the Commission entered an order in </w:t>
      </w:r>
      <w:r w:rsidRPr="009F73B0">
        <w:rPr>
          <w:rFonts w:ascii="Times New Roman" w:hAnsi="Times New Roman" w:cs="Times New Roman"/>
          <w:i/>
          <w:sz w:val="26"/>
          <w:szCs w:val="26"/>
        </w:rPr>
        <w:t>Investigation of Accounting and Ratemaking Associated with Contributions in Aid of Construction and Customer Advances</w:t>
      </w:r>
      <w:r w:rsidRPr="003D3880">
        <w:rPr>
          <w:rFonts w:ascii="Times New Roman" w:hAnsi="Times New Roman" w:cs="Times New Roman"/>
          <w:iCs/>
          <w:sz w:val="26"/>
          <w:szCs w:val="26"/>
        </w:rPr>
        <w:t>,</w:t>
      </w:r>
      <w:r w:rsidRPr="009F73B0">
        <w:rPr>
          <w:rFonts w:ascii="Times New Roman" w:hAnsi="Times New Roman" w:cs="Times New Roman"/>
          <w:i/>
          <w:sz w:val="26"/>
          <w:szCs w:val="26"/>
        </w:rPr>
        <w:t xml:space="preserve"> </w:t>
      </w:r>
      <w:r w:rsidRPr="009F73B0">
        <w:rPr>
          <w:rFonts w:ascii="Times New Roman" w:hAnsi="Times New Roman" w:cs="Times New Roman"/>
          <w:sz w:val="26"/>
          <w:szCs w:val="26"/>
        </w:rPr>
        <w:t xml:space="preserve">Docket No. </w:t>
      </w:r>
      <w:r w:rsidRPr="009F73B0">
        <w:rPr>
          <w:rFonts w:ascii="Times New Roman" w:hAnsi="Times New Roman" w:cs="Times New Roman"/>
          <w:sz w:val="26"/>
          <w:szCs w:val="26"/>
        </w:rPr>
        <w:lastRenderedPageBreak/>
        <w:t>I</w:t>
      </w:r>
      <w:r w:rsidRPr="009F73B0">
        <w:rPr>
          <w:rFonts w:ascii="Times New Roman" w:hAnsi="Times New Roman" w:cs="Times New Roman"/>
          <w:sz w:val="26"/>
          <w:szCs w:val="26"/>
        </w:rPr>
        <w:noBreakHyphen/>
        <w:t>00880</w:t>
      </w:r>
      <w:r w:rsidR="00981575">
        <w:rPr>
          <w:rFonts w:ascii="Times New Roman" w:hAnsi="Times New Roman" w:cs="Times New Roman"/>
          <w:sz w:val="26"/>
          <w:szCs w:val="26"/>
        </w:rPr>
        <w:t>0</w:t>
      </w:r>
      <w:r w:rsidRPr="009F73B0">
        <w:rPr>
          <w:rFonts w:ascii="Times New Roman" w:hAnsi="Times New Roman" w:cs="Times New Roman"/>
          <w:sz w:val="26"/>
          <w:szCs w:val="26"/>
        </w:rPr>
        <w:t>83 (Order entered June 14, 1989)</w:t>
      </w:r>
      <w:r w:rsidR="00C628A8">
        <w:rPr>
          <w:rFonts w:ascii="Times New Roman" w:hAnsi="Times New Roman" w:cs="Times New Roman"/>
          <w:sz w:val="26"/>
          <w:szCs w:val="26"/>
        </w:rPr>
        <w:t xml:space="preserve"> </w:t>
      </w:r>
      <w:r w:rsidRPr="009F73B0">
        <w:rPr>
          <w:rFonts w:ascii="Times New Roman" w:hAnsi="Times New Roman" w:cs="Times New Roman"/>
          <w:sz w:val="26"/>
          <w:szCs w:val="26"/>
        </w:rPr>
        <w:t>(</w:t>
      </w:r>
      <w:r w:rsidRPr="009F73B0">
        <w:rPr>
          <w:rFonts w:ascii="Times New Roman" w:hAnsi="Times New Roman" w:cs="Times New Roman"/>
          <w:i/>
          <w:sz w:val="26"/>
          <w:szCs w:val="26"/>
        </w:rPr>
        <w:t>TRA-86 Order</w:t>
      </w:r>
      <w:r w:rsidRPr="009F73B0">
        <w:rPr>
          <w:rFonts w:ascii="Times New Roman" w:hAnsi="Times New Roman" w:cs="Times New Roman"/>
          <w:sz w:val="26"/>
          <w:szCs w:val="26"/>
        </w:rPr>
        <w:t xml:space="preserve">).  In the </w:t>
      </w:r>
      <w:r w:rsidRPr="009F73B0">
        <w:rPr>
          <w:rFonts w:ascii="Times New Roman" w:hAnsi="Times New Roman" w:cs="Times New Roman"/>
          <w:i/>
          <w:sz w:val="26"/>
          <w:szCs w:val="26"/>
        </w:rPr>
        <w:t xml:space="preserve">TRA-86 Order, </w:t>
      </w:r>
      <w:r w:rsidRPr="009F73B0">
        <w:rPr>
          <w:rFonts w:ascii="Times New Roman" w:hAnsi="Times New Roman" w:cs="Times New Roman"/>
          <w:sz w:val="26"/>
          <w:szCs w:val="26"/>
        </w:rPr>
        <w:t>the Commission addressed this issue on an industry</w:t>
      </w:r>
      <w:r w:rsidRPr="009F73B0">
        <w:rPr>
          <w:rFonts w:ascii="Times New Roman" w:hAnsi="Times New Roman" w:cs="Times New Roman"/>
          <w:sz w:val="26"/>
          <w:szCs w:val="26"/>
        </w:rPr>
        <w:noBreakHyphen/>
        <w:t>by</w:t>
      </w:r>
      <w:r w:rsidRPr="009F73B0">
        <w:rPr>
          <w:rFonts w:ascii="Times New Roman" w:hAnsi="Times New Roman" w:cs="Times New Roman"/>
          <w:sz w:val="26"/>
          <w:szCs w:val="26"/>
        </w:rPr>
        <w:noBreakHyphen/>
        <w:t xml:space="preserve">industry basis and, </w:t>
      </w:r>
      <w:r w:rsidRPr="009F73B0">
        <w:rPr>
          <w:rFonts w:ascii="Times New Roman" w:hAnsi="Times New Roman" w:cs="Times New Roman"/>
          <w:i/>
          <w:sz w:val="26"/>
          <w:szCs w:val="26"/>
        </w:rPr>
        <w:t>inter alia,</w:t>
      </w:r>
      <w:r w:rsidRPr="009F73B0">
        <w:rPr>
          <w:rFonts w:ascii="Times New Roman" w:hAnsi="Times New Roman" w:cs="Times New Roman"/>
          <w:sz w:val="26"/>
          <w:szCs w:val="26"/>
        </w:rPr>
        <w:t xml:space="preserve"> directed that natural gas utilities adopt the no gross-up method and that water and wastewater utilities adopt the gross</w:t>
      </w:r>
      <w:r w:rsidRPr="009F73B0">
        <w:rPr>
          <w:rFonts w:ascii="Times New Roman" w:hAnsi="Times New Roman" w:cs="Times New Roman"/>
          <w:sz w:val="26"/>
          <w:szCs w:val="26"/>
        </w:rPr>
        <w:noBreakHyphen/>
        <w:t>up method.</w:t>
      </w:r>
    </w:p>
    <w:p w14:paraId="35B78005" w14:textId="77777777" w:rsidR="004F15AD" w:rsidRPr="009F73B0" w:rsidRDefault="004F15AD" w:rsidP="00723B1F">
      <w:pPr>
        <w:spacing w:after="0" w:line="360" w:lineRule="auto"/>
        <w:ind w:firstLine="1440"/>
        <w:contextualSpacing/>
        <w:rPr>
          <w:rFonts w:ascii="Times New Roman" w:hAnsi="Times New Roman" w:cs="Times New Roman"/>
          <w:sz w:val="26"/>
          <w:szCs w:val="26"/>
        </w:rPr>
      </w:pPr>
    </w:p>
    <w:p w14:paraId="5BB720FF" w14:textId="65222C90" w:rsidR="004F15AD" w:rsidRPr="009F73B0" w:rsidRDefault="004F15AD"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Soon after the entry of the </w:t>
      </w:r>
      <w:r w:rsidRPr="009F73B0">
        <w:rPr>
          <w:rFonts w:ascii="Times New Roman" w:hAnsi="Times New Roman" w:cs="Times New Roman"/>
          <w:i/>
          <w:sz w:val="26"/>
          <w:szCs w:val="26"/>
        </w:rPr>
        <w:t>TRA-86 Order</w:t>
      </w:r>
      <w:r w:rsidRPr="009F73B0">
        <w:rPr>
          <w:rFonts w:ascii="Times New Roman" w:hAnsi="Times New Roman" w:cs="Times New Roman"/>
          <w:sz w:val="26"/>
          <w:szCs w:val="26"/>
        </w:rPr>
        <w:t xml:space="preserve">, PAWC filed a petition requesting permission to deviate from the gross-up methodology for construction made by political subdivisions or other governmental entities.  PAWC argued that requiring political subdivisions and governmental entities to pay the Federal Income Tax is contrary to public policy and that it is not in the public interest to require the gross-up method where the contributor is a political subdivision or other governmental entity.  By order entered November 3, 1989, the Commission granted PAWC’s petition, noting that in the </w:t>
      </w:r>
      <w:r w:rsidRPr="009F73B0">
        <w:rPr>
          <w:rFonts w:ascii="Times New Roman" w:hAnsi="Times New Roman" w:cs="Times New Roman"/>
          <w:i/>
          <w:sz w:val="26"/>
          <w:szCs w:val="26"/>
        </w:rPr>
        <w:t>TRA-86 Order</w:t>
      </w:r>
      <w:r w:rsidRPr="00C628A8">
        <w:rPr>
          <w:rFonts w:ascii="Times New Roman" w:hAnsi="Times New Roman" w:cs="Times New Roman"/>
          <w:iCs/>
          <w:sz w:val="26"/>
          <w:szCs w:val="26"/>
        </w:rPr>
        <w:t>,</w:t>
      </w:r>
      <w:r w:rsidRPr="009F73B0">
        <w:rPr>
          <w:rFonts w:ascii="Times New Roman" w:hAnsi="Times New Roman" w:cs="Times New Roman"/>
          <w:i/>
          <w:sz w:val="26"/>
          <w:szCs w:val="26"/>
        </w:rPr>
        <w:t xml:space="preserve"> </w:t>
      </w:r>
      <w:r w:rsidRPr="009F73B0">
        <w:rPr>
          <w:rFonts w:ascii="Times New Roman" w:hAnsi="Times New Roman" w:cs="Times New Roman"/>
          <w:sz w:val="26"/>
          <w:szCs w:val="26"/>
        </w:rPr>
        <w:t xml:space="preserve">the Commission recognized that there are special circumstances where there may be room for a sharing of additional tax costs, even though the new plant is not directly used to the benefit of existing ratepayers.  </w:t>
      </w:r>
      <w:r w:rsidRPr="009F73B0">
        <w:rPr>
          <w:rFonts w:ascii="Times New Roman" w:hAnsi="Times New Roman" w:cs="Times New Roman"/>
          <w:i/>
          <w:sz w:val="26"/>
          <w:szCs w:val="26"/>
        </w:rPr>
        <w:t>See Pa. P.U.C. v. Pennsylvania-American Water Co.</w:t>
      </w:r>
      <w:r w:rsidRPr="00E264D3">
        <w:rPr>
          <w:rFonts w:ascii="Times New Roman" w:hAnsi="Times New Roman" w:cs="Times New Roman"/>
          <w:iCs/>
          <w:sz w:val="26"/>
          <w:szCs w:val="26"/>
        </w:rPr>
        <w:t>,</w:t>
      </w:r>
      <w:r w:rsidRPr="009F73B0">
        <w:rPr>
          <w:rFonts w:ascii="Times New Roman" w:hAnsi="Times New Roman" w:cs="Times New Roman"/>
          <w:i/>
          <w:sz w:val="26"/>
          <w:szCs w:val="26"/>
        </w:rPr>
        <w:t xml:space="preserve"> </w:t>
      </w:r>
      <w:r w:rsidRPr="009F73B0">
        <w:rPr>
          <w:rFonts w:ascii="Times New Roman" w:hAnsi="Times New Roman" w:cs="Times New Roman"/>
          <w:sz w:val="26"/>
          <w:szCs w:val="26"/>
        </w:rPr>
        <w:t>Docket No. P-</w:t>
      </w:r>
      <w:r w:rsidR="00396670">
        <w:rPr>
          <w:rFonts w:ascii="Times New Roman" w:hAnsi="Times New Roman" w:cs="Times New Roman"/>
          <w:sz w:val="26"/>
          <w:szCs w:val="26"/>
        </w:rPr>
        <w:t>00</w:t>
      </w:r>
      <w:r w:rsidRPr="009F73B0">
        <w:rPr>
          <w:rFonts w:ascii="Times New Roman" w:hAnsi="Times New Roman" w:cs="Times New Roman"/>
          <w:sz w:val="26"/>
          <w:szCs w:val="26"/>
        </w:rPr>
        <w:t>890376</w:t>
      </w:r>
      <w:r w:rsidRPr="009F73B0">
        <w:rPr>
          <w:rFonts w:ascii="Times New Roman" w:hAnsi="Times New Roman" w:cs="Times New Roman"/>
          <w:i/>
          <w:sz w:val="26"/>
          <w:szCs w:val="26"/>
        </w:rPr>
        <w:t xml:space="preserve"> </w:t>
      </w:r>
      <w:r w:rsidRPr="009F73B0">
        <w:rPr>
          <w:rFonts w:ascii="Times New Roman" w:hAnsi="Times New Roman" w:cs="Times New Roman"/>
          <w:sz w:val="26"/>
          <w:szCs w:val="26"/>
        </w:rPr>
        <w:t>(Order entered Nov. 3, 1989)</w:t>
      </w:r>
      <w:r w:rsidRPr="009F73B0">
        <w:rPr>
          <w:rFonts w:ascii="Times New Roman" w:hAnsi="Times New Roman" w:cs="Times New Roman"/>
          <w:i/>
          <w:sz w:val="26"/>
          <w:szCs w:val="26"/>
        </w:rPr>
        <w:t xml:space="preserve"> </w:t>
      </w:r>
      <w:r w:rsidRPr="00EA4DD5">
        <w:rPr>
          <w:rFonts w:ascii="Times New Roman" w:hAnsi="Times New Roman" w:cs="Times New Roman"/>
          <w:iCs/>
          <w:sz w:val="26"/>
          <w:szCs w:val="26"/>
        </w:rPr>
        <w:t>(</w:t>
      </w:r>
      <w:r w:rsidRPr="009F73B0">
        <w:rPr>
          <w:rFonts w:ascii="Times New Roman" w:hAnsi="Times New Roman" w:cs="Times New Roman"/>
          <w:i/>
          <w:sz w:val="26"/>
          <w:szCs w:val="26"/>
        </w:rPr>
        <w:t>1989 PAWC Order</w:t>
      </w:r>
      <w:r w:rsidRPr="00EA4DD5">
        <w:rPr>
          <w:rFonts w:ascii="Times New Roman" w:hAnsi="Times New Roman" w:cs="Times New Roman"/>
          <w:iCs/>
          <w:sz w:val="26"/>
          <w:szCs w:val="26"/>
        </w:rPr>
        <w:t>)</w:t>
      </w:r>
      <w:r w:rsidRPr="009F73B0">
        <w:rPr>
          <w:rFonts w:ascii="Times New Roman" w:hAnsi="Times New Roman" w:cs="Times New Roman"/>
          <w:sz w:val="26"/>
          <w:szCs w:val="26"/>
        </w:rPr>
        <w:t>.</w:t>
      </w:r>
    </w:p>
    <w:p w14:paraId="1B79C708" w14:textId="77777777" w:rsidR="004F15AD" w:rsidRPr="009F73B0" w:rsidRDefault="004F15AD" w:rsidP="00723B1F">
      <w:pPr>
        <w:spacing w:after="0" w:line="360" w:lineRule="auto"/>
        <w:ind w:firstLine="1440"/>
        <w:contextualSpacing/>
        <w:rPr>
          <w:rFonts w:ascii="Times New Roman" w:hAnsi="Times New Roman" w:cs="Times New Roman"/>
          <w:sz w:val="26"/>
          <w:szCs w:val="26"/>
        </w:rPr>
      </w:pPr>
    </w:p>
    <w:p w14:paraId="29D54311" w14:textId="77777777" w:rsidR="004F15AD" w:rsidRPr="009F73B0" w:rsidRDefault="004F15AD"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In 1996, the Small Business Job Protection Act</w:t>
      </w:r>
      <w:r w:rsidRPr="009F73B0">
        <w:rPr>
          <w:rFonts w:ascii="Times New Roman" w:hAnsi="Times New Roman" w:cs="Times New Roman"/>
          <w:sz w:val="26"/>
          <w:szCs w:val="26"/>
          <w:vertAlign w:val="superscript"/>
        </w:rPr>
        <w:footnoteReference w:id="5"/>
      </w:r>
      <w:r w:rsidRPr="009F73B0">
        <w:rPr>
          <w:rFonts w:ascii="Times New Roman" w:hAnsi="Times New Roman" w:cs="Times New Roman"/>
          <w:sz w:val="26"/>
          <w:szCs w:val="26"/>
        </w:rPr>
        <w:t xml:space="preserve"> was passed, and water and wastewater utilities became exempt from taxable CIAC and CAC.  However, the passage of the TCJA has eliminated this exemption.  Therefore, water and wastewater utilities once again incur, and must pay, Federal Income Tax on such payments in the year they are received.  Because the Pennsylvania Corporate Net Income Tax is based on Federal taxable income, the change in the Federal tax law made Contributions and Advances taxable income for Pennsylvania corporate income tax purposes.</w:t>
      </w:r>
    </w:p>
    <w:p w14:paraId="613ED299" w14:textId="35A9DFB3" w:rsidR="00136FFB" w:rsidRPr="009F73B0" w:rsidRDefault="00136FFB" w:rsidP="00723B1F">
      <w:pPr>
        <w:spacing w:after="0" w:line="360" w:lineRule="auto"/>
        <w:ind w:firstLine="1440"/>
        <w:contextualSpacing/>
        <w:rPr>
          <w:rFonts w:ascii="Times New Roman" w:eastAsia="Times New Roman" w:hAnsi="Times New Roman" w:cs="Times New Roman"/>
          <w:sz w:val="26"/>
          <w:szCs w:val="26"/>
        </w:rPr>
      </w:pPr>
    </w:p>
    <w:p w14:paraId="15D530BF" w14:textId="1F5CD788" w:rsidR="004F15AD" w:rsidRPr="009F73B0" w:rsidRDefault="004F15AD"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lastRenderedPageBreak/>
        <w:t>Based on the above, and to clarify how taxable Contributions and Advances would be handled, PAWC filed its proposed Supplement No. 6 Water and Supplement No. 6 Wastewater (collectively, Supplement No. 6).  In Supplement No. 6, PAWC propose</w:t>
      </w:r>
      <w:r w:rsidR="00895F27">
        <w:rPr>
          <w:rFonts w:ascii="Times New Roman" w:hAnsi="Times New Roman" w:cs="Times New Roman"/>
          <w:sz w:val="26"/>
          <w:szCs w:val="26"/>
        </w:rPr>
        <w:t>d</w:t>
      </w:r>
      <w:r w:rsidRPr="009F73B0">
        <w:rPr>
          <w:rFonts w:ascii="Times New Roman" w:hAnsi="Times New Roman" w:cs="Times New Roman"/>
          <w:sz w:val="26"/>
          <w:szCs w:val="26"/>
        </w:rPr>
        <w:t xml:space="preserve"> to utilize the no gross-up method.  More specifically, PAWC’s proposed Supplement No. 6 contains the following provision:</w:t>
      </w:r>
      <w:r w:rsidRPr="009F73B0">
        <w:rPr>
          <w:rFonts w:ascii="Times New Roman" w:hAnsi="Times New Roman" w:cs="Times New Roman"/>
          <w:sz w:val="26"/>
          <w:szCs w:val="26"/>
          <w:vertAlign w:val="superscript"/>
        </w:rPr>
        <w:footnoteReference w:id="6"/>
      </w:r>
      <w:r w:rsidRPr="009F73B0">
        <w:rPr>
          <w:rFonts w:ascii="Times New Roman" w:hAnsi="Times New Roman" w:cs="Times New Roman"/>
          <w:sz w:val="26"/>
          <w:szCs w:val="26"/>
        </w:rPr>
        <w:t xml:space="preserve">  </w:t>
      </w:r>
    </w:p>
    <w:p w14:paraId="2EBBC20A" w14:textId="77777777" w:rsidR="004F15AD" w:rsidRPr="009F73B0" w:rsidRDefault="004F15AD" w:rsidP="00E264D3">
      <w:pPr>
        <w:spacing w:after="0" w:line="240" w:lineRule="auto"/>
        <w:contextualSpacing/>
        <w:rPr>
          <w:rFonts w:ascii="Times New Roman" w:hAnsi="Times New Roman" w:cs="Times New Roman"/>
          <w:sz w:val="26"/>
          <w:szCs w:val="26"/>
        </w:rPr>
      </w:pPr>
      <w:r w:rsidRPr="009F73B0">
        <w:rPr>
          <w:rFonts w:ascii="Times New Roman" w:hAnsi="Times New Roman" w:cs="Times New Roman"/>
          <w:sz w:val="26"/>
          <w:szCs w:val="26"/>
        </w:rPr>
        <w:t xml:space="preserve"> </w:t>
      </w:r>
    </w:p>
    <w:p w14:paraId="740FCB60" w14:textId="77777777" w:rsidR="004F15AD" w:rsidRPr="009F73B0" w:rsidRDefault="004F15AD" w:rsidP="00723B1F">
      <w:pPr>
        <w:spacing w:after="0" w:line="240" w:lineRule="auto"/>
        <w:ind w:left="1440" w:right="1440"/>
        <w:contextualSpacing/>
        <w:rPr>
          <w:rFonts w:ascii="Times New Roman" w:hAnsi="Times New Roman" w:cs="Times New Roman"/>
          <w:sz w:val="26"/>
          <w:szCs w:val="26"/>
        </w:rPr>
      </w:pPr>
      <w:r w:rsidRPr="009F73B0">
        <w:rPr>
          <w:rFonts w:ascii="Times New Roman" w:hAnsi="Times New Roman" w:cs="Times New Roman"/>
          <w:sz w:val="26"/>
          <w:szCs w:val="26"/>
        </w:rPr>
        <w:t>The Company will pay income taxes on any deposit, advance, contribution or other like amounts received from an applicant which shall constitute taxable income to the Company as defined by the Internal Revenue Service.  Such income taxes shall be segregated in a deferred account for inclusion in rate base in a future rate case proceeding.  Such income tax associated with a deposit, advance or contribution will not be charged to the specific depositor/contributor of the capital.</w:t>
      </w:r>
    </w:p>
    <w:p w14:paraId="43F43FD6" w14:textId="77777777" w:rsidR="004F15AD" w:rsidRPr="009F73B0" w:rsidRDefault="004F15AD" w:rsidP="00E264D3">
      <w:pPr>
        <w:spacing w:after="0" w:line="360" w:lineRule="auto"/>
        <w:ind w:left="1440" w:right="1440"/>
        <w:contextualSpacing/>
        <w:rPr>
          <w:rFonts w:ascii="Times New Roman" w:hAnsi="Times New Roman" w:cs="Times New Roman"/>
          <w:sz w:val="26"/>
          <w:szCs w:val="26"/>
        </w:rPr>
      </w:pPr>
    </w:p>
    <w:p w14:paraId="0C41CECF" w14:textId="77777777" w:rsidR="004F15AD" w:rsidRPr="009F73B0" w:rsidRDefault="004F15AD" w:rsidP="00723B1F">
      <w:pPr>
        <w:spacing w:after="0" w:line="360" w:lineRule="auto"/>
        <w:contextualSpacing/>
        <w:rPr>
          <w:rFonts w:ascii="Times New Roman" w:hAnsi="Times New Roman" w:cs="Times New Roman"/>
          <w:sz w:val="26"/>
          <w:szCs w:val="26"/>
        </w:rPr>
      </w:pPr>
      <w:r w:rsidRPr="009F73B0">
        <w:rPr>
          <w:rFonts w:ascii="Times New Roman" w:hAnsi="Times New Roman" w:cs="Times New Roman"/>
          <w:sz w:val="26"/>
          <w:szCs w:val="26"/>
        </w:rPr>
        <w:t>Under the approach proposed by the Company, Contributions and Advances paid by an applicant would not be grossed-up for the Federal and State income taxes payable on those amounts (a full gross-up) or for the time-value of money difference between the tax payable by the Company upon receipt of a contribution or advance and the future depreciation deductions it will receive with respect to the property funded by the contributions or advance.  Amounts refunded by the Company would also not be subject to a gross-up.  The tax paid by the Company would be recorded as a tax asset, would reduce accumulated deferred income taxes, and would reverse over the depreciable life of the asset funded by the Contribution or Advance.</w:t>
      </w:r>
    </w:p>
    <w:p w14:paraId="2BA13E08" w14:textId="7FC7AE16" w:rsidR="00F76975" w:rsidRPr="009F73B0" w:rsidRDefault="00F76975" w:rsidP="00723B1F">
      <w:pPr>
        <w:spacing w:after="0" w:line="360" w:lineRule="auto"/>
        <w:contextualSpacing/>
        <w:rPr>
          <w:rFonts w:ascii="Times New Roman" w:eastAsia="Times New Roman" w:hAnsi="Times New Roman" w:cs="Times New Roman"/>
          <w:sz w:val="26"/>
          <w:szCs w:val="26"/>
        </w:rPr>
      </w:pPr>
    </w:p>
    <w:p w14:paraId="2A6E8DF6" w14:textId="605DA08E" w:rsidR="00F76975" w:rsidRPr="009F73B0" w:rsidRDefault="00F76975" w:rsidP="00723B1F">
      <w:pPr>
        <w:pStyle w:val="Heading2"/>
        <w:spacing w:before="0" w:line="360" w:lineRule="auto"/>
        <w:ind w:left="0"/>
        <w:contextualSpacing/>
        <w:rPr>
          <w:rFonts w:ascii="Times New Roman" w:eastAsia="Times New Roman" w:hAnsi="Times New Roman" w:cs="Times New Roman"/>
          <w:b/>
          <w:bCs/>
          <w:color w:val="auto"/>
        </w:rPr>
      </w:pPr>
      <w:r w:rsidRPr="009F73B0">
        <w:rPr>
          <w:rFonts w:ascii="Times New Roman" w:eastAsia="Times New Roman" w:hAnsi="Times New Roman" w:cs="Times New Roman"/>
          <w:b/>
          <w:bCs/>
          <w:color w:val="auto"/>
        </w:rPr>
        <w:t>February 2019 Order</w:t>
      </w:r>
    </w:p>
    <w:p w14:paraId="02E54D58" w14:textId="130DDB68" w:rsidR="00F76975" w:rsidRPr="009F73B0" w:rsidRDefault="00F76975" w:rsidP="00723B1F">
      <w:pPr>
        <w:keepNext/>
        <w:keepLines/>
        <w:spacing w:after="0" w:line="360" w:lineRule="auto"/>
        <w:contextualSpacing/>
        <w:rPr>
          <w:rFonts w:ascii="Times New Roman" w:hAnsi="Times New Roman" w:cs="Times New Roman"/>
          <w:sz w:val="26"/>
          <w:szCs w:val="26"/>
        </w:rPr>
      </w:pPr>
    </w:p>
    <w:p w14:paraId="15A6D843" w14:textId="374DD654" w:rsidR="00F76975" w:rsidRPr="009F73B0" w:rsidRDefault="00680F5E" w:rsidP="00723B1F">
      <w:pPr>
        <w:spacing w:after="0" w:line="360" w:lineRule="auto"/>
        <w:ind w:firstLine="1440"/>
        <w:contextualSpacing/>
        <w:rPr>
          <w:rFonts w:ascii="Times New Roman" w:hAnsi="Times New Roman" w:cs="Times New Roman"/>
          <w:iCs/>
          <w:sz w:val="26"/>
          <w:szCs w:val="26"/>
        </w:rPr>
      </w:pPr>
      <w:r w:rsidRPr="009F73B0">
        <w:rPr>
          <w:rFonts w:ascii="Times New Roman" w:hAnsi="Times New Roman" w:cs="Times New Roman"/>
          <w:sz w:val="26"/>
          <w:szCs w:val="26"/>
        </w:rPr>
        <w:t xml:space="preserve">In our </w:t>
      </w:r>
      <w:r w:rsidRPr="009F73B0">
        <w:rPr>
          <w:rFonts w:ascii="Times New Roman" w:hAnsi="Times New Roman" w:cs="Times New Roman"/>
          <w:i/>
          <w:sz w:val="26"/>
          <w:szCs w:val="26"/>
        </w:rPr>
        <w:t>February 2019 Order</w:t>
      </w:r>
      <w:r w:rsidR="00022E3B" w:rsidRPr="009F73B0">
        <w:rPr>
          <w:rFonts w:ascii="Times New Roman" w:hAnsi="Times New Roman" w:cs="Times New Roman"/>
          <w:iCs/>
          <w:sz w:val="26"/>
          <w:szCs w:val="26"/>
        </w:rPr>
        <w:t xml:space="preserve"> we adopted ALJ </w:t>
      </w:r>
      <w:proofErr w:type="spellStart"/>
      <w:r w:rsidR="00022E3B" w:rsidRPr="009F73B0">
        <w:rPr>
          <w:rFonts w:ascii="Times New Roman" w:hAnsi="Times New Roman" w:cs="Times New Roman"/>
          <w:iCs/>
          <w:sz w:val="26"/>
          <w:szCs w:val="26"/>
        </w:rPr>
        <w:t>Guhl’s</w:t>
      </w:r>
      <w:proofErr w:type="spellEnd"/>
      <w:r w:rsidR="00022E3B" w:rsidRPr="009F73B0">
        <w:rPr>
          <w:rFonts w:ascii="Times New Roman" w:hAnsi="Times New Roman" w:cs="Times New Roman"/>
          <w:iCs/>
          <w:sz w:val="26"/>
          <w:szCs w:val="26"/>
        </w:rPr>
        <w:t xml:space="preserve"> recommendation to deny PAWC’s proposed Supplement No. 6 because we found that PAWC’s proposal </w:t>
      </w:r>
      <w:r w:rsidR="00022E3B" w:rsidRPr="009F73B0">
        <w:rPr>
          <w:rFonts w:ascii="Times New Roman" w:hAnsi="Times New Roman" w:cs="Times New Roman"/>
          <w:iCs/>
          <w:sz w:val="26"/>
          <w:szCs w:val="26"/>
        </w:rPr>
        <w:lastRenderedPageBreak/>
        <w:t xml:space="preserve">would fail to produce just and reasonable rates.  </w:t>
      </w:r>
      <w:r w:rsidR="00373711" w:rsidRPr="009F73B0">
        <w:rPr>
          <w:rFonts w:ascii="Times New Roman" w:hAnsi="Times New Roman" w:cs="Times New Roman"/>
          <w:iCs/>
          <w:sz w:val="26"/>
          <w:szCs w:val="26"/>
        </w:rPr>
        <w:t xml:space="preserve">In making this finding, we determined that based on the record developed in this proceeding, PAWC’s proposed use of the no gross-up method would inappropriately shift the financial burden associated with taxes on Contributions and Advances to the Company’s existing water and wastewater customers.  In contrast, we found that the gross-up method appropriately places the financial burden on contributors and new customers because they are the ones that will experience a benefit from new projects.  We rejected the arguments of PAWC and PBA, </w:t>
      </w:r>
      <w:r w:rsidR="00373711" w:rsidRPr="009F73B0">
        <w:rPr>
          <w:rFonts w:ascii="Times New Roman" w:hAnsi="Times New Roman" w:cs="Times New Roman"/>
          <w:i/>
          <w:sz w:val="26"/>
          <w:szCs w:val="26"/>
        </w:rPr>
        <w:t>inter alia</w:t>
      </w:r>
      <w:r w:rsidR="00A72A02">
        <w:rPr>
          <w:rFonts w:ascii="Times New Roman" w:hAnsi="Times New Roman" w:cs="Times New Roman"/>
          <w:iCs/>
          <w:sz w:val="26"/>
          <w:szCs w:val="26"/>
        </w:rPr>
        <w:t>:</w:t>
      </w:r>
      <w:r w:rsidR="00373711" w:rsidRPr="00723B1F">
        <w:rPr>
          <w:rFonts w:ascii="Times New Roman" w:hAnsi="Times New Roman" w:cs="Times New Roman"/>
          <w:iCs/>
          <w:sz w:val="26"/>
          <w:szCs w:val="26"/>
        </w:rPr>
        <w:t xml:space="preserve"> </w:t>
      </w:r>
      <w:r w:rsidR="00373711" w:rsidRPr="009F73B0">
        <w:rPr>
          <w:rFonts w:ascii="Times New Roman" w:hAnsi="Times New Roman" w:cs="Times New Roman"/>
          <w:iCs/>
          <w:sz w:val="26"/>
          <w:szCs w:val="26"/>
        </w:rPr>
        <w:t>(1) that charging the tax associated with Contribut</w:t>
      </w:r>
      <w:r w:rsidR="00C04831">
        <w:rPr>
          <w:rFonts w:ascii="Times New Roman" w:hAnsi="Times New Roman" w:cs="Times New Roman"/>
          <w:iCs/>
          <w:sz w:val="26"/>
          <w:szCs w:val="26"/>
        </w:rPr>
        <w:t>ions and Advances to contributors via the gross-up method</w:t>
      </w:r>
      <w:r w:rsidR="00373711" w:rsidRPr="009F73B0">
        <w:rPr>
          <w:rFonts w:ascii="Times New Roman" w:hAnsi="Times New Roman" w:cs="Times New Roman"/>
          <w:iCs/>
          <w:sz w:val="26"/>
          <w:szCs w:val="26"/>
        </w:rPr>
        <w:t xml:space="preserve"> will cause the amount of contributions received to decrease or the addition of new customers to decline; (2) that directing water and wastewater utilities to employ the gross-up method will cause competitive disadvantages; and (3) that imposing the gross-up method will be detrimental to economic development.  </w:t>
      </w:r>
      <w:r w:rsidR="004D55EF" w:rsidRPr="009F73B0">
        <w:rPr>
          <w:rFonts w:ascii="Times New Roman" w:hAnsi="Times New Roman" w:cs="Times New Roman"/>
          <w:i/>
          <w:sz w:val="26"/>
          <w:szCs w:val="26"/>
        </w:rPr>
        <w:t>February 2019 Order</w:t>
      </w:r>
      <w:r w:rsidR="004D55EF" w:rsidRPr="009F73B0">
        <w:rPr>
          <w:rFonts w:ascii="Times New Roman" w:hAnsi="Times New Roman" w:cs="Times New Roman"/>
          <w:iCs/>
          <w:sz w:val="26"/>
          <w:szCs w:val="26"/>
        </w:rPr>
        <w:t xml:space="preserve"> at 29-34.</w:t>
      </w:r>
      <w:r w:rsidR="00373711" w:rsidRPr="009F73B0">
        <w:rPr>
          <w:rFonts w:ascii="Times New Roman" w:hAnsi="Times New Roman" w:cs="Times New Roman"/>
          <w:iCs/>
          <w:sz w:val="26"/>
          <w:szCs w:val="26"/>
        </w:rPr>
        <w:t xml:space="preserve"> </w:t>
      </w:r>
    </w:p>
    <w:p w14:paraId="4B20A690" w14:textId="5CDFC98D" w:rsidR="00F76975" w:rsidRPr="009F73B0" w:rsidRDefault="00F76975" w:rsidP="00723B1F">
      <w:pPr>
        <w:spacing w:after="0" w:line="360" w:lineRule="auto"/>
        <w:contextualSpacing/>
        <w:rPr>
          <w:rFonts w:ascii="Times New Roman" w:hAnsi="Times New Roman" w:cs="Times New Roman"/>
          <w:sz w:val="26"/>
          <w:szCs w:val="26"/>
        </w:rPr>
      </w:pPr>
    </w:p>
    <w:p w14:paraId="4F07A156" w14:textId="1A60F2EE" w:rsidR="004D55EF" w:rsidRDefault="004D55EF" w:rsidP="00CF1E93">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In directing PAWC to continue to employ the gross-up method, we stated that we would continue to apply the flexible policy of allowing water and wastewater utilities to select one of the following gross up methodologies: OTS Method No. 2, OTS Modified Method No. 2, or OTS Method No. 5, as outlined in our </w:t>
      </w:r>
      <w:r w:rsidRPr="009F73B0">
        <w:rPr>
          <w:rFonts w:ascii="Times New Roman" w:hAnsi="Times New Roman" w:cs="Times New Roman"/>
          <w:i/>
          <w:iCs/>
          <w:sz w:val="26"/>
          <w:szCs w:val="26"/>
        </w:rPr>
        <w:t>TRA 86 Order</w:t>
      </w:r>
      <w:r w:rsidRPr="009F73B0">
        <w:rPr>
          <w:rFonts w:ascii="Times New Roman" w:hAnsi="Times New Roman" w:cs="Times New Roman"/>
          <w:sz w:val="26"/>
          <w:szCs w:val="26"/>
        </w:rPr>
        <w:t>.  Additionally, we modified the ALJ’s recommendation by directing the Company to apply the gross-up method retroactively to the January 1, 2018</w:t>
      </w:r>
      <w:r w:rsidR="005D0C9A">
        <w:rPr>
          <w:rFonts w:ascii="Times New Roman" w:hAnsi="Times New Roman" w:cs="Times New Roman"/>
          <w:sz w:val="26"/>
          <w:szCs w:val="26"/>
        </w:rPr>
        <w:t>,</w:t>
      </w:r>
      <w:r w:rsidRPr="009F73B0">
        <w:rPr>
          <w:rFonts w:ascii="Times New Roman" w:hAnsi="Times New Roman" w:cs="Times New Roman"/>
          <w:sz w:val="26"/>
          <w:szCs w:val="26"/>
        </w:rPr>
        <w:t xml:space="preserve"> effective date of the TCJA.  Finally, we stated that PAWC may employ the no gross-up method for the limited circumstance in which it receives Contributions and Advances from government entities, given that doing </w:t>
      </w:r>
      <w:r w:rsidR="00133BF7" w:rsidRPr="009F73B0">
        <w:rPr>
          <w:rFonts w:ascii="Times New Roman" w:hAnsi="Times New Roman" w:cs="Times New Roman"/>
          <w:sz w:val="26"/>
          <w:szCs w:val="26"/>
        </w:rPr>
        <w:t>so</w:t>
      </w:r>
      <w:r w:rsidRPr="009F73B0">
        <w:rPr>
          <w:rFonts w:ascii="Times New Roman" w:hAnsi="Times New Roman" w:cs="Times New Roman"/>
          <w:sz w:val="26"/>
          <w:szCs w:val="26"/>
        </w:rPr>
        <w:t xml:space="preserve"> would be consistent with the public policy to facilitate government initiatives that promote public health, environmental quality, and economic development.  </w:t>
      </w:r>
      <w:r w:rsidRPr="009F73B0">
        <w:rPr>
          <w:rFonts w:ascii="Times New Roman" w:hAnsi="Times New Roman" w:cs="Times New Roman"/>
          <w:i/>
          <w:iCs/>
          <w:sz w:val="26"/>
          <w:szCs w:val="26"/>
        </w:rPr>
        <w:t xml:space="preserve">February 2019 Order </w:t>
      </w:r>
      <w:r w:rsidRPr="009F73B0">
        <w:rPr>
          <w:rFonts w:ascii="Times New Roman" w:hAnsi="Times New Roman" w:cs="Times New Roman"/>
          <w:sz w:val="26"/>
          <w:szCs w:val="26"/>
        </w:rPr>
        <w:t>at 38</w:t>
      </w:r>
      <w:r w:rsidR="00895F27">
        <w:rPr>
          <w:rFonts w:ascii="Times New Roman" w:hAnsi="Times New Roman" w:cs="Times New Roman"/>
          <w:sz w:val="26"/>
          <w:szCs w:val="26"/>
        </w:rPr>
        <w:t>-</w:t>
      </w:r>
      <w:r w:rsidRPr="009F73B0">
        <w:rPr>
          <w:rFonts w:ascii="Times New Roman" w:hAnsi="Times New Roman" w:cs="Times New Roman"/>
          <w:sz w:val="26"/>
          <w:szCs w:val="26"/>
        </w:rPr>
        <w:t xml:space="preserve"> 42. </w:t>
      </w:r>
    </w:p>
    <w:p w14:paraId="353691A0" w14:textId="77777777" w:rsidR="0082085A" w:rsidRPr="009F73B0" w:rsidRDefault="0082085A" w:rsidP="00723B1F">
      <w:pPr>
        <w:spacing w:after="0" w:line="360" w:lineRule="auto"/>
        <w:ind w:firstLine="1440"/>
        <w:contextualSpacing/>
        <w:rPr>
          <w:rFonts w:ascii="Times New Roman" w:hAnsi="Times New Roman" w:cs="Times New Roman"/>
          <w:sz w:val="26"/>
          <w:szCs w:val="26"/>
        </w:rPr>
      </w:pPr>
    </w:p>
    <w:p w14:paraId="7A240F38" w14:textId="4F9F1986" w:rsidR="009E1F23" w:rsidRPr="009F73B0" w:rsidRDefault="009E1F23" w:rsidP="00723B1F">
      <w:pPr>
        <w:pStyle w:val="Heading1"/>
        <w:spacing w:before="0" w:line="360" w:lineRule="auto"/>
        <w:contextualSpacing/>
        <w:jc w:val="center"/>
        <w:rPr>
          <w:rFonts w:ascii="Times New Roman" w:eastAsia="Times New Roman" w:hAnsi="Times New Roman" w:cs="Times New Roman"/>
          <w:b/>
          <w:bCs/>
          <w:color w:val="auto"/>
          <w:sz w:val="26"/>
          <w:szCs w:val="26"/>
        </w:rPr>
      </w:pPr>
      <w:r w:rsidRPr="009F73B0">
        <w:rPr>
          <w:rFonts w:ascii="Times New Roman" w:eastAsia="Times New Roman" w:hAnsi="Times New Roman" w:cs="Times New Roman"/>
          <w:b/>
          <w:bCs/>
          <w:color w:val="auto"/>
          <w:sz w:val="26"/>
          <w:szCs w:val="26"/>
        </w:rPr>
        <w:lastRenderedPageBreak/>
        <w:t>Discussion</w:t>
      </w:r>
    </w:p>
    <w:p w14:paraId="5468DD8A" w14:textId="77777777" w:rsidR="009E1F23" w:rsidRPr="009F73B0" w:rsidRDefault="009E1F23" w:rsidP="00723B1F">
      <w:pPr>
        <w:keepNext/>
        <w:keepLines/>
        <w:spacing w:after="0" w:line="360" w:lineRule="auto"/>
        <w:contextualSpacing/>
        <w:rPr>
          <w:rFonts w:ascii="Times New Roman" w:eastAsia="Times New Roman" w:hAnsi="Times New Roman" w:cs="Times New Roman"/>
          <w:sz w:val="26"/>
          <w:szCs w:val="26"/>
        </w:rPr>
      </w:pPr>
    </w:p>
    <w:p w14:paraId="5607DD42" w14:textId="5CBF550E" w:rsidR="00334263" w:rsidRPr="009F73B0" w:rsidRDefault="00334263" w:rsidP="00723B1F">
      <w:pPr>
        <w:spacing w:after="0" w:line="360" w:lineRule="auto"/>
        <w:ind w:firstLine="14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As a preliminary matter, we note that any </w:t>
      </w:r>
      <w:r w:rsidR="00600BA1" w:rsidRPr="009F73B0">
        <w:rPr>
          <w:rFonts w:ascii="Times New Roman" w:eastAsia="Times New Roman" w:hAnsi="Times New Roman" w:cs="Times New Roman"/>
          <w:sz w:val="26"/>
          <w:szCs w:val="26"/>
        </w:rPr>
        <w:t>argument</w:t>
      </w:r>
      <w:r w:rsidRPr="009F73B0">
        <w:rPr>
          <w:rFonts w:ascii="Times New Roman" w:eastAsia="Times New Roman" w:hAnsi="Times New Roman" w:cs="Times New Roman"/>
          <w:sz w:val="26"/>
          <w:szCs w:val="26"/>
        </w:rPr>
        <w:t xml:space="preserve"> that we do not specifically </w:t>
      </w:r>
      <w:r w:rsidR="00C92AD7">
        <w:rPr>
          <w:rFonts w:ascii="Times New Roman" w:eastAsia="Times New Roman" w:hAnsi="Times New Roman" w:cs="Times New Roman"/>
          <w:sz w:val="26"/>
          <w:szCs w:val="26"/>
        </w:rPr>
        <w:t>discuss</w:t>
      </w:r>
      <w:r w:rsidR="00C92AD7" w:rsidRPr="009F73B0">
        <w:rPr>
          <w:rFonts w:ascii="Times New Roman" w:eastAsia="Times New Roman" w:hAnsi="Times New Roman" w:cs="Times New Roman"/>
          <w:sz w:val="26"/>
          <w:szCs w:val="26"/>
        </w:rPr>
        <w:t xml:space="preserve"> </w:t>
      </w:r>
      <w:r w:rsidRPr="009F73B0">
        <w:rPr>
          <w:rFonts w:ascii="Times New Roman" w:eastAsia="Times New Roman" w:hAnsi="Times New Roman" w:cs="Times New Roman"/>
          <w:sz w:val="26"/>
          <w:szCs w:val="26"/>
        </w:rPr>
        <w:t xml:space="preserve">shall be deemed to have been duly considered and denied without further discussion.  We are not required to consider expressly or at length each contention or argument raised by the parties.  </w:t>
      </w:r>
      <w:r w:rsidRPr="009F73B0">
        <w:rPr>
          <w:rFonts w:ascii="Times New Roman" w:eastAsia="Times New Roman" w:hAnsi="Times New Roman" w:cs="Times New Roman"/>
          <w:i/>
          <w:sz w:val="26"/>
          <w:szCs w:val="26"/>
        </w:rPr>
        <w:t>Consolidated Rail Corp. v. Pa. PUC</w:t>
      </w:r>
      <w:r w:rsidRPr="009F73B0">
        <w:rPr>
          <w:rFonts w:ascii="Times New Roman" w:eastAsia="Times New Roman" w:hAnsi="Times New Roman" w:cs="Times New Roman"/>
          <w:sz w:val="26"/>
          <w:szCs w:val="26"/>
        </w:rPr>
        <w:t xml:space="preserve">, 625 A.2d 741 (Pa. </w:t>
      </w:r>
      <w:proofErr w:type="spellStart"/>
      <w:r w:rsidRPr="009F73B0">
        <w:rPr>
          <w:rFonts w:ascii="Times New Roman" w:eastAsia="Times New Roman" w:hAnsi="Times New Roman" w:cs="Times New Roman"/>
          <w:sz w:val="26"/>
          <w:szCs w:val="26"/>
        </w:rPr>
        <w:t>Cmwlth</w:t>
      </w:r>
      <w:proofErr w:type="spellEnd"/>
      <w:r w:rsidRPr="009F73B0">
        <w:rPr>
          <w:rFonts w:ascii="Times New Roman" w:eastAsia="Times New Roman" w:hAnsi="Times New Roman" w:cs="Times New Roman"/>
          <w:sz w:val="26"/>
          <w:szCs w:val="26"/>
        </w:rPr>
        <w:t xml:space="preserve">. 1993); </w:t>
      </w:r>
      <w:r w:rsidRPr="009F73B0">
        <w:rPr>
          <w:rFonts w:ascii="Times New Roman" w:eastAsia="Times New Roman" w:hAnsi="Times New Roman" w:cs="Times New Roman"/>
          <w:i/>
          <w:sz w:val="26"/>
          <w:szCs w:val="26"/>
        </w:rPr>
        <w:t>also see,</w:t>
      </w:r>
      <w:r w:rsidRPr="009F73B0">
        <w:rPr>
          <w:rFonts w:ascii="Times New Roman" w:eastAsia="Times New Roman" w:hAnsi="Times New Roman" w:cs="Times New Roman"/>
          <w:sz w:val="26"/>
          <w:szCs w:val="26"/>
        </w:rPr>
        <w:t xml:space="preserve"> </w:t>
      </w:r>
      <w:r w:rsidRPr="009F73B0">
        <w:rPr>
          <w:rFonts w:ascii="Times New Roman" w:eastAsia="Times New Roman" w:hAnsi="Times New Roman" w:cs="Times New Roman"/>
          <w:i/>
          <w:sz w:val="26"/>
          <w:szCs w:val="26"/>
        </w:rPr>
        <w:t>generally</w:t>
      </w:r>
      <w:r w:rsidRPr="009F73B0">
        <w:rPr>
          <w:rFonts w:ascii="Times New Roman" w:eastAsia="Times New Roman" w:hAnsi="Times New Roman" w:cs="Times New Roman"/>
          <w:sz w:val="26"/>
          <w:szCs w:val="26"/>
        </w:rPr>
        <w:t xml:space="preserve">, </w:t>
      </w:r>
      <w:r w:rsidRPr="009F73B0">
        <w:rPr>
          <w:rFonts w:ascii="Times New Roman" w:eastAsia="Times New Roman" w:hAnsi="Times New Roman" w:cs="Times New Roman"/>
          <w:i/>
          <w:sz w:val="26"/>
          <w:szCs w:val="26"/>
        </w:rPr>
        <w:t>University of Pennsylvania v. Pa. PUC</w:t>
      </w:r>
      <w:r w:rsidRPr="009F73B0">
        <w:rPr>
          <w:rFonts w:ascii="Times New Roman" w:eastAsia="Times New Roman" w:hAnsi="Times New Roman" w:cs="Times New Roman"/>
          <w:sz w:val="26"/>
          <w:szCs w:val="26"/>
        </w:rPr>
        <w:t>, 485</w:t>
      </w:r>
      <w:r w:rsidR="00551D54">
        <w:rPr>
          <w:rFonts w:ascii="Times New Roman" w:eastAsia="Times New Roman" w:hAnsi="Times New Roman" w:cs="Times New Roman"/>
          <w:sz w:val="26"/>
          <w:szCs w:val="26"/>
        </w:rPr>
        <w:t> </w:t>
      </w:r>
      <w:r w:rsidRPr="009F73B0">
        <w:rPr>
          <w:rFonts w:ascii="Times New Roman" w:eastAsia="Times New Roman" w:hAnsi="Times New Roman" w:cs="Times New Roman"/>
          <w:sz w:val="26"/>
          <w:szCs w:val="26"/>
        </w:rPr>
        <w:t xml:space="preserve">A.2d 1217 (Pa. </w:t>
      </w:r>
      <w:proofErr w:type="spellStart"/>
      <w:r w:rsidRPr="009F73B0">
        <w:rPr>
          <w:rFonts w:ascii="Times New Roman" w:eastAsia="Times New Roman" w:hAnsi="Times New Roman" w:cs="Times New Roman"/>
          <w:sz w:val="26"/>
          <w:szCs w:val="26"/>
        </w:rPr>
        <w:t>Cmwlth</w:t>
      </w:r>
      <w:proofErr w:type="spellEnd"/>
      <w:r w:rsidRPr="009F73B0">
        <w:rPr>
          <w:rFonts w:ascii="Times New Roman" w:eastAsia="Times New Roman" w:hAnsi="Times New Roman" w:cs="Times New Roman"/>
          <w:sz w:val="26"/>
          <w:szCs w:val="26"/>
        </w:rPr>
        <w:t>. 1984).</w:t>
      </w:r>
    </w:p>
    <w:p w14:paraId="06C01CEC" w14:textId="77777777" w:rsidR="00334263" w:rsidRPr="009F73B0" w:rsidRDefault="00334263" w:rsidP="00723B1F">
      <w:pPr>
        <w:spacing w:after="0" w:line="360" w:lineRule="auto"/>
        <w:ind w:firstLine="1440"/>
        <w:contextualSpacing/>
        <w:rPr>
          <w:rFonts w:ascii="Times New Roman" w:eastAsia="Times New Roman" w:hAnsi="Times New Roman" w:cs="Times New Roman"/>
          <w:sz w:val="26"/>
          <w:szCs w:val="26"/>
        </w:rPr>
      </w:pPr>
    </w:p>
    <w:p w14:paraId="34741180" w14:textId="1E4D4E06" w:rsidR="009E1F23" w:rsidRPr="009F73B0" w:rsidRDefault="004F15AD" w:rsidP="00723B1F">
      <w:pPr>
        <w:pStyle w:val="Heading2"/>
        <w:spacing w:before="0" w:line="360" w:lineRule="auto"/>
        <w:ind w:left="0"/>
        <w:contextualSpacing/>
        <w:rPr>
          <w:rFonts w:ascii="Times New Roman" w:hAnsi="Times New Roman" w:cs="Times New Roman"/>
          <w:b/>
          <w:bCs/>
          <w:color w:val="auto"/>
        </w:rPr>
      </w:pPr>
      <w:r w:rsidRPr="009F73B0">
        <w:rPr>
          <w:rFonts w:ascii="Times New Roman" w:hAnsi="Times New Roman" w:cs="Times New Roman"/>
          <w:b/>
          <w:bCs/>
          <w:color w:val="auto"/>
        </w:rPr>
        <w:t>Standard for Reconsideration</w:t>
      </w:r>
    </w:p>
    <w:p w14:paraId="63D0242E" w14:textId="77777777" w:rsidR="009E1F23" w:rsidRPr="009F73B0" w:rsidRDefault="009E1F23" w:rsidP="00723B1F">
      <w:pPr>
        <w:keepNext/>
        <w:keepLines/>
        <w:spacing w:after="0" w:line="360" w:lineRule="auto"/>
        <w:ind w:firstLine="1440"/>
        <w:contextualSpacing/>
        <w:rPr>
          <w:rFonts w:ascii="Times New Roman" w:hAnsi="Times New Roman" w:cs="Times New Roman"/>
          <w:sz w:val="26"/>
          <w:szCs w:val="26"/>
        </w:rPr>
      </w:pPr>
    </w:p>
    <w:p w14:paraId="4434C7F7" w14:textId="728770F1" w:rsidR="00C92AD7" w:rsidRPr="00C92AD7" w:rsidRDefault="00C92AD7">
      <w:pPr>
        <w:spacing w:after="0" w:line="360" w:lineRule="auto"/>
        <w:ind w:firstLine="1440"/>
        <w:rPr>
          <w:rFonts w:ascii="Times New Roman" w:eastAsia="Times New Roman" w:hAnsi="Times New Roman" w:cs="Times New Roman"/>
          <w:sz w:val="26"/>
          <w:szCs w:val="20"/>
        </w:rPr>
      </w:pPr>
      <w:r w:rsidRPr="00C92AD7">
        <w:rPr>
          <w:rFonts w:ascii="Times New Roman" w:eastAsia="Times New Roman" w:hAnsi="Times New Roman" w:cs="Times New Roman"/>
          <w:sz w:val="26"/>
          <w:szCs w:val="20"/>
        </w:rPr>
        <w:t>The Code establishes a party’s right to seek relief following the issuance of our final decisions pursuant to Subsections 703(f) and (g), 66 Pa.</w:t>
      </w:r>
      <w:r w:rsidR="001319F8">
        <w:rPr>
          <w:rFonts w:ascii="Times New Roman" w:eastAsia="Times New Roman" w:hAnsi="Times New Roman" w:cs="Times New Roman"/>
          <w:sz w:val="26"/>
          <w:szCs w:val="20"/>
        </w:rPr>
        <w:t xml:space="preserve"> </w:t>
      </w:r>
      <w:r w:rsidRPr="00C92AD7">
        <w:rPr>
          <w:rFonts w:ascii="Times New Roman" w:eastAsia="Times New Roman" w:hAnsi="Times New Roman" w:cs="Times New Roman"/>
          <w:sz w:val="26"/>
          <w:szCs w:val="20"/>
        </w:rPr>
        <w:t xml:space="preserve">C.S. § 703(f) and § 703(g), relating to </w:t>
      </w:r>
      <w:proofErr w:type="spellStart"/>
      <w:r w:rsidRPr="00C92AD7">
        <w:rPr>
          <w:rFonts w:ascii="Times New Roman" w:eastAsia="Times New Roman" w:hAnsi="Times New Roman" w:cs="Times New Roman"/>
          <w:sz w:val="26"/>
          <w:szCs w:val="20"/>
        </w:rPr>
        <w:t>rehearings</w:t>
      </w:r>
      <w:proofErr w:type="spellEnd"/>
      <w:r w:rsidRPr="00C92AD7">
        <w:rPr>
          <w:rFonts w:ascii="Times New Roman" w:eastAsia="Times New Roman" w:hAnsi="Times New Roman" w:cs="Times New Roman"/>
          <w:sz w:val="26"/>
          <w:szCs w:val="20"/>
        </w:rPr>
        <w:t>, as well as the rescission and amendment of orders.  Such requests for relief must be consistent with Section 5.572 of our Regulations, 52 Pa. Code § 5.572, relating to petitions for relief following the issuance of a final decision.</w:t>
      </w:r>
    </w:p>
    <w:p w14:paraId="37E82247" w14:textId="77777777" w:rsidR="00C92AD7" w:rsidRPr="00C92AD7" w:rsidRDefault="00C92AD7">
      <w:pPr>
        <w:widowControl w:val="0"/>
        <w:spacing w:after="0" w:line="360" w:lineRule="auto"/>
        <w:rPr>
          <w:rFonts w:ascii="Times New Roman" w:eastAsia="Times New Roman" w:hAnsi="Times New Roman" w:cs="Times New Roman"/>
          <w:sz w:val="26"/>
          <w:szCs w:val="20"/>
        </w:rPr>
      </w:pPr>
    </w:p>
    <w:p w14:paraId="5F77C593" w14:textId="77777777" w:rsidR="00C92AD7" w:rsidRPr="00C92AD7" w:rsidRDefault="00C92AD7">
      <w:pPr>
        <w:widowControl w:val="0"/>
        <w:spacing w:after="0" w:line="360" w:lineRule="auto"/>
        <w:ind w:firstLine="1440"/>
        <w:rPr>
          <w:rFonts w:ascii="Times New Roman" w:eastAsia="Times New Roman" w:hAnsi="Times New Roman" w:cs="Times New Roman"/>
          <w:sz w:val="26"/>
          <w:szCs w:val="20"/>
        </w:rPr>
      </w:pPr>
      <w:r w:rsidRPr="00C92AD7">
        <w:rPr>
          <w:rFonts w:ascii="Times New Roman" w:eastAsia="Times New Roman" w:hAnsi="Times New Roman" w:cs="Times New Roman"/>
          <w:sz w:val="26"/>
          <w:szCs w:val="20"/>
        </w:rPr>
        <w:t xml:space="preserve">The standards for granting a Petition for Reconsideration were set forth in </w:t>
      </w:r>
      <w:proofErr w:type="spellStart"/>
      <w:r w:rsidRPr="00C92AD7">
        <w:rPr>
          <w:rFonts w:ascii="Times New Roman" w:eastAsia="Times New Roman" w:hAnsi="Times New Roman" w:cs="Times New Roman"/>
          <w:i/>
          <w:sz w:val="26"/>
          <w:szCs w:val="20"/>
        </w:rPr>
        <w:t>Duick</w:t>
      </w:r>
      <w:proofErr w:type="spellEnd"/>
      <w:r w:rsidRPr="00C92AD7">
        <w:rPr>
          <w:rFonts w:ascii="Times New Roman" w:eastAsia="Times New Roman" w:hAnsi="Times New Roman" w:cs="Times New Roman"/>
          <w:i/>
          <w:sz w:val="26"/>
          <w:szCs w:val="20"/>
        </w:rPr>
        <w:t> v. Pennsylvania Gas and Water Company</w:t>
      </w:r>
      <w:r w:rsidRPr="00C92AD7">
        <w:rPr>
          <w:rFonts w:ascii="Times New Roman" w:eastAsia="Times New Roman" w:hAnsi="Times New Roman" w:cs="Times New Roman"/>
          <w:sz w:val="26"/>
          <w:szCs w:val="20"/>
        </w:rPr>
        <w:t xml:space="preserve">, </w:t>
      </w:r>
      <w:r w:rsidRPr="00C92AD7">
        <w:rPr>
          <w:rFonts w:ascii="Times New Roman" w:eastAsia="Times New Roman" w:hAnsi="Times New Roman" w:cs="Times New Roman"/>
          <w:sz w:val="26"/>
          <w:szCs w:val="24"/>
        </w:rPr>
        <w:t>56 Pa. P.U.C. 553</w:t>
      </w:r>
      <w:r w:rsidRPr="00C92AD7">
        <w:rPr>
          <w:rFonts w:ascii="Times New Roman" w:eastAsia="Times New Roman" w:hAnsi="Times New Roman" w:cs="Times New Roman"/>
          <w:sz w:val="26"/>
          <w:szCs w:val="20"/>
        </w:rPr>
        <w:t xml:space="preserve"> (1982):</w:t>
      </w:r>
    </w:p>
    <w:p w14:paraId="10E372B2" w14:textId="77777777" w:rsidR="00C92AD7" w:rsidRPr="00C92AD7" w:rsidRDefault="00C92AD7">
      <w:pPr>
        <w:spacing w:after="0" w:line="240" w:lineRule="auto"/>
        <w:rPr>
          <w:rFonts w:ascii="Times New Roman" w:eastAsia="Times New Roman" w:hAnsi="Times New Roman" w:cs="Times New Roman"/>
          <w:sz w:val="26"/>
          <w:szCs w:val="20"/>
        </w:rPr>
      </w:pPr>
    </w:p>
    <w:p w14:paraId="00B3C56C" w14:textId="77777777" w:rsidR="00C92AD7" w:rsidRPr="00C92AD7" w:rsidRDefault="00C92AD7">
      <w:pPr>
        <w:keepNext/>
        <w:spacing w:after="0" w:line="240" w:lineRule="auto"/>
        <w:ind w:left="1440" w:right="1440"/>
        <w:rPr>
          <w:rFonts w:ascii="Times New Roman" w:eastAsia="Times New Roman" w:hAnsi="Times New Roman" w:cs="Times New Roman"/>
          <w:sz w:val="26"/>
          <w:szCs w:val="20"/>
        </w:rPr>
      </w:pPr>
      <w:r w:rsidRPr="00C92AD7">
        <w:rPr>
          <w:rFonts w:ascii="Times New Roman" w:eastAsia="Times New Roman" w:hAnsi="Times New Roman" w:cs="Times New Roman"/>
          <w:sz w:val="26"/>
          <w:szCs w:val="20"/>
        </w:rPr>
        <w:t xml:space="preserve">A Petition for Reconsideration, under the provisions of 66 Pa. C.S. § 703(g), may properly raise any matters designed to convince the Commission that it should exercise its discretion under this code section to rescind or amend a prior order in whole or in part.  In this regard, we agree with the court in the </w:t>
      </w:r>
      <w:r w:rsidRPr="00C92AD7">
        <w:rPr>
          <w:rFonts w:ascii="Times New Roman" w:eastAsia="Times New Roman" w:hAnsi="Times New Roman" w:cs="Times New Roman"/>
          <w:i/>
          <w:sz w:val="26"/>
          <w:szCs w:val="20"/>
        </w:rPr>
        <w:t>Pennsyl</w:t>
      </w:r>
      <w:r w:rsidRPr="00C92AD7">
        <w:rPr>
          <w:rFonts w:ascii="Times New Roman" w:eastAsia="Times New Roman" w:hAnsi="Times New Roman" w:cs="Times New Roman"/>
          <w:i/>
          <w:sz w:val="26"/>
          <w:szCs w:val="20"/>
        </w:rPr>
        <w:softHyphen/>
        <w:t>vania Railroad Company</w:t>
      </w:r>
      <w:r w:rsidRPr="00C92AD7">
        <w:rPr>
          <w:rFonts w:ascii="Times New Roman" w:eastAsia="Times New Roman" w:hAnsi="Times New Roman" w:cs="Times New Roman"/>
          <w:sz w:val="26"/>
          <w:szCs w:val="20"/>
        </w:rPr>
        <w:t xml:space="preserve"> case, wherein it was stated that “[p]arties . . . cannot be permitted by a second motion to review and reconsider, to raise the same questions which were specifically decided against them . . . .”  What we expect to see raised in such petitions are new and novel </w:t>
      </w:r>
      <w:r w:rsidRPr="00C92AD7">
        <w:rPr>
          <w:rFonts w:ascii="Times New Roman" w:eastAsia="Times New Roman" w:hAnsi="Times New Roman" w:cs="Times New Roman"/>
          <w:sz w:val="26"/>
          <w:szCs w:val="20"/>
        </w:rPr>
        <w:lastRenderedPageBreak/>
        <w:t>arguments, not previously heard, or considera</w:t>
      </w:r>
      <w:r w:rsidRPr="00C92AD7">
        <w:rPr>
          <w:rFonts w:ascii="Times New Roman" w:eastAsia="Times New Roman" w:hAnsi="Times New Roman" w:cs="Times New Roman"/>
          <w:sz w:val="26"/>
          <w:szCs w:val="20"/>
        </w:rPr>
        <w:softHyphen/>
        <w:t xml:space="preserve">tions which appear to have been overlooked by the Commission.  </w:t>
      </w:r>
    </w:p>
    <w:p w14:paraId="0BA980E7" w14:textId="77777777" w:rsidR="00C92AD7" w:rsidRPr="00C92AD7" w:rsidRDefault="00C92AD7" w:rsidP="00E264D3">
      <w:pPr>
        <w:keepNext/>
        <w:spacing w:after="0" w:line="360" w:lineRule="auto"/>
        <w:ind w:right="1440"/>
        <w:rPr>
          <w:rFonts w:ascii="Times New Roman" w:eastAsia="Times New Roman" w:hAnsi="Times New Roman" w:cs="Times New Roman"/>
          <w:sz w:val="26"/>
          <w:szCs w:val="20"/>
        </w:rPr>
      </w:pPr>
    </w:p>
    <w:p w14:paraId="00C2C808" w14:textId="77777777" w:rsidR="00C92AD7" w:rsidRPr="00C92AD7" w:rsidRDefault="00C92AD7" w:rsidP="005E6AD6">
      <w:pPr>
        <w:keepNext/>
        <w:spacing w:after="0" w:line="360" w:lineRule="auto"/>
        <w:rPr>
          <w:rFonts w:ascii="Times New Roman" w:eastAsia="Times New Roman" w:hAnsi="Times New Roman" w:cs="Times New Roman"/>
          <w:sz w:val="26"/>
          <w:szCs w:val="24"/>
        </w:rPr>
      </w:pPr>
      <w:proofErr w:type="spellStart"/>
      <w:r w:rsidRPr="00C92AD7">
        <w:rPr>
          <w:rFonts w:ascii="Times New Roman" w:eastAsia="Times New Roman" w:hAnsi="Times New Roman" w:cs="Times New Roman"/>
          <w:i/>
          <w:sz w:val="26"/>
          <w:szCs w:val="20"/>
        </w:rPr>
        <w:t>Duick</w:t>
      </w:r>
      <w:proofErr w:type="spellEnd"/>
      <w:r w:rsidRPr="005E6AD6">
        <w:rPr>
          <w:rFonts w:ascii="Times New Roman" w:eastAsia="Times New Roman" w:hAnsi="Times New Roman" w:cs="Times New Roman"/>
          <w:iCs/>
          <w:sz w:val="26"/>
          <w:szCs w:val="20"/>
        </w:rPr>
        <w:t xml:space="preserve">, </w:t>
      </w:r>
      <w:r w:rsidRPr="00C92AD7">
        <w:rPr>
          <w:rFonts w:ascii="Times New Roman" w:eastAsia="Times New Roman" w:hAnsi="Times New Roman" w:cs="Times New Roman"/>
          <w:sz w:val="26"/>
          <w:szCs w:val="24"/>
        </w:rPr>
        <w:t xml:space="preserve">56 Pa. P.U.C. at 559 (quoting </w:t>
      </w:r>
      <w:r w:rsidRPr="00C92AD7">
        <w:rPr>
          <w:rFonts w:ascii="Times New Roman" w:eastAsia="Times New Roman" w:hAnsi="Times New Roman" w:cs="Times New Roman"/>
          <w:i/>
          <w:sz w:val="26"/>
          <w:szCs w:val="24"/>
        </w:rPr>
        <w:t>Pennsylvania Railroad Co. v. Pennsylvania Public Service Commission</w:t>
      </w:r>
      <w:r w:rsidRPr="00C92AD7">
        <w:rPr>
          <w:rFonts w:ascii="Times New Roman" w:eastAsia="Times New Roman" w:hAnsi="Times New Roman" w:cs="Times New Roman"/>
          <w:sz w:val="26"/>
          <w:szCs w:val="24"/>
        </w:rPr>
        <w:t>, 179 A. 850, 854 (Pa. Super. Ct. 1935)).</w:t>
      </w:r>
    </w:p>
    <w:p w14:paraId="4B809D08" w14:textId="77777777" w:rsidR="00C92AD7" w:rsidRPr="00C92AD7" w:rsidRDefault="00C92AD7" w:rsidP="00E264D3">
      <w:pPr>
        <w:spacing w:after="0" w:line="480" w:lineRule="auto"/>
        <w:rPr>
          <w:rFonts w:ascii="Times New Roman" w:eastAsia="Times New Roman" w:hAnsi="Times New Roman" w:cs="Times New Roman"/>
          <w:sz w:val="26"/>
          <w:szCs w:val="20"/>
        </w:rPr>
      </w:pPr>
    </w:p>
    <w:p w14:paraId="20150DFE" w14:textId="168F20E3" w:rsidR="00C92AD7" w:rsidRPr="005E6AD6" w:rsidRDefault="00C92AD7" w:rsidP="002B2767">
      <w:pPr>
        <w:suppressAutoHyphens/>
        <w:spacing w:after="0" w:line="360" w:lineRule="auto"/>
        <w:ind w:firstLine="1440"/>
        <w:rPr>
          <w:rFonts w:ascii="Times New Roman" w:eastAsia="Times New Roman" w:hAnsi="Times New Roman" w:cs="Times New Roman"/>
          <w:color w:val="000000"/>
          <w:sz w:val="26"/>
          <w:szCs w:val="20"/>
          <w:u w:color="000000"/>
        </w:rPr>
      </w:pPr>
      <w:r w:rsidRPr="005E6AD6">
        <w:rPr>
          <w:rFonts w:ascii="Times New Roman" w:eastAsia="Times New Roman" w:hAnsi="Times New Roman" w:cs="Times New Roman"/>
          <w:color w:val="000000"/>
          <w:sz w:val="26"/>
          <w:szCs w:val="20"/>
          <w:u w:color="000000"/>
        </w:rPr>
        <w:t xml:space="preserve">Under the standards of </w:t>
      </w:r>
      <w:proofErr w:type="spellStart"/>
      <w:r w:rsidRPr="005E6AD6">
        <w:rPr>
          <w:rFonts w:ascii="Times New Roman" w:eastAsia="Times New Roman" w:hAnsi="Times New Roman" w:cs="Times New Roman"/>
          <w:i/>
          <w:color w:val="000000"/>
          <w:sz w:val="26"/>
          <w:szCs w:val="20"/>
          <w:u w:color="000000"/>
        </w:rPr>
        <w:t>Duick</w:t>
      </w:r>
      <w:proofErr w:type="spellEnd"/>
      <w:r w:rsidRPr="005E6AD6">
        <w:rPr>
          <w:rFonts w:ascii="Times New Roman" w:eastAsia="Times New Roman" w:hAnsi="Times New Roman" w:cs="Times New Roman"/>
          <w:color w:val="000000"/>
          <w:sz w:val="26"/>
          <w:szCs w:val="20"/>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spellStart"/>
      <w:r w:rsidRPr="005E6AD6">
        <w:rPr>
          <w:rFonts w:ascii="Times New Roman" w:eastAsia="Times New Roman" w:hAnsi="Times New Roman" w:cs="Times New Roman"/>
          <w:i/>
          <w:color w:val="000000"/>
          <w:sz w:val="26"/>
          <w:szCs w:val="20"/>
          <w:u w:color="000000"/>
        </w:rPr>
        <w:t>Duick</w:t>
      </w:r>
      <w:proofErr w:type="spellEnd"/>
      <w:r w:rsidRPr="005E6AD6">
        <w:rPr>
          <w:rFonts w:ascii="Times New Roman" w:eastAsia="Times New Roman" w:hAnsi="Times New Roman" w:cs="Times New Roman"/>
          <w:color w:val="000000"/>
          <w:sz w:val="26"/>
          <w:szCs w:val="20"/>
          <w:u w:color="000000"/>
        </w:rPr>
        <w:t>, 56 Pa. P.U.C. at 559.</w:t>
      </w:r>
    </w:p>
    <w:p w14:paraId="62C69AF2" w14:textId="77777777" w:rsidR="00C92AD7" w:rsidRPr="00C92AD7" w:rsidRDefault="00C92AD7">
      <w:pPr>
        <w:suppressAutoHyphens/>
        <w:spacing w:after="0" w:line="360" w:lineRule="auto"/>
        <w:rPr>
          <w:rFonts w:ascii="Times New Roman" w:eastAsia="Times New Roman" w:hAnsi="Times New Roman" w:cs="Times New Roman"/>
          <w:color w:val="000000"/>
          <w:spacing w:val="-3"/>
          <w:sz w:val="26"/>
          <w:szCs w:val="20"/>
          <w:u w:color="000000"/>
        </w:rPr>
      </w:pPr>
    </w:p>
    <w:p w14:paraId="78330F4D" w14:textId="471EAA37" w:rsidR="00C92AD7" w:rsidRDefault="00C92AD7">
      <w:pPr>
        <w:suppressAutoHyphens/>
        <w:spacing w:after="0" w:line="360" w:lineRule="auto"/>
        <w:ind w:firstLine="1440"/>
        <w:rPr>
          <w:rFonts w:ascii="Times New Roman" w:eastAsia="Times New Roman" w:hAnsi="Times New Roman" w:cs="Times New Roman"/>
          <w:i/>
          <w:iCs/>
          <w:sz w:val="26"/>
          <w:szCs w:val="26"/>
        </w:rPr>
      </w:pPr>
      <w:r w:rsidRPr="00C92AD7">
        <w:rPr>
          <w:rFonts w:ascii="Times New Roman" w:eastAsia="Times New Roman" w:hAnsi="Times New Roman" w:cs="Times New Roman"/>
          <w:sz w:val="26"/>
          <w:szCs w:val="26"/>
        </w:rPr>
        <w:t xml:space="preserve">As we proceed in our review, we note that the considerations of </w:t>
      </w:r>
      <w:proofErr w:type="spellStart"/>
      <w:r w:rsidRPr="00C92AD7">
        <w:rPr>
          <w:rFonts w:ascii="Times New Roman" w:eastAsia="Times New Roman" w:hAnsi="Times New Roman" w:cs="Times New Roman"/>
          <w:i/>
          <w:iCs/>
          <w:sz w:val="26"/>
          <w:szCs w:val="26"/>
        </w:rPr>
        <w:t>Duick</w:t>
      </w:r>
      <w:proofErr w:type="spellEnd"/>
      <w:r w:rsidRPr="00C92AD7">
        <w:rPr>
          <w:rFonts w:ascii="Times New Roman" w:eastAsia="Times New Roman" w:hAnsi="Times New Roman" w:cs="Times New Roman"/>
          <w:sz w:val="26"/>
          <w:szCs w:val="26"/>
        </w:rPr>
        <w:t xml:space="preserve">, on application, essentially, require a two-step analysis.  </w:t>
      </w:r>
      <w:r w:rsidRPr="00C92AD7">
        <w:rPr>
          <w:rFonts w:ascii="Times New Roman" w:eastAsia="Times New Roman" w:hAnsi="Times New Roman" w:cs="Times New Roman"/>
          <w:i/>
          <w:iCs/>
          <w:sz w:val="26"/>
          <w:szCs w:val="26"/>
        </w:rPr>
        <w:t>See</w:t>
      </w:r>
      <w:r w:rsidR="000528FC">
        <w:rPr>
          <w:rFonts w:ascii="Times New Roman" w:eastAsia="Times New Roman" w:hAnsi="Times New Roman" w:cs="Times New Roman"/>
          <w:i/>
          <w:iCs/>
          <w:sz w:val="26"/>
          <w:szCs w:val="26"/>
        </w:rPr>
        <w:t>,</w:t>
      </w:r>
      <w:r w:rsidRPr="00C92AD7">
        <w:rPr>
          <w:rFonts w:ascii="Times New Roman" w:eastAsia="Times New Roman" w:hAnsi="Times New Roman" w:cs="Times New Roman"/>
          <w:i/>
          <w:iCs/>
          <w:sz w:val="26"/>
          <w:szCs w:val="26"/>
        </w:rPr>
        <w:t xml:space="preserve"> e.g.</w:t>
      </w:r>
      <w:r w:rsidR="000528FC">
        <w:rPr>
          <w:rFonts w:ascii="Times New Roman" w:eastAsia="Times New Roman" w:hAnsi="Times New Roman" w:cs="Times New Roman"/>
          <w:i/>
          <w:iCs/>
          <w:sz w:val="26"/>
          <w:szCs w:val="26"/>
        </w:rPr>
        <w:t>,</w:t>
      </w:r>
      <w:r w:rsidRPr="00C92AD7">
        <w:rPr>
          <w:rFonts w:ascii="Times New Roman" w:eastAsia="Times New Roman" w:hAnsi="Times New Roman" w:cs="Times New Roman"/>
          <w:i/>
          <w:iCs/>
          <w:sz w:val="26"/>
          <w:szCs w:val="26"/>
        </w:rPr>
        <w:t xml:space="preserve"> SBG Management Services, Inc./Colonial Garden Realty Co., L.P. v. Philadelphia Gas Works</w:t>
      </w:r>
      <w:r w:rsidRPr="00C92AD7">
        <w:rPr>
          <w:rFonts w:ascii="Times New Roman" w:eastAsia="Times New Roman" w:hAnsi="Times New Roman" w:cs="Times New Roman"/>
          <w:sz w:val="26"/>
          <w:szCs w:val="26"/>
        </w:rPr>
        <w:t>, Docket No. C</w:t>
      </w:r>
      <w:r w:rsidR="00E264D3">
        <w:rPr>
          <w:rFonts w:ascii="Times New Roman" w:eastAsia="Times New Roman" w:hAnsi="Times New Roman" w:cs="Times New Roman"/>
          <w:sz w:val="26"/>
          <w:szCs w:val="26"/>
        </w:rPr>
        <w:noBreakHyphen/>
      </w:r>
      <w:r w:rsidRPr="00C92AD7">
        <w:rPr>
          <w:rFonts w:ascii="Times New Roman" w:eastAsia="Times New Roman" w:hAnsi="Times New Roman" w:cs="Times New Roman"/>
          <w:sz w:val="26"/>
          <w:szCs w:val="26"/>
        </w:rPr>
        <w:t>2012</w:t>
      </w:r>
      <w:r w:rsidR="005F74C7">
        <w:rPr>
          <w:rFonts w:ascii="Times New Roman" w:eastAsia="Times New Roman" w:hAnsi="Times New Roman" w:cs="Times New Roman"/>
          <w:sz w:val="26"/>
          <w:szCs w:val="26"/>
        </w:rPr>
        <w:noBreakHyphen/>
      </w:r>
      <w:r w:rsidRPr="00C92AD7">
        <w:rPr>
          <w:rFonts w:ascii="Times New Roman" w:eastAsia="Times New Roman" w:hAnsi="Times New Roman" w:cs="Times New Roman"/>
          <w:sz w:val="26"/>
          <w:szCs w:val="26"/>
        </w:rPr>
        <w:t xml:space="preserve">2304183 (Order entered May 19, 2019) (discussing </w:t>
      </w:r>
      <w:r w:rsidRPr="00C92AD7">
        <w:rPr>
          <w:rFonts w:ascii="Times New Roman" w:eastAsia="Times New Roman" w:hAnsi="Times New Roman" w:cs="Times New Roman"/>
          <w:i/>
          <w:iCs/>
          <w:sz w:val="26"/>
          <w:szCs w:val="26"/>
        </w:rPr>
        <w:t>Application of La Mexicana Express Service, LLC, to transport persons in paratransit service, between points within Berks County</w:t>
      </w:r>
      <w:r w:rsidRPr="00C92AD7">
        <w:rPr>
          <w:rFonts w:ascii="Times New Roman" w:eastAsia="Times New Roman" w:hAnsi="Times New Roman" w:cs="Times New Roman"/>
          <w:sz w:val="26"/>
          <w:szCs w:val="26"/>
        </w:rPr>
        <w:t>, Docket No. A-2012-2329717; A-6415209 (Order entered September 11, 2014)).</w:t>
      </w:r>
      <w:r w:rsidR="00F6498E">
        <w:rPr>
          <w:rFonts w:ascii="Times New Roman" w:eastAsia="Times New Roman" w:hAnsi="Times New Roman" w:cs="Times New Roman"/>
          <w:sz w:val="26"/>
          <w:szCs w:val="26"/>
        </w:rPr>
        <w:t xml:space="preserve">  </w:t>
      </w:r>
      <w:r w:rsidRPr="00C92AD7">
        <w:rPr>
          <w:rFonts w:ascii="Times New Roman" w:eastAsia="Times New Roman" w:hAnsi="Times New Roman" w:cs="Times New Roman"/>
          <w:sz w:val="26"/>
          <w:szCs w:val="26"/>
        </w:rPr>
        <w:t xml:space="preserve">The first step is that we determine whether a party has offered new and novel arguments or identified considerations that appear to have been overlooked or not addressed by the Commission in its previous order.  </w:t>
      </w:r>
      <w:r w:rsidRPr="00C92AD7">
        <w:rPr>
          <w:rFonts w:ascii="Times New Roman" w:eastAsia="Times New Roman" w:hAnsi="Times New Roman" w:cs="Times New Roman"/>
          <w:i/>
          <w:iCs/>
          <w:sz w:val="26"/>
          <w:szCs w:val="26"/>
        </w:rPr>
        <w:t>Id.</w:t>
      </w:r>
      <w:r w:rsidRPr="00C92AD7">
        <w:rPr>
          <w:rFonts w:ascii="Times New Roman" w:eastAsia="Times New Roman" w:hAnsi="Times New Roman" w:cs="Times New Roman"/>
          <w:sz w:val="26"/>
          <w:szCs w:val="26"/>
        </w:rPr>
        <w:t xml:space="preserve">  The second step of the </w:t>
      </w:r>
      <w:proofErr w:type="spellStart"/>
      <w:r w:rsidRPr="00C92AD7">
        <w:rPr>
          <w:rFonts w:ascii="Times New Roman" w:eastAsia="Times New Roman" w:hAnsi="Times New Roman" w:cs="Times New Roman"/>
          <w:i/>
          <w:iCs/>
          <w:sz w:val="26"/>
          <w:szCs w:val="26"/>
        </w:rPr>
        <w:t>Duick</w:t>
      </w:r>
      <w:proofErr w:type="spellEnd"/>
      <w:r w:rsidRPr="00C92AD7">
        <w:rPr>
          <w:rFonts w:ascii="Times New Roman" w:eastAsia="Times New Roman" w:hAnsi="Times New Roman" w:cs="Times New Roman"/>
          <w:sz w:val="26"/>
          <w:szCs w:val="26"/>
        </w:rPr>
        <w:t xml:space="preserve"> analysis is to evaluate the new or novel argument, or overlooked consideration that is alleged, in order to determine whether to modify our previous decision.  </w:t>
      </w:r>
      <w:r w:rsidRPr="00C92AD7">
        <w:rPr>
          <w:rFonts w:ascii="Times New Roman" w:eastAsia="Times New Roman" w:hAnsi="Times New Roman" w:cs="Times New Roman"/>
          <w:i/>
          <w:iCs/>
          <w:sz w:val="26"/>
          <w:szCs w:val="26"/>
        </w:rPr>
        <w:t>Id.</w:t>
      </w:r>
      <w:r w:rsidRPr="00C92AD7">
        <w:rPr>
          <w:rFonts w:ascii="Times New Roman" w:eastAsia="Times New Roman" w:hAnsi="Times New Roman" w:cs="Times New Roman"/>
          <w:sz w:val="26"/>
          <w:szCs w:val="26"/>
        </w:rPr>
        <w:t xml:space="preserve">  We will not necessarily modify our prior decision just because a party offers a new and novel argument or identifies a consideration that was overlooked or not addressed by the Commission in its previous order.  </w:t>
      </w:r>
      <w:r w:rsidRPr="00C92AD7">
        <w:rPr>
          <w:rFonts w:ascii="Times New Roman" w:eastAsia="Times New Roman" w:hAnsi="Times New Roman" w:cs="Times New Roman"/>
          <w:i/>
          <w:iCs/>
          <w:sz w:val="26"/>
          <w:szCs w:val="26"/>
        </w:rPr>
        <w:t>Id.</w:t>
      </w:r>
    </w:p>
    <w:p w14:paraId="7E74C8E2" w14:textId="77777777" w:rsidR="00254200" w:rsidRPr="00C92AD7" w:rsidRDefault="00254200">
      <w:pPr>
        <w:suppressAutoHyphens/>
        <w:spacing w:after="0" w:line="360" w:lineRule="auto"/>
        <w:ind w:firstLine="1440"/>
        <w:rPr>
          <w:rFonts w:ascii="Times New Roman" w:eastAsia="Times New Roman" w:hAnsi="Times New Roman" w:cs="Times New Roman"/>
          <w:spacing w:val="-3"/>
          <w:sz w:val="26"/>
          <w:szCs w:val="26"/>
          <w:u w:color="000000"/>
        </w:rPr>
      </w:pPr>
    </w:p>
    <w:p w14:paraId="26C7EABD" w14:textId="35F6615C" w:rsidR="009A347E" w:rsidRPr="00E01FD8" w:rsidRDefault="009A347E" w:rsidP="00254200">
      <w:pPr>
        <w:pStyle w:val="Heading2"/>
        <w:spacing w:before="0" w:line="360" w:lineRule="auto"/>
        <w:ind w:left="0"/>
        <w:contextualSpacing/>
        <w:rPr>
          <w:rFonts w:ascii="Times New Roman" w:hAnsi="Times New Roman" w:cs="Times New Roman"/>
          <w:b/>
          <w:bCs/>
          <w:color w:val="auto"/>
        </w:rPr>
      </w:pPr>
      <w:r w:rsidRPr="00E01FD8">
        <w:rPr>
          <w:rFonts w:ascii="Times New Roman" w:hAnsi="Times New Roman" w:cs="Times New Roman"/>
          <w:b/>
          <w:bCs/>
          <w:color w:val="auto"/>
        </w:rPr>
        <w:lastRenderedPageBreak/>
        <w:t>Act No. 53 of 2019</w:t>
      </w:r>
    </w:p>
    <w:p w14:paraId="3B295A20" w14:textId="3C736181" w:rsidR="009A347E" w:rsidRDefault="009A347E" w:rsidP="00254200">
      <w:pPr>
        <w:keepNext/>
        <w:keepLines/>
        <w:spacing w:after="0" w:line="360" w:lineRule="auto"/>
        <w:contextualSpacing/>
        <w:rPr>
          <w:rFonts w:ascii="Times New Roman" w:eastAsia="Times New Roman" w:hAnsi="Times New Roman" w:cs="Times New Roman"/>
          <w:sz w:val="26"/>
          <w:szCs w:val="26"/>
        </w:rPr>
      </w:pPr>
    </w:p>
    <w:p w14:paraId="31707093" w14:textId="5B35F484" w:rsidR="009A347E" w:rsidRDefault="009A347E" w:rsidP="002B2767">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On July 2, 2019, Governor Tom Wolf signed Act No. 53 of 2019 (Act 53) into law, which</w:t>
      </w:r>
      <w:r w:rsidR="00C9496B">
        <w:rPr>
          <w:rFonts w:ascii="Times New Roman" w:eastAsia="Times New Roman" w:hAnsi="Times New Roman" w:cs="Times New Roman"/>
          <w:sz w:val="26"/>
          <w:szCs w:val="26"/>
        </w:rPr>
        <w:t>, in part, amended Section 1301.1 of the Code, 66 Pa. C.S. § 1301.1, pertaining to the computation of income tax expense for ratemaking purposes.  In particular, it</w:t>
      </w:r>
      <w:r>
        <w:rPr>
          <w:rFonts w:ascii="Times New Roman" w:eastAsia="Times New Roman" w:hAnsi="Times New Roman" w:cs="Times New Roman"/>
          <w:sz w:val="26"/>
          <w:szCs w:val="26"/>
        </w:rPr>
        <w:t xml:space="preserve"> added the following provision addressing taxable contributions of CIAC and CAC:</w:t>
      </w:r>
    </w:p>
    <w:p w14:paraId="6AFB17A7" w14:textId="77777777" w:rsidR="00407FEA" w:rsidRDefault="00407FEA" w:rsidP="004F1653">
      <w:pPr>
        <w:spacing w:after="0" w:line="240" w:lineRule="auto"/>
        <w:ind w:hanging="90"/>
        <w:contextualSpacing/>
        <w:rPr>
          <w:rFonts w:ascii="Times New Roman" w:eastAsia="Times New Roman" w:hAnsi="Times New Roman" w:cs="Times New Roman"/>
          <w:sz w:val="26"/>
          <w:szCs w:val="26"/>
        </w:rPr>
      </w:pPr>
    </w:p>
    <w:p w14:paraId="38C67C8F" w14:textId="77777777" w:rsidR="00C9496B" w:rsidRPr="003F6087" w:rsidRDefault="00C9496B" w:rsidP="00C9496B">
      <w:pPr>
        <w:spacing w:after="0" w:line="240" w:lineRule="auto"/>
        <w:ind w:left="1440" w:right="1440"/>
        <w:rPr>
          <w:rFonts w:ascii="Times New Roman" w:hAnsi="Times New Roman" w:cs="Times New Roman"/>
          <w:sz w:val="26"/>
          <w:szCs w:val="26"/>
        </w:rPr>
      </w:pPr>
      <w:r w:rsidRPr="003F6087">
        <w:rPr>
          <w:rFonts w:ascii="Times New Roman" w:hAnsi="Times New Roman" w:cs="Times New Roman"/>
          <w:b/>
          <w:bCs/>
          <w:color w:val="212121"/>
          <w:sz w:val="26"/>
          <w:szCs w:val="26"/>
        </w:rPr>
        <w:t>(b.1) Taxable contributions.--</w:t>
      </w:r>
      <w:r w:rsidRPr="003F6087">
        <w:rPr>
          <w:rFonts w:ascii="Times New Roman" w:hAnsi="Times New Roman" w:cs="Times New Roman"/>
          <w:color w:val="212121"/>
          <w:sz w:val="26"/>
          <w:szCs w:val="26"/>
        </w:rPr>
        <w:t>A water or wastewater public utility shall be solely responsible for funding the income taxes on taxable contributions in aid of construction and customer advances for construction and shall record the income taxes the water or wastewater public utility pays in accumulated deferred income taxes for accounting and ratemaking purposes.</w:t>
      </w:r>
    </w:p>
    <w:p w14:paraId="580C3FA0" w14:textId="3DC74386" w:rsidR="009A347E" w:rsidRDefault="009A347E" w:rsidP="00407FEA">
      <w:pPr>
        <w:spacing w:after="0" w:line="360" w:lineRule="auto"/>
        <w:ind w:hanging="90"/>
        <w:contextualSpacing/>
        <w:rPr>
          <w:rFonts w:ascii="Times New Roman" w:eastAsia="Times New Roman" w:hAnsi="Times New Roman" w:cs="Times New Roman"/>
          <w:sz w:val="26"/>
          <w:szCs w:val="26"/>
        </w:rPr>
      </w:pPr>
    </w:p>
    <w:p w14:paraId="20764E36" w14:textId="52FD22C0" w:rsidR="00407FEA" w:rsidRDefault="00407FEA" w:rsidP="00FB2DEB">
      <w:pPr>
        <w:spacing w:after="0" w:line="360" w:lineRule="auto"/>
        <w:ind w:firstLine="4"/>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66 Pa. C.S. § 1301</w:t>
      </w:r>
      <w:r w:rsidR="00307532">
        <w:rPr>
          <w:rFonts w:ascii="Times New Roman" w:eastAsia="Times New Roman" w:hAnsi="Times New Roman" w:cs="Times New Roman"/>
          <w:sz w:val="26"/>
          <w:szCs w:val="26"/>
        </w:rPr>
        <w:t>.1(b.1).</w:t>
      </w:r>
    </w:p>
    <w:p w14:paraId="542B05A7" w14:textId="77777777" w:rsidR="00FB2DEB" w:rsidRDefault="00FB2DEB" w:rsidP="00FB2DEB">
      <w:pPr>
        <w:spacing w:after="0" w:line="360" w:lineRule="auto"/>
        <w:ind w:left="86" w:hanging="86"/>
        <w:contextualSpacing/>
        <w:rPr>
          <w:rFonts w:ascii="Times New Roman" w:eastAsia="Times New Roman" w:hAnsi="Times New Roman" w:cs="Times New Roman"/>
          <w:sz w:val="26"/>
          <w:szCs w:val="26"/>
        </w:rPr>
      </w:pPr>
    </w:p>
    <w:p w14:paraId="1BD6F579" w14:textId="46C889DC" w:rsidR="009A347E" w:rsidRDefault="00FB2DEB" w:rsidP="002B2767">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Act 53 became effective on September 3, 2019.  However, Section 1301.1 makes clear that the application of the entire section “shall apply to all cases where the final order is entered after the effective date of this section.”  66 Pa. C.S. § 1301.1(c)(2).  </w:t>
      </w:r>
    </w:p>
    <w:p w14:paraId="57551E90" w14:textId="77777777" w:rsidR="00FB2DEB" w:rsidRPr="009A347E" w:rsidRDefault="00FB2DEB" w:rsidP="00FB2DEB">
      <w:pPr>
        <w:spacing w:after="0" w:line="360" w:lineRule="auto"/>
        <w:contextualSpacing/>
        <w:rPr>
          <w:rFonts w:ascii="Times New Roman" w:eastAsia="Times New Roman" w:hAnsi="Times New Roman" w:cs="Times New Roman"/>
          <w:sz w:val="26"/>
          <w:szCs w:val="26"/>
        </w:rPr>
      </w:pPr>
    </w:p>
    <w:p w14:paraId="5BE52226" w14:textId="63DEA5F5" w:rsidR="00483597" w:rsidRPr="009F73B0" w:rsidRDefault="00483597" w:rsidP="00723B1F">
      <w:pPr>
        <w:pStyle w:val="Heading2"/>
        <w:spacing w:before="0"/>
        <w:ind w:left="0"/>
        <w:contextualSpacing/>
        <w:rPr>
          <w:rFonts w:ascii="Times New Roman" w:eastAsia="Times New Roman" w:hAnsi="Times New Roman" w:cs="Times New Roman"/>
          <w:b/>
          <w:bCs/>
          <w:color w:val="auto"/>
        </w:rPr>
      </w:pPr>
      <w:r w:rsidRPr="009F73B0">
        <w:rPr>
          <w:rFonts w:ascii="Times New Roman" w:eastAsia="Times New Roman" w:hAnsi="Times New Roman" w:cs="Times New Roman"/>
          <w:b/>
          <w:bCs/>
          <w:color w:val="auto"/>
        </w:rPr>
        <w:t xml:space="preserve">PAWC’s </w:t>
      </w:r>
      <w:r w:rsidR="00646300" w:rsidRPr="009F73B0">
        <w:rPr>
          <w:rFonts w:ascii="Times New Roman" w:eastAsia="Times New Roman" w:hAnsi="Times New Roman" w:cs="Times New Roman"/>
          <w:b/>
          <w:bCs/>
          <w:color w:val="auto"/>
        </w:rPr>
        <w:t>Petition</w:t>
      </w:r>
    </w:p>
    <w:p w14:paraId="16BEF4AF" w14:textId="77777777" w:rsidR="00483597" w:rsidRPr="009F73B0" w:rsidRDefault="00483597" w:rsidP="00723B1F">
      <w:pPr>
        <w:keepNext/>
        <w:keepLines/>
        <w:spacing w:after="0" w:line="360" w:lineRule="auto"/>
        <w:contextualSpacing/>
        <w:rPr>
          <w:rFonts w:ascii="Times New Roman" w:hAnsi="Times New Roman" w:cs="Times New Roman"/>
          <w:sz w:val="26"/>
          <w:szCs w:val="26"/>
        </w:rPr>
      </w:pPr>
      <w:bookmarkStart w:id="4" w:name="_Hlk534611282"/>
    </w:p>
    <w:p w14:paraId="0EE7C533" w14:textId="2DB23EC5" w:rsidR="00057E2E" w:rsidRPr="009F73B0" w:rsidRDefault="00057E2E">
      <w:pPr>
        <w:pStyle w:val="Heading3"/>
        <w:spacing w:before="0" w:line="240" w:lineRule="auto"/>
        <w:ind w:hanging="720"/>
        <w:contextualSpacing/>
        <w:rPr>
          <w:rStyle w:val="Heading3Char"/>
          <w:rFonts w:ascii="Times New Roman" w:hAnsi="Times New Roman" w:cs="Times New Roman"/>
          <w:b/>
          <w:bCs/>
          <w:color w:val="auto"/>
          <w:sz w:val="26"/>
          <w:szCs w:val="26"/>
        </w:rPr>
      </w:pPr>
      <w:bookmarkStart w:id="5" w:name="_Hlk532815421"/>
      <w:bookmarkEnd w:id="4"/>
      <w:r w:rsidRPr="009F73B0">
        <w:rPr>
          <w:rStyle w:val="Heading3Char"/>
          <w:rFonts w:ascii="Times New Roman" w:hAnsi="Times New Roman" w:cs="Times New Roman"/>
          <w:b/>
          <w:bCs/>
          <w:color w:val="auto"/>
          <w:sz w:val="26"/>
          <w:szCs w:val="26"/>
        </w:rPr>
        <w:t xml:space="preserve">Whether Reconsideration </w:t>
      </w:r>
      <w:r w:rsidR="002D2C25" w:rsidRPr="009F73B0">
        <w:rPr>
          <w:rStyle w:val="Heading3Char"/>
          <w:rFonts w:ascii="Times New Roman" w:hAnsi="Times New Roman" w:cs="Times New Roman"/>
          <w:b/>
          <w:bCs/>
          <w:color w:val="auto"/>
          <w:sz w:val="26"/>
          <w:szCs w:val="26"/>
        </w:rPr>
        <w:t xml:space="preserve">Should Be Granted Based </w:t>
      </w:r>
      <w:r w:rsidR="00D661F0">
        <w:rPr>
          <w:rStyle w:val="Heading3Char"/>
          <w:rFonts w:ascii="Times New Roman" w:hAnsi="Times New Roman" w:cs="Times New Roman"/>
          <w:b/>
          <w:bCs/>
          <w:color w:val="auto"/>
          <w:sz w:val="26"/>
          <w:szCs w:val="26"/>
        </w:rPr>
        <w:t>o</w:t>
      </w:r>
      <w:r w:rsidR="00D661F0" w:rsidRPr="009F73B0">
        <w:rPr>
          <w:rStyle w:val="Heading3Char"/>
          <w:rFonts w:ascii="Times New Roman" w:hAnsi="Times New Roman" w:cs="Times New Roman"/>
          <w:b/>
          <w:bCs/>
          <w:color w:val="auto"/>
          <w:sz w:val="26"/>
          <w:szCs w:val="26"/>
        </w:rPr>
        <w:t xml:space="preserve">n </w:t>
      </w:r>
      <w:r w:rsidR="00D661F0">
        <w:rPr>
          <w:rStyle w:val="Heading3Char"/>
          <w:rFonts w:ascii="Times New Roman" w:hAnsi="Times New Roman" w:cs="Times New Roman"/>
          <w:b/>
          <w:bCs/>
          <w:color w:val="auto"/>
          <w:sz w:val="26"/>
          <w:szCs w:val="26"/>
        </w:rPr>
        <w:t>t</w:t>
      </w:r>
      <w:r w:rsidR="00D661F0" w:rsidRPr="009F73B0">
        <w:rPr>
          <w:rStyle w:val="Heading3Char"/>
          <w:rFonts w:ascii="Times New Roman" w:hAnsi="Times New Roman" w:cs="Times New Roman"/>
          <w:b/>
          <w:bCs/>
          <w:color w:val="auto"/>
          <w:sz w:val="26"/>
          <w:szCs w:val="26"/>
        </w:rPr>
        <w:t xml:space="preserve">he </w:t>
      </w:r>
      <w:r w:rsidR="002D2C25" w:rsidRPr="009F73B0">
        <w:rPr>
          <w:rStyle w:val="Heading3Char"/>
          <w:rFonts w:ascii="Times New Roman" w:hAnsi="Times New Roman" w:cs="Times New Roman"/>
          <w:b/>
          <w:bCs/>
          <w:color w:val="auto"/>
          <w:sz w:val="26"/>
          <w:szCs w:val="26"/>
        </w:rPr>
        <w:t xml:space="preserve">Statements Made </w:t>
      </w:r>
      <w:r w:rsidR="00D661F0">
        <w:rPr>
          <w:rStyle w:val="Heading3Char"/>
          <w:rFonts w:ascii="Times New Roman" w:hAnsi="Times New Roman" w:cs="Times New Roman"/>
          <w:b/>
          <w:bCs/>
          <w:color w:val="auto"/>
          <w:sz w:val="26"/>
          <w:szCs w:val="26"/>
        </w:rPr>
        <w:t>b</w:t>
      </w:r>
      <w:r w:rsidR="00D661F0" w:rsidRPr="009F73B0">
        <w:rPr>
          <w:rStyle w:val="Heading3Char"/>
          <w:rFonts w:ascii="Times New Roman" w:hAnsi="Times New Roman" w:cs="Times New Roman"/>
          <w:b/>
          <w:bCs/>
          <w:color w:val="auto"/>
          <w:sz w:val="26"/>
          <w:szCs w:val="26"/>
        </w:rPr>
        <w:t xml:space="preserve">y </w:t>
      </w:r>
      <w:r w:rsidRPr="009F73B0">
        <w:rPr>
          <w:rStyle w:val="Heading3Char"/>
          <w:rFonts w:ascii="Times New Roman" w:hAnsi="Times New Roman" w:cs="Times New Roman"/>
          <w:b/>
          <w:bCs/>
          <w:color w:val="auto"/>
          <w:sz w:val="26"/>
          <w:szCs w:val="26"/>
        </w:rPr>
        <w:t xml:space="preserve">Commissioners </w:t>
      </w:r>
      <w:r w:rsidR="00D661F0">
        <w:rPr>
          <w:rStyle w:val="Heading3Char"/>
          <w:rFonts w:ascii="Times New Roman" w:hAnsi="Times New Roman" w:cs="Times New Roman"/>
          <w:b/>
          <w:bCs/>
          <w:color w:val="auto"/>
          <w:sz w:val="26"/>
          <w:szCs w:val="26"/>
        </w:rPr>
        <w:t>a</w:t>
      </w:r>
      <w:r w:rsidR="00D661F0" w:rsidRPr="009F73B0">
        <w:rPr>
          <w:rStyle w:val="Heading3Char"/>
          <w:rFonts w:ascii="Times New Roman" w:hAnsi="Times New Roman" w:cs="Times New Roman"/>
          <w:b/>
          <w:bCs/>
          <w:color w:val="auto"/>
          <w:sz w:val="26"/>
          <w:szCs w:val="26"/>
        </w:rPr>
        <w:t xml:space="preserve">t </w:t>
      </w:r>
      <w:r w:rsidR="00D661F0">
        <w:rPr>
          <w:rStyle w:val="Heading3Char"/>
          <w:rFonts w:ascii="Times New Roman" w:hAnsi="Times New Roman" w:cs="Times New Roman"/>
          <w:b/>
          <w:bCs/>
          <w:color w:val="auto"/>
          <w:sz w:val="26"/>
          <w:szCs w:val="26"/>
        </w:rPr>
        <w:t>t</w:t>
      </w:r>
      <w:r w:rsidR="00D661F0" w:rsidRPr="009F73B0">
        <w:rPr>
          <w:rStyle w:val="Heading3Char"/>
          <w:rFonts w:ascii="Times New Roman" w:hAnsi="Times New Roman" w:cs="Times New Roman"/>
          <w:b/>
          <w:bCs/>
          <w:color w:val="auto"/>
          <w:sz w:val="26"/>
          <w:szCs w:val="26"/>
        </w:rPr>
        <w:t xml:space="preserve">he </w:t>
      </w:r>
      <w:r w:rsidRPr="009F73B0">
        <w:rPr>
          <w:rStyle w:val="Heading3Char"/>
          <w:rFonts w:ascii="Times New Roman" w:hAnsi="Times New Roman" w:cs="Times New Roman"/>
          <w:b/>
          <w:bCs/>
          <w:color w:val="auto"/>
          <w:sz w:val="26"/>
          <w:szCs w:val="26"/>
        </w:rPr>
        <w:t xml:space="preserve">February </w:t>
      </w:r>
      <w:r w:rsidR="00D661F0" w:rsidRPr="009F73B0">
        <w:rPr>
          <w:rStyle w:val="Heading3Char"/>
          <w:rFonts w:ascii="Times New Roman" w:hAnsi="Times New Roman" w:cs="Times New Roman"/>
          <w:b/>
          <w:bCs/>
          <w:color w:val="auto"/>
          <w:sz w:val="26"/>
          <w:szCs w:val="26"/>
        </w:rPr>
        <w:t xml:space="preserve">7, 2019 </w:t>
      </w:r>
      <w:r w:rsidRPr="009F73B0">
        <w:rPr>
          <w:rStyle w:val="Heading3Char"/>
          <w:rFonts w:ascii="Times New Roman" w:hAnsi="Times New Roman" w:cs="Times New Roman"/>
          <w:b/>
          <w:bCs/>
          <w:color w:val="auto"/>
          <w:sz w:val="26"/>
          <w:szCs w:val="26"/>
        </w:rPr>
        <w:t>Public</w:t>
      </w:r>
      <w:r w:rsidR="002D2C25">
        <w:rPr>
          <w:rStyle w:val="Heading3Char"/>
          <w:rFonts w:ascii="Times New Roman" w:hAnsi="Times New Roman" w:cs="Times New Roman"/>
          <w:b/>
          <w:bCs/>
          <w:color w:val="auto"/>
          <w:sz w:val="26"/>
          <w:szCs w:val="26"/>
        </w:rPr>
        <w:t> </w:t>
      </w:r>
      <w:r w:rsidRPr="009F73B0">
        <w:rPr>
          <w:rStyle w:val="Heading3Char"/>
          <w:rFonts w:ascii="Times New Roman" w:hAnsi="Times New Roman" w:cs="Times New Roman"/>
          <w:b/>
          <w:bCs/>
          <w:color w:val="auto"/>
          <w:sz w:val="26"/>
          <w:szCs w:val="26"/>
        </w:rPr>
        <w:t>Meeting</w:t>
      </w:r>
      <w:r w:rsidR="0017400E">
        <w:rPr>
          <w:rStyle w:val="Heading3Char"/>
          <w:rFonts w:ascii="Times New Roman" w:hAnsi="Times New Roman" w:cs="Times New Roman"/>
          <w:b/>
          <w:bCs/>
          <w:color w:val="auto"/>
          <w:sz w:val="26"/>
          <w:szCs w:val="26"/>
        </w:rPr>
        <w:t xml:space="preserve"> </w:t>
      </w:r>
      <w:r w:rsidR="002D2C25">
        <w:rPr>
          <w:rStyle w:val="Heading3Char"/>
          <w:rFonts w:ascii="Times New Roman" w:hAnsi="Times New Roman" w:cs="Times New Roman"/>
          <w:b/>
          <w:bCs/>
          <w:color w:val="auto"/>
          <w:sz w:val="26"/>
          <w:szCs w:val="26"/>
        </w:rPr>
        <w:t>(</w:t>
      </w:r>
      <w:r w:rsidR="0017400E">
        <w:rPr>
          <w:rStyle w:val="Heading3Char"/>
          <w:rFonts w:ascii="Times New Roman" w:hAnsi="Times New Roman" w:cs="Times New Roman"/>
          <w:b/>
          <w:bCs/>
          <w:color w:val="auto"/>
          <w:sz w:val="26"/>
          <w:szCs w:val="26"/>
        </w:rPr>
        <w:t>February Public Meeting</w:t>
      </w:r>
      <w:r w:rsidR="002D2C25">
        <w:rPr>
          <w:rStyle w:val="Heading3Char"/>
          <w:rFonts w:ascii="Times New Roman" w:hAnsi="Times New Roman" w:cs="Times New Roman"/>
          <w:b/>
          <w:bCs/>
          <w:color w:val="auto"/>
          <w:sz w:val="26"/>
          <w:szCs w:val="26"/>
        </w:rPr>
        <w:t>)</w:t>
      </w:r>
      <w:r w:rsidR="002D2C25" w:rsidRPr="009F73B0">
        <w:rPr>
          <w:rStyle w:val="Heading3Char"/>
          <w:rFonts w:ascii="Times New Roman" w:hAnsi="Times New Roman" w:cs="Times New Roman"/>
          <w:b/>
          <w:bCs/>
          <w:color w:val="auto"/>
          <w:sz w:val="26"/>
          <w:szCs w:val="26"/>
        </w:rPr>
        <w:t xml:space="preserve"> </w:t>
      </w:r>
      <w:r w:rsidRPr="009F73B0">
        <w:rPr>
          <w:rStyle w:val="Heading3Char"/>
          <w:rFonts w:ascii="Times New Roman" w:hAnsi="Times New Roman" w:cs="Times New Roman"/>
          <w:b/>
          <w:bCs/>
          <w:color w:val="auto"/>
          <w:sz w:val="26"/>
          <w:szCs w:val="26"/>
        </w:rPr>
        <w:t>(Petition at 2-6, 11-12)</w:t>
      </w:r>
    </w:p>
    <w:p w14:paraId="08302662" w14:textId="4509FE33" w:rsidR="00057E2E" w:rsidRPr="009F73B0" w:rsidRDefault="00057E2E" w:rsidP="004F1653">
      <w:pPr>
        <w:keepNext/>
        <w:keepLines/>
        <w:spacing w:after="0" w:line="480" w:lineRule="auto"/>
        <w:ind w:firstLine="1440"/>
        <w:contextualSpacing/>
        <w:rPr>
          <w:rFonts w:ascii="Times New Roman" w:hAnsi="Times New Roman" w:cs="Times New Roman"/>
          <w:sz w:val="26"/>
          <w:szCs w:val="26"/>
        </w:rPr>
      </w:pPr>
      <w:bookmarkStart w:id="6" w:name="_Hlk40875345"/>
    </w:p>
    <w:p w14:paraId="487610C8" w14:textId="2F604CFF" w:rsidR="00EC459F" w:rsidRPr="009F73B0" w:rsidRDefault="00EC459F">
      <w:pPr>
        <w:keepNext/>
        <w:keepLines/>
        <w:spacing w:after="0" w:line="360" w:lineRule="auto"/>
        <w:ind w:left="2160" w:hanging="720"/>
        <w:contextualSpacing/>
        <w:rPr>
          <w:rFonts w:ascii="Times New Roman" w:hAnsi="Times New Roman" w:cs="Times New Roman"/>
          <w:b/>
          <w:bCs/>
          <w:sz w:val="26"/>
          <w:szCs w:val="26"/>
        </w:rPr>
      </w:pPr>
      <w:r w:rsidRPr="009F73B0">
        <w:rPr>
          <w:rFonts w:ascii="Times New Roman" w:hAnsi="Times New Roman" w:cs="Times New Roman"/>
          <w:b/>
          <w:bCs/>
          <w:sz w:val="26"/>
          <w:szCs w:val="26"/>
        </w:rPr>
        <w:t>a.</w:t>
      </w:r>
      <w:r w:rsidRPr="009F73B0">
        <w:rPr>
          <w:rFonts w:ascii="Times New Roman" w:hAnsi="Times New Roman" w:cs="Times New Roman"/>
          <w:b/>
          <w:bCs/>
          <w:sz w:val="26"/>
          <w:szCs w:val="26"/>
        </w:rPr>
        <w:tab/>
        <w:t>Positions of the Parties</w:t>
      </w:r>
    </w:p>
    <w:p w14:paraId="530677B0" w14:textId="64808C7D" w:rsidR="00EC459F" w:rsidRPr="009F73B0" w:rsidRDefault="00EC459F">
      <w:pPr>
        <w:keepNext/>
        <w:keepLines/>
        <w:spacing w:after="0" w:line="360" w:lineRule="auto"/>
        <w:ind w:firstLine="1440"/>
        <w:contextualSpacing/>
        <w:rPr>
          <w:rFonts w:ascii="Times New Roman" w:hAnsi="Times New Roman" w:cs="Times New Roman"/>
          <w:sz w:val="26"/>
          <w:szCs w:val="26"/>
        </w:rPr>
      </w:pPr>
    </w:p>
    <w:p w14:paraId="0F555C7C" w14:textId="5B49DBBD" w:rsidR="00776B1A" w:rsidRPr="009F73B0" w:rsidRDefault="00776B1A" w:rsidP="002D2C25">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In its Petition, PAWC submits that we should reconsider our finding in our </w:t>
      </w:r>
      <w:r w:rsidRPr="009F73B0">
        <w:rPr>
          <w:rFonts w:ascii="Times New Roman" w:hAnsi="Times New Roman" w:cs="Times New Roman"/>
          <w:i/>
          <w:iCs/>
          <w:sz w:val="26"/>
          <w:szCs w:val="26"/>
        </w:rPr>
        <w:t xml:space="preserve">February 2019 Order </w:t>
      </w:r>
      <w:r w:rsidRPr="009F73B0">
        <w:rPr>
          <w:rFonts w:ascii="Times New Roman" w:hAnsi="Times New Roman" w:cs="Times New Roman"/>
          <w:sz w:val="26"/>
          <w:szCs w:val="26"/>
        </w:rPr>
        <w:t xml:space="preserve">that the Company’s proposed Supplement No. 6 should be rejected </w:t>
      </w:r>
      <w:r w:rsidRPr="009F73B0">
        <w:rPr>
          <w:rFonts w:ascii="Times New Roman" w:hAnsi="Times New Roman" w:cs="Times New Roman"/>
          <w:sz w:val="26"/>
          <w:szCs w:val="26"/>
        </w:rPr>
        <w:lastRenderedPageBreak/>
        <w:t xml:space="preserve">and that we should permit the Company to employ the no gross-up method.  PAWC claims that the need to issue an Opinion and Order on this matter at the February Public Meeting was a result of the function of the terms of Section 1308(b) of the Code, which establishes a suspension period of six months from the end of the sixty-day notice period following the filing of a non-general rate case.  PAWC explains that the proceeding must be ruled on by the end of the suspension period.  PAWC notes that while we are authorized under Section 1308(b) of the Code to extend the suspension period for an additional three months, we did not do so.  PAWC further </w:t>
      </w:r>
      <w:r w:rsidR="004D6520">
        <w:rPr>
          <w:rFonts w:ascii="Times New Roman" w:hAnsi="Times New Roman" w:cs="Times New Roman"/>
          <w:sz w:val="26"/>
          <w:szCs w:val="26"/>
        </w:rPr>
        <w:t>highlights the oral statement of Vice Chairman David W. Sweet during the discussion of this matter</w:t>
      </w:r>
      <w:r w:rsidRPr="009F73B0">
        <w:rPr>
          <w:rFonts w:ascii="Times New Roman" w:hAnsi="Times New Roman" w:cs="Times New Roman"/>
          <w:sz w:val="26"/>
          <w:szCs w:val="26"/>
        </w:rPr>
        <w:t xml:space="preserve"> at the February Public Meeting</w:t>
      </w:r>
      <w:r w:rsidR="004D6520">
        <w:rPr>
          <w:rFonts w:ascii="Times New Roman" w:hAnsi="Times New Roman" w:cs="Times New Roman"/>
          <w:sz w:val="26"/>
          <w:szCs w:val="26"/>
        </w:rPr>
        <w:t xml:space="preserve">.  PAWC asserts that Vice Chairman Sweet </w:t>
      </w:r>
      <w:r w:rsidRPr="009F73B0">
        <w:rPr>
          <w:rFonts w:ascii="Times New Roman" w:hAnsi="Times New Roman" w:cs="Times New Roman"/>
          <w:sz w:val="26"/>
          <w:szCs w:val="26"/>
        </w:rPr>
        <w:t>explained that his vote to adopt the ALJ’s recommendation to reject PAWC’s proposed Supplement No. 6 was largely the result of</w:t>
      </w:r>
      <w:r w:rsidR="00992FC5">
        <w:rPr>
          <w:rFonts w:ascii="Times New Roman" w:hAnsi="Times New Roman" w:cs="Times New Roman"/>
          <w:sz w:val="26"/>
          <w:szCs w:val="26"/>
        </w:rPr>
        <w:t>:</w:t>
      </w:r>
      <w:r w:rsidRPr="009F73B0">
        <w:rPr>
          <w:rFonts w:ascii="Times New Roman" w:hAnsi="Times New Roman" w:cs="Times New Roman"/>
          <w:sz w:val="26"/>
          <w:szCs w:val="26"/>
        </w:rPr>
        <w:t xml:space="preserve"> </w:t>
      </w:r>
      <w:r w:rsidR="00E74395">
        <w:rPr>
          <w:rFonts w:ascii="Times New Roman" w:hAnsi="Times New Roman" w:cs="Times New Roman"/>
          <w:sz w:val="26"/>
          <w:szCs w:val="26"/>
        </w:rPr>
        <w:t xml:space="preserve"> </w:t>
      </w:r>
      <w:r w:rsidR="004D6520">
        <w:rPr>
          <w:rFonts w:ascii="Times New Roman" w:hAnsi="Times New Roman" w:cs="Times New Roman"/>
          <w:sz w:val="26"/>
          <w:szCs w:val="26"/>
        </w:rPr>
        <w:t>(1)</w:t>
      </w:r>
      <w:r w:rsidR="00F40454">
        <w:rPr>
          <w:rFonts w:ascii="Times New Roman" w:hAnsi="Times New Roman" w:cs="Times New Roman"/>
          <w:sz w:val="26"/>
          <w:szCs w:val="26"/>
        </w:rPr>
        <w:t xml:space="preserve"> </w:t>
      </w:r>
      <w:r w:rsidRPr="009F73B0">
        <w:rPr>
          <w:rFonts w:ascii="Times New Roman" w:hAnsi="Times New Roman" w:cs="Times New Roman"/>
          <w:sz w:val="26"/>
          <w:szCs w:val="26"/>
        </w:rPr>
        <w:t>the lack of sufficient time to thoroughly analyze the issues in this proceeding</w:t>
      </w:r>
      <w:r w:rsidR="004D6520">
        <w:rPr>
          <w:rFonts w:ascii="Times New Roman" w:hAnsi="Times New Roman" w:cs="Times New Roman"/>
          <w:sz w:val="26"/>
          <w:szCs w:val="26"/>
        </w:rPr>
        <w:t>;</w:t>
      </w:r>
      <w:r w:rsidRPr="009F73B0">
        <w:rPr>
          <w:rFonts w:ascii="Times New Roman" w:hAnsi="Times New Roman" w:cs="Times New Roman"/>
          <w:sz w:val="26"/>
          <w:szCs w:val="26"/>
        </w:rPr>
        <w:t xml:space="preserve"> and </w:t>
      </w:r>
      <w:r w:rsidR="004D6520">
        <w:rPr>
          <w:rFonts w:ascii="Times New Roman" w:hAnsi="Times New Roman" w:cs="Times New Roman"/>
          <w:sz w:val="26"/>
          <w:szCs w:val="26"/>
        </w:rPr>
        <w:t xml:space="preserve">(2) </w:t>
      </w:r>
      <w:r w:rsidRPr="009F73B0">
        <w:rPr>
          <w:rFonts w:ascii="Times New Roman" w:hAnsi="Times New Roman" w:cs="Times New Roman"/>
          <w:sz w:val="26"/>
          <w:szCs w:val="26"/>
        </w:rPr>
        <w:t>the fact that this proceeding would impact other major water utilities under the Commission’s jurisdiction.  Therefore, PAWC submits that we should have extended the initial six-month suspension period consistent with the provisions of Section</w:t>
      </w:r>
      <w:r w:rsidR="002D2C25">
        <w:rPr>
          <w:rFonts w:ascii="Times New Roman" w:hAnsi="Times New Roman" w:cs="Times New Roman"/>
          <w:sz w:val="26"/>
          <w:szCs w:val="26"/>
        </w:rPr>
        <w:t> </w:t>
      </w:r>
      <w:r w:rsidRPr="009F73B0">
        <w:rPr>
          <w:rFonts w:ascii="Times New Roman" w:hAnsi="Times New Roman" w:cs="Times New Roman"/>
          <w:sz w:val="26"/>
          <w:szCs w:val="26"/>
        </w:rPr>
        <w:t>1308(b) of the Code in order to provide more time to consider the issues in this proceeding.  Petition at 2-4, 11.</w:t>
      </w:r>
    </w:p>
    <w:p w14:paraId="58C9B3B2" w14:textId="77777777" w:rsidR="00776B1A" w:rsidRPr="009F73B0" w:rsidRDefault="00776B1A" w:rsidP="00723B1F">
      <w:pPr>
        <w:spacing w:after="0" w:line="360" w:lineRule="auto"/>
        <w:ind w:firstLine="1440"/>
        <w:contextualSpacing/>
        <w:rPr>
          <w:rFonts w:ascii="Times New Roman" w:hAnsi="Times New Roman" w:cs="Times New Roman"/>
          <w:sz w:val="26"/>
          <w:szCs w:val="26"/>
        </w:rPr>
      </w:pPr>
    </w:p>
    <w:p w14:paraId="723D276B" w14:textId="1C7716CE" w:rsidR="003C5010" w:rsidRDefault="006C0A98"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PAWC alleges that a solid evidentiary record was developed in this proceeding to support the Company’s position.  PAWC posits that because our </w:t>
      </w:r>
      <w:r w:rsidRPr="009F73B0">
        <w:rPr>
          <w:rFonts w:ascii="Times New Roman" w:hAnsi="Times New Roman" w:cs="Times New Roman"/>
          <w:i/>
          <w:iCs/>
          <w:sz w:val="26"/>
          <w:szCs w:val="26"/>
        </w:rPr>
        <w:t>February 2019 Order</w:t>
      </w:r>
      <w:r w:rsidRPr="009F73B0">
        <w:rPr>
          <w:rFonts w:ascii="Times New Roman" w:hAnsi="Times New Roman" w:cs="Times New Roman"/>
          <w:sz w:val="26"/>
          <w:szCs w:val="26"/>
        </w:rPr>
        <w:t xml:space="preserve"> had the effect of tolling the six-month suspension period, the Commission now has the opportunity to consider the record evidence and to devote the proper attention to this matter.  PAWC </w:t>
      </w:r>
      <w:r w:rsidR="003C5010">
        <w:rPr>
          <w:rFonts w:ascii="Times New Roman" w:hAnsi="Times New Roman" w:cs="Times New Roman"/>
          <w:sz w:val="26"/>
          <w:szCs w:val="26"/>
        </w:rPr>
        <w:t>posits</w:t>
      </w:r>
      <w:r w:rsidRPr="009F73B0">
        <w:rPr>
          <w:rFonts w:ascii="Times New Roman" w:hAnsi="Times New Roman" w:cs="Times New Roman"/>
          <w:sz w:val="26"/>
          <w:szCs w:val="26"/>
        </w:rPr>
        <w:t xml:space="preserve"> that in granting reconsideration, the Commission could invite comments from other major water utilities which have expressed the desire to employ the no gross-up method</w:t>
      </w:r>
      <w:r w:rsidR="00855455">
        <w:rPr>
          <w:rFonts w:ascii="Times New Roman" w:hAnsi="Times New Roman" w:cs="Times New Roman"/>
          <w:sz w:val="26"/>
          <w:szCs w:val="26"/>
        </w:rPr>
        <w:t>.</w:t>
      </w:r>
      <w:r w:rsidRPr="009F73B0">
        <w:rPr>
          <w:rFonts w:ascii="Times New Roman" w:hAnsi="Times New Roman" w:cs="Times New Roman"/>
          <w:sz w:val="26"/>
          <w:szCs w:val="26"/>
        </w:rPr>
        <w:t xml:space="preserve">  PAWC takes the position that there may be a subsequent proceeding that may validate the </w:t>
      </w:r>
      <w:r w:rsidR="003676C5">
        <w:rPr>
          <w:rFonts w:ascii="Times New Roman" w:hAnsi="Times New Roman" w:cs="Times New Roman"/>
          <w:sz w:val="26"/>
          <w:szCs w:val="26"/>
        </w:rPr>
        <w:t>Company’s proposed use of the no gross-up method</w:t>
      </w:r>
      <w:r w:rsidRPr="009F73B0">
        <w:rPr>
          <w:rFonts w:ascii="Times New Roman" w:hAnsi="Times New Roman" w:cs="Times New Roman"/>
          <w:sz w:val="26"/>
          <w:szCs w:val="26"/>
        </w:rPr>
        <w:t xml:space="preserve">.  </w:t>
      </w:r>
      <w:r w:rsidR="003C5010">
        <w:rPr>
          <w:rFonts w:ascii="Times New Roman" w:hAnsi="Times New Roman" w:cs="Times New Roman"/>
          <w:sz w:val="26"/>
          <w:szCs w:val="26"/>
        </w:rPr>
        <w:t>According to PAWC</w:t>
      </w:r>
      <w:r w:rsidR="00893046">
        <w:rPr>
          <w:rFonts w:ascii="Times New Roman" w:hAnsi="Times New Roman" w:cs="Times New Roman"/>
          <w:sz w:val="26"/>
          <w:szCs w:val="26"/>
        </w:rPr>
        <w:t>,</w:t>
      </w:r>
      <w:r w:rsidRPr="009F73B0">
        <w:rPr>
          <w:rFonts w:ascii="Times New Roman" w:hAnsi="Times New Roman" w:cs="Times New Roman"/>
          <w:sz w:val="26"/>
          <w:szCs w:val="26"/>
        </w:rPr>
        <w:t xml:space="preserve"> such a proceeding was suggested by former Commissioner Norman J. Kennard at the February Public Meeting.  </w:t>
      </w:r>
      <w:r w:rsidR="003C5010">
        <w:rPr>
          <w:rFonts w:ascii="Times New Roman" w:hAnsi="Times New Roman" w:cs="Times New Roman"/>
          <w:sz w:val="26"/>
          <w:szCs w:val="26"/>
        </w:rPr>
        <w:t>Petition at 2, 4</w:t>
      </w:r>
      <w:r w:rsidR="003C5010">
        <w:rPr>
          <w:rFonts w:ascii="Times New Roman" w:hAnsi="Times New Roman" w:cs="Times New Roman"/>
          <w:sz w:val="26"/>
          <w:szCs w:val="26"/>
        </w:rPr>
        <w:noBreakHyphen/>
        <w:t>5.</w:t>
      </w:r>
    </w:p>
    <w:p w14:paraId="31201859" w14:textId="77777777" w:rsidR="003C5010" w:rsidRDefault="003C5010" w:rsidP="00723B1F">
      <w:pPr>
        <w:spacing w:after="0" w:line="360" w:lineRule="auto"/>
        <w:ind w:firstLine="1440"/>
        <w:contextualSpacing/>
        <w:rPr>
          <w:rFonts w:ascii="Times New Roman" w:hAnsi="Times New Roman" w:cs="Times New Roman"/>
          <w:sz w:val="26"/>
          <w:szCs w:val="26"/>
        </w:rPr>
      </w:pPr>
    </w:p>
    <w:p w14:paraId="0687D5A1" w14:textId="35E0BB06" w:rsidR="006C0A98" w:rsidRPr="009F73B0" w:rsidRDefault="006C0A98"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lastRenderedPageBreak/>
        <w:t>Further, PAWC claims that Vice Chairman Sweet expressed his willingness to work with Commissioner Kennard to more deeply analyze the impacts of the gross-up method on the water and wastewater industries.  Therefore, PAWC argues that granting reconsideration to address in greater depth the issues presented by the Company in favor of the no gross</w:t>
      </w:r>
      <w:r w:rsidRPr="009F73B0">
        <w:rPr>
          <w:rFonts w:ascii="Times New Roman" w:hAnsi="Times New Roman" w:cs="Times New Roman"/>
          <w:sz w:val="26"/>
          <w:szCs w:val="26"/>
        </w:rPr>
        <w:noBreakHyphen/>
        <w:t xml:space="preserve">up method is preferable to letting the </w:t>
      </w:r>
      <w:r w:rsidRPr="009F73B0">
        <w:rPr>
          <w:rFonts w:ascii="Times New Roman" w:hAnsi="Times New Roman" w:cs="Times New Roman"/>
          <w:i/>
          <w:iCs/>
          <w:sz w:val="26"/>
          <w:szCs w:val="26"/>
        </w:rPr>
        <w:t xml:space="preserve">February 2019 Order </w:t>
      </w:r>
      <w:r w:rsidRPr="009F73B0">
        <w:rPr>
          <w:rFonts w:ascii="Times New Roman" w:hAnsi="Times New Roman" w:cs="Times New Roman"/>
          <w:sz w:val="26"/>
          <w:szCs w:val="26"/>
        </w:rPr>
        <w:t xml:space="preserve">stand, only to revisit these issues in a new proceeding initiated in the future.  In PAWC’s view, failing to reconsider our </w:t>
      </w:r>
      <w:r w:rsidRPr="009F73B0">
        <w:rPr>
          <w:rFonts w:ascii="Times New Roman" w:hAnsi="Times New Roman" w:cs="Times New Roman"/>
          <w:i/>
          <w:iCs/>
          <w:sz w:val="26"/>
          <w:szCs w:val="26"/>
        </w:rPr>
        <w:t xml:space="preserve">February 2019 Order </w:t>
      </w:r>
      <w:r w:rsidRPr="009F73B0">
        <w:rPr>
          <w:rFonts w:ascii="Times New Roman" w:hAnsi="Times New Roman" w:cs="Times New Roman"/>
          <w:sz w:val="26"/>
          <w:szCs w:val="26"/>
        </w:rPr>
        <w:t xml:space="preserve">would be fundamentally unfair because it would create a subset of contributors who must pay </w:t>
      </w:r>
      <w:r w:rsidR="003C5010">
        <w:rPr>
          <w:rFonts w:ascii="Times New Roman" w:hAnsi="Times New Roman" w:cs="Times New Roman"/>
          <w:sz w:val="26"/>
          <w:szCs w:val="26"/>
        </w:rPr>
        <w:t>Contributions and Advances</w:t>
      </w:r>
      <w:r w:rsidRPr="009F73B0">
        <w:rPr>
          <w:rFonts w:ascii="Times New Roman" w:hAnsi="Times New Roman" w:cs="Times New Roman"/>
          <w:sz w:val="26"/>
          <w:szCs w:val="26"/>
        </w:rPr>
        <w:t xml:space="preserve"> during the interval between the Order’s January 1, 2018 retroactive date and the entry of a future order in which the Commission may lift the gross-up requirement for the water and wastewater industries.  Petition at </w:t>
      </w:r>
      <w:r w:rsidR="003C5010">
        <w:rPr>
          <w:rFonts w:ascii="Times New Roman" w:hAnsi="Times New Roman" w:cs="Times New Roman"/>
          <w:sz w:val="26"/>
          <w:szCs w:val="26"/>
        </w:rPr>
        <w:t>5</w:t>
      </w:r>
      <w:r w:rsidRPr="009F73B0">
        <w:rPr>
          <w:rFonts w:ascii="Times New Roman" w:hAnsi="Times New Roman" w:cs="Times New Roman"/>
          <w:sz w:val="26"/>
          <w:szCs w:val="26"/>
        </w:rPr>
        <w:t>-6, 11-12.</w:t>
      </w:r>
    </w:p>
    <w:p w14:paraId="5EF62C71" w14:textId="77777777" w:rsidR="00776B1A" w:rsidRPr="009F73B0" w:rsidRDefault="00776B1A" w:rsidP="00723B1F">
      <w:pPr>
        <w:spacing w:after="0" w:line="360" w:lineRule="auto"/>
        <w:ind w:firstLine="1440"/>
        <w:contextualSpacing/>
        <w:rPr>
          <w:rFonts w:ascii="Times New Roman" w:hAnsi="Times New Roman" w:cs="Times New Roman"/>
          <w:sz w:val="26"/>
          <w:szCs w:val="26"/>
        </w:rPr>
      </w:pPr>
    </w:p>
    <w:p w14:paraId="4B069FF5" w14:textId="33F4C390" w:rsidR="008E563B" w:rsidRPr="008E563B" w:rsidRDefault="008E563B" w:rsidP="00723B1F">
      <w:pPr>
        <w:spacing w:after="0" w:line="360" w:lineRule="auto"/>
        <w:ind w:firstLine="1440"/>
        <w:contextualSpacing/>
        <w:rPr>
          <w:rFonts w:ascii="Times New Roman" w:hAnsi="Times New Roman" w:cs="Times New Roman"/>
          <w:sz w:val="26"/>
          <w:szCs w:val="26"/>
        </w:rPr>
      </w:pPr>
      <w:r w:rsidRPr="008E563B">
        <w:rPr>
          <w:rFonts w:ascii="Times New Roman" w:hAnsi="Times New Roman" w:cs="Times New Roman"/>
          <w:sz w:val="26"/>
          <w:szCs w:val="26"/>
        </w:rPr>
        <w:t xml:space="preserve">In response, I&amp;E contends that contrary to PAWC’s suggestion, Vice Chairman Sweet did not indicate that his vote to deny the Company’s proposal was a result of the lack of sufficient time to thoroughly analyze the record in this proceeding.  Rather, I&amp;E argues that the Vice Chairman clearly stated: </w:t>
      </w:r>
      <w:r w:rsidR="00D53175">
        <w:rPr>
          <w:rFonts w:ascii="Times New Roman" w:hAnsi="Times New Roman" w:cs="Times New Roman"/>
          <w:sz w:val="26"/>
          <w:szCs w:val="26"/>
        </w:rPr>
        <w:t xml:space="preserve"> </w:t>
      </w:r>
      <w:r w:rsidRPr="008E563B">
        <w:rPr>
          <w:rFonts w:ascii="Times New Roman" w:hAnsi="Times New Roman" w:cs="Times New Roman"/>
          <w:sz w:val="26"/>
          <w:szCs w:val="26"/>
        </w:rPr>
        <w:t>(1)</w:t>
      </w:r>
      <w:r w:rsidR="000D2D95">
        <w:rPr>
          <w:rFonts w:ascii="Times New Roman" w:hAnsi="Times New Roman" w:cs="Times New Roman"/>
          <w:sz w:val="26"/>
          <w:szCs w:val="26"/>
        </w:rPr>
        <w:t xml:space="preserve"> </w:t>
      </w:r>
      <w:r w:rsidRPr="008E563B">
        <w:rPr>
          <w:rFonts w:ascii="Times New Roman" w:hAnsi="Times New Roman" w:cs="Times New Roman"/>
          <w:sz w:val="26"/>
          <w:szCs w:val="26"/>
        </w:rPr>
        <w:t xml:space="preserve">that he was reluctant to reverse the thirty-year precedent set forth in the </w:t>
      </w:r>
      <w:r w:rsidRPr="008E563B">
        <w:rPr>
          <w:rFonts w:ascii="Times New Roman" w:hAnsi="Times New Roman" w:cs="Times New Roman"/>
          <w:i/>
          <w:iCs/>
          <w:sz w:val="26"/>
          <w:szCs w:val="26"/>
        </w:rPr>
        <w:t>TRA-86 Order</w:t>
      </w:r>
      <w:r w:rsidRPr="008E563B">
        <w:rPr>
          <w:rFonts w:ascii="Times New Roman" w:hAnsi="Times New Roman" w:cs="Times New Roman"/>
          <w:sz w:val="26"/>
          <w:szCs w:val="26"/>
        </w:rPr>
        <w:t xml:space="preserve"> because PAWC failed to satisfy its burden based on the record developed in this proceeding; and (2) that he was open to reviewing this issue on a broader industry-wide basis at a later date.  I&amp;E takes the position that Vice Chairman Sweet’s willingness to potentially examine this issue in a separate, industry</w:t>
      </w:r>
      <w:r w:rsidRPr="008E563B">
        <w:rPr>
          <w:rFonts w:ascii="Times New Roman" w:hAnsi="Times New Roman" w:cs="Times New Roman"/>
          <w:sz w:val="26"/>
          <w:szCs w:val="26"/>
        </w:rPr>
        <w:noBreakHyphen/>
        <w:t xml:space="preserve">wide proceeding cannot be done through granting reconsideration of the </w:t>
      </w:r>
      <w:r w:rsidRPr="008E563B">
        <w:rPr>
          <w:rFonts w:ascii="Times New Roman" w:hAnsi="Times New Roman" w:cs="Times New Roman"/>
          <w:i/>
          <w:iCs/>
          <w:sz w:val="26"/>
          <w:szCs w:val="26"/>
        </w:rPr>
        <w:t xml:space="preserve">February 2019 Order.  </w:t>
      </w:r>
      <w:r w:rsidRPr="008E563B">
        <w:rPr>
          <w:rFonts w:ascii="Times New Roman" w:hAnsi="Times New Roman" w:cs="Times New Roman"/>
          <w:sz w:val="26"/>
          <w:szCs w:val="26"/>
        </w:rPr>
        <w:t>Similarly, I&amp;E asserts that the Company’s argument that the Commission should grant reconsideration in order to solicit comments from other major water utilities must be rejected because the Company should have made this argument during the litigation phase of this proceeding.  I&amp;E submits that granting the Company reconsideration by soliciting this input is also unnecessary given that several other major water and wastewater utilities agreed to defer to the Commission’s decision in this proceeding.  Answer at 4-9.</w:t>
      </w:r>
    </w:p>
    <w:p w14:paraId="58335304" w14:textId="77777777" w:rsidR="008E563B" w:rsidRPr="008E563B" w:rsidRDefault="008E563B" w:rsidP="00723B1F">
      <w:pPr>
        <w:spacing w:after="0" w:line="360" w:lineRule="auto"/>
        <w:ind w:firstLine="1440"/>
        <w:contextualSpacing/>
        <w:rPr>
          <w:rFonts w:ascii="Times New Roman" w:hAnsi="Times New Roman" w:cs="Times New Roman"/>
          <w:sz w:val="26"/>
          <w:szCs w:val="26"/>
        </w:rPr>
      </w:pPr>
    </w:p>
    <w:p w14:paraId="4404B890" w14:textId="798DD363" w:rsidR="008E563B" w:rsidRPr="008E563B" w:rsidRDefault="008E563B" w:rsidP="00723B1F">
      <w:pPr>
        <w:spacing w:after="0" w:line="360" w:lineRule="auto"/>
        <w:ind w:firstLine="1440"/>
        <w:contextualSpacing/>
        <w:rPr>
          <w:rFonts w:ascii="Times New Roman" w:hAnsi="Times New Roman" w:cs="Times New Roman"/>
          <w:sz w:val="26"/>
          <w:szCs w:val="26"/>
        </w:rPr>
      </w:pPr>
      <w:r w:rsidRPr="008E563B">
        <w:rPr>
          <w:rFonts w:ascii="Times New Roman" w:hAnsi="Times New Roman" w:cs="Times New Roman"/>
          <w:sz w:val="26"/>
          <w:szCs w:val="26"/>
        </w:rPr>
        <w:lastRenderedPageBreak/>
        <w:t xml:space="preserve">I&amp;E refutes PAWC’s argument that a solid record was developed in this proceeding to support the Company’s position.  In this regard, I&amp;E argues that the </w:t>
      </w:r>
      <w:r w:rsidRPr="008E563B">
        <w:rPr>
          <w:rFonts w:ascii="Times New Roman" w:hAnsi="Times New Roman" w:cs="Times New Roman"/>
          <w:i/>
          <w:iCs/>
          <w:sz w:val="26"/>
          <w:szCs w:val="26"/>
        </w:rPr>
        <w:t>February 2019 Order</w:t>
      </w:r>
      <w:r w:rsidRPr="008E563B">
        <w:rPr>
          <w:rFonts w:ascii="Times New Roman" w:hAnsi="Times New Roman" w:cs="Times New Roman"/>
          <w:sz w:val="26"/>
          <w:szCs w:val="26"/>
        </w:rPr>
        <w:t xml:space="preserve"> established that PAWC and PBA failed to support the</w:t>
      </w:r>
      <w:r w:rsidR="00261D03">
        <w:rPr>
          <w:rFonts w:ascii="Times New Roman" w:hAnsi="Times New Roman" w:cs="Times New Roman"/>
          <w:sz w:val="26"/>
          <w:szCs w:val="26"/>
        </w:rPr>
        <w:t xml:space="preserve"> use of the</w:t>
      </w:r>
      <w:r w:rsidRPr="008E563B">
        <w:rPr>
          <w:rFonts w:ascii="Times New Roman" w:hAnsi="Times New Roman" w:cs="Times New Roman"/>
          <w:sz w:val="26"/>
          <w:szCs w:val="26"/>
        </w:rPr>
        <w:t xml:space="preserve"> no-gross up </w:t>
      </w:r>
      <w:r w:rsidR="00261D03">
        <w:rPr>
          <w:rFonts w:ascii="Times New Roman" w:hAnsi="Times New Roman" w:cs="Times New Roman"/>
          <w:sz w:val="26"/>
          <w:szCs w:val="26"/>
        </w:rPr>
        <w:t>method</w:t>
      </w:r>
      <w:r w:rsidRPr="008E563B">
        <w:rPr>
          <w:rFonts w:ascii="Times New Roman" w:hAnsi="Times New Roman" w:cs="Times New Roman"/>
          <w:sz w:val="26"/>
          <w:szCs w:val="26"/>
        </w:rPr>
        <w:t xml:space="preserve">.  Additionally, I&amp;E contends that the claims PAWC raises in its Petition in favor of the no gross-up method do not qualify as “new and novel” grounds for reconsideration because they are simply a restatement of the Company’s arguments that were previously considered and rejected by both the ALJ and the Commission.  In a similar fashion, I&amp;E refutes PAWC’s assertion that we should have extended the initial six-month suspension period in this proceeding.  I&amp;E points out that this proceeding effectively centers on a single issue, </w:t>
      </w:r>
      <w:r w:rsidRPr="008E563B">
        <w:rPr>
          <w:rFonts w:ascii="Times New Roman" w:hAnsi="Times New Roman" w:cs="Times New Roman"/>
          <w:i/>
          <w:iCs/>
          <w:sz w:val="26"/>
          <w:szCs w:val="26"/>
        </w:rPr>
        <w:t>i.e.</w:t>
      </w:r>
      <w:r w:rsidRPr="008E563B">
        <w:rPr>
          <w:rFonts w:ascii="Times New Roman" w:hAnsi="Times New Roman" w:cs="Times New Roman"/>
          <w:sz w:val="26"/>
          <w:szCs w:val="26"/>
        </w:rPr>
        <w:t xml:space="preserve"> who should bear the tax responsibility for CIAC and CAC.  I&amp;E </w:t>
      </w:r>
      <w:r w:rsidR="00200B09">
        <w:rPr>
          <w:rFonts w:ascii="Times New Roman" w:hAnsi="Times New Roman" w:cs="Times New Roman"/>
          <w:sz w:val="26"/>
          <w:szCs w:val="26"/>
        </w:rPr>
        <w:t>notes that</w:t>
      </w:r>
      <w:r w:rsidRPr="008E563B">
        <w:rPr>
          <w:rFonts w:ascii="Times New Roman" w:hAnsi="Times New Roman" w:cs="Times New Roman"/>
          <w:sz w:val="26"/>
          <w:szCs w:val="26"/>
        </w:rPr>
        <w:t xml:space="preserve"> </w:t>
      </w:r>
      <w:r w:rsidR="00200B09">
        <w:rPr>
          <w:rFonts w:ascii="Times New Roman" w:hAnsi="Times New Roman" w:cs="Times New Roman"/>
          <w:sz w:val="26"/>
          <w:szCs w:val="26"/>
        </w:rPr>
        <w:t xml:space="preserve">in the allotted </w:t>
      </w:r>
      <w:r w:rsidRPr="008E563B">
        <w:rPr>
          <w:rFonts w:ascii="Times New Roman" w:hAnsi="Times New Roman" w:cs="Times New Roman"/>
          <w:sz w:val="26"/>
          <w:szCs w:val="26"/>
        </w:rPr>
        <w:t>six months</w:t>
      </w:r>
      <w:r w:rsidR="00200B09">
        <w:rPr>
          <w:rFonts w:ascii="Times New Roman" w:hAnsi="Times New Roman" w:cs="Times New Roman"/>
          <w:sz w:val="26"/>
          <w:szCs w:val="26"/>
        </w:rPr>
        <w:t xml:space="preserve">, the </w:t>
      </w:r>
      <w:r w:rsidR="00320D47">
        <w:rPr>
          <w:rFonts w:ascii="Times New Roman" w:hAnsi="Times New Roman" w:cs="Times New Roman"/>
          <w:sz w:val="26"/>
          <w:szCs w:val="26"/>
        </w:rPr>
        <w:t>P</w:t>
      </w:r>
      <w:r w:rsidR="00200B09">
        <w:rPr>
          <w:rFonts w:ascii="Times New Roman" w:hAnsi="Times New Roman" w:cs="Times New Roman"/>
          <w:sz w:val="26"/>
          <w:szCs w:val="26"/>
        </w:rPr>
        <w:t xml:space="preserve">arties were able to </w:t>
      </w:r>
      <w:r w:rsidRPr="008E563B">
        <w:rPr>
          <w:rFonts w:ascii="Times New Roman" w:hAnsi="Times New Roman" w:cs="Times New Roman"/>
          <w:sz w:val="26"/>
          <w:szCs w:val="26"/>
        </w:rPr>
        <w:t>submit several rounds of testimony</w:t>
      </w:r>
      <w:r w:rsidR="00200B09">
        <w:rPr>
          <w:rFonts w:ascii="Times New Roman" w:hAnsi="Times New Roman" w:cs="Times New Roman"/>
          <w:sz w:val="26"/>
          <w:szCs w:val="26"/>
        </w:rPr>
        <w:t>, the ALJ was able to issue a Recommended Decision, and the</w:t>
      </w:r>
      <w:r w:rsidRPr="008E563B">
        <w:rPr>
          <w:rFonts w:ascii="Times New Roman" w:hAnsi="Times New Roman" w:cs="Times New Roman"/>
          <w:sz w:val="26"/>
          <w:szCs w:val="26"/>
        </w:rPr>
        <w:t xml:space="preserve"> Commission </w:t>
      </w:r>
      <w:r w:rsidR="00200B09">
        <w:rPr>
          <w:rFonts w:ascii="Times New Roman" w:hAnsi="Times New Roman" w:cs="Times New Roman"/>
          <w:sz w:val="26"/>
          <w:szCs w:val="26"/>
        </w:rPr>
        <w:t xml:space="preserve">was able </w:t>
      </w:r>
      <w:r w:rsidRPr="008E563B">
        <w:rPr>
          <w:rFonts w:ascii="Times New Roman" w:hAnsi="Times New Roman" w:cs="Times New Roman"/>
          <w:sz w:val="26"/>
          <w:szCs w:val="26"/>
        </w:rPr>
        <w:t xml:space="preserve">to enter an Opinion and Order detailing the reasons that the Company’s proposal should be rejected. </w:t>
      </w:r>
      <w:r w:rsidR="00200B09">
        <w:rPr>
          <w:rFonts w:ascii="Times New Roman" w:hAnsi="Times New Roman" w:cs="Times New Roman"/>
          <w:sz w:val="26"/>
          <w:szCs w:val="26"/>
        </w:rPr>
        <w:t xml:space="preserve"> Therefore, </w:t>
      </w:r>
      <w:r w:rsidR="00200B09" w:rsidRPr="00200B09">
        <w:rPr>
          <w:rFonts w:ascii="Times New Roman" w:hAnsi="Times New Roman" w:cs="Times New Roman"/>
          <w:sz w:val="26"/>
          <w:szCs w:val="26"/>
        </w:rPr>
        <w:t>I&amp;E</w:t>
      </w:r>
      <w:r w:rsidR="00200B09">
        <w:rPr>
          <w:rFonts w:ascii="Times New Roman" w:hAnsi="Times New Roman" w:cs="Times New Roman"/>
          <w:sz w:val="26"/>
          <w:szCs w:val="26"/>
        </w:rPr>
        <w:t xml:space="preserve"> submits that there was nothing procedurally unusual about this proceeding that would warrant reconsideration. </w:t>
      </w:r>
      <w:r w:rsidRPr="008E563B">
        <w:rPr>
          <w:rFonts w:ascii="Times New Roman" w:hAnsi="Times New Roman" w:cs="Times New Roman"/>
          <w:sz w:val="26"/>
          <w:szCs w:val="26"/>
        </w:rPr>
        <w:t xml:space="preserve"> Answer at 9-10, 24.</w:t>
      </w:r>
    </w:p>
    <w:p w14:paraId="04294CAD" w14:textId="77777777" w:rsidR="008E563B" w:rsidRPr="008E563B" w:rsidRDefault="008E563B" w:rsidP="00723B1F">
      <w:pPr>
        <w:spacing w:after="0" w:line="360" w:lineRule="auto"/>
        <w:ind w:firstLine="1440"/>
        <w:contextualSpacing/>
        <w:rPr>
          <w:rFonts w:ascii="Times New Roman" w:hAnsi="Times New Roman" w:cs="Times New Roman"/>
          <w:sz w:val="26"/>
          <w:szCs w:val="26"/>
        </w:rPr>
      </w:pPr>
    </w:p>
    <w:p w14:paraId="3F6F2C97" w14:textId="77777777" w:rsidR="008E563B" w:rsidRPr="008E563B" w:rsidRDefault="008E563B" w:rsidP="00723B1F">
      <w:pPr>
        <w:spacing w:after="0" w:line="360" w:lineRule="auto"/>
        <w:ind w:firstLine="1440"/>
        <w:contextualSpacing/>
        <w:rPr>
          <w:rFonts w:ascii="Times New Roman" w:hAnsi="Times New Roman" w:cs="Times New Roman"/>
          <w:sz w:val="26"/>
          <w:szCs w:val="26"/>
        </w:rPr>
      </w:pPr>
      <w:r w:rsidRPr="008E563B">
        <w:rPr>
          <w:rFonts w:ascii="Times New Roman" w:hAnsi="Times New Roman" w:cs="Times New Roman"/>
          <w:sz w:val="26"/>
          <w:szCs w:val="26"/>
        </w:rPr>
        <w:t xml:space="preserve">I&amp;E also disputes PAWC’s contention that it would be fundamentally unfair to force contributors of CAC and CIAC to pay a gross-up as a result of this proceeding.  I&amp;E argues that our </w:t>
      </w:r>
      <w:r w:rsidRPr="008E563B">
        <w:rPr>
          <w:rFonts w:ascii="Times New Roman" w:hAnsi="Times New Roman" w:cs="Times New Roman"/>
          <w:i/>
          <w:iCs/>
          <w:sz w:val="26"/>
          <w:szCs w:val="26"/>
        </w:rPr>
        <w:t xml:space="preserve">February 2019 Order </w:t>
      </w:r>
      <w:r w:rsidRPr="008E563B">
        <w:rPr>
          <w:rFonts w:ascii="Times New Roman" w:hAnsi="Times New Roman" w:cs="Times New Roman"/>
          <w:sz w:val="26"/>
          <w:szCs w:val="26"/>
        </w:rPr>
        <w:t xml:space="preserve">is wholly consistent with the </w:t>
      </w:r>
      <w:r w:rsidRPr="008E563B">
        <w:rPr>
          <w:rFonts w:ascii="Times New Roman" w:hAnsi="Times New Roman" w:cs="Times New Roman"/>
          <w:i/>
          <w:iCs/>
          <w:sz w:val="26"/>
          <w:szCs w:val="26"/>
        </w:rPr>
        <w:t>TRA-86 Order</w:t>
      </w:r>
      <w:r w:rsidRPr="008E563B">
        <w:rPr>
          <w:rFonts w:ascii="Times New Roman" w:hAnsi="Times New Roman" w:cs="Times New Roman"/>
          <w:sz w:val="26"/>
          <w:szCs w:val="26"/>
        </w:rPr>
        <w:t xml:space="preserve">, which has been in effect for more than thirty years.  In addition, I&amp;E suggests that any fundamental unfairness is a result of PAWC’s unilateral action to change its methodology without first obtaining Commission approval.  Therefore, I&amp;E contends that our </w:t>
      </w:r>
      <w:r w:rsidRPr="008E563B">
        <w:rPr>
          <w:rFonts w:ascii="Times New Roman" w:hAnsi="Times New Roman" w:cs="Times New Roman"/>
          <w:i/>
          <w:iCs/>
          <w:sz w:val="26"/>
          <w:szCs w:val="26"/>
        </w:rPr>
        <w:t>February 2019 Order</w:t>
      </w:r>
      <w:r w:rsidRPr="008E563B">
        <w:rPr>
          <w:rFonts w:ascii="Times New Roman" w:hAnsi="Times New Roman" w:cs="Times New Roman"/>
          <w:sz w:val="26"/>
          <w:szCs w:val="26"/>
        </w:rPr>
        <w:t xml:space="preserve"> simply requires PAWC to employ the same method as all other regulated water and wastewater companies under the Commission’s jurisdiction.  Answer at 10-13.</w:t>
      </w:r>
    </w:p>
    <w:p w14:paraId="6E1CFA80" w14:textId="61C914E4" w:rsidR="00660940" w:rsidRPr="00CD7D6F" w:rsidRDefault="00660940" w:rsidP="00723B1F">
      <w:pPr>
        <w:spacing w:after="0" w:line="360" w:lineRule="auto"/>
        <w:ind w:firstLine="1440"/>
        <w:contextualSpacing/>
        <w:rPr>
          <w:rFonts w:ascii="Times New Roman" w:hAnsi="Times New Roman" w:cs="Times New Roman"/>
          <w:sz w:val="26"/>
          <w:szCs w:val="26"/>
        </w:rPr>
      </w:pPr>
    </w:p>
    <w:bookmarkEnd w:id="6"/>
    <w:p w14:paraId="23BFEE9B" w14:textId="4FA9D297" w:rsidR="00057E2E" w:rsidRPr="009F73B0" w:rsidRDefault="00057E2E" w:rsidP="00723B1F">
      <w:pPr>
        <w:pStyle w:val="Heading3"/>
        <w:spacing w:before="0" w:line="240" w:lineRule="auto"/>
        <w:ind w:hanging="720"/>
        <w:contextualSpacing/>
        <w:rPr>
          <w:rFonts w:ascii="Times New Roman" w:hAnsi="Times New Roman" w:cs="Times New Roman"/>
          <w:b/>
          <w:bCs/>
          <w:color w:val="auto"/>
          <w:sz w:val="26"/>
          <w:szCs w:val="26"/>
        </w:rPr>
      </w:pPr>
      <w:r w:rsidRPr="009F73B0">
        <w:rPr>
          <w:rFonts w:ascii="Times New Roman" w:hAnsi="Times New Roman" w:cs="Times New Roman"/>
          <w:b/>
          <w:bCs/>
          <w:color w:val="auto"/>
          <w:sz w:val="26"/>
          <w:szCs w:val="26"/>
        </w:rPr>
        <w:lastRenderedPageBreak/>
        <w:t xml:space="preserve">Whether </w:t>
      </w:r>
      <w:r w:rsidR="00D661F0">
        <w:rPr>
          <w:rFonts w:ascii="Times New Roman" w:hAnsi="Times New Roman" w:cs="Times New Roman"/>
          <w:b/>
          <w:bCs/>
          <w:color w:val="auto"/>
          <w:sz w:val="26"/>
          <w:szCs w:val="26"/>
        </w:rPr>
        <w:t>t</w:t>
      </w:r>
      <w:r w:rsidR="002D2C25" w:rsidRPr="009F73B0">
        <w:rPr>
          <w:rFonts w:ascii="Times New Roman" w:hAnsi="Times New Roman" w:cs="Times New Roman"/>
          <w:b/>
          <w:bCs/>
          <w:color w:val="auto"/>
          <w:sz w:val="26"/>
          <w:szCs w:val="26"/>
        </w:rPr>
        <w:t xml:space="preserve">he </w:t>
      </w:r>
      <w:r w:rsidRPr="009F73B0">
        <w:rPr>
          <w:rFonts w:ascii="Times New Roman" w:hAnsi="Times New Roman" w:cs="Times New Roman"/>
          <w:b/>
          <w:bCs/>
          <w:color w:val="auto"/>
          <w:sz w:val="26"/>
          <w:szCs w:val="26"/>
        </w:rPr>
        <w:t>Gross</w:t>
      </w:r>
      <w:r w:rsidR="002D2C25" w:rsidRPr="009F73B0">
        <w:rPr>
          <w:rFonts w:ascii="Times New Roman" w:hAnsi="Times New Roman" w:cs="Times New Roman"/>
          <w:b/>
          <w:bCs/>
          <w:color w:val="auto"/>
          <w:sz w:val="26"/>
          <w:szCs w:val="26"/>
        </w:rPr>
        <w:t xml:space="preserve">-Up Method Will Adversely Impact Competition Between Municipal Service Providers </w:t>
      </w:r>
      <w:r w:rsidR="00D661F0">
        <w:rPr>
          <w:rFonts w:ascii="Times New Roman" w:hAnsi="Times New Roman" w:cs="Times New Roman"/>
          <w:b/>
          <w:bCs/>
          <w:color w:val="auto"/>
          <w:sz w:val="26"/>
          <w:szCs w:val="26"/>
        </w:rPr>
        <w:t>a</w:t>
      </w:r>
      <w:r w:rsidR="002D2C25" w:rsidRPr="009F73B0">
        <w:rPr>
          <w:rFonts w:ascii="Times New Roman" w:hAnsi="Times New Roman" w:cs="Times New Roman"/>
          <w:b/>
          <w:bCs/>
          <w:color w:val="auto"/>
          <w:sz w:val="26"/>
          <w:szCs w:val="26"/>
        </w:rPr>
        <w:t xml:space="preserve">nd </w:t>
      </w:r>
      <w:r w:rsidRPr="009F73B0">
        <w:rPr>
          <w:rFonts w:ascii="Times New Roman" w:hAnsi="Times New Roman" w:cs="Times New Roman"/>
          <w:b/>
          <w:bCs/>
          <w:color w:val="auto"/>
          <w:sz w:val="26"/>
          <w:szCs w:val="26"/>
        </w:rPr>
        <w:t xml:space="preserve">PUC </w:t>
      </w:r>
      <w:r w:rsidR="002D2C25" w:rsidRPr="009F73B0">
        <w:rPr>
          <w:rFonts w:ascii="Times New Roman" w:hAnsi="Times New Roman" w:cs="Times New Roman"/>
          <w:b/>
          <w:bCs/>
          <w:color w:val="auto"/>
          <w:sz w:val="26"/>
          <w:szCs w:val="26"/>
        </w:rPr>
        <w:t xml:space="preserve">Jurisdictional Water </w:t>
      </w:r>
      <w:r w:rsidR="00D661F0">
        <w:rPr>
          <w:rFonts w:ascii="Times New Roman" w:hAnsi="Times New Roman" w:cs="Times New Roman"/>
          <w:b/>
          <w:bCs/>
          <w:color w:val="auto"/>
          <w:sz w:val="26"/>
          <w:szCs w:val="26"/>
        </w:rPr>
        <w:t>a</w:t>
      </w:r>
      <w:r w:rsidR="002D2C25" w:rsidRPr="009F73B0">
        <w:rPr>
          <w:rFonts w:ascii="Times New Roman" w:hAnsi="Times New Roman" w:cs="Times New Roman"/>
          <w:b/>
          <w:bCs/>
          <w:color w:val="auto"/>
          <w:sz w:val="26"/>
          <w:szCs w:val="26"/>
        </w:rPr>
        <w:t xml:space="preserve">nd Wastewater Companies </w:t>
      </w:r>
      <w:r w:rsidRPr="009F73B0">
        <w:rPr>
          <w:rFonts w:ascii="Times New Roman" w:hAnsi="Times New Roman" w:cs="Times New Roman"/>
          <w:b/>
          <w:bCs/>
          <w:color w:val="auto"/>
          <w:sz w:val="26"/>
          <w:szCs w:val="26"/>
        </w:rPr>
        <w:t>(Petition at 6-8, 12-13)</w:t>
      </w:r>
    </w:p>
    <w:p w14:paraId="0AD2B91E" w14:textId="77777777" w:rsidR="00EC459F" w:rsidRPr="009F73B0" w:rsidRDefault="00EC459F" w:rsidP="004F1653">
      <w:pPr>
        <w:keepNext/>
        <w:keepLines/>
        <w:spacing w:after="0" w:line="480" w:lineRule="auto"/>
        <w:ind w:firstLine="1440"/>
        <w:contextualSpacing/>
        <w:rPr>
          <w:rFonts w:ascii="Times New Roman" w:hAnsi="Times New Roman" w:cs="Times New Roman"/>
          <w:sz w:val="26"/>
          <w:szCs w:val="26"/>
        </w:rPr>
      </w:pPr>
    </w:p>
    <w:p w14:paraId="511476A9" w14:textId="77777777" w:rsidR="00EC459F" w:rsidRPr="009F73B0" w:rsidRDefault="00EC459F">
      <w:pPr>
        <w:keepNext/>
        <w:keepLines/>
        <w:spacing w:after="0" w:line="360" w:lineRule="auto"/>
        <w:ind w:left="2160" w:hanging="720"/>
        <w:contextualSpacing/>
        <w:rPr>
          <w:rFonts w:ascii="Times New Roman" w:hAnsi="Times New Roman" w:cs="Times New Roman"/>
          <w:b/>
          <w:bCs/>
          <w:sz w:val="26"/>
          <w:szCs w:val="26"/>
        </w:rPr>
      </w:pPr>
      <w:r w:rsidRPr="009F73B0">
        <w:rPr>
          <w:rFonts w:ascii="Times New Roman" w:hAnsi="Times New Roman" w:cs="Times New Roman"/>
          <w:b/>
          <w:bCs/>
          <w:sz w:val="26"/>
          <w:szCs w:val="26"/>
        </w:rPr>
        <w:t>a.</w:t>
      </w:r>
      <w:r w:rsidRPr="009F73B0">
        <w:rPr>
          <w:rFonts w:ascii="Times New Roman" w:hAnsi="Times New Roman" w:cs="Times New Roman"/>
          <w:b/>
          <w:bCs/>
          <w:sz w:val="26"/>
          <w:szCs w:val="26"/>
        </w:rPr>
        <w:tab/>
        <w:t>Positions of the Parties</w:t>
      </w:r>
    </w:p>
    <w:p w14:paraId="1919052B" w14:textId="77777777" w:rsidR="00EC459F" w:rsidRPr="009F73B0" w:rsidRDefault="00EC459F">
      <w:pPr>
        <w:keepNext/>
        <w:keepLines/>
        <w:spacing w:after="0" w:line="360" w:lineRule="auto"/>
        <w:ind w:firstLine="1440"/>
        <w:contextualSpacing/>
        <w:rPr>
          <w:rFonts w:ascii="Times New Roman" w:hAnsi="Times New Roman" w:cs="Times New Roman"/>
          <w:sz w:val="26"/>
          <w:szCs w:val="26"/>
        </w:rPr>
      </w:pPr>
    </w:p>
    <w:p w14:paraId="36868FAB" w14:textId="4FFF4AD8" w:rsidR="00533E8D" w:rsidRDefault="00533E8D"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PAWC contends that in our </w:t>
      </w:r>
      <w:r w:rsidRPr="009F73B0">
        <w:rPr>
          <w:rFonts w:ascii="Times New Roman" w:hAnsi="Times New Roman" w:cs="Times New Roman"/>
          <w:i/>
          <w:iCs/>
          <w:sz w:val="26"/>
          <w:szCs w:val="26"/>
        </w:rPr>
        <w:t>February 2019 Order</w:t>
      </w:r>
      <w:r w:rsidRPr="009F73B0">
        <w:rPr>
          <w:rFonts w:ascii="Times New Roman" w:hAnsi="Times New Roman" w:cs="Times New Roman"/>
          <w:sz w:val="26"/>
          <w:szCs w:val="26"/>
        </w:rPr>
        <w:t xml:space="preserve">, we failed to address the significant adverse impact that </w:t>
      </w:r>
      <w:r w:rsidR="00621E3A">
        <w:rPr>
          <w:rFonts w:ascii="Times New Roman" w:hAnsi="Times New Roman" w:cs="Times New Roman"/>
          <w:sz w:val="26"/>
          <w:szCs w:val="26"/>
        </w:rPr>
        <w:t xml:space="preserve">the </w:t>
      </w:r>
      <w:r w:rsidRPr="009F73B0">
        <w:rPr>
          <w:rFonts w:ascii="Times New Roman" w:hAnsi="Times New Roman" w:cs="Times New Roman"/>
          <w:sz w:val="26"/>
          <w:szCs w:val="26"/>
        </w:rPr>
        <w:t xml:space="preserve">imposition of the gross-up method will have on </w:t>
      </w:r>
      <w:r w:rsidR="004E52EF">
        <w:rPr>
          <w:rFonts w:ascii="Times New Roman" w:hAnsi="Times New Roman" w:cs="Times New Roman"/>
          <w:sz w:val="26"/>
          <w:szCs w:val="26"/>
        </w:rPr>
        <w:t>investor-owned water</w:t>
      </w:r>
      <w:r w:rsidR="00822734">
        <w:rPr>
          <w:rFonts w:ascii="Times New Roman" w:hAnsi="Times New Roman" w:cs="Times New Roman"/>
          <w:sz w:val="26"/>
          <w:szCs w:val="26"/>
        </w:rPr>
        <w:t xml:space="preserve"> and wastewater</w:t>
      </w:r>
      <w:r w:rsidR="004E52EF">
        <w:rPr>
          <w:rFonts w:ascii="Times New Roman" w:hAnsi="Times New Roman" w:cs="Times New Roman"/>
          <w:sz w:val="26"/>
          <w:szCs w:val="26"/>
        </w:rPr>
        <w:t xml:space="preserve"> utilities under the Commission’s jurisdiction that are competing with non-regulated municipal service providers </w:t>
      </w:r>
      <w:r w:rsidRPr="009F73B0">
        <w:rPr>
          <w:rFonts w:ascii="Times New Roman" w:hAnsi="Times New Roman" w:cs="Times New Roman"/>
          <w:sz w:val="26"/>
          <w:szCs w:val="26"/>
        </w:rPr>
        <w:t>for the acquisition of new customers.  According to the Company,</w:t>
      </w:r>
      <w:r w:rsidR="006E6F96" w:rsidRPr="009F73B0">
        <w:rPr>
          <w:rFonts w:ascii="Times New Roman" w:hAnsi="Times New Roman" w:cs="Times New Roman"/>
          <w:sz w:val="26"/>
          <w:szCs w:val="26"/>
        </w:rPr>
        <w:t xml:space="preserve"> when this negative impact is addressed, it serves as one of the most important reasons for accepting PAWC’s position.  PAWC submits that</w:t>
      </w:r>
      <w:r w:rsidRPr="009F73B0">
        <w:rPr>
          <w:rFonts w:ascii="Times New Roman" w:hAnsi="Times New Roman" w:cs="Times New Roman"/>
          <w:sz w:val="26"/>
          <w:szCs w:val="26"/>
        </w:rPr>
        <w:t xml:space="preserve"> the ability of investor-owned companies to compete on a level playing field with municipal water and wastewater providers has a direct and substantial impact on the costs borne by the customers of utilities under this Commission’s jurisdiction.  In this regard, PAWC contends that when a utility’s customer base increases, its fixed costs can be spread over a larger customer base leading to lower unit costs of providing service and lower rates.  Therefore, PAWC reasons that requiring the Company to employ the gross</w:t>
      </w:r>
      <w:r w:rsidR="009A1831">
        <w:rPr>
          <w:rFonts w:ascii="Times New Roman" w:hAnsi="Times New Roman" w:cs="Times New Roman"/>
          <w:sz w:val="26"/>
          <w:szCs w:val="26"/>
        </w:rPr>
        <w:noBreakHyphen/>
      </w:r>
      <w:r w:rsidRPr="009F73B0">
        <w:rPr>
          <w:rFonts w:ascii="Times New Roman" w:hAnsi="Times New Roman" w:cs="Times New Roman"/>
          <w:sz w:val="26"/>
          <w:szCs w:val="26"/>
        </w:rPr>
        <w:t>up method will place it at a disadvantage because new customers or new load will be lost to non-jurisdictional water and wastewater providers on whom no tax will be levied.  PAWC likewise reasons that the Company’s existing customers will be harmed, as they will experience upward pressure on their rates.  Petition at 6-</w:t>
      </w:r>
      <w:r w:rsidR="002C4C0D" w:rsidRPr="009F73B0">
        <w:rPr>
          <w:rFonts w:ascii="Times New Roman" w:hAnsi="Times New Roman" w:cs="Times New Roman"/>
          <w:sz w:val="26"/>
          <w:szCs w:val="26"/>
        </w:rPr>
        <w:t>8</w:t>
      </w:r>
      <w:r w:rsidRPr="009F73B0">
        <w:rPr>
          <w:rFonts w:ascii="Times New Roman" w:hAnsi="Times New Roman" w:cs="Times New Roman"/>
          <w:sz w:val="26"/>
          <w:szCs w:val="26"/>
        </w:rPr>
        <w:t>, 12-13.</w:t>
      </w:r>
    </w:p>
    <w:p w14:paraId="0FE73104" w14:textId="77777777" w:rsidR="00254200" w:rsidRPr="009F73B0" w:rsidRDefault="00254200" w:rsidP="00723B1F">
      <w:pPr>
        <w:spacing w:after="0" w:line="360" w:lineRule="auto"/>
        <w:ind w:firstLine="1440"/>
        <w:contextualSpacing/>
        <w:rPr>
          <w:rFonts w:ascii="Times New Roman" w:hAnsi="Times New Roman" w:cs="Times New Roman"/>
          <w:sz w:val="26"/>
          <w:szCs w:val="26"/>
        </w:rPr>
      </w:pPr>
    </w:p>
    <w:p w14:paraId="392BDDAB" w14:textId="319575DF" w:rsidR="009735F3" w:rsidRPr="009F73B0" w:rsidRDefault="009735F3" w:rsidP="00723B1F">
      <w:pPr>
        <w:spacing w:after="0" w:line="360" w:lineRule="auto"/>
        <w:ind w:firstLine="1440"/>
        <w:contextualSpacing/>
        <w:rPr>
          <w:rFonts w:ascii="Times New Roman" w:hAnsi="Times New Roman" w:cs="Times New Roman"/>
          <w:bCs/>
          <w:sz w:val="26"/>
          <w:szCs w:val="26"/>
        </w:rPr>
      </w:pPr>
      <w:r w:rsidRPr="009F73B0">
        <w:rPr>
          <w:rFonts w:ascii="Times New Roman" w:hAnsi="Times New Roman" w:cs="Times New Roman"/>
          <w:sz w:val="26"/>
          <w:szCs w:val="26"/>
        </w:rPr>
        <w:t xml:space="preserve">In its Answer, I&amp;E retorts that although the Company has depicted this issue to be one of the most important reasons for why the Commission should overturn the </w:t>
      </w:r>
      <w:r w:rsidRPr="009F73B0">
        <w:rPr>
          <w:rFonts w:ascii="Times New Roman" w:hAnsi="Times New Roman" w:cs="Times New Roman"/>
          <w:i/>
          <w:iCs/>
          <w:sz w:val="26"/>
          <w:szCs w:val="26"/>
        </w:rPr>
        <w:t xml:space="preserve">February 2019 Order </w:t>
      </w:r>
      <w:r w:rsidRPr="009F73B0">
        <w:rPr>
          <w:rFonts w:ascii="Times New Roman" w:hAnsi="Times New Roman" w:cs="Times New Roman"/>
          <w:sz w:val="26"/>
          <w:szCs w:val="26"/>
        </w:rPr>
        <w:t>and accept the Company’s position</w:t>
      </w:r>
      <w:r w:rsidRPr="009F73B0">
        <w:rPr>
          <w:rFonts w:ascii="Times New Roman" w:hAnsi="Times New Roman" w:cs="Times New Roman"/>
          <w:bCs/>
          <w:sz w:val="26"/>
          <w:szCs w:val="26"/>
        </w:rPr>
        <w:t>, PAWC did not argue this point in its testimony or briefs</w:t>
      </w:r>
      <w:r w:rsidR="00660079">
        <w:rPr>
          <w:rFonts w:ascii="Times New Roman" w:hAnsi="Times New Roman" w:cs="Times New Roman"/>
          <w:bCs/>
          <w:sz w:val="26"/>
          <w:szCs w:val="26"/>
        </w:rPr>
        <w:t>,</w:t>
      </w:r>
      <w:r w:rsidRPr="009F73B0">
        <w:rPr>
          <w:rFonts w:ascii="Times New Roman" w:hAnsi="Times New Roman" w:cs="Times New Roman"/>
          <w:bCs/>
          <w:sz w:val="26"/>
          <w:szCs w:val="26"/>
        </w:rPr>
        <w:t xml:space="preserve"> and did not raise this issue until the Exceptions phase of this proceeding.  Nonetheless, I&amp;E submits that we already considered this issue in our </w:t>
      </w:r>
      <w:r w:rsidRPr="009F73B0">
        <w:rPr>
          <w:rFonts w:ascii="Times New Roman" w:hAnsi="Times New Roman" w:cs="Times New Roman"/>
          <w:bCs/>
          <w:i/>
          <w:iCs/>
          <w:sz w:val="26"/>
          <w:szCs w:val="26"/>
        </w:rPr>
        <w:t xml:space="preserve">February 2019 Order </w:t>
      </w:r>
      <w:r w:rsidRPr="009F73B0">
        <w:rPr>
          <w:rFonts w:ascii="Times New Roman" w:hAnsi="Times New Roman" w:cs="Times New Roman"/>
          <w:bCs/>
          <w:sz w:val="26"/>
          <w:szCs w:val="26"/>
        </w:rPr>
        <w:t xml:space="preserve">based on our assessment of the testimony presented by PBA.  More </w:t>
      </w:r>
      <w:r w:rsidRPr="009F73B0">
        <w:rPr>
          <w:rFonts w:ascii="Times New Roman" w:hAnsi="Times New Roman" w:cs="Times New Roman"/>
          <w:bCs/>
          <w:sz w:val="26"/>
          <w:szCs w:val="26"/>
        </w:rPr>
        <w:lastRenderedPageBreak/>
        <w:t xml:space="preserve">specifically, I&amp;E highlights that in our </w:t>
      </w:r>
      <w:r w:rsidRPr="009F73B0">
        <w:rPr>
          <w:rFonts w:ascii="Times New Roman" w:hAnsi="Times New Roman" w:cs="Times New Roman"/>
          <w:bCs/>
          <w:i/>
          <w:iCs/>
          <w:sz w:val="26"/>
          <w:szCs w:val="26"/>
        </w:rPr>
        <w:t xml:space="preserve">February 2019 Order, </w:t>
      </w:r>
      <w:r w:rsidRPr="009F73B0">
        <w:rPr>
          <w:rFonts w:ascii="Times New Roman" w:hAnsi="Times New Roman" w:cs="Times New Roman"/>
          <w:bCs/>
          <w:sz w:val="26"/>
          <w:szCs w:val="26"/>
        </w:rPr>
        <w:t xml:space="preserve">we considered and rejected PBA’s argument that if the gross-up method is utilized, developers will seek less costly places to build, </w:t>
      </w:r>
      <w:r w:rsidR="00660079">
        <w:rPr>
          <w:rFonts w:ascii="Times New Roman" w:hAnsi="Times New Roman" w:cs="Times New Roman"/>
          <w:bCs/>
          <w:sz w:val="26"/>
          <w:szCs w:val="26"/>
        </w:rPr>
        <w:t xml:space="preserve">including </w:t>
      </w:r>
      <w:r w:rsidRPr="009F73B0">
        <w:rPr>
          <w:rFonts w:ascii="Times New Roman" w:hAnsi="Times New Roman" w:cs="Times New Roman"/>
          <w:bCs/>
          <w:sz w:val="26"/>
          <w:szCs w:val="26"/>
        </w:rPr>
        <w:t>municipalities or authority-owned water and wastewater companies</w:t>
      </w:r>
      <w:r w:rsidR="00660079">
        <w:rPr>
          <w:rFonts w:ascii="Times New Roman" w:hAnsi="Times New Roman" w:cs="Times New Roman"/>
          <w:bCs/>
          <w:sz w:val="26"/>
          <w:szCs w:val="26"/>
        </w:rPr>
        <w:t xml:space="preserve"> upon whom no taxes will be levied</w:t>
      </w:r>
      <w:r w:rsidRPr="009F73B0">
        <w:rPr>
          <w:rFonts w:ascii="Times New Roman" w:hAnsi="Times New Roman" w:cs="Times New Roman"/>
          <w:bCs/>
          <w:sz w:val="26"/>
          <w:szCs w:val="26"/>
        </w:rPr>
        <w:t xml:space="preserve">.  Answer at 13-15; Answer at 26 (citing </w:t>
      </w:r>
      <w:r w:rsidRPr="009F73B0">
        <w:rPr>
          <w:rFonts w:ascii="Times New Roman" w:hAnsi="Times New Roman" w:cs="Times New Roman"/>
          <w:bCs/>
          <w:i/>
          <w:iCs/>
          <w:sz w:val="26"/>
          <w:szCs w:val="26"/>
        </w:rPr>
        <w:t xml:space="preserve">February 2019 Order </w:t>
      </w:r>
      <w:r w:rsidRPr="009F73B0">
        <w:rPr>
          <w:rFonts w:ascii="Times New Roman" w:hAnsi="Times New Roman" w:cs="Times New Roman"/>
          <w:bCs/>
          <w:sz w:val="26"/>
          <w:szCs w:val="26"/>
        </w:rPr>
        <w:t xml:space="preserve">at 32).  </w:t>
      </w:r>
    </w:p>
    <w:p w14:paraId="62E3C85A" w14:textId="77777777" w:rsidR="009735F3" w:rsidRPr="009F73B0" w:rsidRDefault="009735F3" w:rsidP="00723B1F">
      <w:pPr>
        <w:spacing w:after="0" w:line="360" w:lineRule="auto"/>
        <w:ind w:firstLine="1440"/>
        <w:contextualSpacing/>
        <w:rPr>
          <w:rFonts w:ascii="Times New Roman" w:hAnsi="Times New Roman" w:cs="Times New Roman"/>
          <w:bCs/>
          <w:sz w:val="26"/>
          <w:szCs w:val="26"/>
        </w:rPr>
      </w:pPr>
    </w:p>
    <w:p w14:paraId="578A1FBA" w14:textId="258929A7" w:rsidR="009735F3" w:rsidRPr="009F73B0" w:rsidRDefault="009735F3" w:rsidP="00723B1F">
      <w:pPr>
        <w:spacing w:after="0" w:line="360" w:lineRule="auto"/>
        <w:ind w:firstLine="1440"/>
        <w:contextualSpacing/>
        <w:rPr>
          <w:rFonts w:ascii="Times New Roman" w:hAnsi="Times New Roman" w:cs="Times New Roman"/>
          <w:bCs/>
          <w:sz w:val="26"/>
          <w:szCs w:val="26"/>
        </w:rPr>
      </w:pPr>
      <w:r w:rsidRPr="009F73B0">
        <w:rPr>
          <w:rFonts w:ascii="Times New Roman" w:hAnsi="Times New Roman" w:cs="Times New Roman"/>
          <w:bCs/>
          <w:sz w:val="26"/>
          <w:szCs w:val="26"/>
        </w:rPr>
        <w:t>I&amp;E also stresses that PBA</w:t>
      </w:r>
      <w:r w:rsidR="00D40F54">
        <w:rPr>
          <w:rFonts w:ascii="Times New Roman" w:hAnsi="Times New Roman" w:cs="Times New Roman"/>
          <w:bCs/>
          <w:sz w:val="26"/>
          <w:szCs w:val="26"/>
        </w:rPr>
        <w:t>’</w:t>
      </w:r>
      <w:r w:rsidRPr="009F73B0">
        <w:rPr>
          <w:rFonts w:ascii="Times New Roman" w:hAnsi="Times New Roman" w:cs="Times New Roman"/>
          <w:bCs/>
          <w:sz w:val="26"/>
          <w:szCs w:val="26"/>
        </w:rPr>
        <w:t>s testimony focused more on the alleged competitive threat from septic systems and wells than from municipalities.  As such, I&amp;E takes the position that PAWC</w:t>
      </w:r>
      <w:r w:rsidR="00D40F54">
        <w:rPr>
          <w:rFonts w:ascii="Times New Roman" w:hAnsi="Times New Roman" w:cs="Times New Roman"/>
          <w:bCs/>
          <w:sz w:val="26"/>
          <w:szCs w:val="26"/>
        </w:rPr>
        <w:t>’</w:t>
      </w:r>
      <w:r w:rsidRPr="009F73B0">
        <w:rPr>
          <w:rFonts w:ascii="Times New Roman" w:hAnsi="Times New Roman" w:cs="Times New Roman"/>
          <w:bCs/>
          <w:sz w:val="26"/>
          <w:szCs w:val="26"/>
        </w:rPr>
        <w:t xml:space="preserve">s reliance on municipal competition to warrant reconsideration is overstated.  Further, I&amp;E submits that although the gross-up method was previously in effect between the entry of our </w:t>
      </w:r>
      <w:r w:rsidRPr="009F73B0">
        <w:rPr>
          <w:rFonts w:ascii="Times New Roman" w:hAnsi="Times New Roman" w:cs="Times New Roman"/>
          <w:bCs/>
          <w:i/>
          <w:iCs/>
          <w:sz w:val="26"/>
          <w:szCs w:val="26"/>
        </w:rPr>
        <w:t>TRA-86 Order</w:t>
      </w:r>
      <w:r w:rsidRPr="009F73B0">
        <w:rPr>
          <w:rFonts w:ascii="Times New Roman" w:hAnsi="Times New Roman" w:cs="Times New Roman"/>
          <w:bCs/>
          <w:sz w:val="26"/>
          <w:szCs w:val="26"/>
        </w:rPr>
        <w:t xml:space="preserve"> in 1989 and the passage of the Small Business Job Protection Act in 1996, neither PAWC nor PBA provided any support or examples of developers opting to build in a municipality rather than a regulated service territory during this time period due to builders being required to bear this tax responsibility under the gross-up method.  By extension, I&amp;E asserts that no party to this proceeding produced evidence that municipal competition is more of a threat to water and wastewater utilities under the Commission’s jurisdiction today than it was in 1989.  Answer at 16-17, 18-19.  </w:t>
      </w:r>
    </w:p>
    <w:p w14:paraId="68F00626" w14:textId="77777777" w:rsidR="009735F3" w:rsidRPr="009F73B0" w:rsidRDefault="009735F3" w:rsidP="00723B1F">
      <w:pPr>
        <w:spacing w:after="0" w:line="360" w:lineRule="auto"/>
        <w:ind w:firstLine="1440"/>
        <w:contextualSpacing/>
        <w:rPr>
          <w:rFonts w:ascii="Times New Roman" w:hAnsi="Times New Roman" w:cs="Times New Roman"/>
          <w:bCs/>
          <w:sz w:val="26"/>
          <w:szCs w:val="26"/>
        </w:rPr>
      </w:pPr>
    </w:p>
    <w:p w14:paraId="5B28C901" w14:textId="1A0FAD75" w:rsidR="009735F3" w:rsidRPr="009F73B0" w:rsidRDefault="009735F3" w:rsidP="00723B1F">
      <w:pPr>
        <w:spacing w:after="0" w:line="360" w:lineRule="auto"/>
        <w:ind w:firstLine="1440"/>
        <w:contextualSpacing/>
        <w:rPr>
          <w:rFonts w:ascii="Times New Roman" w:hAnsi="Times New Roman" w:cs="Times New Roman"/>
          <w:bCs/>
          <w:sz w:val="26"/>
          <w:szCs w:val="26"/>
        </w:rPr>
      </w:pPr>
      <w:r w:rsidRPr="009F73B0">
        <w:rPr>
          <w:rFonts w:ascii="Times New Roman" w:hAnsi="Times New Roman" w:cs="Times New Roman"/>
          <w:bCs/>
          <w:sz w:val="26"/>
          <w:szCs w:val="26"/>
        </w:rPr>
        <w:t xml:space="preserve">Finally, I&amp;E counters PAWC’s claim that adding new customers on its system provides a benefit to existing customers by spreading fixed costs over a larger customer base such that existing customers still benefit if the CIAC and CAC is not grossed-up.  I&amp;E argues that in our </w:t>
      </w:r>
      <w:r w:rsidRPr="009F73B0">
        <w:rPr>
          <w:rFonts w:ascii="Times New Roman" w:hAnsi="Times New Roman" w:cs="Times New Roman"/>
          <w:bCs/>
          <w:i/>
          <w:iCs/>
          <w:sz w:val="26"/>
          <w:szCs w:val="26"/>
        </w:rPr>
        <w:t xml:space="preserve">February 2019 Order, </w:t>
      </w:r>
      <w:r w:rsidRPr="009F73B0">
        <w:rPr>
          <w:rFonts w:ascii="Times New Roman" w:hAnsi="Times New Roman" w:cs="Times New Roman"/>
          <w:bCs/>
          <w:sz w:val="26"/>
          <w:szCs w:val="26"/>
        </w:rPr>
        <w:t>we ruled that PAWC</w:t>
      </w:r>
      <w:r w:rsidR="00D40F54">
        <w:rPr>
          <w:rFonts w:ascii="Times New Roman" w:hAnsi="Times New Roman" w:cs="Times New Roman"/>
          <w:bCs/>
          <w:sz w:val="26"/>
          <w:szCs w:val="26"/>
        </w:rPr>
        <w:t>’</w:t>
      </w:r>
      <w:r w:rsidRPr="009F73B0">
        <w:rPr>
          <w:rFonts w:ascii="Times New Roman" w:hAnsi="Times New Roman" w:cs="Times New Roman"/>
          <w:bCs/>
          <w:sz w:val="26"/>
          <w:szCs w:val="26"/>
        </w:rPr>
        <w:t xml:space="preserve">s use of the no gross-up method would improperly shift the financial burden associated with taxes on Contributions and Advances to PAWC's existing customers.  Answer at 17-18 (citing </w:t>
      </w:r>
      <w:r w:rsidRPr="009F73B0">
        <w:rPr>
          <w:rFonts w:ascii="Times New Roman" w:hAnsi="Times New Roman" w:cs="Times New Roman"/>
          <w:bCs/>
          <w:i/>
          <w:iCs/>
          <w:sz w:val="26"/>
          <w:szCs w:val="26"/>
        </w:rPr>
        <w:t xml:space="preserve">February 2019 Order </w:t>
      </w:r>
      <w:r w:rsidRPr="009F73B0">
        <w:rPr>
          <w:rFonts w:ascii="Times New Roman" w:hAnsi="Times New Roman" w:cs="Times New Roman"/>
          <w:bCs/>
          <w:sz w:val="26"/>
          <w:szCs w:val="26"/>
        </w:rPr>
        <w:t xml:space="preserve">at 30-31).  Therefore, I&amp;E claims that the Company’s argument fails to satisfy the </w:t>
      </w:r>
      <w:proofErr w:type="spellStart"/>
      <w:r w:rsidRPr="009F73B0">
        <w:rPr>
          <w:rFonts w:ascii="Times New Roman" w:hAnsi="Times New Roman" w:cs="Times New Roman"/>
          <w:bCs/>
          <w:i/>
          <w:iCs/>
          <w:sz w:val="26"/>
          <w:szCs w:val="26"/>
        </w:rPr>
        <w:t>Duick</w:t>
      </w:r>
      <w:proofErr w:type="spellEnd"/>
      <w:r w:rsidRPr="009F73B0">
        <w:rPr>
          <w:rFonts w:ascii="Times New Roman" w:hAnsi="Times New Roman" w:cs="Times New Roman"/>
          <w:bCs/>
          <w:i/>
          <w:iCs/>
          <w:sz w:val="26"/>
          <w:szCs w:val="26"/>
        </w:rPr>
        <w:t xml:space="preserve"> </w:t>
      </w:r>
      <w:r w:rsidRPr="009F73B0">
        <w:rPr>
          <w:rFonts w:ascii="Times New Roman" w:hAnsi="Times New Roman" w:cs="Times New Roman"/>
          <w:bCs/>
          <w:sz w:val="26"/>
          <w:szCs w:val="26"/>
        </w:rPr>
        <w:t xml:space="preserve">standard.  </w:t>
      </w:r>
      <w:r w:rsidR="00297BAF" w:rsidRPr="00297BAF">
        <w:rPr>
          <w:rFonts w:ascii="Times New Roman" w:hAnsi="Times New Roman" w:cs="Times New Roman"/>
          <w:bCs/>
          <w:sz w:val="26"/>
          <w:szCs w:val="26"/>
        </w:rPr>
        <w:t>I&amp;E</w:t>
      </w:r>
      <w:r w:rsidR="00297BAF">
        <w:rPr>
          <w:rFonts w:ascii="Times New Roman" w:hAnsi="Times New Roman" w:cs="Times New Roman"/>
          <w:bCs/>
          <w:sz w:val="26"/>
          <w:szCs w:val="26"/>
        </w:rPr>
        <w:t xml:space="preserve"> reasons that under</w:t>
      </w:r>
      <w:r w:rsidRPr="009F73B0">
        <w:rPr>
          <w:rFonts w:ascii="Times New Roman" w:hAnsi="Times New Roman" w:cs="Times New Roman"/>
          <w:bCs/>
          <w:sz w:val="26"/>
          <w:szCs w:val="26"/>
        </w:rPr>
        <w:t xml:space="preserve"> </w:t>
      </w:r>
      <w:proofErr w:type="spellStart"/>
      <w:r w:rsidRPr="009F73B0">
        <w:rPr>
          <w:rFonts w:ascii="Times New Roman" w:hAnsi="Times New Roman" w:cs="Times New Roman"/>
          <w:bCs/>
          <w:i/>
          <w:sz w:val="26"/>
          <w:szCs w:val="26"/>
        </w:rPr>
        <w:t>Duick</w:t>
      </w:r>
      <w:proofErr w:type="spellEnd"/>
      <w:r w:rsidRPr="009F73B0">
        <w:rPr>
          <w:rFonts w:ascii="Times New Roman" w:hAnsi="Times New Roman" w:cs="Times New Roman"/>
          <w:bCs/>
          <w:i/>
          <w:sz w:val="26"/>
          <w:szCs w:val="26"/>
        </w:rPr>
        <w:t xml:space="preserve">, </w:t>
      </w:r>
      <w:r w:rsidRPr="009F73B0">
        <w:rPr>
          <w:rFonts w:ascii="Times New Roman" w:hAnsi="Times New Roman" w:cs="Times New Roman"/>
          <w:bCs/>
          <w:sz w:val="26"/>
          <w:szCs w:val="26"/>
        </w:rPr>
        <w:t>reconsideration is not an opportunity for a party to raise the same questions which were specifically considered and decided against it.  Answer at 17-18.</w:t>
      </w:r>
    </w:p>
    <w:p w14:paraId="16EBCB92" w14:textId="3A191BA5" w:rsidR="00057E2E" w:rsidRPr="009F73B0" w:rsidRDefault="00057E2E" w:rsidP="00723B1F">
      <w:pPr>
        <w:pStyle w:val="Heading3"/>
        <w:spacing w:before="0" w:line="240" w:lineRule="auto"/>
        <w:ind w:hanging="720"/>
        <w:contextualSpacing/>
        <w:rPr>
          <w:rFonts w:ascii="Times New Roman" w:hAnsi="Times New Roman" w:cs="Times New Roman"/>
          <w:b/>
          <w:bCs/>
          <w:color w:val="auto"/>
          <w:sz w:val="26"/>
          <w:szCs w:val="26"/>
        </w:rPr>
      </w:pPr>
      <w:r w:rsidRPr="009F73B0">
        <w:rPr>
          <w:rFonts w:ascii="Times New Roman" w:hAnsi="Times New Roman" w:cs="Times New Roman"/>
          <w:b/>
          <w:bCs/>
          <w:color w:val="auto"/>
          <w:sz w:val="26"/>
          <w:szCs w:val="26"/>
        </w:rPr>
        <w:lastRenderedPageBreak/>
        <w:t xml:space="preserve">Whether </w:t>
      </w:r>
      <w:r w:rsidR="00A259A4" w:rsidRPr="009F73B0">
        <w:rPr>
          <w:rFonts w:ascii="Times New Roman" w:hAnsi="Times New Roman" w:cs="Times New Roman"/>
          <w:b/>
          <w:bCs/>
          <w:color w:val="auto"/>
          <w:sz w:val="26"/>
          <w:szCs w:val="26"/>
        </w:rPr>
        <w:t>The “</w:t>
      </w:r>
      <w:r w:rsidRPr="009F73B0">
        <w:rPr>
          <w:rFonts w:ascii="Times New Roman" w:hAnsi="Times New Roman" w:cs="Times New Roman"/>
          <w:b/>
          <w:bCs/>
          <w:color w:val="auto"/>
          <w:sz w:val="26"/>
          <w:szCs w:val="26"/>
        </w:rPr>
        <w:t>Gross</w:t>
      </w:r>
      <w:r w:rsidR="00A259A4" w:rsidRPr="009F73B0">
        <w:rPr>
          <w:rFonts w:ascii="Times New Roman" w:hAnsi="Times New Roman" w:cs="Times New Roman"/>
          <w:b/>
          <w:bCs/>
          <w:color w:val="auto"/>
          <w:sz w:val="26"/>
          <w:szCs w:val="26"/>
        </w:rPr>
        <w:t xml:space="preserve">-Up” Method Will Adversely Impact Economic Development In </w:t>
      </w:r>
      <w:r w:rsidRPr="009F73B0">
        <w:rPr>
          <w:rFonts w:ascii="Times New Roman" w:hAnsi="Times New Roman" w:cs="Times New Roman"/>
          <w:b/>
          <w:bCs/>
          <w:color w:val="auto"/>
          <w:sz w:val="26"/>
          <w:szCs w:val="26"/>
        </w:rPr>
        <w:t xml:space="preserve">Commission </w:t>
      </w:r>
      <w:r w:rsidR="00A259A4" w:rsidRPr="009F73B0">
        <w:rPr>
          <w:rFonts w:ascii="Times New Roman" w:hAnsi="Times New Roman" w:cs="Times New Roman"/>
          <w:b/>
          <w:bCs/>
          <w:color w:val="auto"/>
          <w:sz w:val="26"/>
          <w:szCs w:val="26"/>
        </w:rPr>
        <w:t>Regulated Utilities</w:t>
      </w:r>
      <w:r w:rsidR="00A259A4">
        <w:rPr>
          <w:rFonts w:ascii="Times New Roman" w:hAnsi="Times New Roman" w:cs="Times New Roman"/>
          <w:b/>
          <w:bCs/>
          <w:color w:val="auto"/>
          <w:sz w:val="26"/>
          <w:szCs w:val="26"/>
        </w:rPr>
        <w:t>’</w:t>
      </w:r>
      <w:r w:rsidR="00A259A4" w:rsidRPr="009F73B0">
        <w:rPr>
          <w:rFonts w:ascii="Times New Roman" w:hAnsi="Times New Roman" w:cs="Times New Roman"/>
          <w:b/>
          <w:bCs/>
          <w:color w:val="auto"/>
          <w:sz w:val="26"/>
          <w:szCs w:val="26"/>
        </w:rPr>
        <w:t xml:space="preserve"> Service Territories </w:t>
      </w:r>
      <w:r w:rsidRPr="009F73B0">
        <w:rPr>
          <w:rFonts w:ascii="Times New Roman" w:hAnsi="Times New Roman" w:cs="Times New Roman"/>
          <w:b/>
          <w:bCs/>
          <w:color w:val="auto"/>
          <w:sz w:val="26"/>
          <w:szCs w:val="26"/>
        </w:rPr>
        <w:t>(Petition at 8-10, 13)</w:t>
      </w:r>
    </w:p>
    <w:p w14:paraId="146EC776" w14:textId="77777777" w:rsidR="00EC459F" w:rsidRPr="009F73B0" w:rsidRDefault="00EC459F" w:rsidP="004F1653">
      <w:pPr>
        <w:keepNext/>
        <w:keepLines/>
        <w:spacing w:after="0" w:line="480" w:lineRule="auto"/>
        <w:ind w:firstLine="1440"/>
        <w:contextualSpacing/>
        <w:rPr>
          <w:rFonts w:ascii="Times New Roman" w:hAnsi="Times New Roman" w:cs="Times New Roman"/>
          <w:sz w:val="26"/>
          <w:szCs w:val="26"/>
        </w:rPr>
      </w:pPr>
    </w:p>
    <w:p w14:paraId="78E6C2D8" w14:textId="77777777" w:rsidR="00EC459F" w:rsidRPr="009F73B0" w:rsidRDefault="00EC459F">
      <w:pPr>
        <w:keepNext/>
        <w:keepLines/>
        <w:spacing w:after="0" w:line="360" w:lineRule="auto"/>
        <w:ind w:left="2160" w:hanging="720"/>
        <w:contextualSpacing/>
        <w:rPr>
          <w:rFonts w:ascii="Times New Roman" w:hAnsi="Times New Roman" w:cs="Times New Roman"/>
          <w:b/>
          <w:bCs/>
          <w:sz w:val="26"/>
          <w:szCs w:val="26"/>
        </w:rPr>
      </w:pPr>
      <w:r w:rsidRPr="009F73B0">
        <w:rPr>
          <w:rFonts w:ascii="Times New Roman" w:hAnsi="Times New Roman" w:cs="Times New Roman"/>
          <w:b/>
          <w:bCs/>
          <w:sz w:val="26"/>
          <w:szCs w:val="26"/>
        </w:rPr>
        <w:t>a.</w:t>
      </w:r>
      <w:r w:rsidRPr="009F73B0">
        <w:rPr>
          <w:rFonts w:ascii="Times New Roman" w:hAnsi="Times New Roman" w:cs="Times New Roman"/>
          <w:b/>
          <w:bCs/>
          <w:sz w:val="26"/>
          <w:szCs w:val="26"/>
        </w:rPr>
        <w:tab/>
        <w:t>Positions of the Parties</w:t>
      </w:r>
    </w:p>
    <w:p w14:paraId="47CDD586" w14:textId="77777777" w:rsidR="00EC459F" w:rsidRPr="009F73B0" w:rsidRDefault="00EC459F">
      <w:pPr>
        <w:keepNext/>
        <w:keepLines/>
        <w:spacing w:after="0" w:line="360" w:lineRule="auto"/>
        <w:ind w:firstLine="1440"/>
        <w:contextualSpacing/>
        <w:rPr>
          <w:rFonts w:ascii="Times New Roman" w:hAnsi="Times New Roman" w:cs="Times New Roman"/>
          <w:sz w:val="26"/>
          <w:szCs w:val="26"/>
        </w:rPr>
      </w:pPr>
    </w:p>
    <w:p w14:paraId="16FFF0CE" w14:textId="74C35BB9" w:rsidR="00835DC3" w:rsidRPr="009F73B0" w:rsidRDefault="00835DC3"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PAWC claims that the </w:t>
      </w:r>
      <w:r w:rsidRPr="009F73B0">
        <w:rPr>
          <w:rFonts w:ascii="Times New Roman" w:hAnsi="Times New Roman" w:cs="Times New Roman"/>
          <w:i/>
          <w:iCs/>
          <w:sz w:val="26"/>
          <w:szCs w:val="26"/>
        </w:rPr>
        <w:t>February 2019 Order</w:t>
      </w:r>
      <w:r w:rsidRPr="009F73B0">
        <w:rPr>
          <w:rFonts w:ascii="Times New Roman" w:hAnsi="Times New Roman" w:cs="Times New Roman"/>
          <w:sz w:val="26"/>
          <w:szCs w:val="26"/>
        </w:rPr>
        <w:t xml:space="preserve"> is silent </w:t>
      </w:r>
      <w:r w:rsidR="009608B8" w:rsidRPr="009F73B0">
        <w:rPr>
          <w:rFonts w:ascii="Times New Roman" w:hAnsi="Times New Roman" w:cs="Times New Roman"/>
          <w:sz w:val="26"/>
          <w:szCs w:val="26"/>
        </w:rPr>
        <w:t>with respect to</w:t>
      </w:r>
      <w:r w:rsidRPr="009F73B0">
        <w:rPr>
          <w:rFonts w:ascii="Times New Roman" w:hAnsi="Times New Roman" w:cs="Times New Roman"/>
          <w:sz w:val="26"/>
          <w:szCs w:val="26"/>
        </w:rPr>
        <w:t xml:space="preserve"> the negative impact that requiring water and wastewater companies to employ the gross-up method will have on economic development in Pennsylvania.  Petition at 8, 13.  PAWC </w:t>
      </w:r>
      <w:r w:rsidR="00C64A00">
        <w:rPr>
          <w:rFonts w:ascii="Times New Roman" w:hAnsi="Times New Roman" w:cs="Times New Roman"/>
          <w:sz w:val="26"/>
          <w:szCs w:val="26"/>
        </w:rPr>
        <w:t>argues</w:t>
      </w:r>
      <w:r w:rsidRPr="009F73B0">
        <w:rPr>
          <w:rFonts w:ascii="Times New Roman" w:hAnsi="Times New Roman" w:cs="Times New Roman"/>
          <w:sz w:val="26"/>
          <w:szCs w:val="26"/>
        </w:rPr>
        <w:t xml:space="preserve"> that in this proceeding, PBA offered ample evidence to demonstrate that imposing the gross-up method will create a financial burden and will serve as a deterrent for developers to undertake new building projects.  </w:t>
      </w:r>
      <w:r w:rsidRPr="009F73B0">
        <w:rPr>
          <w:rFonts w:ascii="Times New Roman" w:hAnsi="Times New Roman" w:cs="Times New Roman"/>
          <w:i/>
          <w:iCs/>
          <w:sz w:val="26"/>
          <w:szCs w:val="26"/>
        </w:rPr>
        <w:t xml:space="preserve">Id </w:t>
      </w:r>
      <w:r w:rsidRPr="009F73B0">
        <w:rPr>
          <w:rFonts w:ascii="Times New Roman" w:hAnsi="Times New Roman" w:cs="Times New Roman"/>
          <w:sz w:val="26"/>
          <w:szCs w:val="26"/>
        </w:rPr>
        <w:t>at 8-9 (</w:t>
      </w:r>
      <w:r w:rsidRPr="00A259A4">
        <w:rPr>
          <w:rFonts w:ascii="Times New Roman" w:hAnsi="Times New Roman" w:cs="Times New Roman"/>
          <w:sz w:val="26"/>
          <w:szCs w:val="26"/>
        </w:rPr>
        <w:t>citing PBA St. 1 at 2, PBA St.</w:t>
      </w:r>
      <w:r w:rsidRPr="009F73B0">
        <w:rPr>
          <w:rFonts w:ascii="Times New Roman" w:hAnsi="Times New Roman" w:cs="Times New Roman"/>
          <w:sz w:val="26"/>
          <w:szCs w:val="26"/>
        </w:rPr>
        <w:t xml:space="preserve"> 1-R at 4).  According to PAWC</w:t>
      </w:r>
      <w:r w:rsidR="00C64A00">
        <w:rPr>
          <w:rFonts w:ascii="Times New Roman" w:hAnsi="Times New Roman" w:cs="Times New Roman"/>
          <w:sz w:val="26"/>
          <w:szCs w:val="26"/>
        </w:rPr>
        <w:t>, this negative effect will be seen</w:t>
      </w:r>
      <w:r w:rsidRPr="009F73B0">
        <w:rPr>
          <w:rFonts w:ascii="Times New Roman" w:hAnsi="Times New Roman" w:cs="Times New Roman"/>
          <w:sz w:val="26"/>
          <w:szCs w:val="26"/>
        </w:rPr>
        <w:t xml:space="preserve"> on both residential development and new commercial and industrial development.  Additionally, PAWC contends that new load to be derived from expanding existing small and large business would be curtailed because businesses weighing whether to make new investments to expand their operations would be forced to determine whether their plans would still be economically viable if they are required to bear the longer pay-back periods and higher financing costs that result from the gross-up method.  Petition at 9.  </w:t>
      </w:r>
    </w:p>
    <w:p w14:paraId="73C5D50A" w14:textId="72E8E56F" w:rsidR="00835DC3" w:rsidRPr="009F73B0" w:rsidRDefault="00835DC3" w:rsidP="00723B1F">
      <w:pPr>
        <w:spacing w:after="0" w:line="360" w:lineRule="auto"/>
        <w:ind w:firstLine="1440"/>
        <w:contextualSpacing/>
        <w:rPr>
          <w:rFonts w:ascii="Times New Roman" w:hAnsi="Times New Roman" w:cs="Times New Roman"/>
          <w:sz w:val="26"/>
          <w:szCs w:val="26"/>
        </w:rPr>
      </w:pPr>
    </w:p>
    <w:p w14:paraId="078AE868" w14:textId="1AE8D38D" w:rsidR="00835DC3" w:rsidRPr="009F73B0" w:rsidRDefault="00835DC3"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PAWC posits that the gross-up method will reduce the overall level of economic development in Pennsylvania by causing developers to either abandon the commencement of new projects in Pennsylvania or to seek better environments in other states, such as New York, that do not require the gross-up method.  Petition at 9.  In addition, with respect to residential development, PAWC points to PBA’s testimony that even if it were possible for developers of residential property to reflect the added costs of grossing up CAC and CIAC in new home prices, doing so would price many potential new home buyers out of the market.  </w:t>
      </w:r>
      <w:r w:rsidR="00EE78AF">
        <w:rPr>
          <w:rFonts w:ascii="Times New Roman" w:hAnsi="Times New Roman" w:cs="Times New Roman"/>
          <w:i/>
          <w:iCs/>
          <w:sz w:val="26"/>
          <w:szCs w:val="26"/>
        </w:rPr>
        <w:t>Id.</w:t>
      </w:r>
      <w:r w:rsidRPr="009F73B0">
        <w:rPr>
          <w:rFonts w:ascii="Times New Roman" w:hAnsi="Times New Roman" w:cs="Times New Roman"/>
          <w:sz w:val="26"/>
          <w:szCs w:val="26"/>
        </w:rPr>
        <w:t xml:space="preserve"> at 9-10 (citing PBA St. 1-R at 4-5).</w:t>
      </w:r>
    </w:p>
    <w:p w14:paraId="77029659" w14:textId="77777777" w:rsidR="00835DC3" w:rsidRPr="009F73B0" w:rsidRDefault="00835DC3" w:rsidP="00723B1F">
      <w:pPr>
        <w:spacing w:after="0" w:line="360" w:lineRule="auto"/>
        <w:ind w:firstLine="1440"/>
        <w:contextualSpacing/>
        <w:rPr>
          <w:rFonts w:ascii="Times New Roman" w:hAnsi="Times New Roman" w:cs="Times New Roman"/>
          <w:sz w:val="26"/>
          <w:szCs w:val="26"/>
        </w:rPr>
      </w:pPr>
    </w:p>
    <w:p w14:paraId="394ED9DB" w14:textId="6A3F160D" w:rsidR="00835DC3" w:rsidRPr="009F73B0" w:rsidRDefault="00835DC3"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lastRenderedPageBreak/>
        <w:t xml:space="preserve">PAWC further contends that we did not consider the impact the gross-up method will have on bona fide applicants for service.  </w:t>
      </w:r>
      <w:r w:rsidR="00683465" w:rsidRPr="009F73B0">
        <w:rPr>
          <w:rFonts w:ascii="Times New Roman" w:hAnsi="Times New Roman" w:cs="Times New Roman"/>
          <w:sz w:val="26"/>
          <w:szCs w:val="26"/>
        </w:rPr>
        <w:t>According to PAWC, many bona fide applicants request main extensions for their existing residential dwellings because the wells they rely upon no longer provide water that is adequate in quality or quantity for domestic use.  PAWC explains that although it makes a significant investment in main extensions for bona fide applicants pursuant to the Commission</w:t>
      </w:r>
      <w:r w:rsidR="00537AC9">
        <w:rPr>
          <w:rFonts w:ascii="Times New Roman" w:hAnsi="Times New Roman" w:cs="Times New Roman"/>
          <w:sz w:val="26"/>
          <w:szCs w:val="26"/>
        </w:rPr>
        <w:t>’</w:t>
      </w:r>
      <w:r w:rsidR="00683465" w:rsidRPr="009F73B0">
        <w:rPr>
          <w:rFonts w:ascii="Times New Roman" w:hAnsi="Times New Roman" w:cs="Times New Roman"/>
          <w:sz w:val="26"/>
          <w:szCs w:val="26"/>
        </w:rPr>
        <w:t>s main extension regulations, set forth in 52 Pa. Code §§ 65.21-65.22, CAC/CIAC is still required for projects that exceed the Company</w:t>
      </w:r>
      <w:r w:rsidR="00537AC9">
        <w:rPr>
          <w:rFonts w:ascii="Times New Roman" w:hAnsi="Times New Roman" w:cs="Times New Roman"/>
          <w:sz w:val="26"/>
          <w:szCs w:val="26"/>
        </w:rPr>
        <w:t>’</w:t>
      </w:r>
      <w:r w:rsidR="00683465" w:rsidRPr="009F73B0">
        <w:rPr>
          <w:rFonts w:ascii="Times New Roman" w:hAnsi="Times New Roman" w:cs="Times New Roman"/>
          <w:sz w:val="26"/>
          <w:szCs w:val="26"/>
        </w:rPr>
        <w:t xml:space="preserve">s share of main extension costs.  </w:t>
      </w:r>
      <w:r w:rsidR="00031006" w:rsidRPr="009F73B0">
        <w:rPr>
          <w:rFonts w:ascii="Times New Roman" w:hAnsi="Times New Roman" w:cs="Times New Roman"/>
          <w:sz w:val="26"/>
          <w:szCs w:val="26"/>
        </w:rPr>
        <w:t xml:space="preserve">PAWC notes that pursuant to 52 Pa. Code § 61.23, bona fide applicants must bear the entire cost of facilities installed to furnish special utility service.  </w:t>
      </w:r>
      <w:r w:rsidR="00683465" w:rsidRPr="009F73B0">
        <w:rPr>
          <w:rFonts w:ascii="Times New Roman" w:hAnsi="Times New Roman" w:cs="Times New Roman"/>
          <w:sz w:val="26"/>
          <w:szCs w:val="26"/>
        </w:rPr>
        <w:t>Therefore</w:t>
      </w:r>
      <w:r w:rsidRPr="009F73B0">
        <w:rPr>
          <w:rFonts w:ascii="Times New Roman" w:hAnsi="Times New Roman" w:cs="Times New Roman"/>
          <w:sz w:val="26"/>
          <w:szCs w:val="26"/>
        </w:rPr>
        <w:t xml:space="preserve">, PAWC argues that our </w:t>
      </w:r>
      <w:r w:rsidRPr="009F73B0">
        <w:rPr>
          <w:rFonts w:ascii="Times New Roman" w:hAnsi="Times New Roman" w:cs="Times New Roman"/>
          <w:i/>
          <w:iCs/>
          <w:sz w:val="26"/>
          <w:szCs w:val="26"/>
        </w:rPr>
        <w:t xml:space="preserve">February 2019 Order </w:t>
      </w:r>
      <w:r w:rsidRPr="009F73B0">
        <w:rPr>
          <w:rFonts w:ascii="Times New Roman" w:hAnsi="Times New Roman" w:cs="Times New Roman"/>
          <w:sz w:val="26"/>
          <w:szCs w:val="26"/>
        </w:rPr>
        <w:t xml:space="preserve">is silent regarding the impact the gross-up </w:t>
      </w:r>
      <w:r w:rsidR="00683465" w:rsidRPr="009F73B0">
        <w:rPr>
          <w:rFonts w:ascii="Times New Roman" w:hAnsi="Times New Roman" w:cs="Times New Roman"/>
          <w:sz w:val="26"/>
          <w:szCs w:val="26"/>
        </w:rPr>
        <w:t>method</w:t>
      </w:r>
      <w:r w:rsidRPr="009F73B0">
        <w:rPr>
          <w:rFonts w:ascii="Times New Roman" w:hAnsi="Times New Roman" w:cs="Times New Roman"/>
          <w:sz w:val="26"/>
          <w:szCs w:val="26"/>
        </w:rPr>
        <w:t xml:space="preserve"> will have on bona fide applicants requesting main extensions that exceed the Company’s share of the cost of those extensions.  PAWC submits that because CAC/CIAC is still required for projects that exceed the Company’s share of the main extension costs, imposing the gross-up method will result in some bona fide applicants for service having to pay materially more to fund the CAC/CIAC required.  Petition at 10, 13.</w:t>
      </w:r>
    </w:p>
    <w:p w14:paraId="1C342863" w14:textId="7C8A8D96" w:rsidR="00EC459F" w:rsidRPr="009F73B0" w:rsidRDefault="00EC459F" w:rsidP="00723B1F">
      <w:pPr>
        <w:spacing w:after="0" w:line="360" w:lineRule="auto"/>
        <w:ind w:firstLine="1440"/>
        <w:contextualSpacing/>
        <w:rPr>
          <w:rFonts w:ascii="Times New Roman" w:hAnsi="Times New Roman" w:cs="Times New Roman"/>
          <w:sz w:val="26"/>
          <w:szCs w:val="26"/>
        </w:rPr>
      </w:pPr>
    </w:p>
    <w:p w14:paraId="7F29CA08" w14:textId="113DCE63" w:rsidR="0047059F" w:rsidRPr="009F73B0" w:rsidRDefault="0047059F"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In its Answer, I&amp;E refutes the Company’s allegation that the </w:t>
      </w:r>
      <w:r w:rsidRPr="009F73B0">
        <w:rPr>
          <w:rFonts w:ascii="Times New Roman" w:hAnsi="Times New Roman" w:cs="Times New Roman"/>
          <w:i/>
          <w:iCs/>
          <w:sz w:val="26"/>
          <w:szCs w:val="26"/>
        </w:rPr>
        <w:t xml:space="preserve">February 2019 Order </w:t>
      </w:r>
      <w:r w:rsidRPr="009F73B0">
        <w:rPr>
          <w:rFonts w:ascii="Times New Roman" w:hAnsi="Times New Roman" w:cs="Times New Roman"/>
          <w:sz w:val="26"/>
          <w:szCs w:val="26"/>
        </w:rPr>
        <w:t>is silent with respect to the impact the gross-up method will have on economic development.  I&amp;E argues that although PAWC, cites to the testimony of PBA regarding the serious economic consequences of adopting the gross-up method, the ALJ and the Commission did not find that testimony compelling.  Therefore, I&amp;E takes the position that reconsideration of this issue is not warranted given that this argument was already made and rejected by the Commission.  I&amp;E elaborates by arguing that the Commission correctly rejected PAWC</w:t>
      </w:r>
      <w:r w:rsidR="00902F47">
        <w:rPr>
          <w:rFonts w:ascii="Times New Roman" w:hAnsi="Times New Roman" w:cs="Times New Roman"/>
          <w:sz w:val="26"/>
          <w:szCs w:val="26"/>
        </w:rPr>
        <w:t>’</w:t>
      </w:r>
      <w:r w:rsidRPr="009F73B0">
        <w:rPr>
          <w:rFonts w:ascii="Times New Roman" w:hAnsi="Times New Roman" w:cs="Times New Roman"/>
          <w:sz w:val="26"/>
          <w:szCs w:val="26"/>
        </w:rPr>
        <w:t xml:space="preserve">s request to permanently shift the tax responsibility to existing ratepayers based on the Company’s overly broad, general allegations of harm to economic development.  I&amp;E explains that the Commission reaffirmed the general rule articulated in the </w:t>
      </w:r>
      <w:r w:rsidRPr="009F73B0">
        <w:rPr>
          <w:rFonts w:ascii="Times New Roman" w:hAnsi="Times New Roman" w:cs="Times New Roman"/>
          <w:i/>
          <w:iCs/>
          <w:sz w:val="26"/>
          <w:szCs w:val="26"/>
        </w:rPr>
        <w:t>TRA-86 Order</w:t>
      </w:r>
      <w:r w:rsidRPr="009F73B0">
        <w:rPr>
          <w:rFonts w:ascii="Times New Roman" w:hAnsi="Times New Roman" w:cs="Times New Roman"/>
          <w:sz w:val="26"/>
          <w:szCs w:val="26"/>
        </w:rPr>
        <w:t xml:space="preserve"> that such costs should be assigned to the developers or new customers through the gross-up method because they </w:t>
      </w:r>
      <w:r w:rsidRPr="009F73B0">
        <w:rPr>
          <w:rFonts w:ascii="Times New Roman" w:hAnsi="Times New Roman" w:cs="Times New Roman"/>
          <w:sz w:val="26"/>
          <w:szCs w:val="26"/>
        </w:rPr>
        <w:lastRenderedPageBreak/>
        <w:t>are the ones who will benefit from the projects.  Moreover, I&amp;E submits that PAWC may seek Commission approval to use the no gross-up method if a special circumstance exists in which it can demonstrate that a project will benefit PAWC’s existing customers or the community in general.  Answer at 20-21.</w:t>
      </w:r>
    </w:p>
    <w:p w14:paraId="01389DF4" w14:textId="77777777" w:rsidR="0047059F" w:rsidRPr="009F73B0" w:rsidRDefault="0047059F" w:rsidP="00723B1F">
      <w:pPr>
        <w:spacing w:after="0" w:line="360" w:lineRule="auto"/>
        <w:contextualSpacing/>
        <w:rPr>
          <w:rFonts w:ascii="Times New Roman" w:hAnsi="Times New Roman" w:cs="Times New Roman"/>
          <w:sz w:val="26"/>
          <w:szCs w:val="26"/>
        </w:rPr>
      </w:pPr>
    </w:p>
    <w:p w14:paraId="741055A8" w14:textId="19DC886D" w:rsidR="0047059F" w:rsidRDefault="0047059F" w:rsidP="00CF1E93">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I&amp;E also denies PAWC’s allegation that imposing the gross-up method will impede economic development in the Commonwealth by causing developers to abandon new projects or to seek to develop in more favorable environments where the no gross</w:t>
      </w:r>
      <w:r w:rsidR="00956498">
        <w:rPr>
          <w:rFonts w:ascii="Times New Roman" w:hAnsi="Times New Roman" w:cs="Times New Roman"/>
          <w:sz w:val="26"/>
          <w:szCs w:val="26"/>
        </w:rPr>
        <w:noBreakHyphen/>
      </w:r>
      <w:r w:rsidRPr="009F73B0">
        <w:rPr>
          <w:rFonts w:ascii="Times New Roman" w:hAnsi="Times New Roman" w:cs="Times New Roman"/>
          <w:sz w:val="26"/>
          <w:szCs w:val="26"/>
        </w:rPr>
        <w:t xml:space="preserve">up method is permitted.  I&amp;E reasons that the Commission considered and rejected these arguments in the </w:t>
      </w:r>
      <w:r w:rsidRPr="009F73B0">
        <w:rPr>
          <w:rFonts w:ascii="Times New Roman" w:hAnsi="Times New Roman" w:cs="Times New Roman"/>
          <w:i/>
          <w:iCs/>
          <w:sz w:val="26"/>
          <w:szCs w:val="26"/>
        </w:rPr>
        <w:t xml:space="preserve">February 2019 Order. </w:t>
      </w:r>
      <w:r w:rsidRPr="009F73B0">
        <w:rPr>
          <w:rFonts w:ascii="Times New Roman" w:hAnsi="Times New Roman" w:cs="Times New Roman"/>
          <w:sz w:val="26"/>
          <w:szCs w:val="26"/>
        </w:rPr>
        <w:t xml:space="preserve"> According to </w:t>
      </w:r>
      <w:r w:rsidR="00857198" w:rsidRPr="00857198">
        <w:rPr>
          <w:rFonts w:ascii="Times New Roman" w:hAnsi="Times New Roman" w:cs="Times New Roman"/>
          <w:sz w:val="26"/>
          <w:szCs w:val="26"/>
        </w:rPr>
        <w:t>I&amp;E</w:t>
      </w:r>
      <w:r w:rsidR="00857198">
        <w:rPr>
          <w:rFonts w:ascii="Times New Roman" w:hAnsi="Times New Roman" w:cs="Times New Roman"/>
          <w:sz w:val="26"/>
          <w:szCs w:val="26"/>
        </w:rPr>
        <w:t>,</w:t>
      </w:r>
      <w:r w:rsidRPr="009F73B0">
        <w:rPr>
          <w:rFonts w:ascii="Times New Roman" w:hAnsi="Times New Roman" w:cs="Times New Roman"/>
          <w:sz w:val="26"/>
          <w:szCs w:val="26"/>
        </w:rPr>
        <w:t xml:space="preserve"> neither PAWC nor PBA provided evidence that development was discouraged when the Commission adopted the gross-up method through the </w:t>
      </w:r>
      <w:r w:rsidRPr="009F73B0">
        <w:rPr>
          <w:rFonts w:ascii="Times New Roman" w:hAnsi="Times New Roman" w:cs="Times New Roman"/>
          <w:i/>
          <w:iCs/>
          <w:sz w:val="26"/>
          <w:szCs w:val="26"/>
        </w:rPr>
        <w:t>TRA-86 Order</w:t>
      </w:r>
      <w:r w:rsidRPr="009F73B0">
        <w:rPr>
          <w:rFonts w:ascii="Times New Roman" w:hAnsi="Times New Roman" w:cs="Times New Roman"/>
          <w:sz w:val="26"/>
          <w:szCs w:val="26"/>
        </w:rPr>
        <w:t>.  Answer at 21-22.</w:t>
      </w:r>
    </w:p>
    <w:p w14:paraId="3C6A7139" w14:textId="77777777" w:rsidR="00353EF4" w:rsidRPr="009F73B0" w:rsidRDefault="00353EF4" w:rsidP="00723B1F">
      <w:pPr>
        <w:spacing w:after="0" w:line="360" w:lineRule="auto"/>
        <w:ind w:firstLine="1440"/>
        <w:contextualSpacing/>
        <w:rPr>
          <w:rFonts w:ascii="Times New Roman" w:hAnsi="Times New Roman" w:cs="Times New Roman"/>
          <w:sz w:val="26"/>
          <w:szCs w:val="26"/>
        </w:rPr>
      </w:pPr>
    </w:p>
    <w:p w14:paraId="3A4D7281" w14:textId="675C005C" w:rsidR="0047059F" w:rsidRPr="009F73B0" w:rsidRDefault="0047059F"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Additionally, I&amp;E </w:t>
      </w:r>
      <w:r w:rsidR="00CE0DE6">
        <w:rPr>
          <w:rFonts w:ascii="Times New Roman" w:hAnsi="Times New Roman" w:cs="Times New Roman"/>
          <w:sz w:val="26"/>
          <w:szCs w:val="26"/>
        </w:rPr>
        <w:t>downplays</w:t>
      </w:r>
      <w:r w:rsidRPr="009F73B0">
        <w:rPr>
          <w:rFonts w:ascii="Times New Roman" w:hAnsi="Times New Roman" w:cs="Times New Roman"/>
          <w:sz w:val="26"/>
          <w:szCs w:val="26"/>
        </w:rPr>
        <w:t xml:space="preserve"> PAWC’s argument regarding bona fide service applicants.  I&amp;E submits that because the Company did not specify any difference between bona fide service applicants and non bona fide service applicants in this proceeding, it is not reasonable for PAWC to expect the Commission to consider the impact thereto.  However, I&amp;E claims that even when this argument is considered, </w:t>
      </w:r>
      <w:bookmarkStart w:id="7" w:name="_Hlk43805333"/>
      <w:r w:rsidRPr="009F73B0">
        <w:rPr>
          <w:rFonts w:ascii="Times New Roman" w:hAnsi="Times New Roman" w:cs="Times New Roman"/>
          <w:bCs/>
          <w:sz w:val="26"/>
          <w:szCs w:val="26"/>
        </w:rPr>
        <w:t xml:space="preserve">PAWC failed to demonstrate that </w:t>
      </w:r>
      <w:r w:rsidR="00902F47">
        <w:rPr>
          <w:rFonts w:ascii="Times New Roman" w:hAnsi="Times New Roman" w:cs="Times New Roman"/>
          <w:bCs/>
          <w:sz w:val="26"/>
          <w:szCs w:val="26"/>
        </w:rPr>
        <w:t>“</w:t>
      </w:r>
      <w:r w:rsidRPr="009F73B0">
        <w:rPr>
          <w:rFonts w:ascii="Times New Roman" w:hAnsi="Times New Roman" w:cs="Times New Roman"/>
          <w:bCs/>
          <w:sz w:val="26"/>
          <w:szCs w:val="26"/>
        </w:rPr>
        <w:t>many</w:t>
      </w:r>
      <w:r w:rsidR="00902F47">
        <w:rPr>
          <w:rFonts w:ascii="Times New Roman" w:hAnsi="Times New Roman" w:cs="Times New Roman"/>
          <w:bCs/>
          <w:sz w:val="26"/>
          <w:szCs w:val="26"/>
        </w:rPr>
        <w:t>”</w:t>
      </w:r>
      <w:r w:rsidRPr="009F73B0">
        <w:rPr>
          <w:rFonts w:ascii="Times New Roman" w:hAnsi="Times New Roman" w:cs="Times New Roman"/>
          <w:bCs/>
          <w:sz w:val="26"/>
          <w:szCs w:val="26"/>
        </w:rPr>
        <w:t xml:space="preserve"> of the bona fide applicants in its service territory request extensions for existing structures due to inadequate water quality or quantity.</w:t>
      </w:r>
      <w:bookmarkEnd w:id="7"/>
      <w:r w:rsidRPr="009F73B0">
        <w:rPr>
          <w:rFonts w:ascii="Times New Roman" w:hAnsi="Times New Roman" w:cs="Times New Roman"/>
          <w:bCs/>
          <w:sz w:val="26"/>
          <w:szCs w:val="26"/>
        </w:rPr>
        <w:t xml:space="preserve">  Additionally, I&amp;E takes the position that because taxes associated with the CIAC revenue are part of the costs the Company incurs for special utility service facilities, it is not unreasonable to assign the entire cost of special utility service, including taxes, to the applicant.  Answer at 22-23.  Further, I&amp;E contends that the Company’s tariff allows </w:t>
      </w:r>
      <w:bookmarkStart w:id="8" w:name="_Hlk43386959"/>
      <w:r w:rsidRPr="009F73B0">
        <w:rPr>
          <w:rFonts w:ascii="Times New Roman" w:hAnsi="Times New Roman" w:cs="Times New Roman"/>
          <w:bCs/>
          <w:sz w:val="26"/>
          <w:szCs w:val="26"/>
        </w:rPr>
        <w:t>waiver of all costs associated with main extensions and special utility service facilities where substantial public need exists.</w:t>
      </w:r>
      <w:bookmarkEnd w:id="8"/>
      <w:r w:rsidRPr="009F73B0">
        <w:rPr>
          <w:rFonts w:ascii="Times New Roman" w:hAnsi="Times New Roman" w:cs="Times New Roman"/>
          <w:bCs/>
          <w:sz w:val="26"/>
          <w:szCs w:val="26"/>
        </w:rPr>
        <w:t xml:space="preserve">  </w:t>
      </w:r>
      <w:r w:rsidRPr="009F73B0">
        <w:rPr>
          <w:rFonts w:ascii="Times New Roman" w:hAnsi="Times New Roman" w:cs="Times New Roman"/>
          <w:bCs/>
          <w:i/>
          <w:iCs/>
          <w:sz w:val="26"/>
          <w:szCs w:val="26"/>
        </w:rPr>
        <w:t xml:space="preserve">Id. </w:t>
      </w:r>
      <w:r w:rsidRPr="009F73B0">
        <w:rPr>
          <w:rFonts w:ascii="Times New Roman" w:hAnsi="Times New Roman" w:cs="Times New Roman"/>
          <w:bCs/>
          <w:sz w:val="26"/>
          <w:szCs w:val="26"/>
        </w:rPr>
        <w:t>(citing PAWC Tariff Water PA PUC No. 5 at 89).</w:t>
      </w:r>
    </w:p>
    <w:p w14:paraId="6227DF81" w14:textId="77777777" w:rsidR="00835DC3" w:rsidRPr="009F73B0" w:rsidRDefault="00835DC3" w:rsidP="00723B1F">
      <w:pPr>
        <w:spacing w:after="0" w:line="360" w:lineRule="auto"/>
        <w:ind w:firstLine="1440"/>
        <w:contextualSpacing/>
        <w:rPr>
          <w:rFonts w:ascii="Times New Roman" w:hAnsi="Times New Roman" w:cs="Times New Roman"/>
          <w:sz w:val="26"/>
          <w:szCs w:val="26"/>
        </w:rPr>
      </w:pPr>
    </w:p>
    <w:p w14:paraId="5E476CAF" w14:textId="6F5C84F1" w:rsidR="00930E83" w:rsidRDefault="00930E83" w:rsidP="00254200">
      <w:pPr>
        <w:spacing w:after="0" w:line="360" w:lineRule="auto"/>
        <w:contextualSpacing/>
        <w:rPr>
          <w:rFonts w:ascii="Times New Roman" w:hAnsi="Times New Roman" w:cs="Times New Roman"/>
          <w:sz w:val="26"/>
          <w:szCs w:val="26"/>
        </w:rPr>
      </w:pPr>
    </w:p>
    <w:p w14:paraId="37AE966E" w14:textId="1274EF3F" w:rsidR="00057E2E" w:rsidRPr="009F73B0" w:rsidRDefault="00057E2E" w:rsidP="009F4223">
      <w:pPr>
        <w:pStyle w:val="Heading3"/>
        <w:spacing w:before="0" w:line="360" w:lineRule="auto"/>
        <w:ind w:hanging="720"/>
        <w:contextualSpacing/>
        <w:rPr>
          <w:rFonts w:ascii="Times New Roman" w:hAnsi="Times New Roman" w:cs="Times New Roman"/>
          <w:b/>
          <w:bCs/>
          <w:color w:val="auto"/>
          <w:sz w:val="26"/>
          <w:szCs w:val="26"/>
        </w:rPr>
      </w:pPr>
      <w:r w:rsidRPr="009F73B0">
        <w:rPr>
          <w:rFonts w:ascii="Times New Roman" w:hAnsi="Times New Roman" w:cs="Times New Roman"/>
          <w:b/>
          <w:bCs/>
          <w:color w:val="auto"/>
          <w:sz w:val="26"/>
          <w:szCs w:val="26"/>
        </w:rPr>
        <w:lastRenderedPageBreak/>
        <w:t xml:space="preserve">Retroactive </w:t>
      </w:r>
      <w:r w:rsidR="009F4223" w:rsidRPr="009F73B0">
        <w:rPr>
          <w:rFonts w:ascii="Times New Roman" w:hAnsi="Times New Roman" w:cs="Times New Roman"/>
          <w:b/>
          <w:bCs/>
          <w:color w:val="auto"/>
          <w:sz w:val="26"/>
          <w:szCs w:val="26"/>
        </w:rPr>
        <w:t xml:space="preserve">Application </w:t>
      </w:r>
      <w:r w:rsidR="00D661F0">
        <w:rPr>
          <w:rFonts w:ascii="Times New Roman" w:hAnsi="Times New Roman" w:cs="Times New Roman"/>
          <w:b/>
          <w:bCs/>
          <w:color w:val="auto"/>
          <w:sz w:val="26"/>
          <w:szCs w:val="26"/>
        </w:rPr>
        <w:t>o</w:t>
      </w:r>
      <w:r w:rsidR="009F4223" w:rsidRPr="009F73B0">
        <w:rPr>
          <w:rFonts w:ascii="Times New Roman" w:hAnsi="Times New Roman" w:cs="Times New Roman"/>
          <w:b/>
          <w:bCs/>
          <w:color w:val="auto"/>
          <w:sz w:val="26"/>
          <w:szCs w:val="26"/>
        </w:rPr>
        <w:t xml:space="preserve">f </w:t>
      </w:r>
      <w:r w:rsidR="00D661F0">
        <w:rPr>
          <w:rFonts w:ascii="Times New Roman" w:hAnsi="Times New Roman" w:cs="Times New Roman"/>
          <w:b/>
          <w:bCs/>
          <w:color w:val="auto"/>
          <w:sz w:val="26"/>
          <w:szCs w:val="26"/>
        </w:rPr>
        <w:t>t</w:t>
      </w:r>
      <w:r w:rsidR="009F4223" w:rsidRPr="009F73B0">
        <w:rPr>
          <w:rFonts w:ascii="Times New Roman" w:hAnsi="Times New Roman" w:cs="Times New Roman"/>
          <w:b/>
          <w:bCs/>
          <w:color w:val="auto"/>
          <w:sz w:val="26"/>
          <w:szCs w:val="26"/>
        </w:rPr>
        <w:t xml:space="preserve">he </w:t>
      </w:r>
      <w:r w:rsidRPr="009F73B0">
        <w:rPr>
          <w:rFonts w:ascii="Times New Roman" w:hAnsi="Times New Roman" w:cs="Times New Roman"/>
          <w:b/>
          <w:bCs/>
          <w:color w:val="auto"/>
          <w:sz w:val="26"/>
          <w:szCs w:val="26"/>
        </w:rPr>
        <w:t>Gross</w:t>
      </w:r>
      <w:r w:rsidR="009F4223" w:rsidRPr="009F73B0">
        <w:rPr>
          <w:rFonts w:ascii="Times New Roman" w:hAnsi="Times New Roman" w:cs="Times New Roman"/>
          <w:b/>
          <w:bCs/>
          <w:color w:val="auto"/>
          <w:sz w:val="26"/>
          <w:szCs w:val="26"/>
        </w:rPr>
        <w:t>-</w:t>
      </w:r>
      <w:r w:rsidRPr="009F73B0">
        <w:rPr>
          <w:rFonts w:ascii="Times New Roman" w:hAnsi="Times New Roman" w:cs="Times New Roman"/>
          <w:b/>
          <w:bCs/>
          <w:color w:val="auto"/>
          <w:sz w:val="26"/>
          <w:szCs w:val="26"/>
        </w:rPr>
        <w:t>Up Method (Petition at 13</w:t>
      </w:r>
      <w:r w:rsidR="000B0AAB">
        <w:rPr>
          <w:rFonts w:ascii="Times New Roman" w:hAnsi="Times New Roman" w:cs="Times New Roman"/>
          <w:b/>
          <w:bCs/>
          <w:color w:val="auto"/>
          <w:sz w:val="26"/>
          <w:szCs w:val="26"/>
        </w:rPr>
        <w:noBreakHyphen/>
      </w:r>
      <w:r w:rsidRPr="009F73B0">
        <w:rPr>
          <w:rFonts w:ascii="Times New Roman" w:hAnsi="Times New Roman" w:cs="Times New Roman"/>
          <w:b/>
          <w:bCs/>
          <w:color w:val="auto"/>
          <w:sz w:val="26"/>
          <w:szCs w:val="26"/>
        </w:rPr>
        <w:t>14)</w:t>
      </w:r>
    </w:p>
    <w:p w14:paraId="542F6912" w14:textId="39DEAC0F" w:rsidR="00057E2E" w:rsidRPr="009F73B0" w:rsidRDefault="00057E2E" w:rsidP="009F4223">
      <w:pPr>
        <w:keepNext/>
        <w:keepLines/>
        <w:spacing w:after="0" w:line="360" w:lineRule="auto"/>
        <w:ind w:firstLine="1440"/>
        <w:contextualSpacing/>
        <w:rPr>
          <w:rFonts w:ascii="Times New Roman" w:hAnsi="Times New Roman" w:cs="Times New Roman"/>
          <w:sz w:val="26"/>
          <w:szCs w:val="26"/>
        </w:rPr>
      </w:pPr>
    </w:p>
    <w:p w14:paraId="03571C02" w14:textId="4BD483F9" w:rsidR="003E1B4D" w:rsidRPr="009F73B0" w:rsidRDefault="003E1B4D" w:rsidP="009F4223">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In our </w:t>
      </w:r>
      <w:r w:rsidRPr="009F73B0">
        <w:rPr>
          <w:rFonts w:ascii="Times New Roman" w:hAnsi="Times New Roman" w:cs="Times New Roman"/>
          <w:i/>
          <w:iCs/>
          <w:sz w:val="26"/>
          <w:szCs w:val="26"/>
        </w:rPr>
        <w:t xml:space="preserve">February 2019 Order, </w:t>
      </w:r>
      <w:r w:rsidRPr="009F73B0">
        <w:rPr>
          <w:rFonts w:ascii="Times New Roman" w:hAnsi="Times New Roman" w:cs="Times New Roman"/>
          <w:sz w:val="26"/>
          <w:szCs w:val="26"/>
        </w:rPr>
        <w:t xml:space="preserve">we noted the position of PAWC that if it is directed to use the gross-up method, then it should be permitted to apply it on a prospective basis such that </w:t>
      </w:r>
      <w:r w:rsidR="001A54A4">
        <w:rPr>
          <w:rFonts w:ascii="Times New Roman" w:hAnsi="Times New Roman" w:cs="Times New Roman"/>
          <w:sz w:val="26"/>
          <w:szCs w:val="26"/>
        </w:rPr>
        <w:t>E</w:t>
      </w:r>
      <w:r w:rsidRPr="009F73B0">
        <w:rPr>
          <w:rFonts w:ascii="Times New Roman" w:hAnsi="Times New Roman" w:cs="Times New Roman"/>
          <w:sz w:val="26"/>
          <w:szCs w:val="26"/>
        </w:rPr>
        <w:t>xtension</w:t>
      </w:r>
      <w:r w:rsidR="001A54A4">
        <w:rPr>
          <w:rFonts w:ascii="Times New Roman" w:hAnsi="Times New Roman" w:cs="Times New Roman"/>
          <w:sz w:val="26"/>
          <w:szCs w:val="26"/>
        </w:rPr>
        <w:t xml:space="preserve"> A</w:t>
      </w:r>
      <w:r w:rsidRPr="009F73B0">
        <w:rPr>
          <w:rFonts w:ascii="Times New Roman" w:hAnsi="Times New Roman" w:cs="Times New Roman"/>
          <w:sz w:val="26"/>
          <w:szCs w:val="26"/>
        </w:rPr>
        <w:t xml:space="preserve">greements </w:t>
      </w:r>
      <w:r w:rsidR="001A54A4">
        <w:rPr>
          <w:rFonts w:ascii="Times New Roman" w:hAnsi="Times New Roman" w:cs="Times New Roman"/>
          <w:sz w:val="26"/>
          <w:szCs w:val="26"/>
        </w:rPr>
        <w:t xml:space="preserve">executed </w:t>
      </w:r>
      <w:r w:rsidRPr="009F73B0">
        <w:rPr>
          <w:rFonts w:ascii="Times New Roman" w:hAnsi="Times New Roman" w:cs="Times New Roman"/>
          <w:sz w:val="26"/>
          <w:szCs w:val="26"/>
        </w:rPr>
        <w:t xml:space="preserve">before the entry our </w:t>
      </w:r>
      <w:r w:rsidRPr="009F73B0">
        <w:rPr>
          <w:rFonts w:ascii="Times New Roman" w:hAnsi="Times New Roman" w:cs="Times New Roman"/>
          <w:i/>
          <w:iCs/>
          <w:sz w:val="26"/>
          <w:szCs w:val="26"/>
        </w:rPr>
        <w:t xml:space="preserve">February 2019 Order </w:t>
      </w:r>
      <w:r w:rsidR="001A54A4">
        <w:rPr>
          <w:rFonts w:ascii="Times New Roman" w:hAnsi="Times New Roman" w:cs="Times New Roman"/>
          <w:sz w:val="26"/>
          <w:szCs w:val="26"/>
        </w:rPr>
        <w:t>are</w:t>
      </w:r>
      <w:r w:rsidRPr="009F73B0">
        <w:rPr>
          <w:rFonts w:ascii="Times New Roman" w:hAnsi="Times New Roman" w:cs="Times New Roman"/>
          <w:sz w:val="26"/>
          <w:szCs w:val="26"/>
        </w:rPr>
        <w:t xml:space="preserve"> not impacted.  No party opposed the prospective application </w:t>
      </w:r>
      <w:r w:rsidR="00A92B3B">
        <w:rPr>
          <w:rFonts w:ascii="Times New Roman" w:hAnsi="Times New Roman" w:cs="Times New Roman"/>
          <w:sz w:val="26"/>
          <w:szCs w:val="26"/>
        </w:rPr>
        <w:t>if the Commission approved</w:t>
      </w:r>
      <w:r w:rsidR="00A92B3B" w:rsidRPr="009F73B0">
        <w:rPr>
          <w:rFonts w:ascii="Times New Roman" w:hAnsi="Times New Roman" w:cs="Times New Roman"/>
          <w:sz w:val="26"/>
          <w:szCs w:val="26"/>
        </w:rPr>
        <w:t xml:space="preserve"> </w:t>
      </w:r>
      <w:r w:rsidRPr="009F73B0">
        <w:rPr>
          <w:rFonts w:ascii="Times New Roman" w:hAnsi="Times New Roman" w:cs="Times New Roman"/>
          <w:sz w:val="26"/>
          <w:szCs w:val="26"/>
        </w:rPr>
        <w:t xml:space="preserve">the gross-up method and the ALJ concluded that this prospective application should be adopted.  However, </w:t>
      </w:r>
      <w:r w:rsidR="00E22554" w:rsidRPr="009F73B0">
        <w:rPr>
          <w:rFonts w:ascii="Times New Roman" w:hAnsi="Times New Roman" w:cs="Times New Roman"/>
          <w:sz w:val="26"/>
          <w:szCs w:val="26"/>
        </w:rPr>
        <w:t xml:space="preserve">as previously noted, </w:t>
      </w:r>
      <w:r w:rsidRPr="009F73B0">
        <w:rPr>
          <w:rFonts w:ascii="Times New Roman" w:hAnsi="Times New Roman" w:cs="Times New Roman"/>
          <w:sz w:val="26"/>
          <w:szCs w:val="26"/>
        </w:rPr>
        <w:t xml:space="preserve">we modified the ALJ’s recommendation and directed PAWC to retroactively apply the gross-up method to </w:t>
      </w:r>
      <w:r w:rsidR="00E8396C">
        <w:rPr>
          <w:rFonts w:ascii="Times New Roman" w:hAnsi="Times New Roman" w:cs="Times New Roman"/>
          <w:sz w:val="26"/>
          <w:szCs w:val="26"/>
        </w:rPr>
        <w:t>E</w:t>
      </w:r>
      <w:r w:rsidRPr="009F73B0">
        <w:rPr>
          <w:rFonts w:ascii="Times New Roman" w:hAnsi="Times New Roman" w:cs="Times New Roman"/>
          <w:sz w:val="26"/>
          <w:szCs w:val="26"/>
        </w:rPr>
        <w:t xml:space="preserve">xtension </w:t>
      </w:r>
      <w:r w:rsidR="00E8396C">
        <w:rPr>
          <w:rFonts w:ascii="Times New Roman" w:hAnsi="Times New Roman" w:cs="Times New Roman"/>
          <w:sz w:val="26"/>
          <w:szCs w:val="26"/>
        </w:rPr>
        <w:t>A</w:t>
      </w:r>
      <w:r w:rsidRPr="009F73B0">
        <w:rPr>
          <w:rFonts w:ascii="Times New Roman" w:hAnsi="Times New Roman" w:cs="Times New Roman"/>
          <w:sz w:val="26"/>
          <w:szCs w:val="26"/>
        </w:rPr>
        <w:t xml:space="preserve">greements executed on or after the January 1, 2018 effective date of the TCJA.  </w:t>
      </w:r>
      <w:r w:rsidRPr="009F73B0">
        <w:rPr>
          <w:rFonts w:ascii="Times New Roman" w:hAnsi="Times New Roman" w:cs="Times New Roman"/>
          <w:i/>
          <w:iCs/>
          <w:sz w:val="26"/>
          <w:szCs w:val="26"/>
        </w:rPr>
        <w:t xml:space="preserve">February 2019 Order </w:t>
      </w:r>
      <w:r w:rsidRPr="009F73B0">
        <w:rPr>
          <w:rFonts w:ascii="Times New Roman" w:hAnsi="Times New Roman" w:cs="Times New Roman"/>
          <w:sz w:val="26"/>
          <w:szCs w:val="26"/>
        </w:rPr>
        <w:t>at 38-40.</w:t>
      </w:r>
    </w:p>
    <w:p w14:paraId="48F89A7E" w14:textId="77777777" w:rsidR="00EC459F" w:rsidRPr="009F73B0" w:rsidRDefault="00EC459F" w:rsidP="00723B1F">
      <w:pPr>
        <w:spacing w:after="0" w:line="360" w:lineRule="auto"/>
        <w:ind w:firstLine="1440"/>
        <w:contextualSpacing/>
        <w:rPr>
          <w:rFonts w:ascii="Times New Roman" w:hAnsi="Times New Roman" w:cs="Times New Roman"/>
          <w:sz w:val="26"/>
          <w:szCs w:val="26"/>
        </w:rPr>
      </w:pPr>
    </w:p>
    <w:p w14:paraId="044B9F9B" w14:textId="77777777" w:rsidR="00EC459F" w:rsidRPr="009F73B0" w:rsidRDefault="00EC459F" w:rsidP="00723B1F">
      <w:pPr>
        <w:keepNext/>
        <w:keepLines/>
        <w:spacing w:after="0" w:line="360" w:lineRule="auto"/>
        <w:ind w:left="2160" w:hanging="720"/>
        <w:contextualSpacing/>
        <w:rPr>
          <w:rFonts w:ascii="Times New Roman" w:hAnsi="Times New Roman" w:cs="Times New Roman"/>
          <w:b/>
          <w:bCs/>
          <w:sz w:val="26"/>
          <w:szCs w:val="26"/>
        </w:rPr>
      </w:pPr>
      <w:r w:rsidRPr="009F73B0">
        <w:rPr>
          <w:rFonts w:ascii="Times New Roman" w:hAnsi="Times New Roman" w:cs="Times New Roman"/>
          <w:b/>
          <w:bCs/>
          <w:sz w:val="26"/>
          <w:szCs w:val="26"/>
        </w:rPr>
        <w:t>a.</w:t>
      </w:r>
      <w:r w:rsidRPr="009F73B0">
        <w:rPr>
          <w:rFonts w:ascii="Times New Roman" w:hAnsi="Times New Roman" w:cs="Times New Roman"/>
          <w:b/>
          <w:bCs/>
          <w:sz w:val="26"/>
          <w:szCs w:val="26"/>
        </w:rPr>
        <w:tab/>
        <w:t>Positions of the Parties</w:t>
      </w:r>
    </w:p>
    <w:p w14:paraId="6436A9E4" w14:textId="77777777" w:rsidR="00EC459F" w:rsidRPr="009F73B0" w:rsidRDefault="00EC459F" w:rsidP="00723B1F">
      <w:pPr>
        <w:keepNext/>
        <w:keepLines/>
        <w:spacing w:after="0" w:line="360" w:lineRule="auto"/>
        <w:ind w:firstLine="1440"/>
        <w:contextualSpacing/>
        <w:rPr>
          <w:rFonts w:ascii="Times New Roman" w:hAnsi="Times New Roman" w:cs="Times New Roman"/>
          <w:sz w:val="26"/>
          <w:szCs w:val="26"/>
        </w:rPr>
      </w:pPr>
    </w:p>
    <w:p w14:paraId="58D53119" w14:textId="77777777" w:rsidR="00866F3B" w:rsidRPr="009F73B0" w:rsidRDefault="00866F3B"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In its Petition, PAWC contends that we should reconsider our ruling that the Company must apply the gross-up method retroactively.  PAWC notes that the Company and I&amp;E were in agreement that the gross-up method should be effective only on a prospective basis and the OCA did not oppose this position.  Further PAWC stresses that the ALJ recommended that this position be adopted.  Petition at 13-14.</w:t>
      </w:r>
    </w:p>
    <w:p w14:paraId="05C9652D" w14:textId="77777777" w:rsidR="00866F3B" w:rsidRPr="009F73B0" w:rsidRDefault="00866F3B" w:rsidP="00723B1F">
      <w:pPr>
        <w:spacing w:after="0" w:line="360" w:lineRule="auto"/>
        <w:ind w:firstLine="1440"/>
        <w:contextualSpacing/>
        <w:rPr>
          <w:rFonts w:ascii="Times New Roman" w:hAnsi="Times New Roman" w:cs="Times New Roman"/>
          <w:sz w:val="26"/>
          <w:szCs w:val="26"/>
        </w:rPr>
      </w:pPr>
    </w:p>
    <w:p w14:paraId="1A3B21B4" w14:textId="4B64F880" w:rsidR="00866F3B" w:rsidRDefault="00866F3B" w:rsidP="00723B1F">
      <w:pPr>
        <w:spacing w:after="0" w:line="360" w:lineRule="auto"/>
        <w:ind w:firstLine="1440"/>
        <w:contextualSpacing/>
        <w:rPr>
          <w:rFonts w:ascii="Times New Roman" w:hAnsi="Times New Roman" w:cs="Times New Roman"/>
          <w:sz w:val="26"/>
          <w:szCs w:val="26"/>
        </w:rPr>
      </w:pPr>
      <w:r w:rsidRPr="009F73B0">
        <w:rPr>
          <w:rFonts w:ascii="Times New Roman" w:hAnsi="Times New Roman" w:cs="Times New Roman"/>
          <w:sz w:val="26"/>
          <w:szCs w:val="26"/>
        </w:rPr>
        <w:t xml:space="preserve">In its Answer, I&amp;E rebuts that the Company erroneously frames this issue as one that centers </w:t>
      </w:r>
      <w:r w:rsidR="00253F00">
        <w:rPr>
          <w:rFonts w:ascii="Times New Roman" w:hAnsi="Times New Roman" w:cs="Times New Roman"/>
          <w:sz w:val="26"/>
          <w:szCs w:val="26"/>
        </w:rPr>
        <w:t xml:space="preserve">on </w:t>
      </w:r>
      <w:r w:rsidRPr="009F73B0">
        <w:rPr>
          <w:rFonts w:ascii="Times New Roman" w:hAnsi="Times New Roman" w:cs="Times New Roman"/>
          <w:sz w:val="26"/>
          <w:szCs w:val="26"/>
        </w:rPr>
        <w:t>the retroactive vers</w:t>
      </w:r>
      <w:r w:rsidR="00C4062B">
        <w:rPr>
          <w:rFonts w:ascii="Times New Roman" w:hAnsi="Times New Roman" w:cs="Times New Roman"/>
          <w:sz w:val="26"/>
          <w:szCs w:val="26"/>
        </w:rPr>
        <w:t>u</w:t>
      </w:r>
      <w:r w:rsidRPr="009F73B0">
        <w:rPr>
          <w:rFonts w:ascii="Times New Roman" w:hAnsi="Times New Roman" w:cs="Times New Roman"/>
          <w:sz w:val="26"/>
          <w:szCs w:val="26"/>
        </w:rPr>
        <w:t>s the prospective nature of the tax treatment.  Rather, I&amp;E submits that this issue more properly centers on the fact that PAWC improperly changed its methodology from the gross-up method to the no-gross-up method without first obtaining Commission approval.  Accordingly, I&amp;E stresses that although it did not oppose PAWC</w:t>
      </w:r>
      <w:r w:rsidR="00944B77">
        <w:rPr>
          <w:rFonts w:ascii="Times New Roman" w:hAnsi="Times New Roman" w:cs="Times New Roman"/>
          <w:sz w:val="26"/>
          <w:szCs w:val="26"/>
        </w:rPr>
        <w:t>’</w:t>
      </w:r>
      <w:r w:rsidRPr="009F73B0">
        <w:rPr>
          <w:rFonts w:ascii="Times New Roman" w:hAnsi="Times New Roman" w:cs="Times New Roman"/>
          <w:sz w:val="26"/>
          <w:szCs w:val="26"/>
        </w:rPr>
        <w:t>s request to implement the gross-up method on a going forward basis, it repeatedly stated that the Company</w:t>
      </w:r>
      <w:r w:rsidR="00944B77">
        <w:rPr>
          <w:rFonts w:ascii="Times New Roman" w:hAnsi="Times New Roman" w:cs="Times New Roman"/>
          <w:sz w:val="26"/>
          <w:szCs w:val="26"/>
        </w:rPr>
        <w:t>’</w:t>
      </w:r>
      <w:r w:rsidRPr="009F73B0">
        <w:rPr>
          <w:rFonts w:ascii="Times New Roman" w:hAnsi="Times New Roman" w:cs="Times New Roman"/>
          <w:sz w:val="26"/>
          <w:szCs w:val="26"/>
        </w:rPr>
        <w:t xml:space="preserve">s decision to use the “no gross-up” method before receiving Commission approval was inappropriate given our prior decision in the </w:t>
      </w:r>
      <w:r w:rsidRPr="009F73B0">
        <w:rPr>
          <w:rFonts w:ascii="Times New Roman" w:hAnsi="Times New Roman" w:cs="Times New Roman"/>
          <w:i/>
          <w:iCs/>
          <w:sz w:val="26"/>
          <w:szCs w:val="26"/>
        </w:rPr>
        <w:t xml:space="preserve">TRA-86 Order </w:t>
      </w:r>
      <w:r w:rsidRPr="009F73B0">
        <w:rPr>
          <w:rFonts w:ascii="Times New Roman" w:hAnsi="Times New Roman" w:cs="Times New Roman"/>
          <w:sz w:val="26"/>
          <w:szCs w:val="26"/>
        </w:rPr>
        <w:t xml:space="preserve">that water and wastewater companies must use the </w:t>
      </w:r>
      <w:r w:rsidRPr="009F73B0">
        <w:rPr>
          <w:rFonts w:ascii="Times New Roman" w:hAnsi="Times New Roman" w:cs="Times New Roman"/>
          <w:sz w:val="26"/>
          <w:szCs w:val="26"/>
        </w:rPr>
        <w:lastRenderedPageBreak/>
        <w:t>gross</w:t>
      </w:r>
      <w:r w:rsidRPr="009F73B0">
        <w:rPr>
          <w:rFonts w:ascii="Times New Roman" w:hAnsi="Times New Roman" w:cs="Times New Roman"/>
          <w:sz w:val="26"/>
          <w:szCs w:val="26"/>
        </w:rPr>
        <w:noBreakHyphen/>
        <w:t xml:space="preserve">up method.  Therefore, I&amp;E explains that it does not disagree with our analysis or reasoning in our </w:t>
      </w:r>
      <w:r w:rsidRPr="00D11F75">
        <w:rPr>
          <w:rFonts w:ascii="Times New Roman" w:hAnsi="Times New Roman" w:cs="Times New Roman"/>
          <w:i/>
          <w:iCs/>
          <w:sz w:val="26"/>
          <w:szCs w:val="26"/>
        </w:rPr>
        <w:t>February 2019 Order</w:t>
      </w:r>
      <w:r w:rsidRPr="009F73B0">
        <w:rPr>
          <w:rFonts w:ascii="Times New Roman" w:hAnsi="Times New Roman" w:cs="Times New Roman"/>
          <w:sz w:val="26"/>
          <w:szCs w:val="26"/>
        </w:rPr>
        <w:t xml:space="preserve"> to require the Company to implement the gross-up method on a retroactive basis.  As such, I&amp;E asserts that PAWC’s arguments should be rejected.  Answer at 27-28.</w:t>
      </w:r>
    </w:p>
    <w:p w14:paraId="044F9B8A" w14:textId="7D0EBC4B" w:rsidR="00031707" w:rsidRDefault="00031707" w:rsidP="00723B1F">
      <w:pPr>
        <w:spacing w:after="0" w:line="360" w:lineRule="auto"/>
        <w:ind w:firstLine="1440"/>
        <w:contextualSpacing/>
        <w:rPr>
          <w:rFonts w:ascii="Times New Roman" w:hAnsi="Times New Roman" w:cs="Times New Roman"/>
          <w:sz w:val="26"/>
          <w:szCs w:val="26"/>
        </w:rPr>
      </w:pPr>
    </w:p>
    <w:p w14:paraId="395A8E2B" w14:textId="41AF8DC5" w:rsidR="00031707" w:rsidRPr="00577782" w:rsidRDefault="00577782" w:rsidP="00BD6A31">
      <w:pPr>
        <w:pStyle w:val="Heading3"/>
        <w:spacing w:before="0" w:line="360" w:lineRule="auto"/>
        <w:ind w:hanging="720"/>
        <w:contextualSpacing/>
        <w:rPr>
          <w:rFonts w:ascii="Times New Roman" w:hAnsi="Times New Roman" w:cs="Times New Roman"/>
          <w:b/>
          <w:bCs/>
          <w:color w:val="auto"/>
          <w:sz w:val="26"/>
          <w:szCs w:val="26"/>
        </w:rPr>
      </w:pPr>
      <w:r>
        <w:rPr>
          <w:rFonts w:ascii="Times New Roman" w:hAnsi="Times New Roman" w:cs="Times New Roman"/>
          <w:b/>
          <w:bCs/>
          <w:color w:val="auto"/>
          <w:sz w:val="26"/>
          <w:szCs w:val="26"/>
        </w:rPr>
        <w:t>D</w:t>
      </w:r>
      <w:r w:rsidR="00031707" w:rsidRPr="00577782">
        <w:rPr>
          <w:rFonts w:ascii="Times New Roman" w:hAnsi="Times New Roman" w:cs="Times New Roman"/>
          <w:b/>
          <w:bCs/>
          <w:color w:val="auto"/>
          <w:sz w:val="26"/>
          <w:szCs w:val="26"/>
        </w:rPr>
        <w:t>isposition</w:t>
      </w:r>
    </w:p>
    <w:p w14:paraId="2903E1F1" w14:textId="14FFB571" w:rsidR="00031707" w:rsidRDefault="00031707" w:rsidP="00577782">
      <w:pPr>
        <w:keepNext/>
        <w:keepLines/>
        <w:spacing w:after="0" w:line="360" w:lineRule="auto"/>
        <w:ind w:firstLine="720"/>
        <w:contextualSpacing/>
        <w:rPr>
          <w:rFonts w:ascii="Times New Roman" w:hAnsi="Times New Roman" w:cs="Times New Roman"/>
          <w:sz w:val="26"/>
          <w:szCs w:val="26"/>
        </w:rPr>
      </w:pPr>
    </w:p>
    <w:p w14:paraId="47CDBADD" w14:textId="1E837AA1" w:rsidR="00A679AE" w:rsidRDefault="00AF5968" w:rsidP="00577782">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W</w:t>
      </w:r>
      <w:r w:rsidR="00A679AE">
        <w:rPr>
          <w:rFonts w:ascii="Times New Roman" w:hAnsi="Times New Roman" w:cs="Times New Roman"/>
          <w:sz w:val="26"/>
          <w:szCs w:val="26"/>
        </w:rPr>
        <w:t xml:space="preserve">e recognize that Act 53 was enacted after the entry of the </w:t>
      </w:r>
      <w:r w:rsidR="00A679AE" w:rsidRPr="00CD238A">
        <w:rPr>
          <w:rFonts w:ascii="Times New Roman" w:hAnsi="Times New Roman" w:cs="Times New Roman"/>
          <w:i/>
          <w:iCs/>
          <w:sz w:val="26"/>
          <w:szCs w:val="26"/>
        </w:rPr>
        <w:t>February 2019 Order</w:t>
      </w:r>
      <w:r w:rsidR="00A679AE">
        <w:rPr>
          <w:rFonts w:ascii="Times New Roman" w:hAnsi="Times New Roman" w:cs="Times New Roman"/>
          <w:sz w:val="26"/>
          <w:szCs w:val="26"/>
        </w:rPr>
        <w:t xml:space="preserve"> and the filing of the Petition and Answer in this proceeding, and that we did not consider or address the impact of the change in the applicable law in our prior ruling.</w:t>
      </w:r>
      <w:r w:rsidR="00A679AE">
        <w:rPr>
          <w:rStyle w:val="FootnoteReference"/>
          <w:rFonts w:ascii="Times New Roman" w:hAnsi="Times New Roman" w:cs="Times New Roman"/>
          <w:sz w:val="26"/>
          <w:szCs w:val="26"/>
        </w:rPr>
        <w:footnoteReference w:id="7"/>
      </w:r>
      <w:r w:rsidR="00A679AE">
        <w:rPr>
          <w:rFonts w:ascii="Times New Roman" w:hAnsi="Times New Roman" w:cs="Times New Roman"/>
          <w:sz w:val="26"/>
          <w:szCs w:val="26"/>
        </w:rPr>
        <w:t xml:space="preserve"> </w:t>
      </w:r>
      <w:r>
        <w:rPr>
          <w:rFonts w:ascii="Times New Roman" w:hAnsi="Times New Roman" w:cs="Times New Roman"/>
          <w:sz w:val="26"/>
          <w:szCs w:val="26"/>
        </w:rPr>
        <w:t>Here</w:t>
      </w:r>
      <w:r w:rsidR="00A679AE">
        <w:rPr>
          <w:rFonts w:ascii="Times New Roman" w:hAnsi="Times New Roman" w:cs="Times New Roman"/>
          <w:sz w:val="26"/>
          <w:szCs w:val="26"/>
        </w:rPr>
        <w:t xml:space="preserve">, </w:t>
      </w:r>
      <w:r w:rsidR="00F76CBB">
        <w:rPr>
          <w:rFonts w:ascii="Times New Roman" w:hAnsi="Times New Roman" w:cs="Times New Roman"/>
          <w:sz w:val="26"/>
          <w:szCs w:val="26"/>
        </w:rPr>
        <w:t xml:space="preserve">we shall exercise our discretion to reconsider the </w:t>
      </w:r>
      <w:r w:rsidR="00F76CBB" w:rsidRPr="00577782">
        <w:rPr>
          <w:rFonts w:ascii="Times New Roman" w:hAnsi="Times New Roman" w:cs="Times New Roman"/>
          <w:i/>
          <w:iCs/>
          <w:sz w:val="26"/>
          <w:szCs w:val="26"/>
        </w:rPr>
        <w:t>February 2019 Order</w:t>
      </w:r>
      <w:r w:rsidR="00A679AE">
        <w:rPr>
          <w:rFonts w:ascii="Times New Roman" w:hAnsi="Times New Roman" w:cs="Times New Roman"/>
          <w:sz w:val="26"/>
          <w:szCs w:val="26"/>
        </w:rPr>
        <w:t>,</w:t>
      </w:r>
      <w:r w:rsidR="00F76CBB">
        <w:rPr>
          <w:rFonts w:ascii="Times New Roman" w:hAnsi="Times New Roman" w:cs="Times New Roman"/>
          <w:sz w:val="26"/>
          <w:szCs w:val="26"/>
        </w:rPr>
        <w:t xml:space="preserve"> not due to any “new or novel arguments” raised in the Petition, but because of the intervening change in law necessitated by Act 53.</w:t>
      </w:r>
    </w:p>
    <w:p w14:paraId="350428BD" w14:textId="6BB6C955" w:rsidR="00577782" w:rsidRDefault="00577782" w:rsidP="00577782">
      <w:pPr>
        <w:spacing w:after="0" w:line="360" w:lineRule="auto"/>
        <w:ind w:firstLine="1440"/>
        <w:contextualSpacing/>
        <w:rPr>
          <w:rFonts w:ascii="Times New Roman" w:hAnsi="Times New Roman" w:cs="Times New Roman"/>
          <w:sz w:val="26"/>
          <w:szCs w:val="26"/>
        </w:rPr>
      </w:pPr>
    </w:p>
    <w:p w14:paraId="30E07031" w14:textId="120A7296" w:rsidR="00031707" w:rsidRPr="00F76CBB" w:rsidRDefault="001604C9" w:rsidP="00577782">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As noted above, Act 53 added a new </w:t>
      </w:r>
      <w:r w:rsidR="0007091F">
        <w:rPr>
          <w:rFonts w:ascii="Times New Roman" w:hAnsi="Times New Roman" w:cs="Times New Roman"/>
          <w:sz w:val="26"/>
          <w:szCs w:val="26"/>
        </w:rPr>
        <w:t>sub</w:t>
      </w:r>
      <w:r>
        <w:rPr>
          <w:rFonts w:ascii="Times New Roman" w:hAnsi="Times New Roman" w:cs="Times New Roman"/>
          <w:sz w:val="26"/>
          <w:szCs w:val="26"/>
        </w:rPr>
        <w:t xml:space="preserve">section </w:t>
      </w:r>
      <w:r w:rsidR="0007091F">
        <w:rPr>
          <w:rFonts w:ascii="Times New Roman" w:hAnsi="Times New Roman" w:cs="Times New Roman"/>
          <w:sz w:val="26"/>
          <w:szCs w:val="26"/>
        </w:rPr>
        <w:t xml:space="preserve">to the Code pertaining to the payment of income taxes </w:t>
      </w:r>
      <w:r w:rsidR="004230C0">
        <w:rPr>
          <w:rFonts w:ascii="Times New Roman" w:hAnsi="Times New Roman" w:cs="Times New Roman"/>
          <w:sz w:val="26"/>
          <w:szCs w:val="26"/>
        </w:rPr>
        <w:t xml:space="preserve">involving </w:t>
      </w:r>
      <w:r w:rsidR="00DC68DE">
        <w:rPr>
          <w:rFonts w:ascii="Times New Roman" w:hAnsi="Times New Roman" w:cs="Times New Roman"/>
          <w:sz w:val="26"/>
          <w:szCs w:val="26"/>
        </w:rPr>
        <w:t xml:space="preserve">the receipt of </w:t>
      </w:r>
      <w:r w:rsidR="004230C0">
        <w:rPr>
          <w:rFonts w:ascii="Times New Roman" w:hAnsi="Times New Roman" w:cs="Times New Roman"/>
          <w:sz w:val="26"/>
          <w:szCs w:val="26"/>
        </w:rPr>
        <w:t>Advances and Contributions</w:t>
      </w:r>
      <w:r w:rsidR="00B35560">
        <w:rPr>
          <w:rFonts w:ascii="Times New Roman" w:hAnsi="Times New Roman" w:cs="Times New Roman"/>
          <w:sz w:val="26"/>
          <w:szCs w:val="26"/>
        </w:rPr>
        <w:t xml:space="preserve">. </w:t>
      </w:r>
      <w:r w:rsidR="008116EC">
        <w:rPr>
          <w:rFonts w:ascii="Times New Roman" w:hAnsi="Times New Roman" w:cs="Times New Roman"/>
          <w:sz w:val="26"/>
          <w:szCs w:val="26"/>
        </w:rPr>
        <w:t xml:space="preserve"> </w:t>
      </w:r>
      <w:r w:rsidR="00DC68DE">
        <w:rPr>
          <w:rFonts w:ascii="Times New Roman" w:hAnsi="Times New Roman" w:cs="Times New Roman"/>
          <w:sz w:val="26"/>
          <w:szCs w:val="26"/>
        </w:rPr>
        <w:t xml:space="preserve">The new </w:t>
      </w:r>
      <w:r w:rsidR="008116EC">
        <w:rPr>
          <w:rFonts w:ascii="Times New Roman" w:hAnsi="Times New Roman" w:cs="Times New Roman"/>
          <w:sz w:val="26"/>
          <w:szCs w:val="26"/>
        </w:rPr>
        <w:t xml:space="preserve">Section 1301.1(b.1) makes clear that a water or wastewater public utility </w:t>
      </w:r>
      <w:r w:rsidR="001F1FF0">
        <w:rPr>
          <w:rFonts w:ascii="Times New Roman" w:hAnsi="Times New Roman" w:cs="Times New Roman"/>
          <w:sz w:val="26"/>
          <w:szCs w:val="26"/>
        </w:rPr>
        <w:t xml:space="preserve">“shall be </w:t>
      </w:r>
      <w:r w:rsidR="008116EC" w:rsidRPr="0002589D">
        <w:rPr>
          <w:rFonts w:ascii="Times New Roman" w:hAnsi="Times New Roman" w:cs="Times New Roman"/>
          <w:i/>
          <w:iCs/>
          <w:sz w:val="26"/>
          <w:szCs w:val="26"/>
        </w:rPr>
        <w:t>solely responsible</w:t>
      </w:r>
      <w:r w:rsidR="008116EC">
        <w:rPr>
          <w:rFonts w:ascii="Times New Roman" w:hAnsi="Times New Roman" w:cs="Times New Roman"/>
          <w:sz w:val="26"/>
          <w:szCs w:val="26"/>
        </w:rPr>
        <w:t xml:space="preserve"> for funding the income taxes” for CIAC and CAC and directs the utility to record the payment of such income taxes “in accumulated deferred income taxes for accounting and ratemaking purposes.”  66 Pa. C.S. 1301.1(b.1)</w:t>
      </w:r>
      <w:r w:rsidR="004F1653">
        <w:rPr>
          <w:rFonts w:ascii="Times New Roman" w:hAnsi="Times New Roman" w:cs="Times New Roman"/>
          <w:sz w:val="26"/>
          <w:szCs w:val="26"/>
        </w:rPr>
        <w:t xml:space="preserve"> </w:t>
      </w:r>
      <w:r w:rsidR="001F1FF0">
        <w:rPr>
          <w:rFonts w:ascii="Times New Roman" w:hAnsi="Times New Roman" w:cs="Times New Roman"/>
          <w:sz w:val="26"/>
          <w:szCs w:val="26"/>
        </w:rPr>
        <w:t>(emphasis added)</w:t>
      </w:r>
      <w:r w:rsidR="008116EC">
        <w:rPr>
          <w:rFonts w:ascii="Times New Roman" w:hAnsi="Times New Roman" w:cs="Times New Roman"/>
          <w:sz w:val="26"/>
          <w:szCs w:val="26"/>
        </w:rPr>
        <w:t xml:space="preserve">.  </w:t>
      </w:r>
      <w:r w:rsidR="00DC68DE">
        <w:rPr>
          <w:rFonts w:ascii="Times New Roman" w:hAnsi="Times New Roman" w:cs="Times New Roman"/>
          <w:sz w:val="26"/>
          <w:szCs w:val="26"/>
        </w:rPr>
        <w:t xml:space="preserve">This language </w:t>
      </w:r>
      <w:r w:rsidR="001F1FF0">
        <w:rPr>
          <w:rFonts w:ascii="Times New Roman" w:hAnsi="Times New Roman" w:cs="Times New Roman"/>
          <w:sz w:val="26"/>
          <w:szCs w:val="26"/>
        </w:rPr>
        <w:t xml:space="preserve">gets </w:t>
      </w:r>
      <w:r w:rsidR="005C3921">
        <w:rPr>
          <w:rFonts w:ascii="Times New Roman" w:hAnsi="Times New Roman" w:cs="Times New Roman"/>
          <w:sz w:val="26"/>
          <w:szCs w:val="26"/>
        </w:rPr>
        <w:t xml:space="preserve">to </w:t>
      </w:r>
      <w:r w:rsidR="001F1FF0">
        <w:rPr>
          <w:rFonts w:ascii="Times New Roman" w:hAnsi="Times New Roman" w:cs="Times New Roman"/>
          <w:sz w:val="26"/>
          <w:szCs w:val="26"/>
        </w:rPr>
        <w:t xml:space="preserve">the heart of the pending </w:t>
      </w:r>
      <w:r w:rsidR="00AF5968">
        <w:rPr>
          <w:rFonts w:ascii="Times New Roman" w:hAnsi="Times New Roman" w:cs="Times New Roman"/>
          <w:sz w:val="26"/>
          <w:szCs w:val="26"/>
        </w:rPr>
        <w:t>dispute</w:t>
      </w:r>
      <w:r w:rsidR="001F1FF0">
        <w:rPr>
          <w:rFonts w:ascii="Times New Roman" w:hAnsi="Times New Roman" w:cs="Times New Roman"/>
          <w:sz w:val="26"/>
          <w:szCs w:val="26"/>
        </w:rPr>
        <w:t xml:space="preserve"> in this proceeding.  Section 1301.1(b.1) now explicitly authorizes – indeed </w:t>
      </w:r>
      <w:r w:rsidR="001F1FF0" w:rsidRPr="0002589D">
        <w:rPr>
          <w:rFonts w:ascii="Times New Roman" w:hAnsi="Times New Roman" w:cs="Times New Roman"/>
          <w:i/>
          <w:iCs/>
          <w:sz w:val="26"/>
          <w:szCs w:val="26"/>
        </w:rPr>
        <w:t>requires</w:t>
      </w:r>
      <w:r w:rsidR="001F1FF0">
        <w:rPr>
          <w:rFonts w:ascii="Times New Roman" w:hAnsi="Times New Roman" w:cs="Times New Roman"/>
          <w:sz w:val="26"/>
          <w:szCs w:val="26"/>
        </w:rPr>
        <w:t xml:space="preserve"> – the “no gross-up” method proposed by PAWC in Supplement No. 6.  </w:t>
      </w:r>
      <w:r w:rsidR="00766094">
        <w:rPr>
          <w:rFonts w:ascii="Times New Roman" w:hAnsi="Times New Roman" w:cs="Times New Roman"/>
          <w:sz w:val="26"/>
          <w:szCs w:val="26"/>
        </w:rPr>
        <w:t>Thus, t</w:t>
      </w:r>
      <w:r w:rsidR="004C4A25">
        <w:rPr>
          <w:rFonts w:ascii="Times New Roman" w:hAnsi="Times New Roman" w:cs="Times New Roman"/>
          <w:sz w:val="26"/>
          <w:szCs w:val="26"/>
        </w:rPr>
        <w:t xml:space="preserve">he General Assembly has unambiguously rejected the alternate method </w:t>
      </w:r>
      <w:r w:rsidR="00B93B2B">
        <w:rPr>
          <w:rFonts w:ascii="Times New Roman" w:hAnsi="Times New Roman" w:cs="Times New Roman"/>
          <w:sz w:val="26"/>
          <w:szCs w:val="26"/>
        </w:rPr>
        <w:t xml:space="preserve">approved </w:t>
      </w:r>
      <w:r w:rsidR="00915FEB">
        <w:rPr>
          <w:rFonts w:ascii="Times New Roman" w:hAnsi="Times New Roman" w:cs="Times New Roman"/>
          <w:sz w:val="26"/>
          <w:szCs w:val="26"/>
        </w:rPr>
        <w:t xml:space="preserve">in the </w:t>
      </w:r>
      <w:r w:rsidR="00B93B2B" w:rsidRPr="00D4469C">
        <w:rPr>
          <w:rFonts w:ascii="Times New Roman" w:hAnsi="Times New Roman" w:cs="Times New Roman"/>
          <w:i/>
          <w:iCs/>
          <w:sz w:val="26"/>
          <w:szCs w:val="26"/>
        </w:rPr>
        <w:t>February 2019 Order</w:t>
      </w:r>
      <w:r w:rsidR="00B93B2B">
        <w:rPr>
          <w:rFonts w:ascii="Times New Roman" w:hAnsi="Times New Roman" w:cs="Times New Roman"/>
          <w:sz w:val="26"/>
          <w:szCs w:val="26"/>
        </w:rPr>
        <w:t xml:space="preserve"> </w:t>
      </w:r>
      <w:r w:rsidR="00577782">
        <w:rPr>
          <w:rFonts w:ascii="Times New Roman" w:hAnsi="Times New Roman" w:cs="Times New Roman"/>
          <w:sz w:val="26"/>
          <w:szCs w:val="26"/>
        </w:rPr>
        <w:lastRenderedPageBreak/>
        <w:t xml:space="preserve">wherein we directed </w:t>
      </w:r>
      <w:r w:rsidR="00B93B2B">
        <w:rPr>
          <w:rFonts w:ascii="Times New Roman" w:hAnsi="Times New Roman" w:cs="Times New Roman"/>
          <w:sz w:val="26"/>
          <w:szCs w:val="26"/>
        </w:rPr>
        <w:t xml:space="preserve">the </w:t>
      </w:r>
      <w:r w:rsidR="004C4A25">
        <w:rPr>
          <w:rFonts w:ascii="Times New Roman" w:hAnsi="Times New Roman" w:cs="Times New Roman"/>
          <w:sz w:val="26"/>
          <w:szCs w:val="26"/>
        </w:rPr>
        <w:t xml:space="preserve">grossing up </w:t>
      </w:r>
      <w:r w:rsidR="00B93B2B">
        <w:rPr>
          <w:rFonts w:ascii="Times New Roman" w:hAnsi="Times New Roman" w:cs="Times New Roman"/>
          <w:sz w:val="26"/>
          <w:szCs w:val="26"/>
        </w:rPr>
        <w:t xml:space="preserve">of </w:t>
      </w:r>
      <w:r w:rsidR="004C4A25">
        <w:rPr>
          <w:rFonts w:ascii="Times New Roman" w:hAnsi="Times New Roman" w:cs="Times New Roman"/>
          <w:sz w:val="26"/>
          <w:szCs w:val="26"/>
        </w:rPr>
        <w:t xml:space="preserve">the Contributions and Advances paid by an applicant for the Federal and State income taxes payable on those amounts.  </w:t>
      </w:r>
    </w:p>
    <w:p w14:paraId="16F2B1C1" w14:textId="1A817BF0" w:rsidR="00EC459F" w:rsidRDefault="00EC459F" w:rsidP="00723B1F">
      <w:pPr>
        <w:spacing w:after="0" w:line="360" w:lineRule="auto"/>
        <w:ind w:firstLine="1440"/>
        <w:contextualSpacing/>
        <w:rPr>
          <w:rFonts w:ascii="Times New Roman" w:hAnsi="Times New Roman" w:cs="Times New Roman"/>
          <w:sz w:val="26"/>
          <w:szCs w:val="26"/>
        </w:rPr>
      </w:pPr>
    </w:p>
    <w:p w14:paraId="747C6F04" w14:textId="7B9E3684" w:rsidR="005C3921" w:rsidRDefault="00577782" w:rsidP="00A15AD8">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Because</w:t>
      </w:r>
      <w:r w:rsidR="005C3921">
        <w:rPr>
          <w:rFonts w:ascii="Times New Roman" w:hAnsi="Times New Roman" w:cs="Times New Roman"/>
          <w:sz w:val="26"/>
          <w:szCs w:val="26"/>
        </w:rPr>
        <w:t xml:space="preserve"> the legislative </w:t>
      </w:r>
      <w:r w:rsidR="00A15AD8">
        <w:rPr>
          <w:rFonts w:ascii="Times New Roman" w:hAnsi="Times New Roman" w:cs="Times New Roman"/>
          <w:sz w:val="26"/>
          <w:szCs w:val="26"/>
        </w:rPr>
        <w:t>direction</w:t>
      </w:r>
      <w:r w:rsidR="005C3921">
        <w:rPr>
          <w:rFonts w:ascii="Times New Roman" w:hAnsi="Times New Roman" w:cs="Times New Roman"/>
          <w:sz w:val="26"/>
          <w:szCs w:val="26"/>
        </w:rPr>
        <w:t xml:space="preserve"> </w:t>
      </w:r>
      <w:r w:rsidR="00A15AD8">
        <w:rPr>
          <w:rFonts w:ascii="Times New Roman" w:hAnsi="Times New Roman" w:cs="Times New Roman"/>
          <w:sz w:val="26"/>
          <w:szCs w:val="26"/>
        </w:rPr>
        <w:t xml:space="preserve">pertaining to the income tax treatment of </w:t>
      </w:r>
      <w:r>
        <w:rPr>
          <w:rFonts w:ascii="Times New Roman" w:hAnsi="Times New Roman" w:cs="Times New Roman"/>
          <w:sz w:val="26"/>
          <w:szCs w:val="26"/>
        </w:rPr>
        <w:t>Contributions and Advances</w:t>
      </w:r>
      <w:r w:rsidR="00A15AD8">
        <w:rPr>
          <w:rFonts w:ascii="Times New Roman" w:hAnsi="Times New Roman" w:cs="Times New Roman"/>
          <w:sz w:val="26"/>
          <w:szCs w:val="26"/>
        </w:rPr>
        <w:t xml:space="preserve"> </w:t>
      </w:r>
      <w:r w:rsidR="005C3921">
        <w:rPr>
          <w:rFonts w:ascii="Times New Roman" w:hAnsi="Times New Roman" w:cs="Times New Roman"/>
          <w:sz w:val="26"/>
          <w:szCs w:val="26"/>
        </w:rPr>
        <w:t xml:space="preserve">is clear, the question is whether the subsequent amendment to the Code applies to this </w:t>
      </w:r>
      <w:r w:rsidR="00A15AD8">
        <w:rPr>
          <w:rFonts w:ascii="Times New Roman" w:hAnsi="Times New Roman" w:cs="Times New Roman"/>
          <w:sz w:val="26"/>
          <w:szCs w:val="26"/>
        </w:rPr>
        <w:t>matter</w:t>
      </w:r>
      <w:r w:rsidR="005C3921">
        <w:rPr>
          <w:rFonts w:ascii="Times New Roman" w:hAnsi="Times New Roman" w:cs="Times New Roman"/>
          <w:sz w:val="26"/>
          <w:szCs w:val="26"/>
        </w:rPr>
        <w:t xml:space="preserve"> at this late stage of the proceeding.  </w:t>
      </w:r>
      <w:r w:rsidR="00A15AD8">
        <w:rPr>
          <w:rFonts w:ascii="Times New Roman" w:hAnsi="Times New Roman" w:cs="Times New Roman"/>
          <w:sz w:val="26"/>
          <w:szCs w:val="26"/>
        </w:rPr>
        <w:t xml:space="preserve">Section 1301.1(c)(2) addresses the applicability of Act 53 by providing that: </w:t>
      </w:r>
      <w:r w:rsidR="00262598">
        <w:rPr>
          <w:rFonts w:ascii="Times New Roman" w:hAnsi="Times New Roman" w:cs="Times New Roman"/>
          <w:sz w:val="26"/>
          <w:szCs w:val="26"/>
        </w:rPr>
        <w:t xml:space="preserve"> </w:t>
      </w:r>
      <w:r w:rsidR="00A15AD8">
        <w:rPr>
          <w:rFonts w:ascii="Times New Roman" w:hAnsi="Times New Roman" w:cs="Times New Roman"/>
          <w:sz w:val="26"/>
          <w:szCs w:val="26"/>
        </w:rPr>
        <w:t xml:space="preserve">“[t]his section shall apply to all cases where the final order is entered after the effective date of this section.”  66 Pa. C.S. § 1301.1(c)(2).  </w:t>
      </w:r>
      <w:r w:rsidR="001B079D">
        <w:rPr>
          <w:rFonts w:ascii="Times New Roman" w:hAnsi="Times New Roman" w:cs="Times New Roman"/>
          <w:sz w:val="26"/>
          <w:szCs w:val="26"/>
        </w:rPr>
        <w:t xml:space="preserve">This Opinion and Order operates as a Final Order </w:t>
      </w:r>
      <w:r w:rsidR="00354D13">
        <w:rPr>
          <w:rFonts w:ascii="Times New Roman" w:hAnsi="Times New Roman" w:cs="Times New Roman"/>
          <w:sz w:val="26"/>
          <w:szCs w:val="26"/>
        </w:rPr>
        <w:t xml:space="preserve">in </w:t>
      </w:r>
      <w:r w:rsidR="001B079D">
        <w:rPr>
          <w:rFonts w:ascii="Times New Roman" w:hAnsi="Times New Roman" w:cs="Times New Roman"/>
          <w:sz w:val="26"/>
          <w:szCs w:val="26"/>
        </w:rPr>
        <w:t xml:space="preserve">this proceeding and its entry date is after the effective date of </w:t>
      </w:r>
      <w:r w:rsidR="00115C7B">
        <w:rPr>
          <w:rFonts w:ascii="Times New Roman" w:hAnsi="Times New Roman" w:cs="Times New Roman"/>
          <w:sz w:val="26"/>
          <w:szCs w:val="26"/>
        </w:rPr>
        <w:t>Act 53</w:t>
      </w:r>
      <w:r w:rsidR="001B079D">
        <w:rPr>
          <w:rFonts w:ascii="Times New Roman" w:hAnsi="Times New Roman" w:cs="Times New Roman"/>
          <w:sz w:val="26"/>
          <w:szCs w:val="26"/>
        </w:rPr>
        <w:t xml:space="preserve">.  </w:t>
      </w:r>
      <w:r w:rsidR="00766094">
        <w:rPr>
          <w:rFonts w:ascii="Times New Roman" w:hAnsi="Times New Roman" w:cs="Times New Roman"/>
          <w:sz w:val="26"/>
          <w:szCs w:val="26"/>
        </w:rPr>
        <w:t>Accordingly</w:t>
      </w:r>
      <w:r w:rsidR="001B079D">
        <w:rPr>
          <w:rFonts w:ascii="Times New Roman" w:hAnsi="Times New Roman" w:cs="Times New Roman"/>
          <w:sz w:val="26"/>
          <w:szCs w:val="26"/>
        </w:rPr>
        <w:t xml:space="preserve">, pursuant to Section </w:t>
      </w:r>
      <w:bookmarkStart w:id="9" w:name="_Hlk45541958"/>
      <w:r w:rsidR="001B079D">
        <w:rPr>
          <w:rFonts w:ascii="Times New Roman" w:hAnsi="Times New Roman" w:cs="Times New Roman"/>
          <w:sz w:val="26"/>
          <w:szCs w:val="26"/>
        </w:rPr>
        <w:t>1310.1(c)(2)</w:t>
      </w:r>
      <w:bookmarkEnd w:id="9"/>
      <w:r w:rsidR="001B079D">
        <w:rPr>
          <w:rFonts w:ascii="Times New Roman" w:hAnsi="Times New Roman" w:cs="Times New Roman"/>
          <w:sz w:val="26"/>
          <w:szCs w:val="26"/>
        </w:rPr>
        <w:t>, the taxable contribution subsection contained within Section 1310.1(b.1) is to be</w:t>
      </w:r>
      <w:r w:rsidR="00766094">
        <w:rPr>
          <w:rFonts w:ascii="Times New Roman" w:hAnsi="Times New Roman" w:cs="Times New Roman"/>
          <w:sz w:val="26"/>
          <w:szCs w:val="26"/>
        </w:rPr>
        <w:t xml:space="preserve"> </w:t>
      </w:r>
      <w:r w:rsidR="001B079D">
        <w:rPr>
          <w:rFonts w:ascii="Times New Roman" w:hAnsi="Times New Roman" w:cs="Times New Roman"/>
          <w:sz w:val="26"/>
          <w:szCs w:val="26"/>
        </w:rPr>
        <w:t xml:space="preserve">applied to this proceeding.  </w:t>
      </w:r>
    </w:p>
    <w:p w14:paraId="6FFCACB4" w14:textId="4B7A6AA7" w:rsidR="00915FEB" w:rsidRDefault="00915FEB" w:rsidP="00A15AD8">
      <w:pPr>
        <w:spacing w:after="0" w:line="360" w:lineRule="auto"/>
        <w:ind w:firstLine="1440"/>
        <w:contextualSpacing/>
        <w:rPr>
          <w:rFonts w:ascii="Times New Roman" w:hAnsi="Times New Roman" w:cs="Times New Roman"/>
          <w:sz w:val="26"/>
          <w:szCs w:val="26"/>
        </w:rPr>
      </w:pPr>
    </w:p>
    <w:p w14:paraId="325A6CD9" w14:textId="170379EC" w:rsidR="00915FEB" w:rsidRPr="009F73B0" w:rsidRDefault="00C71252" w:rsidP="00A15AD8">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By this Opinion and Order we are rescinding the </w:t>
      </w:r>
      <w:r w:rsidRPr="0002589D">
        <w:rPr>
          <w:rFonts w:ascii="Times New Roman" w:hAnsi="Times New Roman" w:cs="Times New Roman"/>
          <w:i/>
          <w:iCs/>
          <w:sz w:val="26"/>
          <w:szCs w:val="26"/>
        </w:rPr>
        <w:t>February 2019 Order</w:t>
      </w:r>
      <w:r w:rsidR="00740EA3">
        <w:rPr>
          <w:rFonts w:ascii="Times New Roman" w:hAnsi="Times New Roman" w:cs="Times New Roman"/>
          <w:sz w:val="26"/>
          <w:szCs w:val="26"/>
        </w:rPr>
        <w:t xml:space="preserve"> and approving PAWC’s Supplement No. 6,</w:t>
      </w:r>
      <w:r w:rsidR="002D43EE" w:rsidRPr="002D43EE">
        <w:rPr>
          <w:rStyle w:val="FootnoteReference"/>
          <w:rFonts w:ascii="Times New Roman" w:eastAsia="Times New Roman" w:hAnsi="Times New Roman" w:cs="Times New Roman"/>
          <w:sz w:val="26"/>
          <w:szCs w:val="26"/>
        </w:rPr>
        <w:t xml:space="preserve"> </w:t>
      </w:r>
      <w:r w:rsidR="002D43EE">
        <w:rPr>
          <w:rStyle w:val="FootnoteReference"/>
          <w:rFonts w:ascii="Times New Roman" w:eastAsia="Times New Roman" w:hAnsi="Times New Roman" w:cs="Times New Roman"/>
          <w:sz w:val="26"/>
          <w:szCs w:val="26"/>
        </w:rPr>
        <w:footnoteReference w:id="8"/>
      </w:r>
      <w:r w:rsidR="00740EA3">
        <w:rPr>
          <w:rFonts w:ascii="Times New Roman" w:hAnsi="Times New Roman" w:cs="Times New Roman"/>
          <w:sz w:val="26"/>
          <w:szCs w:val="26"/>
        </w:rPr>
        <w:t xml:space="preserve"> which is consistent with the directives of Act 53.  Since we are approving the no-gross up method requested by PAWC in its entirety, the prior question of whether PAWC is required to retroactively apply the gross-up method during the interim period between </w:t>
      </w:r>
      <w:r w:rsidR="00CF3372">
        <w:rPr>
          <w:rFonts w:ascii="Times New Roman" w:hAnsi="Times New Roman" w:cs="Times New Roman"/>
          <w:sz w:val="26"/>
          <w:szCs w:val="26"/>
        </w:rPr>
        <w:t xml:space="preserve">the dates of the </w:t>
      </w:r>
      <w:r w:rsidR="00740EA3">
        <w:rPr>
          <w:rFonts w:ascii="Times New Roman" w:hAnsi="Times New Roman" w:cs="Times New Roman"/>
          <w:sz w:val="26"/>
          <w:szCs w:val="26"/>
        </w:rPr>
        <w:t xml:space="preserve">Extension Agreements executed on or after the January 1, 2018, and the entry date of the </w:t>
      </w:r>
      <w:r w:rsidR="00740EA3" w:rsidRPr="0002589D">
        <w:rPr>
          <w:rFonts w:ascii="Times New Roman" w:hAnsi="Times New Roman" w:cs="Times New Roman"/>
          <w:i/>
          <w:iCs/>
          <w:sz w:val="26"/>
          <w:szCs w:val="26"/>
        </w:rPr>
        <w:t>February 2019 Order</w:t>
      </w:r>
      <w:r w:rsidR="00740EA3">
        <w:rPr>
          <w:rFonts w:ascii="Times New Roman" w:hAnsi="Times New Roman" w:cs="Times New Roman"/>
          <w:sz w:val="26"/>
          <w:szCs w:val="26"/>
        </w:rPr>
        <w:t xml:space="preserve"> is now moot.</w:t>
      </w:r>
    </w:p>
    <w:p w14:paraId="3508FD2B" w14:textId="77777777" w:rsidR="00353EF4" w:rsidRPr="009F73B0" w:rsidRDefault="00353EF4" w:rsidP="00723B1F">
      <w:pPr>
        <w:spacing w:after="0" w:line="360" w:lineRule="auto"/>
        <w:ind w:firstLine="1440"/>
        <w:contextualSpacing/>
        <w:rPr>
          <w:rFonts w:ascii="Times New Roman" w:hAnsi="Times New Roman" w:cs="Times New Roman"/>
          <w:sz w:val="26"/>
          <w:szCs w:val="26"/>
        </w:rPr>
      </w:pPr>
    </w:p>
    <w:bookmarkEnd w:id="5"/>
    <w:p w14:paraId="257CEB24" w14:textId="1F4E77E5" w:rsidR="003870D4" w:rsidRPr="009F73B0" w:rsidRDefault="003870D4" w:rsidP="00723B1F">
      <w:pPr>
        <w:pStyle w:val="Heading1"/>
        <w:spacing w:before="0"/>
        <w:contextualSpacing/>
        <w:jc w:val="center"/>
        <w:rPr>
          <w:rFonts w:ascii="Times New Roman" w:eastAsia="Times New Roman" w:hAnsi="Times New Roman" w:cs="Times New Roman"/>
          <w:b/>
          <w:bCs/>
          <w:color w:val="auto"/>
          <w:sz w:val="26"/>
          <w:szCs w:val="26"/>
        </w:rPr>
      </w:pPr>
      <w:r w:rsidRPr="009F73B0">
        <w:rPr>
          <w:rFonts w:ascii="Times New Roman" w:eastAsia="Times New Roman" w:hAnsi="Times New Roman" w:cs="Times New Roman"/>
          <w:b/>
          <w:bCs/>
          <w:color w:val="auto"/>
          <w:sz w:val="26"/>
          <w:szCs w:val="26"/>
        </w:rPr>
        <w:t>Conclusion</w:t>
      </w:r>
    </w:p>
    <w:p w14:paraId="3C7AC280" w14:textId="77777777" w:rsidR="00D75D9C" w:rsidRPr="009F73B0" w:rsidRDefault="00D75D9C" w:rsidP="00723B1F">
      <w:pPr>
        <w:keepNext/>
        <w:keepLines/>
        <w:tabs>
          <w:tab w:val="left" w:pos="-720"/>
        </w:tabs>
        <w:suppressAutoHyphens/>
        <w:spacing w:after="0" w:line="360" w:lineRule="auto"/>
        <w:ind w:firstLine="1440"/>
        <w:contextualSpacing/>
        <w:rPr>
          <w:rFonts w:ascii="Times New Roman" w:eastAsia="Calibri" w:hAnsi="Times New Roman" w:cs="Times New Roman"/>
          <w:spacing w:val="-3"/>
          <w:sz w:val="26"/>
          <w:szCs w:val="26"/>
        </w:rPr>
      </w:pPr>
    </w:p>
    <w:p w14:paraId="1EE0C85D" w14:textId="0014E714" w:rsidR="00EF699A" w:rsidRPr="009F73B0" w:rsidRDefault="009309B5" w:rsidP="00723B1F">
      <w:pPr>
        <w:keepNext/>
        <w:keepLines/>
        <w:tabs>
          <w:tab w:val="left" w:pos="-720"/>
        </w:tabs>
        <w:suppressAutoHyphens/>
        <w:spacing w:after="0" w:line="360" w:lineRule="auto"/>
        <w:ind w:firstLine="1440"/>
        <w:contextualSpacing/>
        <w:rPr>
          <w:rFonts w:ascii="Times New Roman" w:eastAsia="Calibri" w:hAnsi="Times New Roman" w:cs="Times New Roman"/>
          <w:spacing w:val="-3"/>
          <w:sz w:val="26"/>
          <w:szCs w:val="26"/>
        </w:rPr>
      </w:pPr>
      <w:r w:rsidRPr="009F73B0">
        <w:rPr>
          <w:rFonts w:ascii="Times New Roman" w:eastAsia="Calibri" w:hAnsi="Times New Roman" w:cs="Times New Roman"/>
          <w:spacing w:val="-3"/>
          <w:sz w:val="26"/>
          <w:szCs w:val="26"/>
        </w:rPr>
        <w:t xml:space="preserve">Based on the foregoing discussion, we shall </w:t>
      </w:r>
      <w:r w:rsidR="00D624F5">
        <w:rPr>
          <w:rFonts w:ascii="Times New Roman" w:eastAsia="Calibri" w:hAnsi="Times New Roman" w:cs="Times New Roman"/>
          <w:spacing w:val="-3"/>
          <w:sz w:val="26"/>
          <w:szCs w:val="26"/>
        </w:rPr>
        <w:t xml:space="preserve">grant </w:t>
      </w:r>
      <w:r w:rsidRPr="009F73B0">
        <w:rPr>
          <w:rFonts w:ascii="Times New Roman" w:eastAsia="Calibri" w:hAnsi="Times New Roman" w:cs="Times New Roman"/>
          <w:spacing w:val="-3"/>
          <w:sz w:val="26"/>
          <w:szCs w:val="26"/>
        </w:rPr>
        <w:t>the Petition for Reconsideration filed by PAWC</w:t>
      </w:r>
      <w:r w:rsidR="00812E68">
        <w:rPr>
          <w:rFonts w:ascii="Times New Roman" w:eastAsia="Calibri" w:hAnsi="Times New Roman" w:cs="Times New Roman"/>
          <w:spacing w:val="-3"/>
          <w:sz w:val="26"/>
          <w:szCs w:val="26"/>
        </w:rPr>
        <w:t>, consistent with this Opinion and Order</w:t>
      </w:r>
      <w:r w:rsidR="00310295" w:rsidRPr="009F73B0">
        <w:rPr>
          <w:rFonts w:ascii="Times New Roman" w:eastAsia="Calibri" w:hAnsi="Times New Roman" w:cs="Times New Roman"/>
          <w:spacing w:val="-3"/>
          <w:sz w:val="26"/>
          <w:szCs w:val="26"/>
        </w:rPr>
        <w:t xml:space="preserve">; </w:t>
      </w:r>
      <w:r w:rsidR="00EF699A" w:rsidRPr="009F73B0">
        <w:rPr>
          <w:rFonts w:ascii="Times New Roman" w:eastAsia="Calibri" w:hAnsi="Times New Roman" w:cs="Times New Roman"/>
          <w:b/>
          <w:spacing w:val="-3"/>
          <w:sz w:val="26"/>
          <w:szCs w:val="26"/>
        </w:rPr>
        <w:t>THEREFORE</w:t>
      </w:r>
      <w:r w:rsidR="00310295" w:rsidRPr="009F73B0">
        <w:rPr>
          <w:rFonts w:ascii="Times New Roman" w:eastAsia="Calibri" w:hAnsi="Times New Roman" w:cs="Times New Roman"/>
          <w:b/>
          <w:spacing w:val="-3"/>
          <w:sz w:val="26"/>
          <w:szCs w:val="26"/>
        </w:rPr>
        <w:t>,</w:t>
      </w:r>
    </w:p>
    <w:p w14:paraId="30734F4F" w14:textId="77777777" w:rsidR="00EF699A" w:rsidRPr="009F73B0" w:rsidRDefault="00EF699A">
      <w:pPr>
        <w:spacing w:after="0" w:line="360" w:lineRule="auto"/>
        <w:ind w:left="720" w:hanging="720"/>
        <w:contextualSpacing/>
        <w:rPr>
          <w:rFonts w:ascii="Times New Roman" w:eastAsia="Calibri" w:hAnsi="Times New Roman" w:cs="Times New Roman"/>
          <w:sz w:val="26"/>
          <w:szCs w:val="26"/>
        </w:rPr>
      </w:pPr>
    </w:p>
    <w:p w14:paraId="52B65407" w14:textId="6932BDA9" w:rsidR="00EF699A" w:rsidRPr="004C58DA" w:rsidRDefault="00F77D15" w:rsidP="00353EF4">
      <w:pPr>
        <w:keepNext/>
        <w:spacing w:after="0" w:line="360" w:lineRule="auto"/>
        <w:ind w:left="720"/>
        <w:contextualSpacing/>
        <w:rPr>
          <w:rFonts w:ascii="Times New Roman" w:eastAsia="Calibri" w:hAnsi="Times New Roman" w:cs="Times New Roman"/>
          <w:b/>
          <w:sz w:val="26"/>
          <w:szCs w:val="26"/>
        </w:rPr>
      </w:pPr>
      <w:r w:rsidRPr="009F73B0">
        <w:rPr>
          <w:rFonts w:ascii="Times New Roman" w:eastAsia="Calibri" w:hAnsi="Times New Roman" w:cs="Times New Roman"/>
          <w:b/>
          <w:sz w:val="26"/>
          <w:szCs w:val="26"/>
        </w:rPr>
        <w:lastRenderedPageBreak/>
        <w:tab/>
      </w:r>
      <w:r w:rsidR="00EF699A" w:rsidRPr="004C58DA">
        <w:rPr>
          <w:rFonts w:ascii="Times New Roman" w:eastAsia="Calibri" w:hAnsi="Times New Roman" w:cs="Times New Roman"/>
          <w:b/>
          <w:sz w:val="26"/>
          <w:szCs w:val="26"/>
        </w:rPr>
        <w:t>IT IS ORDERED:</w:t>
      </w:r>
    </w:p>
    <w:p w14:paraId="5AA2EE36" w14:textId="77777777" w:rsidR="00353EF4" w:rsidRPr="004C58DA" w:rsidRDefault="00353EF4" w:rsidP="00723B1F">
      <w:pPr>
        <w:keepNext/>
        <w:spacing w:after="0" w:line="360" w:lineRule="auto"/>
        <w:ind w:left="720"/>
        <w:contextualSpacing/>
        <w:rPr>
          <w:rFonts w:ascii="Times New Roman" w:eastAsia="Calibri" w:hAnsi="Times New Roman" w:cs="Times New Roman"/>
          <w:b/>
          <w:sz w:val="26"/>
          <w:szCs w:val="26"/>
        </w:rPr>
      </w:pPr>
    </w:p>
    <w:p w14:paraId="65A2715C" w14:textId="3CF199D8" w:rsidR="009874B5" w:rsidRDefault="0040490E" w:rsidP="0002589D">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69682B" w:rsidRPr="004C58DA">
        <w:rPr>
          <w:rFonts w:ascii="Times New Roman" w:hAnsi="Times New Roman" w:cs="Times New Roman"/>
          <w:sz w:val="26"/>
          <w:szCs w:val="26"/>
        </w:rPr>
        <w:t>That the Petition for Reconsideration filed on February 21, 2019</w:t>
      </w:r>
      <w:r w:rsidR="001E7CCD" w:rsidRPr="004C58DA">
        <w:rPr>
          <w:rFonts w:ascii="Times New Roman" w:hAnsi="Times New Roman" w:cs="Times New Roman"/>
          <w:sz w:val="26"/>
          <w:szCs w:val="26"/>
        </w:rPr>
        <w:t>,</w:t>
      </w:r>
      <w:r w:rsidR="0069682B" w:rsidRPr="004C58DA">
        <w:rPr>
          <w:rFonts w:ascii="Times New Roman" w:hAnsi="Times New Roman" w:cs="Times New Roman"/>
          <w:sz w:val="26"/>
          <w:szCs w:val="26"/>
        </w:rPr>
        <w:t xml:space="preserve"> by Pennsylvania-American Water Company</w:t>
      </w:r>
      <w:r w:rsidR="0069682B" w:rsidRPr="004C58DA">
        <w:rPr>
          <w:rFonts w:ascii="Times New Roman" w:hAnsi="Times New Roman" w:cs="Times New Roman"/>
          <w:sz w:val="26"/>
          <w:szCs w:val="26"/>
        </w:rPr>
        <w:noBreakHyphen/>
        <w:t xml:space="preserve">Water Division and Pennsylvania-American Water Company-Wastewater Division is </w:t>
      </w:r>
      <w:r>
        <w:rPr>
          <w:rFonts w:ascii="Times New Roman" w:hAnsi="Times New Roman" w:cs="Times New Roman"/>
          <w:sz w:val="26"/>
          <w:szCs w:val="26"/>
        </w:rPr>
        <w:t>granted</w:t>
      </w:r>
      <w:r w:rsidR="0069682B" w:rsidRPr="004C58DA">
        <w:rPr>
          <w:rFonts w:ascii="Times New Roman" w:hAnsi="Times New Roman" w:cs="Times New Roman"/>
          <w:sz w:val="26"/>
          <w:szCs w:val="26"/>
        </w:rPr>
        <w:t>, consistent with this Opinion and Order.</w:t>
      </w:r>
    </w:p>
    <w:p w14:paraId="61301A54" w14:textId="0D6EED2F" w:rsidR="0040490E" w:rsidRDefault="0040490E" w:rsidP="0002589D">
      <w:pPr>
        <w:spacing w:line="360" w:lineRule="auto"/>
        <w:ind w:firstLine="1440"/>
        <w:contextualSpacing/>
        <w:rPr>
          <w:rFonts w:ascii="Times New Roman" w:hAnsi="Times New Roman" w:cs="Times New Roman"/>
          <w:sz w:val="26"/>
          <w:szCs w:val="26"/>
        </w:rPr>
      </w:pPr>
    </w:p>
    <w:p w14:paraId="738DEC01" w14:textId="474ED92F" w:rsidR="0040490E" w:rsidRDefault="0040490E" w:rsidP="0002589D">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That the Commission’s Opinion and Order entered on February 7, 2019, in this proceeding, is rescinded.</w:t>
      </w:r>
    </w:p>
    <w:p w14:paraId="12A59034" w14:textId="7499E2F8" w:rsidR="0040490E" w:rsidRDefault="0040490E" w:rsidP="0002589D">
      <w:pPr>
        <w:spacing w:line="360" w:lineRule="auto"/>
        <w:ind w:firstLine="1440"/>
        <w:contextualSpacing/>
        <w:rPr>
          <w:rFonts w:ascii="Times New Roman" w:hAnsi="Times New Roman" w:cs="Times New Roman"/>
          <w:sz w:val="26"/>
          <w:szCs w:val="26"/>
        </w:rPr>
      </w:pPr>
    </w:p>
    <w:p w14:paraId="44E382EE" w14:textId="05E01215" w:rsidR="0040490E" w:rsidRDefault="0040490E" w:rsidP="0002589D">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That the Formal Complaint of the Bureau of Investigation and Enforcement at Docket No. C-2018-3003600 is denied.</w:t>
      </w:r>
    </w:p>
    <w:p w14:paraId="002264AF" w14:textId="427D31C4" w:rsidR="0040490E" w:rsidRDefault="0040490E" w:rsidP="0040490E">
      <w:pPr>
        <w:spacing w:line="360" w:lineRule="auto"/>
        <w:ind w:firstLine="1440"/>
        <w:contextualSpacing/>
        <w:rPr>
          <w:rFonts w:ascii="Times New Roman" w:hAnsi="Times New Roman" w:cs="Times New Roman"/>
          <w:sz w:val="26"/>
          <w:szCs w:val="26"/>
        </w:rPr>
      </w:pPr>
    </w:p>
    <w:p w14:paraId="57EAFBC7" w14:textId="1EF02FEE" w:rsidR="0040490E" w:rsidRDefault="0040490E" w:rsidP="0040490E">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Pr="007C2BED">
        <w:rPr>
          <w:rFonts w:ascii="Times New Roman" w:hAnsi="Times New Roman" w:cs="Times New Roman"/>
          <w:sz w:val="26"/>
          <w:szCs w:val="26"/>
        </w:rPr>
        <w:t xml:space="preserve">That the </w:t>
      </w:r>
      <w:r>
        <w:rPr>
          <w:rFonts w:ascii="Times New Roman" w:hAnsi="Times New Roman" w:cs="Times New Roman"/>
          <w:sz w:val="26"/>
          <w:szCs w:val="26"/>
        </w:rPr>
        <w:t>Formal C</w:t>
      </w:r>
      <w:r w:rsidRPr="007C2BED">
        <w:rPr>
          <w:rFonts w:ascii="Times New Roman" w:hAnsi="Times New Roman" w:cs="Times New Roman"/>
          <w:sz w:val="26"/>
          <w:szCs w:val="26"/>
        </w:rPr>
        <w:t xml:space="preserve">omplaint of the Bureau of Investigation and Enforcement at Docket No. C-2018-3003601 </w:t>
      </w:r>
      <w:r>
        <w:rPr>
          <w:rFonts w:ascii="Times New Roman" w:hAnsi="Times New Roman" w:cs="Times New Roman"/>
          <w:sz w:val="26"/>
          <w:szCs w:val="26"/>
        </w:rPr>
        <w:t>is denied.</w:t>
      </w:r>
    </w:p>
    <w:p w14:paraId="7F6B71FB" w14:textId="5800B70C" w:rsidR="0040490E" w:rsidRDefault="0040490E" w:rsidP="0040490E">
      <w:pPr>
        <w:spacing w:line="360" w:lineRule="auto"/>
        <w:ind w:firstLine="1440"/>
        <w:contextualSpacing/>
        <w:rPr>
          <w:rFonts w:ascii="Times New Roman" w:hAnsi="Times New Roman" w:cs="Times New Roman"/>
          <w:sz w:val="26"/>
          <w:szCs w:val="26"/>
        </w:rPr>
      </w:pPr>
    </w:p>
    <w:p w14:paraId="2E7B33C8" w14:textId="7842CE64" w:rsidR="0040490E" w:rsidRDefault="0040490E" w:rsidP="0040490E">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Pr="00590EE2">
        <w:rPr>
          <w:rFonts w:ascii="Times New Roman" w:hAnsi="Times New Roman" w:cs="Times New Roman"/>
          <w:sz w:val="26"/>
          <w:szCs w:val="26"/>
        </w:rPr>
        <w:t xml:space="preserve">That </w:t>
      </w:r>
      <w:r>
        <w:rPr>
          <w:rFonts w:ascii="Times New Roman" w:hAnsi="Times New Roman" w:cs="Times New Roman"/>
          <w:sz w:val="26"/>
          <w:szCs w:val="26"/>
        </w:rPr>
        <w:t xml:space="preserve">Pennsylvania-American Water Company-Water Division shall place into effect </w:t>
      </w:r>
      <w:r w:rsidRPr="00590EE2">
        <w:rPr>
          <w:rFonts w:ascii="Times New Roman" w:hAnsi="Times New Roman" w:cs="Times New Roman"/>
          <w:sz w:val="26"/>
          <w:szCs w:val="26"/>
        </w:rPr>
        <w:t>the rates, rules</w:t>
      </w:r>
      <w:r>
        <w:rPr>
          <w:rFonts w:ascii="Times New Roman" w:hAnsi="Times New Roman" w:cs="Times New Roman"/>
          <w:sz w:val="26"/>
          <w:szCs w:val="26"/>
        </w:rPr>
        <w:t>,</w:t>
      </w:r>
      <w:r w:rsidRPr="00590EE2">
        <w:rPr>
          <w:rFonts w:ascii="Times New Roman" w:hAnsi="Times New Roman" w:cs="Times New Roman"/>
          <w:sz w:val="26"/>
          <w:szCs w:val="26"/>
        </w:rPr>
        <w:t xml:space="preserve"> and regulations contained in Supplement No. 6 to Tariff Water–PA P.U.C. No. 5</w:t>
      </w:r>
      <w:r>
        <w:rPr>
          <w:rFonts w:ascii="Times New Roman" w:hAnsi="Times New Roman" w:cs="Times New Roman"/>
          <w:sz w:val="26"/>
          <w:szCs w:val="26"/>
        </w:rPr>
        <w:t>.</w:t>
      </w:r>
    </w:p>
    <w:p w14:paraId="6E07DCA6" w14:textId="3EA8B3C8" w:rsidR="0040490E" w:rsidRDefault="0040490E" w:rsidP="0040490E">
      <w:pPr>
        <w:spacing w:line="360" w:lineRule="auto"/>
        <w:ind w:firstLine="1440"/>
        <w:contextualSpacing/>
        <w:rPr>
          <w:rFonts w:ascii="Times New Roman" w:hAnsi="Times New Roman" w:cs="Times New Roman"/>
          <w:sz w:val="26"/>
          <w:szCs w:val="26"/>
        </w:rPr>
      </w:pPr>
    </w:p>
    <w:p w14:paraId="6905D3A6" w14:textId="0C5764E0" w:rsidR="0040490E" w:rsidRDefault="0040490E" w:rsidP="0040490E">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t xml:space="preserve">That Pennsylvania-American Water Company-Wastewater Division shall place into effect the rates, rules, and regulations contained in </w:t>
      </w:r>
      <w:r w:rsidRPr="00590EE2">
        <w:rPr>
          <w:rFonts w:ascii="Times New Roman" w:hAnsi="Times New Roman" w:cs="Times New Roman"/>
          <w:sz w:val="26"/>
          <w:szCs w:val="26"/>
        </w:rPr>
        <w:t>Supplement No. 6 to Tariff</w:t>
      </w:r>
      <w:r>
        <w:rPr>
          <w:rFonts w:ascii="Times New Roman" w:hAnsi="Times New Roman" w:cs="Times New Roman"/>
          <w:sz w:val="26"/>
          <w:szCs w:val="26"/>
        </w:rPr>
        <w:noBreakHyphen/>
      </w:r>
      <w:r w:rsidRPr="00590EE2">
        <w:rPr>
          <w:rFonts w:ascii="Times New Roman" w:hAnsi="Times New Roman" w:cs="Times New Roman"/>
          <w:sz w:val="26"/>
          <w:szCs w:val="26"/>
        </w:rPr>
        <w:t>Wastewater PA P.U.C. No. 16</w:t>
      </w:r>
      <w:r>
        <w:rPr>
          <w:rFonts w:ascii="Times New Roman" w:hAnsi="Times New Roman" w:cs="Times New Roman"/>
          <w:sz w:val="26"/>
          <w:szCs w:val="26"/>
        </w:rPr>
        <w:t>.</w:t>
      </w:r>
    </w:p>
    <w:p w14:paraId="0FC597A8" w14:textId="2A57B6F0" w:rsidR="0040490E" w:rsidRDefault="0040490E" w:rsidP="0040490E">
      <w:pPr>
        <w:spacing w:line="360" w:lineRule="auto"/>
        <w:ind w:firstLine="1440"/>
        <w:contextualSpacing/>
        <w:rPr>
          <w:rFonts w:ascii="Times New Roman" w:hAnsi="Times New Roman" w:cs="Times New Roman"/>
          <w:sz w:val="26"/>
          <w:szCs w:val="26"/>
        </w:rPr>
      </w:pPr>
    </w:p>
    <w:p w14:paraId="0211E3CB" w14:textId="6347CB45" w:rsidR="0040490E" w:rsidRDefault="0040490E" w:rsidP="0040490E">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7.</w:t>
      </w:r>
      <w:r>
        <w:rPr>
          <w:rFonts w:ascii="Times New Roman" w:hAnsi="Times New Roman" w:cs="Times New Roman"/>
          <w:sz w:val="26"/>
          <w:szCs w:val="26"/>
        </w:rPr>
        <w:tab/>
      </w:r>
      <w:r w:rsidRPr="00590EE2">
        <w:rPr>
          <w:rFonts w:ascii="Times New Roman" w:hAnsi="Times New Roman" w:cs="Times New Roman"/>
          <w:sz w:val="26"/>
          <w:szCs w:val="26"/>
        </w:rPr>
        <w:t>That Pennsylvania-American Water Company shall be permitted to use the no gross</w:t>
      </w:r>
      <w:r>
        <w:rPr>
          <w:rFonts w:ascii="Times New Roman" w:hAnsi="Times New Roman" w:cs="Times New Roman"/>
          <w:sz w:val="26"/>
          <w:szCs w:val="26"/>
        </w:rPr>
        <w:t>-</w:t>
      </w:r>
      <w:r w:rsidRPr="00590EE2">
        <w:rPr>
          <w:rFonts w:ascii="Times New Roman" w:hAnsi="Times New Roman" w:cs="Times New Roman"/>
          <w:sz w:val="26"/>
          <w:szCs w:val="26"/>
        </w:rPr>
        <w:t xml:space="preserve">up method with respect to </w:t>
      </w:r>
      <w:bookmarkStart w:id="10" w:name="_Hlk534958420"/>
      <w:r>
        <w:rPr>
          <w:rFonts w:ascii="Times New Roman" w:hAnsi="Times New Roman" w:cs="Times New Roman"/>
          <w:sz w:val="26"/>
          <w:szCs w:val="26"/>
        </w:rPr>
        <w:t>C</w:t>
      </w:r>
      <w:r w:rsidRPr="00590EE2">
        <w:rPr>
          <w:rFonts w:ascii="Times New Roman" w:hAnsi="Times New Roman" w:cs="Times New Roman"/>
          <w:sz w:val="26"/>
          <w:szCs w:val="26"/>
        </w:rPr>
        <w:t xml:space="preserve">ustomer </w:t>
      </w:r>
      <w:r>
        <w:rPr>
          <w:rFonts w:ascii="Times New Roman" w:hAnsi="Times New Roman" w:cs="Times New Roman"/>
          <w:sz w:val="26"/>
          <w:szCs w:val="26"/>
        </w:rPr>
        <w:t>A</w:t>
      </w:r>
      <w:r w:rsidRPr="00590EE2">
        <w:rPr>
          <w:rFonts w:ascii="Times New Roman" w:hAnsi="Times New Roman" w:cs="Times New Roman"/>
          <w:sz w:val="26"/>
          <w:szCs w:val="26"/>
        </w:rPr>
        <w:t xml:space="preserve">dvances for </w:t>
      </w:r>
      <w:r>
        <w:rPr>
          <w:rFonts w:ascii="Times New Roman" w:hAnsi="Times New Roman" w:cs="Times New Roman"/>
          <w:sz w:val="26"/>
          <w:szCs w:val="26"/>
        </w:rPr>
        <w:t>C</w:t>
      </w:r>
      <w:r w:rsidRPr="00590EE2">
        <w:rPr>
          <w:rFonts w:ascii="Times New Roman" w:hAnsi="Times New Roman" w:cs="Times New Roman"/>
          <w:sz w:val="26"/>
          <w:szCs w:val="26"/>
        </w:rPr>
        <w:t xml:space="preserve">onstruction, </w:t>
      </w:r>
      <w:r>
        <w:rPr>
          <w:rFonts w:ascii="Times New Roman" w:hAnsi="Times New Roman" w:cs="Times New Roman"/>
          <w:sz w:val="26"/>
          <w:szCs w:val="26"/>
        </w:rPr>
        <w:t>C</w:t>
      </w:r>
      <w:r w:rsidRPr="00590EE2">
        <w:rPr>
          <w:rFonts w:ascii="Times New Roman" w:hAnsi="Times New Roman" w:cs="Times New Roman"/>
          <w:sz w:val="26"/>
          <w:szCs w:val="26"/>
        </w:rPr>
        <w:t xml:space="preserve">ustomer </w:t>
      </w:r>
      <w:r>
        <w:rPr>
          <w:rFonts w:ascii="Times New Roman" w:hAnsi="Times New Roman" w:cs="Times New Roman"/>
          <w:sz w:val="26"/>
          <w:szCs w:val="26"/>
        </w:rPr>
        <w:t>C</w:t>
      </w:r>
      <w:r w:rsidRPr="00590EE2">
        <w:rPr>
          <w:rFonts w:ascii="Times New Roman" w:hAnsi="Times New Roman" w:cs="Times New Roman"/>
          <w:sz w:val="26"/>
          <w:szCs w:val="26"/>
        </w:rPr>
        <w:t xml:space="preserve">ontributions in </w:t>
      </w:r>
      <w:r>
        <w:rPr>
          <w:rFonts w:ascii="Times New Roman" w:hAnsi="Times New Roman" w:cs="Times New Roman"/>
          <w:sz w:val="26"/>
          <w:szCs w:val="26"/>
        </w:rPr>
        <w:t>A</w:t>
      </w:r>
      <w:r w:rsidRPr="00590EE2">
        <w:rPr>
          <w:rFonts w:ascii="Times New Roman" w:hAnsi="Times New Roman" w:cs="Times New Roman"/>
          <w:sz w:val="26"/>
          <w:szCs w:val="26"/>
        </w:rPr>
        <w:t xml:space="preserve">id of </w:t>
      </w:r>
      <w:r>
        <w:rPr>
          <w:rFonts w:ascii="Times New Roman" w:hAnsi="Times New Roman" w:cs="Times New Roman"/>
          <w:sz w:val="26"/>
          <w:szCs w:val="26"/>
        </w:rPr>
        <w:t>C</w:t>
      </w:r>
      <w:r w:rsidRPr="00590EE2">
        <w:rPr>
          <w:rFonts w:ascii="Times New Roman" w:hAnsi="Times New Roman" w:cs="Times New Roman"/>
          <w:sz w:val="26"/>
          <w:szCs w:val="26"/>
        </w:rPr>
        <w:t xml:space="preserve">onstruction, and </w:t>
      </w:r>
      <w:r>
        <w:rPr>
          <w:rFonts w:ascii="Times New Roman" w:hAnsi="Times New Roman" w:cs="Times New Roman"/>
          <w:sz w:val="26"/>
          <w:szCs w:val="26"/>
        </w:rPr>
        <w:t>C</w:t>
      </w:r>
      <w:r w:rsidRPr="00590EE2">
        <w:rPr>
          <w:rFonts w:ascii="Times New Roman" w:hAnsi="Times New Roman" w:cs="Times New Roman"/>
          <w:sz w:val="26"/>
          <w:szCs w:val="26"/>
        </w:rPr>
        <w:t xml:space="preserve">ustomer </w:t>
      </w:r>
      <w:r>
        <w:rPr>
          <w:rFonts w:ascii="Times New Roman" w:hAnsi="Times New Roman" w:cs="Times New Roman"/>
          <w:sz w:val="26"/>
          <w:szCs w:val="26"/>
        </w:rPr>
        <w:t>D</w:t>
      </w:r>
      <w:r w:rsidRPr="00590EE2">
        <w:rPr>
          <w:rFonts w:ascii="Times New Roman" w:hAnsi="Times New Roman" w:cs="Times New Roman"/>
          <w:sz w:val="26"/>
          <w:szCs w:val="26"/>
        </w:rPr>
        <w:t xml:space="preserve">eposits for </w:t>
      </w:r>
      <w:r>
        <w:rPr>
          <w:rFonts w:ascii="Times New Roman" w:hAnsi="Times New Roman" w:cs="Times New Roman"/>
          <w:sz w:val="26"/>
          <w:szCs w:val="26"/>
        </w:rPr>
        <w:t>C</w:t>
      </w:r>
      <w:r w:rsidRPr="00590EE2">
        <w:rPr>
          <w:rFonts w:ascii="Times New Roman" w:hAnsi="Times New Roman" w:cs="Times New Roman"/>
          <w:sz w:val="26"/>
          <w:szCs w:val="26"/>
        </w:rPr>
        <w:t>onstruction.</w:t>
      </w:r>
      <w:bookmarkEnd w:id="10"/>
    </w:p>
    <w:p w14:paraId="544DF167" w14:textId="050C567D" w:rsidR="0040490E" w:rsidRDefault="0040490E" w:rsidP="0040490E">
      <w:pPr>
        <w:spacing w:line="360" w:lineRule="auto"/>
        <w:ind w:firstLine="1440"/>
        <w:contextualSpacing/>
        <w:rPr>
          <w:rFonts w:ascii="Times New Roman" w:hAnsi="Times New Roman" w:cs="Times New Roman"/>
          <w:sz w:val="26"/>
          <w:szCs w:val="26"/>
        </w:rPr>
      </w:pPr>
    </w:p>
    <w:p w14:paraId="455EA8EA" w14:textId="7EAEA79F" w:rsidR="0040490E" w:rsidRDefault="0040490E" w:rsidP="0002589D">
      <w:pPr>
        <w:keepNext/>
        <w:keepLines/>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lastRenderedPageBreak/>
        <w:t>8.</w:t>
      </w:r>
      <w:r>
        <w:rPr>
          <w:rFonts w:ascii="Times New Roman" w:hAnsi="Times New Roman" w:cs="Times New Roman"/>
          <w:sz w:val="26"/>
          <w:szCs w:val="26"/>
        </w:rPr>
        <w:tab/>
        <w:t>That this proceeding be marked closed.</w:t>
      </w:r>
    </w:p>
    <w:p w14:paraId="5A49F56C" w14:textId="728C857B" w:rsidR="007C2BED" w:rsidRPr="0041453C" w:rsidRDefault="007C2BED" w:rsidP="0041453C">
      <w:pPr>
        <w:keepNext/>
        <w:keepLines/>
        <w:spacing w:line="360" w:lineRule="auto"/>
        <w:contextualSpacing/>
        <w:rPr>
          <w:sz w:val="26"/>
          <w:szCs w:val="26"/>
        </w:rPr>
      </w:pPr>
    </w:p>
    <w:p w14:paraId="5379F2FB" w14:textId="2FAC5216" w:rsidR="00F95A41" w:rsidRPr="009F73B0" w:rsidRDefault="00CB042B" w:rsidP="0002589D">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bookmarkStart w:id="11" w:name="_GoBack"/>
      <w:r w:rsidRPr="009F01BA">
        <w:rPr>
          <w:b/>
          <w:noProof/>
          <w:sz w:val="20"/>
          <w:szCs w:val="20"/>
        </w:rPr>
        <w:drawing>
          <wp:anchor distT="0" distB="0" distL="114300" distR="114300" simplePos="0" relativeHeight="251659264" behindDoc="1" locked="0" layoutInCell="1" allowOverlap="1" wp14:anchorId="24C9DB5E" wp14:editId="3D52BA79">
            <wp:simplePos x="0" y="0"/>
            <wp:positionH relativeFrom="column">
              <wp:posOffset>3019425</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1"/>
      <w:r w:rsidR="00F95A41" w:rsidRPr="009F73B0">
        <w:rPr>
          <w:rFonts w:ascii="Times New Roman" w:eastAsia="Times New Roman" w:hAnsi="Times New Roman" w:cs="Times New Roman"/>
          <w:b/>
          <w:sz w:val="26"/>
          <w:szCs w:val="26"/>
        </w:rPr>
        <w:t>BY THE COMMISSION,</w:t>
      </w:r>
    </w:p>
    <w:p w14:paraId="086B5A22" w14:textId="24EDF41B" w:rsidR="00F95A41" w:rsidRPr="009F73B0" w:rsidRDefault="00F95A41" w:rsidP="009F4223">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196D80C1" w14:textId="5C4A7661" w:rsidR="001A6397" w:rsidRPr="009F73B0" w:rsidRDefault="001A6397" w:rsidP="009F4223">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250B4B34" w14:textId="77777777" w:rsidR="00BE5AB5" w:rsidRPr="009F73B0" w:rsidRDefault="00BE5AB5" w:rsidP="009F4223">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18F11AA5" w14:textId="77777777" w:rsidR="001A6397" w:rsidRPr="009F73B0" w:rsidRDefault="001A6397" w:rsidP="009F4223">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7497FE0F" w14:textId="77777777" w:rsidR="00F95A41" w:rsidRPr="009F73B0" w:rsidRDefault="00F95A41" w:rsidP="009F4223">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Rosemary Chiavetta</w:t>
      </w:r>
    </w:p>
    <w:p w14:paraId="05FA88A7" w14:textId="77777777" w:rsidR="00F95A41" w:rsidRPr="009F73B0" w:rsidRDefault="00F95A41" w:rsidP="009F4223">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Secretary</w:t>
      </w:r>
    </w:p>
    <w:p w14:paraId="7759243D" w14:textId="77777777" w:rsidR="00F95A41" w:rsidRPr="009F73B0" w:rsidRDefault="00F95A41">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6539C9B7" w14:textId="77777777" w:rsidR="0041453C" w:rsidRDefault="0041453C">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430D8E6D" w14:textId="4C9758E3" w:rsidR="008C643F" w:rsidRPr="009F73B0" w:rsidRDefault="00F95A41">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(SEAL)</w:t>
      </w:r>
    </w:p>
    <w:p w14:paraId="613DA5A0" w14:textId="77777777" w:rsidR="00BE5AB5" w:rsidRPr="009F73B0" w:rsidRDefault="00BE5AB5">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1B544204" w14:textId="5181F3AC" w:rsidR="00F95A41" w:rsidRPr="009F73B0" w:rsidRDefault="00F95A41">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9F73B0">
        <w:rPr>
          <w:rFonts w:ascii="Times New Roman" w:eastAsia="Times New Roman" w:hAnsi="Times New Roman" w:cs="Times New Roman"/>
          <w:sz w:val="26"/>
          <w:szCs w:val="26"/>
        </w:rPr>
        <w:t xml:space="preserve">ORDER ADOPTED:  </w:t>
      </w:r>
      <w:r w:rsidR="0040490E">
        <w:rPr>
          <w:rFonts w:ascii="Times New Roman" w:eastAsia="Times New Roman" w:hAnsi="Times New Roman" w:cs="Times New Roman"/>
          <w:sz w:val="26"/>
          <w:szCs w:val="26"/>
        </w:rPr>
        <w:t xml:space="preserve">August </w:t>
      </w:r>
      <w:r w:rsidR="00B92C33">
        <w:rPr>
          <w:rFonts w:ascii="Times New Roman" w:eastAsia="Times New Roman" w:hAnsi="Times New Roman" w:cs="Times New Roman"/>
          <w:sz w:val="26"/>
          <w:szCs w:val="26"/>
        </w:rPr>
        <w:t>6</w:t>
      </w:r>
      <w:r w:rsidR="002A6D8B" w:rsidRPr="009F73B0">
        <w:rPr>
          <w:rFonts w:ascii="Times New Roman" w:eastAsia="Times New Roman" w:hAnsi="Times New Roman" w:cs="Times New Roman"/>
          <w:sz w:val="26"/>
          <w:szCs w:val="26"/>
        </w:rPr>
        <w:t>, 2020</w:t>
      </w:r>
    </w:p>
    <w:p w14:paraId="66BD0228" w14:textId="77777777" w:rsidR="00BE5AB5" w:rsidRPr="009F73B0" w:rsidRDefault="00BE5AB5">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0A7553BF" w14:textId="05D36D5F" w:rsidR="00F95A41" w:rsidRPr="009F73B0" w:rsidRDefault="00F95A41">
      <w:pPr>
        <w:keepNext/>
        <w:keepLines/>
        <w:tabs>
          <w:tab w:val="left" w:pos="-720"/>
        </w:tabs>
        <w:suppressAutoHyphens/>
        <w:spacing w:after="0" w:line="240" w:lineRule="auto"/>
        <w:contextualSpacing/>
        <w:rPr>
          <w:rFonts w:ascii="Times New Roman" w:hAnsi="Times New Roman" w:cs="Times New Roman"/>
          <w:sz w:val="26"/>
          <w:szCs w:val="26"/>
        </w:rPr>
      </w:pPr>
      <w:r w:rsidRPr="009F73B0">
        <w:rPr>
          <w:rFonts w:ascii="Times New Roman" w:eastAsia="Times New Roman" w:hAnsi="Times New Roman" w:cs="Times New Roman"/>
          <w:sz w:val="26"/>
          <w:szCs w:val="26"/>
        </w:rPr>
        <w:t xml:space="preserve">ORDER ENTERED:  </w:t>
      </w:r>
      <w:r w:rsidR="00CB042B">
        <w:rPr>
          <w:rFonts w:ascii="Times New Roman" w:eastAsia="Times New Roman" w:hAnsi="Times New Roman" w:cs="Times New Roman"/>
          <w:sz w:val="26"/>
          <w:szCs w:val="26"/>
        </w:rPr>
        <w:t>August 6, 2020</w:t>
      </w:r>
    </w:p>
    <w:sectPr w:rsidR="00F95A41" w:rsidRPr="009F73B0" w:rsidSect="0084067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F21F4" w14:textId="77777777" w:rsidR="009D4A86" w:rsidRDefault="009D4A86" w:rsidP="00840676">
      <w:pPr>
        <w:spacing w:after="0" w:line="240" w:lineRule="auto"/>
      </w:pPr>
      <w:r>
        <w:separator/>
      </w:r>
    </w:p>
  </w:endnote>
  <w:endnote w:type="continuationSeparator" w:id="0">
    <w:p w14:paraId="3A8A26E8" w14:textId="77777777" w:rsidR="009D4A86" w:rsidRDefault="009D4A86" w:rsidP="0084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6"/>
        <w:szCs w:val="26"/>
      </w:rPr>
      <w:id w:val="-2036105604"/>
      <w:docPartObj>
        <w:docPartGallery w:val="Page Numbers (Bottom of Page)"/>
        <w:docPartUnique/>
      </w:docPartObj>
    </w:sdtPr>
    <w:sdtEndPr>
      <w:rPr>
        <w:noProof/>
      </w:rPr>
    </w:sdtEndPr>
    <w:sdtContent>
      <w:p w14:paraId="3B2327FD" w14:textId="434671DA" w:rsidR="00310295" w:rsidRPr="00FC438C" w:rsidRDefault="00310295" w:rsidP="00723B1F">
        <w:pPr>
          <w:pStyle w:val="Footer"/>
          <w:tabs>
            <w:tab w:val="clear" w:pos="4680"/>
          </w:tabs>
          <w:jc w:val="center"/>
          <w:rPr>
            <w:rFonts w:ascii="Times New Roman" w:hAnsi="Times New Roman" w:cs="Times New Roman"/>
            <w:sz w:val="26"/>
            <w:szCs w:val="26"/>
          </w:rPr>
        </w:pPr>
        <w:r w:rsidRPr="00FC438C">
          <w:rPr>
            <w:rFonts w:ascii="Times New Roman" w:hAnsi="Times New Roman" w:cs="Times New Roman"/>
            <w:sz w:val="26"/>
            <w:szCs w:val="26"/>
          </w:rPr>
          <w:fldChar w:fldCharType="begin"/>
        </w:r>
        <w:r w:rsidRPr="00FC438C">
          <w:rPr>
            <w:rFonts w:ascii="Times New Roman" w:hAnsi="Times New Roman" w:cs="Times New Roman"/>
            <w:sz w:val="26"/>
            <w:szCs w:val="26"/>
          </w:rPr>
          <w:instrText xml:space="preserve"> PAGE   \* MERGEFORMAT </w:instrText>
        </w:r>
        <w:r w:rsidRPr="00FC438C">
          <w:rPr>
            <w:rFonts w:ascii="Times New Roman" w:hAnsi="Times New Roman" w:cs="Times New Roman"/>
            <w:sz w:val="26"/>
            <w:szCs w:val="26"/>
          </w:rPr>
          <w:fldChar w:fldCharType="separate"/>
        </w:r>
        <w:r w:rsidR="00661B8A">
          <w:rPr>
            <w:rFonts w:ascii="Times New Roman" w:hAnsi="Times New Roman" w:cs="Times New Roman"/>
            <w:noProof/>
            <w:sz w:val="26"/>
            <w:szCs w:val="26"/>
          </w:rPr>
          <w:t>26</w:t>
        </w:r>
        <w:r w:rsidRPr="00FC438C">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BE7C5" w14:textId="77777777" w:rsidR="009D4A86" w:rsidRPr="00BD38E2" w:rsidRDefault="009D4A86" w:rsidP="00840676">
      <w:pPr>
        <w:spacing w:after="0" w:line="240" w:lineRule="auto"/>
        <w:rPr>
          <w:rFonts w:ascii="Times New Roman" w:hAnsi="Times New Roman" w:cs="Times New Roman"/>
          <w:sz w:val="26"/>
          <w:szCs w:val="26"/>
        </w:rPr>
      </w:pPr>
      <w:r w:rsidRPr="00BD38E2">
        <w:rPr>
          <w:rFonts w:ascii="Times New Roman" w:hAnsi="Times New Roman" w:cs="Times New Roman"/>
          <w:sz w:val="26"/>
          <w:szCs w:val="26"/>
        </w:rPr>
        <w:separator/>
      </w:r>
    </w:p>
  </w:footnote>
  <w:footnote w:type="continuationSeparator" w:id="0">
    <w:p w14:paraId="7CA0FDCF" w14:textId="77777777" w:rsidR="009D4A86" w:rsidRDefault="009D4A86" w:rsidP="00840676">
      <w:pPr>
        <w:spacing w:after="0" w:line="240" w:lineRule="auto"/>
      </w:pPr>
      <w:r>
        <w:continuationSeparator/>
      </w:r>
    </w:p>
  </w:footnote>
  <w:footnote w:id="1">
    <w:p w14:paraId="5684C4A7" w14:textId="77777777" w:rsidR="00310295" w:rsidRPr="008F6ACF" w:rsidRDefault="00310295" w:rsidP="00554ABC">
      <w:pPr>
        <w:pStyle w:val="FootnoteText"/>
        <w:keepNext/>
        <w:keepLines/>
        <w:spacing w:after="120"/>
        <w:rPr>
          <w:rFonts w:ascii="Times New Roman" w:hAnsi="Times New Roman" w:cs="Times New Roman"/>
          <w:sz w:val="26"/>
          <w:szCs w:val="26"/>
        </w:rPr>
      </w:pPr>
      <w:r w:rsidRPr="0073608D">
        <w:rPr>
          <w:rFonts w:ascii="Times New Roman" w:hAnsi="Times New Roman" w:cs="Times New Roman"/>
          <w:sz w:val="26"/>
          <w:szCs w:val="26"/>
        </w:rPr>
        <w:tab/>
      </w:r>
      <w:r w:rsidRPr="008F6ACF">
        <w:rPr>
          <w:rStyle w:val="FootnoteReference"/>
          <w:rFonts w:ascii="Times New Roman" w:hAnsi="Times New Roman" w:cs="Times New Roman"/>
          <w:sz w:val="26"/>
          <w:szCs w:val="26"/>
        </w:rPr>
        <w:footnoteRef/>
      </w:r>
      <w:r w:rsidRPr="008F6ACF">
        <w:rPr>
          <w:rFonts w:ascii="Times New Roman" w:hAnsi="Times New Roman" w:cs="Times New Roman"/>
          <w:sz w:val="26"/>
          <w:szCs w:val="26"/>
        </w:rPr>
        <w:tab/>
        <w:t>The OCA and the OSBA did not file any testimony.</w:t>
      </w:r>
    </w:p>
  </w:footnote>
  <w:footnote w:id="2">
    <w:p w14:paraId="3E7922E5" w14:textId="77777777" w:rsidR="00310295" w:rsidRPr="008F6ACF" w:rsidRDefault="00310295" w:rsidP="00FB77BB">
      <w:pPr>
        <w:pStyle w:val="FootnoteText"/>
        <w:keepNext/>
        <w:keepLines/>
        <w:rPr>
          <w:rFonts w:ascii="Times New Roman" w:hAnsi="Times New Roman" w:cs="Times New Roman"/>
          <w:sz w:val="26"/>
          <w:szCs w:val="26"/>
        </w:rPr>
      </w:pPr>
      <w:r w:rsidRPr="008F6ACF">
        <w:rPr>
          <w:rFonts w:ascii="Times New Roman" w:hAnsi="Times New Roman" w:cs="Times New Roman"/>
          <w:sz w:val="26"/>
          <w:szCs w:val="26"/>
        </w:rPr>
        <w:tab/>
      </w:r>
      <w:r w:rsidRPr="008F6ACF">
        <w:rPr>
          <w:rStyle w:val="FootnoteReference"/>
          <w:rFonts w:ascii="Times New Roman" w:hAnsi="Times New Roman" w:cs="Times New Roman"/>
          <w:sz w:val="26"/>
          <w:szCs w:val="26"/>
        </w:rPr>
        <w:footnoteRef/>
      </w:r>
      <w:r w:rsidRPr="008F6ACF">
        <w:rPr>
          <w:rFonts w:ascii="Times New Roman" w:hAnsi="Times New Roman" w:cs="Times New Roman"/>
          <w:sz w:val="26"/>
          <w:szCs w:val="26"/>
        </w:rPr>
        <w:tab/>
      </w:r>
      <w:bookmarkStart w:id="3" w:name="_Hlk532820463"/>
      <w:r w:rsidRPr="008F6ACF">
        <w:rPr>
          <w:rFonts w:ascii="Times New Roman" w:hAnsi="Times New Roman" w:cs="Times New Roman"/>
          <w:sz w:val="26"/>
          <w:szCs w:val="26"/>
        </w:rPr>
        <w:t>The OCA and the OSBA filed letters indicating that they would not be filing Main Briefs</w:t>
      </w:r>
      <w:r>
        <w:rPr>
          <w:rFonts w:ascii="Times New Roman" w:hAnsi="Times New Roman" w:cs="Times New Roman"/>
          <w:sz w:val="26"/>
          <w:szCs w:val="26"/>
        </w:rPr>
        <w:t>.</w:t>
      </w:r>
      <w:bookmarkEnd w:id="3"/>
    </w:p>
  </w:footnote>
  <w:footnote w:id="3">
    <w:p w14:paraId="483C7811" w14:textId="77777777" w:rsidR="00310295" w:rsidRPr="008F6ACF" w:rsidRDefault="00310295" w:rsidP="00FB77BB">
      <w:pPr>
        <w:pStyle w:val="FootnoteText"/>
        <w:keepNext/>
        <w:keepLines/>
        <w:rPr>
          <w:rFonts w:ascii="Times New Roman" w:hAnsi="Times New Roman" w:cs="Times New Roman"/>
          <w:sz w:val="26"/>
          <w:szCs w:val="26"/>
        </w:rPr>
      </w:pPr>
      <w:r>
        <w:tab/>
      </w:r>
      <w:r w:rsidRPr="008F6ACF">
        <w:rPr>
          <w:rStyle w:val="FootnoteReference"/>
          <w:rFonts w:ascii="Times New Roman" w:hAnsi="Times New Roman" w:cs="Times New Roman"/>
          <w:sz w:val="26"/>
          <w:szCs w:val="26"/>
        </w:rPr>
        <w:footnoteRef/>
      </w:r>
      <w:r w:rsidRPr="008F6ACF">
        <w:rPr>
          <w:rFonts w:ascii="Times New Roman" w:hAnsi="Times New Roman" w:cs="Times New Roman"/>
          <w:sz w:val="26"/>
          <w:szCs w:val="26"/>
        </w:rPr>
        <w:tab/>
        <w:t>The OCA and the OSBA filed letters indicating that they would not be filing Reply Briefs.</w:t>
      </w:r>
    </w:p>
  </w:footnote>
  <w:footnote w:id="4">
    <w:p w14:paraId="757AAFC0" w14:textId="77777777" w:rsidR="004F15AD" w:rsidRPr="00CD0301" w:rsidRDefault="004F15AD" w:rsidP="00254200">
      <w:pPr>
        <w:pStyle w:val="FootnoteText"/>
        <w:keepNext/>
        <w:keepLines/>
        <w:spacing w:after="120"/>
        <w:rPr>
          <w:rFonts w:ascii="Times New Roman" w:hAnsi="Times New Roman" w:cs="Times New Roman"/>
          <w:sz w:val="26"/>
          <w:szCs w:val="26"/>
        </w:rPr>
      </w:pPr>
      <w:r w:rsidRPr="00CD0301">
        <w:rPr>
          <w:rFonts w:ascii="Times New Roman" w:hAnsi="Times New Roman" w:cs="Times New Roman"/>
          <w:sz w:val="26"/>
          <w:szCs w:val="26"/>
        </w:rPr>
        <w:tab/>
      </w:r>
      <w:r w:rsidRPr="00CD0301">
        <w:rPr>
          <w:rStyle w:val="FootnoteReference"/>
          <w:rFonts w:ascii="Times New Roman" w:hAnsi="Times New Roman" w:cs="Times New Roman"/>
          <w:sz w:val="26"/>
          <w:szCs w:val="26"/>
        </w:rPr>
        <w:footnoteRef/>
      </w:r>
      <w:r w:rsidRPr="00CD0301">
        <w:rPr>
          <w:rFonts w:ascii="Times New Roman" w:hAnsi="Times New Roman" w:cs="Times New Roman"/>
          <w:sz w:val="26"/>
          <w:szCs w:val="26"/>
        </w:rPr>
        <w:tab/>
        <w:t>The three gross-up methodologies analyzed were OTS Method 2 (full gross-up), OTS Method 5 (NPV gross</w:t>
      </w:r>
      <w:r w:rsidRPr="00CD0301">
        <w:rPr>
          <w:rFonts w:ascii="Times New Roman" w:hAnsi="Times New Roman" w:cs="Times New Roman"/>
          <w:sz w:val="26"/>
          <w:szCs w:val="26"/>
        </w:rPr>
        <w:noBreakHyphen/>
        <w:t xml:space="preserve">up) and OTS Method 2 Modified (full gross-up with tax benefits to contributors).  </w:t>
      </w:r>
      <w:r w:rsidRPr="00CD0301">
        <w:rPr>
          <w:rFonts w:ascii="Times New Roman" w:hAnsi="Times New Roman" w:cs="Times New Roman"/>
          <w:i/>
          <w:sz w:val="26"/>
          <w:szCs w:val="26"/>
        </w:rPr>
        <w:t>TRA-86 Order</w:t>
      </w:r>
      <w:r w:rsidRPr="00CD0301">
        <w:rPr>
          <w:rFonts w:ascii="Times New Roman" w:hAnsi="Times New Roman" w:cs="Times New Roman"/>
          <w:sz w:val="26"/>
          <w:szCs w:val="26"/>
        </w:rPr>
        <w:t xml:space="preserve"> at 20.</w:t>
      </w:r>
    </w:p>
  </w:footnote>
  <w:footnote w:id="5">
    <w:p w14:paraId="7EB54B03" w14:textId="188198CB" w:rsidR="004F15AD" w:rsidRPr="00357AF1" w:rsidRDefault="004F15AD" w:rsidP="00554ABC">
      <w:pPr>
        <w:pStyle w:val="FootnoteText"/>
        <w:keepNext/>
        <w:keepLines/>
        <w:spacing w:after="120"/>
        <w:rPr>
          <w:rFonts w:ascii="Times New Roman" w:hAnsi="Times New Roman" w:cs="Times New Roman"/>
          <w:i/>
          <w:sz w:val="26"/>
          <w:szCs w:val="26"/>
        </w:rPr>
      </w:pPr>
      <w:r w:rsidRPr="00A77F92">
        <w:rPr>
          <w:sz w:val="26"/>
          <w:szCs w:val="26"/>
        </w:rPr>
        <w:tab/>
      </w:r>
      <w:r w:rsidRPr="00357AF1">
        <w:rPr>
          <w:rStyle w:val="FootnoteReference"/>
          <w:rFonts w:ascii="Times New Roman" w:hAnsi="Times New Roman" w:cs="Times New Roman"/>
          <w:sz w:val="26"/>
          <w:szCs w:val="26"/>
        </w:rPr>
        <w:footnoteRef/>
      </w:r>
      <w:r w:rsidRPr="00357AF1">
        <w:rPr>
          <w:rFonts w:ascii="Times New Roman" w:hAnsi="Times New Roman" w:cs="Times New Roman"/>
          <w:sz w:val="26"/>
          <w:szCs w:val="26"/>
        </w:rPr>
        <w:tab/>
      </w:r>
      <w:r w:rsidRPr="00357AF1">
        <w:rPr>
          <w:rFonts w:ascii="Times New Roman" w:hAnsi="Times New Roman" w:cs="Times New Roman"/>
          <w:i/>
          <w:sz w:val="26"/>
          <w:szCs w:val="26"/>
        </w:rPr>
        <w:t xml:space="preserve">See </w:t>
      </w:r>
      <w:r w:rsidRPr="00357AF1">
        <w:rPr>
          <w:rFonts w:ascii="Times New Roman" w:hAnsi="Times New Roman" w:cs="Times New Roman"/>
          <w:i/>
          <w:sz w:val="26"/>
          <w:szCs w:val="26"/>
          <w:lang w:val="en"/>
        </w:rPr>
        <w:t>The Small Business Job Protection Act of 1996</w:t>
      </w:r>
      <w:r>
        <w:rPr>
          <w:rFonts w:ascii="Times New Roman" w:hAnsi="Times New Roman" w:cs="Times New Roman"/>
          <w:i/>
          <w:sz w:val="26"/>
          <w:szCs w:val="26"/>
          <w:lang w:val="en"/>
        </w:rPr>
        <w:t>,</w:t>
      </w:r>
      <w:r w:rsidRPr="00357AF1">
        <w:rPr>
          <w:rFonts w:ascii="Times New Roman" w:hAnsi="Times New Roman" w:cs="Times New Roman"/>
          <w:i/>
          <w:sz w:val="26"/>
          <w:szCs w:val="26"/>
          <w:lang w:val="en"/>
        </w:rPr>
        <w:t xml:space="preserve"> </w:t>
      </w:r>
      <w:r w:rsidRPr="00357AF1">
        <w:rPr>
          <w:rFonts w:ascii="Times New Roman" w:hAnsi="Times New Roman" w:cs="Times New Roman"/>
          <w:sz w:val="26"/>
          <w:szCs w:val="26"/>
          <w:lang w:val="en"/>
        </w:rPr>
        <w:t>Public L</w:t>
      </w:r>
      <w:r>
        <w:rPr>
          <w:rFonts w:ascii="Times New Roman" w:hAnsi="Times New Roman" w:cs="Times New Roman"/>
          <w:sz w:val="26"/>
          <w:szCs w:val="26"/>
          <w:lang w:val="en"/>
        </w:rPr>
        <w:t>.</w:t>
      </w:r>
      <w:r w:rsidRPr="00357AF1">
        <w:rPr>
          <w:rFonts w:ascii="Times New Roman" w:hAnsi="Times New Roman" w:cs="Times New Roman"/>
          <w:sz w:val="26"/>
          <w:szCs w:val="26"/>
          <w:lang w:val="en"/>
        </w:rPr>
        <w:t xml:space="preserve"> No</w:t>
      </w:r>
      <w:r w:rsidRPr="00357AF1">
        <w:rPr>
          <w:rFonts w:ascii="Times New Roman" w:hAnsi="Times New Roman" w:cs="Times New Roman"/>
          <w:bCs/>
          <w:sz w:val="26"/>
          <w:szCs w:val="26"/>
          <w:lang w:val="en"/>
        </w:rPr>
        <w:t>. 104</w:t>
      </w:r>
      <w:r w:rsidRPr="00357AF1">
        <w:rPr>
          <w:rFonts w:ascii="Times New Roman" w:hAnsi="Times New Roman" w:cs="Times New Roman"/>
          <w:bCs/>
          <w:sz w:val="26"/>
          <w:szCs w:val="26"/>
          <w:lang w:val="en"/>
        </w:rPr>
        <w:noBreakHyphen/>
        <w:t>188</w:t>
      </w:r>
      <w:r w:rsidRPr="00357AF1">
        <w:rPr>
          <w:rFonts w:ascii="Times New Roman" w:hAnsi="Times New Roman" w:cs="Times New Roman"/>
          <w:sz w:val="26"/>
          <w:szCs w:val="26"/>
          <w:lang w:val="en"/>
        </w:rPr>
        <w:t>, H.R. 3448, 110 Stat. 1755, enacted August 20, 1996</w:t>
      </w:r>
      <w:r>
        <w:rPr>
          <w:rFonts w:ascii="Times New Roman" w:hAnsi="Times New Roman" w:cs="Times New Roman"/>
          <w:sz w:val="26"/>
          <w:szCs w:val="26"/>
          <w:lang w:val="en"/>
        </w:rPr>
        <w:t>.</w:t>
      </w:r>
    </w:p>
  </w:footnote>
  <w:footnote w:id="6">
    <w:p w14:paraId="53A79B69" w14:textId="77777777" w:rsidR="004F15AD" w:rsidRPr="00357AF1" w:rsidRDefault="004F15AD" w:rsidP="00E264D3">
      <w:pPr>
        <w:pStyle w:val="FootnoteText"/>
        <w:keepNext/>
        <w:keepLines/>
        <w:rPr>
          <w:rFonts w:ascii="Times New Roman" w:hAnsi="Times New Roman" w:cs="Times New Roman"/>
          <w:sz w:val="26"/>
          <w:szCs w:val="26"/>
        </w:rPr>
      </w:pPr>
      <w:r w:rsidRPr="00357AF1">
        <w:rPr>
          <w:rFonts w:ascii="Times New Roman" w:hAnsi="Times New Roman" w:cs="Times New Roman"/>
          <w:sz w:val="26"/>
          <w:szCs w:val="26"/>
        </w:rPr>
        <w:tab/>
      </w:r>
      <w:r w:rsidRPr="00357AF1">
        <w:rPr>
          <w:rStyle w:val="FootnoteReference"/>
          <w:rFonts w:ascii="Times New Roman" w:hAnsi="Times New Roman" w:cs="Times New Roman"/>
          <w:sz w:val="26"/>
          <w:szCs w:val="26"/>
        </w:rPr>
        <w:footnoteRef/>
      </w:r>
      <w:r w:rsidRPr="00357AF1">
        <w:rPr>
          <w:rFonts w:ascii="Times New Roman" w:hAnsi="Times New Roman" w:cs="Times New Roman"/>
          <w:sz w:val="26"/>
          <w:szCs w:val="26"/>
        </w:rPr>
        <w:t xml:space="preserve"> </w:t>
      </w:r>
      <w:r w:rsidRPr="00357AF1">
        <w:rPr>
          <w:rFonts w:ascii="Times New Roman" w:hAnsi="Times New Roman" w:cs="Times New Roman"/>
          <w:sz w:val="26"/>
          <w:szCs w:val="26"/>
        </w:rPr>
        <w:tab/>
        <w:t>This proposed language is identical for both PAWC’s water tariff and its wastewater tariff.</w:t>
      </w:r>
    </w:p>
  </w:footnote>
  <w:footnote w:id="7">
    <w:p w14:paraId="74214851" w14:textId="733BC38D" w:rsidR="00A679AE" w:rsidRPr="00254200" w:rsidRDefault="00A679AE" w:rsidP="00A679AE">
      <w:pPr>
        <w:pStyle w:val="FootnoteText"/>
        <w:ind w:firstLine="720"/>
        <w:rPr>
          <w:rFonts w:ascii="Times New Roman" w:hAnsi="Times New Roman" w:cs="Times New Roman"/>
          <w:sz w:val="26"/>
          <w:szCs w:val="26"/>
        </w:rPr>
      </w:pPr>
      <w:r w:rsidRPr="00254200">
        <w:rPr>
          <w:rStyle w:val="FootnoteReference"/>
          <w:rFonts w:ascii="Times New Roman" w:hAnsi="Times New Roman" w:cs="Times New Roman"/>
          <w:sz w:val="26"/>
          <w:szCs w:val="26"/>
        </w:rPr>
        <w:footnoteRef/>
      </w:r>
      <w:r w:rsidRPr="00254200">
        <w:rPr>
          <w:rFonts w:ascii="Times New Roman" w:hAnsi="Times New Roman" w:cs="Times New Roman"/>
          <w:sz w:val="26"/>
          <w:szCs w:val="26"/>
        </w:rPr>
        <w:t xml:space="preserve"> </w:t>
      </w:r>
      <w:r w:rsidRPr="00254200">
        <w:rPr>
          <w:rFonts w:ascii="Times New Roman" w:hAnsi="Times New Roman" w:cs="Times New Roman"/>
          <w:sz w:val="26"/>
          <w:szCs w:val="26"/>
        </w:rPr>
        <w:tab/>
        <w:t xml:space="preserve">The substantive language contained in Act 53 was introduced </w:t>
      </w:r>
      <w:r w:rsidR="00323EDB" w:rsidRPr="00254200">
        <w:rPr>
          <w:rFonts w:ascii="Times New Roman" w:hAnsi="Times New Roman" w:cs="Times New Roman"/>
          <w:sz w:val="26"/>
          <w:szCs w:val="26"/>
        </w:rPr>
        <w:t>in</w:t>
      </w:r>
      <w:r w:rsidRPr="00254200">
        <w:rPr>
          <w:rFonts w:ascii="Times New Roman" w:hAnsi="Times New Roman" w:cs="Times New Roman"/>
          <w:sz w:val="26"/>
          <w:szCs w:val="26"/>
        </w:rPr>
        <w:t xml:space="preserve"> House Bill </w:t>
      </w:r>
      <w:r w:rsidR="00323EDB" w:rsidRPr="00254200">
        <w:rPr>
          <w:rFonts w:ascii="Times New Roman" w:hAnsi="Times New Roman" w:cs="Times New Roman"/>
          <w:sz w:val="26"/>
          <w:szCs w:val="26"/>
        </w:rPr>
        <w:t xml:space="preserve">751 on March 8, 2019.  </w:t>
      </w:r>
      <w:r w:rsidR="001B079D" w:rsidRPr="00254200">
        <w:rPr>
          <w:rFonts w:ascii="Times New Roman" w:hAnsi="Times New Roman" w:cs="Times New Roman"/>
          <w:sz w:val="26"/>
          <w:szCs w:val="26"/>
        </w:rPr>
        <w:t xml:space="preserve">The bill </w:t>
      </w:r>
      <w:r w:rsidR="0084348B" w:rsidRPr="00254200">
        <w:rPr>
          <w:rFonts w:ascii="Times New Roman" w:hAnsi="Times New Roman" w:cs="Times New Roman"/>
          <w:sz w:val="26"/>
          <w:szCs w:val="26"/>
        </w:rPr>
        <w:t xml:space="preserve">unanimously passed the House on March 19, 2019, and unanimously passed the Senate on June 24, 2019.  The Governor approved the legislation on July 2, 2019.  </w:t>
      </w:r>
    </w:p>
  </w:footnote>
  <w:footnote w:id="8">
    <w:p w14:paraId="7910DD37" w14:textId="48549A42" w:rsidR="002D43EE" w:rsidRPr="009F76B9" w:rsidRDefault="002D43EE" w:rsidP="002D43EE">
      <w:pPr>
        <w:pStyle w:val="FootnoteText"/>
        <w:ind w:firstLine="720"/>
        <w:rPr>
          <w:rFonts w:ascii="Times New Roman" w:hAnsi="Times New Roman" w:cs="Times New Roman"/>
          <w:sz w:val="26"/>
          <w:szCs w:val="26"/>
        </w:rPr>
      </w:pPr>
      <w:r w:rsidRPr="009F76B9">
        <w:rPr>
          <w:rStyle w:val="FootnoteReference"/>
          <w:rFonts w:ascii="Times New Roman" w:hAnsi="Times New Roman" w:cs="Times New Roman"/>
          <w:sz w:val="26"/>
          <w:szCs w:val="26"/>
        </w:rPr>
        <w:footnoteRef/>
      </w:r>
      <w:r w:rsidRPr="009F76B9">
        <w:rPr>
          <w:rFonts w:ascii="Times New Roman" w:hAnsi="Times New Roman" w:cs="Times New Roman"/>
          <w:sz w:val="26"/>
          <w:szCs w:val="26"/>
        </w:rPr>
        <w:t xml:space="preserve"> </w:t>
      </w:r>
      <w:r w:rsidRPr="009F76B9">
        <w:rPr>
          <w:rFonts w:ascii="Times New Roman" w:hAnsi="Times New Roman" w:cs="Times New Roman"/>
          <w:sz w:val="26"/>
          <w:szCs w:val="26"/>
        </w:rPr>
        <w:tab/>
      </w:r>
      <w:r>
        <w:rPr>
          <w:rFonts w:ascii="Times New Roman" w:eastAsia="Times New Roman" w:hAnsi="Times New Roman" w:cs="Times New Roman"/>
          <w:sz w:val="26"/>
          <w:szCs w:val="26"/>
        </w:rPr>
        <w:t>PAWC’s Supplement No. 6</w:t>
      </w:r>
      <w:r w:rsidR="006E58F9">
        <w:rPr>
          <w:rFonts w:ascii="Times New Roman" w:eastAsia="Times New Roman" w:hAnsi="Times New Roman" w:cs="Times New Roman"/>
          <w:sz w:val="26"/>
          <w:szCs w:val="26"/>
        </w:rPr>
        <w:t xml:space="preserve"> herein refers to </w:t>
      </w:r>
      <w:r>
        <w:rPr>
          <w:rFonts w:ascii="Times New Roman" w:hAnsi="Times New Roman" w:cs="Times New Roman"/>
          <w:sz w:val="26"/>
          <w:szCs w:val="26"/>
        </w:rPr>
        <w:t>b</w:t>
      </w:r>
      <w:r w:rsidRPr="009F76B9">
        <w:rPr>
          <w:rFonts w:ascii="Times New Roman" w:hAnsi="Times New Roman" w:cs="Times New Roman"/>
          <w:sz w:val="26"/>
          <w:szCs w:val="26"/>
        </w:rPr>
        <w:t xml:space="preserve">oth </w:t>
      </w:r>
      <w:r w:rsidRPr="00370A31">
        <w:rPr>
          <w:rFonts w:ascii="Times New Roman" w:eastAsia="Times New Roman" w:hAnsi="Times New Roman" w:cs="Times New Roman"/>
          <w:sz w:val="26"/>
          <w:szCs w:val="26"/>
        </w:rPr>
        <w:t>Supplement No. 6 Water and Supplement No. 6 Wastewater</w:t>
      </w:r>
      <w:r>
        <w:rPr>
          <w:rFonts w:ascii="Times New Roman" w:eastAsia="Times New Roman" w:hAnsi="Times New Roman" w:cs="Times New Roman"/>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9756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990" w:firstLine="0"/>
      </w:pPr>
    </w:lvl>
    <w:lvl w:ilvl="2">
      <w:start w:val="1"/>
      <w:numFmt w:val="decimal"/>
      <w:pStyle w:val="Heading3"/>
      <w:lvlText w:val="%3."/>
      <w:lvlJc w:val="left"/>
      <w:pPr>
        <w:ind w:left="90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EC4A05"/>
    <w:multiLevelType w:val="hybridMultilevel"/>
    <w:tmpl w:val="17FA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75092"/>
    <w:multiLevelType w:val="hybridMultilevel"/>
    <w:tmpl w:val="60DC60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9236768"/>
    <w:multiLevelType w:val="hybridMultilevel"/>
    <w:tmpl w:val="97DA1D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BC559A1"/>
    <w:multiLevelType w:val="hybridMultilevel"/>
    <w:tmpl w:val="B8D20552"/>
    <w:lvl w:ilvl="0" w:tplc="03807D8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5F66887"/>
    <w:multiLevelType w:val="hybridMultilevel"/>
    <w:tmpl w:val="9894E6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B097399"/>
    <w:multiLevelType w:val="hybridMultilevel"/>
    <w:tmpl w:val="30FC98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0"/>
  </w:num>
  <w:num w:numId="6">
    <w:abstractNumId w:val="6"/>
  </w:num>
  <w:num w:numId="7">
    <w:abstractNumId w:val="4"/>
  </w:num>
  <w:num w:numId="8">
    <w:abstractNumId w:val="3"/>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2F"/>
    <w:rsid w:val="000048AA"/>
    <w:rsid w:val="00005B8D"/>
    <w:rsid w:val="000111B7"/>
    <w:rsid w:val="00012C63"/>
    <w:rsid w:val="00013B5E"/>
    <w:rsid w:val="000148A5"/>
    <w:rsid w:val="00016802"/>
    <w:rsid w:val="00017F82"/>
    <w:rsid w:val="000220A6"/>
    <w:rsid w:val="00022E3B"/>
    <w:rsid w:val="00023E45"/>
    <w:rsid w:val="0002589D"/>
    <w:rsid w:val="000264B4"/>
    <w:rsid w:val="00031006"/>
    <w:rsid w:val="00031041"/>
    <w:rsid w:val="0003121C"/>
    <w:rsid w:val="00031374"/>
    <w:rsid w:val="00031707"/>
    <w:rsid w:val="00036A13"/>
    <w:rsid w:val="00036D08"/>
    <w:rsid w:val="000403FC"/>
    <w:rsid w:val="000528FC"/>
    <w:rsid w:val="00057E2E"/>
    <w:rsid w:val="000603FF"/>
    <w:rsid w:val="00070124"/>
    <w:rsid w:val="0007091F"/>
    <w:rsid w:val="00072DC9"/>
    <w:rsid w:val="00075132"/>
    <w:rsid w:val="000777A1"/>
    <w:rsid w:val="00080713"/>
    <w:rsid w:val="00080FA0"/>
    <w:rsid w:val="000868B0"/>
    <w:rsid w:val="00087A06"/>
    <w:rsid w:val="00094289"/>
    <w:rsid w:val="0009468D"/>
    <w:rsid w:val="000B0AAB"/>
    <w:rsid w:val="000B3DCA"/>
    <w:rsid w:val="000B6AE9"/>
    <w:rsid w:val="000C017A"/>
    <w:rsid w:val="000C05B1"/>
    <w:rsid w:val="000C1F6C"/>
    <w:rsid w:val="000D2D95"/>
    <w:rsid w:val="000D5C9C"/>
    <w:rsid w:val="000D6B3B"/>
    <w:rsid w:val="000E0BB8"/>
    <w:rsid w:val="000E5C8C"/>
    <w:rsid w:val="000F34C6"/>
    <w:rsid w:val="000F7666"/>
    <w:rsid w:val="000F77CB"/>
    <w:rsid w:val="000F7C9B"/>
    <w:rsid w:val="000F7CA3"/>
    <w:rsid w:val="00103D03"/>
    <w:rsid w:val="001070D1"/>
    <w:rsid w:val="001103BC"/>
    <w:rsid w:val="00114BE8"/>
    <w:rsid w:val="00115C7B"/>
    <w:rsid w:val="001203D3"/>
    <w:rsid w:val="00120ABA"/>
    <w:rsid w:val="00121D71"/>
    <w:rsid w:val="00122EA1"/>
    <w:rsid w:val="001235E5"/>
    <w:rsid w:val="001259AA"/>
    <w:rsid w:val="00127E5E"/>
    <w:rsid w:val="00130737"/>
    <w:rsid w:val="001319F8"/>
    <w:rsid w:val="00133741"/>
    <w:rsid w:val="00133BF7"/>
    <w:rsid w:val="00136FFB"/>
    <w:rsid w:val="00137DDE"/>
    <w:rsid w:val="001406D5"/>
    <w:rsid w:val="00140D03"/>
    <w:rsid w:val="0015157D"/>
    <w:rsid w:val="0015191C"/>
    <w:rsid w:val="001604C9"/>
    <w:rsid w:val="00160589"/>
    <w:rsid w:val="00161DEF"/>
    <w:rsid w:val="00164079"/>
    <w:rsid w:val="0016593C"/>
    <w:rsid w:val="00173D75"/>
    <w:rsid w:val="0017400E"/>
    <w:rsid w:val="00174ABF"/>
    <w:rsid w:val="001762D2"/>
    <w:rsid w:val="00177147"/>
    <w:rsid w:val="001808B3"/>
    <w:rsid w:val="00181782"/>
    <w:rsid w:val="00182E03"/>
    <w:rsid w:val="001865AE"/>
    <w:rsid w:val="0018736F"/>
    <w:rsid w:val="001907FE"/>
    <w:rsid w:val="00190F38"/>
    <w:rsid w:val="00192CC7"/>
    <w:rsid w:val="001A1059"/>
    <w:rsid w:val="001A17EC"/>
    <w:rsid w:val="001A2EDF"/>
    <w:rsid w:val="001A54A4"/>
    <w:rsid w:val="001A6397"/>
    <w:rsid w:val="001B079D"/>
    <w:rsid w:val="001C092F"/>
    <w:rsid w:val="001C12AF"/>
    <w:rsid w:val="001C5BD1"/>
    <w:rsid w:val="001C64A4"/>
    <w:rsid w:val="001C721B"/>
    <w:rsid w:val="001D0EFF"/>
    <w:rsid w:val="001D300C"/>
    <w:rsid w:val="001D3965"/>
    <w:rsid w:val="001D652D"/>
    <w:rsid w:val="001D69B2"/>
    <w:rsid w:val="001E27FE"/>
    <w:rsid w:val="001E5150"/>
    <w:rsid w:val="001E5244"/>
    <w:rsid w:val="001E5B56"/>
    <w:rsid w:val="001E66A5"/>
    <w:rsid w:val="001E7CCD"/>
    <w:rsid w:val="001F1FF0"/>
    <w:rsid w:val="001F367D"/>
    <w:rsid w:val="001F3A0A"/>
    <w:rsid w:val="00200B09"/>
    <w:rsid w:val="002029AE"/>
    <w:rsid w:val="00203A6C"/>
    <w:rsid w:val="00205A21"/>
    <w:rsid w:val="00205DC4"/>
    <w:rsid w:val="00207103"/>
    <w:rsid w:val="0020735C"/>
    <w:rsid w:val="00211CC3"/>
    <w:rsid w:val="0021408E"/>
    <w:rsid w:val="0021691D"/>
    <w:rsid w:val="00220C47"/>
    <w:rsid w:val="0022280E"/>
    <w:rsid w:val="00227F90"/>
    <w:rsid w:val="00230C73"/>
    <w:rsid w:val="00233BBD"/>
    <w:rsid w:val="0023577F"/>
    <w:rsid w:val="002442A2"/>
    <w:rsid w:val="002453F1"/>
    <w:rsid w:val="0024793B"/>
    <w:rsid w:val="00253860"/>
    <w:rsid w:val="00253F00"/>
    <w:rsid w:val="00254200"/>
    <w:rsid w:val="00254636"/>
    <w:rsid w:val="00261D03"/>
    <w:rsid w:val="00262598"/>
    <w:rsid w:val="00265666"/>
    <w:rsid w:val="002665AE"/>
    <w:rsid w:val="002668A9"/>
    <w:rsid w:val="002705C6"/>
    <w:rsid w:val="0027077F"/>
    <w:rsid w:val="0027383A"/>
    <w:rsid w:val="00276AA1"/>
    <w:rsid w:val="00277940"/>
    <w:rsid w:val="00277C8D"/>
    <w:rsid w:val="002805E7"/>
    <w:rsid w:val="00282615"/>
    <w:rsid w:val="002917D1"/>
    <w:rsid w:val="002919B5"/>
    <w:rsid w:val="00292354"/>
    <w:rsid w:val="00296E02"/>
    <w:rsid w:val="00297BAF"/>
    <w:rsid w:val="002A22F1"/>
    <w:rsid w:val="002A2A61"/>
    <w:rsid w:val="002A3424"/>
    <w:rsid w:val="002A3712"/>
    <w:rsid w:val="002A584C"/>
    <w:rsid w:val="002A6D8B"/>
    <w:rsid w:val="002B06F1"/>
    <w:rsid w:val="002B2767"/>
    <w:rsid w:val="002B4B1C"/>
    <w:rsid w:val="002B6268"/>
    <w:rsid w:val="002C4C0D"/>
    <w:rsid w:val="002C57ED"/>
    <w:rsid w:val="002C6277"/>
    <w:rsid w:val="002C6675"/>
    <w:rsid w:val="002C69F6"/>
    <w:rsid w:val="002D0362"/>
    <w:rsid w:val="002D2C25"/>
    <w:rsid w:val="002D43EE"/>
    <w:rsid w:val="002D4C7E"/>
    <w:rsid w:val="002D761B"/>
    <w:rsid w:val="002D7DA3"/>
    <w:rsid w:val="002E012C"/>
    <w:rsid w:val="002E3B48"/>
    <w:rsid w:val="002E4A7D"/>
    <w:rsid w:val="002F0822"/>
    <w:rsid w:val="002F60C1"/>
    <w:rsid w:val="002F699F"/>
    <w:rsid w:val="002F7C3A"/>
    <w:rsid w:val="003065A8"/>
    <w:rsid w:val="00307532"/>
    <w:rsid w:val="0030793A"/>
    <w:rsid w:val="00307FAE"/>
    <w:rsid w:val="00310295"/>
    <w:rsid w:val="0031360A"/>
    <w:rsid w:val="0031635B"/>
    <w:rsid w:val="00317F42"/>
    <w:rsid w:val="00320067"/>
    <w:rsid w:val="00320D47"/>
    <w:rsid w:val="00322327"/>
    <w:rsid w:val="00323EDB"/>
    <w:rsid w:val="0032435A"/>
    <w:rsid w:val="00325D03"/>
    <w:rsid w:val="003269DE"/>
    <w:rsid w:val="00330389"/>
    <w:rsid w:val="00330F69"/>
    <w:rsid w:val="00334263"/>
    <w:rsid w:val="003454A2"/>
    <w:rsid w:val="0034552C"/>
    <w:rsid w:val="00353EF4"/>
    <w:rsid w:val="00354D13"/>
    <w:rsid w:val="00357AF1"/>
    <w:rsid w:val="003637DD"/>
    <w:rsid w:val="00363BE3"/>
    <w:rsid w:val="00364D91"/>
    <w:rsid w:val="0036654D"/>
    <w:rsid w:val="00366752"/>
    <w:rsid w:val="00366F56"/>
    <w:rsid w:val="003676C5"/>
    <w:rsid w:val="003678A6"/>
    <w:rsid w:val="00367A24"/>
    <w:rsid w:val="00370A31"/>
    <w:rsid w:val="00370D54"/>
    <w:rsid w:val="003717DF"/>
    <w:rsid w:val="0037368D"/>
    <w:rsid w:val="00373711"/>
    <w:rsid w:val="00375BD8"/>
    <w:rsid w:val="00375D30"/>
    <w:rsid w:val="0037612F"/>
    <w:rsid w:val="00380AF6"/>
    <w:rsid w:val="00381E51"/>
    <w:rsid w:val="00384730"/>
    <w:rsid w:val="003865D9"/>
    <w:rsid w:val="003870D4"/>
    <w:rsid w:val="00390699"/>
    <w:rsid w:val="00392DF5"/>
    <w:rsid w:val="00393B7C"/>
    <w:rsid w:val="00395607"/>
    <w:rsid w:val="00395F9D"/>
    <w:rsid w:val="00396670"/>
    <w:rsid w:val="003A199D"/>
    <w:rsid w:val="003A60C8"/>
    <w:rsid w:val="003B7B34"/>
    <w:rsid w:val="003C1BED"/>
    <w:rsid w:val="003C3FDF"/>
    <w:rsid w:val="003C4E9F"/>
    <w:rsid w:val="003C5010"/>
    <w:rsid w:val="003C6F2F"/>
    <w:rsid w:val="003C7942"/>
    <w:rsid w:val="003D3880"/>
    <w:rsid w:val="003D44A1"/>
    <w:rsid w:val="003D67ED"/>
    <w:rsid w:val="003E07FE"/>
    <w:rsid w:val="003E180F"/>
    <w:rsid w:val="003E1A17"/>
    <w:rsid w:val="003E1B4D"/>
    <w:rsid w:val="003E1E4C"/>
    <w:rsid w:val="003E25C6"/>
    <w:rsid w:val="003E38A3"/>
    <w:rsid w:val="003E5A7A"/>
    <w:rsid w:val="003E64CB"/>
    <w:rsid w:val="003F1A6A"/>
    <w:rsid w:val="003F23B3"/>
    <w:rsid w:val="003F2D69"/>
    <w:rsid w:val="003F6605"/>
    <w:rsid w:val="004010BE"/>
    <w:rsid w:val="00401B2A"/>
    <w:rsid w:val="004022E1"/>
    <w:rsid w:val="0040490E"/>
    <w:rsid w:val="004052EF"/>
    <w:rsid w:val="004069D8"/>
    <w:rsid w:val="00407FEA"/>
    <w:rsid w:val="00412320"/>
    <w:rsid w:val="0041426A"/>
    <w:rsid w:val="0041453C"/>
    <w:rsid w:val="004152C0"/>
    <w:rsid w:val="004157B9"/>
    <w:rsid w:val="004157E7"/>
    <w:rsid w:val="004168E5"/>
    <w:rsid w:val="004176EA"/>
    <w:rsid w:val="004207F5"/>
    <w:rsid w:val="00422DEA"/>
    <w:rsid w:val="004230C0"/>
    <w:rsid w:val="00424089"/>
    <w:rsid w:val="00424EC3"/>
    <w:rsid w:val="004307B5"/>
    <w:rsid w:val="00434589"/>
    <w:rsid w:val="004407F6"/>
    <w:rsid w:val="004409B7"/>
    <w:rsid w:val="004413EF"/>
    <w:rsid w:val="00446219"/>
    <w:rsid w:val="0045244B"/>
    <w:rsid w:val="00462EEF"/>
    <w:rsid w:val="0047059F"/>
    <w:rsid w:val="00470C19"/>
    <w:rsid w:val="004722AD"/>
    <w:rsid w:val="00472341"/>
    <w:rsid w:val="00477727"/>
    <w:rsid w:val="004834F4"/>
    <w:rsid w:val="00483597"/>
    <w:rsid w:val="004869EB"/>
    <w:rsid w:val="00487D15"/>
    <w:rsid w:val="00492687"/>
    <w:rsid w:val="00497765"/>
    <w:rsid w:val="004A21C8"/>
    <w:rsid w:val="004A33D9"/>
    <w:rsid w:val="004A7AF2"/>
    <w:rsid w:val="004B0BF6"/>
    <w:rsid w:val="004B1797"/>
    <w:rsid w:val="004B26FF"/>
    <w:rsid w:val="004B334E"/>
    <w:rsid w:val="004B4A2C"/>
    <w:rsid w:val="004B7D24"/>
    <w:rsid w:val="004C4255"/>
    <w:rsid w:val="004C4A25"/>
    <w:rsid w:val="004C58DA"/>
    <w:rsid w:val="004C6295"/>
    <w:rsid w:val="004C660E"/>
    <w:rsid w:val="004D03A3"/>
    <w:rsid w:val="004D1674"/>
    <w:rsid w:val="004D3B7F"/>
    <w:rsid w:val="004D55EF"/>
    <w:rsid w:val="004D6520"/>
    <w:rsid w:val="004E0B21"/>
    <w:rsid w:val="004E0C72"/>
    <w:rsid w:val="004E1913"/>
    <w:rsid w:val="004E3641"/>
    <w:rsid w:val="004E42B6"/>
    <w:rsid w:val="004E52EF"/>
    <w:rsid w:val="004E7A19"/>
    <w:rsid w:val="004F12AA"/>
    <w:rsid w:val="004F15AD"/>
    <w:rsid w:val="004F1653"/>
    <w:rsid w:val="004F186B"/>
    <w:rsid w:val="004F21AF"/>
    <w:rsid w:val="004F2A11"/>
    <w:rsid w:val="004F2C22"/>
    <w:rsid w:val="004F4AE1"/>
    <w:rsid w:val="0050164E"/>
    <w:rsid w:val="00504C01"/>
    <w:rsid w:val="00505679"/>
    <w:rsid w:val="005169AB"/>
    <w:rsid w:val="0051711A"/>
    <w:rsid w:val="00521CAF"/>
    <w:rsid w:val="0052386A"/>
    <w:rsid w:val="00527CE8"/>
    <w:rsid w:val="00531E69"/>
    <w:rsid w:val="00533E8D"/>
    <w:rsid w:val="00537AC9"/>
    <w:rsid w:val="00544C03"/>
    <w:rsid w:val="00547063"/>
    <w:rsid w:val="00551D54"/>
    <w:rsid w:val="00554ABC"/>
    <w:rsid w:val="005601D6"/>
    <w:rsid w:val="00560FAB"/>
    <w:rsid w:val="00564946"/>
    <w:rsid w:val="005662E4"/>
    <w:rsid w:val="005755E4"/>
    <w:rsid w:val="00577782"/>
    <w:rsid w:val="00584535"/>
    <w:rsid w:val="00590908"/>
    <w:rsid w:val="00590EE2"/>
    <w:rsid w:val="00592E63"/>
    <w:rsid w:val="00596B18"/>
    <w:rsid w:val="00596B2C"/>
    <w:rsid w:val="005975E9"/>
    <w:rsid w:val="005A2A78"/>
    <w:rsid w:val="005A4483"/>
    <w:rsid w:val="005A56AE"/>
    <w:rsid w:val="005A60D1"/>
    <w:rsid w:val="005A6644"/>
    <w:rsid w:val="005B1F12"/>
    <w:rsid w:val="005B5443"/>
    <w:rsid w:val="005B6850"/>
    <w:rsid w:val="005B7FC9"/>
    <w:rsid w:val="005C077B"/>
    <w:rsid w:val="005C0907"/>
    <w:rsid w:val="005C15D2"/>
    <w:rsid w:val="005C22EC"/>
    <w:rsid w:val="005C3921"/>
    <w:rsid w:val="005C3EE0"/>
    <w:rsid w:val="005C4055"/>
    <w:rsid w:val="005C7E74"/>
    <w:rsid w:val="005D0C9A"/>
    <w:rsid w:val="005D21EB"/>
    <w:rsid w:val="005D24B5"/>
    <w:rsid w:val="005D3184"/>
    <w:rsid w:val="005D31C3"/>
    <w:rsid w:val="005D4CFF"/>
    <w:rsid w:val="005D6803"/>
    <w:rsid w:val="005D72E0"/>
    <w:rsid w:val="005E08AF"/>
    <w:rsid w:val="005E169E"/>
    <w:rsid w:val="005E16E0"/>
    <w:rsid w:val="005E4069"/>
    <w:rsid w:val="005E6AD6"/>
    <w:rsid w:val="005F74C7"/>
    <w:rsid w:val="00600505"/>
    <w:rsid w:val="00600BA1"/>
    <w:rsid w:val="006018B1"/>
    <w:rsid w:val="00606EFD"/>
    <w:rsid w:val="006123C0"/>
    <w:rsid w:val="00621E3A"/>
    <w:rsid w:val="00625BB7"/>
    <w:rsid w:val="00627DED"/>
    <w:rsid w:val="006323BD"/>
    <w:rsid w:val="0063748E"/>
    <w:rsid w:val="00645033"/>
    <w:rsid w:val="00646300"/>
    <w:rsid w:val="00647F87"/>
    <w:rsid w:val="00655579"/>
    <w:rsid w:val="00660079"/>
    <w:rsid w:val="00660940"/>
    <w:rsid w:val="00661B8A"/>
    <w:rsid w:val="00663FC3"/>
    <w:rsid w:val="00671B1F"/>
    <w:rsid w:val="00675947"/>
    <w:rsid w:val="00676E82"/>
    <w:rsid w:val="0068093E"/>
    <w:rsid w:val="00680F5E"/>
    <w:rsid w:val="0068304B"/>
    <w:rsid w:val="00683465"/>
    <w:rsid w:val="00686D5E"/>
    <w:rsid w:val="006872B3"/>
    <w:rsid w:val="0068794E"/>
    <w:rsid w:val="00687C9C"/>
    <w:rsid w:val="00690073"/>
    <w:rsid w:val="006927F6"/>
    <w:rsid w:val="00692BE5"/>
    <w:rsid w:val="00695DE4"/>
    <w:rsid w:val="00695DE9"/>
    <w:rsid w:val="0069682B"/>
    <w:rsid w:val="006A0BF3"/>
    <w:rsid w:val="006A331F"/>
    <w:rsid w:val="006A454D"/>
    <w:rsid w:val="006A4E0D"/>
    <w:rsid w:val="006A5F0F"/>
    <w:rsid w:val="006A6F2E"/>
    <w:rsid w:val="006B4624"/>
    <w:rsid w:val="006B5904"/>
    <w:rsid w:val="006B7451"/>
    <w:rsid w:val="006C0A98"/>
    <w:rsid w:val="006C3C9E"/>
    <w:rsid w:val="006C4A2A"/>
    <w:rsid w:val="006D159F"/>
    <w:rsid w:val="006D579C"/>
    <w:rsid w:val="006D79C0"/>
    <w:rsid w:val="006E1FCA"/>
    <w:rsid w:val="006E5762"/>
    <w:rsid w:val="006E58F9"/>
    <w:rsid w:val="006E5FE8"/>
    <w:rsid w:val="006E6DEB"/>
    <w:rsid w:val="006E6F96"/>
    <w:rsid w:val="006E6FED"/>
    <w:rsid w:val="006F0B2F"/>
    <w:rsid w:val="006F18E1"/>
    <w:rsid w:val="006F7145"/>
    <w:rsid w:val="006F76E2"/>
    <w:rsid w:val="007008B9"/>
    <w:rsid w:val="00700F59"/>
    <w:rsid w:val="00712904"/>
    <w:rsid w:val="007136AD"/>
    <w:rsid w:val="00714E8B"/>
    <w:rsid w:val="00716923"/>
    <w:rsid w:val="0072314A"/>
    <w:rsid w:val="00723B1F"/>
    <w:rsid w:val="007271C4"/>
    <w:rsid w:val="00732BCB"/>
    <w:rsid w:val="007334E8"/>
    <w:rsid w:val="00734968"/>
    <w:rsid w:val="0073608D"/>
    <w:rsid w:val="00736275"/>
    <w:rsid w:val="0073752C"/>
    <w:rsid w:val="00740EA3"/>
    <w:rsid w:val="00743A6C"/>
    <w:rsid w:val="00743F70"/>
    <w:rsid w:val="007443D9"/>
    <w:rsid w:val="007466A7"/>
    <w:rsid w:val="00747281"/>
    <w:rsid w:val="00751263"/>
    <w:rsid w:val="00756F0F"/>
    <w:rsid w:val="0075740C"/>
    <w:rsid w:val="007648C1"/>
    <w:rsid w:val="0076517F"/>
    <w:rsid w:val="00766094"/>
    <w:rsid w:val="00766675"/>
    <w:rsid w:val="00766C77"/>
    <w:rsid w:val="0077215A"/>
    <w:rsid w:val="00772ECB"/>
    <w:rsid w:val="00775103"/>
    <w:rsid w:val="00775A0E"/>
    <w:rsid w:val="00776B1A"/>
    <w:rsid w:val="00780413"/>
    <w:rsid w:val="00781A22"/>
    <w:rsid w:val="007841E5"/>
    <w:rsid w:val="00787538"/>
    <w:rsid w:val="00792882"/>
    <w:rsid w:val="007930E6"/>
    <w:rsid w:val="0079489F"/>
    <w:rsid w:val="00794F4F"/>
    <w:rsid w:val="007A06CF"/>
    <w:rsid w:val="007B042C"/>
    <w:rsid w:val="007B1FCF"/>
    <w:rsid w:val="007B2334"/>
    <w:rsid w:val="007B35B4"/>
    <w:rsid w:val="007B38EA"/>
    <w:rsid w:val="007B77F0"/>
    <w:rsid w:val="007C10A9"/>
    <w:rsid w:val="007C2BED"/>
    <w:rsid w:val="007C6C0E"/>
    <w:rsid w:val="007C6C52"/>
    <w:rsid w:val="007C79B1"/>
    <w:rsid w:val="007D1092"/>
    <w:rsid w:val="007D1B3E"/>
    <w:rsid w:val="007D2F42"/>
    <w:rsid w:val="007D2F7B"/>
    <w:rsid w:val="007D6BF0"/>
    <w:rsid w:val="007E000C"/>
    <w:rsid w:val="007E250C"/>
    <w:rsid w:val="007E3986"/>
    <w:rsid w:val="007E455A"/>
    <w:rsid w:val="007F17AB"/>
    <w:rsid w:val="007F199E"/>
    <w:rsid w:val="007F7C9B"/>
    <w:rsid w:val="008038D8"/>
    <w:rsid w:val="00804054"/>
    <w:rsid w:val="0080480D"/>
    <w:rsid w:val="0080716F"/>
    <w:rsid w:val="00811261"/>
    <w:rsid w:val="008116EC"/>
    <w:rsid w:val="00812E68"/>
    <w:rsid w:val="00812F6E"/>
    <w:rsid w:val="00816B8F"/>
    <w:rsid w:val="00820383"/>
    <w:rsid w:val="0082085A"/>
    <w:rsid w:val="00822734"/>
    <w:rsid w:val="00823C80"/>
    <w:rsid w:val="00825EFB"/>
    <w:rsid w:val="00830826"/>
    <w:rsid w:val="00830BCC"/>
    <w:rsid w:val="0083542A"/>
    <w:rsid w:val="00835A49"/>
    <w:rsid w:val="00835A74"/>
    <w:rsid w:val="00835DC3"/>
    <w:rsid w:val="00837CCB"/>
    <w:rsid w:val="008405CE"/>
    <w:rsid w:val="00840676"/>
    <w:rsid w:val="00841033"/>
    <w:rsid w:val="0084348B"/>
    <w:rsid w:val="0084505D"/>
    <w:rsid w:val="008456AD"/>
    <w:rsid w:val="0084739A"/>
    <w:rsid w:val="00850DB9"/>
    <w:rsid w:val="00851BDF"/>
    <w:rsid w:val="008537FA"/>
    <w:rsid w:val="00855455"/>
    <w:rsid w:val="0085717F"/>
    <w:rsid w:val="00857198"/>
    <w:rsid w:val="00865406"/>
    <w:rsid w:val="00865FF5"/>
    <w:rsid w:val="00866F3B"/>
    <w:rsid w:val="00871AFC"/>
    <w:rsid w:val="00871E20"/>
    <w:rsid w:val="00876516"/>
    <w:rsid w:val="00877932"/>
    <w:rsid w:val="00880B79"/>
    <w:rsid w:val="00883C66"/>
    <w:rsid w:val="00884C9E"/>
    <w:rsid w:val="0088713F"/>
    <w:rsid w:val="008913C5"/>
    <w:rsid w:val="008924D3"/>
    <w:rsid w:val="00892DF7"/>
    <w:rsid w:val="00893046"/>
    <w:rsid w:val="00895992"/>
    <w:rsid w:val="00895F27"/>
    <w:rsid w:val="008A5C19"/>
    <w:rsid w:val="008A66A1"/>
    <w:rsid w:val="008A7831"/>
    <w:rsid w:val="008B040D"/>
    <w:rsid w:val="008B248D"/>
    <w:rsid w:val="008B3054"/>
    <w:rsid w:val="008B3157"/>
    <w:rsid w:val="008B734C"/>
    <w:rsid w:val="008C3E3F"/>
    <w:rsid w:val="008C4025"/>
    <w:rsid w:val="008C4200"/>
    <w:rsid w:val="008C4A9A"/>
    <w:rsid w:val="008C5FD9"/>
    <w:rsid w:val="008C643F"/>
    <w:rsid w:val="008D02EE"/>
    <w:rsid w:val="008D25B1"/>
    <w:rsid w:val="008D454D"/>
    <w:rsid w:val="008D46D1"/>
    <w:rsid w:val="008E563B"/>
    <w:rsid w:val="008E5A70"/>
    <w:rsid w:val="008E7B01"/>
    <w:rsid w:val="008F1A8B"/>
    <w:rsid w:val="008F208C"/>
    <w:rsid w:val="008F4850"/>
    <w:rsid w:val="008F5FA5"/>
    <w:rsid w:val="008F6ACF"/>
    <w:rsid w:val="009004E8"/>
    <w:rsid w:val="0090062C"/>
    <w:rsid w:val="00902F47"/>
    <w:rsid w:val="009054CE"/>
    <w:rsid w:val="00910AA5"/>
    <w:rsid w:val="0091226B"/>
    <w:rsid w:val="0091398F"/>
    <w:rsid w:val="00913C49"/>
    <w:rsid w:val="00915FEB"/>
    <w:rsid w:val="00922C70"/>
    <w:rsid w:val="0092350A"/>
    <w:rsid w:val="009257E1"/>
    <w:rsid w:val="009268A7"/>
    <w:rsid w:val="00927FDF"/>
    <w:rsid w:val="009309B5"/>
    <w:rsid w:val="00930E83"/>
    <w:rsid w:val="00934DA2"/>
    <w:rsid w:val="00936D5F"/>
    <w:rsid w:val="009410E4"/>
    <w:rsid w:val="00941A50"/>
    <w:rsid w:val="00944B77"/>
    <w:rsid w:val="009472DF"/>
    <w:rsid w:val="00952DB0"/>
    <w:rsid w:val="00956498"/>
    <w:rsid w:val="009564EF"/>
    <w:rsid w:val="009608B8"/>
    <w:rsid w:val="009631D3"/>
    <w:rsid w:val="00965081"/>
    <w:rsid w:val="009666A1"/>
    <w:rsid w:val="0096688B"/>
    <w:rsid w:val="009735F3"/>
    <w:rsid w:val="009746BE"/>
    <w:rsid w:val="00974FAE"/>
    <w:rsid w:val="009758BA"/>
    <w:rsid w:val="00976FB6"/>
    <w:rsid w:val="00980D67"/>
    <w:rsid w:val="00981575"/>
    <w:rsid w:val="00983464"/>
    <w:rsid w:val="009874B5"/>
    <w:rsid w:val="00987FEF"/>
    <w:rsid w:val="00992095"/>
    <w:rsid w:val="00992FC5"/>
    <w:rsid w:val="00993D97"/>
    <w:rsid w:val="00994E97"/>
    <w:rsid w:val="009A0E80"/>
    <w:rsid w:val="009A1831"/>
    <w:rsid w:val="009A2397"/>
    <w:rsid w:val="009A2B33"/>
    <w:rsid w:val="009A2C3A"/>
    <w:rsid w:val="009A347E"/>
    <w:rsid w:val="009A58EB"/>
    <w:rsid w:val="009B04E9"/>
    <w:rsid w:val="009C0C0D"/>
    <w:rsid w:val="009C61CA"/>
    <w:rsid w:val="009C7C49"/>
    <w:rsid w:val="009D34C2"/>
    <w:rsid w:val="009D4A86"/>
    <w:rsid w:val="009D5C65"/>
    <w:rsid w:val="009D670E"/>
    <w:rsid w:val="009E064D"/>
    <w:rsid w:val="009E138F"/>
    <w:rsid w:val="009E1E4A"/>
    <w:rsid w:val="009E1F23"/>
    <w:rsid w:val="009E347F"/>
    <w:rsid w:val="009E3F78"/>
    <w:rsid w:val="009E782D"/>
    <w:rsid w:val="009E7F8E"/>
    <w:rsid w:val="009F0E83"/>
    <w:rsid w:val="009F191F"/>
    <w:rsid w:val="009F1926"/>
    <w:rsid w:val="009F33D7"/>
    <w:rsid w:val="009F4223"/>
    <w:rsid w:val="009F50B1"/>
    <w:rsid w:val="009F73B0"/>
    <w:rsid w:val="00A10B9B"/>
    <w:rsid w:val="00A15AD8"/>
    <w:rsid w:val="00A25113"/>
    <w:rsid w:val="00A25290"/>
    <w:rsid w:val="00A258F4"/>
    <w:rsid w:val="00A259A4"/>
    <w:rsid w:val="00A26652"/>
    <w:rsid w:val="00A33E1D"/>
    <w:rsid w:val="00A41524"/>
    <w:rsid w:val="00A42725"/>
    <w:rsid w:val="00A43DF2"/>
    <w:rsid w:val="00A51928"/>
    <w:rsid w:val="00A51E60"/>
    <w:rsid w:val="00A562E0"/>
    <w:rsid w:val="00A667D6"/>
    <w:rsid w:val="00A679AE"/>
    <w:rsid w:val="00A706C5"/>
    <w:rsid w:val="00A72A02"/>
    <w:rsid w:val="00A740BC"/>
    <w:rsid w:val="00A75AC0"/>
    <w:rsid w:val="00A812A3"/>
    <w:rsid w:val="00A86794"/>
    <w:rsid w:val="00A870AA"/>
    <w:rsid w:val="00A877F3"/>
    <w:rsid w:val="00A92B3B"/>
    <w:rsid w:val="00A964A6"/>
    <w:rsid w:val="00A97931"/>
    <w:rsid w:val="00AA1EC9"/>
    <w:rsid w:val="00AA2F3C"/>
    <w:rsid w:val="00AA460C"/>
    <w:rsid w:val="00AB0096"/>
    <w:rsid w:val="00AB12D2"/>
    <w:rsid w:val="00AB464C"/>
    <w:rsid w:val="00AB49CE"/>
    <w:rsid w:val="00AC7AA7"/>
    <w:rsid w:val="00AD2342"/>
    <w:rsid w:val="00AD7234"/>
    <w:rsid w:val="00AE0029"/>
    <w:rsid w:val="00AE4D2E"/>
    <w:rsid w:val="00AE6623"/>
    <w:rsid w:val="00AF0535"/>
    <w:rsid w:val="00AF34AF"/>
    <w:rsid w:val="00AF3CC3"/>
    <w:rsid w:val="00AF5968"/>
    <w:rsid w:val="00AF7AC3"/>
    <w:rsid w:val="00B0077D"/>
    <w:rsid w:val="00B00F76"/>
    <w:rsid w:val="00B01DCD"/>
    <w:rsid w:val="00B05B20"/>
    <w:rsid w:val="00B07151"/>
    <w:rsid w:val="00B13A80"/>
    <w:rsid w:val="00B156EF"/>
    <w:rsid w:val="00B21D40"/>
    <w:rsid w:val="00B233FF"/>
    <w:rsid w:val="00B2605E"/>
    <w:rsid w:val="00B270F7"/>
    <w:rsid w:val="00B30D58"/>
    <w:rsid w:val="00B35560"/>
    <w:rsid w:val="00B3582A"/>
    <w:rsid w:val="00B3745E"/>
    <w:rsid w:val="00B37CCB"/>
    <w:rsid w:val="00B43A4E"/>
    <w:rsid w:val="00B43B40"/>
    <w:rsid w:val="00B4669D"/>
    <w:rsid w:val="00B47368"/>
    <w:rsid w:val="00B50944"/>
    <w:rsid w:val="00B6469D"/>
    <w:rsid w:val="00B64F0B"/>
    <w:rsid w:val="00B66399"/>
    <w:rsid w:val="00B713E4"/>
    <w:rsid w:val="00B765C1"/>
    <w:rsid w:val="00B7735F"/>
    <w:rsid w:val="00B84259"/>
    <w:rsid w:val="00B84D34"/>
    <w:rsid w:val="00B84D43"/>
    <w:rsid w:val="00B859F3"/>
    <w:rsid w:val="00B87840"/>
    <w:rsid w:val="00B87D84"/>
    <w:rsid w:val="00B92C33"/>
    <w:rsid w:val="00B93649"/>
    <w:rsid w:val="00B93B2B"/>
    <w:rsid w:val="00BA0331"/>
    <w:rsid w:val="00BA0C5C"/>
    <w:rsid w:val="00BA1AB2"/>
    <w:rsid w:val="00BB199A"/>
    <w:rsid w:val="00BB1C54"/>
    <w:rsid w:val="00BC1CB2"/>
    <w:rsid w:val="00BC1F59"/>
    <w:rsid w:val="00BC24BA"/>
    <w:rsid w:val="00BC2903"/>
    <w:rsid w:val="00BC2C9D"/>
    <w:rsid w:val="00BC7014"/>
    <w:rsid w:val="00BC7391"/>
    <w:rsid w:val="00BD1F3D"/>
    <w:rsid w:val="00BD38E2"/>
    <w:rsid w:val="00BD4E04"/>
    <w:rsid w:val="00BD6A31"/>
    <w:rsid w:val="00BD7BB1"/>
    <w:rsid w:val="00BD7EC7"/>
    <w:rsid w:val="00BE4D66"/>
    <w:rsid w:val="00BE5AB5"/>
    <w:rsid w:val="00BF321F"/>
    <w:rsid w:val="00BF5D3D"/>
    <w:rsid w:val="00BF701B"/>
    <w:rsid w:val="00C02F9D"/>
    <w:rsid w:val="00C04831"/>
    <w:rsid w:val="00C05F48"/>
    <w:rsid w:val="00C10570"/>
    <w:rsid w:val="00C113E2"/>
    <w:rsid w:val="00C141AB"/>
    <w:rsid w:val="00C15A29"/>
    <w:rsid w:val="00C22547"/>
    <w:rsid w:val="00C3059A"/>
    <w:rsid w:val="00C31233"/>
    <w:rsid w:val="00C328D0"/>
    <w:rsid w:val="00C330C2"/>
    <w:rsid w:val="00C339E0"/>
    <w:rsid w:val="00C347B7"/>
    <w:rsid w:val="00C34ED9"/>
    <w:rsid w:val="00C36FFD"/>
    <w:rsid w:val="00C4040D"/>
    <w:rsid w:val="00C4062B"/>
    <w:rsid w:val="00C43327"/>
    <w:rsid w:val="00C5064F"/>
    <w:rsid w:val="00C56B32"/>
    <w:rsid w:val="00C57D1C"/>
    <w:rsid w:val="00C61E6A"/>
    <w:rsid w:val="00C628A8"/>
    <w:rsid w:val="00C64A00"/>
    <w:rsid w:val="00C66293"/>
    <w:rsid w:val="00C67FCD"/>
    <w:rsid w:val="00C71252"/>
    <w:rsid w:val="00C717F8"/>
    <w:rsid w:val="00C71BF7"/>
    <w:rsid w:val="00C735DB"/>
    <w:rsid w:val="00C76127"/>
    <w:rsid w:val="00C77714"/>
    <w:rsid w:val="00C86E27"/>
    <w:rsid w:val="00C87122"/>
    <w:rsid w:val="00C92AD7"/>
    <w:rsid w:val="00C93101"/>
    <w:rsid w:val="00C9496B"/>
    <w:rsid w:val="00CB042B"/>
    <w:rsid w:val="00CB1627"/>
    <w:rsid w:val="00CB41BB"/>
    <w:rsid w:val="00CB6A2A"/>
    <w:rsid w:val="00CB6ECC"/>
    <w:rsid w:val="00CC352B"/>
    <w:rsid w:val="00CC44EE"/>
    <w:rsid w:val="00CC49CD"/>
    <w:rsid w:val="00CD0301"/>
    <w:rsid w:val="00CD28E9"/>
    <w:rsid w:val="00CD7A54"/>
    <w:rsid w:val="00CD7D6F"/>
    <w:rsid w:val="00CE0DE6"/>
    <w:rsid w:val="00CE0FAD"/>
    <w:rsid w:val="00CF0AC8"/>
    <w:rsid w:val="00CF1773"/>
    <w:rsid w:val="00CF1E93"/>
    <w:rsid w:val="00CF3372"/>
    <w:rsid w:val="00CF3A73"/>
    <w:rsid w:val="00CF4646"/>
    <w:rsid w:val="00CF52DF"/>
    <w:rsid w:val="00CF64F0"/>
    <w:rsid w:val="00D050BE"/>
    <w:rsid w:val="00D1000A"/>
    <w:rsid w:val="00D10EB7"/>
    <w:rsid w:val="00D11F75"/>
    <w:rsid w:val="00D13DEF"/>
    <w:rsid w:val="00D20CD0"/>
    <w:rsid w:val="00D24B77"/>
    <w:rsid w:val="00D27FA7"/>
    <w:rsid w:val="00D309BA"/>
    <w:rsid w:val="00D30B7F"/>
    <w:rsid w:val="00D34884"/>
    <w:rsid w:val="00D35DF8"/>
    <w:rsid w:val="00D40F54"/>
    <w:rsid w:val="00D42137"/>
    <w:rsid w:val="00D421FA"/>
    <w:rsid w:val="00D45B65"/>
    <w:rsid w:val="00D50649"/>
    <w:rsid w:val="00D53175"/>
    <w:rsid w:val="00D539C5"/>
    <w:rsid w:val="00D548FE"/>
    <w:rsid w:val="00D54BBF"/>
    <w:rsid w:val="00D6087C"/>
    <w:rsid w:val="00D624F5"/>
    <w:rsid w:val="00D62C4A"/>
    <w:rsid w:val="00D661F0"/>
    <w:rsid w:val="00D7591B"/>
    <w:rsid w:val="00D75D9C"/>
    <w:rsid w:val="00D7739B"/>
    <w:rsid w:val="00D77B61"/>
    <w:rsid w:val="00D823AB"/>
    <w:rsid w:val="00D839CB"/>
    <w:rsid w:val="00D84ADD"/>
    <w:rsid w:val="00D84F67"/>
    <w:rsid w:val="00D85891"/>
    <w:rsid w:val="00D85E43"/>
    <w:rsid w:val="00D86764"/>
    <w:rsid w:val="00D87A67"/>
    <w:rsid w:val="00D94633"/>
    <w:rsid w:val="00D95FF4"/>
    <w:rsid w:val="00DA2014"/>
    <w:rsid w:val="00DA5A9D"/>
    <w:rsid w:val="00DB0AA3"/>
    <w:rsid w:val="00DB1DAF"/>
    <w:rsid w:val="00DB1F26"/>
    <w:rsid w:val="00DB6953"/>
    <w:rsid w:val="00DC1B0B"/>
    <w:rsid w:val="00DC5094"/>
    <w:rsid w:val="00DC68DE"/>
    <w:rsid w:val="00DD0359"/>
    <w:rsid w:val="00DD256C"/>
    <w:rsid w:val="00DD3155"/>
    <w:rsid w:val="00DD4A68"/>
    <w:rsid w:val="00DD65EF"/>
    <w:rsid w:val="00DE1FFA"/>
    <w:rsid w:val="00DE2F1C"/>
    <w:rsid w:val="00DE48DA"/>
    <w:rsid w:val="00DE6E9F"/>
    <w:rsid w:val="00DF05AB"/>
    <w:rsid w:val="00DF311E"/>
    <w:rsid w:val="00DF3E25"/>
    <w:rsid w:val="00DF5C49"/>
    <w:rsid w:val="00DF5F27"/>
    <w:rsid w:val="00E01FD8"/>
    <w:rsid w:val="00E04008"/>
    <w:rsid w:val="00E06F25"/>
    <w:rsid w:val="00E07E5D"/>
    <w:rsid w:val="00E10A8C"/>
    <w:rsid w:val="00E1158E"/>
    <w:rsid w:val="00E1424E"/>
    <w:rsid w:val="00E146F4"/>
    <w:rsid w:val="00E148D8"/>
    <w:rsid w:val="00E14DB1"/>
    <w:rsid w:val="00E15089"/>
    <w:rsid w:val="00E223F1"/>
    <w:rsid w:val="00E22554"/>
    <w:rsid w:val="00E22979"/>
    <w:rsid w:val="00E2347B"/>
    <w:rsid w:val="00E25AC4"/>
    <w:rsid w:val="00E264D3"/>
    <w:rsid w:val="00E35E62"/>
    <w:rsid w:val="00E366FE"/>
    <w:rsid w:val="00E41E94"/>
    <w:rsid w:val="00E43346"/>
    <w:rsid w:val="00E43C7D"/>
    <w:rsid w:val="00E4425B"/>
    <w:rsid w:val="00E46766"/>
    <w:rsid w:val="00E514D0"/>
    <w:rsid w:val="00E5308D"/>
    <w:rsid w:val="00E56BB0"/>
    <w:rsid w:val="00E57FBE"/>
    <w:rsid w:val="00E61463"/>
    <w:rsid w:val="00E64FD8"/>
    <w:rsid w:val="00E664B5"/>
    <w:rsid w:val="00E73DCD"/>
    <w:rsid w:val="00E74395"/>
    <w:rsid w:val="00E75C08"/>
    <w:rsid w:val="00E8174C"/>
    <w:rsid w:val="00E828A4"/>
    <w:rsid w:val="00E82A25"/>
    <w:rsid w:val="00E8396C"/>
    <w:rsid w:val="00E84250"/>
    <w:rsid w:val="00E85888"/>
    <w:rsid w:val="00E85DE9"/>
    <w:rsid w:val="00E90829"/>
    <w:rsid w:val="00E9356A"/>
    <w:rsid w:val="00E938EB"/>
    <w:rsid w:val="00E93A8F"/>
    <w:rsid w:val="00E95F87"/>
    <w:rsid w:val="00EA4DD5"/>
    <w:rsid w:val="00EA530E"/>
    <w:rsid w:val="00EA53E5"/>
    <w:rsid w:val="00EB0865"/>
    <w:rsid w:val="00EB2043"/>
    <w:rsid w:val="00EB6E9D"/>
    <w:rsid w:val="00EC028F"/>
    <w:rsid w:val="00EC0B36"/>
    <w:rsid w:val="00EC17C9"/>
    <w:rsid w:val="00EC2CD7"/>
    <w:rsid w:val="00EC38A4"/>
    <w:rsid w:val="00EC459F"/>
    <w:rsid w:val="00EC5153"/>
    <w:rsid w:val="00EC5301"/>
    <w:rsid w:val="00EC76BB"/>
    <w:rsid w:val="00EC7B9C"/>
    <w:rsid w:val="00ED3FD2"/>
    <w:rsid w:val="00EE2865"/>
    <w:rsid w:val="00EE49A7"/>
    <w:rsid w:val="00EE4D16"/>
    <w:rsid w:val="00EE78AF"/>
    <w:rsid w:val="00EF0F75"/>
    <w:rsid w:val="00EF1B9B"/>
    <w:rsid w:val="00EF2726"/>
    <w:rsid w:val="00EF4667"/>
    <w:rsid w:val="00EF48A9"/>
    <w:rsid w:val="00EF699A"/>
    <w:rsid w:val="00F01724"/>
    <w:rsid w:val="00F01965"/>
    <w:rsid w:val="00F070FA"/>
    <w:rsid w:val="00F10E65"/>
    <w:rsid w:val="00F10F53"/>
    <w:rsid w:val="00F15DCF"/>
    <w:rsid w:val="00F164E8"/>
    <w:rsid w:val="00F31DFB"/>
    <w:rsid w:val="00F35037"/>
    <w:rsid w:val="00F360EA"/>
    <w:rsid w:val="00F36816"/>
    <w:rsid w:val="00F40454"/>
    <w:rsid w:val="00F408B5"/>
    <w:rsid w:val="00F42ECC"/>
    <w:rsid w:val="00F53B50"/>
    <w:rsid w:val="00F64154"/>
    <w:rsid w:val="00F64848"/>
    <w:rsid w:val="00F6498E"/>
    <w:rsid w:val="00F66359"/>
    <w:rsid w:val="00F76401"/>
    <w:rsid w:val="00F76975"/>
    <w:rsid w:val="00F76CBB"/>
    <w:rsid w:val="00F77D15"/>
    <w:rsid w:val="00F80697"/>
    <w:rsid w:val="00F820C2"/>
    <w:rsid w:val="00F84CB0"/>
    <w:rsid w:val="00F904F1"/>
    <w:rsid w:val="00F910D9"/>
    <w:rsid w:val="00F91BB8"/>
    <w:rsid w:val="00F95A41"/>
    <w:rsid w:val="00FA1C5F"/>
    <w:rsid w:val="00FA36AC"/>
    <w:rsid w:val="00FA3D58"/>
    <w:rsid w:val="00FA5C22"/>
    <w:rsid w:val="00FA6A33"/>
    <w:rsid w:val="00FB1B03"/>
    <w:rsid w:val="00FB2DAB"/>
    <w:rsid w:val="00FB2DEB"/>
    <w:rsid w:val="00FB400B"/>
    <w:rsid w:val="00FB5DD5"/>
    <w:rsid w:val="00FB77BB"/>
    <w:rsid w:val="00FB7E63"/>
    <w:rsid w:val="00FC02F8"/>
    <w:rsid w:val="00FC0D4C"/>
    <w:rsid w:val="00FC0F78"/>
    <w:rsid w:val="00FC15EB"/>
    <w:rsid w:val="00FC1A22"/>
    <w:rsid w:val="00FC29FD"/>
    <w:rsid w:val="00FC438C"/>
    <w:rsid w:val="00FC74BA"/>
    <w:rsid w:val="00FE1185"/>
    <w:rsid w:val="00FE1630"/>
    <w:rsid w:val="00FE2F75"/>
    <w:rsid w:val="00FE6B3F"/>
    <w:rsid w:val="00FF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1C8A5"/>
  <w15:chartTrackingRefBased/>
  <w15:docId w15:val="{3F92A64A-1FE5-47B0-9654-1BA58458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FFB"/>
    <w:pPr>
      <w:keepNext/>
      <w:keepLines/>
      <w:numPr>
        <w:numId w:val="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6FFB"/>
    <w:pPr>
      <w:keepNext/>
      <w:keepLines/>
      <w:numPr>
        <w:ilvl w:val="1"/>
        <w:numId w:val="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6FFB"/>
    <w:pPr>
      <w:keepNext/>
      <w:keepLines/>
      <w:numPr>
        <w:ilvl w:val="2"/>
        <w:numId w:val="5"/>
      </w:numPr>
      <w:spacing w:before="40" w:after="0"/>
      <w:ind w:left="14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36FFB"/>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36FFB"/>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36FFB"/>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36FFB"/>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36FFB"/>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6FFB"/>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76"/>
  </w:style>
  <w:style w:type="paragraph" w:styleId="Footer">
    <w:name w:val="footer"/>
    <w:basedOn w:val="Normal"/>
    <w:link w:val="FooterChar"/>
    <w:uiPriority w:val="99"/>
    <w:unhideWhenUsed/>
    <w:rsid w:val="00840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76"/>
  </w:style>
  <w:style w:type="paragraph" w:styleId="ListParagraph">
    <w:name w:val="List Paragraph"/>
    <w:basedOn w:val="Normal"/>
    <w:uiPriority w:val="34"/>
    <w:qFormat/>
    <w:rsid w:val="009E1F23"/>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B6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850"/>
    <w:rPr>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unhideWhenUsed/>
    <w:rsid w:val="005B6850"/>
    <w:rPr>
      <w:vertAlign w:val="superscript"/>
    </w:rPr>
  </w:style>
  <w:style w:type="paragraph" w:styleId="BalloonText">
    <w:name w:val="Balloon Text"/>
    <w:basedOn w:val="Normal"/>
    <w:link w:val="BalloonTextChar"/>
    <w:uiPriority w:val="99"/>
    <w:semiHidden/>
    <w:unhideWhenUsed/>
    <w:rsid w:val="008B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48D"/>
    <w:rPr>
      <w:rFonts w:ascii="Segoe UI" w:hAnsi="Segoe UI" w:cs="Segoe UI"/>
      <w:sz w:val="18"/>
      <w:szCs w:val="18"/>
    </w:rPr>
  </w:style>
  <w:style w:type="character" w:styleId="CommentReference">
    <w:name w:val="annotation reference"/>
    <w:basedOn w:val="DefaultParagraphFont"/>
    <w:uiPriority w:val="99"/>
    <w:semiHidden/>
    <w:unhideWhenUsed/>
    <w:rsid w:val="00C22547"/>
    <w:rPr>
      <w:sz w:val="16"/>
      <w:szCs w:val="16"/>
    </w:rPr>
  </w:style>
  <w:style w:type="paragraph" w:styleId="CommentText">
    <w:name w:val="annotation text"/>
    <w:basedOn w:val="Normal"/>
    <w:link w:val="CommentTextChar"/>
    <w:uiPriority w:val="99"/>
    <w:semiHidden/>
    <w:unhideWhenUsed/>
    <w:rsid w:val="00C22547"/>
    <w:pPr>
      <w:spacing w:line="240" w:lineRule="auto"/>
    </w:pPr>
    <w:rPr>
      <w:sz w:val="20"/>
      <w:szCs w:val="20"/>
    </w:rPr>
  </w:style>
  <w:style w:type="character" w:customStyle="1" w:styleId="CommentTextChar">
    <w:name w:val="Comment Text Char"/>
    <w:basedOn w:val="DefaultParagraphFont"/>
    <w:link w:val="CommentText"/>
    <w:uiPriority w:val="99"/>
    <w:semiHidden/>
    <w:rsid w:val="00C22547"/>
    <w:rPr>
      <w:sz w:val="20"/>
      <w:szCs w:val="20"/>
    </w:rPr>
  </w:style>
  <w:style w:type="paragraph" w:styleId="CommentSubject">
    <w:name w:val="annotation subject"/>
    <w:basedOn w:val="CommentText"/>
    <w:next w:val="CommentText"/>
    <w:link w:val="CommentSubjectChar"/>
    <w:uiPriority w:val="99"/>
    <w:semiHidden/>
    <w:unhideWhenUsed/>
    <w:rsid w:val="002919B5"/>
    <w:rPr>
      <w:b/>
      <w:bCs/>
    </w:rPr>
  </w:style>
  <w:style w:type="character" w:customStyle="1" w:styleId="CommentSubjectChar">
    <w:name w:val="Comment Subject Char"/>
    <w:basedOn w:val="CommentTextChar"/>
    <w:link w:val="CommentSubject"/>
    <w:uiPriority w:val="99"/>
    <w:semiHidden/>
    <w:rsid w:val="002919B5"/>
    <w:rPr>
      <w:b/>
      <w:bCs/>
      <w:sz w:val="20"/>
      <w:szCs w:val="20"/>
    </w:rPr>
  </w:style>
  <w:style w:type="character" w:customStyle="1" w:styleId="Heading1Char">
    <w:name w:val="Heading 1 Char"/>
    <w:basedOn w:val="DefaultParagraphFont"/>
    <w:link w:val="Heading1"/>
    <w:uiPriority w:val="9"/>
    <w:rsid w:val="00136F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36F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36F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36FF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36FF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36FF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36FF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36F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6FFB"/>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9874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6222">
      <w:bodyDiv w:val="1"/>
      <w:marLeft w:val="0"/>
      <w:marRight w:val="0"/>
      <w:marTop w:val="0"/>
      <w:marBottom w:val="0"/>
      <w:divBdr>
        <w:top w:val="none" w:sz="0" w:space="0" w:color="auto"/>
        <w:left w:val="none" w:sz="0" w:space="0" w:color="auto"/>
        <w:bottom w:val="none" w:sz="0" w:space="0" w:color="auto"/>
        <w:right w:val="none" w:sz="0" w:space="0" w:color="auto"/>
      </w:divBdr>
    </w:div>
    <w:div w:id="29376605">
      <w:bodyDiv w:val="1"/>
      <w:marLeft w:val="0"/>
      <w:marRight w:val="0"/>
      <w:marTop w:val="0"/>
      <w:marBottom w:val="0"/>
      <w:divBdr>
        <w:top w:val="none" w:sz="0" w:space="0" w:color="auto"/>
        <w:left w:val="none" w:sz="0" w:space="0" w:color="auto"/>
        <w:bottom w:val="none" w:sz="0" w:space="0" w:color="auto"/>
        <w:right w:val="none" w:sz="0" w:space="0" w:color="auto"/>
      </w:divBdr>
    </w:div>
    <w:div w:id="493107202">
      <w:bodyDiv w:val="1"/>
      <w:marLeft w:val="0"/>
      <w:marRight w:val="0"/>
      <w:marTop w:val="0"/>
      <w:marBottom w:val="0"/>
      <w:divBdr>
        <w:top w:val="none" w:sz="0" w:space="0" w:color="auto"/>
        <w:left w:val="none" w:sz="0" w:space="0" w:color="auto"/>
        <w:bottom w:val="none" w:sz="0" w:space="0" w:color="auto"/>
        <w:right w:val="none" w:sz="0" w:space="0" w:color="auto"/>
      </w:divBdr>
    </w:div>
    <w:div w:id="588078261">
      <w:bodyDiv w:val="1"/>
      <w:marLeft w:val="0"/>
      <w:marRight w:val="0"/>
      <w:marTop w:val="0"/>
      <w:marBottom w:val="0"/>
      <w:divBdr>
        <w:top w:val="none" w:sz="0" w:space="0" w:color="auto"/>
        <w:left w:val="none" w:sz="0" w:space="0" w:color="auto"/>
        <w:bottom w:val="none" w:sz="0" w:space="0" w:color="auto"/>
        <w:right w:val="none" w:sz="0" w:space="0" w:color="auto"/>
      </w:divBdr>
    </w:div>
    <w:div w:id="608051822">
      <w:bodyDiv w:val="1"/>
      <w:marLeft w:val="0"/>
      <w:marRight w:val="0"/>
      <w:marTop w:val="0"/>
      <w:marBottom w:val="0"/>
      <w:divBdr>
        <w:top w:val="none" w:sz="0" w:space="0" w:color="auto"/>
        <w:left w:val="none" w:sz="0" w:space="0" w:color="auto"/>
        <w:bottom w:val="none" w:sz="0" w:space="0" w:color="auto"/>
        <w:right w:val="none" w:sz="0" w:space="0" w:color="auto"/>
      </w:divBdr>
    </w:div>
    <w:div w:id="1096369253">
      <w:bodyDiv w:val="1"/>
      <w:marLeft w:val="0"/>
      <w:marRight w:val="0"/>
      <w:marTop w:val="0"/>
      <w:marBottom w:val="0"/>
      <w:divBdr>
        <w:top w:val="none" w:sz="0" w:space="0" w:color="auto"/>
        <w:left w:val="none" w:sz="0" w:space="0" w:color="auto"/>
        <w:bottom w:val="none" w:sz="0" w:space="0" w:color="auto"/>
        <w:right w:val="none" w:sz="0" w:space="0" w:color="auto"/>
      </w:divBdr>
    </w:div>
    <w:div w:id="1539272578">
      <w:bodyDiv w:val="1"/>
      <w:marLeft w:val="0"/>
      <w:marRight w:val="0"/>
      <w:marTop w:val="0"/>
      <w:marBottom w:val="0"/>
      <w:divBdr>
        <w:top w:val="none" w:sz="0" w:space="0" w:color="auto"/>
        <w:left w:val="none" w:sz="0" w:space="0" w:color="auto"/>
        <w:bottom w:val="none" w:sz="0" w:space="0" w:color="auto"/>
        <w:right w:val="none" w:sz="0" w:space="0" w:color="auto"/>
      </w:divBdr>
    </w:div>
    <w:div w:id="20862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4E93-9A37-4A03-888F-FED253A31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5924A-2B4C-474E-9C40-97F0EEA2CE63}">
  <ds:schemaRefs>
    <ds:schemaRef ds:uri="http://schemas.microsoft.com/sharepoint/v3/contenttype/forms"/>
  </ds:schemaRefs>
</ds:datastoreItem>
</file>

<file path=customXml/itemProps3.xml><?xml version="1.0" encoding="utf-8"?>
<ds:datastoreItem xmlns:ds="http://schemas.openxmlformats.org/officeDocument/2006/customXml" ds:itemID="{CD3F54F0-50A5-4D3B-B324-479EA5CF63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B2B1B7-218A-44DE-A582-DBD5BF37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6514</Words>
  <Characters>37131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Sheffer, Ryan</cp:lastModifiedBy>
  <cp:revision>14</cp:revision>
  <cp:lastPrinted>2019-01-08T19:01:00Z</cp:lastPrinted>
  <dcterms:created xsi:type="dcterms:W3CDTF">2020-07-20T12:46:00Z</dcterms:created>
  <dcterms:modified xsi:type="dcterms:W3CDTF">2020-08-06T15:18:00Z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