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B1C30" w14:textId="77777777" w:rsidR="001F0176" w:rsidRPr="00077C1B" w:rsidRDefault="001F0176" w:rsidP="00077C1B">
      <w:pPr>
        <w:widowControl/>
        <w:tabs>
          <w:tab w:val="center" w:pos="4680"/>
        </w:tabs>
        <w:jc w:val="center"/>
        <w:rPr>
          <w:b/>
          <w:sz w:val="26"/>
          <w:szCs w:val="26"/>
        </w:rPr>
      </w:pPr>
      <w:r w:rsidRPr="00077C1B">
        <w:rPr>
          <w:b/>
          <w:sz w:val="26"/>
          <w:szCs w:val="26"/>
        </w:rPr>
        <w:t>PENNSYLVANIA</w:t>
      </w:r>
    </w:p>
    <w:p w14:paraId="3CE5121D" w14:textId="77777777" w:rsidR="001F0176" w:rsidRPr="00077C1B" w:rsidRDefault="001F0176" w:rsidP="00077C1B">
      <w:pPr>
        <w:widowControl/>
        <w:tabs>
          <w:tab w:val="center" w:pos="4680"/>
        </w:tabs>
        <w:jc w:val="center"/>
        <w:rPr>
          <w:sz w:val="26"/>
          <w:szCs w:val="26"/>
        </w:rPr>
      </w:pPr>
      <w:r w:rsidRPr="00077C1B">
        <w:rPr>
          <w:b/>
          <w:sz w:val="26"/>
          <w:szCs w:val="26"/>
        </w:rPr>
        <w:t>PUBLIC UTILITY COMMISSION</w:t>
      </w:r>
    </w:p>
    <w:p w14:paraId="3AF4B09C" w14:textId="69E65D04" w:rsidR="001F0176" w:rsidRPr="00077C1B" w:rsidRDefault="001F0176" w:rsidP="00077C1B">
      <w:pPr>
        <w:widowControl/>
        <w:tabs>
          <w:tab w:val="center" w:pos="4680"/>
        </w:tabs>
        <w:jc w:val="center"/>
        <w:rPr>
          <w:sz w:val="26"/>
          <w:szCs w:val="26"/>
        </w:rPr>
      </w:pPr>
      <w:r w:rsidRPr="00077C1B">
        <w:rPr>
          <w:b/>
          <w:sz w:val="26"/>
          <w:szCs w:val="26"/>
        </w:rPr>
        <w:t>Harrisburg, PA 171</w:t>
      </w:r>
      <w:r w:rsidR="00F37AB6" w:rsidRPr="00077C1B">
        <w:rPr>
          <w:b/>
          <w:sz w:val="26"/>
          <w:szCs w:val="26"/>
        </w:rPr>
        <w:t>20</w:t>
      </w:r>
    </w:p>
    <w:p w14:paraId="582834DA" w14:textId="77777777" w:rsidR="001F0176" w:rsidRPr="00077C1B" w:rsidRDefault="001F0176" w:rsidP="00077C1B">
      <w:pPr>
        <w:widowControl/>
        <w:rPr>
          <w:sz w:val="26"/>
          <w:szCs w:val="26"/>
        </w:rPr>
      </w:pPr>
    </w:p>
    <w:p w14:paraId="1980636B" w14:textId="77777777" w:rsidR="001F0176" w:rsidRPr="00077C1B" w:rsidRDefault="001F0176" w:rsidP="00077C1B">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F0176" w:rsidRPr="00077C1B" w14:paraId="2ECDD1B8" w14:textId="77777777" w:rsidTr="009C0A32">
        <w:tc>
          <w:tcPr>
            <w:tcW w:w="4821" w:type="dxa"/>
          </w:tcPr>
          <w:p w14:paraId="6D72B9A3" w14:textId="77777777" w:rsidR="001F0176" w:rsidRPr="00077C1B" w:rsidRDefault="001F0176" w:rsidP="00077C1B">
            <w:pPr>
              <w:widowControl/>
              <w:rPr>
                <w:sz w:val="26"/>
                <w:szCs w:val="26"/>
              </w:rPr>
            </w:pPr>
          </w:p>
        </w:tc>
        <w:tc>
          <w:tcPr>
            <w:tcW w:w="4539" w:type="dxa"/>
          </w:tcPr>
          <w:p w14:paraId="6548A423" w14:textId="458B58B1" w:rsidR="001F0176" w:rsidRPr="00077C1B" w:rsidRDefault="001F0176" w:rsidP="00077C1B">
            <w:pPr>
              <w:widowControl/>
              <w:jc w:val="right"/>
              <w:rPr>
                <w:sz w:val="26"/>
                <w:szCs w:val="26"/>
              </w:rPr>
            </w:pPr>
            <w:r w:rsidRPr="00077C1B">
              <w:rPr>
                <w:sz w:val="26"/>
                <w:szCs w:val="26"/>
              </w:rPr>
              <w:t xml:space="preserve">Public Meeting held </w:t>
            </w:r>
            <w:r w:rsidR="0087367C" w:rsidRPr="00077C1B">
              <w:rPr>
                <w:sz w:val="26"/>
                <w:szCs w:val="26"/>
              </w:rPr>
              <w:t xml:space="preserve">August </w:t>
            </w:r>
            <w:r w:rsidR="003B350E" w:rsidRPr="00077C1B">
              <w:rPr>
                <w:sz w:val="26"/>
                <w:szCs w:val="26"/>
              </w:rPr>
              <w:t>6</w:t>
            </w:r>
            <w:r w:rsidRPr="00077C1B">
              <w:rPr>
                <w:sz w:val="26"/>
                <w:szCs w:val="26"/>
              </w:rPr>
              <w:t>, 20</w:t>
            </w:r>
            <w:r w:rsidR="00FD710C" w:rsidRPr="00077C1B">
              <w:rPr>
                <w:sz w:val="26"/>
                <w:szCs w:val="26"/>
              </w:rPr>
              <w:t>20</w:t>
            </w:r>
          </w:p>
        </w:tc>
      </w:tr>
      <w:tr w:rsidR="00744816" w:rsidRPr="00077C1B" w14:paraId="3996364A" w14:textId="77777777" w:rsidTr="00132DB5">
        <w:tc>
          <w:tcPr>
            <w:tcW w:w="9360" w:type="dxa"/>
            <w:gridSpan w:val="2"/>
          </w:tcPr>
          <w:p w14:paraId="5E732997" w14:textId="77777777" w:rsidR="00744816" w:rsidRPr="00077C1B" w:rsidRDefault="00744816" w:rsidP="00077C1B">
            <w:pPr>
              <w:widowControl/>
              <w:rPr>
                <w:sz w:val="26"/>
                <w:szCs w:val="26"/>
              </w:rPr>
            </w:pPr>
          </w:p>
          <w:p w14:paraId="030F7F05" w14:textId="77777777" w:rsidR="00744816" w:rsidRPr="00077C1B" w:rsidRDefault="00744816" w:rsidP="00077C1B">
            <w:pPr>
              <w:widowControl/>
              <w:rPr>
                <w:sz w:val="26"/>
                <w:szCs w:val="26"/>
              </w:rPr>
            </w:pPr>
            <w:r w:rsidRPr="00077C1B">
              <w:rPr>
                <w:sz w:val="26"/>
                <w:szCs w:val="26"/>
              </w:rPr>
              <w:t>Commissioners Present:</w:t>
            </w:r>
          </w:p>
          <w:p w14:paraId="04888B48" w14:textId="77777777" w:rsidR="00744816" w:rsidRPr="00077C1B" w:rsidRDefault="00744816" w:rsidP="00077C1B">
            <w:pPr>
              <w:widowControl/>
              <w:rPr>
                <w:sz w:val="26"/>
                <w:szCs w:val="26"/>
              </w:rPr>
            </w:pPr>
          </w:p>
          <w:p w14:paraId="0553FFEF" w14:textId="042A1B02" w:rsidR="00744816" w:rsidRPr="00077C1B" w:rsidRDefault="00744816" w:rsidP="00077C1B">
            <w:pPr>
              <w:widowControl/>
              <w:rPr>
                <w:sz w:val="26"/>
                <w:szCs w:val="26"/>
              </w:rPr>
            </w:pPr>
            <w:r w:rsidRPr="00077C1B">
              <w:rPr>
                <w:sz w:val="26"/>
                <w:szCs w:val="26"/>
              </w:rPr>
              <w:tab/>
              <w:t>Gladys Brown</w:t>
            </w:r>
            <w:r w:rsidR="00531DA7" w:rsidRPr="00077C1B">
              <w:rPr>
                <w:sz w:val="26"/>
                <w:szCs w:val="26"/>
              </w:rPr>
              <w:t xml:space="preserve"> Dutrieuille</w:t>
            </w:r>
            <w:r w:rsidRPr="00077C1B">
              <w:rPr>
                <w:sz w:val="26"/>
                <w:szCs w:val="26"/>
              </w:rPr>
              <w:t>, Chairman</w:t>
            </w:r>
          </w:p>
          <w:p w14:paraId="028E35D5" w14:textId="15242846" w:rsidR="00744816" w:rsidRPr="00077C1B" w:rsidRDefault="00744816" w:rsidP="00077C1B">
            <w:pPr>
              <w:widowControl/>
              <w:rPr>
                <w:sz w:val="26"/>
                <w:szCs w:val="26"/>
              </w:rPr>
            </w:pPr>
            <w:r w:rsidRPr="00077C1B">
              <w:rPr>
                <w:sz w:val="26"/>
                <w:szCs w:val="26"/>
              </w:rPr>
              <w:tab/>
            </w:r>
            <w:r w:rsidR="00531DA7" w:rsidRPr="00077C1B">
              <w:rPr>
                <w:sz w:val="26"/>
                <w:szCs w:val="26"/>
              </w:rPr>
              <w:t>David W. Sweet</w:t>
            </w:r>
            <w:r w:rsidRPr="00077C1B">
              <w:rPr>
                <w:sz w:val="26"/>
                <w:szCs w:val="26"/>
              </w:rPr>
              <w:t>, Vice Chairman</w:t>
            </w:r>
          </w:p>
          <w:p w14:paraId="2A7C35ED" w14:textId="354F48F9" w:rsidR="00FD710C" w:rsidRPr="00077C1B" w:rsidRDefault="00744816" w:rsidP="00077C1B">
            <w:pPr>
              <w:widowControl/>
              <w:rPr>
                <w:sz w:val="26"/>
                <w:szCs w:val="26"/>
              </w:rPr>
            </w:pPr>
            <w:r w:rsidRPr="00077C1B">
              <w:rPr>
                <w:sz w:val="26"/>
                <w:szCs w:val="26"/>
              </w:rPr>
              <w:tab/>
            </w:r>
            <w:r w:rsidR="00FD710C" w:rsidRPr="00077C1B">
              <w:rPr>
                <w:sz w:val="26"/>
                <w:szCs w:val="26"/>
              </w:rPr>
              <w:t>John F. Coleman, Jr.</w:t>
            </w:r>
          </w:p>
          <w:p w14:paraId="33964E20" w14:textId="2E271FD1" w:rsidR="00744816" w:rsidRPr="00077C1B" w:rsidRDefault="00FD710C" w:rsidP="00077C1B">
            <w:pPr>
              <w:widowControl/>
              <w:rPr>
                <w:sz w:val="26"/>
                <w:szCs w:val="26"/>
              </w:rPr>
            </w:pPr>
            <w:r w:rsidRPr="00077C1B">
              <w:rPr>
                <w:sz w:val="26"/>
                <w:szCs w:val="26"/>
              </w:rPr>
              <w:tab/>
              <w:t xml:space="preserve">Ralph </w:t>
            </w:r>
            <w:r w:rsidR="00EE5688" w:rsidRPr="00077C1B">
              <w:rPr>
                <w:sz w:val="26"/>
                <w:szCs w:val="26"/>
              </w:rPr>
              <w:t xml:space="preserve">V. </w:t>
            </w:r>
            <w:r w:rsidRPr="00077C1B">
              <w:rPr>
                <w:sz w:val="26"/>
                <w:szCs w:val="26"/>
              </w:rPr>
              <w:t>Yanora</w:t>
            </w:r>
          </w:p>
          <w:p w14:paraId="7CDE69BB" w14:textId="77777777" w:rsidR="00744816" w:rsidRDefault="00744816" w:rsidP="00077C1B">
            <w:pPr>
              <w:widowControl/>
              <w:rPr>
                <w:sz w:val="26"/>
                <w:szCs w:val="26"/>
              </w:rPr>
            </w:pPr>
          </w:p>
          <w:p w14:paraId="283FFB3E" w14:textId="06E79226" w:rsidR="00077C1B" w:rsidRPr="00077C1B" w:rsidRDefault="00077C1B" w:rsidP="00077C1B">
            <w:pPr>
              <w:widowControl/>
              <w:rPr>
                <w:sz w:val="26"/>
                <w:szCs w:val="26"/>
              </w:rPr>
            </w:pPr>
          </w:p>
        </w:tc>
      </w:tr>
      <w:tr w:rsidR="001F0176" w:rsidRPr="00077C1B" w14:paraId="4F1D6045" w14:textId="77777777" w:rsidTr="009C0A32">
        <w:tc>
          <w:tcPr>
            <w:tcW w:w="4821" w:type="dxa"/>
          </w:tcPr>
          <w:p w14:paraId="52AD9AA2" w14:textId="77777777" w:rsidR="001F0176" w:rsidRPr="00077C1B" w:rsidRDefault="001F0176" w:rsidP="00077C1B">
            <w:pPr>
              <w:widowControl/>
              <w:rPr>
                <w:sz w:val="26"/>
                <w:szCs w:val="26"/>
              </w:rPr>
            </w:pPr>
          </w:p>
          <w:p w14:paraId="69122C50" w14:textId="2E593F86" w:rsidR="001F0176" w:rsidRPr="00077C1B" w:rsidRDefault="00D238C2" w:rsidP="00077C1B">
            <w:pPr>
              <w:widowControl/>
              <w:rPr>
                <w:sz w:val="26"/>
                <w:szCs w:val="26"/>
              </w:rPr>
            </w:pPr>
            <w:r w:rsidRPr="00077C1B">
              <w:rPr>
                <w:sz w:val="26"/>
                <w:szCs w:val="26"/>
              </w:rPr>
              <w:t>Althea Poe-Henderson</w:t>
            </w:r>
          </w:p>
          <w:p w14:paraId="793AF5BD" w14:textId="77777777" w:rsidR="001F0176" w:rsidRPr="00077C1B" w:rsidRDefault="001F0176" w:rsidP="00077C1B">
            <w:pPr>
              <w:widowControl/>
              <w:rPr>
                <w:sz w:val="26"/>
                <w:szCs w:val="26"/>
              </w:rPr>
            </w:pPr>
          </w:p>
        </w:tc>
        <w:tc>
          <w:tcPr>
            <w:tcW w:w="4539" w:type="dxa"/>
          </w:tcPr>
          <w:p w14:paraId="65F25D74" w14:textId="77777777" w:rsidR="001F0176" w:rsidRPr="00077C1B" w:rsidRDefault="001F0176" w:rsidP="00077C1B">
            <w:pPr>
              <w:widowControl/>
              <w:rPr>
                <w:sz w:val="26"/>
                <w:szCs w:val="26"/>
              </w:rPr>
            </w:pPr>
          </w:p>
          <w:p w14:paraId="1DF8067B" w14:textId="41523716" w:rsidR="001F0176" w:rsidRPr="00077C1B" w:rsidRDefault="00D238C2" w:rsidP="00077C1B">
            <w:pPr>
              <w:widowControl/>
              <w:jc w:val="right"/>
              <w:rPr>
                <w:sz w:val="26"/>
                <w:szCs w:val="26"/>
              </w:rPr>
            </w:pPr>
            <w:r w:rsidRPr="00077C1B">
              <w:rPr>
                <w:sz w:val="26"/>
                <w:szCs w:val="26"/>
              </w:rPr>
              <w:t>F</w:t>
            </w:r>
            <w:r w:rsidR="00BD70D6" w:rsidRPr="00077C1B">
              <w:rPr>
                <w:sz w:val="26"/>
                <w:szCs w:val="26"/>
              </w:rPr>
              <w:t>-201</w:t>
            </w:r>
            <w:r w:rsidR="00FD710C" w:rsidRPr="00077C1B">
              <w:rPr>
                <w:sz w:val="26"/>
                <w:szCs w:val="26"/>
              </w:rPr>
              <w:t>9</w:t>
            </w:r>
            <w:r w:rsidR="00BD70D6" w:rsidRPr="00077C1B">
              <w:rPr>
                <w:sz w:val="26"/>
                <w:szCs w:val="26"/>
              </w:rPr>
              <w:t>-</w:t>
            </w:r>
            <w:r w:rsidRPr="00077C1B">
              <w:rPr>
                <w:sz w:val="26"/>
                <w:szCs w:val="26"/>
              </w:rPr>
              <w:t>3010206</w:t>
            </w:r>
          </w:p>
        </w:tc>
      </w:tr>
      <w:tr w:rsidR="001F0176" w:rsidRPr="00077C1B" w14:paraId="05381F82" w14:textId="77777777" w:rsidTr="009C0A32">
        <w:tc>
          <w:tcPr>
            <w:tcW w:w="4821" w:type="dxa"/>
          </w:tcPr>
          <w:p w14:paraId="35030AC3" w14:textId="77777777" w:rsidR="001F0176" w:rsidRPr="00077C1B" w:rsidRDefault="001F0176" w:rsidP="00077C1B">
            <w:pPr>
              <w:widowControl/>
              <w:ind w:firstLine="720"/>
              <w:rPr>
                <w:sz w:val="26"/>
                <w:szCs w:val="26"/>
              </w:rPr>
            </w:pPr>
            <w:r w:rsidRPr="00077C1B">
              <w:rPr>
                <w:sz w:val="26"/>
                <w:szCs w:val="26"/>
              </w:rPr>
              <w:t>v.</w:t>
            </w:r>
          </w:p>
          <w:p w14:paraId="50C0B08F" w14:textId="77777777" w:rsidR="001F0176" w:rsidRPr="00077C1B" w:rsidRDefault="001F0176" w:rsidP="00077C1B">
            <w:pPr>
              <w:widowControl/>
              <w:ind w:firstLine="1440"/>
              <w:rPr>
                <w:sz w:val="26"/>
                <w:szCs w:val="26"/>
              </w:rPr>
            </w:pPr>
          </w:p>
        </w:tc>
        <w:tc>
          <w:tcPr>
            <w:tcW w:w="4539" w:type="dxa"/>
          </w:tcPr>
          <w:p w14:paraId="0B423000" w14:textId="77777777" w:rsidR="001F0176" w:rsidRPr="00077C1B" w:rsidRDefault="001F0176" w:rsidP="00077C1B">
            <w:pPr>
              <w:widowControl/>
              <w:rPr>
                <w:sz w:val="26"/>
                <w:szCs w:val="26"/>
              </w:rPr>
            </w:pPr>
          </w:p>
        </w:tc>
      </w:tr>
      <w:tr w:rsidR="001F0176" w:rsidRPr="00077C1B" w14:paraId="3662C4BE" w14:textId="77777777" w:rsidTr="009C0A32">
        <w:tc>
          <w:tcPr>
            <w:tcW w:w="4821" w:type="dxa"/>
          </w:tcPr>
          <w:p w14:paraId="551D77D8" w14:textId="00F9B5D9" w:rsidR="001F0176" w:rsidRPr="00077C1B" w:rsidRDefault="00862389" w:rsidP="00077C1B">
            <w:pPr>
              <w:widowControl/>
              <w:rPr>
                <w:sz w:val="26"/>
                <w:szCs w:val="26"/>
              </w:rPr>
            </w:pPr>
            <w:r w:rsidRPr="00077C1B">
              <w:rPr>
                <w:sz w:val="26"/>
                <w:szCs w:val="26"/>
              </w:rPr>
              <w:t>P</w:t>
            </w:r>
            <w:r w:rsidR="00D238C2" w:rsidRPr="00077C1B">
              <w:rPr>
                <w:sz w:val="26"/>
                <w:szCs w:val="26"/>
              </w:rPr>
              <w:t>hiladelphia Gas Works</w:t>
            </w:r>
          </w:p>
          <w:p w14:paraId="668B8D75" w14:textId="77777777" w:rsidR="001F0176" w:rsidRPr="00077C1B" w:rsidRDefault="001F0176" w:rsidP="00077C1B">
            <w:pPr>
              <w:widowControl/>
              <w:rPr>
                <w:sz w:val="26"/>
                <w:szCs w:val="26"/>
              </w:rPr>
            </w:pPr>
          </w:p>
        </w:tc>
        <w:tc>
          <w:tcPr>
            <w:tcW w:w="4539" w:type="dxa"/>
          </w:tcPr>
          <w:p w14:paraId="12BEA23D" w14:textId="77777777" w:rsidR="001F0176" w:rsidRPr="00077C1B" w:rsidRDefault="001F0176" w:rsidP="00077C1B">
            <w:pPr>
              <w:widowControl/>
              <w:rPr>
                <w:sz w:val="26"/>
                <w:szCs w:val="26"/>
              </w:rPr>
            </w:pPr>
          </w:p>
        </w:tc>
      </w:tr>
    </w:tbl>
    <w:p w14:paraId="06228AEA" w14:textId="77777777" w:rsidR="001F0176" w:rsidRPr="00077C1B" w:rsidRDefault="001F0176" w:rsidP="00077C1B">
      <w:pPr>
        <w:widowControl/>
        <w:rPr>
          <w:sz w:val="26"/>
          <w:szCs w:val="26"/>
        </w:rPr>
      </w:pPr>
    </w:p>
    <w:p w14:paraId="7637D6F8" w14:textId="4A01316E" w:rsidR="001F0176" w:rsidRPr="00077C1B" w:rsidRDefault="001F0176" w:rsidP="00077C1B">
      <w:pPr>
        <w:widowControl/>
        <w:spacing w:line="360" w:lineRule="auto"/>
        <w:jc w:val="center"/>
        <w:rPr>
          <w:b/>
          <w:sz w:val="26"/>
          <w:szCs w:val="26"/>
        </w:rPr>
      </w:pPr>
      <w:r w:rsidRPr="00077C1B">
        <w:rPr>
          <w:b/>
          <w:sz w:val="26"/>
          <w:szCs w:val="26"/>
        </w:rPr>
        <w:t>OPINION AND ORDER</w:t>
      </w:r>
    </w:p>
    <w:p w14:paraId="4707FBDF" w14:textId="4F348136" w:rsidR="00AC1594" w:rsidRPr="00077C1B" w:rsidRDefault="00AC1594" w:rsidP="00077C1B">
      <w:pPr>
        <w:pStyle w:val="TOC1"/>
        <w:widowControl/>
        <w:tabs>
          <w:tab w:val="left" w:pos="400"/>
          <w:tab w:val="right" w:leader="dot" w:pos="9350"/>
        </w:tabs>
        <w:rPr>
          <w:rFonts w:eastAsiaTheme="minorEastAsia"/>
          <w:noProof/>
          <w:szCs w:val="26"/>
        </w:rPr>
      </w:pPr>
      <w:r w:rsidRPr="00077C1B">
        <w:rPr>
          <w:b/>
          <w:szCs w:val="26"/>
        </w:rPr>
        <w:fldChar w:fldCharType="begin"/>
      </w:r>
      <w:r w:rsidRPr="00077C1B">
        <w:rPr>
          <w:b/>
          <w:szCs w:val="26"/>
        </w:rPr>
        <w:instrText xml:space="preserve"> TOC \o "1-4" \h \z \u </w:instrText>
      </w:r>
      <w:r w:rsidRPr="00077C1B">
        <w:rPr>
          <w:b/>
          <w:szCs w:val="26"/>
        </w:rPr>
        <w:fldChar w:fldCharType="separate"/>
      </w:r>
    </w:p>
    <w:p w14:paraId="2AD22067" w14:textId="6BF4771E" w:rsidR="006A1E41" w:rsidRPr="00077C1B" w:rsidRDefault="00AC1594" w:rsidP="00077C1B">
      <w:pPr>
        <w:widowControl/>
        <w:spacing w:line="360" w:lineRule="auto"/>
        <w:jc w:val="center"/>
        <w:rPr>
          <w:b/>
          <w:sz w:val="26"/>
          <w:szCs w:val="26"/>
        </w:rPr>
      </w:pPr>
      <w:r w:rsidRPr="00077C1B">
        <w:rPr>
          <w:b/>
          <w:sz w:val="26"/>
          <w:szCs w:val="26"/>
        </w:rPr>
        <w:fldChar w:fldCharType="end"/>
      </w:r>
    </w:p>
    <w:p w14:paraId="573EEF7D" w14:textId="77777777" w:rsidR="001F0176" w:rsidRPr="00077C1B" w:rsidRDefault="001F0176" w:rsidP="00077C1B">
      <w:pPr>
        <w:widowControl/>
        <w:spacing w:line="360" w:lineRule="auto"/>
        <w:rPr>
          <w:b/>
          <w:sz w:val="26"/>
          <w:szCs w:val="26"/>
        </w:rPr>
      </w:pPr>
      <w:r w:rsidRPr="00077C1B">
        <w:rPr>
          <w:b/>
          <w:sz w:val="26"/>
          <w:szCs w:val="26"/>
        </w:rPr>
        <w:t>BY THE COMMISSION:</w:t>
      </w:r>
    </w:p>
    <w:p w14:paraId="247670F1" w14:textId="77777777" w:rsidR="001F0176" w:rsidRPr="00077C1B" w:rsidRDefault="001F0176" w:rsidP="00077C1B">
      <w:pPr>
        <w:widowControl/>
        <w:spacing w:line="360" w:lineRule="auto"/>
        <w:rPr>
          <w:b/>
          <w:sz w:val="26"/>
          <w:szCs w:val="26"/>
        </w:rPr>
      </w:pPr>
    </w:p>
    <w:p w14:paraId="7FEFAFE6" w14:textId="14C2AF9D" w:rsidR="00EB335F" w:rsidRPr="00077C1B" w:rsidRDefault="00EB335F" w:rsidP="00077C1B">
      <w:pPr>
        <w:widowControl/>
        <w:spacing w:line="360" w:lineRule="auto"/>
        <w:ind w:firstLine="1440"/>
        <w:rPr>
          <w:sz w:val="26"/>
          <w:szCs w:val="26"/>
        </w:rPr>
      </w:pPr>
      <w:r w:rsidRPr="00077C1B">
        <w:rPr>
          <w:sz w:val="26"/>
          <w:szCs w:val="26"/>
        </w:rPr>
        <w:t xml:space="preserve">Before the Pennsylvania Public Utility Commission (Commission) for consideration and disposition is the </w:t>
      </w:r>
      <w:r w:rsidR="00991318" w:rsidRPr="00077C1B">
        <w:rPr>
          <w:sz w:val="26"/>
          <w:szCs w:val="26"/>
        </w:rPr>
        <w:t>letter – Petition</w:t>
      </w:r>
      <w:r w:rsidRPr="00077C1B">
        <w:rPr>
          <w:sz w:val="26"/>
          <w:szCs w:val="26"/>
        </w:rPr>
        <w:t xml:space="preserve"> for Rescission (Petition)</w:t>
      </w:r>
      <w:r w:rsidR="005848C6" w:rsidRPr="00077C1B">
        <w:rPr>
          <w:rStyle w:val="FootnoteReference"/>
          <w:sz w:val="26"/>
          <w:szCs w:val="26"/>
        </w:rPr>
        <w:footnoteReference w:id="2"/>
      </w:r>
      <w:r w:rsidRPr="00077C1B">
        <w:rPr>
          <w:sz w:val="26"/>
          <w:szCs w:val="26"/>
        </w:rPr>
        <w:t xml:space="preserve"> of </w:t>
      </w:r>
      <w:r w:rsidR="003A0E15" w:rsidRPr="00077C1B">
        <w:rPr>
          <w:sz w:val="26"/>
          <w:szCs w:val="26"/>
        </w:rPr>
        <w:t xml:space="preserve">Althea </w:t>
      </w:r>
      <w:r w:rsidR="003A0E15" w:rsidRPr="00077C1B">
        <w:rPr>
          <w:sz w:val="26"/>
          <w:szCs w:val="26"/>
        </w:rPr>
        <w:lastRenderedPageBreak/>
        <w:t xml:space="preserve">Poe-Henderson </w:t>
      </w:r>
      <w:r w:rsidRPr="00077C1B">
        <w:rPr>
          <w:sz w:val="26"/>
          <w:szCs w:val="26"/>
        </w:rPr>
        <w:t>(</w:t>
      </w:r>
      <w:r w:rsidRPr="00077C1B">
        <w:rPr>
          <w:color w:val="000000"/>
          <w:sz w:val="26"/>
          <w:szCs w:val="26"/>
        </w:rPr>
        <w:t xml:space="preserve">Ms. </w:t>
      </w:r>
      <w:r w:rsidR="003A0E15" w:rsidRPr="00077C1B">
        <w:rPr>
          <w:color w:val="000000"/>
          <w:sz w:val="26"/>
          <w:szCs w:val="26"/>
        </w:rPr>
        <w:t xml:space="preserve">Poe-Henderson </w:t>
      </w:r>
      <w:r w:rsidRPr="00077C1B">
        <w:rPr>
          <w:color w:val="000000"/>
          <w:sz w:val="26"/>
          <w:szCs w:val="26"/>
        </w:rPr>
        <w:t xml:space="preserve">or Petitioner) filed on </w:t>
      </w:r>
      <w:r w:rsidR="003A0E15" w:rsidRPr="00077C1B">
        <w:rPr>
          <w:color w:val="000000"/>
          <w:sz w:val="26"/>
          <w:szCs w:val="26"/>
        </w:rPr>
        <w:t xml:space="preserve">January 10, 2020, </w:t>
      </w:r>
      <w:r w:rsidR="00FD79C8" w:rsidRPr="00077C1B">
        <w:rPr>
          <w:color w:val="000000"/>
          <w:sz w:val="26"/>
          <w:szCs w:val="26"/>
        </w:rPr>
        <w:t xml:space="preserve">at the above-captioned docket, </w:t>
      </w:r>
      <w:r w:rsidRPr="00077C1B">
        <w:rPr>
          <w:color w:val="000000"/>
          <w:sz w:val="26"/>
          <w:szCs w:val="26"/>
        </w:rPr>
        <w:t xml:space="preserve">seeking rescission of the Final Order of the Commission entered </w:t>
      </w:r>
      <w:r w:rsidR="00FD79C8" w:rsidRPr="00077C1B">
        <w:rPr>
          <w:color w:val="000000"/>
          <w:sz w:val="26"/>
          <w:szCs w:val="26"/>
        </w:rPr>
        <w:t xml:space="preserve">in this proceeding </w:t>
      </w:r>
      <w:r w:rsidRPr="00077C1B">
        <w:rPr>
          <w:color w:val="000000"/>
          <w:sz w:val="26"/>
          <w:szCs w:val="26"/>
        </w:rPr>
        <w:t xml:space="preserve">on </w:t>
      </w:r>
      <w:r w:rsidR="003A0E15" w:rsidRPr="00077C1B">
        <w:rPr>
          <w:sz w:val="26"/>
          <w:szCs w:val="26"/>
        </w:rPr>
        <w:t>December 13, 2019</w:t>
      </w:r>
      <w:r w:rsidRPr="00077C1B">
        <w:rPr>
          <w:color w:val="000000"/>
          <w:sz w:val="26"/>
          <w:szCs w:val="26"/>
        </w:rPr>
        <w:t xml:space="preserve"> </w:t>
      </w:r>
      <w:r w:rsidRPr="00077C1B">
        <w:rPr>
          <w:i/>
          <w:iCs/>
          <w:color w:val="000000"/>
          <w:sz w:val="26"/>
          <w:szCs w:val="26"/>
        </w:rPr>
        <w:t>(</w:t>
      </w:r>
      <w:r w:rsidR="003A0E15" w:rsidRPr="00077C1B">
        <w:rPr>
          <w:i/>
          <w:iCs/>
          <w:sz w:val="26"/>
          <w:szCs w:val="26"/>
        </w:rPr>
        <w:t>December 2019</w:t>
      </w:r>
      <w:r w:rsidRPr="00077C1B">
        <w:rPr>
          <w:i/>
          <w:iCs/>
          <w:color w:val="000000"/>
          <w:sz w:val="26"/>
          <w:szCs w:val="26"/>
        </w:rPr>
        <w:t xml:space="preserve"> Final Order)</w:t>
      </w:r>
      <w:r w:rsidRPr="00077C1B">
        <w:rPr>
          <w:color w:val="000000"/>
          <w:sz w:val="26"/>
          <w:szCs w:val="26"/>
        </w:rPr>
        <w:t>.</w:t>
      </w:r>
      <w:r w:rsidR="003B350E" w:rsidRPr="00077C1B">
        <w:rPr>
          <w:rStyle w:val="FootnoteReference"/>
          <w:color w:val="000000"/>
          <w:sz w:val="26"/>
          <w:szCs w:val="26"/>
        </w:rPr>
        <w:footnoteReference w:id="3"/>
      </w:r>
      <w:r w:rsidR="003A0E15" w:rsidRPr="00077C1B">
        <w:rPr>
          <w:color w:val="000000"/>
          <w:sz w:val="26"/>
          <w:szCs w:val="26"/>
        </w:rPr>
        <w:t xml:space="preserve"> </w:t>
      </w:r>
      <w:r w:rsidRPr="00077C1B">
        <w:rPr>
          <w:color w:val="000000"/>
          <w:sz w:val="26"/>
          <w:szCs w:val="26"/>
        </w:rPr>
        <w:t xml:space="preserve"> </w:t>
      </w:r>
      <w:r w:rsidRPr="00077C1B">
        <w:rPr>
          <w:sz w:val="26"/>
          <w:szCs w:val="26"/>
        </w:rPr>
        <w:t>For the reasons discussed below, we shall deny the Petition.</w:t>
      </w:r>
    </w:p>
    <w:p w14:paraId="19D0EC5D" w14:textId="77777777" w:rsidR="003A0E15" w:rsidRPr="00077C1B" w:rsidRDefault="003A0E15" w:rsidP="00077C1B">
      <w:pPr>
        <w:widowControl/>
        <w:spacing w:line="360" w:lineRule="auto"/>
        <w:ind w:firstLine="1440"/>
        <w:rPr>
          <w:sz w:val="26"/>
          <w:szCs w:val="26"/>
        </w:rPr>
      </w:pPr>
    </w:p>
    <w:p w14:paraId="31D5A1A0" w14:textId="25EAA7CA" w:rsidR="001F0176" w:rsidRPr="00077C1B" w:rsidRDefault="001F0176" w:rsidP="00077C1B">
      <w:pPr>
        <w:pStyle w:val="ListParagraph"/>
        <w:keepNext/>
        <w:keepLines/>
        <w:widowControl/>
        <w:numPr>
          <w:ilvl w:val="0"/>
          <w:numId w:val="6"/>
        </w:numPr>
        <w:spacing w:line="360" w:lineRule="auto"/>
        <w:ind w:left="0" w:firstLine="0"/>
        <w:jc w:val="center"/>
        <w:outlineLvl w:val="0"/>
        <w:rPr>
          <w:b/>
          <w:sz w:val="26"/>
          <w:szCs w:val="26"/>
        </w:rPr>
      </w:pPr>
      <w:bookmarkStart w:id="0" w:name="_Toc42780240"/>
      <w:r w:rsidRPr="00077C1B">
        <w:rPr>
          <w:b/>
          <w:sz w:val="26"/>
          <w:szCs w:val="26"/>
        </w:rPr>
        <w:t>History of the Proceeding</w:t>
      </w:r>
      <w:bookmarkEnd w:id="0"/>
    </w:p>
    <w:p w14:paraId="6BA6334A" w14:textId="77777777" w:rsidR="002B2C4A" w:rsidRPr="00077C1B" w:rsidRDefault="002B2C4A" w:rsidP="00077C1B">
      <w:pPr>
        <w:keepNext/>
        <w:keepLines/>
        <w:widowControl/>
        <w:autoSpaceDE w:val="0"/>
        <w:autoSpaceDN w:val="0"/>
        <w:adjustRightInd w:val="0"/>
        <w:spacing w:line="360" w:lineRule="auto"/>
        <w:rPr>
          <w:rFonts w:eastAsiaTheme="minorHAnsi"/>
          <w:color w:val="000000"/>
          <w:sz w:val="26"/>
          <w:szCs w:val="26"/>
        </w:rPr>
      </w:pPr>
    </w:p>
    <w:p w14:paraId="620A989D" w14:textId="43DEF3DB" w:rsidR="00F91FC0" w:rsidRPr="00077C1B" w:rsidRDefault="002B2C4A" w:rsidP="00077C1B">
      <w:pPr>
        <w:widowControl/>
        <w:spacing w:line="360" w:lineRule="auto"/>
        <w:ind w:firstLine="1440"/>
        <w:rPr>
          <w:rFonts w:eastAsiaTheme="minorHAnsi"/>
          <w:color w:val="000000"/>
          <w:sz w:val="26"/>
          <w:szCs w:val="26"/>
        </w:rPr>
      </w:pPr>
      <w:r w:rsidRPr="00077C1B">
        <w:rPr>
          <w:rFonts w:eastAsiaTheme="minorHAnsi"/>
          <w:color w:val="000000"/>
          <w:sz w:val="26"/>
          <w:szCs w:val="26"/>
        </w:rPr>
        <w:t xml:space="preserve">On </w:t>
      </w:r>
      <w:r w:rsidR="00D238C2" w:rsidRPr="00077C1B">
        <w:rPr>
          <w:rFonts w:eastAsiaTheme="minorHAnsi"/>
          <w:color w:val="000000"/>
          <w:sz w:val="26"/>
          <w:szCs w:val="26"/>
        </w:rPr>
        <w:t xml:space="preserve">May 30, 2019, </w:t>
      </w:r>
      <w:r w:rsidR="006126D4" w:rsidRPr="00077C1B">
        <w:rPr>
          <w:rFonts w:eastAsiaTheme="minorHAnsi"/>
          <w:color w:val="000000"/>
          <w:sz w:val="26"/>
          <w:szCs w:val="26"/>
        </w:rPr>
        <w:t xml:space="preserve">the </w:t>
      </w:r>
      <w:r w:rsidR="00D238C2" w:rsidRPr="00077C1B">
        <w:rPr>
          <w:rFonts w:eastAsiaTheme="minorHAnsi"/>
          <w:color w:val="000000"/>
          <w:sz w:val="26"/>
          <w:szCs w:val="26"/>
        </w:rPr>
        <w:t xml:space="preserve">Petitioner </w:t>
      </w:r>
      <w:r w:rsidRPr="00077C1B">
        <w:rPr>
          <w:rFonts w:eastAsiaTheme="minorHAnsi"/>
          <w:color w:val="000000"/>
          <w:sz w:val="26"/>
          <w:szCs w:val="26"/>
        </w:rPr>
        <w:t xml:space="preserve">filed </w:t>
      </w:r>
      <w:r w:rsidR="00D238C2" w:rsidRPr="00077C1B">
        <w:rPr>
          <w:rFonts w:eastAsiaTheme="minorHAnsi"/>
          <w:color w:val="000000"/>
          <w:sz w:val="26"/>
          <w:szCs w:val="26"/>
        </w:rPr>
        <w:t xml:space="preserve">a </w:t>
      </w:r>
      <w:r w:rsidR="00F10F07" w:rsidRPr="00077C1B">
        <w:rPr>
          <w:rFonts w:eastAsiaTheme="minorHAnsi"/>
          <w:color w:val="000000"/>
          <w:sz w:val="26"/>
          <w:szCs w:val="26"/>
        </w:rPr>
        <w:t xml:space="preserve">Formal Complaint (Complaint) </w:t>
      </w:r>
      <w:r w:rsidRPr="00077C1B">
        <w:rPr>
          <w:rFonts w:eastAsiaTheme="minorHAnsi"/>
          <w:color w:val="000000"/>
          <w:sz w:val="26"/>
          <w:szCs w:val="26"/>
        </w:rPr>
        <w:t xml:space="preserve">with the </w:t>
      </w:r>
      <w:r w:rsidR="0066095F" w:rsidRPr="00077C1B">
        <w:rPr>
          <w:rFonts w:eastAsiaTheme="minorHAnsi"/>
          <w:color w:val="000000"/>
          <w:sz w:val="26"/>
          <w:szCs w:val="26"/>
        </w:rPr>
        <w:t>Commission</w:t>
      </w:r>
      <w:r w:rsidR="00F10F07" w:rsidRPr="00077C1B">
        <w:rPr>
          <w:rFonts w:eastAsiaTheme="minorHAnsi"/>
          <w:color w:val="000000"/>
          <w:sz w:val="26"/>
          <w:szCs w:val="26"/>
        </w:rPr>
        <w:t xml:space="preserve"> against Philadelphia </w:t>
      </w:r>
      <w:r w:rsidR="00E801B3" w:rsidRPr="00077C1B">
        <w:rPr>
          <w:rFonts w:eastAsiaTheme="minorHAnsi"/>
          <w:color w:val="000000"/>
          <w:sz w:val="26"/>
          <w:szCs w:val="26"/>
        </w:rPr>
        <w:t>G</w:t>
      </w:r>
      <w:r w:rsidR="00F10F07" w:rsidRPr="00077C1B">
        <w:rPr>
          <w:rFonts w:eastAsiaTheme="minorHAnsi"/>
          <w:color w:val="000000"/>
          <w:sz w:val="26"/>
          <w:szCs w:val="26"/>
        </w:rPr>
        <w:t xml:space="preserve">as Works (PGW or </w:t>
      </w:r>
      <w:r w:rsidR="003566CC" w:rsidRPr="00077C1B">
        <w:rPr>
          <w:rFonts w:eastAsiaTheme="minorHAnsi"/>
          <w:color w:val="000000"/>
          <w:sz w:val="26"/>
          <w:szCs w:val="26"/>
        </w:rPr>
        <w:t>Respondent</w:t>
      </w:r>
      <w:r w:rsidR="00F10F07" w:rsidRPr="00077C1B">
        <w:rPr>
          <w:rFonts w:eastAsiaTheme="minorHAnsi"/>
          <w:color w:val="000000"/>
          <w:sz w:val="26"/>
          <w:szCs w:val="26"/>
        </w:rPr>
        <w:t>)</w:t>
      </w:r>
      <w:r w:rsidR="0066095F" w:rsidRPr="00077C1B">
        <w:rPr>
          <w:rFonts w:eastAsiaTheme="minorHAnsi"/>
          <w:color w:val="000000"/>
          <w:sz w:val="26"/>
          <w:szCs w:val="26"/>
        </w:rPr>
        <w:t xml:space="preserve">, </w:t>
      </w:r>
      <w:r w:rsidR="007E094B" w:rsidRPr="00077C1B">
        <w:rPr>
          <w:rFonts w:eastAsiaTheme="minorHAnsi"/>
          <w:color w:val="000000"/>
          <w:sz w:val="26"/>
          <w:szCs w:val="26"/>
        </w:rPr>
        <w:t xml:space="preserve">wherein </w:t>
      </w:r>
      <w:r w:rsidR="00D238C2" w:rsidRPr="00077C1B">
        <w:rPr>
          <w:rFonts w:eastAsiaTheme="minorHAnsi"/>
          <w:color w:val="000000"/>
          <w:sz w:val="26"/>
          <w:szCs w:val="26"/>
        </w:rPr>
        <w:t>she alleged</w:t>
      </w:r>
      <w:r w:rsidR="00F10F07" w:rsidRPr="00077C1B">
        <w:rPr>
          <w:rFonts w:eastAsiaTheme="minorHAnsi"/>
          <w:color w:val="000000"/>
          <w:sz w:val="26"/>
          <w:szCs w:val="26"/>
        </w:rPr>
        <w:t xml:space="preserve"> </w:t>
      </w:r>
      <w:r w:rsidR="00F10F07" w:rsidRPr="00077C1B">
        <w:rPr>
          <w:color w:val="000000"/>
          <w:sz w:val="26"/>
          <w:szCs w:val="26"/>
        </w:rPr>
        <w:t xml:space="preserve">that the utility </w:t>
      </w:r>
      <w:r w:rsidR="00FD79C8" w:rsidRPr="00077C1B">
        <w:rPr>
          <w:color w:val="000000"/>
          <w:sz w:val="26"/>
          <w:szCs w:val="26"/>
        </w:rPr>
        <w:t>was</w:t>
      </w:r>
      <w:r w:rsidR="00F10F07" w:rsidRPr="00077C1B">
        <w:rPr>
          <w:color w:val="000000"/>
          <w:sz w:val="26"/>
          <w:szCs w:val="26"/>
        </w:rPr>
        <w:t xml:space="preserve"> threatening to shut off her gas service, that there </w:t>
      </w:r>
      <w:r w:rsidR="00FD79C8" w:rsidRPr="00077C1B">
        <w:rPr>
          <w:color w:val="000000"/>
          <w:sz w:val="26"/>
          <w:szCs w:val="26"/>
        </w:rPr>
        <w:t>were</w:t>
      </w:r>
      <w:r w:rsidR="00F10F07" w:rsidRPr="00077C1B">
        <w:rPr>
          <w:color w:val="000000"/>
          <w:sz w:val="26"/>
          <w:szCs w:val="26"/>
        </w:rPr>
        <w:t xml:space="preserve"> incorrect charges on her gas bills from PGW, and that she </w:t>
      </w:r>
      <w:r w:rsidR="00FD79C8" w:rsidRPr="00077C1B">
        <w:rPr>
          <w:color w:val="000000"/>
          <w:sz w:val="26"/>
          <w:szCs w:val="26"/>
        </w:rPr>
        <w:t>experienced</w:t>
      </w:r>
      <w:r w:rsidR="00F10F07" w:rsidRPr="00077C1B">
        <w:rPr>
          <w:color w:val="000000"/>
          <w:sz w:val="26"/>
          <w:szCs w:val="26"/>
        </w:rPr>
        <w:t xml:space="preserve"> </w:t>
      </w:r>
      <w:r w:rsidR="00FD79C8" w:rsidRPr="00077C1B">
        <w:rPr>
          <w:color w:val="000000"/>
          <w:sz w:val="26"/>
          <w:szCs w:val="26"/>
        </w:rPr>
        <w:t xml:space="preserve">a </w:t>
      </w:r>
      <w:r w:rsidR="00F10F07" w:rsidRPr="00077C1B">
        <w:rPr>
          <w:color w:val="000000"/>
          <w:sz w:val="26"/>
          <w:szCs w:val="26"/>
        </w:rPr>
        <w:t>reliability, safety or quality problem with her gas service.  As relief, Ms. Poe-Henderson request</w:t>
      </w:r>
      <w:r w:rsidR="00FD79C8" w:rsidRPr="00077C1B">
        <w:rPr>
          <w:color w:val="000000"/>
          <w:sz w:val="26"/>
          <w:szCs w:val="26"/>
        </w:rPr>
        <w:t>ed</w:t>
      </w:r>
      <w:r w:rsidR="00F10F07" w:rsidRPr="00077C1B">
        <w:rPr>
          <w:color w:val="000000"/>
          <w:sz w:val="26"/>
          <w:szCs w:val="26"/>
        </w:rPr>
        <w:t xml:space="preserve"> monetary damages for a life-threatening experience related to a gas leak.</w:t>
      </w:r>
      <w:r w:rsidR="007E32DB" w:rsidRPr="00077C1B">
        <w:rPr>
          <w:rStyle w:val="FootnoteReference"/>
          <w:color w:val="000000"/>
          <w:sz w:val="26"/>
          <w:szCs w:val="26"/>
        </w:rPr>
        <w:footnoteReference w:id="4"/>
      </w:r>
      <w:r w:rsidR="00F10F07" w:rsidRPr="00077C1B">
        <w:rPr>
          <w:color w:val="000000"/>
          <w:sz w:val="26"/>
          <w:szCs w:val="26"/>
        </w:rPr>
        <w:t xml:space="preserve">  </w:t>
      </w:r>
      <w:r w:rsidR="00F465BA" w:rsidRPr="00077C1B">
        <w:rPr>
          <w:rFonts w:eastAsiaTheme="minorHAnsi"/>
          <w:color w:val="000000"/>
          <w:sz w:val="26"/>
          <w:szCs w:val="26"/>
        </w:rPr>
        <w:t xml:space="preserve">I.D. at </w:t>
      </w:r>
      <w:r w:rsidR="002B2372" w:rsidRPr="00077C1B">
        <w:rPr>
          <w:rFonts w:eastAsiaTheme="minorHAnsi"/>
          <w:color w:val="000000"/>
          <w:sz w:val="26"/>
          <w:szCs w:val="26"/>
        </w:rPr>
        <w:t>3</w:t>
      </w:r>
      <w:r w:rsidR="00F465BA" w:rsidRPr="00077C1B">
        <w:rPr>
          <w:rFonts w:eastAsiaTheme="minorHAnsi"/>
          <w:color w:val="000000"/>
          <w:sz w:val="26"/>
          <w:szCs w:val="26"/>
        </w:rPr>
        <w:t xml:space="preserve">; Complaint at </w:t>
      </w:r>
      <w:r w:rsidR="00F10F07" w:rsidRPr="00077C1B">
        <w:rPr>
          <w:rFonts w:eastAsiaTheme="minorHAnsi"/>
          <w:color w:val="000000"/>
          <w:sz w:val="26"/>
          <w:szCs w:val="26"/>
        </w:rPr>
        <w:t>2-</w:t>
      </w:r>
      <w:r w:rsidR="009834BD" w:rsidRPr="00077C1B">
        <w:rPr>
          <w:rFonts w:eastAsiaTheme="minorHAnsi"/>
          <w:color w:val="000000"/>
          <w:sz w:val="26"/>
          <w:szCs w:val="26"/>
        </w:rPr>
        <w:t>3</w:t>
      </w:r>
      <w:r w:rsidR="00F465BA" w:rsidRPr="00077C1B">
        <w:rPr>
          <w:rFonts w:eastAsiaTheme="minorHAnsi"/>
          <w:color w:val="000000"/>
          <w:sz w:val="26"/>
          <w:szCs w:val="26"/>
        </w:rPr>
        <w:t>.</w:t>
      </w:r>
    </w:p>
    <w:p w14:paraId="4B8DAD41" w14:textId="77777777" w:rsidR="00F91FC0" w:rsidRPr="00077C1B" w:rsidRDefault="00F91FC0" w:rsidP="00077C1B">
      <w:pPr>
        <w:widowControl/>
        <w:autoSpaceDE w:val="0"/>
        <w:autoSpaceDN w:val="0"/>
        <w:adjustRightInd w:val="0"/>
        <w:spacing w:line="360" w:lineRule="auto"/>
        <w:ind w:firstLine="1440"/>
        <w:rPr>
          <w:rFonts w:eastAsiaTheme="minorHAnsi"/>
          <w:color w:val="000000"/>
          <w:sz w:val="26"/>
          <w:szCs w:val="26"/>
        </w:rPr>
      </w:pPr>
    </w:p>
    <w:p w14:paraId="153C77E0" w14:textId="2D6CED0A" w:rsidR="00F91FC0" w:rsidRPr="00077C1B" w:rsidRDefault="00180FE2" w:rsidP="00077C1B">
      <w:pPr>
        <w:widowControl/>
        <w:spacing w:line="360" w:lineRule="auto"/>
        <w:ind w:firstLine="1440"/>
        <w:rPr>
          <w:sz w:val="26"/>
          <w:szCs w:val="26"/>
        </w:rPr>
      </w:pPr>
      <w:r w:rsidRPr="00077C1B">
        <w:rPr>
          <w:rFonts w:eastAsiaTheme="minorHAnsi"/>
          <w:color w:val="000000"/>
          <w:sz w:val="26"/>
          <w:szCs w:val="26"/>
        </w:rPr>
        <w:t xml:space="preserve">On </w:t>
      </w:r>
      <w:r w:rsidR="00D238C2" w:rsidRPr="00077C1B">
        <w:rPr>
          <w:rFonts w:eastAsiaTheme="minorHAnsi"/>
          <w:color w:val="000000"/>
          <w:sz w:val="26"/>
          <w:szCs w:val="26"/>
        </w:rPr>
        <w:t>June 19, 2019</w:t>
      </w:r>
      <w:r w:rsidR="00EB1BC8" w:rsidRPr="00077C1B">
        <w:rPr>
          <w:rFonts w:eastAsiaTheme="minorHAnsi"/>
          <w:color w:val="000000"/>
          <w:sz w:val="26"/>
          <w:szCs w:val="26"/>
        </w:rPr>
        <w:t xml:space="preserve">, </w:t>
      </w:r>
      <w:r w:rsidR="00D238C2" w:rsidRPr="00077C1B">
        <w:rPr>
          <w:rFonts w:eastAsiaTheme="minorHAnsi"/>
          <w:color w:val="000000"/>
          <w:sz w:val="26"/>
          <w:szCs w:val="26"/>
        </w:rPr>
        <w:t xml:space="preserve">PGW </w:t>
      </w:r>
      <w:r w:rsidR="0066095F" w:rsidRPr="00077C1B">
        <w:rPr>
          <w:rFonts w:eastAsiaTheme="minorHAnsi"/>
          <w:color w:val="000000"/>
          <w:sz w:val="26"/>
          <w:szCs w:val="26"/>
        </w:rPr>
        <w:t>filed an Answer</w:t>
      </w:r>
      <w:r w:rsidR="00D92D3E" w:rsidRPr="00077C1B">
        <w:rPr>
          <w:rFonts w:eastAsiaTheme="minorHAnsi"/>
          <w:color w:val="000000"/>
          <w:sz w:val="26"/>
          <w:szCs w:val="26"/>
        </w:rPr>
        <w:t xml:space="preserve"> and New Matter</w:t>
      </w:r>
      <w:r w:rsidR="0028730C" w:rsidRPr="00077C1B">
        <w:rPr>
          <w:rFonts w:eastAsiaTheme="minorHAnsi"/>
          <w:color w:val="000000"/>
          <w:sz w:val="26"/>
          <w:szCs w:val="26"/>
        </w:rPr>
        <w:t xml:space="preserve"> (Answer)</w:t>
      </w:r>
      <w:r w:rsidRPr="00077C1B">
        <w:rPr>
          <w:rFonts w:eastAsiaTheme="minorHAnsi"/>
          <w:color w:val="000000"/>
          <w:sz w:val="26"/>
          <w:szCs w:val="26"/>
        </w:rPr>
        <w:t xml:space="preserve">, </w:t>
      </w:r>
      <w:r w:rsidR="0066095F" w:rsidRPr="00077C1B">
        <w:rPr>
          <w:rFonts w:eastAsiaTheme="minorHAnsi"/>
          <w:color w:val="000000"/>
          <w:sz w:val="26"/>
          <w:szCs w:val="26"/>
        </w:rPr>
        <w:t xml:space="preserve">denying </w:t>
      </w:r>
      <w:r w:rsidR="00F91FC0" w:rsidRPr="00077C1B">
        <w:rPr>
          <w:rFonts w:eastAsiaTheme="minorHAnsi"/>
          <w:color w:val="000000"/>
          <w:sz w:val="26"/>
          <w:szCs w:val="26"/>
        </w:rPr>
        <w:t>the mater</w:t>
      </w:r>
      <w:r w:rsidR="0066095F" w:rsidRPr="00077C1B">
        <w:rPr>
          <w:rFonts w:eastAsiaTheme="minorHAnsi"/>
          <w:color w:val="000000"/>
          <w:sz w:val="26"/>
          <w:szCs w:val="26"/>
        </w:rPr>
        <w:t>ial averments set forth in the C</w:t>
      </w:r>
      <w:r w:rsidR="00F91FC0" w:rsidRPr="00077C1B">
        <w:rPr>
          <w:rFonts w:eastAsiaTheme="minorHAnsi"/>
          <w:color w:val="000000"/>
          <w:sz w:val="26"/>
          <w:szCs w:val="26"/>
        </w:rPr>
        <w:t xml:space="preserve">omplaint. </w:t>
      </w:r>
      <w:r w:rsidR="00F465BA" w:rsidRPr="00077C1B">
        <w:rPr>
          <w:rFonts w:eastAsiaTheme="minorHAnsi"/>
          <w:i/>
          <w:color w:val="000000"/>
          <w:sz w:val="26"/>
          <w:szCs w:val="26"/>
        </w:rPr>
        <w:t xml:space="preserve"> </w:t>
      </w:r>
      <w:r w:rsidR="00F465BA" w:rsidRPr="00077C1B">
        <w:rPr>
          <w:rFonts w:eastAsiaTheme="minorHAnsi"/>
          <w:color w:val="000000"/>
          <w:sz w:val="26"/>
          <w:szCs w:val="26"/>
        </w:rPr>
        <w:t xml:space="preserve">I.D. at </w:t>
      </w:r>
      <w:r w:rsidR="002B2372" w:rsidRPr="00077C1B">
        <w:rPr>
          <w:rFonts w:eastAsiaTheme="minorHAnsi"/>
          <w:color w:val="000000"/>
          <w:sz w:val="26"/>
          <w:szCs w:val="26"/>
        </w:rPr>
        <w:t>3</w:t>
      </w:r>
      <w:r w:rsidR="00F465BA" w:rsidRPr="00077C1B">
        <w:rPr>
          <w:rFonts w:eastAsiaTheme="minorHAnsi"/>
          <w:color w:val="000000"/>
          <w:sz w:val="26"/>
          <w:szCs w:val="26"/>
        </w:rPr>
        <w:t xml:space="preserve">; </w:t>
      </w:r>
      <w:r w:rsidR="00F465BA" w:rsidRPr="00077C1B">
        <w:rPr>
          <w:rFonts w:eastAsiaTheme="minorHAnsi"/>
          <w:i/>
          <w:color w:val="000000"/>
          <w:sz w:val="26"/>
          <w:szCs w:val="26"/>
        </w:rPr>
        <w:t xml:space="preserve">see generally </w:t>
      </w:r>
      <w:r w:rsidR="00F465BA" w:rsidRPr="00077C1B">
        <w:rPr>
          <w:rFonts w:eastAsiaTheme="minorHAnsi"/>
          <w:color w:val="000000"/>
          <w:sz w:val="26"/>
          <w:szCs w:val="26"/>
        </w:rPr>
        <w:t>Answer.</w:t>
      </w:r>
    </w:p>
    <w:p w14:paraId="6BE5FE5D" w14:textId="3F32839D" w:rsidR="007E32DB" w:rsidRPr="00077C1B" w:rsidRDefault="007E32DB" w:rsidP="00077C1B">
      <w:pPr>
        <w:widowControl/>
        <w:autoSpaceDE w:val="0"/>
        <w:autoSpaceDN w:val="0"/>
        <w:adjustRightInd w:val="0"/>
        <w:spacing w:line="360" w:lineRule="auto"/>
        <w:ind w:firstLine="1440"/>
        <w:rPr>
          <w:rFonts w:eastAsiaTheme="minorHAnsi"/>
          <w:color w:val="000000"/>
          <w:sz w:val="26"/>
          <w:szCs w:val="26"/>
        </w:rPr>
      </w:pPr>
    </w:p>
    <w:p w14:paraId="1BC5C12A" w14:textId="2C311BD9" w:rsidR="007E32DB" w:rsidRDefault="007E32DB" w:rsidP="00077C1B">
      <w:pPr>
        <w:widowControl/>
        <w:spacing w:line="360" w:lineRule="auto"/>
        <w:ind w:firstLine="1440"/>
        <w:rPr>
          <w:rFonts w:eastAsiaTheme="minorHAnsi"/>
          <w:color w:val="000000"/>
          <w:sz w:val="26"/>
          <w:szCs w:val="26"/>
        </w:rPr>
      </w:pPr>
      <w:r w:rsidRPr="00077C1B">
        <w:rPr>
          <w:color w:val="000000"/>
          <w:sz w:val="26"/>
          <w:szCs w:val="26"/>
        </w:rPr>
        <w:t xml:space="preserve">A Hearing Notice dated July 8, 2019, notified the </w:t>
      </w:r>
      <w:r w:rsidR="006D745F" w:rsidRPr="00077C1B">
        <w:rPr>
          <w:color w:val="000000"/>
          <w:sz w:val="26"/>
          <w:szCs w:val="26"/>
        </w:rPr>
        <w:t>P</w:t>
      </w:r>
      <w:r w:rsidRPr="00077C1B">
        <w:rPr>
          <w:color w:val="000000"/>
          <w:sz w:val="26"/>
          <w:szCs w:val="26"/>
        </w:rPr>
        <w:t xml:space="preserve">arties that an initial </w:t>
      </w:r>
      <w:r w:rsidR="00445B90" w:rsidRPr="00077C1B">
        <w:rPr>
          <w:color w:val="000000"/>
          <w:sz w:val="26"/>
          <w:szCs w:val="26"/>
        </w:rPr>
        <w:t>in</w:t>
      </w:r>
      <w:r w:rsidR="001777B9" w:rsidRPr="00077C1B">
        <w:rPr>
          <w:color w:val="000000"/>
          <w:sz w:val="26"/>
          <w:szCs w:val="26"/>
        </w:rPr>
        <w:noBreakHyphen/>
      </w:r>
      <w:r w:rsidR="00445B90" w:rsidRPr="00077C1B">
        <w:rPr>
          <w:color w:val="000000"/>
          <w:sz w:val="26"/>
          <w:szCs w:val="26"/>
        </w:rPr>
        <w:t xml:space="preserve">person </w:t>
      </w:r>
      <w:r w:rsidRPr="00077C1B">
        <w:rPr>
          <w:color w:val="000000"/>
          <w:sz w:val="26"/>
          <w:szCs w:val="26"/>
        </w:rPr>
        <w:t xml:space="preserve">hearing was scheduled in this matter for August 7, 2019, at 10:00 a.m. </w:t>
      </w:r>
      <w:r w:rsidR="002B2372" w:rsidRPr="00077C1B">
        <w:rPr>
          <w:color w:val="000000"/>
          <w:sz w:val="26"/>
          <w:szCs w:val="26"/>
        </w:rPr>
        <w:t xml:space="preserve"> </w:t>
      </w:r>
      <w:r w:rsidR="003F10BC" w:rsidRPr="00077C1B">
        <w:rPr>
          <w:rFonts w:eastAsiaTheme="minorHAnsi"/>
          <w:color w:val="000000"/>
          <w:sz w:val="26"/>
          <w:szCs w:val="26"/>
        </w:rPr>
        <w:t>T</w:t>
      </w:r>
      <w:r w:rsidR="00F91FC0" w:rsidRPr="00077C1B">
        <w:rPr>
          <w:rFonts w:eastAsiaTheme="minorHAnsi"/>
          <w:color w:val="000000"/>
          <w:sz w:val="26"/>
          <w:szCs w:val="26"/>
        </w:rPr>
        <w:t xml:space="preserve">he </w:t>
      </w:r>
      <w:r w:rsidR="003F10BC" w:rsidRPr="00077C1B">
        <w:rPr>
          <w:rFonts w:eastAsiaTheme="minorHAnsi"/>
          <w:color w:val="000000"/>
          <w:sz w:val="26"/>
          <w:szCs w:val="26"/>
        </w:rPr>
        <w:t>Hearing Notice also</w:t>
      </w:r>
      <w:r w:rsidR="00FD79C8" w:rsidRPr="00077C1B">
        <w:rPr>
          <w:rFonts w:eastAsiaTheme="minorHAnsi"/>
          <w:color w:val="000000"/>
          <w:sz w:val="26"/>
          <w:szCs w:val="26"/>
        </w:rPr>
        <w:t xml:space="preserve"> notified the </w:t>
      </w:r>
      <w:r w:rsidR="005B7E52" w:rsidRPr="00077C1B">
        <w:rPr>
          <w:rFonts w:eastAsiaTheme="minorHAnsi"/>
          <w:color w:val="000000"/>
          <w:sz w:val="26"/>
          <w:szCs w:val="26"/>
        </w:rPr>
        <w:t>P</w:t>
      </w:r>
      <w:r w:rsidRPr="00077C1B">
        <w:rPr>
          <w:rFonts w:eastAsiaTheme="minorHAnsi"/>
          <w:color w:val="000000"/>
          <w:sz w:val="26"/>
          <w:szCs w:val="26"/>
        </w:rPr>
        <w:t xml:space="preserve">arties that </w:t>
      </w:r>
      <w:r w:rsidR="00FD79C8" w:rsidRPr="00077C1B">
        <w:rPr>
          <w:rFonts w:eastAsiaTheme="minorHAnsi"/>
          <w:color w:val="000000"/>
          <w:sz w:val="26"/>
          <w:szCs w:val="26"/>
        </w:rPr>
        <w:t xml:space="preserve">an evidentiary hearing on the </w:t>
      </w:r>
      <w:r w:rsidR="00F91FC0" w:rsidRPr="00077C1B">
        <w:rPr>
          <w:rFonts w:eastAsiaTheme="minorHAnsi"/>
          <w:color w:val="000000"/>
          <w:sz w:val="26"/>
          <w:szCs w:val="26"/>
        </w:rPr>
        <w:t>Co</w:t>
      </w:r>
      <w:r w:rsidR="00FD79C8" w:rsidRPr="00077C1B">
        <w:rPr>
          <w:rFonts w:eastAsiaTheme="minorHAnsi"/>
          <w:color w:val="000000"/>
          <w:sz w:val="26"/>
          <w:szCs w:val="26"/>
        </w:rPr>
        <w:t xml:space="preserve">mplaint was </w:t>
      </w:r>
      <w:r w:rsidR="00F91FC0" w:rsidRPr="00077C1B">
        <w:rPr>
          <w:rFonts w:eastAsiaTheme="minorHAnsi"/>
          <w:color w:val="000000"/>
          <w:sz w:val="26"/>
          <w:szCs w:val="26"/>
        </w:rPr>
        <w:lastRenderedPageBreak/>
        <w:t xml:space="preserve">scheduled </w:t>
      </w:r>
      <w:r w:rsidR="00FD79C8" w:rsidRPr="00077C1B">
        <w:rPr>
          <w:rFonts w:eastAsiaTheme="minorHAnsi"/>
          <w:color w:val="000000"/>
          <w:sz w:val="26"/>
          <w:szCs w:val="26"/>
        </w:rPr>
        <w:t xml:space="preserve">as </w:t>
      </w:r>
      <w:r w:rsidR="00F91FC0" w:rsidRPr="00077C1B">
        <w:rPr>
          <w:rFonts w:eastAsiaTheme="minorHAnsi"/>
          <w:color w:val="000000"/>
          <w:sz w:val="26"/>
          <w:szCs w:val="26"/>
        </w:rPr>
        <w:t>a</w:t>
      </w:r>
      <w:r w:rsidRPr="00077C1B">
        <w:rPr>
          <w:rFonts w:eastAsiaTheme="minorHAnsi"/>
          <w:color w:val="000000"/>
          <w:sz w:val="26"/>
          <w:szCs w:val="26"/>
        </w:rPr>
        <w:t xml:space="preserve">n in-person </w:t>
      </w:r>
      <w:r w:rsidR="00E801B3" w:rsidRPr="00077C1B">
        <w:rPr>
          <w:rFonts w:eastAsiaTheme="minorHAnsi"/>
          <w:color w:val="000000"/>
          <w:sz w:val="26"/>
          <w:szCs w:val="26"/>
        </w:rPr>
        <w:t>h</w:t>
      </w:r>
      <w:r w:rsidR="00F91FC0" w:rsidRPr="00077C1B">
        <w:rPr>
          <w:rFonts w:eastAsiaTheme="minorHAnsi"/>
          <w:color w:val="000000"/>
          <w:sz w:val="26"/>
          <w:szCs w:val="26"/>
        </w:rPr>
        <w:t xml:space="preserve">earing </w:t>
      </w:r>
      <w:r w:rsidRPr="00077C1B">
        <w:rPr>
          <w:rFonts w:eastAsiaTheme="minorHAnsi"/>
          <w:color w:val="000000"/>
          <w:sz w:val="26"/>
          <w:szCs w:val="26"/>
        </w:rPr>
        <w:t xml:space="preserve">before </w:t>
      </w:r>
      <w:r w:rsidR="00C036C1" w:rsidRPr="00077C1B">
        <w:rPr>
          <w:rFonts w:eastAsiaTheme="minorHAnsi"/>
          <w:color w:val="000000"/>
          <w:sz w:val="26"/>
          <w:szCs w:val="26"/>
        </w:rPr>
        <w:t>Administrative Law Judge (</w:t>
      </w:r>
      <w:r w:rsidRPr="00077C1B">
        <w:rPr>
          <w:rFonts w:eastAsiaTheme="minorHAnsi"/>
          <w:color w:val="000000"/>
          <w:sz w:val="26"/>
          <w:szCs w:val="26"/>
        </w:rPr>
        <w:t>ALJ</w:t>
      </w:r>
      <w:r w:rsidR="00C036C1" w:rsidRPr="00077C1B">
        <w:rPr>
          <w:rFonts w:eastAsiaTheme="minorHAnsi"/>
          <w:color w:val="000000"/>
          <w:sz w:val="26"/>
          <w:szCs w:val="26"/>
        </w:rPr>
        <w:t>)</w:t>
      </w:r>
      <w:r w:rsidRPr="00077C1B">
        <w:rPr>
          <w:rFonts w:eastAsiaTheme="minorHAnsi"/>
          <w:color w:val="000000"/>
          <w:sz w:val="26"/>
          <w:szCs w:val="26"/>
        </w:rPr>
        <w:t xml:space="preserve"> </w:t>
      </w:r>
      <w:r w:rsidR="00C036C1" w:rsidRPr="00077C1B">
        <w:rPr>
          <w:rFonts w:eastAsiaTheme="minorHAnsi"/>
          <w:color w:val="000000"/>
          <w:sz w:val="26"/>
          <w:szCs w:val="26"/>
        </w:rPr>
        <w:t xml:space="preserve">Eranda </w:t>
      </w:r>
      <w:r w:rsidRPr="00077C1B">
        <w:rPr>
          <w:rFonts w:eastAsiaTheme="minorHAnsi"/>
          <w:color w:val="000000"/>
          <w:sz w:val="26"/>
          <w:szCs w:val="26"/>
        </w:rPr>
        <w:t xml:space="preserve">Vero </w:t>
      </w:r>
      <w:r w:rsidR="00F91FC0" w:rsidRPr="00077C1B">
        <w:rPr>
          <w:rFonts w:eastAsiaTheme="minorHAnsi"/>
          <w:color w:val="000000"/>
          <w:sz w:val="26"/>
          <w:szCs w:val="26"/>
        </w:rPr>
        <w:t xml:space="preserve">on </w:t>
      </w:r>
      <w:r w:rsidRPr="00077C1B">
        <w:rPr>
          <w:rFonts w:eastAsiaTheme="minorHAnsi"/>
          <w:color w:val="000000"/>
          <w:sz w:val="26"/>
          <w:szCs w:val="26"/>
        </w:rPr>
        <w:t>August 7, 2019, at 10:00 a.m.</w:t>
      </w:r>
      <w:r w:rsidR="001307EC" w:rsidRPr="00077C1B">
        <w:rPr>
          <w:rFonts w:eastAsiaTheme="minorHAnsi"/>
          <w:color w:val="000000"/>
          <w:sz w:val="26"/>
          <w:szCs w:val="26"/>
        </w:rPr>
        <w:t xml:space="preserve"> </w:t>
      </w:r>
      <w:r w:rsidR="002B2372" w:rsidRPr="00077C1B">
        <w:rPr>
          <w:rFonts w:eastAsiaTheme="minorHAnsi"/>
          <w:color w:val="000000"/>
          <w:sz w:val="26"/>
          <w:szCs w:val="26"/>
        </w:rPr>
        <w:t xml:space="preserve"> I.D. at 4.</w:t>
      </w:r>
    </w:p>
    <w:p w14:paraId="575ADD72" w14:textId="3387E735" w:rsidR="00445B90" w:rsidRPr="00077C1B" w:rsidRDefault="007E32DB" w:rsidP="00077C1B">
      <w:pPr>
        <w:widowControl/>
        <w:spacing w:line="360" w:lineRule="auto"/>
        <w:ind w:firstLine="1440"/>
        <w:rPr>
          <w:rFonts w:eastAsiaTheme="minorHAnsi"/>
          <w:color w:val="000000"/>
          <w:sz w:val="26"/>
          <w:szCs w:val="26"/>
        </w:rPr>
      </w:pPr>
      <w:r w:rsidRPr="00077C1B">
        <w:rPr>
          <w:rFonts w:eastAsiaTheme="minorHAnsi"/>
          <w:color w:val="000000"/>
          <w:sz w:val="26"/>
          <w:szCs w:val="26"/>
        </w:rPr>
        <w:t>On July 26, 20</w:t>
      </w:r>
      <w:r w:rsidR="00445B90" w:rsidRPr="00077C1B">
        <w:rPr>
          <w:rFonts w:eastAsiaTheme="minorHAnsi"/>
          <w:color w:val="000000"/>
          <w:sz w:val="26"/>
          <w:szCs w:val="26"/>
        </w:rPr>
        <w:t>1</w:t>
      </w:r>
      <w:r w:rsidRPr="00077C1B">
        <w:rPr>
          <w:rFonts w:eastAsiaTheme="minorHAnsi"/>
          <w:color w:val="000000"/>
          <w:sz w:val="26"/>
          <w:szCs w:val="26"/>
        </w:rPr>
        <w:t xml:space="preserve">9, </w:t>
      </w:r>
      <w:r w:rsidR="001307EC" w:rsidRPr="00077C1B">
        <w:rPr>
          <w:rFonts w:eastAsiaTheme="minorHAnsi"/>
          <w:color w:val="000000"/>
          <w:sz w:val="26"/>
          <w:szCs w:val="26"/>
        </w:rPr>
        <w:t xml:space="preserve">ALJ </w:t>
      </w:r>
      <w:r w:rsidRPr="00077C1B">
        <w:rPr>
          <w:rFonts w:eastAsiaTheme="minorHAnsi"/>
          <w:color w:val="000000"/>
          <w:sz w:val="26"/>
          <w:szCs w:val="26"/>
        </w:rPr>
        <w:t xml:space="preserve">Vero </w:t>
      </w:r>
      <w:r w:rsidR="001307EC" w:rsidRPr="00077C1B">
        <w:rPr>
          <w:rFonts w:eastAsiaTheme="minorHAnsi"/>
          <w:color w:val="000000"/>
          <w:sz w:val="26"/>
          <w:szCs w:val="26"/>
        </w:rPr>
        <w:t>issued a Prehearing Order</w:t>
      </w:r>
      <w:r w:rsidR="00445B90" w:rsidRPr="00077C1B">
        <w:rPr>
          <w:rFonts w:eastAsiaTheme="minorHAnsi"/>
          <w:color w:val="000000"/>
          <w:sz w:val="26"/>
          <w:szCs w:val="26"/>
        </w:rPr>
        <w:t xml:space="preserve"> </w:t>
      </w:r>
      <w:r w:rsidR="00445B90" w:rsidRPr="00077C1B">
        <w:rPr>
          <w:color w:val="000000"/>
          <w:sz w:val="26"/>
          <w:szCs w:val="26"/>
        </w:rPr>
        <w:t xml:space="preserve">advising the </w:t>
      </w:r>
      <w:r w:rsidR="00581B3B" w:rsidRPr="00077C1B">
        <w:rPr>
          <w:color w:val="000000"/>
          <w:sz w:val="26"/>
          <w:szCs w:val="26"/>
        </w:rPr>
        <w:t>P</w:t>
      </w:r>
      <w:r w:rsidR="00445B90" w:rsidRPr="00077C1B">
        <w:rPr>
          <w:color w:val="000000"/>
          <w:sz w:val="26"/>
          <w:szCs w:val="26"/>
        </w:rPr>
        <w:t>arties of the date</w:t>
      </w:r>
      <w:r w:rsidR="001D3C34" w:rsidRPr="00077C1B">
        <w:rPr>
          <w:color w:val="000000"/>
          <w:sz w:val="26"/>
          <w:szCs w:val="26"/>
        </w:rPr>
        <w:t>,</w:t>
      </w:r>
      <w:r w:rsidR="00445B90" w:rsidRPr="00077C1B">
        <w:rPr>
          <w:color w:val="000000"/>
          <w:sz w:val="26"/>
          <w:szCs w:val="26"/>
        </w:rPr>
        <w:t xml:space="preserve">  time and location of the scheduled in-person hearing and informing them of the procedures applicable to the proceeding</w:t>
      </w:r>
      <w:r w:rsidR="00EB335F" w:rsidRPr="00077C1B">
        <w:rPr>
          <w:rFonts w:eastAsiaTheme="minorHAnsi"/>
          <w:color w:val="000000"/>
          <w:sz w:val="26"/>
          <w:szCs w:val="26"/>
        </w:rPr>
        <w:t>.</w:t>
      </w:r>
      <w:r w:rsidR="0066095F" w:rsidRPr="00077C1B">
        <w:rPr>
          <w:rFonts w:eastAsiaTheme="minorHAnsi"/>
          <w:color w:val="000000"/>
          <w:sz w:val="26"/>
          <w:szCs w:val="26"/>
        </w:rPr>
        <w:t xml:space="preserve">  </w:t>
      </w:r>
      <w:r w:rsidR="002B2372" w:rsidRPr="00077C1B">
        <w:rPr>
          <w:rFonts w:eastAsiaTheme="minorHAnsi"/>
          <w:i/>
          <w:iCs/>
          <w:color w:val="000000"/>
          <w:sz w:val="26"/>
          <w:szCs w:val="26"/>
        </w:rPr>
        <w:t>Id</w:t>
      </w:r>
      <w:r w:rsidR="002B2372" w:rsidRPr="00077C1B">
        <w:rPr>
          <w:rFonts w:eastAsiaTheme="minorHAnsi"/>
          <w:color w:val="000000"/>
          <w:sz w:val="26"/>
          <w:szCs w:val="26"/>
        </w:rPr>
        <w:t>.</w:t>
      </w:r>
      <w:r w:rsidR="001307EC" w:rsidRPr="00077C1B">
        <w:rPr>
          <w:rFonts w:eastAsiaTheme="minorHAnsi"/>
          <w:color w:val="000000"/>
          <w:sz w:val="26"/>
          <w:szCs w:val="26"/>
        </w:rPr>
        <w:t xml:space="preserve"> </w:t>
      </w:r>
    </w:p>
    <w:p w14:paraId="1D2F4386" w14:textId="77777777" w:rsidR="00445B90" w:rsidRPr="00077C1B" w:rsidRDefault="00445B90" w:rsidP="00077C1B">
      <w:pPr>
        <w:widowControl/>
        <w:spacing w:line="360" w:lineRule="auto"/>
        <w:ind w:firstLine="1440"/>
        <w:rPr>
          <w:color w:val="000000"/>
          <w:sz w:val="26"/>
          <w:szCs w:val="26"/>
        </w:rPr>
      </w:pPr>
    </w:p>
    <w:p w14:paraId="71156F20" w14:textId="393E241A" w:rsidR="00B46AD4" w:rsidRPr="00077C1B" w:rsidRDefault="001307EC" w:rsidP="00077C1B">
      <w:pPr>
        <w:keepNext/>
        <w:keepLines/>
        <w:widowControl/>
        <w:autoSpaceDE w:val="0"/>
        <w:autoSpaceDN w:val="0"/>
        <w:adjustRightInd w:val="0"/>
        <w:spacing w:line="360" w:lineRule="auto"/>
        <w:ind w:firstLine="1440"/>
        <w:rPr>
          <w:rFonts w:eastAsiaTheme="minorHAnsi"/>
          <w:color w:val="000000"/>
          <w:sz w:val="26"/>
          <w:szCs w:val="26"/>
        </w:rPr>
      </w:pPr>
      <w:r w:rsidRPr="00077C1B">
        <w:rPr>
          <w:rFonts w:eastAsiaTheme="minorHAnsi"/>
          <w:color w:val="000000"/>
          <w:sz w:val="26"/>
          <w:szCs w:val="26"/>
        </w:rPr>
        <w:t xml:space="preserve">The Prehearing Order </w:t>
      </w:r>
      <w:r w:rsidR="0020490A" w:rsidRPr="00077C1B">
        <w:rPr>
          <w:rFonts w:eastAsiaTheme="minorHAnsi"/>
          <w:color w:val="000000"/>
          <w:sz w:val="26"/>
          <w:szCs w:val="26"/>
        </w:rPr>
        <w:t>s</w:t>
      </w:r>
      <w:r w:rsidRPr="00077C1B">
        <w:rPr>
          <w:rFonts w:eastAsiaTheme="minorHAnsi"/>
          <w:color w:val="000000"/>
          <w:sz w:val="26"/>
          <w:szCs w:val="26"/>
        </w:rPr>
        <w:t xml:space="preserve">tated at Ordering Paragraph No. </w:t>
      </w:r>
      <w:r w:rsidR="00EC5AB8" w:rsidRPr="00077C1B">
        <w:rPr>
          <w:rFonts w:eastAsiaTheme="minorHAnsi"/>
          <w:color w:val="000000"/>
          <w:sz w:val="26"/>
          <w:szCs w:val="26"/>
        </w:rPr>
        <w:t>9</w:t>
      </w:r>
      <w:r w:rsidRPr="00077C1B">
        <w:rPr>
          <w:rFonts w:eastAsiaTheme="minorHAnsi"/>
          <w:color w:val="000000"/>
          <w:sz w:val="26"/>
          <w:szCs w:val="26"/>
        </w:rPr>
        <w:t xml:space="preserve"> as follows:</w:t>
      </w:r>
    </w:p>
    <w:p w14:paraId="00F0D54E" w14:textId="3233C63D" w:rsidR="001307EC" w:rsidRPr="00077C1B" w:rsidRDefault="001307EC" w:rsidP="00077C1B">
      <w:pPr>
        <w:keepNext/>
        <w:keepLines/>
        <w:widowControl/>
        <w:autoSpaceDE w:val="0"/>
        <w:autoSpaceDN w:val="0"/>
        <w:adjustRightInd w:val="0"/>
        <w:ind w:firstLine="1440"/>
        <w:rPr>
          <w:rFonts w:eastAsiaTheme="minorHAnsi"/>
          <w:color w:val="000000"/>
          <w:sz w:val="26"/>
          <w:szCs w:val="26"/>
          <w:highlight w:val="yellow"/>
        </w:rPr>
      </w:pPr>
    </w:p>
    <w:p w14:paraId="1A2ADA5A" w14:textId="77777777" w:rsidR="00EC5AB8" w:rsidRPr="00077C1B" w:rsidRDefault="00EC5AB8" w:rsidP="00077C1B">
      <w:pPr>
        <w:keepNext/>
        <w:keepLines/>
        <w:widowControl/>
        <w:tabs>
          <w:tab w:val="left" w:pos="0"/>
        </w:tabs>
        <w:ind w:left="2160" w:right="1440"/>
        <w:rPr>
          <w:rFonts w:eastAsia="Calibri"/>
          <w:sz w:val="26"/>
          <w:szCs w:val="26"/>
        </w:rPr>
      </w:pPr>
      <w:r w:rsidRPr="00077C1B">
        <w:rPr>
          <w:rFonts w:eastAsia="Calibri"/>
          <w:b/>
          <w:sz w:val="26"/>
          <w:szCs w:val="26"/>
        </w:rPr>
        <w:t>YOU MAY LOSE THIS CASE, IF YOU DO NOT TAKE PART IN THIS HEARING AND PRESENT EVIDENCE ON THE ISSUES RAISED.  52 Pa. Code §5.245.</w:t>
      </w:r>
    </w:p>
    <w:p w14:paraId="497380D6" w14:textId="6F2273D2" w:rsidR="001307EC" w:rsidRPr="00077C1B" w:rsidRDefault="001307EC" w:rsidP="00077C1B">
      <w:pPr>
        <w:widowControl/>
        <w:autoSpaceDE w:val="0"/>
        <w:autoSpaceDN w:val="0"/>
        <w:adjustRightInd w:val="0"/>
        <w:spacing w:line="360" w:lineRule="auto"/>
        <w:ind w:firstLine="1440"/>
        <w:rPr>
          <w:rFonts w:eastAsiaTheme="minorHAnsi"/>
          <w:color w:val="000000"/>
          <w:sz w:val="26"/>
          <w:szCs w:val="26"/>
          <w:highlight w:val="yellow"/>
        </w:rPr>
      </w:pPr>
    </w:p>
    <w:p w14:paraId="1D7ABF05" w14:textId="2200932A" w:rsidR="00E31C87" w:rsidRPr="00077C1B" w:rsidRDefault="001307EC" w:rsidP="00077C1B">
      <w:pPr>
        <w:widowControl/>
        <w:autoSpaceDE w:val="0"/>
        <w:autoSpaceDN w:val="0"/>
        <w:adjustRightInd w:val="0"/>
        <w:spacing w:line="360" w:lineRule="auto"/>
        <w:rPr>
          <w:rFonts w:eastAsiaTheme="minorHAnsi"/>
          <w:color w:val="000000"/>
          <w:sz w:val="26"/>
          <w:szCs w:val="26"/>
        </w:rPr>
      </w:pPr>
      <w:r w:rsidRPr="00077C1B">
        <w:rPr>
          <w:rFonts w:eastAsiaTheme="minorHAnsi"/>
          <w:color w:val="000000"/>
          <w:sz w:val="26"/>
          <w:szCs w:val="26"/>
        </w:rPr>
        <w:t xml:space="preserve">Prehearing Order at </w:t>
      </w:r>
      <w:r w:rsidR="00EC5AB8" w:rsidRPr="00077C1B">
        <w:rPr>
          <w:rFonts w:eastAsiaTheme="minorHAnsi"/>
          <w:color w:val="000000"/>
          <w:sz w:val="26"/>
          <w:szCs w:val="26"/>
        </w:rPr>
        <w:t>3</w:t>
      </w:r>
      <w:r w:rsidRPr="00077C1B">
        <w:rPr>
          <w:rFonts w:eastAsiaTheme="minorHAnsi"/>
          <w:color w:val="000000"/>
          <w:sz w:val="26"/>
          <w:szCs w:val="26"/>
        </w:rPr>
        <w:t xml:space="preserve">. </w:t>
      </w:r>
      <w:r w:rsidR="007547CF" w:rsidRPr="00077C1B">
        <w:rPr>
          <w:rFonts w:eastAsiaTheme="minorHAnsi"/>
          <w:color w:val="000000"/>
          <w:sz w:val="26"/>
          <w:szCs w:val="26"/>
        </w:rPr>
        <w:t xml:space="preserve"> </w:t>
      </w:r>
      <w:r w:rsidR="00E31C87" w:rsidRPr="00077C1B">
        <w:rPr>
          <w:rFonts w:eastAsiaTheme="minorHAnsi"/>
          <w:color w:val="000000"/>
          <w:sz w:val="26"/>
          <w:szCs w:val="26"/>
        </w:rPr>
        <w:t xml:space="preserve">The July 26 Prehearing Order was sent to Ms. Poe-Henderson at the address provided on her Complaint </w:t>
      </w:r>
      <w:r w:rsidR="00E31C87" w:rsidRPr="00077C1B">
        <w:rPr>
          <w:rFonts w:eastAsiaTheme="minorHAnsi"/>
          <w:i/>
          <w:iCs/>
          <w:color w:val="000000"/>
          <w:sz w:val="26"/>
          <w:szCs w:val="26"/>
        </w:rPr>
        <w:t>via</w:t>
      </w:r>
      <w:r w:rsidR="00E31C87" w:rsidRPr="00077C1B">
        <w:rPr>
          <w:rFonts w:eastAsiaTheme="minorHAnsi"/>
          <w:color w:val="000000"/>
          <w:sz w:val="26"/>
          <w:szCs w:val="26"/>
        </w:rPr>
        <w:t xml:space="preserve"> United States Postal Service (USPS) first-class mail and was not returned by the USPS to the Commission as undeliverable.  I.D. at </w:t>
      </w:r>
      <w:r w:rsidR="002B2372" w:rsidRPr="00077C1B">
        <w:rPr>
          <w:rFonts w:eastAsiaTheme="minorHAnsi"/>
          <w:color w:val="000000"/>
          <w:sz w:val="26"/>
          <w:szCs w:val="26"/>
        </w:rPr>
        <w:t>4-6</w:t>
      </w:r>
      <w:r w:rsidR="00E31C87" w:rsidRPr="00077C1B">
        <w:rPr>
          <w:rFonts w:eastAsiaTheme="minorHAnsi"/>
          <w:color w:val="000000"/>
          <w:sz w:val="26"/>
          <w:szCs w:val="26"/>
        </w:rPr>
        <w:t>.</w:t>
      </w:r>
      <w:r w:rsidR="008E78CA" w:rsidRPr="00077C1B">
        <w:rPr>
          <w:rFonts w:eastAsiaTheme="minorHAnsi"/>
          <w:color w:val="000000"/>
          <w:sz w:val="26"/>
          <w:szCs w:val="26"/>
        </w:rPr>
        <w:t xml:space="preserve">  </w:t>
      </w:r>
    </w:p>
    <w:p w14:paraId="0BCF4DD1" w14:textId="2AE9011A" w:rsidR="004E2673" w:rsidRPr="00077C1B" w:rsidRDefault="004E2673" w:rsidP="00077C1B">
      <w:pPr>
        <w:widowControl/>
        <w:autoSpaceDE w:val="0"/>
        <w:autoSpaceDN w:val="0"/>
        <w:adjustRightInd w:val="0"/>
        <w:spacing w:line="360" w:lineRule="auto"/>
        <w:ind w:firstLine="1440"/>
        <w:rPr>
          <w:rFonts w:eastAsiaTheme="minorHAnsi"/>
          <w:color w:val="000000"/>
          <w:sz w:val="26"/>
          <w:szCs w:val="26"/>
        </w:rPr>
      </w:pPr>
    </w:p>
    <w:p w14:paraId="185A923B" w14:textId="498FBE8E" w:rsidR="00EC5AB8" w:rsidRPr="00077C1B" w:rsidRDefault="00EC5AB8" w:rsidP="00077C1B">
      <w:pPr>
        <w:widowControl/>
        <w:spacing w:line="360" w:lineRule="auto"/>
        <w:ind w:firstLine="1440"/>
        <w:rPr>
          <w:color w:val="000000"/>
          <w:sz w:val="26"/>
          <w:szCs w:val="26"/>
        </w:rPr>
      </w:pPr>
      <w:r w:rsidRPr="00077C1B">
        <w:rPr>
          <w:color w:val="000000"/>
          <w:sz w:val="26"/>
          <w:szCs w:val="26"/>
        </w:rPr>
        <w:t xml:space="preserve">Ms. Poe-Henderson </w:t>
      </w:r>
      <w:r w:rsidR="002B2372" w:rsidRPr="00077C1B">
        <w:rPr>
          <w:color w:val="000000"/>
          <w:sz w:val="26"/>
          <w:szCs w:val="26"/>
        </w:rPr>
        <w:t xml:space="preserve">requested </w:t>
      </w:r>
      <w:r w:rsidRPr="00077C1B">
        <w:rPr>
          <w:color w:val="000000"/>
          <w:sz w:val="26"/>
          <w:szCs w:val="26"/>
        </w:rPr>
        <w:t xml:space="preserve">to attend the hearing </w:t>
      </w:r>
      <w:r w:rsidRPr="00077C1B">
        <w:rPr>
          <w:i/>
          <w:iCs/>
          <w:color w:val="000000"/>
          <w:sz w:val="26"/>
          <w:szCs w:val="26"/>
        </w:rPr>
        <w:t>via</w:t>
      </w:r>
      <w:r w:rsidRPr="00077C1B">
        <w:rPr>
          <w:color w:val="000000"/>
          <w:sz w:val="26"/>
          <w:szCs w:val="26"/>
        </w:rPr>
        <w:t xml:space="preserve"> telephone.  I.D. at </w:t>
      </w:r>
      <w:r w:rsidR="002B2372" w:rsidRPr="00077C1B">
        <w:rPr>
          <w:color w:val="000000"/>
          <w:sz w:val="26"/>
          <w:szCs w:val="26"/>
        </w:rPr>
        <w:t>4</w:t>
      </w:r>
      <w:r w:rsidRPr="00077C1B">
        <w:rPr>
          <w:color w:val="000000"/>
          <w:sz w:val="26"/>
          <w:szCs w:val="26"/>
        </w:rPr>
        <w:t>.</w:t>
      </w:r>
    </w:p>
    <w:p w14:paraId="1392D036" w14:textId="77777777" w:rsidR="00EC5AB8" w:rsidRPr="00077C1B" w:rsidRDefault="00EC5AB8" w:rsidP="00077C1B">
      <w:pPr>
        <w:widowControl/>
        <w:spacing w:line="360" w:lineRule="auto"/>
        <w:ind w:firstLine="1440"/>
        <w:rPr>
          <w:color w:val="000000"/>
          <w:sz w:val="26"/>
          <w:szCs w:val="26"/>
        </w:rPr>
      </w:pPr>
    </w:p>
    <w:p w14:paraId="345BB5F1" w14:textId="2FE6E8ED" w:rsidR="00EC5AB8" w:rsidRPr="00077C1B" w:rsidRDefault="00EC5AB8" w:rsidP="00077C1B">
      <w:pPr>
        <w:widowControl/>
        <w:spacing w:line="360" w:lineRule="auto"/>
        <w:ind w:firstLine="1440"/>
        <w:rPr>
          <w:color w:val="000000"/>
          <w:sz w:val="26"/>
          <w:szCs w:val="26"/>
        </w:rPr>
      </w:pPr>
      <w:r w:rsidRPr="00077C1B">
        <w:rPr>
          <w:color w:val="000000"/>
          <w:sz w:val="26"/>
          <w:szCs w:val="26"/>
        </w:rPr>
        <w:t xml:space="preserve">On August 2, 2019, </w:t>
      </w:r>
      <w:r w:rsidR="00445B90" w:rsidRPr="00077C1B">
        <w:rPr>
          <w:color w:val="000000"/>
          <w:sz w:val="26"/>
          <w:szCs w:val="26"/>
        </w:rPr>
        <w:t xml:space="preserve">ALJ Vero issued a </w:t>
      </w:r>
      <w:r w:rsidR="004A0429" w:rsidRPr="00077C1B">
        <w:rPr>
          <w:color w:val="000000"/>
          <w:sz w:val="26"/>
          <w:szCs w:val="26"/>
        </w:rPr>
        <w:t xml:space="preserve">second </w:t>
      </w:r>
      <w:r w:rsidR="00D16672" w:rsidRPr="00077C1B">
        <w:rPr>
          <w:color w:val="000000"/>
          <w:sz w:val="26"/>
          <w:szCs w:val="26"/>
        </w:rPr>
        <w:t>Hearing Notice (</w:t>
      </w:r>
      <w:r w:rsidRPr="00077C1B">
        <w:rPr>
          <w:color w:val="000000"/>
          <w:sz w:val="26"/>
          <w:szCs w:val="26"/>
        </w:rPr>
        <w:t>Hearing Cancellation/Reschedule/Type Change Notice), notif</w:t>
      </w:r>
      <w:r w:rsidR="00445B90" w:rsidRPr="00077C1B">
        <w:rPr>
          <w:color w:val="000000"/>
          <w:sz w:val="26"/>
          <w:szCs w:val="26"/>
        </w:rPr>
        <w:t xml:space="preserve">ying </w:t>
      </w:r>
      <w:r w:rsidRPr="00077C1B">
        <w:rPr>
          <w:color w:val="000000"/>
          <w:sz w:val="26"/>
          <w:szCs w:val="26"/>
        </w:rPr>
        <w:t xml:space="preserve">the </w:t>
      </w:r>
      <w:r w:rsidR="00157C0A" w:rsidRPr="00077C1B">
        <w:rPr>
          <w:color w:val="000000"/>
          <w:sz w:val="26"/>
          <w:szCs w:val="26"/>
        </w:rPr>
        <w:t>P</w:t>
      </w:r>
      <w:r w:rsidRPr="00077C1B">
        <w:rPr>
          <w:color w:val="000000"/>
          <w:sz w:val="26"/>
          <w:szCs w:val="26"/>
        </w:rPr>
        <w:t>arties that the initial in</w:t>
      </w:r>
      <w:r w:rsidR="001777B9" w:rsidRPr="00077C1B">
        <w:rPr>
          <w:color w:val="000000"/>
          <w:sz w:val="26"/>
          <w:szCs w:val="26"/>
        </w:rPr>
        <w:noBreakHyphen/>
      </w:r>
      <w:r w:rsidRPr="00077C1B">
        <w:rPr>
          <w:color w:val="000000"/>
          <w:sz w:val="26"/>
          <w:szCs w:val="26"/>
        </w:rPr>
        <w:t xml:space="preserve">person </w:t>
      </w:r>
      <w:r w:rsidR="00FD79C8" w:rsidRPr="00077C1B">
        <w:rPr>
          <w:color w:val="000000"/>
          <w:sz w:val="26"/>
          <w:szCs w:val="26"/>
        </w:rPr>
        <w:t xml:space="preserve">evidentiary </w:t>
      </w:r>
      <w:r w:rsidRPr="00077C1B">
        <w:rPr>
          <w:color w:val="000000"/>
          <w:sz w:val="26"/>
          <w:szCs w:val="26"/>
        </w:rPr>
        <w:t>hearing was rescheduled in this matter for September 6, 2019, and that the hearing type was change</w:t>
      </w:r>
      <w:r w:rsidR="00445B90" w:rsidRPr="00077C1B">
        <w:rPr>
          <w:color w:val="000000"/>
          <w:sz w:val="26"/>
          <w:szCs w:val="26"/>
        </w:rPr>
        <w:t>d</w:t>
      </w:r>
      <w:r w:rsidRPr="00077C1B">
        <w:rPr>
          <w:color w:val="000000"/>
          <w:sz w:val="26"/>
          <w:szCs w:val="26"/>
        </w:rPr>
        <w:t xml:space="preserve"> to a telephonic hearing</w:t>
      </w:r>
      <w:r w:rsidR="001777B9" w:rsidRPr="00077C1B">
        <w:rPr>
          <w:color w:val="000000"/>
          <w:sz w:val="26"/>
          <w:szCs w:val="26"/>
        </w:rPr>
        <w:t>.</w:t>
      </w:r>
      <w:r w:rsidRPr="00077C1B">
        <w:rPr>
          <w:rStyle w:val="FootnoteReference"/>
          <w:color w:val="000000"/>
          <w:sz w:val="26"/>
          <w:szCs w:val="26"/>
        </w:rPr>
        <w:footnoteReference w:id="5"/>
      </w:r>
      <w:r w:rsidRPr="00077C1B">
        <w:rPr>
          <w:color w:val="000000"/>
          <w:sz w:val="26"/>
          <w:szCs w:val="26"/>
        </w:rPr>
        <w:t xml:space="preserve">  The </w:t>
      </w:r>
      <w:r w:rsidR="00ED4AB6" w:rsidRPr="00077C1B">
        <w:rPr>
          <w:color w:val="000000"/>
          <w:sz w:val="26"/>
          <w:szCs w:val="26"/>
        </w:rPr>
        <w:t xml:space="preserve">second </w:t>
      </w:r>
      <w:r w:rsidRPr="00077C1B">
        <w:rPr>
          <w:color w:val="000000"/>
          <w:sz w:val="26"/>
          <w:szCs w:val="26"/>
        </w:rPr>
        <w:t xml:space="preserve">Hearing Notice provided the </w:t>
      </w:r>
      <w:r w:rsidR="00986EE2" w:rsidRPr="00077C1B">
        <w:rPr>
          <w:color w:val="000000"/>
          <w:sz w:val="26"/>
          <w:szCs w:val="26"/>
        </w:rPr>
        <w:t>P</w:t>
      </w:r>
      <w:r w:rsidRPr="00077C1B">
        <w:rPr>
          <w:color w:val="000000"/>
          <w:sz w:val="26"/>
          <w:szCs w:val="26"/>
        </w:rPr>
        <w:t xml:space="preserve">arties with instructions </w:t>
      </w:r>
      <w:r w:rsidR="00FD79C8" w:rsidRPr="00077C1B">
        <w:rPr>
          <w:color w:val="000000"/>
          <w:sz w:val="26"/>
          <w:szCs w:val="26"/>
        </w:rPr>
        <w:t xml:space="preserve">to participate in the hearing by </w:t>
      </w:r>
      <w:r w:rsidRPr="00077C1B">
        <w:rPr>
          <w:color w:val="000000"/>
          <w:sz w:val="26"/>
          <w:szCs w:val="26"/>
        </w:rPr>
        <w:t>dialing into the telephonic hearing.</w:t>
      </w:r>
    </w:p>
    <w:p w14:paraId="1A4A8ECD" w14:textId="3955138F" w:rsidR="00E31C87" w:rsidRPr="00077C1B" w:rsidRDefault="00E31C87" w:rsidP="00077C1B">
      <w:pPr>
        <w:widowControl/>
        <w:spacing w:line="360" w:lineRule="auto"/>
        <w:ind w:firstLine="1440"/>
        <w:rPr>
          <w:color w:val="000000"/>
          <w:sz w:val="26"/>
          <w:szCs w:val="26"/>
        </w:rPr>
      </w:pPr>
    </w:p>
    <w:p w14:paraId="0FDC1A90" w14:textId="759431BA" w:rsidR="00E31C87" w:rsidRPr="00077C1B" w:rsidRDefault="00E31C87" w:rsidP="00077C1B">
      <w:pPr>
        <w:widowControl/>
        <w:spacing w:line="360" w:lineRule="auto"/>
        <w:ind w:firstLine="1440"/>
        <w:rPr>
          <w:color w:val="000000"/>
          <w:sz w:val="26"/>
          <w:szCs w:val="26"/>
        </w:rPr>
      </w:pPr>
      <w:r w:rsidRPr="00077C1B">
        <w:rPr>
          <w:rFonts w:eastAsiaTheme="minorHAnsi"/>
          <w:color w:val="000000"/>
          <w:sz w:val="26"/>
          <w:szCs w:val="26"/>
        </w:rPr>
        <w:lastRenderedPageBreak/>
        <w:t xml:space="preserve">The August </w:t>
      </w:r>
      <w:r w:rsidR="001777B9" w:rsidRPr="00077C1B">
        <w:rPr>
          <w:rFonts w:eastAsiaTheme="minorHAnsi"/>
          <w:color w:val="000000"/>
          <w:sz w:val="26"/>
          <w:szCs w:val="26"/>
        </w:rPr>
        <w:t>2, 2019</w:t>
      </w:r>
      <w:r w:rsidRPr="00077C1B">
        <w:rPr>
          <w:rFonts w:eastAsiaTheme="minorHAnsi"/>
          <w:color w:val="000000"/>
          <w:sz w:val="26"/>
          <w:szCs w:val="26"/>
        </w:rPr>
        <w:t xml:space="preserve"> Hearing Notice was sent to Ms. Poe-Henderson at the address provided on her Complaint </w:t>
      </w:r>
      <w:r w:rsidRPr="00077C1B">
        <w:rPr>
          <w:rFonts w:eastAsiaTheme="minorHAnsi"/>
          <w:i/>
          <w:iCs/>
          <w:color w:val="000000"/>
          <w:sz w:val="26"/>
          <w:szCs w:val="26"/>
        </w:rPr>
        <w:t>via</w:t>
      </w:r>
      <w:r w:rsidRPr="00077C1B">
        <w:rPr>
          <w:rFonts w:eastAsiaTheme="minorHAnsi"/>
          <w:color w:val="000000"/>
          <w:sz w:val="26"/>
          <w:szCs w:val="26"/>
        </w:rPr>
        <w:t xml:space="preserve"> USPS first-class mail and was not returned by the USPS to the Commission as undeliverable.  I.D. at </w:t>
      </w:r>
      <w:r w:rsidR="002B2372" w:rsidRPr="00077C1B">
        <w:rPr>
          <w:rFonts w:eastAsiaTheme="minorHAnsi"/>
          <w:color w:val="000000"/>
          <w:sz w:val="26"/>
          <w:szCs w:val="26"/>
        </w:rPr>
        <w:t>4-6</w:t>
      </w:r>
      <w:r w:rsidRPr="00077C1B">
        <w:rPr>
          <w:rFonts w:eastAsiaTheme="minorHAnsi"/>
          <w:color w:val="000000"/>
          <w:sz w:val="26"/>
          <w:szCs w:val="26"/>
        </w:rPr>
        <w:t xml:space="preserve">.   </w:t>
      </w:r>
    </w:p>
    <w:p w14:paraId="13274C83" w14:textId="77777777" w:rsidR="00445B90" w:rsidRPr="00077C1B" w:rsidRDefault="00445B90" w:rsidP="00077C1B">
      <w:pPr>
        <w:widowControl/>
        <w:autoSpaceDE w:val="0"/>
        <w:autoSpaceDN w:val="0"/>
        <w:adjustRightInd w:val="0"/>
        <w:spacing w:line="360" w:lineRule="auto"/>
        <w:ind w:firstLine="1440"/>
        <w:rPr>
          <w:rFonts w:eastAsiaTheme="minorHAnsi"/>
          <w:color w:val="000000"/>
          <w:sz w:val="26"/>
          <w:szCs w:val="26"/>
        </w:rPr>
      </w:pPr>
    </w:p>
    <w:p w14:paraId="38E4BF13" w14:textId="543DED96" w:rsidR="00284719" w:rsidRPr="00077C1B" w:rsidRDefault="00284719" w:rsidP="00077C1B">
      <w:pPr>
        <w:widowControl/>
        <w:spacing w:line="360" w:lineRule="auto"/>
        <w:ind w:firstLine="1440"/>
        <w:rPr>
          <w:color w:val="000000"/>
          <w:sz w:val="26"/>
          <w:szCs w:val="26"/>
        </w:rPr>
      </w:pPr>
      <w:r w:rsidRPr="00077C1B">
        <w:rPr>
          <w:color w:val="000000"/>
          <w:sz w:val="26"/>
          <w:szCs w:val="26"/>
        </w:rPr>
        <w:t xml:space="preserve">The hearing convened as scheduled on September 6, 2019, at 10:00 a.m.  Graciela </w:t>
      </w:r>
      <w:proofErr w:type="spellStart"/>
      <w:r w:rsidRPr="00077C1B">
        <w:rPr>
          <w:color w:val="000000"/>
          <w:sz w:val="26"/>
          <w:szCs w:val="26"/>
        </w:rPr>
        <w:t>Christlieb</w:t>
      </w:r>
      <w:proofErr w:type="spellEnd"/>
      <w:r w:rsidRPr="00077C1B">
        <w:rPr>
          <w:color w:val="000000"/>
          <w:sz w:val="26"/>
          <w:szCs w:val="26"/>
        </w:rPr>
        <w:t xml:space="preserve">, Esq. appeared representing PGW.  Neither </w:t>
      </w:r>
      <w:r w:rsidR="00A434C0" w:rsidRPr="00077C1B">
        <w:rPr>
          <w:color w:val="000000"/>
          <w:sz w:val="26"/>
          <w:szCs w:val="26"/>
        </w:rPr>
        <w:t xml:space="preserve">the </w:t>
      </w:r>
      <w:r w:rsidRPr="00077C1B">
        <w:rPr>
          <w:color w:val="000000"/>
          <w:sz w:val="26"/>
          <w:szCs w:val="26"/>
        </w:rPr>
        <w:t>Complainant nor a</w:t>
      </w:r>
      <w:r w:rsidR="00FD79C8" w:rsidRPr="00077C1B">
        <w:rPr>
          <w:color w:val="000000"/>
          <w:sz w:val="26"/>
          <w:szCs w:val="26"/>
        </w:rPr>
        <w:t>ny</w:t>
      </w:r>
      <w:r w:rsidRPr="00077C1B">
        <w:rPr>
          <w:color w:val="000000"/>
          <w:sz w:val="26"/>
          <w:szCs w:val="26"/>
        </w:rPr>
        <w:t xml:space="preserve"> counsel for the Complainant appeared at the hearing.  By10:10 a.m. Ms. Poe-Henderson had not joined the telephonic hearing.  At that time, ALJ Vero took it upon herself to </w:t>
      </w:r>
      <w:r w:rsidR="00FD79C8" w:rsidRPr="00077C1B">
        <w:rPr>
          <w:color w:val="000000"/>
          <w:sz w:val="26"/>
          <w:szCs w:val="26"/>
        </w:rPr>
        <w:t xml:space="preserve">contact </w:t>
      </w:r>
      <w:r w:rsidRPr="00077C1B">
        <w:rPr>
          <w:color w:val="000000"/>
          <w:sz w:val="26"/>
          <w:szCs w:val="26"/>
        </w:rPr>
        <w:t xml:space="preserve">Ms. Poe-Henderson </w:t>
      </w:r>
      <w:r w:rsidR="00FD79C8" w:rsidRPr="00077C1B">
        <w:rPr>
          <w:color w:val="000000"/>
          <w:sz w:val="26"/>
          <w:szCs w:val="26"/>
        </w:rPr>
        <w:t xml:space="preserve">by calling </w:t>
      </w:r>
      <w:r w:rsidRPr="00077C1B">
        <w:rPr>
          <w:color w:val="000000"/>
          <w:sz w:val="26"/>
          <w:szCs w:val="26"/>
        </w:rPr>
        <w:t xml:space="preserve">the telephone number provided on </w:t>
      </w:r>
      <w:r w:rsidR="00FD79C8" w:rsidRPr="00077C1B">
        <w:rPr>
          <w:color w:val="000000"/>
          <w:sz w:val="26"/>
          <w:szCs w:val="26"/>
        </w:rPr>
        <w:t xml:space="preserve">Ms. Poe-Henderson’s </w:t>
      </w:r>
      <w:r w:rsidRPr="00077C1B">
        <w:rPr>
          <w:color w:val="000000"/>
          <w:sz w:val="26"/>
          <w:szCs w:val="26"/>
        </w:rPr>
        <w:t>Complaint form.</w:t>
      </w:r>
      <w:r w:rsidR="00D16672" w:rsidRPr="00077C1B">
        <w:rPr>
          <w:color w:val="000000"/>
          <w:sz w:val="26"/>
          <w:szCs w:val="26"/>
        </w:rPr>
        <w:t xml:space="preserve"> </w:t>
      </w:r>
      <w:r w:rsidRPr="00077C1B">
        <w:rPr>
          <w:color w:val="000000"/>
          <w:sz w:val="26"/>
          <w:szCs w:val="26"/>
        </w:rPr>
        <w:t xml:space="preserve"> I.D. at </w:t>
      </w:r>
      <w:r w:rsidR="00EE4DBA" w:rsidRPr="00077C1B">
        <w:rPr>
          <w:color w:val="000000"/>
          <w:sz w:val="26"/>
          <w:szCs w:val="26"/>
        </w:rPr>
        <w:t xml:space="preserve">2, </w:t>
      </w:r>
      <w:r w:rsidR="002B2372" w:rsidRPr="00077C1B">
        <w:rPr>
          <w:color w:val="000000"/>
          <w:sz w:val="26"/>
          <w:szCs w:val="26"/>
        </w:rPr>
        <w:t>6.</w:t>
      </w:r>
      <w:r w:rsidRPr="00077C1B">
        <w:rPr>
          <w:color w:val="000000"/>
          <w:sz w:val="26"/>
          <w:szCs w:val="26"/>
        </w:rPr>
        <w:t xml:space="preserve">  Ms. Poe-Henderson answered the </w:t>
      </w:r>
      <w:r w:rsidR="002B2372" w:rsidRPr="00077C1B">
        <w:rPr>
          <w:color w:val="000000"/>
          <w:sz w:val="26"/>
          <w:szCs w:val="26"/>
        </w:rPr>
        <w:t>call</w:t>
      </w:r>
      <w:r w:rsidRPr="00077C1B">
        <w:rPr>
          <w:color w:val="000000"/>
          <w:sz w:val="26"/>
          <w:szCs w:val="26"/>
        </w:rPr>
        <w:t>.  ALJ</w:t>
      </w:r>
      <w:r w:rsidR="00262C10">
        <w:rPr>
          <w:color w:val="000000"/>
          <w:sz w:val="26"/>
          <w:szCs w:val="26"/>
        </w:rPr>
        <w:t> </w:t>
      </w:r>
      <w:r w:rsidRPr="00077C1B">
        <w:rPr>
          <w:color w:val="000000"/>
          <w:sz w:val="26"/>
          <w:szCs w:val="26"/>
        </w:rPr>
        <w:t xml:space="preserve">Vero provided the dial-in information (toll-free telephone number and passcode) to </w:t>
      </w:r>
      <w:r w:rsidR="00FD79C8" w:rsidRPr="00077C1B">
        <w:rPr>
          <w:color w:val="000000"/>
          <w:sz w:val="26"/>
          <w:szCs w:val="26"/>
        </w:rPr>
        <w:t xml:space="preserve">participate in </w:t>
      </w:r>
      <w:r w:rsidRPr="00077C1B">
        <w:rPr>
          <w:color w:val="000000"/>
          <w:sz w:val="26"/>
          <w:szCs w:val="26"/>
        </w:rPr>
        <w:t xml:space="preserve">the hearing.  </w:t>
      </w:r>
      <w:r w:rsidRPr="00077C1B">
        <w:rPr>
          <w:i/>
          <w:color w:val="000000"/>
          <w:sz w:val="26"/>
          <w:szCs w:val="26"/>
        </w:rPr>
        <w:t>Id.</w:t>
      </w:r>
      <w:r w:rsidRPr="00077C1B">
        <w:rPr>
          <w:color w:val="000000"/>
          <w:sz w:val="26"/>
          <w:szCs w:val="26"/>
        </w:rPr>
        <w:t xml:space="preserve">  </w:t>
      </w:r>
    </w:p>
    <w:p w14:paraId="529DE36B" w14:textId="77777777" w:rsidR="00284719" w:rsidRPr="00077C1B" w:rsidRDefault="00284719" w:rsidP="00077C1B">
      <w:pPr>
        <w:widowControl/>
        <w:spacing w:line="360" w:lineRule="auto"/>
        <w:ind w:firstLine="1440"/>
        <w:rPr>
          <w:color w:val="000000"/>
          <w:sz w:val="26"/>
          <w:szCs w:val="26"/>
        </w:rPr>
      </w:pPr>
    </w:p>
    <w:p w14:paraId="5977C312" w14:textId="0B2AB170" w:rsidR="00284719" w:rsidRPr="00077C1B" w:rsidRDefault="00284719" w:rsidP="00077C1B">
      <w:pPr>
        <w:widowControl/>
        <w:spacing w:line="360" w:lineRule="auto"/>
        <w:ind w:firstLine="1440"/>
        <w:rPr>
          <w:color w:val="000000"/>
          <w:sz w:val="26"/>
          <w:szCs w:val="26"/>
        </w:rPr>
      </w:pPr>
      <w:r w:rsidRPr="00077C1B">
        <w:rPr>
          <w:color w:val="000000"/>
          <w:sz w:val="26"/>
          <w:szCs w:val="26"/>
        </w:rPr>
        <w:t>When Ms. Poe-Henderson failed to join the telephonic hearing</w:t>
      </w:r>
      <w:r w:rsidR="00FD79C8" w:rsidRPr="00077C1B">
        <w:rPr>
          <w:color w:val="000000"/>
          <w:sz w:val="26"/>
          <w:szCs w:val="26"/>
        </w:rPr>
        <w:t xml:space="preserve"> </w:t>
      </w:r>
      <w:r w:rsidR="00FD79C8" w:rsidRPr="00077C1B">
        <w:rPr>
          <w:i/>
          <w:iCs/>
          <w:color w:val="000000"/>
          <w:sz w:val="26"/>
          <w:szCs w:val="26"/>
        </w:rPr>
        <w:t xml:space="preserve">via </w:t>
      </w:r>
      <w:r w:rsidR="00FD79C8" w:rsidRPr="00077C1B">
        <w:rPr>
          <w:color w:val="000000"/>
          <w:sz w:val="26"/>
          <w:szCs w:val="26"/>
        </w:rPr>
        <w:t>conference call</w:t>
      </w:r>
      <w:r w:rsidRPr="00077C1B">
        <w:rPr>
          <w:color w:val="000000"/>
          <w:sz w:val="26"/>
          <w:szCs w:val="26"/>
        </w:rPr>
        <w:t xml:space="preserve"> by 10:20 a.m., ALJ Vero called her again.  The call went unanswered.  ALJ Vero called Ms. Poe-Henderson a third time.  Ms. Poe-Henderson answered</w:t>
      </w:r>
      <w:r w:rsidR="0051416C" w:rsidRPr="00077C1B">
        <w:rPr>
          <w:color w:val="000000"/>
          <w:sz w:val="26"/>
          <w:szCs w:val="26"/>
        </w:rPr>
        <w:t xml:space="preserve"> and disconnected the call after </w:t>
      </w:r>
      <w:r w:rsidRPr="00077C1B">
        <w:rPr>
          <w:color w:val="000000"/>
          <w:sz w:val="26"/>
          <w:szCs w:val="26"/>
        </w:rPr>
        <w:t>ALJ Vero identified herself</w:t>
      </w:r>
      <w:r w:rsidR="0051416C" w:rsidRPr="00077C1B">
        <w:rPr>
          <w:color w:val="000000"/>
          <w:sz w:val="26"/>
          <w:szCs w:val="26"/>
        </w:rPr>
        <w:t>.</w:t>
      </w:r>
      <w:r w:rsidRPr="00077C1B">
        <w:rPr>
          <w:color w:val="000000"/>
          <w:sz w:val="26"/>
          <w:szCs w:val="26"/>
        </w:rPr>
        <w:t xml:space="preserve">  ALJ Vero </w:t>
      </w:r>
      <w:r w:rsidR="0051416C" w:rsidRPr="00077C1B">
        <w:rPr>
          <w:color w:val="000000"/>
          <w:sz w:val="26"/>
          <w:szCs w:val="26"/>
        </w:rPr>
        <w:t xml:space="preserve">made two more </w:t>
      </w:r>
      <w:r w:rsidRPr="00077C1B">
        <w:rPr>
          <w:color w:val="000000"/>
          <w:sz w:val="26"/>
          <w:szCs w:val="26"/>
        </w:rPr>
        <w:t>attempt</w:t>
      </w:r>
      <w:r w:rsidR="0051416C" w:rsidRPr="00077C1B">
        <w:rPr>
          <w:color w:val="000000"/>
          <w:sz w:val="26"/>
          <w:szCs w:val="26"/>
        </w:rPr>
        <w:t xml:space="preserve">s </w:t>
      </w:r>
      <w:r w:rsidRPr="00077C1B">
        <w:rPr>
          <w:color w:val="000000"/>
          <w:sz w:val="26"/>
          <w:szCs w:val="26"/>
        </w:rPr>
        <w:t xml:space="preserve">to call Ms. Poe-Henderson.  However, Ms. Poe-Henderson did not answer those calls.  </w:t>
      </w:r>
      <w:r w:rsidR="00893C38" w:rsidRPr="00077C1B">
        <w:rPr>
          <w:color w:val="000000"/>
          <w:sz w:val="26"/>
          <w:szCs w:val="26"/>
        </w:rPr>
        <w:t>I.D. at</w:t>
      </w:r>
      <w:r w:rsidR="00A53556" w:rsidRPr="00077C1B">
        <w:rPr>
          <w:color w:val="000000"/>
          <w:sz w:val="26"/>
          <w:szCs w:val="26"/>
        </w:rPr>
        <w:t xml:space="preserve"> 2</w:t>
      </w:r>
      <w:r w:rsidR="00C43FDC" w:rsidRPr="00077C1B">
        <w:rPr>
          <w:color w:val="000000"/>
          <w:sz w:val="26"/>
          <w:szCs w:val="26"/>
        </w:rPr>
        <w:t>, 6</w:t>
      </w:r>
      <w:r w:rsidR="00A53556" w:rsidRPr="00077C1B">
        <w:rPr>
          <w:color w:val="000000"/>
          <w:sz w:val="26"/>
          <w:szCs w:val="26"/>
        </w:rPr>
        <w:t>.</w:t>
      </w:r>
      <w:r w:rsidRPr="00077C1B">
        <w:rPr>
          <w:color w:val="000000"/>
          <w:sz w:val="26"/>
          <w:szCs w:val="26"/>
        </w:rPr>
        <w:t xml:space="preserve">  </w:t>
      </w:r>
    </w:p>
    <w:p w14:paraId="6554943C" w14:textId="77777777" w:rsidR="00284719" w:rsidRPr="00077C1B" w:rsidRDefault="00284719" w:rsidP="00077C1B">
      <w:pPr>
        <w:widowControl/>
        <w:spacing w:line="360" w:lineRule="auto"/>
        <w:ind w:firstLine="1440"/>
        <w:rPr>
          <w:color w:val="000000"/>
          <w:sz w:val="26"/>
          <w:szCs w:val="26"/>
        </w:rPr>
      </w:pPr>
    </w:p>
    <w:p w14:paraId="37D5C0F5" w14:textId="69043940" w:rsidR="00284719" w:rsidRPr="00077C1B" w:rsidRDefault="00284719" w:rsidP="00077C1B">
      <w:pPr>
        <w:widowControl/>
        <w:spacing w:line="360" w:lineRule="auto"/>
        <w:ind w:firstLine="1440"/>
        <w:rPr>
          <w:color w:val="000000"/>
          <w:sz w:val="26"/>
          <w:szCs w:val="26"/>
        </w:rPr>
      </w:pPr>
      <w:r w:rsidRPr="00077C1B">
        <w:rPr>
          <w:color w:val="000000"/>
          <w:sz w:val="26"/>
          <w:szCs w:val="26"/>
        </w:rPr>
        <w:t>The hearing reconvened at approximately 10:31 a.m., at which time ALJ</w:t>
      </w:r>
      <w:r w:rsidR="00262C10">
        <w:rPr>
          <w:color w:val="000000"/>
          <w:sz w:val="26"/>
          <w:szCs w:val="26"/>
        </w:rPr>
        <w:t> </w:t>
      </w:r>
      <w:r w:rsidRPr="00077C1B">
        <w:rPr>
          <w:color w:val="000000"/>
          <w:sz w:val="26"/>
          <w:szCs w:val="26"/>
        </w:rPr>
        <w:t xml:space="preserve">Vero confirmed that Ms. Poe-Henderson had </w:t>
      </w:r>
      <w:r w:rsidR="00893C38" w:rsidRPr="00077C1B">
        <w:rPr>
          <w:color w:val="000000"/>
          <w:sz w:val="26"/>
          <w:szCs w:val="26"/>
        </w:rPr>
        <w:t xml:space="preserve">neither </w:t>
      </w:r>
      <w:r w:rsidRPr="00077C1B">
        <w:rPr>
          <w:color w:val="000000"/>
          <w:sz w:val="26"/>
          <w:szCs w:val="26"/>
        </w:rPr>
        <w:t>called</w:t>
      </w:r>
      <w:r w:rsidR="00893C38" w:rsidRPr="00077C1B">
        <w:rPr>
          <w:color w:val="000000"/>
          <w:sz w:val="26"/>
          <w:szCs w:val="26"/>
        </w:rPr>
        <w:t xml:space="preserve"> into the hearing no</w:t>
      </w:r>
      <w:r w:rsidRPr="00077C1B">
        <w:rPr>
          <w:color w:val="000000"/>
          <w:sz w:val="26"/>
          <w:szCs w:val="26"/>
        </w:rPr>
        <w:t xml:space="preserve">r otherwise </w:t>
      </w:r>
      <w:r w:rsidR="00893C38" w:rsidRPr="00077C1B">
        <w:rPr>
          <w:color w:val="000000"/>
          <w:sz w:val="26"/>
          <w:szCs w:val="26"/>
        </w:rPr>
        <w:t xml:space="preserve">provided an unavoidable reason </w:t>
      </w:r>
      <w:r w:rsidR="00E74C2B" w:rsidRPr="00077C1B">
        <w:rPr>
          <w:color w:val="000000"/>
          <w:sz w:val="26"/>
          <w:szCs w:val="26"/>
        </w:rPr>
        <w:t xml:space="preserve">or permissible excuse </w:t>
      </w:r>
      <w:r w:rsidR="00893C38" w:rsidRPr="00077C1B">
        <w:rPr>
          <w:color w:val="000000"/>
          <w:sz w:val="26"/>
          <w:szCs w:val="26"/>
        </w:rPr>
        <w:t xml:space="preserve">for her failure to </w:t>
      </w:r>
      <w:r w:rsidRPr="00077C1B">
        <w:rPr>
          <w:color w:val="000000"/>
          <w:sz w:val="26"/>
          <w:szCs w:val="26"/>
        </w:rPr>
        <w:t xml:space="preserve">participate in the scheduled telephonic hearing.  Thereafter, Counsel for PGW made an oral Motion to Dismiss the Complaint with prejudice for lack of prosecution.  </w:t>
      </w:r>
      <w:r w:rsidR="00A53556" w:rsidRPr="00077C1B">
        <w:rPr>
          <w:color w:val="000000"/>
          <w:sz w:val="26"/>
          <w:szCs w:val="26"/>
        </w:rPr>
        <w:t xml:space="preserve">I.D. at 3. </w:t>
      </w:r>
    </w:p>
    <w:p w14:paraId="2183BD7C" w14:textId="30471E40" w:rsidR="00284719" w:rsidRPr="00077C1B" w:rsidRDefault="00284719" w:rsidP="00077C1B">
      <w:pPr>
        <w:widowControl/>
        <w:spacing w:line="360" w:lineRule="auto"/>
        <w:ind w:firstLine="1440"/>
        <w:rPr>
          <w:color w:val="000000"/>
          <w:sz w:val="26"/>
          <w:szCs w:val="26"/>
        </w:rPr>
      </w:pPr>
    </w:p>
    <w:p w14:paraId="56090620" w14:textId="25417034" w:rsidR="00284719" w:rsidRPr="00077C1B" w:rsidRDefault="00284719" w:rsidP="00077C1B">
      <w:pPr>
        <w:widowControl/>
        <w:spacing w:line="360" w:lineRule="auto"/>
        <w:ind w:firstLine="1440"/>
        <w:rPr>
          <w:color w:val="000000"/>
          <w:sz w:val="26"/>
          <w:szCs w:val="26"/>
        </w:rPr>
      </w:pPr>
      <w:r w:rsidRPr="00077C1B">
        <w:rPr>
          <w:color w:val="000000"/>
          <w:sz w:val="26"/>
          <w:szCs w:val="26"/>
        </w:rPr>
        <w:t>The record was closed upon receipt of the hearing transcript on September</w:t>
      </w:r>
      <w:r w:rsidR="001777B9" w:rsidRPr="00077C1B">
        <w:rPr>
          <w:color w:val="000000"/>
          <w:sz w:val="26"/>
          <w:szCs w:val="26"/>
        </w:rPr>
        <w:t> </w:t>
      </w:r>
      <w:r w:rsidRPr="00077C1B">
        <w:rPr>
          <w:color w:val="000000"/>
          <w:sz w:val="26"/>
          <w:szCs w:val="26"/>
        </w:rPr>
        <w:t xml:space="preserve">27, 2019. </w:t>
      </w:r>
    </w:p>
    <w:p w14:paraId="4762773A" w14:textId="77777777" w:rsidR="00284719" w:rsidRPr="00077C1B" w:rsidRDefault="00284719" w:rsidP="00077C1B">
      <w:pPr>
        <w:widowControl/>
        <w:autoSpaceDE w:val="0"/>
        <w:autoSpaceDN w:val="0"/>
        <w:adjustRightInd w:val="0"/>
        <w:spacing w:line="360" w:lineRule="auto"/>
        <w:ind w:firstLine="1440"/>
        <w:rPr>
          <w:rFonts w:eastAsiaTheme="minorHAnsi"/>
          <w:color w:val="000000"/>
          <w:sz w:val="26"/>
          <w:szCs w:val="26"/>
        </w:rPr>
      </w:pPr>
    </w:p>
    <w:p w14:paraId="69863FDA" w14:textId="6370EED9" w:rsidR="00893C38" w:rsidRPr="00077C1B" w:rsidRDefault="009A482F" w:rsidP="00077C1B">
      <w:pPr>
        <w:widowControl/>
        <w:spacing w:line="360" w:lineRule="auto"/>
        <w:ind w:firstLine="1440"/>
        <w:rPr>
          <w:rFonts w:eastAsia="Calibri"/>
          <w:sz w:val="26"/>
          <w:szCs w:val="26"/>
        </w:rPr>
      </w:pPr>
      <w:r w:rsidRPr="00077C1B">
        <w:rPr>
          <w:rFonts w:eastAsia="Calibri"/>
          <w:sz w:val="26"/>
          <w:szCs w:val="26"/>
        </w:rPr>
        <w:lastRenderedPageBreak/>
        <w:t xml:space="preserve">On </w:t>
      </w:r>
      <w:r w:rsidR="00AE2496" w:rsidRPr="00077C1B">
        <w:rPr>
          <w:rFonts w:eastAsia="Calibri"/>
          <w:sz w:val="26"/>
          <w:szCs w:val="26"/>
        </w:rPr>
        <w:t xml:space="preserve">October 28, 2019, </w:t>
      </w:r>
      <w:r w:rsidRPr="00077C1B">
        <w:rPr>
          <w:rFonts w:eastAsia="Calibri"/>
          <w:sz w:val="26"/>
          <w:szCs w:val="26"/>
        </w:rPr>
        <w:t>the Commission issued the Initial Decision of ALJ</w:t>
      </w:r>
      <w:r w:rsidR="00262C10">
        <w:rPr>
          <w:rFonts w:eastAsia="Calibri"/>
          <w:sz w:val="26"/>
          <w:szCs w:val="26"/>
        </w:rPr>
        <w:t> </w:t>
      </w:r>
      <w:r w:rsidRPr="00077C1B">
        <w:rPr>
          <w:rFonts w:eastAsia="Calibri"/>
          <w:sz w:val="26"/>
          <w:szCs w:val="26"/>
        </w:rPr>
        <w:t>Vero, in which the ALJ</w:t>
      </w:r>
      <w:r w:rsidR="00893C38" w:rsidRPr="00077C1B">
        <w:rPr>
          <w:color w:val="000000"/>
          <w:sz w:val="26"/>
          <w:szCs w:val="26"/>
        </w:rPr>
        <w:t xml:space="preserve"> granted PGW’s Motion and dismissed the Compliant with prejudice </w:t>
      </w:r>
      <w:r w:rsidR="00893C38" w:rsidRPr="00077C1B">
        <w:rPr>
          <w:rFonts w:eastAsia="Calibri"/>
          <w:sz w:val="26"/>
          <w:szCs w:val="26"/>
        </w:rPr>
        <w:t xml:space="preserve">due to Ms. Poe-Henderson’s failure to appear and prosecute the Complaint.  I.D. at </w:t>
      </w:r>
      <w:r w:rsidR="0051416C" w:rsidRPr="00077C1B">
        <w:rPr>
          <w:rFonts w:eastAsia="Calibri"/>
          <w:sz w:val="26"/>
          <w:szCs w:val="26"/>
        </w:rPr>
        <w:t>7.</w:t>
      </w:r>
    </w:p>
    <w:p w14:paraId="21830B9A" w14:textId="1052D2C4" w:rsidR="009A482F" w:rsidRPr="00077C1B" w:rsidRDefault="009A482F" w:rsidP="00077C1B">
      <w:pPr>
        <w:widowControl/>
        <w:spacing w:line="360" w:lineRule="auto"/>
        <w:ind w:firstLine="1440"/>
        <w:rPr>
          <w:rFonts w:eastAsia="Calibri"/>
          <w:sz w:val="26"/>
          <w:szCs w:val="26"/>
        </w:rPr>
      </w:pPr>
      <w:r w:rsidRPr="00077C1B">
        <w:rPr>
          <w:rFonts w:eastAsia="Calibri"/>
          <w:sz w:val="26"/>
          <w:szCs w:val="26"/>
        </w:rPr>
        <w:t xml:space="preserve">On </w:t>
      </w:r>
      <w:r w:rsidR="00893C38" w:rsidRPr="00077C1B">
        <w:rPr>
          <w:rFonts w:eastAsia="Calibri"/>
          <w:sz w:val="26"/>
          <w:szCs w:val="26"/>
        </w:rPr>
        <w:t xml:space="preserve">December 13, 2019, </w:t>
      </w:r>
      <w:bookmarkStart w:id="1" w:name="_Hlk26174616"/>
      <w:r w:rsidR="00893C38" w:rsidRPr="00077C1B">
        <w:rPr>
          <w:rFonts w:eastAsia="Calibri"/>
          <w:sz w:val="26"/>
          <w:szCs w:val="26"/>
        </w:rPr>
        <w:t xml:space="preserve">by operation of law, </w:t>
      </w:r>
      <w:r w:rsidRPr="00077C1B">
        <w:rPr>
          <w:rFonts w:eastAsia="Calibri"/>
          <w:sz w:val="26"/>
          <w:szCs w:val="26"/>
        </w:rPr>
        <w:t xml:space="preserve">the ALJ’s Initial Decision </w:t>
      </w:r>
      <w:r w:rsidR="00893C38" w:rsidRPr="00077C1B">
        <w:rPr>
          <w:rFonts w:eastAsia="Calibri"/>
          <w:sz w:val="26"/>
          <w:szCs w:val="26"/>
        </w:rPr>
        <w:t xml:space="preserve">was adopted </w:t>
      </w:r>
      <w:r w:rsidRPr="00077C1B">
        <w:rPr>
          <w:rFonts w:eastAsia="Calibri"/>
          <w:sz w:val="26"/>
          <w:szCs w:val="26"/>
        </w:rPr>
        <w:t>as the Final Order of the Commission, pursuant to 66 Pa. C.S. §</w:t>
      </w:r>
      <w:r w:rsidR="00D16672" w:rsidRPr="00077C1B">
        <w:rPr>
          <w:rFonts w:eastAsia="Calibri"/>
          <w:sz w:val="26"/>
          <w:szCs w:val="26"/>
        </w:rPr>
        <w:t xml:space="preserve"> </w:t>
      </w:r>
      <w:r w:rsidRPr="00077C1B">
        <w:rPr>
          <w:rFonts w:eastAsia="Calibri"/>
          <w:sz w:val="26"/>
          <w:szCs w:val="26"/>
        </w:rPr>
        <w:t>332(h)</w:t>
      </w:r>
      <w:r w:rsidR="00A9079D" w:rsidRPr="00077C1B">
        <w:rPr>
          <w:rFonts w:eastAsia="Calibri"/>
          <w:i/>
          <w:iCs/>
          <w:sz w:val="26"/>
          <w:szCs w:val="26"/>
        </w:rPr>
        <w:t>.</w:t>
      </w:r>
      <w:r w:rsidRPr="00077C1B">
        <w:rPr>
          <w:rFonts w:eastAsia="Calibri"/>
          <w:sz w:val="26"/>
          <w:szCs w:val="26"/>
        </w:rPr>
        <w:t xml:space="preserve"> </w:t>
      </w:r>
      <w:bookmarkEnd w:id="1"/>
    </w:p>
    <w:p w14:paraId="2257E899" w14:textId="77777777" w:rsidR="009A482F" w:rsidRPr="00077C1B" w:rsidRDefault="009A482F" w:rsidP="00077C1B">
      <w:pPr>
        <w:widowControl/>
        <w:spacing w:line="360" w:lineRule="auto"/>
        <w:ind w:firstLine="1440"/>
        <w:rPr>
          <w:rFonts w:eastAsia="Calibri"/>
          <w:sz w:val="26"/>
          <w:szCs w:val="26"/>
        </w:rPr>
      </w:pPr>
    </w:p>
    <w:p w14:paraId="7B940453" w14:textId="5A7A497D" w:rsidR="0066095F" w:rsidRPr="00077C1B" w:rsidRDefault="00B55E2B" w:rsidP="00077C1B">
      <w:pPr>
        <w:widowControl/>
        <w:spacing w:line="360" w:lineRule="auto"/>
        <w:ind w:firstLine="1440"/>
        <w:rPr>
          <w:sz w:val="26"/>
          <w:szCs w:val="26"/>
        </w:rPr>
      </w:pPr>
      <w:r w:rsidRPr="00077C1B">
        <w:rPr>
          <w:sz w:val="26"/>
          <w:szCs w:val="26"/>
        </w:rPr>
        <w:t xml:space="preserve">On </w:t>
      </w:r>
      <w:r w:rsidR="00893C38" w:rsidRPr="00077C1B">
        <w:rPr>
          <w:sz w:val="26"/>
          <w:szCs w:val="26"/>
        </w:rPr>
        <w:t>January 10, 2019</w:t>
      </w:r>
      <w:r w:rsidRPr="00077C1B">
        <w:rPr>
          <w:sz w:val="26"/>
          <w:szCs w:val="26"/>
        </w:rPr>
        <w:t xml:space="preserve">, </w:t>
      </w:r>
      <w:r w:rsidR="00EB335F" w:rsidRPr="00077C1B">
        <w:rPr>
          <w:sz w:val="26"/>
          <w:szCs w:val="26"/>
        </w:rPr>
        <w:t xml:space="preserve">Ms. Poe-Henderson </w:t>
      </w:r>
      <w:r w:rsidR="0066095F" w:rsidRPr="00077C1B">
        <w:rPr>
          <w:sz w:val="26"/>
          <w:szCs w:val="26"/>
        </w:rPr>
        <w:t xml:space="preserve">filed </w:t>
      </w:r>
      <w:r w:rsidR="00EB335F" w:rsidRPr="00077C1B">
        <w:rPr>
          <w:sz w:val="26"/>
          <w:szCs w:val="26"/>
        </w:rPr>
        <w:t xml:space="preserve">a Petition for </w:t>
      </w:r>
      <w:r w:rsidR="00A5453B" w:rsidRPr="00077C1B">
        <w:rPr>
          <w:sz w:val="26"/>
          <w:szCs w:val="26"/>
        </w:rPr>
        <w:t>Rescission</w:t>
      </w:r>
      <w:r w:rsidR="00EB335F" w:rsidRPr="00077C1B">
        <w:rPr>
          <w:sz w:val="26"/>
          <w:szCs w:val="26"/>
        </w:rPr>
        <w:t xml:space="preserve"> of the </w:t>
      </w:r>
      <w:r w:rsidR="00893C38" w:rsidRPr="00077C1B">
        <w:rPr>
          <w:i/>
          <w:iCs/>
          <w:sz w:val="26"/>
          <w:szCs w:val="26"/>
        </w:rPr>
        <w:t>December 2019 Final Order</w:t>
      </w:r>
      <w:r w:rsidR="00DE6283" w:rsidRPr="00077C1B">
        <w:rPr>
          <w:sz w:val="26"/>
          <w:szCs w:val="26"/>
        </w:rPr>
        <w:t xml:space="preserve">.  </w:t>
      </w:r>
      <w:r w:rsidR="0087367C" w:rsidRPr="00077C1B">
        <w:rPr>
          <w:sz w:val="26"/>
          <w:szCs w:val="26"/>
        </w:rPr>
        <w:t xml:space="preserve">On July </w:t>
      </w:r>
      <w:r w:rsidR="00FD609D" w:rsidRPr="00077C1B">
        <w:rPr>
          <w:sz w:val="26"/>
          <w:szCs w:val="26"/>
        </w:rPr>
        <w:t>10</w:t>
      </w:r>
      <w:r w:rsidR="0087367C" w:rsidRPr="00077C1B">
        <w:rPr>
          <w:sz w:val="26"/>
          <w:szCs w:val="26"/>
        </w:rPr>
        <w:t>, 2020,</w:t>
      </w:r>
      <w:r w:rsidR="0087367C" w:rsidRPr="00077C1B">
        <w:rPr>
          <w:rStyle w:val="FootnoteReference"/>
          <w:sz w:val="26"/>
          <w:szCs w:val="26"/>
        </w:rPr>
        <w:footnoteReference w:id="6"/>
      </w:r>
      <w:r w:rsidR="00A53B95" w:rsidRPr="00077C1B">
        <w:rPr>
          <w:sz w:val="26"/>
          <w:szCs w:val="26"/>
        </w:rPr>
        <w:t xml:space="preserve"> </w:t>
      </w:r>
      <w:r w:rsidR="00EB335F" w:rsidRPr="00077C1B">
        <w:rPr>
          <w:sz w:val="26"/>
          <w:szCs w:val="26"/>
        </w:rPr>
        <w:t xml:space="preserve">PGW </w:t>
      </w:r>
      <w:r w:rsidR="00032C88" w:rsidRPr="00077C1B">
        <w:rPr>
          <w:sz w:val="26"/>
          <w:szCs w:val="26"/>
        </w:rPr>
        <w:t>file</w:t>
      </w:r>
      <w:r w:rsidR="00A53B95" w:rsidRPr="00077C1B">
        <w:rPr>
          <w:sz w:val="26"/>
          <w:szCs w:val="26"/>
        </w:rPr>
        <w:t>d</w:t>
      </w:r>
      <w:r w:rsidR="00EB335F" w:rsidRPr="00077C1B">
        <w:rPr>
          <w:sz w:val="26"/>
          <w:szCs w:val="26"/>
        </w:rPr>
        <w:t xml:space="preserve"> a response to the Petition.</w:t>
      </w:r>
    </w:p>
    <w:p w14:paraId="6CCEC4A9" w14:textId="77777777" w:rsidR="009A482F" w:rsidRPr="00077C1B" w:rsidRDefault="009A482F" w:rsidP="00077C1B">
      <w:pPr>
        <w:widowControl/>
        <w:spacing w:line="360" w:lineRule="auto"/>
        <w:ind w:firstLine="1440"/>
        <w:rPr>
          <w:b/>
          <w:sz w:val="26"/>
          <w:szCs w:val="26"/>
        </w:rPr>
      </w:pPr>
    </w:p>
    <w:p w14:paraId="7876E939" w14:textId="612563AB" w:rsidR="001F0176" w:rsidRPr="00077C1B" w:rsidRDefault="001F0176" w:rsidP="00077C1B">
      <w:pPr>
        <w:pStyle w:val="ListParagraph"/>
        <w:keepNext/>
        <w:keepLines/>
        <w:widowControl/>
        <w:numPr>
          <w:ilvl w:val="0"/>
          <w:numId w:val="6"/>
        </w:numPr>
        <w:spacing w:line="360" w:lineRule="auto"/>
        <w:ind w:left="0" w:firstLine="0"/>
        <w:jc w:val="center"/>
        <w:outlineLvl w:val="0"/>
        <w:rPr>
          <w:b/>
          <w:sz w:val="26"/>
          <w:szCs w:val="26"/>
        </w:rPr>
      </w:pPr>
      <w:bookmarkStart w:id="2" w:name="_Toc42780241"/>
      <w:r w:rsidRPr="00077C1B">
        <w:rPr>
          <w:b/>
          <w:sz w:val="26"/>
          <w:szCs w:val="26"/>
        </w:rPr>
        <w:t>Discussion</w:t>
      </w:r>
      <w:bookmarkEnd w:id="2"/>
    </w:p>
    <w:p w14:paraId="726D724E" w14:textId="77777777" w:rsidR="005B6D26" w:rsidRPr="00077C1B" w:rsidRDefault="005B6D26" w:rsidP="00077C1B">
      <w:pPr>
        <w:keepNext/>
        <w:keepLines/>
        <w:widowControl/>
        <w:spacing w:line="360" w:lineRule="auto"/>
        <w:ind w:left="360"/>
        <w:outlineLvl w:val="0"/>
        <w:rPr>
          <w:b/>
          <w:sz w:val="26"/>
          <w:szCs w:val="26"/>
        </w:rPr>
      </w:pPr>
    </w:p>
    <w:p w14:paraId="04DE2054" w14:textId="50EC872A" w:rsidR="00AC6661" w:rsidRPr="00077C1B" w:rsidRDefault="005B6D26" w:rsidP="00077C1B">
      <w:pPr>
        <w:keepNext/>
        <w:keepLines/>
        <w:widowControl/>
        <w:overflowPunct w:val="0"/>
        <w:autoSpaceDE w:val="0"/>
        <w:autoSpaceDN w:val="0"/>
        <w:adjustRightInd w:val="0"/>
        <w:spacing w:line="360" w:lineRule="auto"/>
        <w:ind w:firstLine="1440"/>
        <w:textAlignment w:val="baseline"/>
        <w:rPr>
          <w:sz w:val="26"/>
          <w:szCs w:val="26"/>
        </w:rPr>
      </w:pPr>
      <w:r w:rsidRPr="00077C1B">
        <w:rPr>
          <w:sz w:val="26"/>
          <w:szCs w:val="26"/>
        </w:rPr>
        <w:t>At the outset, we note that any issue that we do not specifically delineate shall be deemed to have been duly considered and denied without further discussion.  It is well-settled that the Commission is not required to consider expressly or at length each</w:t>
      </w:r>
      <w:r w:rsidR="00E801B3" w:rsidRPr="00077C1B">
        <w:rPr>
          <w:sz w:val="26"/>
          <w:szCs w:val="26"/>
        </w:rPr>
        <w:t xml:space="preserve"> </w:t>
      </w:r>
      <w:r w:rsidRPr="00077C1B">
        <w:rPr>
          <w:sz w:val="26"/>
          <w:szCs w:val="26"/>
        </w:rPr>
        <w:t xml:space="preserve">contention or argument raised by the parties.  </w:t>
      </w:r>
      <w:r w:rsidRPr="00077C1B">
        <w:rPr>
          <w:i/>
          <w:sz w:val="26"/>
          <w:szCs w:val="26"/>
        </w:rPr>
        <w:t>Consolidated Rail Corp. v. Pa. PUC</w:t>
      </w:r>
      <w:r w:rsidRPr="00077C1B">
        <w:rPr>
          <w:sz w:val="26"/>
          <w:szCs w:val="26"/>
        </w:rPr>
        <w:t>, 625</w:t>
      </w:r>
      <w:r w:rsidR="001777B9" w:rsidRPr="00077C1B">
        <w:rPr>
          <w:sz w:val="26"/>
          <w:szCs w:val="26"/>
        </w:rPr>
        <w:t> </w:t>
      </w:r>
      <w:r w:rsidRPr="00077C1B">
        <w:rPr>
          <w:sz w:val="26"/>
          <w:szCs w:val="26"/>
        </w:rPr>
        <w:t xml:space="preserve">A.2d 741 (Pa. Cmwlth. 1993); </w:t>
      </w:r>
      <w:r w:rsidRPr="00077C1B">
        <w:rPr>
          <w:i/>
          <w:sz w:val="26"/>
          <w:szCs w:val="26"/>
        </w:rPr>
        <w:t>also see, generally, University of Pennsylvania v. Pa.</w:t>
      </w:r>
      <w:r w:rsidR="001777B9" w:rsidRPr="00077C1B">
        <w:rPr>
          <w:sz w:val="26"/>
          <w:szCs w:val="26"/>
        </w:rPr>
        <w:t> </w:t>
      </w:r>
      <w:r w:rsidRPr="00077C1B">
        <w:rPr>
          <w:i/>
          <w:sz w:val="26"/>
          <w:szCs w:val="26"/>
        </w:rPr>
        <w:t>PUC</w:t>
      </w:r>
      <w:r w:rsidRPr="00077C1B">
        <w:rPr>
          <w:sz w:val="26"/>
          <w:szCs w:val="26"/>
        </w:rPr>
        <w:t>, 485 A.2d 1217 (Pa. Cmwlth. 1984).</w:t>
      </w:r>
    </w:p>
    <w:p w14:paraId="5E17E5FE" w14:textId="55DF2E4B" w:rsidR="00604B16" w:rsidRPr="00077C1B" w:rsidRDefault="00604B16" w:rsidP="00077C1B">
      <w:pPr>
        <w:widowControl/>
        <w:overflowPunct w:val="0"/>
        <w:autoSpaceDE w:val="0"/>
        <w:autoSpaceDN w:val="0"/>
        <w:adjustRightInd w:val="0"/>
        <w:spacing w:line="360" w:lineRule="auto"/>
        <w:ind w:firstLine="1440"/>
        <w:textAlignment w:val="baseline"/>
        <w:rPr>
          <w:sz w:val="26"/>
          <w:szCs w:val="26"/>
        </w:rPr>
      </w:pPr>
    </w:p>
    <w:p w14:paraId="49A81A1D" w14:textId="77777777" w:rsidR="00460C2C" w:rsidRPr="00077C1B" w:rsidRDefault="00460C2C" w:rsidP="00077C1B">
      <w:pPr>
        <w:keepNext/>
        <w:keepLines/>
        <w:widowControl/>
        <w:suppressAutoHyphens/>
        <w:spacing w:line="360" w:lineRule="auto"/>
        <w:rPr>
          <w:b/>
          <w:sz w:val="26"/>
          <w:szCs w:val="26"/>
        </w:rPr>
      </w:pPr>
      <w:r w:rsidRPr="00077C1B">
        <w:rPr>
          <w:b/>
          <w:sz w:val="26"/>
          <w:szCs w:val="26"/>
        </w:rPr>
        <w:t>A.</w:t>
      </w:r>
      <w:r w:rsidRPr="00077C1B">
        <w:rPr>
          <w:b/>
          <w:sz w:val="26"/>
          <w:szCs w:val="26"/>
        </w:rPr>
        <w:tab/>
        <w:t>Nature of Filing</w:t>
      </w:r>
    </w:p>
    <w:p w14:paraId="50FEAE1D" w14:textId="77777777" w:rsidR="00460C2C" w:rsidRPr="00077C1B" w:rsidRDefault="00460C2C" w:rsidP="00077C1B">
      <w:pPr>
        <w:keepLines/>
        <w:widowControl/>
        <w:suppressAutoHyphens/>
        <w:spacing w:line="360" w:lineRule="auto"/>
        <w:rPr>
          <w:sz w:val="26"/>
          <w:szCs w:val="26"/>
        </w:rPr>
      </w:pPr>
    </w:p>
    <w:p w14:paraId="556A77BC" w14:textId="0713E6A7" w:rsidR="00460C2C" w:rsidRPr="00077C1B" w:rsidRDefault="00460C2C" w:rsidP="00077C1B">
      <w:pPr>
        <w:widowControl/>
        <w:suppressAutoHyphens/>
        <w:spacing w:line="360" w:lineRule="auto"/>
        <w:ind w:firstLine="1440"/>
        <w:rPr>
          <w:sz w:val="26"/>
          <w:szCs w:val="26"/>
        </w:rPr>
      </w:pPr>
      <w:r w:rsidRPr="00077C1B">
        <w:rPr>
          <w:sz w:val="26"/>
          <w:szCs w:val="26"/>
        </w:rPr>
        <w:lastRenderedPageBreak/>
        <w:t>We must consider the nature of the Complainant’s filing because the analysis to be applied depends on the type of filing before us.  In her filing, the Complainant requests “reconsideration” of the Initial Decision and requests another hearing.  Pursuant to Section 5.572(c) of our Regulations</w:t>
      </w:r>
      <w:r w:rsidRPr="00077C1B">
        <w:rPr>
          <w:color w:val="000000"/>
          <w:sz w:val="26"/>
          <w:szCs w:val="26"/>
        </w:rPr>
        <w:t xml:space="preserve">, reconsideration petitions must be filed within fifteen days after the Commission order involved is entered.  The Complainant filed her </w:t>
      </w:r>
      <w:r w:rsidR="003E552E" w:rsidRPr="00077C1B">
        <w:rPr>
          <w:color w:val="000000"/>
          <w:sz w:val="26"/>
          <w:szCs w:val="26"/>
        </w:rPr>
        <w:t>P</w:t>
      </w:r>
      <w:r w:rsidRPr="00077C1B">
        <w:rPr>
          <w:color w:val="000000"/>
          <w:sz w:val="26"/>
          <w:szCs w:val="26"/>
        </w:rPr>
        <w:t xml:space="preserve">etition after this time period, but she </w:t>
      </w:r>
      <w:r w:rsidRPr="00077C1B">
        <w:rPr>
          <w:sz w:val="26"/>
          <w:szCs w:val="26"/>
        </w:rPr>
        <w:t>states no reason in her filing to support why the Commission should consider the petition as timely filed.</w:t>
      </w:r>
      <w:r w:rsidRPr="00077C1B">
        <w:rPr>
          <w:rStyle w:val="FootnoteReference"/>
          <w:sz w:val="26"/>
          <w:szCs w:val="26"/>
        </w:rPr>
        <w:footnoteReference w:id="7"/>
      </w:r>
      <w:r w:rsidRPr="00077C1B">
        <w:rPr>
          <w:sz w:val="26"/>
          <w:szCs w:val="26"/>
        </w:rPr>
        <w:t xml:space="preserve">  Thus, if we deemed her filing as a reconsideration petition, it is time-barred.  Accordingly, to give meaningful consideration to the Complainant’s request, we will treat the Complainant’s filing as a Petition for Rescission or Amendment of the </w:t>
      </w:r>
      <w:r w:rsidR="00147290" w:rsidRPr="00077C1B">
        <w:rPr>
          <w:i/>
          <w:sz w:val="26"/>
          <w:szCs w:val="26"/>
        </w:rPr>
        <w:t>December 2019</w:t>
      </w:r>
      <w:r w:rsidRPr="00077C1B">
        <w:rPr>
          <w:i/>
          <w:sz w:val="26"/>
          <w:szCs w:val="26"/>
        </w:rPr>
        <w:t xml:space="preserve"> Final Order</w:t>
      </w:r>
      <w:r w:rsidRPr="00077C1B">
        <w:rPr>
          <w:sz w:val="26"/>
          <w:szCs w:val="26"/>
        </w:rPr>
        <w:t>, since a Petition for Rescission or Amendment may be filed at any time.  66 Pa. C.S. §</w:t>
      </w:r>
      <w:r w:rsidR="00147290" w:rsidRPr="00077C1B">
        <w:rPr>
          <w:sz w:val="26"/>
          <w:szCs w:val="26"/>
        </w:rPr>
        <w:t> </w:t>
      </w:r>
      <w:r w:rsidRPr="00077C1B">
        <w:rPr>
          <w:sz w:val="26"/>
          <w:szCs w:val="26"/>
        </w:rPr>
        <w:t>703(g); 52 Pa. Code § 5.572(d).</w:t>
      </w:r>
    </w:p>
    <w:p w14:paraId="42004E1A" w14:textId="6BDD05D3" w:rsidR="00460C2C" w:rsidRPr="00077C1B" w:rsidRDefault="00460C2C" w:rsidP="00077C1B">
      <w:pPr>
        <w:keepNext/>
        <w:keepLines/>
        <w:widowControl/>
        <w:overflowPunct w:val="0"/>
        <w:autoSpaceDE w:val="0"/>
        <w:autoSpaceDN w:val="0"/>
        <w:adjustRightInd w:val="0"/>
        <w:spacing w:line="360" w:lineRule="auto"/>
        <w:ind w:firstLine="1440"/>
        <w:textAlignment w:val="baseline"/>
        <w:rPr>
          <w:sz w:val="26"/>
          <w:szCs w:val="26"/>
        </w:rPr>
      </w:pPr>
    </w:p>
    <w:p w14:paraId="32AE1DD9" w14:textId="77777777" w:rsidR="00717D31" w:rsidRPr="00077C1B" w:rsidRDefault="00717D31" w:rsidP="00077C1B">
      <w:pPr>
        <w:keepNext/>
        <w:keepLines/>
        <w:widowControl/>
        <w:suppressAutoHyphens/>
        <w:spacing w:line="360" w:lineRule="auto"/>
        <w:rPr>
          <w:b/>
          <w:sz w:val="26"/>
          <w:szCs w:val="26"/>
        </w:rPr>
      </w:pPr>
      <w:r w:rsidRPr="00077C1B">
        <w:rPr>
          <w:b/>
          <w:sz w:val="26"/>
          <w:szCs w:val="26"/>
        </w:rPr>
        <w:t>B.</w:t>
      </w:r>
      <w:r w:rsidRPr="00077C1B">
        <w:rPr>
          <w:b/>
          <w:sz w:val="26"/>
          <w:szCs w:val="26"/>
        </w:rPr>
        <w:tab/>
        <w:t>Legal Standards</w:t>
      </w:r>
    </w:p>
    <w:p w14:paraId="5CBBE51F" w14:textId="77777777" w:rsidR="00717D31" w:rsidRPr="00077C1B" w:rsidRDefault="00717D31" w:rsidP="00077C1B">
      <w:pPr>
        <w:keepNext/>
        <w:keepLines/>
        <w:widowControl/>
        <w:spacing w:line="360" w:lineRule="auto"/>
        <w:ind w:firstLine="1440"/>
        <w:rPr>
          <w:sz w:val="26"/>
          <w:szCs w:val="26"/>
        </w:rPr>
      </w:pPr>
    </w:p>
    <w:p w14:paraId="2F51C78E" w14:textId="6912F928" w:rsidR="00717D31" w:rsidRPr="00077C1B" w:rsidRDefault="00717D31" w:rsidP="00077C1B">
      <w:pPr>
        <w:widowControl/>
        <w:spacing w:line="360" w:lineRule="auto"/>
        <w:ind w:firstLine="1440"/>
        <w:contextualSpacing/>
        <w:rPr>
          <w:sz w:val="26"/>
          <w:szCs w:val="26"/>
        </w:rPr>
      </w:pPr>
      <w:r w:rsidRPr="00077C1B">
        <w:rPr>
          <w:sz w:val="26"/>
          <w:szCs w:val="26"/>
        </w:rPr>
        <w:t xml:space="preserve">The </w:t>
      </w:r>
      <w:r w:rsidR="00877B07" w:rsidRPr="00077C1B">
        <w:rPr>
          <w:rFonts w:eastAsiaTheme="minorHAnsi"/>
          <w:sz w:val="26"/>
          <w:szCs w:val="26"/>
        </w:rPr>
        <w:t>Public Utility Code</w:t>
      </w:r>
      <w:r w:rsidR="00877B07" w:rsidRPr="00077C1B">
        <w:rPr>
          <w:sz w:val="26"/>
          <w:szCs w:val="26"/>
        </w:rPr>
        <w:t xml:space="preserve"> (</w:t>
      </w:r>
      <w:r w:rsidRPr="00077C1B">
        <w:rPr>
          <w:sz w:val="26"/>
          <w:szCs w:val="26"/>
        </w:rPr>
        <w:t>Code</w:t>
      </w:r>
      <w:r w:rsidR="00877B07" w:rsidRPr="00077C1B">
        <w:rPr>
          <w:sz w:val="26"/>
          <w:szCs w:val="26"/>
        </w:rPr>
        <w:t>)</w:t>
      </w:r>
      <w:r w:rsidRPr="00077C1B">
        <w:rPr>
          <w:sz w:val="26"/>
          <w:szCs w:val="26"/>
        </w:rPr>
        <w:t xml:space="preserve"> establishes a party’s right to seek relief following the issuance of our final decisions pursuant to Subsections 703(f) and (g), 66 Pa. C.S. §§ 703(f) and 703(g), relating to </w:t>
      </w:r>
      <w:proofErr w:type="spellStart"/>
      <w:r w:rsidRPr="00077C1B">
        <w:rPr>
          <w:sz w:val="26"/>
          <w:szCs w:val="26"/>
        </w:rPr>
        <w:t>rehearings</w:t>
      </w:r>
      <w:proofErr w:type="spellEnd"/>
      <w:r w:rsidRPr="00077C1B">
        <w:rPr>
          <w:sz w:val="26"/>
          <w:szCs w:val="26"/>
        </w:rPr>
        <w:t xml:space="preserve">, as well as rescission and amendment of orders.  </w:t>
      </w:r>
      <w:r w:rsidRPr="00077C1B">
        <w:rPr>
          <w:rFonts w:eastAsiaTheme="minorHAnsi"/>
          <w:sz w:val="26"/>
          <w:szCs w:val="26"/>
        </w:rPr>
        <w:t>Section 703(g) of the Code, 66 Pa. C.S. § 703(g), provides as follows:</w:t>
      </w:r>
    </w:p>
    <w:p w14:paraId="6F615EA3" w14:textId="77777777" w:rsidR="00717D31" w:rsidRPr="00077C1B" w:rsidRDefault="00717D31" w:rsidP="00077C1B">
      <w:pPr>
        <w:widowControl/>
        <w:ind w:firstLine="1440"/>
        <w:contextualSpacing/>
        <w:rPr>
          <w:rFonts w:eastAsiaTheme="minorHAnsi"/>
          <w:sz w:val="26"/>
          <w:szCs w:val="26"/>
        </w:rPr>
      </w:pPr>
    </w:p>
    <w:p w14:paraId="05787B12" w14:textId="77777777" w:rsidR="00717D31" w:rsidRPr="00077C1B" w:rsidRDefault="00717D31" w:rsidP="00077C1B">
      <w:pPr>
        <w:widowControl/>
        <w:ind w:left="1440" w:right="1440"/>
        <w:rPr>
          <w:sz w:val="26"/>
          <w:szCs w:val="26"/>
        </w:rPr>
      </w:pPr>
      <w:r w:rsidRPr="00077C1B">
        <w:rPr>
          <w:rFonts w:eastAsiaTheme="minorHAnsi"/>
          <w:sz w:val="26"/>
          <w:szCs w:val="26"/>
        </w:rPr>
        <w:t xml:space="preserve">The commission may, at any time, after notice and after opportunity to be heard as provided in this chapter, rescind or amend any order made by it.  Any order rescinding or </w:t>
      </w:r>
      <w:r w:rsidRPr="00077C1B">
        <w:rPr>
          <w:rFonts w:eastAsiaTheme="minorHAnsi"/>
          <w:sz w:val="26"/>
          <w:szCs w:val="26"/>
        </w:rPr>
        <w:lastRenderedPageBreak/>
        <w:t>amending a prior order shall, when served upon the person, corporation, or municipal corporation affected, and after notice thereof is given to the other parties to the proceedings, have the same effect as is herein provided for original orders.</w:t>
      </w:r>
    </w:p>
    <w:p w14:paraId="7A160BB8" w14:textId="77777777" w:rsidR="00717D31" w:rsidRPr="00077C1B" w:rsidRDefault="00717D31" w:rsidP="00077C1B">
      <w:pPr>
        <w:widowControl/>
        <w:spacing w:line="360" w:lineRule="auto"/>
        <w:ind w:firstLine="1440"/>
        <w:rPr>
          <w:sz w:val="26"/>
          <w:szCs w:val="26"/>
        </w:rPr>
      </w:pPr>
    </w:p>
    <w:p w14:paraId="4803DC89" w14:textId="7E87F230" w:rsidR="00B779D2" w:rsidRPr="00077C1B" w:rsidRDefault="00717D31" w:rsidP="00077C1B">
      <w:pPr>
        <w:pStyle w:val="FootnoteText"/>
        <w:widowControl/>
        <w:spacing w:line="360" w:lineRule="auto"/>
        <w:ind w:firstLine="1440"/>
        <w:rPr>
          <w:rFonts w:eastAsia="Calibri"/>
          <w:sz w:val="26"/>
          <w:szCs w:val="26"/>
        </w:rPr>
      </w:pPr>
      <w:r w:rsidRPr="00077C1B">
        <w:rPr>
          <w:sz w:val="26"/>
          <w:szCs w:val="26"/>
        </w:rPr>
        <w:t>Such requests for relief must be consistent with Section 5.572 of our Regulations, 52 Pa. Code § 5.572, relating to petitions for relief following the issuance of a final decision.</w:t>
      </w:r>
      <w:r w:rsidRPr="00077C1B">
        <w:rPr>
          <w:rStyle w:val="FootnoteReference"/>
          <w:sz w:val="26"/>
          <w:szCs w:val="26"/>
        </w:rPr>
        <w:footnoteReference w:id="8"/>
      </w:r>
      <w:r w:rsidR="00B779D2" w:rsidRPr="00077C1B">
        <w:rPr>
          <w:sz w:val="26"/>
          <w:szCs w:val="26"/>
        </w:rPr>
        <w:t xml:space="preserve">  </w:t>
      </w:r>
      <w:r w:rsidR="00B779D2" w:rsidRPr="00077C1B">
        <w:rPr>
          <w:rFonts w:eastAsia="Calibri"/>
          <w:sz w:val="26"/>
          <w:szCs w:val="26"/>
        </w:rPr>
        <w:t xml:space="preserve">In such cases, the petition must allege circumstances which warrant disturbing the finality of orders to grant special relief.  </w:t>
      </w:r>
      <w:proofErr w:type="spellStart"/>
      <w:r w:rsidR="00B779D2" w:rsidRPr="00077C1B">
        <w:rPr>
          <w:rFonts w:eastAsia="Calibri"/>
          <w:i/>
          <w:iCs/>
          <w:sz w:val="26"/>
          <w:szCs w:val="26"/>
        </w:rPr>
        <w:t>Feleccia</w:t>
      </w:r>
      <w:proofErr w:type="spellEnd"/>
      <w:r w:rsidR="00B779D2" w:rsidRPr="00077C1B">
        <w:rPr>
          <w:rFonts w:eastAsia="Calibri"/>
          <w:i/>
          <w:iCs/>
          <w:sz w:val="26"/>
          <w:szCs w:val="26"/>
        </w:rPr>
        <w:t xml:space="preserve"> v. PPL Electric Utilities Corp.</w:t>
      </w:r>
      <w:r w:rsidR="00B779D2" w:rsidRPr="00077C1B">
        <w:rPr>
          <w:rFonts w:eastAsia="Calibri"/>
          <w:sz w:val="26"/>
          <w:szCs w:val="26"/>
        </w:rPr>
        <w:t xml:space="preserve"> </w:t>
      </w:r>
      <w:r w:rsidR="00B779D2" w:rsidRPr="00077C1B">
        <w:rPr>
          <w:rFonts w:eastAsia="Calibri"/>
          <w:i/>
          <w:sz w:val="26"/>
          <w:szCs w:val="26"/>
        </w:rPr>
        <w:t>et al</w:t>
      </w:r>
      <w:r w:rsidR="001777B9" w:rsidRPr="00077C1B">
        <w:rPr>
          <w:rFonts w:eastAsia="Calibri"/>
          <w:i/>
          <w:sz w:val="26"/>
          <w:szCs w:val="26"/>
        </w:rPr>
        <w:t>.</w:t>
      </w:r>
      <w:r w:rsidR="00B779D2" w:rsidRPr="00077C1B">
        <w:rPr>
          <w:rFonts w:eastAsia="Calibri"/>
          <w:sz w:val="26"/>
          <w:szCs w:val="26"/>
        </w:rPr>
        <w:t>, Docket No. C-20016210 (Order entered March 7, 2003) at 2.</w:t>
      </w:r>
    </w:p>
    <w:p w14:paraId="568FB6B9" w14:textId="77777777" w:rsidR="00717D31" w:rsidRPr="00077C1B" w:rsidRDefault="00717D31" w:rsidP="00077C1B">
      <w:pPr>
        <w:widowControl/>
        <w:spacing w:line="360" w:lineRule="auto"/>
        <w:ind w:firstLine="1440"/>
        <w:rPr>
          <w:sz w:val="26"/>
          <w:szCs w:val="26"/>
        </w:rPr>
      </w:pPr>
    </w:p>
    <w:p w14:paraId="3603D402" w14:textId="4E436341" w:rsidR="00B779D2" w:rsidRPr="00077C1B" w:rsidRDefault="00717D31" w:rsidP="00077C1B">
      <w:pPr>
        <w:widowControl/>
        <w:spacing w:line="360" w:lineRule="auto"/>
        <w:ind w:firstLine="1440"/>
        <w:rPr>
          <w:rFonts w:eastAsiaTheme="minorHAnsi"/>
          <w:sz w:val="26"/>
          <w:szCs w:val="26"/>
        </w:rPr>
      </w:pPr>
      <w:r w:rsidRPr="00077C1B">
        <w:rPr>
          <w:rFonts w:eastAsiaTheme="minorHAnsi"/>
          <w:sz w:val="26"/>
          <w:szCs w:val="26"/>
        </w:rPr>
        <w:t xml:space="preserve">By the terms of Section 703(g) of the Code, the Commission has the power to amend or rescind its own orders at any time subject only to the requirements of due process of notice and opportunity to be heard. </w:t>
      </w:r>
      <w:r w:rsidRPr="00077C1B">
        <w:rPr>
          <w:rFonts w:eastAsiaTheme="minorHAnsi"/>
          <w:i/>
          <w:sz w:val="26"/>
          <w:szCs w:val="26"/>
        </w:rPr>
        <w:t xml:space="preserve"> </w:t>
      </w:r>
      <w:r w:rsidRPr="00077C1B">
        <w:rPr>
          <w:rFonts w:eastAsiaTheme="minorHAnsi"/>
          <w:sz w:val="26"/>
          <w:szCs w:val="26"/>
        </w:rPr>
        <w:t xml:space="preserve">66 Pa. C.S. § 703(g); </w:t>
      </w:r>
      <w:r w:rsidRPr="00077C1B">
        <w:rPr>
          <w:rFonts w:eastAsiaTheme="minorHAnsi"/>
          <w:i/>
          <w:sz w:val="26"/>
          <w:szCs w:val="26"/>
        </w:rPr>
        <w:t>see Department of Highways v. Pa. PUC</w:t>
      </w:r>
      <w:r w:rsidRPr="00077C1B">
        <w:rPr>
          <w:rFonts w:eastAsiaTheme="minorHAnsi"/>
          <w:sz w:val="26"/>
          <w:szCs w:val="26"/>
        </w:rPr>
        <w:t>, 138 A.2d 143 (</w:t>
      </w:r>
      <w:r w:rsidR="00024DB6" w:rsidRPr="00077C1B">
        <w:rPr>
          <w:rFonts w:eastAsiaTheme="minorHAnsi"/>
          <w:sz w:val="26"/>
          <w:szCs w:val="26"/>
        </w:rPr>
        <w:t xml:space="preserve">Pa. Super. </w:t>
      </w:r>
      <w:r w:rsidRPr="00077C1B">
        <w:rPr>
          <w:rFonts w:eastAsiaTheme="minorHAnsi"/>
          <w:sz w:val="26"/>
          <w:szCs w:val="26"/>
        </w:rPr>
        <w:t>1958) (</w:t>
      </w:r>
      <w:r w:rsidRPr="00077C1B">
        <w:rPr>
          <w:rFonts w:eastAsiaTheme="minorHAnsi"/>
          <w:i/>
          <w:sz w:val="26"/>
          <w:szCs w:val="26"/>
        </w:rPr>
        <w:t>Department of Highways</w:t>
      </w:r>
      <w:r w:rsidRPr="00077C1B">
        <w:rPr>
          <w:rFonts w:eastAsiaTheme="minorHAnsi"/>
          <w:sz w:val="26"/>
          <w:szCs w:val="26"/>
        </w:rPr>
        <w:t xml:space="preserve">).  </w:t>
      </w:r>
      <w:r w:rsidR="00B779D2" w:rsidRPr="00077C1B">
        <w:rPr>
          <w:rFonts w:eastAsiaTheme="minorHAnsi"/>
          <w:sz w:val="26"/>
          <w:szCs w:val="26"/>
        </w:rPr>
        <w:t>Section 703(g) of the Code states:</w:t>
      </w:r>
    </w:p>
    <w:p w14:paraId="4BE92DC9" w14:textId="77777777" w:rsidR="00B779D2" w:rsidRPr="00077C1B" w:rsidRDefault="00B779D2" w:rsidP="00077C1B">
      <w:pPr>
        <w:widowControl/>
        <w:ind w:firstLine="1440"/>
        <w:rPr>
          <w:rFonts w:eastAsiaTheme="minorHAnsi"/>
          <w:sz w:val="26"/>
          <w:szCs w:val="26"/>
        </w:rPr>
      </w:pPr>
    </w:p>
    <w:p w14:paraId="4B8E68C9" w14:textId="77777777" w:rsidR="00B779D2" w:rsidRPr="00077C1B" w:rsidRDefault="00B779D2" w:rsidP="00077C1B">
      <w:pPr>
        <w:widowControl/>
        <w:ind w:left="1440" w:right="1440"/>
        <w:rPr>
          <w:rFonts w:eastAsiaTheme="minorHAnsi"/>
          <w:sz w:val="26"/>
          <w:szCs w:val="26"/>
        </w:rPr>
      </w:pPr>
      <w:r w:rsidRPr="00077C1B">
        <w:rPr>
          <w:rFonts w:eastAsiaTheme="minorHAnsi"/>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3156CF05" w14:textId="77777777" w:rsidR="00B779D2" w:rsidRPr="00077C1B" w:rsidRDefault="00B779D2" w:rsidP="00077C1B">
      <w:pPr>
        <w:widowControl/>
        <w:spacing w:line="360" w:lineRule="auto"/>
        <w:ind w:left="1440"/>
        <w:rPr>
          <w:rFonts w:eastAsiaTheme="minorHAnsi"/>
          <w:sz w:val="26"/>
          <w:szCs w:val="26"/>
        </w:rPr>
      </w:pPr>
    </w:p>
    <w:p w14:paraId="1845E06A" w14:textId="701D375E" w:rsidR="00B779D2" w:rsidRPr="00077C1B" w:rsidRDefault="00B779D2" w:rsidP="00077C1B">
      <w:pPr>
        <w:widowControl/>
        <w:spacing w:line="360" w:lineRule="auto"/>
        <w:rPr>
          <w:rFonts w:eastAsiaTheme="minorHAnsi"/>
          <w:sz w:val="26"/>
          <w:szCs w:val="26"/>
        </w:rPr>
      </w:pPr>
      <w:r w:rsidRPr="00077C1B">
        <w:rPr>
          <w:rFonts w:eastAsiaTheme="minorHAnsi"/>
          <w:sz w:val="26"/>
          <w:szCs w:val="26"/>
        </w:rPr>
        <w:t xml:space="preserve">66 Pa. C.S. § 703(g); </w:t>
      </w:r>
      <w:r w:rsidRPr="00077C1B">
        <w:rPr>
          <w:rFonts w:eastAsiaTheme="minorHAnsi"/>
          <w:i/>
          <w:sz w:val="26"/>
          <w:szCs w:val="26"/>
        </w:rPr>
        <w:t>see also</w:t>
      </w:r>
      <w:r w:rsidRPr="00077C1B">
        <w:rPr>
          <w:rFonts w:eastAsiaTheme="minorHAnsi"/>
          <w:sz w:val="26"/>
          <w:szCs w:val="26"/>
        </w:rPr>
        <w:t xml:space="preserve"> </w:t>
      </w:r>
      <w:r w:rsidRPr="00077C1B">
        <w:rPr>
          <w:rFonts w:eastAsiaTheme="minorHAnsi"/>
          <w:i/>
          <w:iCs/>
          <w:sz w:val="26"/>
          <w:szCs w:val="26"/>
        </w:rPr>
        <w:t>Department of Highways v. Pa. PUC</w:t>
      </w:r>
      <w:r w:rsidRPr="00077C1B">
        <w:rPr>
          <w:rFonts w:eastAsiaTheme="minorHAnsi"/>
          <w:sz w:val="26"/>
          <w:szCs w:val="26"/>
        </w:rPr>
        <w:t>, 138 A.2d 143 (Pa.</w:t>
      </w:r>
      <w:r w:rsidR="001777B9" w:rsidRPr="00077C1B">
        <w:rPr>
          <w:rFonts w:eastAsiaTheme="minorHAnsi"/>
          <w:sz w:val="26"/>
          <w:szCs w:val="26"/>
        </w:rPr>
        <w:t> </w:t>
      </w:r>
      <w:r w:rsidRPr="00077C1B">
        <w:rPr>
          <w:rFonts w:eastAsiaTheme="minorHAnsi"/>
          <w:sz w:val="26"/>
          <w:szCs w:val="26"/>
        </w:rPr>
        <w:t>Super. 1958).</w:t>
      </w:r>
    </w:p>
    <w:p w14:paraId="630C9E77" w14:textId="77777777" w:rsidR="00B779D2" w:rsidRPr="00077C1B" w:rsidRDefault="00B779D2" w:rsidP="00077C1B">
      <w:pPr>
        <w:widowControl/>
        <w:spacing w:line="360" w:lineRule="auto"/>
        <w:ind w:firstLine="1440"/>
        <w:rPr>
          <w:rFonts w:eastAsiaTheme="minorHAnsi"/>
          <w:sz w:val="26"/>
          <w:szCs w:val="26"/>
        </w:rPr>
      </w:pPr>
    </w:p>
    <w:p w14:paraId="6261AB46" w14:textId="13B56944" w:rsidR="00717D31" w:rsidRPr="00077C1B" w:rsidRDefault="00717D31" w:rsidP="00077C1B">
      <w:pPr>
        <w:widowControl/>
        <w:spacing w:line="360" w:lineRule="auto"/>
        <w:ind w:firstLine="1440"/>
        <w:rPr>
          <w:color w:val="000000"/>
          <w:sz w:val="26"/>
          <w:szCs w:val="26"/>
          <w:u w:color="000000"/>
        </w:rPr>
      </w:pPr>
      <w:r w:rsidRPr="00077C1B">
        <w:rPr>
          <w:rFonts w:eastAsiaTheme="minorHAnsi"/>
          <w:sz w:val="26"/>
          <w:szCs w:val="26"/>
        </w:rPr>
        <w:lastRenderedPageBreak/>
        <w:t xml:space="preserve">However, </w:t>
      </w:r>
      <w:r w:rsidRPr="00077C1B">
        <w:rPr>
          <w:sz w:val="26"/>
          <w:szCs w:val="26"/>
        </w:rPr>
        <w:t xml:space="preserve">a petition to modify or rescind a final Commission decision may only “be granted judiciously and under appropriate circumstances,” because such an action results in the disturbance of final orders.  </w:t>
      </w:r>
      <w:r w:rsidRPr="00077C1B">
        <w:rPr>
          <w:i/>
          <w:sz w:val="26"/>
          <w:szCs w:val="26"/>
        </w:rPr>
        <w:t>City of Pittsburgh v. Pennsylvania Department of Transportation,</w:t>
      </w:r>
      <w:r w:rsidRPr="00077C1B">
        <w:rPr>
          <w:sz w:val="26"/>
          <w:szCs w:val="26"/>
        </w:rPr>
        <w:t xml:space="preserve"> 4</w:t>
      </w:r>
      <w:r w:rsidR="007F41FD" w:rsidRPr="00077C1B">
        <w:rPr>
          <w:sz w:val="26"/>
          <w:szCs w:val="26"/>
        </w:rPr>
        <w:t>90 Pa. 264, 416 A.2d 461 (1980);</w:t>
      </w:r>
      <w:r w:rsidRPr="00077C1B">
        <w:rPr>
          <w:sz w:val="26"/>
          <w:szCs w:val="26"/>
        </w:rPr>
        <w:t xml:space="preserve"> </w:t>
      </w:r>
      <w:r w:rsidR="007F41FD" w:rsidRPr="00077C1B">
        <w:rPr>
          <w:rFonts w:eastAsia="Calibri"/>
          <w:bCs/>
          <w:i/>
          <w:iCs/>
          <w:color w:val="000000"/>
          <w:sz w:val="26"/>
          <w:szCs w:val="26"/>
          <w:u w:color="000000"/>
        </w:rPr>
        <w:t>West Penn Power Co. v. Pa. PUC</w:t>
      </w:r>
      <w:r w:rsidR="007F41FD" w:rsidRPr="00077C1B">
        <w:rPr>
          <w:rFonts w:eastAsia="Calibri"/>
          <w:bCs/>
          <w:color w:val="000000"/>
          <w:sz w:val="26"/>
          <w:szCs w:val="26"/>
          <w:u w:color="000000"/>
        </w:rPr>
        <w:t>,</w:t>
      </w:r>
      <w:r w:rsidR="007F41FD" w:rsidRPr="00077C1B">
        <w:rPr>
          <w:rFonts w:eastAsia="Calibri"/>
          <w:bCs/>
          <w:i/>
          <w:iCs/>
          <w:color w:val="000000"/>
          <w:sz w:val="26"/>
          <w:szCs w:val="26"/>
          <w:u w:color="000000"/>
        </w:rPr>
        <w:t xml:space="preserve"> </w:t>
      </w:r>
      <w:r w:rsidR="007F41FD" w:rsidRPr="00077C1B">
        <w:rPr>
          <w:rFonts w:eastAsia="Calibri"/>
          <w:bCs/>
          <w:color w:val="000000"/>
          <w:sz w:val="26"/>
          <w:szCs w:val="26"/>
          <w:u w:color="000000"/>
        </w:rPr>
        <w:t>659 A.2d 1055 (Pa. Cmwlth. 1995)</w:t>
      </w:r>
      <w:r w:rsidR="001777B9" w:rsidRPr="00077C1B">
        <w:rPr>
          <w:rFonts w:eastAsia="Calibri"/>
          <w:bCs/>
          <w:color w:val="000000"/>
          <w:sz w:val="26"/>
          <w:szCs w:val="26"/>
          <w:u w:color="000000"/>
        </w:rPr>
        <w:t xml:space="preserve"> </w:t>
      </w:r>
      <w:r w:rsidR="007F41FD" w:rsidRPr="00077C1B">
        <w:rPr>
          <w:rFonts w:eastAsia="Calibri"/>
          <w:bCs/>
          <w:color w:val="000000"/>
          <w:sz w:val="26"/>
          <w:szCs w:val="26"/>
          <w:u w:color="000000"/>
        </w:rPr>
        <w:t>(</w:t>
      </w:r>
      <w:r w:rsidR="007F41FD" w:rsidRPr="00077C1B">
        <w:rPr>
          <w:rFonts w:eastAsia="Calibri"/>
          <w:bCs/>
          <w:i/>
          <w:iCs/>
          <w:color w:val="000000"/>
          <w:sz w:val="26"/>
          <w:szCs w:val="26"/>
          <w:u w:color="000000"/>
        </w:rPr>
        <w:t>West Penn Power</w:t>
      </w:r>
      <w:r w:rsidR="007F41FD" w:rsidRPr="00077C1B">
        <w:rPr>
          <w:rFonts w:eastAsia="Calibri"/>
          <w:bCs/>
          <w:color w:val="000000"/>
          <w:sz w:val="26"/>
          <w:szCs w:val="26"/>
          <w:u w:color="000000"/>
        </w:rPr>
        <w:t xml:space="preserve">); </w:t>
      </w:r>
      <w:proofErr w:type="spellStart"/>
      <w:r w:rsidR="007F41FD" w:rsidRPr="00077C1B">
        <w:rPr>
          <w:rFonts w:eastAsia="Calibri"/>
          <w:bCs/>
          <w:i/>
          <w:iCs/>
          <w:color w:val="000000"/>
          <w:sz w:val="26"/>
          <w:szCs w:val="26"/>
          <w:u w:color="000000"/>
        </w:rPr>
        <w:t>Feleccia</w:t>
      </w:r>
      <w:proofErr w:type="spellEnd"/>
      <w:r w:rsidR="007F41FD" w:rsidRPr="00077C1B">
        <w:rPr>
          <w:rFonts w:eastAsia="Calibri"/>
          <w:bCs/>
          <w:i/>
          <w:iCs/>
          <w:color w:val="000000"/>
          <w:sz w:val="26"/>
          <w:szCs w:val="26"/>
          <w:u w:color="000000"/>
        </w:rPr>
        <w:t xml:space="preserve"> v. PPL Electric Utilities Corp.</w:t>
      </w:r>
      <w:r w:rsidR="007F41FD" w:rsidRPr="00077C1B">
        <w:rPr>
          <w:rFonts w:eastAsia="Calibri"/>
          <w:bCs/>
          <w:color w:val="000000"/>
          <w:sz w:val="26"/>
          <w:szCs w:val="26"/>
          <w:u w:color="000000"/>
        </w:rPr>
        <w:t>, Docket No. C-20016210 (Order entered March 7, 2003) (</w:t>
      </w:r>
      <w:proofErr w:type="spellStart"/>
      <w:r w:rsidR="007F41FD" w:rsidRPr="00077C1B">
        <w:rPr>
          <w:rFonts w:eastAsia="Calibri"/>
          <w:bCs/>
          <w:i/>
          <w:iCs/>
          <w:color w:val="000000"/>
          <w:sz w:val="26"/>
          <w:szCs w:val="26"/>
          <w:u w:color="000000"/>
        </w:rPr>
        <w:t>Feleccia</w:t>
      </w:r>
      <w:proofErr w:type="spellEnd"/>
      <w:r w:rsidR="007F41FD" w:rsidRPr="00077C1B">
        <w:rPr>
          <w:rFonts w:eastAsia="Calibri"/>
          <w:bCs/>
          <w:color w:val="000000"/>
          <w:sz w:val="26"/>
          <w:szCs w:val="26"/>
          <w:u w:color="000000"/>
        </w:rPr>
        <w:t xml:space="preserve">). </w:t>
      </w:r>
      <w:r w:rsidR="00077C1B" w:rsidRPr="00077C1B">
        <w:rPr>
          <w:rFonts w:eastAsia="Calibri"/>
          <w:bCs/>
          <w:color w:val="000000"/>
          <w:sz w:val="26"/>
          <w:szCs w:val="26"/>
          <w:u w:color="000000"/>
        </w:rPr>
        <w:t xml:space="preserve"> </w:t>
      </w:r>
      <w:r w:rsidRPr="00077C1B">
        <w:rPr>
          <w:color w:val="000000"/>
          <w:sz w:val="26"/>
          <w:szCs w:val="26"/>
          <w:u w:color="000000"/>
        </w:rPr>
        <w:t xml:space="preserve">Such petitions are likely to succeed only when they raise “new and novel arguments” not previously heard or considerations which appear to have been overlooked or not addressed by the Commission.  </w:t>
      </w:r>
      <w:proofErr w:type="spellStart"/>
      <w:r w:rsidRPr="00077C1B">
        <w:rPr>
          <w:i/>
          <w:color w:val="000000"/>
          <w:sz w:val="26"/>
          <w:szCs w:val="26"/>
          <w:u w:color="000000"/>
        </w:rPr>
        <w:t>Duick</w:t>
      </w:r>
      <w:proofErr w:type="spellEnd"/>
      <w:r w:rsidRPr="00077C1B">
        <w:rPr>
          <w:color w:val="000000"/>
          <w:sz w:val="26"/>
          <w:szCs w:val="26"/>
          <w:u w:color="000000"/>
        </w:rPr>
        <w:t xml:space="preserve"> at 559.</w:t>
      </w:r>
    </w:p>
    <w:p w14:paraId="27A54C1F" w14:textId="77777777" w:rsidR="00D670DD" w:rsidRPr="00077C1B" w:rsidRDefault="00D670DD" w:rsidP="00077C1B">
      <w:pPr>
        <w:widowControl/>
        <w:spacing w:line="360" w:lineRule="auto"/>
        <w:ind w:firstLine="1440"/>
        <w:rPr>
          <w:color w:val="000000"/>
          <w:sz w:val="26"/>
          <w:szCs w:val="26"/>
          <w:u w:color="000000"/>
        </w:rPr>
      </w:pPr>
    </w:p>
    <w:p w14:paraId="02D4F4DD" w14:textId="77777777" w:rsidR="007F41FD" w:rsidRPr="00077C1B" w:rsidRDefault="007F41FD" w:rsidP="00077C1B">
      <w:pPr>
        <w:widowControl/>
        <w:suppressAutoHyphens/>
        <w:spacing w:line="360" w:lineRule="auto"/>
        <w:ind w:firstLine="1440"/>
        <w:rPr>
          <w:rFonts w:eastAsia="Calibri"/>
          <w:bCs/>
          <w:color w:val="000000"/>
          <w:sz w:val="26"/>
          <w:szCs w:val="26"/>
          <w:u w:color="000000"/>
        </w:rPr>
      </w:pPr>
      <w:r w:rsidRPr="00077C1B">
        <w:rPr>
          <w:rFonts w:eastAsia="Calibri"/>
          <w:bCs/>
          <w:color w:val="000000"/>
          <w:sz w:val="26"/>
          <w:szCs w:val="26"/>
          <w:u w:color="000000"/>
        </w:rPr>
        <w:t xml:space="preserve">“To establish a proper basis for rescission, a petitioner must first establish the existence of newly discovered evidence, a substantial change in circumstances, or an error of fact or law.”  </w:t>
      </w:r>
      <w:proofErr w:type="spellStart"/>
      <w:r w:rsidRPr="00077C1B">
        <w:rPr>
          <w:rFonts w:eastAsia="Calibri"/>
          <w:bCs/>
          <w:i/>
          <w:iCs/>
          <w:color w:val="000000"/>
          <w:sz w:val="26"/>
          <w:szCs w:val="26"/>
          <w:u w:color="000000"/>
        </w:rPr>
        <w:t>Feleccia</w:t>
      </w:r>
      <w:proofErr w:type="spellEnd"/>
      <w:r w:rsidRPr="00077C1B">
        <w:rPr>
          <w:rFonts w:eastAsia="Calibri"/>
          <w:bCs/>
          <w:i/>
          <w:iCs/>
          <w:color w:val="000000"/>
          <w:sz w:val="26"/>
          <w:szCs w:val="26"/>
          <w:u w:color="000000"/>
        </w:rPr>
        <w:t xml:space="preserve"> </w:t>
      </w:r>
      <w:r w:rsidRPr="00077C1B">
        <w:rPr>
          <w:rFonts w:eastAsia="Calibri"/>
          <w:bCs/>
          <w:color w:val="000000"/>
          <w:sz w:val="26"/>
          <w:szCs w:val="26"/>
          <w:u w:color="000000"/>
        </w:rPr>
        <w:t xml:space="preserve">at 2.  Upon the filing of a petition for rescission, the Commission must review the petition to determine whether “under the totality of the circumstances, we should exercise our discretionary authority to rescind.”  </w:t>
      </w:r>
      <w:proofErr w:type="spellStart"/>
      <w:r w:rsidRPr="00077C1B">
        <w:rPr>
          <w:rFonts w:eastAsia="Calibri"/>
          <w:bCs/>
          <w:i/>
          <w:iCs/>
          <w:color w:val="000000"/>
          <w:sz w:val="26"/>
          <w:szCs w:val="26"/>
          <w:u w:color="000000"/>
        </w:rPr>
        <w:t>Feleccia</w:t>
      </w:r>
      <w:proofErr w:type="spellEnd"/>
      <w:r w:rsidRPr="00077C1B">
        <w:rPr>
          <w:rFonts w:eastAsia="Calibri"/>
          <w:bCs/>
          <w:i/>
          <w:iCs/>
          <w:color w:val="000000"/>
          <w:sz w:val="26"/>
          <w:szCs w:val="26"/>
          <w:u w:color="000000"/>
        </w:rPr>
        <w:t xml:space="preserve"> </w:t>
      </w:r>
      <w:r w:rsidRPr="00077C1B">
        <w:rPr>
          <w:rFonts w:eastAsia="Calibri"/>
          <w:bCs/>
          <w:color w:val="000000"/>
          <w:sz w:val="26"/>
          <w:szCs w:val="26"/>
          <w:u w:color="000000"/>
        </w:rPr>
        <w:t xml:space="preserve">at 2.  </w:t>
      </w:r>
    </w:p>
    <w:p w14:paraId="35031DC3" w14:textId="0B65F69D" w:rsidR="009A482F" w:rsidRPr="00077C1B" w:rsidRDefault="009A482F" w:rsidP="00077C1B">
      <w:pPr>
        <w:widowControl/>
        <w:spacing w:line="360" w:lineRule="auto"/>
        <w:rPr>
          <w:rFonts w:eastAsiaTheme="minorHAnsi"/>
          <w:sz w:val="26"/>
          <w:szCs w:val="26"/>
        </w:rPr>
      </w:pPr>
    </w:p>
    <w:p w14:paraId="53998D71" w14:textId="77777777" w:rsidR="009A482F" w:rsidRPr="00077C1B" w:rsidRDefault="009A482F" w:rsidP="00077C1B">
      <w:pPr>
        <w:widowControl/>
        <w:spacing w:line="360" w:lineRule="auto"/>
        <w:rPr>
          <w:rFonts w:eastAsiaTheme="minorHAnsi"/>
          <w:sz w:val="26"/>
          <w:szCs w:val="26"/>
        </w:rPr>
      </w:pPr>
      <w:r w:rsidRPr="00077C1B">
        <w:rPr>
          <w:rFonts w:eastAsiaTheme="minorHAnsi"/>
          <w:sz w:val="26"/>
          <w:szCs w:val="26"/>
        </w:rPr>
        <w:tab/>
      </w:r>
      <w:r w:rsidRPr="00077C1B">
        <w:rPr>
          <w:rFonts w:eastAsiaTheme="minorHAnsi"/>
          <w:sz w:val="26"/>
          <w:szCs w:val="26"/>
        </w:rPr>
        <w:tab/>
        <w:t xml:space="preserve">While a petition under Section 703(g) may “properly raise any matter designed to convince the commission that it should exercise its discretion . . . to rescind or amend a prior order in whole or in part,” at the same time “[p]arties . . . cannot be permitted by a second motion to review and reconsider, to raise the same questions which were specifically considered and decided against them.”  </w:t>
      </w:r>
      <w:proofErr w:type="spellStart"/>
      <w:r w:rsidRPr="00077C1B">
        <w:rPr>
          <w:rFonts w:eastAsiaTheme="minorHAnsi"/>
          <w:i/>
          <w:iCs/>
          <w:sz w:val="26"/>
          <w:szCs w:val="26"/>
        </w:rPr>
        <w:t>Duick</w:t>
      </w:r>
      <w:proofErr w:type="spellEnd"/>
      <w:r w:rsidRPr="00077C1B">
        <w:rPr>
          <w:rFonts w:eastAsiaTheme="minorHAnsi"/>
          <w:i/>
          <w:iCs/>
          <w:sz w:val="26"/>
          <w:szCs w:val="26"/>
        </w:rPr>
        <w:t xml:space="preserve"> v. Pennsylvania Gas and Water Company</w:t>
      </w:r>
      <w:r w:rsidRPr="00077C1B">
        <w:rPr>
          <w:rFonts w:eastAsiaTheme="minorHAnsi"/>
          <w:sz w:val="26"/>
          <w:szCs w:val="26"/>
        </w:rPr>
        <w:t>, Docket No. C-R0597001 et al., 56 Pa. P.U.C. 553 (Order entered December 17, 1982) (</w:t>
      </w:r>
      <w:proofErr w:type="spellStart"/>
      <w:r w:rsidRPr="00077C1B">
        <w:rPr>
          <w:rFonts w:eastAsiaTheme="minorHAnsi"/>
          <w:i/>
          <w:iCs/>
          <w:sz w:val="26"/>
          <w:szCs w:val="26"/>
        </w:rPr>
        <w:t>Duick</w:t>
      </w:r>
      <w:proofErr w:type="spellEnd"/>
      <w:r w:rsidRPr="00077C1B">
        <w:rPr>
          <w:rFonts w:eastAsiaTheme="minorHAnsi"/>
          <w:sz w:val="26"/>
          <w:szCs w:val="26"/>
        </w:rPr>
        <w:t xml:space="preserve">) (quoting </w:t>
      </w:r>
      <w:r w:rsidRPr="00077C1B">
        <w:rPr>
          <w:rFonts w:eastAsiaTheme="minorHAnsi"/>
          <w:i/>
          <w:sz w:val="26"/>
          <w:szCs w:val="26"/>
        </w:rPr>
        <w:t>Pennsylvania Railroad Co. v. Pennsylvania Public</w:t>
      </w:r>
      <w:r w:rsidRPr="00077C1B">
        <w:rPr>
          <w:rFonts w:eastAsiaTheme="minorHAnsi"/>
          <w:sz w:val="26"/>
          <w:szCs w:val="26"/>
        </w:rPr>
        <w:t xml:space="preserve"> </w:t>
      </w:r>
      <w:r w:rsidRPr="00077C1B">
        <w:rPr>
          <w:rFonts w:eastAsiaTheme="minorHAnsi"/>
          <w:i/>
          <w:sz w:val="26"/>
          <w:szCs w:val="26"/>
        </w:rPr>
        <w:t>Service Commission</w:t>
      </w:r>
      <w:r w:rsidRPr="00077C1B">
        <w:rPr>
          <w:rFonts w:eastAsiaTheme="minorHAnsi"/>
          <w:sz w:val="26"/>
          <w:szCs w:val="26"/>
        </w:rPr>
        <w:t xml:space="preserve">, 179 A. 850, 854 (Pa. Super. Ct. 1935)).  As we stated in </w:t>
      </w:r>
      <w:proofErr w:type="spellStart"/>
      <w:r w:rsidRPr="00077C1B">
        <w:rPr>
          <w:rFonts w:eastAsiaTheme="minorHAnsi"/>
          <w:i/>
          <w:iCs/>
          <w:sz w:val="26"/>
          <w:szCs w:val="26"/>
        </w:rPr>
        <w:t>Duick</w:t>
      </w:r>
      <w:proofErr w:type="spellEnd"/>
      <w:r w:rsidRPr="00077C1B">
        <w:rPr>
          <w:rFonts w:eastAsiaTheme="minorHAnsi"/>
          <w:sz w:val="26"/>
          <w:szCs w:val="26"/>
        </w:rPr>
        <w:t>:</w:t>
      </w:r>
    </w:p>
    <w:p w14:paraId="44D40C74" w14:textId="77777777" w:rsidR="009A482F" w:rsidRPr="00077C1B" w:rsidRDefault="009A482F" w:rsidP="00077C1B">
      <w:pPr>
        <w:widowControl/>
        <w:rPr>
          <w:rFonts w:eastAsiaTheme="minorHAnsi"/>
          <w:sz w:val="26"/>
          <w:szCs w:val="26"/>
        </w:rPr>
      </w:pPr>
    </w:p>
    <w:p w14:paraId="15EEA745" w14:textId="77777777" w:rsidR="009A482F" w:rsidRPr="00077C1B" w:rsidRDefault="009A482F" w:rsidP="00077C1B">
      <w:pPr>
        <w:widowControl/>
        <w:ind w:left="1440" w:right="1440"/>
        <w:rPr>
          <w:rFonts w:eastAsiaTheme="minorHAnsi"/>
          <w:sz w:val="26"/>
          <w:szCs w:val="26"/>
        </w:rPr>
      </w:pPr>
      <w:r w:rsidRPr="00077C1B">
        <w:rPr>
          <w:rFonts w:eastAsiaTheme="minorHAnsi"/>
          <w:sz w:val="26"/>
          <w:szCs w:val="26"/>
        </w:rPr>
        <w:t xml:space="preserve">What we expect to see raised in such petitions </w:t>
      </w:r>
      <w:r w:rsidRPr="00077C1B">
        <w:rPr>
          <w:rFonts w:eastAsiaTheme="minorHAnsi"/>
          <w:i/>
          <w:iCs/>
          <w:sz w:val="26"/>
          <w:szCs w:val="26"/>
        </w:rPr>
        <w:t>are new and novel arguments, not previously heard, or considerations which appear to have been overlooked or not addressed by the commission</w:t>
      </w:r>
      <w:r w:rsidRPr="00077C1B">
        <w:rPr>
          <w:rFonts w:eastAsiaTheme="minorHAnsi"/>
          <w:sz w:val="26"/>
          <w:szCs w:val="26"/>
        </w:rPr>
        <w:t xml:space="preserve">.  Absent such matters being presented, we consider it unlikely that a party will succeed in persuading us </w:t>
      </w:r>
      <w:r w:rsidRPr="00077C1B">
        <w:rPr>
          <w:rFonts w:eastAsiaTheme="minorHAnsi"/>
          <w:sz w:val="26"/>
          <w:szCs w:val="26"/>
        </w:rPr>
        <w:lastRenderedPageBreak/>
        <w:t>that our initial decision on a matter or issue was either unwise or in error.</w:t>
      </w:r>
    </w:p>
    <w:p w14:paraId="7F93AF78" w14:textId="77777777" w:rsidR="009A482F" w:rsidRPr="00077C1B" w:rsidRDefault="009A482F" w:rsidP="00077C1B">
      <w:pPr>
        <w:widowControl/>
        <w:spacing w:line="360" w:lineRule="auto"/>
        <w:ind w:left="1440"/>
        <w:rPr>
          <w:rFonts w:eastAsiaTheme="minorHAnsi"/>
          <w:sz w:val="26"/>
          <w:szCs w:val="26"/>
        </w:rPr>
      </w:pPr>
    </w:p>
    <w:p w14:paraId="5FBF91A4" w14:textId="271B4164" w:rsidR="009A482F" w:rsidRDefault="009A482F" w:rsidP="00077C1B">
      <w:pPr>
        <w:widowControl/>
        <w:spacing w:line="360" w:lineRule="auto"/>
        <w:rPr>
          <w:rFonts w:eastAsiaTheme="minorHAnsi"/>
          <w:sz w:val="26"/>
          <w:szCs w:val="26"/>
        </w:rPr>
      </w:pPr>
      <w:proofErr w:type="spellStart"/>
      <w:r w:rsidRPr="00077C1B">
        <w:rPr>
          <w:rFonts w:eastAsiaTheme="minorHAnsi"/>
          <w:i/>
          <w:iCs/>
          <w:sz w:val="26"/>
          <w:szCs w:val="26"/>
        </w:rPr>
        <w:t>Duick</w:t>
      </w:r>
      <w:proofErr w:type="spellEnd"/>
      <w:r w:rsidRPr="00077C1B">
        <w:rPr>
          <w:rFonts w:eastAsiaTheme="minorHAnsi"/>
          <w:sz w:val="26"/>
          <w:szCs w:val="26"/>
        </w:rPr>
        <w:t xml:space="preserve"> at 559 (emphasis added).  </w:t>
      </w:r>
    </w:p>
    <w:p w14:paraId="6A5764C1" w14:textId="6D929840" w:rsidR="00124394" w:rsidRPr="00077C1B" w:rsidRDefault="009A482F" w:rsidP="00077C1B">
      <w:pPr>
        <w:widowControl/>
        <w:spacing w:line="360" w:lineRule="auto"/>
        <w:ind w:firstLine="1440"/>
        <w:rPr>
          <w:rFonts w:eastAsiaTheme="minorHAnsi"/>
          <w:sz w:val="26"/>
          <w:szCs w:val="26"/>
        </w:rPr>
      </w:pPr>
      <w:r w:rsidRPr="00077C1B">
        <w:rPr>
          <w:rFonts w:eastAsiaTheme="minorHAnsi"/>
          <w:sz w:val="26"/>
          <w:szCs w:val="26"/>
        </w:rPr>
        <w:t xml:space="preserve">Furthermore, a decision to deny a petition for </w:t>
      </w:r>
      <w:r w:rsidR="00AE2496" w:rsidRPr="00077C1B">
        <w:rPr>
          <w:rFonts w:eastAsiaTheme="minorHAnsi"/>
          <w:sz w:val="26"/>
          <w:szCs w:val="26"/>
        </w:rPr>
        <w:t>reconsideration</w:t>
      </w:r>
      <w:r w:rsidR="00B779D2" w:rsidRPr="00077C1B">
        <w:rPr>
          <w:rFonts w:eastAsiaTheme="minorHAnsi"/>
          <w:sz w:val="26"/>
          <w:szCs w:val="26"/>
        </w:rPr>
        <w:t>,</w:t>
      </w:r>
      <w:r w:rsidR="004F3F3F" w:rsidRPr="00077C1B">
        <w:rPr>
          <w:rFonts w:eastAsiaTheme="minorHAnsi"/>
          <w:sz w:val="26"/>
          <w:szCs w:val="26"/>
        </w:rPr>
        <w:t xml:space="preserve"> </w:t>
      </w:r>
      <w:r w:rsidRPr="00077C1B">
        <w:rPr>
          <w:rFonts w:eastAsiaTheme="minorHAnsi"/>
          <w:sz w:val="26"/>
          <w:szCs w:val="26"/>
        </w:rPr>
        <w:t xml:space="preserve">rescission or amendment is a matter squarely within the Commission’s discretion, subject to being overturned only where a reviewing court finds “the agency’s decision demonstrates evidence of bad faith, fraud, capricious action or abuse of power.”  </w:t>
      </w:r>
      <w:r w:rsidRPr="00077C1B">
        <w:rPr>
          <w:rFonts w:eastAsiaTheme="minorHAnsi"/>
          <w:i/>
          <w:iCs/>
          <w:sz w:val="26"/>
          <w:szCs w:val="26"/>
        </w:rPr>
        <w:t>West Penn Power Co. v. Pa. PUC</w:t>
      </w:r>
      <w:r w:rsidRPr="00077C1B">
        <w:rPr>
          <w:rFonts w:eastAsiaTheme="minorHAnsi"/>
          <w:sz w:val="26"/>
          <w:szCs w:val="26"/>
        </w:rPr>
        <w:t>, 659 A.2d 1055, 1065 (Pa. Cmwlth. 1995).</w:t>
      </w:r>
    </w:p>
    <w:p w14:paraId="0A38B72F" w14:textId="77777777" w:rsidR="009A482F" w:rsidRPr="00077C1B" w:rsidRDefault="009A482F" w:rsidP="00077C1B">
      <w:pPr>
        <w:widowControl/>
        <w:tabs>
          <w:tab w:val="left" w:pos="-720"/>
        </w:tabs>
        <w:spacing w:line="360" w:lineRule="auto"/>
        <w:ind w:left="2160" w:right="2160"/>
        <w:rPr>
          <w:rFonts w:eastAsia="Calibri"/>
          <w:sz w:val="26"/>
          <w:szCs w:val="26"/>
        </w:rPr>
      </w:pPr>
    </w:p>
    <w:p w14:paraId="1D43F8F3" w14:textId="31BE7914" w:rsidR="008939C2" w:rsidRDefault="009A482F" w:rsidP="00077C1B">
      <w:pPr>
        <w:widowControl/>
        <w:suppressAutoHyphens/>
        <w:spacing w:line="360" w:lineRule="auto"/>
        <w:rPr>
          <w:rFonts w:eastAsia="Calibri"/>
          <w:b/>
          <w:bCs/>
          <w:color w:val="000000"/>
          <w:sz w:val="26"/>
          <w:szCs w:val="26"/>
          <w:u w:color="000000"/>
        </w:rPr>
      </w:pPr>
      <w:r w:rsidRPr="00077C1B">
        <w:rPr>
          <w:rFonts w:eastAsia="Calibri"/>
          <w:color w:val="000000"/>
          <w:sz w:val="26"/>
          <w:szCs w:val="26"/>
          <w:u w:color="000000"/>
        </w:rPr>
        <w:tab/>
      </w:r>
      <w:r w:rsidRPr="00077C1B">
        <w:rPr>
          <w:rFonts w:eastAsia="Calibri"/>
          <w:color w:val="000000"/>
          <w:sz w:val="26"/>
          <w:szCs w:val="26"/>
          <w:u w:color="000000"/>
        </w:rPr>
        <w:tab/>
        <w:t xml:space="preserve">Under the standards of </w:t>
      </w:r>
      <w:proofErr w:type="spellStart"/>
      <w:r w:rsidRPr="00077C1B">
        <w:rPr>
          <w:rFonts w:eastAsia="Calibri"/>
          <w:i/>
          <w:color w:val="000000"/>
          <w:sz w:val="26"/>
          <w:szCs w:val="26"/>
          <w:u w:color="000000"/>
        </w:rPr>
        <w:t>Duick</w:t>
      </w:r>
      <w:proofErr w:type="spellEnd"/>
      <w:r w:rsidRPr="00077C1B">
        <w:rPr>
          <w:rFonts w:eastAsia="Calibri"/>
          <w:color w:val="000000"/>
          <w:sz w:val="26"/>
          <w:szCs w:val="26"/>
          <w:u w:color="000000"/>
        </w:rPr>
        <w:t xml:space="preserve">, a petition for </w:t>
      </w:r>
      <w:r w:rsidR="008E143D" w:rsidRPr="00077C1B">
        <w:rPr>
          <w:rFonts w:eastAsia="Calibri"/>
          <w:color w:val="000000"/>
          <w:sz w:val="26"/>
          <w:szCs w:val="26"/>
          <w:u w:color="000000"/>
        </w:rPr>
        <w:t>reconsideration/</w:t>
      </w:r>
      <w:r w:rsidRPr="00077C1B">
        <w:rPr>
          <w:rFonts w:eastAsia="Calibri"/>
          <w:color w:val="000000"/>
          <w:sz w:val="26"/>
          <w:szCs w:val="26"/>
          <w:u w:color="000000"/>
        </w:rPr>
        <w:t xml:space="preserve">rescission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077C1B">
        <w:rPr>
          <w:rFonts w:eastAsia="Calibri"/>
          <w:i/>
          <w:color w:val="000000"/>
          <w:sz w:val="26"/>
          <w:szCs w:val="26"/>
          <w:u w:color="000000"/>
        </w:rPr>
        <w:t>Id</w:t>
      </w:r>
      <w:r w:rsidRPr="00077C1B">
        <w:rPr>
          <w:rFonts w:eastAsia="Calibri"/>
          <w:color w:val="000000"/>
          <w:sz w:val="26"/>
          <w:szCs w:val="26"/>
          <w:u w:color="000000"/>
        </w:rPr>
        <w:t>. at *13.</w:t>
      </w:r>
      <w:r w:rsidR="008939C2" w:rsidRPr="00077C1B">
        <w:rPr>
          <w:rFonts w:eastAsia="Calibri"/>
          <w:b/>
          <w:bCs/>
          <w:color w:val="000000"/>
          <w:sz w:val="26"/>
          <w:szCs w:val="26"/>
          <w:u w:color="000000"/>
        </w:rPr>
        <w:t xml:space="preserve"> </w:t>
      </w:r>
    </w:p>
    <w:p w14:paraId="7337BF0B" w14:textId="77777777" w:rsidR="00077C1B" w:rsidRPr="00077C1B" w:rsidRDefault="00077C1B" w:rsidP="00077C1B">
      <w:pPr>
        <w:widowControl/>
        <w:suppressAutoHyphens/>
        <w:spacing w:line="360" w:lineRule="auto"/>
        <w:rPr>
          <w:rFonts w:eastAsia="Calibri"/>
          <w:b/>
          <w:bCs/>
          <w:color w:val="000000"/>
          <w:sz w:val="26"/>
          <w:szCs w:val="26"/>
          <w:u w:color="000000"/>
        </w:rPr>
      </w:pPr>
    </w:p>
    <w:p w14:paraId="61F7DFF9" w14:textId="52D59A81" w:rsidR="001C6218" w:rsidRPr="00077C1B" w:rsidRDefault="001C6218" w:rsidP="00077C1B">
      <w:pPr>
        <w:widowControl/>
        <w:spacing w:line="360" w:lineRule="auto"/>
        <w:ind w:firstLine="1440"/>
        <w:rPr>
          <w:sz w:val="26"/>
          <w:szCs w:val="26"/>
        </w:rPr>
      </w:pPr>
      <w:r w:rsidRPr="00077C1B">
        <w:rPr>
          <w:rFonts w:eastAsiaTheme="minorHAnsi"/>
          <w:sz w:val="26"/>
          <w:szCs w:val="26"/>
        </w:rPr>
        <w:t>If a party fails to appear at a scheduled and duly notified hearing, the party will be deemed to have waived the opportunity to participate in a hearing in the matter.  66 Pa. C.S. § 332(f); 52 Pa. Code § 5.245(a)-(b).  This result is not applied to the party, however, if the presiding officer determines that the party’s failure to appear was “unavoidable” and the interests of the other party (or parties) and the public will not be “prejudiced” by permitting the reopening or further examination.  66 Pa. C.S. § 332(f); 52</w:t>
      </w:r>
      <w:r w:rsidR="00077C1B">
        <w:rPr>
          <w:rFonts w:eastAsiaTheme="minorHAnsi"/>
          <w:sz w:val="26"/>
          <w:szCs w:val="26"/>
        </w:rPr>
        <w:t> </w:t>
      </w:r>
      <w:r w:rsidRPr="00077C1B">
        <w:rPr>
          <w:rFonts w:eastAsiaTheme="minorHAnsi"/>
          <w:sz w:val="26"/>
          <w:szCs w:val="26"/>
        </w:rPr>
        <w:t xml:space="preserve">Pa. Code § 5.245(a)-(b).  Also, this result may not be applied </w:t>
      </w:r>
      <w:r w:rsidRPr="00077C1B">
        <w:rPr>
          <w:sz w:val="26"/>
          <w:szCs w:val="26"/>
        </w:rPr>
        <w:t xml:space="preserve">if the presiding officer or Commission determines that the complainant demonstrated a good faith attempt to attend the hearing.  </w:t>
      </w:r>
      <w:r w:rsidRPr="00077C1B">
        <w:rPr>
          <w:i/>
          <w:sz w:val="26"/>
          <w:szCs w:val="26"/>
        </w:rPr>
        <w:t xml:space="preserve">See, e.g., </w:t>
      </w:r>
      <w:proofErr w:type="spellStart"/>
      <w:r w:rsidRPr="00077C1B">
        <w:rPr>
          <w:i/>
          <w:sz w:val="26"/>
          <w:szCs w:val="26"/>
        </w:rPr>
        <w:t>Yomari</w:t>
      </w:r>
      <w:proofErr w:type="spellEnd"/>
      <w:r w:rsidRPr="00077C1B">
        <w:rPr>
          <w:i/>
          <w:sz w:val="26"/>
          <w:szCs w:val="26"/>
        </w:rPr>
        <w:t xml:space="preserve"> Then v. Philadelphia Gas Works</w:t>
      </w:r>
      <w:r w:rsidRPr="00077C1B">
        <w:rPr>
          <w:sz w:val="26"/>
          <w:szCs w:val="26"/>
        </w:rPr>
        <w:t>, Docket No. F</w:t>
      </w:r>
      <w:r w:rsidR="00262C10">
        <w:rPr>
          <w:sz w:val="26"/>
          <w:szCs w:val="26"/>
        </w:rPr>
        <w:noBreakHyphen/>
      </w:r>
      <w:r w:rsidRPr="00077C1B">
        <w:rPr>
          <w:sz w:val="26"/>
          <w:szCs w:val="26"/>
        </w:rPr>
        <w:t>2012</w:t>
      </w:r>
      <w:r w:rsidR="00262C10">
        <w:rPr>
          <w:sz w:val="26"/>
          <w:szCs w:val="26"/>
        </w:rPr>
        <w:noBreakHyphen/>
      </w:r>
      <w:r w:rsidRPr="00077C1B">
        <w:rPr>
          <w:sz w:val="26"/>
          <w:szCs w:val="26"/>
        </w:rPr>
        <w:t>2318264 (Order entered June 13, 2013) (</w:t>
      </w:r>
      <w:proofErr w:type="spellStart"/>
      <w:r w:rsidRPr="00077C1B">
        <w:rPr>
          <w:i/>
          <w:sz w:val="26"/>
          <w:szCs w:val="26"/>
        </w:rPr>
        <w:t>Yomari</w:t>
      </w:r>
      <w:proofErr w:type="spellEnd"/>
      <w:r w:rsidRPr="00077C1B">
        <w:rPr>
          <w:i/>
          <w:sz w:val="26"/>
          <w:szCs w:val="26"/>
        </w:rPr>
        <w:t xml:space="preserve"> Then</w:t>
      </w:r>
      <w:r w:rsidRPr="00077C1B">
        <w:rPr>
          <w:sz w:val="26"/>
          <w:szCs w:val="26"/>
        </w:rPr>
        <w:t xml:space="preserve">); </w:t>
      </w:r>
      <w:r w:rsidRPr="00077C1B">
        <w:rPr>
          <w:rFonts w:eastAsiaTheme="minorHAnsi"/>
          <w:i/>
          <w:sz w:val="26"/>
          <w:szCs w:val="26"/>
        </w:rPr>
        <w:t xml:space="preserve">see also </w:t>
      </w:r>
      <w:proofErr w:type="spellStart"/>
      <w:r w:rsidRPr="00077C1B">
        <w:rPr>
          <w:rFonts w:eastAsiaTheme="minorHAnsi"/>
          <w:i/>
          <w:sz w:val="26"/>
          <w:szCs w:val="26"/>
        </w:rPr>
        <w:t>Windell</w:t>
      </w:r>
      <w:proofErr w:type="spellEnd"/>
      <w:r w:rsidRPr="00077C1B">
        <w:rPr>
          <w:rFonts w:eastAsiaTheme="minorHAnsi"/>
          <w:i/>
          <w:sz w:val="26"/>
          <w:szCs w:val="26"/>
        </w:rPr>
        <w:t xml:space="preserve"> C. Wiggins v. PECO Energy Company</w:t>
      </w:r>
      <w:r w:rsidRPr="00077C1B">
        <w:rPr>
          <w:rFonts w:eastAsiaTheme="minorHAnsi"/>
          <w:sz w:val="26"/>
          <w:szCs w:val="26"/>
        </w:rPr>
        <w:t>, Docket No. C-2010-2190335 (Order entered October 27, 2011) (</w:t>
      </w:r>
      <w:r w:rsidRPr="00077C1B">
        <w:rPr>
          <w:rFonts w:eastAsiaTheme="minorHAnsi"/>
          <w:i/>
          <w:sz w:val="26"/>
          <w:szCs w:val="26"/>
        </w:rPr>
        <w:t>Wiggins</w:t>
      </w:r>
      <w:r w:rsidRPr="00077C1B">
        <w:rPr>
          <w:rFonts w:eastAsiaTheme="minorHAnsi"/>
          <w:sz w:val="26"/>
          <w:szCs w:val="26"/>
        </w:rPr>
        <w:t>).</w:t>
      </w:r>
    </w:p>
    <w:p w14:paraId="7D583DA1" w14:textId="77777777" w:rsidR="001C6218" w:rsidRPr="00077C1B" w:rsidRDefault="001C6218" w:rsidP="00077C1B">
      <w:pPr>
        <w:widowControl/>
        <w:spacing w:line="360" w:lineRule="auto"/>
        <w:rPr>
          <w:sz w:val="26"/>
          <w:szCs w:val="26"/>
        </w:rPr>
      </w:pPr>
    </w:p>
    <w:p w14:paraId="484BA940" w14:textId="67952160" w:rsidR="001C6218" w:rsidRPr="00077C1B" w:rsidRDefault="001C6218" w:rsidP="00077C1B">
      <w:pPr>
        <w:widowControl/>
        <w:spacing w:line="360" w:lineRule="auto"/>
        <w:ind w:firstLine="1440"/>
        <w:rPr>
          <w:rFonts w:eastAsiaTheme="minorHAnsi"/>
          <w:sz w:val="26"/>
          <w:szCs w:val="26"/>
        </w:rPr>
      </w:pPr>
      <w:r w:rsidRPr="00077C1B">
        <w:rPr>
          <w:sz w:val="26"/>
          <w:szCs w:val="26"/>
        </w:rPr>
        <w:t xml:space="preserve">The public interest is prejudiced by the wasteful use of the agency’s and the respondent’s time and resources in addressing a complaint.  </w:t>
      </w:r>
      <w:r w:rsidRPr="00077C1B">
        <w:rPr>
          <w:i/>
          <w:sz w:val="26"/>
          <w:szCs w:val="26"/>
        </w:rPr>
        <w:t>See Jefferson v. UGI Utilities, Inc.</w:t>
      </w:r>
      <w:r w:rsidRPr="00077C1B">
        <w:rPr>
          <w:sz w:val="26"/>
          <w:szCs w:val="26"/>
        </w:rPr>
        <w:t>,</w:t>
      </w:r>
      <w:r w:rsidRPr="00077C1B">
        <w:rPr>
          <w:i/>
          <w:sz w:val="26"/>
          <w:szCs w:val="26"/>
        </w:rPr>
        <w:t xml:space="preserve"> </w:t>
      </w:r>
      <w:r w:rsidRPr="00077C1B">
        <w:rPr>
          <w:sz w:val="26"/>
          <w:szCs w:val="26"/>
        </w:rPr>
        <w:t>Docket No. Z-00269892 (Order entered December 26, 1995) (</w:t>
      </w:r>
      <w:r w:rsidRPr="00077C1B">
        <w:rPr>
          <w:i/>
          <w:sz w:val="26"/>
          <w:szCs w:val="26"/>
        </w:rPr>
        <w:t>Jefferson</w:t>
      </w:r>
      <w:r w:rsidRPr="00077C1B">
        <w:rPr>
          <w:sz w:val="26"/>
          <w:szCs w:val="26"/>
        </w:rPr>
        <w:t xml:space="preserve">), </w:t>
      </w:r>
      <w:r w:rsidRPr="00077C1B">
        <w:rPr>
          <w:i/>
          <w:sz w:val="26"/>
          <w:szCs w:val="26"/>
        </w:rPr>
        <w:t>see also</w:t>
      </w:r>
      <w:r w:rsidR="00262C10">
        <w:rPr>
          <w:i/>
          <w:sz w:val="26"/>
          <w:szCs w:val="26"/>
        </w:rPr>
        <w:t>,</w:t>
      </w:r>
      <w:r w:rsidRPr="00077C1B">
        <w:rPr>
          <w:sz w:val="26"/>
          <w:szCs w:val="26"/>
        </w:rPr>
        <w:t xml:space="preserve"> </w:t>
      </w:r>
      <w:r w:rsidRPr="00077C1B">
        <w:rPr>
          <w:i/>
          <w:sz w:val="26"/>
          <w:szCs w:val="26"/>
        </w:rPr>
        <w:t>e.g.</w:t>
      </w:r>
      <w:r w:rsidRPr="00077C1B">
        <w:rPr>
          <w:iCs/>
          <w:sz w:val="26"/>
          <w:szCs w:val="26"/>
        </w:rPr>
        <w:t>,</w:t>
      </w:r>
      <w:r w:rsidRPr="00077C1B">
        <w:rPr>
          <w:i/>
          <w:sz w:val="26"/>
          <w:szCs w:val="26"/>
        </w:rPr>
        <w:t xml:space="preserve"> </w:t>
      </w:r>
      <w:r w:rsidRPr="00077C1B">
        <w:rPr>
          <w:rFonts w:eastAsiaTheme="minorHAnsi"/>
          <w:i/>
          <w:sz w:val="26"/>
          <w:szCs w:val="26"/>
        </w:rPr>
        <w:t>Charles Nichols III v. Bell-Atlantic-Pennsyl</w:t>
      </w:r>
      <w:r w:rsidRPr="00077C1B">
        <w:rPr>
          <w:rFonts w:eastAsiaTheme="minorHAnsi"/>
          <w:i/>
          <w:sz w:val="26"/>
          <w:szCs w:val="26"/>
        </w:rPr>
        <w:softHyphen/>
        <w:t>vania</w:t>
      </w:r>
      <w:r w:rsidRPr="00077C1B">
        <w:rPr>
          <w:rFonts w:eastAsiaTheme="minorHAnsi"/>
          <w:iCs/>
          <w:sz w:val="26"/>
          <w:szCs w:val="26"/>
        </w:rPr>
        <w:t>,</w:t>
      </w:r>
      <w:r w:rsidRPr="00077C1B">
        <w:rPr>
          <w:rFonts w:eastAsiaTheme="minorHAnsi"/>
          <w:i/>
          <w:sz w:val="26"/>
          <w:szCs w:val="26"/>
        </w:rPr>
        <w:t xml:space="preserve"> </w:t>
      </w:r>
      <w:r w:rsidRPr="00077C1B">
        <w:rPr>
          <w:rFonts w:eastAsiaTheme="minorHAnsi"/>
          <w:sz w:val="26"/>
          <w:szCs w:val="26"/>
        </w:rPr>
        <w:t>Docket No. C</w:t>
      </w:r>
      <w:r w:rsidRPr="00077C1B">
        <w:rPr>
          <w:rFonts w:eastAsiaTheme="minorHAnsi"/>
          <w:sz w:val="26"/>
          <w:szCs w:val="26"/>
        </w:rPr>
        <w:noBreakHyphen/>
        <w:t>00956667 (Opinion and Order entered August 4, 1995) (</w:t>
      </w:r>
      <w:r w:rsidRPr="00077C1B">
        <w:rPr>
          <w:rFonts w:eastAsiaTheme="minorHAnsi"/>
          <w:i/>
          <w:sz w:val="26"/>
          <w:szCs w:val="26"/>
        </w:rPr>
        <w:t>Nichols III</w:t>
      </w:r>
      <w:r w:rsidRPr="00077C1B">
        <w:rPr>
          <w:rFonts w:eastAsiaTheme="minorHAnsi"/>
          <w:sz w:val="26"/>
          <w:szCs w:val="26"/>
        </w:rPr>
        <w:t xml:space="preserve">). </w:t>
      </w:r>
    </w:p>
    <w:p w14:paraId="7FC7C3E4" w14:textId="77777777" w:rsidR="001C6218" w:rsidRPr="00077C1B" w:rsidRDefault="001C6218" w:rsidP="00077C1B">
      <w:pPr>
        <w:keepNext/>
        <w:widowControl/>
        <w:spacing w:line="360" w:lineRule="auto"/>
        <w:ind w:firstLine="1440"/>
        <w:rPr>
          <w:rFonts w:eastAsiaTheme="minorHAnsi"/>
          <w:sz w:val="26"/>
          <w:szCs w:val="26"/>
        </w:rPr>
      </w:pPr>
    </w:p>
    <w:p w14:paraId="34B81F5C" w14:textId="5F077CC8" w:rsidR="00B55E2B" w:rsidRPr="00077C1B" w:rsidRDefault="001C6218" w:rsidP="00077C1B">
      <w:pPr>
        <w:keepNext/>
        <w:widowControl/>
        <w:spacing w:line="360" w:lineRule="auto"/>
        <w:ind w:firstLine="1440"/>
        <w:rPr>
          <w:rFonts w:eastAsiaTheme="minorHAnsi"/>
          <w:sz w:val="26"/>
          <w:szCs w:val="26"/>
        </w:rPr>
      </w:pPr>
      <w:r w:rsidRPr="00077C1B">
        <w:rPr>
          <w:rFonts w:eastAsiaTheme="minorHAnsi"/>
          <w:sz w:val="26"/>
          <w:szCs w:val="26"/>
        </w:rPr>
        <w:t>A</w:t>
      </w:r>
      <w:r w:rsidR="00B55E2B" w:rsidRPr="00077C1B">
        <w:rPr>
          <w:rFonts w:eastAsiaTheme="minorHAnsi"/>
          <w:sz w:val="26"/>
          <w:szCs w:val="26"/>
        </w:rPr>
        <w:t xml:space="preserve">s an administrative agency of the Commonwealth, the Commission is required to provide due process to the parties appearing before it.  </w:t>
      </w:r>
      <w:r w:rsidR="00B55E2B" w:rsidRPr="00077C1B">
        <w:rPr>
          <w:rFonts w:eastAsiaTheme="minorHAnsi"/>
          <w:i/>
          <w:sz w:val="26"/>
          <w:szCs w:val="26"/>
        </w:rPr>
        <w:t>Schneider v. Pa. PUC</w:t>
      </w:r>
      <w:r w:rsidR="00B55E2B" w:rsidRPr="00077C1B">
        <w:rPr>
          <w:rFonts w:eastAsiaTheme="minorHAnsi"/>
          <w:sz w:val="26"/>
          <w:szCs w:val="26"/>
        </w:rPr>
        <w:t>, 479 A.2d 10, 15 (Pa. Cmwlth. 1984) (</w:t>
      </w:r>
      <w:r w:rsidR="00B55E2B" w:rsidRPr="00077C1B">
        <w:rPr>
          <w:rFonts w:eastAsiaTheme="minorHAnsi"/>
          <w:i/>
          <w:sz w:val="26"/>
          <w:szCs w:val="26"/>
        </w:rPr>
        <w:t>Schneider</w:t>
      </w:r>
      <w:r w:rsidR="00B55E2B" w:rsidRPr="00077C1B">
        <w:rPr>
          <w:rFonts w:eastAsiaTheme="minorHAnsi"/>
          <w:sz w:val="26"/>
          <w:szCs w:val="26"/>
        </w:rPr>
        <w:t xml:space="preserve">), citing </w:t>
      </w:r>
      <w:proofErr w:type="spellStart"/>
      <w:r w:rsidR="00B55E2B" w:rsidRPr="00077C1B">
        <w:rPr>
          <w:rFonts w:eastAsiaTheme="minorHAnsi"/>
          <w:i/>
          <w:sz w:val="26"/>
          <w:szCs w:val="26"/>
        </w:rPr>
        <w:t>Fusaro</w:t>
      </w:r>
      <w:proofErr w:type="spellEnd"/>
      <w:r w:rsidR="00B55E2B" w:rsidRPr="00077C1B">
        <w:rPr>
          <w:rFonts w:eastAsiaTheme="minorHAnsi"/>
          <w:i/>
          <w:sz w:val="26"/>
          <w:szCs w:val="26"/>
        </w:rPr>
        <w:t xml:space="preserve"> v. Pa. PUC</w:t>
      </w:r>
      <w:r w:rsidR="00B55E2B" w:rsidRPr="00077C1B">
        <w:rPr>
          <w:rFonts w:eastAsiaTheme="minorHAnsi"/>
          <w:sz w:val="26"/>
          <w:szCs w:val="26"/>
        </w:rPr>
        <w:t xml:space="preserve">, 382 A.2d 794 (Pa. Cmwlth. 1978).  Due process is satisfied when the parties are afforded notice and the opportunity to appear and be heard.  </w:t>
      </w:r>
      <w:r w:rsidR="00B55E2B" w:rsidRPr="00077C1B">
        <w:rPr>
          <w:rFonts w:eastAsiaTheme="minorHAnsi"/>
          <w:i/>
          <w:sz w:val="26"/>
          <w:szCs w:val="26"/>
        </w:rPr>
        <w:t>Schneider</w:t>
      </w:r>
      <w:r w:rsidR="00B55E2B" w:rsidRPr="00077C1B">
        <w:rPr>
          <w:rFonts w:eastAsiaTheme="minorHAnsi"/>
          <w:sz w:val="26"/>
          <w:szCs w:val="26"/>
        </w:rPr>
        <w:t xml:space="preserve">, 479 A.2d at 15 (Pa. Cmwlth. 1984), citing </w:t>
      </w:r>
      <w:r w:rsidR="00B55E2B" w:rsidRPr="00077C1B">
        <w:rPr>
          <w:rFonts w:eastAsiaTheme="minorHAnsi"/>
          <w:i/>
          <w:sz w:val="26"/>
          <w:szCs w:val="26"/>
        </w:rPr>
        <w:t>Township of Middleton v. The Institute District of the County of Delaware</w:t>
      </w:r>
      <w:r w:rsidR="00B55E2B" w:rsidRPr="00077C1B">
        <w:rPr>
          <w:rFonts w:eastAsiaTheme="minorHAnsi"/>
          <w:sz w:val="26"/>
          <w:szCs w:val="26"/>
        </w:rPr>
        <w:t xml:space="preserve">, 293 A.2d 885 (Pa. Cmwlth. 1972), </w:t>
      </w:r>
      <w:r w:rsidR="00B55E2B" w:rsidRPr="00D87F1F">
        <w:rPr>
          <w:rFonts w:eastAsiaTheme="minorHAnsi"/>
          <w:i/>
          <w:iCs/>
          <w:sz w:val="26"/>
          <w:szCs w:val="26"/>
        </w:rPr>
        <w:t>aff’d</w:t>
      </w:r>
      <w:r w:rsidR="00D87F1F">
        <w:rPr>
          <w:rFonts w:eastAsiaTheme="minorHAnsi"/>
          <w:sz w:val="26"/>
          <w:szCs w:val="26"/>
        </w:rPr>
        <w:t xml:space="preserve">, </w:t>
      </w:r>
      <w:r w:rsidR="00B55E2B" w:rsidRPr="00077C1B">
        <w:rPr>
          <w:rFonts w:eastAsiaTheme="minorHAnsi"/>
          <w:sz w:val="26"/>
          <w:szCs w:val="26"/>
        </w:rPr>
        <w:t>450 Pa. 282, 299 A.2d 599 (Pa. Cmwlth. 1973).</w:t>
      </w:r>
      <w:r w:rsidR="008E78CA" w:rsidRPr="00077C1B">
        <w:rPr>
          <w:rFonts w:eastAsiaTheme="minorHAnsi"/>
          <w:sz w:val="26"/>
          <w:szCs w:val="26"/>
        </w:rPr>
        <w:t xml:space="preserve">  </w:t>
      </w:r>
      <w:r w:rsidR="00B55E2B" w:rsidRPr="00077C1B">
        <w:rPr>
          <w:rFonts w:eastAsiaTheme="minorHAnsi"/>
          <w:sz w:val="26"/>
          <w:szCs w:val="26"/>
        </w:rPr>
        <w:t>The fundamental requirement of due process is the opportunity to be heard at a meaningful time and in a meaningful manner.</w:t>
      </w:r>
      <w:r w:rsidR="00A5453B" w:rsidRPr="00077C1B">
        <w:rPr>
          <w:rFonts w:eastAsiaTheme="minorHAnsi"/>
          <w:sz w:val="26"/>
          <w:szCs w:val="26"/>
        </w:rPr>
        <w:t xml:space="preserve"> </w:t>
      </w:r>
      <w:r w:rsidR="00B55E2B" w:rsidRPr="00077C1B">
        <w:rPr>
          <w:rFonts w:eastAsiaTheme="minorHAnsi"/>
          <w:sz w:val="26"/>
          <w:szCs w:val="26"/>
        </w:rPr>
        <w:t xml:space="preserve"> </w:t>
      </w:r>
      <w:r w:rsidR="00B55E2B" w:rsidRPr="00077C1B">
        <w:rPr>
          <w:rFonts w:eastAsiaTheme="minorHAnsi"/>
          <w:i/>
          <w:sz w:val="26"/>
          <w:szCs w:val="26"/>
        </w:rPr>
        <w:t xml:space="preserve">Montefiore Hospital </w:t>
      </w:r>
      <w:proofErr w:type="spellStart"/>
      <w:r w:rsidR="00B55E2B" w:rsidRPr="00077C1B">
        <w:rPr>
          <w:rFonts w:eastAsiaTheme="minorHAnsi"/>
          <w:i/>
          <w:sz w:val="26"/>
          <w:szCs w:val="26"/>
        </w:rPr>
        <w:t>Ass’n</w:t>
      </w:r>
      <w:proofErr w:type="spellEnd"/>
      <w:r w:rsidR="00B55E2B" w:rsidRPr="00077C1B">
        <w:rPr>
          <w:rFonts w:eastAsiaTheme="minorHAnsi"/>
          <w:i/>
          <w:sz w:val="26"/>
          <w:szCs w:val="26"/>
        </w:rPr>
        <w:t xml:space="preserve"> of Western Pennsylvania v. Pa. PUC</w:t>
      </w:r>
      <w:r w:rsidR="00B55E2B" w:rsidRPr="00077C1B">
        <w:rPr>
          <w:rFonts w:eastAsiaTheme="minorHAnsi"/>
          <w:sz w:val="26"/>
          <w:szCs w:val="26"/>
        </w:rPr>
        <w:t>, 421 A.2d 481, 484 (Pa. Cmwlth. 1980).</w:t>
      </w:r>
    </w:p>
    <w:p w14:paraId="1697EDE8" w14:textId="77777777" w:rsidR="00B55E2B" w:rsidRPr="00077C1B" w:rsidRDefault="00B55E2B" w:rsidP="00077C1B">
      <w:pPr>
        <w:widowControl/>
        <w:spacing w:line="360" w:lineRule="auto"/>
        <w:ind w:left="720" w:firstLine="1440"/>
        <w:rPr>
          <w:rFonts w:eastAsiaTheme="minorHAnsi"/>
          <w:sz w:val="26"/>
          <w:szCs w:val="26"/>
        </w:rPr>
      </w:pPr>
    </w:p>
    <w:p w14:paraId="5D8E9CD2" w14:textId="3E29B0FC" w:rsidR="00B55E2B" w:rsidRPr="00077C1B" w:rsidRDefault="00B55E2B" w:rsidP="00077C1B">
      <w:pPr>
        <w:widowControl/>
        <w:spacing w:line="360" w:lineRule="auto"/>
        <w:ind w:firstLine="1440"/>
        <w:rPr>
          <w:rFonts w:eastAsiaTheme="minorHAnsi"/>
          <w:sz w:val="26"/>
          <w:szCs w:val="26"/>
        </w:rPr>
      </w:pPr>
      <w:r w:rsidRPr="00077C1B">
        <w:rPr>
          <w:rFonts w:eastAsiaTheme="minorHAnsi"/>
          <w:sz w:val="26"/>
          <w:szCs w:val="26"/>
        </w:rPr>
        <w:t xml:space="preserve">The Commission is required to fix the time and place of a hearing in a complaint proceeding and to serve notice thereof upon the parties in interest.  </w:t>
      </w:r>
      <w:r w:rsidRPr="00077C1B">
        <w:rPr>
          <w:rFonts w:eastAsiaTheme="minorHAnsi"/>
          <w:i/>
          <w:sz w:val="26"/>
          <w:szCs w:val="26"/>
        </w:rPr>
        <w:t>See</w:t>
      </w:r>
      <w:r w:rsidRPr="00077C1B">
        <w:rPr>
          <w:rFonts w:eastAsiaTheme="minorHAnsi"/>
          <w:sz w:val="26"/>
          <w:szCs w:val="26"/>
        </w:rPr>
        <w:t xml:space="preserve"> 66</w:t>
      </w:r>
      <w:r w:rsidR="00D87F1F">
        <w:rPr>
          <w:rFonts w:eastAsiaTheme="minorHAnsi"/>
          <w:sz w:val="26"/>
          <w:szCs w:val="26"/>
        </w:rPr>
        <w:t> </w:t>
      </w:r>
      <w:r w:rsidRPr="00077C1B">
        <w:rPr>
          <w:rFonts w:eastAsiaTheme="minorHAnsi"/>
          <w:sz w:val="26"/>
          <w:szCs w:val="26"/>
        </w:rPr>
        <w:t>Pa.</w:t>
      </w:r>
      <w:r w:rsidR="00D87F1F">
        <w:rPr>
          <w:rFonts w:eastAsiaTheme="minorHAnsi"/>
          <w:sz w:val="26"/>
          <w:szCs w:val="26"/>
        </w:rPr>
        <w:t> </w:t>
      </w:r>
      <w:r w:rsidRPr="00077C1B">
        <w:rPr>
          <w:rFonts w:eastAsiaTheme="minorHAnsi"/>
          <w:sz w:val="26"/>
          <w:szCs w:val="26"/>
        </w:rPr>
        <w:t>C.S. § 703(a)-(b).  Service on interested persons is sufficient to provide notice.  52</w:t>
      </w:r>
      <w:r w:rsidR="00D87F1F">
        <w:rPr>
          <w:rFonts w:eastAsiaTheme="minorHAnsi"/>
          <w:sz w:val="26"/>
          <w:szCs w:val="26"/>
        </w:rPr>
        <w:t> </w:t>
      </w:r>
      <w:r w:rsidRPr="00077C1B">
        <w:rPr>
          <w:rFonts w:eastAsiaTheme="minorHAnsi"/>
          <w:sz w:val="26"/>
          <w:szCs w:val="26"/>
        </w:rPr>
        <w:t xml:space="preserve">Pa. Code § 5.201(a).  Notice mailed to a party’s last known address and not returned by the post office is presumed to have been received.  </w:t>
      </w:r>
      <w:r w:rsidRPr="00077C1B">
        <w:rPr>
          <w:rFonts w:eastAsiaTheme="minorHAnsi"/>
          <w:i/>
          <w:sz w:val="26"/>
          <w:szCs w:val="26"/>
        </w:rPr>
        <w:t>See Berkowitz v. Mayflower Securities, Inc</w:t>
      </w:r>
      <w:r w:rsidRPr="00077C1B">
        <w:rPr>
          <w:rFonts w:eastAsiaTheme="minorHAnsi"/>
          <w:sz w:val="26"/>
          <w:szCs w:val="26"/>
        </w:rPr>
        <w:t>., 455 Pa. 531, 317 A.2d 584 (1974) (</w:t>
      </w:r>
      <w:r w:rsidRPr="00077C1B">
        <w:rPr>
          <w:rFonts w:eastAsiaTheme="minorHAnsi"/>
          <w:i/>
          <w:sz w:val="26"/>
          <w:szCs w:val="26"/>
        </w:rPr>
        <w:t>Mayflower</w:t>
      </w:r>
      <w:r w:rsidRPr="00077C1B">
        <w:rPr>
          <w:rFonts w:eastAsiaTheme="minorHAnsi"/>
          <w:sz w:val="26"/>
          <w:szCs w:val="26"/>
        </w:rPr>
        <w:t xml:space="preserve">); </w:t>
      </w:r>
      <w:proofErr w:type="spellStart"/>
      <w:r w:rsidRPr="00077C1B">
        <w:rPr>
          <w:rFonts w:eastAsiaTheme="minorHAnsi"/>
          <w:i/>
          <w:sz w:val="26"/>
          <w:szCs w:val="26"/>
        </w:rPr>
        <w:t>Chartiers</w:t>
      </w:r>
      <w:proofErr w:type="spellEnd"/>
      <w:r w:rsidRPr="00077C1B">
        <w:rPr>
          <w:rFonts w:eastAsiaTheme="minorHAnsi"/>
          <w:i/>
          <w:sz w:val="26"/>
          <w:szCs w:val="26"/>
        </w:rPr>
        <w:t xml:space="preserve"> Industrial and Commercial Development Authority v. Allegheny County Board of Property Assessment Appeals and Review</w:t>
      </w:r>
      <w:r w:rsidRPr="00077C1B">
        <w:rPr>
          <w:rFonts w:eastAsiaTheme="minorHAnsi"/>
          <w:sz w:val="26"/>
          <w:szCs w:val="26"/>
        </w:rPr>
        <w:t xml:space="preserve">, 645 A.2d 944, 946 (Pa. Cmwlth. 1994), </w:t>
      </w:r>
      <w:r w:rsidRPr="00D87F1F">
        <w:rPr>
          <w:rFonts w:eastAsiaTheme="minorHAnsi"/>
          <w:i/>
          <w:iCs/>
          <w:sz w:val="26"/>
          <w:szCs w:val="26"/>
        </w:rPr>
        <w:t>appeal denied</w:t>
      </w:r>
      <w:r w:rsidR="00D87F1F">
        <w:rPr>
          <w:rFonts w:eastAsiaTheme="minorHAnsi"/>
          <w:sz w:val="26"/>
          <w:szCs w:val="26"/>
        </w:rPr>
        <w:t xml:space="preserve">, </w:t>
      </w:r>
      <w:r w:rsidRPr="00077C1B">
        <w:rPr>
          <w:rFonts w:eastAsiaTheme="minorHAnsi"/>
          <w:sz w:val="26"/>
          <w:szCs w:val="26"/>
        </w:rPr>
        <w:t xml:space="preserve">539 Pa. 696, 653 A.2d 1234 (1994); </w:t>
      </w:r>
      <w:r w:rsidRPr="00077C1B">
        <w:rPr>
          <w:rFonts w:eastAsiaTheme="minorHAnsi"/>
          <w:i/>
          <w:sz w:val="26"/>
          <w:szCs w:val="26"/>
        </w:rPr>
        <w:t>Geary v. Verizon Pennsylvania Inc</w:t>
      </w:r>
      <w:r w:rsidRPr="00077C1B">
        <w:rPr>
          <w:rFonts w:eastAsiaTheme="minorHAnsi"/>
          <w:sz w:val="26"/>
          <w:szCs w:val="26"/>
        </w:rPr>
        <w:t>., Docket No. C-2009-2118625 (Order entered September 16, 2010) (</w:t>
      </w:r>
      <w:r w:rsidRPr="00077C1B">
        <w:rPr>
          <w:rFonts w:eastAsiaTheme="minorHAnsi"/>
          <w:i/>
          <w:sz w:val="26"/>
          <w:szCs w:val="26"/>
        </w:rPr>
        <w:t>Geary</w:t>
      </w:r>
      <w:r w:rsidRPr="00077C1B">
        <w:rPr>
          <w:rFonts w:eastAsiaTheme="minorHAnsi"/>
          <w:sz w:val="26"/>
          <w:szCs w:val="26"/>
        </w:rPr>
        <w:t>).</w:t>
      </w:r>
    </w:p>
    <w:p w14:paraId="4322FF54" w14:textId="77777777" w:rsidR="00B55E2B" w:rsidRPr="00077C1B" w:rsidRDefault="00B55E2B" w:rsidP="00077C1B">
      <w:pPr>
        <w:widowControl/>
        <w:spacing w:line="360" w:lineRule="auto"/>
        <w:ind w:firstLine="1440"/>
        <w:rPr>
          <w:rFonts w:eastAsiaTheme="minorHAnsi"/>
          <w:sz w:val="26"/>
          <w:szCs w:val="26"/>
        </w:rPr>
      </w:pPr>
    </w:p>
    <w:p w14:paraId="30AA0798" w14:textId="64B84242" w:rsidR="00B55E2B" w:rsidRPr="00077C1B" w:rsidRDefault="00B55E2B" w:rsidP="00077C1B">
      <w:pPr>
        <w:widowControl/>
        <w:spacing w:line="360" w:lineRule="auto"/>
        <w:ind w:firstLine="1440"/>
        <w:rPr>
          <w:rFonts w:eastAsiaTheme="minorHAnsi"/>
          <w:sz w:val="26"/>
          <w:szCs w:val="26"/>
        </w:rPr>
      </w:pPr>
      <w:r w:rsidRPr="00077C1B">
        <w:rPr>
          <w:rFonts w:eastAsiaTheme="minorHAnsi"/>
          <w:sz w:val="26"/>
          <w:szCs w:val="26"/>
        </w:rPr>
        <w:lastRenderedPageBreak/>
        <w:t xml:space="preserve">Once a hearing is scheduled and duly notified by the Commission, it is the responsibility of the parties to appear and participate in the hearing.  </w:t>
      </w:r>
      <w:r w:rsidRPr="00077C1B">
        <w:rPr>
          <w:rFonts w:eastAsiaTheme="minorHAnsi"/>
          <w:i/>
          <w:sz w:val="26"/>
          <w:szCs w:val="26"/>
        </w:rPr>
        <w:t>Mumma v. PPL Electric Utilities Corporation</w:t>
      </w:r>
      <w:r w:rsidRPr="00077C1B">
        <w:rPr>
          <w:rFonts w:eastAsiaTheme="minorHAnsi"/>
          <w:sz w:val="26"/>
          <w:szCs w:val="26"/>
        </w:rPr>
        <w:t>, Docket No. C-00014869 (Order entered January 24, 2002) (</w:t>
      </w:r>
      <w:r w:rsidRPr="00077C1B">
        <w:rPr>
          <w:rFonts w:eastAsiaTheme="minorHAnsi"/>
          <w:i/>
          <w:sz w:val="26"/>
          <w:szCs w:val="26"/>
        </w:rPr>
        <w:t>Mumma</w:t>
      </w:r>
      <w:r w:rsidRPr="00077C1B">
        <w:rPr>
          <w:rFonts w:eastAsiaTheme="minorHAnsi"/>
          <w:sz w:val="26"/>
          <w:szCs w:val="26"/>
        </w:rPr>
        <w:t xml:space="preserve">); </w:t>
      </w:r>
      <w:proofErr w:type="spellStart"/>
      <w:r w:rsidRPr="00077C1B">
        <w:rPr>
          <w:rFonts w:eastAsiaTheme="minorHAnsi"/>
          <w:i/>
          <w:sz w:val="26"/>
          <w:szCs w:val="26"/>
        </w:rPr>
        <w:t>Sentner</w:t>
      </w:r>
      <w:proofErr w:type="spellEnd"/>
      <w:r w:rsidRPr="00077C1B">
        <w:rPr>
          <w:rFonts w:eastAsiaTheme="minorHAnsi"/>
          <w:i/>
          <w:sz w:val="26"/>
          <w:szCs w:val="26"/>
        </w:rPr>
        <w:t xml:space="preserve"> v. Bell Tel. Co. of PA</w:t>
      </w:r>
      <w:r w:rsidRPr="00077C1B">
        <w:rPr>
          <w:rFonts w:eastAsiaTheme="minorHAnsi"/>
          <w:sz w:val="26"/>
          <w:szCs w:val="26"/>
        </w:rPr>
        <w:t>, Docket No. F-00161106 (Order entered October 25, 1993) (</w:t>
      </w:r>
      <w:proofErr w:type="spellStart"/>
      <w:r w:rsidRPr="00077C1B">
        <w:rPr>
          <w:rFonts w:eastAsiaTheme="minorHAnsi"/>
          <w:i/>
          <w:sz w:val="26"/>
          <w:szCs w:val="26"/>
        </w:rPr>
        <w:t>Sentner</w:t>
      </w:r>
      <w:proofErr w:type="spellEnd"/>
      <w:r w:rsidRPr="00077C1B">
        <w:rPr>
          <w:rFonts w:eastAsiaTheme="minorHAnsi"/>
          <w:sz w:val="26"/>
          <w:szCs w:val="26"/>
        </w:rPr>
        <w:t>).</w:t>
      </w:r>
    </w:p>
    <w:p w14:paraId="0BD2DC9C" w14:textId="77777777" w:rsidR="00AC4B41" w:rsidRPr="00077C1B" w:rsidRDefault="00AC4B41" w:rsidP="00077C1B">
      <w:pPr>
        <w:widowControl/>
        <w:spacing w:line="360" w:lineRule="auto"/>
        <w:ind w:firstLine="1440"/>
        <w:rPr>
          <w:rFonts w:eastAsiaTheme="minorHAnsi"/>
          <w:sz w:val="26"/>
          <w:szCs w:val="26"/>
        </w:rPr>
      </w:pPr>
    </w:p>
    <w:p w14:paraId="57FFCA65" w14:textId="5F2E49E6" w:rsidR="00B55E2B" w:rsidRPr="00077C1B" w:rsidRDefault="00B55E2B" w:rsidP="00077C1B">
      <w:pPr>
        <w:widowControl/>
        <w:spacing w:line="360" w:lineRule="auto"/>
        <w:ind w:firstLine="1440"/>
        <w:rPr>
          <w:sz w:val="26"/>
          <w:szCs w:val="26"/>
        </w:rPr>
      </w:pPr>
      <w:r w:rsidRPr="00077C1B">
        <w:rPr>
          <w:sz w:val="26"/>
          <w:szCs w:val="26"/>
        </w:rPr>
        <w:t xml:space="preserve">A complainant, as the party seeking affirmative relief from the Commission, has the burden of proof.  66 Pa. C.S. § 332(a).  The burden of proof in actions before the Commission is the “preponderance of the evidence” standard.  </w:t>
      </w:r>
      <w:proofErr w:type="spellStart"/>
      <w:r w:rsidRPr="00077C1B">
        <w:rPr>
          <w:i/>
          <w:sz w:val="26"/>
          <w:szCs w:val="26"/>
        </w:rPr>
        <w:t>Suber</w:t>
      </w:r>
      <w:proofErr w:type="spellEnd"/>
      <w:r w:rsidRPr="00077C1B">
        <w:rPr>
          <w:i/>
          <w:sz w:val="26"/>
          <w:szCs w:val="26"/>
        </w:rPr>
        <w:t xml:space="preserve"> v. Pennsylvania </w:t>
      </w:r>
      <w:proofErr w:type="spellStart"/>
      <w:r w:rsidRPr="00077C1B">
        <w:rPr>
          <w:i/>
          <w:sz w:val="26"/>
          <w:szCs w:val="26"/>
        </w:rPr>
        <w:t>Com’n</w:t>
      </w:r>
      <w:proofErr w:type="spellEnd"/>
      <w:r w:rsidRPr="00077C1B">
        <w:rPr>
          <w:i/>
          <w:sz w:val="26"/>
          <w:szCs w:val="26"/>
        </w:rPr>
        <w:t xml:space="preserve"> on Crime and Deli</w:t>
      </w:r>
      <w:r w:rsidR="00262C10">
        <w:rPr>
          <w:i/>
          <w:sz w:val="26"/>
          <w:szCs w:val="26"/>
        </w:rPr>
        <w:t>n</w:t>
      </w:r>
      <w:r w:rsidRPr="00077C1B">
        <w:rPr>
          <w:i/>
          <w:sz w:val="26"/>
          <w:szCs w:val="26"/>
        </w:rPr>
        <w:t>quency</w:t>
      </w:r>
      <w:r w:rsidRPr="00077C1B">
        <w:rPr>
          <w:sz w:val="26"/>
          <w:szCs w:val="26"/>
        </w:rPr>
        <w:t>, 885 A. 2d 678, 682 (Pa. Cmwlth. 2005) (</w:t>
      </w:r>
      <w:proofErr w:type="spellStart"/>
      <w:r w:rsidRPr="00077C1B">
        <w:rPr>
          <w:i/>
          <w:sz w:val="26"/>
          <w:szCs w:val="26"/>
        </w:rPr>
        <w:t>Suber</w:t>
      </w:r>
      <w:proofErr w:type="spellEnd"/>
      <w:r w:rsidRPr="00077C1B">
        <w:rPr>
          <w:sz w:val="26"/>
          <w:szCs w:val="26"/>
        </w:rPr>
        <w:t xml:space="preserve">); </w:t>
      </w:r>
      <w:r w:rsidRPr="00077C1B">
        <w:rPr>
          <w:i/>
          <w:iCs/>
          <w:sz w:val="26"/>
          <w:szCs w:val="26"/>
        </w:rPr>
        <w:t xml:space="preserve">Samuel J. </w:t>
      </w:r>
      <w:proofErr w:type="spellStart"/>
      <w:r w:rsidRPr="00077C1B">
        <w:rPr>
          <w:i/>
          <w:iCs/>
          <w:sz w:val="26"/>
          <w:szCs w:val="26"/>
        </w:rPr>
        <w:t>Lansberry</w:t>
      </w:r>
      <w:proofErr w:type="spellEnd"/>
      <w:r w:rsidRPr="00077C1B">
        <w:rPr>
          <w:i/>
          <w:iCs/>
          <w:sz w:val="26"/>
          <w:szCs w:val="26"/>
        </w:rPr>
        <w:t>, Inc. v. Pa. PUC</w:t>
      </w:r>
      <w:r w:rsidRPr="00077C1B">
        <w:rPr>
          <w:sz w:val="26"/>
          <w:szCs w:val="26"/>
        </w:rPr>
        <w:t xml:space="preserve">, 578 A.2d 600 (Pa. Cmwlth. 1990), </w:t>
      </w:r>
      <w:proofErr w:type="spellStart"/>
      <w:r w:rsidRPr="00077C1B">
        <w:rPr>
          <w:i/>
          <w:sz w:val="26"/>
          <w:szCs w:val="26"/>
        </w:rPr>
        <w:t>alloc</w:t>
      </w:r>
      <w:proofErr w:type="spellEnd"/>
      <w:r w:rsidRPr="00077C1B">
        <w:rPr>
          <w:i/>
          <w:sz w:val="26"/>
          <w:szCs w:val="26"/>
        </w:rPr>
        <w:t>. denied</w:t>
      </w:r>
      <w:r w:rsidRPr="00D87F1F">
        <w:rPr>
          <w:iCs/>
          <w:sz w:val="26"/>
          <w:szCs w:val="26"/>
        </w:rPr>
        <w:t>,</w:t>
      </w:r>
      <w:r w:rsidRPr="00077C1B">
        <w:rPr>
          <w:sz w:val="26"/>
          <w:szCs w:val="26"/>
        </w:rPr>
        <w:t xml:space="preserve"> 529 Pa. 654, 602 A.2d 863 (1992) (</w:t>
      </w:r>
      <w:proofErr w:type="spellStart"/>
      <w:r w:rsidRPr="00077C1B">
        <w:rPr>
          <w:i/>
          <w:sz w:val="26"/>
          <w:szCs w:val="26"/>
        </w:rPr>
        <w:t>Lansberry</w:t>
      </w:r>
      <w:proofErr w:type="spellEnd"/>
      <w:r w:rsidRPr="00077C1B">
        <w:rPr>
          <w:sz w:val="26"/>
          <w:szCs w:val="26"/>
        </w:rPr>
        <w:t xml:space="preserve">); </w:t>
      </w:r>
      <w:r w:rsidRPr="00077C1B">
        <w:rPr>
          <w:i/>
          <w:sz w:val="26"/>
          <w:szCs w:val="26"/>
        </w:rPr>
        <w:t xml:space="preserve">see also </w:t>
      </w:r>
      <w:r w:rsidRPr="00077C1B">
        <w:rPr>
          <w:i/>
          <w:iCs/>
          <w:sz w:val="26"/>
          <w:szCs w:val="26"/>
        </w:rPr>
        <w:t>North American Coal Corp. v. Air Pollution Commission,</w:t>
      </w:r>
      <w:r w:rsidRPr="00077C1B">
        <w:rPr>
          <w:sz w:val="26"/>
          <w:szCs w:val="26"/>
        </w:rPr>
        <w:t xml:space="preserve"> 279 A.2d 356 (Pa. Cmwlth. 1971).</w:t>
      </w:r>
    </w:p>
    <w:p w14:paraId="0FFE1E6F" w14:textId="77777777" w:rsidR="00007A6C" w:rsidRPr="00077C1B" w:rsidRDefault="00007A6C" w:rsidP="00077C1B">
      <w:pPr>
        <w:keepNext/>
        <w:keepLines/>
        <w:widowControl/>
        <w:spacing w:line="360" w:lineRule="auto"/>
        <w:rPr>
          <w:sz w:val="26"/>
          <w:szCs w:val="26"/>
        </w:rPr>
      </w:pPr>
    </w:p>
    <w:p w14:paraId="00083DC9" w14:textId="7C495FAD" w:rsidR="00D07716" w:rsidRPr="00077C1B" w:rsidRDefault="00D07716" w:rsidP="00077C1B">
      <w:pPr>
        <w:pStyle w:val="ListParagraph"/>
        <w:keepNext/>
        <w:keepLines/>
        <w:widowControl/>
        <w:numPr>
          <w:ilvl w:val="0"/>
          <w:numId w:val="11"/>
        </w:numPr>
        <w:spacing w:line="360" w:lineRule="auto"/>
        <w:ind w:left="720"/>
        <w:outlineLvl w:val="1"/>
        <w:rPr>
          <w:b/>
          <w:sz w:val="26"/>
          <w:szCs w:val="26"/>
        </w:rPr>
      </w:pPr>
      <w:bookmarkStart w:id="4" w:name="_Toc42780243"/>
      <w:r w:rsidRPr="00077C1B">
        <w:rPr>
          <w:b/>
          <w:sz w:val="26"/>
          <w:szCs w:val="26"/>
        </w:rPr>
        <w:t xml:space="preserve">The </w:t>
      </w:r>
      <w:r w:rsidRPr="00077C1B">
        <w:rPr>
          <w:b/>
          <w:i/>
          <w:iCs/>
          <w:sz w:val="26"/>
          <w:szCs w:val="26"/>
        </w:rPr>
        <w:t>December</w:t>
      </w:r>
      <w:r w:rsidRPr="00077C1B">
        <w:rPr>
          <w:b/>
          <w:sz w:val="26"/>
          <w:szCs w:val="26"/>
        </w:rPr>
        <w:t xml:space="preserve"> </w:t>
      </w:r>
      <w:r w:rsidRPr="00077C1B">
        <w:rPr>
          <w:b/>
          <w:i/>
          <w:iCs/>
          <w:sz w:val="26"/>
          <w:szCs w:val="26"/>
        </w:rPr>
        <w:t>2019</w:t>
      </w:r>
      <w:r w:rsidRPr="00077C1B">
        <w:rPr>
          <w:b/>
          <w:sz w:val="26"/>
          <w:szCs w:val="26"/>
        </w:rPr>
        <w:t xml:space="preserve"> </w:t>
      </w:r>
      <w:r w:rsidRPr="00077C1B">
        <w:rPr>
          <w:b/>
          <w:i/>
          <w:iCs/>
          <w:sz w:val="26"/>
          <w:szCs w:val="26"/>
        </w:rPr>
        <w:t>Final</w:t>
      </w:r>
      <w:r w:rsidRPr="00077C1B">
        <w:rPr>
          <w:b/>
          <w:sz w:val="26"/>
          <w:szCs w:val="26"/>
        </w:rPr>
        <w:t xml:space="preserve"> </w:t>
      </w:r>
      <w:r w:rsidRPr="00077C1B">
        <w:rPr>
          <w:b/>
          <w:i/>
          <w:iCs/>
          <w:sz w:val="26"/>
          <w:szCs w:val="26"/>
        </w:rPr>
        <w:t>Order</w:t>
      </w:r>
      <w:r w:rsidRPr="00077C1B">
        <w:rPr>
          <w:b/>
          <w:sz w:val="26"/>
          <w:szCs w:val="26"/>
        </w:rPr>
        <w:t xml:space="preserve"> </w:t>
      </w:r>
      <w:r w:rsidR="00D87F1F">
        <w:rPr>
          <w:b/>
          <w:sz w:val="26"/>
          <w:szCs w:val="26"/>
        </w:rPr>
        <w:t>A</w:t>
      </w:r>
      <w:r w:rsidR="007746C7" w:rsidRPr="00077C1B">
        <w:rPr>
          <w:b/>
          <w:sz w:val="26"/>
          <w:szCs w:val="26"/>
        </w:rPr>
        <w:t xml:space="preserve">dopting </w:t>
      </w:r>
      <w:r w:rsidRPr="00077C1B">
        <w:rPr>
          <w:b/>
          <w:sz w:val="26"/>
          <w:szCs w:val="26"/>
        </w:rPr>
        <w:t>the ALJ’s Initial Decision</w:t>
      </w:r>
      <w:bookmarkEnd w:id="4"/>
    </w:p>
    <w:p w14:paraId="5736E59E" w14:textId="77777777" w:rsidR="00D07716" w:rsidRPr="00077C1B" w:rsidRDefault="00D07716" w:rsidP="00077C1B">
      <w:pPr>
        <w:keepNext/>
        <w:keepLines/>
        <w:widowControl/>
        <w:spacing w:line="360" w:lineRule="auto"/>
        <w:rPr>
          <w:b/>
          <w:sz w:val="26"/>
          <w:szCs w:val="26"/>
        </w:rPr>
      </w:pPr>
    </w:p>
    <w:p w14:paraId="7013BA12" w14:textId="421B938C" w:rsidR="00D07716" w:rsidRPr="00077C1B" w:rsidRDefault="00D07716" w:rsidP="00077C1B">
      <w:pPr>
        <w:widowControl/>
        <w:tabs>
          <w:tab w:val="left" w:pos="720"/>
          <w:tab w:val="left" w:pos="1440"/>
        </w:tabs>
        <w:spacing w:line="360" w:lineRule="auto"/>
        <w:rPr>
          <w:sz w:val="26"/>
          <w:szCs w:val="26"/>
        </w:rPr>
      </w:pPr>
      <w:r w:rsidRPr="00077C1B">
        <w:rPr>
          <w:b/>
          <w:sz w:val="26"/>
          <w:szCs w:val="26"/>
        </w:rPr>
        <w:tab/>
      </w:r>
      <w:r w:rsidRPr="00077C1B">
        <w:rPr>
          <w:b/>
          <w:sz w:val="26"/>
          <w:szCs w:val="26"/>
        </w:rPr>
        <w:tab/>
      </w:r>
      <w:r w:rsidRPr="00077C1B">
        <w:rPr>
          <w:sz w:val="26"/>
          <w:szCs w:val="26"/>
        </w:rPr>
        <w:t xml:space="preserve">As discussed </w:t>
      </w:r>
      <w:r w:rsidR="00C036C1" w:rsidRPr="00077C1B">
        <w:rPr>
          <w:i/>
          <w:iCs/>
          <w:sz w:val="26"/>
          <w:szCs w:val="26"/>
        </w:rPr>
        <w:t>supra</w:t>
      </w:r>
      <w:r w:rsidR="00C036C1" w:rsidRPr="00077C1B">
        <w:rPr>
          <w:sz w:val="26"/>
          <w:szCs w:val="26"/>
        </w:rPr>
        <w:t>.</w:t>
      </w:r>
      <w:r w:rsidRPr="00077C1B">
        <w:rPr>
          <w:sz w:val="26"/>
          <w:szCs w:val="26"/>
        </w:rPr>
        <w:t xml:space="preserve">, the Commission’s </w:t>
      </w:r>
      <w:r w:rsidRPr="00077C1B">
        <w:rPr>
          <w:i/>
          <w:sz w:val="26"/>
          <w:szCs w:val="26"/>
        </w:rPr>
        <w:t>December 2019 Final Order</w:t>
      </w:r>
      <w:r w:rsidRPr="00077C1B">
        <w:rPr>
          <w:sz w:val="26"/>
          <w:szCs w:val="26"/>
        </w:rPr>
        <w:t xml:space="preserve"> </w:t>
      </w:r>
      <w:r w:rsidR="00AE2496" w:rsidRPr="00077C1B">
        <w:rPr>
          <w:sz w:val="26"/>
          <w:szCs w:val="26"/>
        </w:rPr>
        <w:t xml:space="preserve">adopted </w:t>
      </w:r>
      <w:r w:rsidRPr="00077C1B">
        <w:rPr>
          <w:sz w:val="26"/>
          <w:szCs w:val="26"/>
        </w:rPr>
        <w:t xml:space="preserve">the Initial Decision of ALJ Vero </w:t>
      </w:r>
      <w:r w:rsidR="00AE2496" w:rsidRPr="00077C1B">
        <w:rPr>
          <w:sz w:val="26"/>
          <w:szCs w:val="26"/>
        </w:rPr>
        <w:t xml:space="preserve">as </w:t>
      </w:r>
      <w:r w:rsidRPr="00077C1B">
        <w:rPr>
          <w:sz w:val="26"/>
          <w:szCs w:val="26"/>
        </w:rPr>
        <w:t>final without further Commission action, dismissed the Complaint</w:t>
      </w:r>
      <w:r w:rsidR="007547CF" w:rsidRPr="00077C1B">
        <w:rPr>
          <w:sz w:val="26"/>
          <w:szCs w:val="26"/>
        </w:rPr>
        <w:t xml:space="preserve"> with prejudice</w:t>
      </w:r>
      <w:r w:rsidRPr="00077C1B">
        <w:rPr>
          <w:sz w:val="26"/>
          <w:szCs w:val="26"/>
        </w:rPr>
        <w:t>, and marked the docket closed.</w:t>
      </w:r>
    </w:p>
    <w:p w14:paraId="3FD625CC" w14:textId="77777777" w:rsidR="00D07716" w:rsidRPr="00077C1B" w:rsidRDefault="00D07716" w:rsidP="00077C1B">
      <w:pPr>
        <w:widowControl/>
        <w:tabs>
          <w:tab w:val="left" w:pos="720"/>
          <w:tab w:val="left" w:pos="1440"/>
        </w:tabs>
        <w:spacing w:line="360" w:lineRule="auto"/>
        <w:rPr>
          <w:sz w:val="26"/>
          <w:szCs w:val="26"/>
        </w:rPr>
      </w:pPr>
    </w:p>
    <w:p w14:paraId="22E246E4" w14:textId="0969FCE6" w:rsidR="004C4510" w:rsidRPr="00077C1B" w:rsidRDefault="00AE2496" w:rsidP="00077C1B">
      <w:pPr>
        <w:widowControl/>
        <w:spacing w:line="360" w:lineRule="auto"/>
        <w:ind w:firstLine="1440"/>
        <w:rPr>
          <w:sz w:val="26"/>
          <w:szCs w:val="26"/>
        </w:rPr>
      </w:pPr>
      <w:r w:rsidRPr="00077C1B">
        <w:rPr>
          <w:sz w:val="26"/>
          <w:szCs w:val="26"/>
        </w:rPr>
        <w:t>In her Initial Decision</w:t>
      </w:r>
      <w:r w:rsidR="007547CF" w:rsidRPr="00077C1B">
        <w:rPr>
          <w:sz w:val="26"/>
          <w:szCs w:val="26"/>
        </w:rPr>
        <w:t>,</w:t>
      </w:r>
      <w:r w:rsidRPr="00077C1B">
        <w:rPr>
          <w:sz w:val="26"/>
          <w:szCs w:val="26"/>
        </w:rPr>
        <w:t xml:space="preserve"> </w:t>
      </w:r>
      <w:r w:rsidR="004C4510" w:rsidRPr="00077C1B">
        <w:rPr>
          <w:sz w:val="26"/>
          <w:szCs w:val="26"/>
        </w:rPr>
        <w:t xml:space="preserve">ALJ </w:t>
      </w:r>
      <w:r w:rsidR="008939C2" w:rsidRPr="00077C1B">
        <w:rPr>
          <w:sz w:val="26"/>
          <w:szCs w:val="26"/>
        </w:rPr>
        <w:t xml:space="preserve">Vero </w:t>
      </w:r>
      <w:r w:rsidR="004C4510" w:rsidRPr="00077C1B">
        <w:rPr>
          <w:sz w:val="26"/>
          <w:szCs w:val="26"/>
        </w:rPr>
        <w:t xml:space="preserve">made </w:t>
      </w:r>
      <w:r w:rsidR="00E05C79" w:rsidRPr="00077C1B">
        <w:rPr>
          <w:sz w:val="26"/>
          <w:szCs w:val="26"/>
        </w:rPr>
        <w:t>fif</w:t>
      </w:r>
      <w:r w:rsidR="00C346EA" w:rsidRPr="00077C1B">
        <w:rPr>
          <w:sz w:val="26"/>
          <w:szCs w:val="26"/>
        </w:rPr>
        <w:t>teen</w:t>
      </w:r>
      <w:r w:rsidR="0012749A" w:rsidRPr="00077C1B">
        <w:rPr>
          <w:sz w:val="26"/>
          <w:szCs w:val="26"/>
        </w:rPr>
        <w:t xml:space="preserve"> </w:t>
      </w:r>
      <w:r w:rsidR="004C4510" w:rsidRPr="00077C1B">
        <w:rPr>
          <w:sz w:val="26"/>
          <w:szCs w:val="26"/>
        </w:rPr>
        <w:t xml:space="preserve">Findings of Fact and reached </w:t>
      </w:r>
      <w:r w:rsidR="00E05C79" w:rsidRPr="00077C1B">
        <w:rPr>
          <w:sz w:val="26"/>
          <w:szCs w:val="26"/>
        </w:rPr>
        <w:t xml:space="preserve">five </w:t>
      </w:r>
      <w:r w:rsidR="004C4510" w:rsidRPr="00077C1B">
        <w:rPr>
          <w:sz w:val="26"/>
          <w:szCs w:val="26"/>
        </w:rPr>
        <w:t xml:space="preserve">Conclusions of Law.  I.D. at </w:t>
      </w:r>
      <w:r w:rsidR="00E05C79" w:rsidRPr="00077C1B">
        <w:rPr>
          <w:sz w:val="26"/>
          <w:szCs w:val="26"/>
        </w:rPr>
        <w:t>3</w:t>
      </w:r>
      <w:r w:rsidR="0012749A" w:rsidRPr="00077C1B">
        <w:rPr>
          <w:sz w:val="26"/>
          <w:szCs w:val="26"/>
        </w:rPr>
        <w:t>-</w:t>
      </w:r>
      <w:r w:rsidR="000306A6" w:rsidRPr="00077C1B">
        <w:rPr>
          <w:sz w:val="26"/>
          <w:szCs w:val="26"/>
        </w:rPr>
        <w:t>4</w:t>
      </w:r>
      <w:r w:rsidR="004C4510" w:rsidRPr="00077C1B">
        <w:rPr>
          <w:sz w:val="26"/>
          <w:szCs w:val="26"/>
        </w:rPr>
        <w:t xml:space="preserve">, </w:t>
      </w:r>
      <w:r w:rsidR="00E05C79" w:rsidRPr="00077C1B">
        <w:rPr>
          <w:sz w:val="26"/>
          <w:szCs w:val="26"/>
        </w:rPr>
        <w:t>6-7</w:t>
      </w:r>
      <w:r w:rsidR="004C4510" w:rsidRPr="00077C1B">
        <w:rPr>
          <w:sz w:val="26"/>
          <w:szCs w:val="26"/>
        </w:rPr>
        <w:t>.  The Findings of Fact and Conclusions of Law are incorporated herein by reference and are adopted without comment unless they are either expressly or by necessary implication rejected or modified by this Opinion and Order.</w:t>
      </w:r>
    </w:p>
    <w:p w14:paraId="5DC66601" w14:textId="77777777" w:rsidR="004C4510" w:rsidRPr="00077C1B" w:rsidRDefault="004C4510" w:rsidP="00077C1B">
      <w:pPr>
        <w:widowControl/>
        <w:spacing w:line="360" w:lineRule="auto"/>
        <w:ind w:firstLine="1440"/>
        <w:rPr>
          <w:sz w:val="26"/>
          <w:szCs w:val="26"/>
        </w:rPr>
      </w:pPr>
    </w:p>
    <w:p w14:paraId="1165EC9E" w14:textId="02CA1DA8" w:rsidR="0003143A" w:rsidRPr="00077C1B" w:rsidRDefault="00C84168" w:rsidP="00077C1B">
      <w:pPr>
        <w:widowControl/>
        <w:spacing w:line="360" w:lineRule="auto"/>
        <w:ind w:firstLine="1440"/>
        <w:rPr>
          <w:sz w:val="26"/>
          <w:szCs w:val="26"/>
        </w:rPr>
      </w:pPr>
      <w:r w:rsidRPr="00077C1B">
        <w:rPr>
          <w:sz w:val="26"/>
          <w:szCs w:val="26"/>
        </w:rPr>
        <w:t>The ALJ noted that t</w:t>
      </w:r>
      <w:r w:rsidR="00340D38" w:rsidRPr="00077C1B">
        <w:rPr>
          <w:sz w:val="26"/>
          <w:szCs w:val="26"/>
        </w:rPr>
        <w:t xml:space="preserve">he Commission sent </w:t>
      </w:r>
      <w:r w:rsidR="00796CDF" w:rsidRPr="00077C1B">
        <w:rPr>
          <w:sz w:val="26"/>
          <w:szCs w:val="26"/>
        </w:rPr>
        <w:t xml:space="preserve">the Hearing </w:t>
      </w:r>
      <w:r w:rsidR="00340D38" w:rsidRPr="00077C1B">
        <w:rPr>
          <w:sz w:val="26"/>
          <w:szCs w:val="26"/>
        </w:rPr>
        <w:t>N</w:t>
      </w:r>
      <w:r w:rsidR="0003143A" w:rsidRPr="00077C1B">
        <w:rPr>
          <w:sz w:val="26"/>
          <w:szCs w:val="26"/>
        </w:rPr>
        <w:t>otice</w:t>
      </w:r>
      <w:r w:rsidR="00A62430" w:rsidRPr="00077C1B">
        <w:rPr>
          <w:sz w:val="26"/>
          <w:szCs w:val="26"/>
        </w:rPr>
        <w:t>s</w:t>
      </w:r>
      <w:r w:rsidR="0003143A" w:rsidRPr="00077C1B">
        <w:rPr>
          <w:sz w:val="26"/>
          <w:szCs w:val="26"/>
        </w:rPr>
        <w:t xml:space="preserve"> to the Complainant by </w:t>
      </w:r>
      <w:r w:rsidR="00E05C79" w:rsidRPr="00077C1B">
        <w:rPr>
          <w:sz w:val="26"/>
          <w:szCs w:val="26"/>
        </w:rPr>
        <w:t xml:space="preserve">USPS </w:t>
      </w:r>
      <w:r w:rsidR="0003143A" w:rsidRPr="00077C1B">
        <w:rPr>
          <w:sz w:val="26"/>
          <w:szCs w:val="26"/>
        </w:rPr>
        <w:t>regular first</w:t>
      </w:r>
      <w:r w:rsidRPr="00077C1B">
        <w:rPr>
          <w:sz w:val="26"/>
          <w:szCs w:val="26"/>
        </w:rPr>
        <w:t>-</w:t>
      </w:r>
      <w:r w:rsidR="0003143A" w:rsidRPr="00077C1B">
        <w:rPr>
          <w:sz w:val="26"/>
          <w:szCs w:val="26"/>
        </w:rPr>
        <w:t>class mai</w:t>
      </w:r>
      <w:r w:rsidRPr="00077C1B">
        <w:rPr>
          <w:sz w:val="26"/>
          <w:szCs w:val="26"/>
        </w:rPr>
        <w:t xml:space="preserve">l to the </w:t>
      </w:r>
      <w:r w:rsidR="00796CDF" w:rsidRPr="00077C1B">
        <w:rPr>
          <w:sz w:val="26"/>
          <w:szCs w:val="26"/>
        </w:rPr>
        <w:t xml:space="preserve">mailing </w:t>
      </w:r>
      <w:r w:rsidRPr="00077C1B">
        <w:rPr>
          <w:sz w:val="26"/>
          <w:szCs w:val="26"/>
        </w:rPr>
        <w:t>addre</w:t>
      </w:r>
      <w:r w:rsidR="00340D38" w:rsidRPr="00077C1B">
        <w:rPr>
          <w:sz w:val="26"/>
          <w:szCs w:val="26"/>
        </w:rPr>
        <w:t xml:space="preserve">ss stated on the Complaint, and </w:t>
      </w:r>
      <w:r w:rsidRPr="00077C1B">
        <w:rPr>
          <w:sz w:val="26"/>
          <w:szCs w:val="26"/>
        </w:rPr>
        <w:t xml:space="preserve">such </w:t>
      </w:r>
      <w:r w:rsidR="0003143A" w:rsidRPr="00077C1B">
        <w:rPr>
          <w:sz w:val="26"/>
          <w:szCs w:val="26"/>
        </w:rPr>
        <w:t>notice</w:t>
      </w:r>
      <w:r w:rsidR="00A62430" w:rsidRPr="00077C1B">
        <w:rPr>
          <w:sz w:val="26"/>
          <w:szCs w:val="26"/>
        </w:rPr>
        <w:t>s</w:t>
      </w:r>
      <w:r w:rsidR="00532462" w:rsidRPr="00077C1B">
        <w:rPr>
          <w:sz w:val="26"/>
          <w:szCs w:val="26"/>
        </w:rPr>
        <w:t xml:space="preserve"> w</w:t>
      </w:r>
      <w:r w:rsidR="00A62430" w:rsidRPr="00077C1B">
        <w:rPr>
          <w:sz w:val="26"/>
          <w:szCs w:val="26"/>
        </w:rPr>
        <w:t>ere</w:t>
      </w:r>
      <w:r w:rsidR="00532462" w:rsidRPr="00077C1B">
        <w:rPr>
          <w:sz w:val="26"/>
          <w:szCs w:val="26"/>
        </w:rPr>
        <w:t xml:space="preserve"> not returned </w:t>
      </w:r>
      <w:r w:rsidR="00340D38" w:rsidRPr="00077C1B">
        <w:rPr>
          <w:sz w:val="26"/>
          <w:szCs w:val="26"/>
        </w:rPr>
        <w:t xml:space="preserve">to </w:t>
      </w:r>
      <w:r w:rsidR="00D17290" w:rsidRPr="00077C1B">
        <w:rPr>
          <w:sz w:val="26"/>
          <w:szCs w:val="26"/>
        </w:rPr>
        <w:t xml:space="preserve">the </w:t>
      </w:r>
      <w:r w:rsidR="00340D38" w:rsidRPr="00077C1B">
        <w:rPr>
          <w:sz w:val="26"/>
          <w:szCs w:val="26"/>
        </w:rPr>
        <w:t xml:space="preserve">sender </w:t>
      </w:r>
      <w:r w:rsidR="00CF3F20" w:rsidRPr="00077C1B">
        <w:rPr>
          <w:sz w:val="26"/>
          <w:szCs w:val="26"/>
        </w:rPr>
        <w:t>as undeliverable.</w:t>
      </w:r>
      <w:r w:rsidR="0003143A" w:rsidRPr="00077C1B">
        <w:rPr>
          <w:sz w:val="26"/>
          <w:szCs w:val="26"/>
        </w:rPr>
        <w:t xml:space="preserve"> </w:t>
      </w:r>
      <w:r w:rsidR="001D5644" w:rsidRPr="00077C1B">
        <w:rPr>
          <w:sz w:val="26"/>
          <w:szCs w:val="26"/>
        </w:rPr>
        <w:t xml:space="preserve"> </w:t>
      </w:r>
      <w:r w:rsidR="00CF3F20" w:rsidRPr="00077C1B">
        <w:rPr>
          <w:sz w:val="26"/>
          <w:szCs w:val="26"/>
        </w:rPr>
        <w:t>T</w:t>
      </w:r>
      <w:r w:rsidR="001D5644" w:rsidRPr="00077C1B">
        <w:rPr>
          <w:sz w:val="26"/>
          <w:szCs w:val="26"/>
        </w:rPr>
        <w:t xml:space="preserve">he ALJ </w:t>
      </w:r>
      <w:r w:rsidR="001D5644" w:rsidRPr="00077C1B">
        <w:rPr>
          <w:sz w:val="26"/>
          <w:szCs w:val="26"/>
        </w:rPr>
        <w:lastRenderedPageBreak/>
        <w:t>recognized that</w:t>
      </w:r>
      <w:r w:rsidR="00CF3F20" w:rsidRPr="00077C1B">
        <w:rPr>
          <w:rFonts w:eastAsiaTheme="minorHAnsi"/>
          <w:color w:val="000000"/>
          <w:sz w:val="26"/>
          <w:szCs w:val="26"/>
        </w:rPr>
        <w:t xml:space="preserve"> under such circumstances,</w:t>
      </w:r>
      <w:r w:rsidR="00CF3F20" w:rsidRPr="00077C1B">
        <w:rPr>
          <w:sz w:val="26"/>
          <w:szCs w:val="26"/>
        </w:rPr>
        <w:t xml:space="preserve"> </w:t>
      </w:r>
      <w:r w:rsidR="001D5644" w:rsidRPr="00077C1B">
        <w:rPr>
          <w:sz w:val="26"/>
          <w:szCs w:val="26"/>
        </w:rPr>
        <w:t xml:space="preserve">the </w:t>
      </w:r>
      <w:r w:rsidR="00796CDF" w:rsidRPr="00077C1B">
        <w:rPr>
          <w:sz w:val="26"/>
          <w:szCs w:val="26"/>
        </w:rPr>
        <w:t>presumption is that the H</w:t>
      </w:r>
      <w:r w:rsidR="001D5644" w:rsidRPr="00077C1B">
        <w:rPr>
          <w:sz w:val="26"/>
          <w:szCs w:val="26"/>
        </w:rPr>
        <w:t xml:space="preserve">earing </w:t>
      </w:r>
      <w:r w:rsidR="00796CDF" w:rsidRPr="00077C1B">
        <w:rPr>
          <w:sz w:val="26"/>
          <w:szCs w:val="26"/>
        </w:rPr>
        <w:t>N</w:t>
      </w:r>
      <w:r w:rsidR="00577194" w:rsidRPr="00077C1B">
        <w:rPr>
          <w:sz w:val="26"/>
          <w:szCs w:val="26"/>
        </w:rPr>
        <w:t>otice</w:t>
      </w:r>
      <w:r w:rsidR="008C7941" w:rsidRPr="00077C1B">
        <w:rPr>
          <w:sz w:val="26"/>
          <w:szCs w:val="26"/>
        </w:rPr>
        <w:t>s</w:t>
      </w:r>
      <w:r w:rsidR="001D5644" w:rsidRPr="00077C1B">
        <w:rPr>
          <w:sz w:val="26"/>
          <w:szCs w:val="26"/>
        </w:rPr>
        <w:t xml:space="preserve"> </w:t>
      </w:r>
      <w:r w:rsidR="00796CDF" w:rsidRPr="00077C1B">
        <w:rPr>
          <w:sz w:val="26"/>
          <w:szCs w:val="26"/>
        </w:rPr>
        <w:t>had been</w:t>
      </w:r>
      <w:r w:rsidR="001D5644" w:rsidRPr="00077C1B">
        <w:rPr>
          <w:rFonts w:eastAsiaTheme="minorHAnsi"/>
          <w:color w:val="000000"/>
          <w:sz w:val="26"/>
          <w:szCs w:val="26"/>
        </w:rPr>
        <w:t xml:space="preserve"> received by </w:t>
      </w:r>
      <w:r w:rsidR="002D3A26" w:rsidRPr="00077C1B">
        <w:rPr>
          <w:rFonts w:eastAsiaTheme="minorHAnsi"/>
          <w:color w:val="000000"/>
          <w:sz w:val="26"/>
          <w:szCs w:val="26"/>
        </w:rPr>
        <w:t xml:space="preserve">the </w:t>
      </w:r>
      <w:r w:rsidR="001D5644" w:rsidRPr="00077C1B">
        <w:rPr>
          <w:rFonts w:eastAsiaTheme="minorHAnsi"/>
          <w:color w:val="000000"/>
          <w:sz w:val="26"/>
          <w:szCs w:val="26"/>
        </w:rPr>
        <w:t>Complainant.</w:t>
      </w:r>
      <w:r w:rsidR="00577194" w:rsidRPr="00077C1B">
        <w:rPr>
          <w:sz w:val="26"/>
          <w:szCs w:val="26"/>
        </w:rPr>
        <w:t xml:space="preserve">  I.D. at </w:t>
      </w:r>
      <w:r w:rsidR="00E05C79" w:rsidRPr="00077C1B">
        <w:rPr>
          <w:sz w:val="26"/>
          <w:szCs w:val="26"/>
        </w:rPr>
        <w:t>5-6</w:t>
      </w:r>
      <w:r w:rsidR="001D5644" w:rsidRPr="00077C1B">
        <w:rPr>
          <w:sz w:val="26"/>
          <w:szCs w:val="26"/>
        </w:rPr>
        <w:t xml:space="preserve"> (</w:t>
      </w:r>
      <w:r w:rsidR="00F6525D" w:rsidRPr="00077C1B">
        <w:rPr>
          <w:sz w:val="26"/>
          <w:szCs w:val="26"/>
        </w:rPr>
        <w:t>citing</w:t>
      </w:r>
      <w:r w:rsidR="00E05C79" w:rsidRPr="00077C1B">
        <w:rPr>
          <w:i/>
          <w:sz w:val="26"/>
          <w:szCs w:val="26"/>
        </w:rPr>
        <w:t xml:space="preserve"> </w:t>
      </w:r>
      <w:proofErr w:type="spellStart"/>
      <w:r w:rsidR="00E05C79" w:rsidRPr="00077C1B">
        <w:rPr>
          <w:i/>
          <w:sz w:val="26"/>
          <w:szCs w:val="26"/>
        </w:rPr>
        <w:t>Chartiers</w:t>
      </w:r>
      <w:proofErr w:type="spellEnd"/>
      <w:r w:rsidR="00E05C79" w:rsidRPr="00077C1B">
        <w:rPr>
          <w:i/>
          <w:sz w:val="26"/>
          <w:szCs w:val="26"/>
        </w:rPr>
        <w:t xml:space="preserve"> Industrial and Commercial Development Authority v. Allegheny County Board of Property Assessment Appeals and Review</w:t>
      </w:r>
      <w:r w:rsidR="00E05C79" w:rsidRPr="00077C1B">
        <w:rPr>
          <w:sz w:val="26"/>
          <w:szCs w:val="26"/>
        </w:rPr>
        <w:t>, 645 A.2d 944 (</w:t>
      </w:r>
      <w:proofErr w:type="spellStart"/>
      <w:r w:rsidR="00E05C79" w:rsidRPr="00077C1B">
        <w:rPr>
          <w:sz w:val="26"/>
          <w:szCs w:val="26"/>
        </w:rPr>
        <w:t>Pa.Cmwlth</w:t>
      </w:r>
      <w:proofErr w:type="spellEnd"/>
      <w:r w:rsidR="00E05C79" w:rsidRPr="00077C1B">
        <w:rPr>
          <w:sz w:val="26"/>
          <w:szCs w:val="26"/>
        </w:rPr>
        <w:t>. 1994)</w:t>
      </w:r>
      <w:r w:rsidR="00273868" w:rsidRPr="00077C1B">
        <w:rPr>
          <w:sz w:val="26"/>
          <w:szCs w:val="26"/>
        </w:rPr>
        <w:t>).</w:t>
      </w:r>
      <w:r w:rsidR="00944A3B" w:rsidRPr="00077C1B">
        <w:rPr>
          <w:sz w:val="26"/>
          <w:szCs w:val="26"/>
        </w:rPr>
        <w:t xml:space="preserve">  </w:t>
      </w:r>
    </w:p>
    <w:p w14:paraId="14F39785" w14:textId="77777777" w:rsidR="0076027A" w:rsidRPr="00077C1B" w:rsidRDefault="0076027A" w:rsidP="00077C1B">
      <w:pPr>
        <w:widowControl/>
        <w:spacing w:line="360" w:lineRule="auto"/>
        <w:ind w:firstLine="1440"/>
        <w:rPr>
          <w:sz w:val="26"/>
          <w:szCs w:val="26"/>
        </w:rPr>
      </w:pPr>
    </w:p>
    <w:p w14:paraId="73C1326D" w14:textId="7927FD32" w:rsidR="00E05C79" w:rsidRPr="00077C1B" w:rsidRDefault="000E29B9" w:rsidP="00077C1B">
      <w:pPr>
        <w:widowControl/>
        <w:autoSpaceDE w:val="0"/>
        <w:autoSpaceDN w:val="0"/>
        <w:adjustRightInd w:val="0"/>
        <w:spacing w:line="360" w:lineRule="auto"/>
        <w:rPr>
          <w:rFonts w:eastAsiaTheme="minorHAnsi"/>
          <w:color w:val="000000"/>
          <w:sz w:val="26"/>
          <w:szCs w:val="26"/>
        </w:rPr>
      </w:pPr>
      <w:r w:rsidRPr="00077C1B">
        <w:rPr>
          <w:rFonts w:eastAsiaTheme="minorHAnsi"/>
          <w:color w:val="000000"/>
          <w:sz w:val="26"/>
          <w:szCs w:val="26"/>
        </w:rPr>
        <w:tab/>
      </w:r>
      <w:r w:rsidRPr="00077C1B">
        <w:rPr>
          <w:rFonts w:eastAsiaTheme="minorHAnsi"/>
          <w:color w:val="000000"/>
          <w:sz w:val="26"/>
          <w:szCs w:val="26"/>
        </w:rPr>
        <w:tab/>
        <w:t xml:space="preserve">The ALJ </w:t>
      </w:r>
      <w:r w:rsidR="00E05C79" w:rsidRPr="00077C1B">
        <w:rPr>
          <w:rFonts w:eastAsiaTheme="minorHAnsi"/>
          <w:color w:val="000000"/>
          <w:sz w:val="26"/>
          <w:szCs w:val="26"/>
        </w:rPr>
        <w:t>found that the Complainant was properly notified of the hearing and that</w:t>
      </w:r>
      <w:r w:rsidR="00A53556" w:rsidRPr="00077C1B">
        <w:rPr>
          <w:rFonts w:eastAsiaTheme="minorHAnsi"/>
          <w:color w:val="000000"/>
          <w:sz w:val="26"/>
          <w:szCs w:val="26"/>
        </w:rPr>
        <w:t>,</w:t>
      </w:r>
      <w:r w:rsidR="00E05C79" w:rsidRPr="00077C1B">
        <w:rPr>
          <w:rFonts w:eastAsiaTheme="minorHAnsi"/>
          <w:color w:val="000000"/>
          <w:sz w:val="26"/>
          <w:szCs w:val="26"/>
        </w:rPr>
        <w:t xml:space="preserve"> in the circumstances</w:t>
      </w:r>
      <w:r w:rsidR="006F0D6B" w:rsidRPr="00077C1B">
        <w:rPr>
          <w:rFonts w:eastAsiaTheme="minorHAnsi"/>
          <w:color w:val="000000"/>
          <w:sz w:val="26"/>
          <w:szCs w:val="26"/>
        </w:rPr>
        <w:t xml:space="preserve">, the Complainant’s failure </w:t>
      </w:r>
      <w:r w:rsidR="00E05C79" w:rsidRPr="00077C1B">
        <w:rPr>
          <w:rFonts w:eastAsiaTheme="minorHAnsi"/>
          <w:color w:val="000000"/>
          <w:sz w:val="26"/>
          <w:szCs w:val="26"/>
        </w:rPr>
        <w:t xml:space="preserve">to appear </w:t>
      </w:r>
      <w:r w:rsidR="00A53556" w:rsidRPr="00077C1B">
        <w:rPr>
          <w:rFonts w:eastAsiaTheme="minorHAnsi"/>
          <w:color w:val="000000"/>
          <w:sz w:val="26"/>
          <w:szCs w:val="26"/>
        </w:rPr>
        <w:t xml:space="preserve">was </w:t>
      </w:r>
      <w:r w:rsidR="006F0D6B" w:rsidRPr="00077C1B">
        <w:rPr>
          <w:rFonts w:eastAsiaTheme="minorHAnsi"/>
          <w:color w:val="000000"/>
          <w:sz w:val="26"/>
          <w:szCs w:val="26"/>
        </w:rPr>
        <w:t>not excused.  The ALJ also found that the Complainant had waived the right to present evidence on the Complaint due to her unexcused failure to appear at the scheduled hearing.  I.D. at 7 (citing 52 Pa. Code § 5.245(a)).</w:t>
      </w:r>
    </w:p>
    <w:p w14:paraId="3F47BED1" w14:textId="77777777" w:rsidR="000E29B9" w:rsidRPr="00077C1B" w:rsidRDefault="000E29B9" w:rsidP="00077C1B">
      <w:pPr>
        <w:widowControl/>
        <w:autoSpaceDE w:val="0"/>
        <w:autoSpaceDN w:val="0"/>
        <w:adjustRightInd w:val="0"/>
        <w:spacing w:line="360" w:lineRule="auto"/>
        <w:ind w:firstLine="1440"/>
        <w:rPr>
          <w:rFonts w:eastAsiaTheme="minorHAnsi"/>
          <w:color w:val="000000"/>
          <w:sz w:val="26"/>
          <w:szCs w:val="26"/>
        </w:rPr>
      </w:pPr>
    </w:p>
    <w:p w14:paraId="55B87622" w14:textId="10D489E9" w:rsidR="00577194" w:rsidRPr="00077C1B" w:rsidRDefault="00A53556" w:rsidP="00077C1B">
      <w:pPr>
        <w:widowControl/>
        <w:autoSpaceDE w:val="0"/>
        <w:autoSpaceDN w:val="0"/>
        <w:adjustRightInd w:val="0"/>
        <w:spacing w:line="360" w:lineRule="auto"/>
        <w:ind w:firstLine="1440"/>
        <w:rPr>
          <w:sz w:val="26"/>
          <w:szCs w:val="26"/>
        </w:rPr>
      </w:pPr>
      <w:r w:rsidRPr="00077C1B">
        <w:rPr>
          <w:sz w:val="26"/>
          <w:szCs w:val="26"/>
        </w:rPr>
        <w:t>Finally, t</w:t>
      </w:r>
      <w:r w:rsidR="003633ED" w:rsidRPr="00077C1B">
        <w:rPr>
          <w:sz w:val="26"/>
          <w:szCs w:val="26"/>
        </w:rPr>
        <w:t xml:space="preserve">he ALJ </w:t>
      </w:r>
      <w:r w:rsidR="00B625F1" w:rsidRPr="00077C1B">
        <w:rPr>
          <w:sz w:val="26"/>
          <w:szCs w:val="26"/>
        </w:rPr>
        <w:t xml:space="preserve">ruled </w:t>
      </w:r>
      <w:r w:rsidR="006F0D6B" w:rsidRPr="00077C1B">
        <w:rPr>
          <w:sz w:val="26"/>
          <w:szCs w:val="26"/>
        </w:rPr>
        <w:t xml:space="preserve">that </w:t>
      </w:r>
      <w:r w:rsidR="003633ED" w:rsidRPr="00077C1B">
        <w:rPr>
          <w:sz w:val="26"/>
          <w:szCs w:val="26"/>
        </w:rPr>
        <w:t xml:space="preserve">the Complainant failed to carry </w:t>
      </w:r>
      <w:r w:rsidR="006F0D6B" w:rsidRPr="00077C1B">
        <w:rPr>
          <w:sz w:val="26"/>
          <w:szCs w:val="26"/>
        </w:rPr>
        <w:t xml:space="preserve">the </w:t>
      </w:r>
      <w:r w:rsidR="003633ED" w:rsidRPr="00077C1B">
        <w:rPr>
          <w:sz w:val="26"/>
          <w:szCs w:val="26"/>
        </w:rPr>
        <w:t>burden of proof</w:t>
      </w:r>
      <w:r w:rsidR="006F0D6B" w:rsidRPr="00077C1B">
        <w:rPr>
          <w:sz w:val="26"/>
          <w:szCs w:val="26"/>
        </w:rPr>
        <w:t xml:space="preserve"> on the Complaint, due to the unexcused failure to appear</w:t>
      </w:r>
      <w:r w:rsidR="003633ED" w:rsidRPr="00077C1B">
        <w:rPr>
          <w:sz w:val="26"/>
          <w:szCs w:val="26"/>
        </w:rPr>
        <w:t xml:space="preserve">.  I.D. at </w:t>
      </w:r>
      <w:r w:rsidR="000E29B9" w:rsidRPr="00077C1B">
        <w:rPr>
          <w:sz w:val="26"/>
          <w:szCs w:val="26"/>
        </w:rPr>
        <w:t>7</w:t>
      </w:r>
      <w:r w:rsidR="003633ED" w:rsidRPr="00077C1B">
        <w:rPr>
          <w:sz w:val="26"/>
          <w:szCs w:val="26"/>
        </w:rPr>
        <w:t xml:space="preserve">.  </w:t>
      </w:r>
      <w:r w:rsidR="003633ED" w:rsidRPr="00077C1B">
        <w:rPr>
          <w:rFonts w:eastAsiaTheme="minorHAnsi"/>
          <w:color w:val="000000"/>
          <w:sz w:val="26"/>
          <w:szCs w:val="26"/>
        </w:rPr>
        <w:t>As such, the ALJ dismiss</w:t>
      </w:r>
      <w:r w:rsidR="00B625F1" w:rsidRPr="00077C1B">
        <w:rPr>
          <w:rFonts w:eastAsiaTheme="minorHAnsi"/>
          <w:color w:val="000000"/>
          <w:sz w:val="26"/>
          <w:szCs w:val="26"/>
        </w:rPr>
        <w:t>ed</w:t>
      </w:r>
      <w:r w:rsidR="003633ED" w:rsidRPr="00077C1B">
        <w:rPr>
          <w:rFonts w:eastAsiaTheme="minorHAnsi"/>
          <w:color w:val="000000"/>
          <w:sz w:val="26"/>
          <w:szCs w:val="26"/>
        </w:rPr>
        <w:t xml:space="preserve"> the Complaint with prejudice</w:t>
      </w:r>
      <w:r w:rsidR="006F0D6B" w:rsidRPr="00077C1B">
        <w:rPr>
          <w:rFonts w:eastAsiaTheme="minorHAnsi"/>
          <w:color w:val="000000"/>
          <w:sz w:val="26"/>
          <w:szCs w:val="26"/>
        </w:rPr>
        <w:t xml:space="preserve"> for failure to prosecute the Complaint</w:t>
      </w:r>
      <w:r w:rsidR="003633ED" w:rsidRPr="00077C1B">
        <w:rPr>
          <w:rFonts w:eastAsiaTheme="minorHAnsi"/>
          <w:color w:val="000000"/>
          <w:sz w:val="26"/>
          <w:szCs w:val="26"/>
        </w:rPr>
        <w:t xml:space="preserve">.  </w:t>
      </w:r>
      <w:r w:rsidR="006F0D6B" w:rsidRPr="00077C1B">
        <w:rPr>
          <w:rFonts w:eastAsiaTheme="minorHAnsi"/>
          <w:i/>
          <w:iCs/>
          <w:color w:val="000000"/>
          <w:sz w:val="26"/>
          <w:szCs w:val="26"/>
        </w:rPr>
        <w:t>Id</w:t>
      </w:r>
      <w:r w:rsidR="006F0D6B" w:rsidRPr="00077C1B">
        <w:rPr>
          <w:rFonts w:eastAsiaTheme="minorHAnsi"/>
          <w:color w:val="000000"/>
          <w:sz w:val="26"/>
          <w:szCs w:val="26"/>
        </w:rPr>
        <w:t xml:space="preserve">. </w:t>
      </w:r>
    </w:p>
    <w:p w14:paraId="2098DDFB" w14:textId="77777777" w:rsidR="00577194" w:rsidRPr="00077C1B" w:rsidRDefault="00577194" w:rsidP="00077C1B">
      <w:pPr>
        <w:widowControl/>
        <w:autoSpaceDE w:val="0"/>
        <w:autoSpaceDN w:val="0"/>
        <w:adjustRightInd w:val="0"/>
        <w:spacing w:line="360" w:lineRule="auto"/>
        <w:ind w:firstLine="1440"/>
        <w:rPr>
          <w:rFonts w:eastAsiaTheme="minorHAnsi"/>
          <w:color w:val="000000"/>
          <w:sz w:val="26"/>
          <w:szCs w:val="26"/>
        </w:rPr>
      </w:pPr>
    </w:p>
    <w:p w14:paraId="3F86C527" w14:textId="471B2FD9" w:rsidR="001F0176" w:rsidRPr="00077C1B" w:rsidRDefault="008939C2" w:rsidP="00077C1B">
      <w:pPr>
        <w:pStyle w:val="ListParagraph"/>
        <w:keepNext/>
        <w:keepLines/>
        <w:widowControl/>
        <w:numPr>
          <w:ilvl w:val="0"/>
          <w:numId w:val="12"/>
        </w:numPr>
        <w:spacing w:line="360" w:lineRule="auto"/>
        <w:ind w:left="720"/>
        <w:outlineLvl w:val="1"/>
        <w:rPr>
          <w:b/>
          <w:sz w:val="26"/>
          <w:szCs w:val="26"/>
        </w:rPr>
      </w:pPr>
      <w:bookmarkStart w:id="5" w:name="_Toc42780244"/>
      <w:r w:rsidRPr="00077C1B">
        <w:rPr>
          <w:b/>
          <w:sz w:val="26"/>
          <w:szCs w:val="26"/>
        </w:rPr>
        <w:t>Petition for Reconsideration/Re</w:t>
      </w:r>
      <w:r w:rsidR="00D17290" w:rsidRPr="00077C1B">
        <w:rPr>
          <w:b/>
          <w:sz w:val="26"/>
          <w:szCs w:val="26"/>
        </w:rPr>
        <w:t>s</w:t>
      </w:r>
      <w:r w:rsidRPr="00077C1B">
        <w:rPr>
          <w:b/>
          <w:sz w:val="26"/>
          <w:szCs w:val="26"/>
        </w:rPr>
        <w:t>cission</w:t>
      </w:r>
      <w:bookmarkEnd w:id="5"/>
      <w:r w:rsidR="00A53B95" w:rsidRPr="00077C1B">
        <w:rPr>
          <w:b/>
          <w:sz w:val="26"/>
          <w:szCs w:val="26"/>
        </w:rPr>
        <w:t xml:space="preserve"> and Answer to Petition</w:t>
      </w:r>
    </w:p>
    <w:p w14:paraId="7E59DBA9" w14:textId="77777777" w:rsidR="00D07716" w:rsidRPr="00077C1B" w:rsidRDefault="00D07716" w:rsidP="00077C1B">
      <w:pPr>
        <w:keepNext/>
        <w:keepLines/>
        <w:widowControl/>
        <w:spacing w:line="360" w:lineRule="auto"/>
        <w:rPr>
          <w:b/>
          <w:sz w:val="26"/>
          <w:szCs w:val="26"/>
        </w:rPr>
      </w:pPr>
    </w:p>
    <w:p w14:paraId="35FC3208" w14:textId="5B3DF4F2" w:rsidR="004363EF" w:rsidRPr="00077C1B" w:rsidRDefault="00D07716" w:rsidP="00077C1B">
      <w:pPr>
        <w:widowControl/>
        <w:spacing w:line="360" w:lineRule="auto"/>
        <w:ind w:firstLine="1440"/>
        <w:rPr>
          <w:rFonts w:eastAsia="Calibri"/>
          <w:sz w:val="26"/>
          <w:szCs w:val="26"/>
        </w:rPr>
      </w:pPr>
      <w:r w:rsidRPr="00077C1B">
        <w:rPr>
          <w:bCs/>
          <w:sz w:val="26"/>
          <w:szCs w:val="26"/>
        </w:rPr>
        <w:t xml:space="preserve">The Petitioner seeks rescission of the </w:t>
      </w:r>
      <w:r w:rsidR="007547CF" w:rsidRPr="00077C1B">
        <w:rPr>
          <w:bCs/>
          <w:sz w:val="26"/>
          <w:szCs w:val="26"/>
        </w:rPr>
        <w:t xml:space="preserve">Commission’s </w:t>
      </w:r>
      <w:r w:rsidR="007547CF" w:rsidRPr="00077C1B">
        <w:rPr>
          <w:bCs/>
          <w:i/>
          <w:iCs/>
          <w:sz w:val="26"/>
          <w:szCs w:val="26"/>
        </w:rPr>
        <w:t>December 2019 Final Order</w:t>
      </w:r>
      <w:r w:rsidR="007547CF" w:rsidRPr="00077C1B">
        <w:rPr>
          <w:bCs/>
          <w:sz w:val="26"/>
          <w:szCs w:val="26"/>
        </w:rPr>
        <w:t xml:space="preserve"> </w:t>
      </w:r>
      <w:r w:rsidRPr="00077C1B">
        <w:rPr>
          <w:bCs/>
          <w:sz w:val="26"/>
          <w:szCs w:val="26"/>
        </w:rPr>
        <w:t>deny</w:t>
      </w:r>
      <w:r w:rsidR="004363EF" w:rsidRPr="00077C1B">
        <w:rPr>
          <w:bCs/>
          <w:sz w:val="26"/>
          <w:szCs w:val="26"/>
        </w:rPr>
        <w:t>ing</w:t>
      </w:r>
      <w:r w:rsidRPr="00077C1B">
        <w:rPr>
          <w:bCs/>
          <w:sz w:val="26"/>
          <w:szCs w:val="26"/>
        </w:rPr>
        <w:t xml:space="preserve"> and dismiss</w:t>
      </w:r>
      <w:r w:rsidR="004363EF" w:rsidRPr="00077C1B">
        <w:rPr>
          <w:bCs/>
          <w:sz w:val="26"/>
          <w:szCs w:val="26"/>
        </w:rPr>
        <w:t>ing</w:t>
      </w:r>
      <w:r w:rsidRPr="00077C1B">
        <w:rPr>
          <w:bCs/>
          <w:sz w:val="26"/>
          <w:szCs w:val="26"/>
        </w:rPr>
        <w:t xml:space="preserve"> her Complaint with prejudice.</w:t>
      </w:r>
      <w:r w:rsidR="004363EF" w:rsidRPr="00077C1B">
        <w:rPr>
          <w:bCs/>
          <w:sz w:val="26"/>
          <w:szCs w:val="26"/>
        </w:rPr>
        <w:t xml:space="preserve">  The Petition </w:t>
      </w:r>
      <w:r w:rsidR="004363EF" w:rsidRPr="00077C1B">
        <w:rPr>
          <w:rFonts w:eastAsia="Calibri"/>
          <w:sz w:val="26"/>
          <w:szCs w:val="26"/>
        </w:rPr>
        <w:t xml:space="preserve">asserts that </w:t>
      </w:r>
      <w:r w:rsidR="00403B54" w:rsidRPr="00077C1B">
        <w:rPr>
          <w:rFonts w:eastAsia="Calibri"/>
          <w:sz w:val="26"/>
          <w:szCs w:val="26"/>
        </w:rPr>
        <w:t>rescission</w:t>
      </w:r>
      <w:r w:rsidR="004363EF" w:rsidRPr="00077C1B">
        <w:rPr>
          <w:rFonts w:eastAsia="Calibri"/>
          <w:sz w:val="26"/>
          <w:szCs w:val="26"/>
        </w:rPr>
        <w:t xml:space="preserve"> of the </w:t>
      </w:r>
      <w:r w:rsidR="004363EF" w:rsidRPr="00077C1B">
        <w:rPr>
          <w:i/>
          <w:iCs/>
          <w:sz w:val="26"/>
          <w:szCs w:val="26"/>
        </w:rPr>
        <w:t>December 2019 Final Order</w:t>
      </w:r>
      <w:r w:rsidR="004363EF" w:rsidRPr="00077C1B">
        <w:rPr>
          <w:rFonts w:eastAsia="Calibri"/>
          <w:sz w:val="26"/>
          <w:szCs w:val="26"/>
        </w:rPr>
        <w:t xml:space="preserve"> is warranted due to PGW’s unlawful termination of service, PGW’s incorrect billing, and safety concerns with PGW’s service causing Ms. Poe-Henderson to suffer gas poisoning.  </w:t>
      </w:r>
      <w:r w:rsidR="004363EF" w:rsidRPr="00077C1B">
        <w:rPr>
          <w:rFonts w:eastAsia="Calibri"/>
          <w:i/>
          <w:iCs/>
          <w:sz w:val="26"/>
          <w:szCs w:val="26"/>
        </w:rPr>
        <w:t>See</w:t>
      </w:r>
      <w:r w:rsidR="004363EF" w:rsidRPr="00077C1B">
        <w:rPr>
          <w:rFonts w:eastAsia="Calibri"/>
          <w:sz w:val="26"/>
          <w:szCs w:val="26"/>
        </w:rPr>
        <w:t xml:space="preserve"> Petition at 1-2.</w:t>
      </w:r>
    </w:p>
    <w:p w14:paraId="23486578" w14:textId="77777777" w:rsidR="00A53B95" w:rsidRPr="00077C1B" w:rsidRDefault="00A53B95" w:rsidP="00077C1B">
      <w:pPr>
        <w:widowControl/>
        <w:spacing w:line="360" w:lineRule="auto"/>
        <w:ind w:firstLine="1440"/>
        <w:rPr>
          <w:rFonts w:eastAsia="Calibri"/>
          <w:sz w:val="26"/>
          <w:szCs w:val="26"/>
        </w:rPr>
      </w:pPr>
    </w:p>
    <w:p w14:paraId="46322454" w14:textId="5A9A3988" w:rsidR="00A53B95" w:rsidRPr="00077C1B" w:rsidRDefault="00A53B95" w:rsidP="00077C1B">
      <w:pPr>
        <w:widowControl/>
        <w:spacing w:line="360" w:lineRule="auto"/>
        <w:ind w:firstLine="1440"/>
        <w:rPr>
          <w:rFonts w:eastAsia="Calibri"/>
          <w:sz w:val="26"/>
          <w:szCs w:val="26"/>
        </w:rPr>
      </w:pPr>
      <w:r w:rsidRPr="00077C1B">
        <w:rPr>
          <w:rFonts w:eastAsia="Calibri"/>
          <w:sz w:val="26"/>
          <w:szCs w:val="26"/>
        </w:rPr>
        <w:t xml:space="preserve">The Respondent argues that the Petition fails to establish a proper basis for rescission; that the Complainant has not established the existence of newly discovered evidence, a substantial change in circumstances, or an error of fact or law; that the Complainant gives no explanation for her behavior on the day of the hearing and instead seems to be raising issues regarding various low income programs that were not part of her original complaint; and that the Complainant has failed to present any circumstances </w:t>
      </w:r>
      <w:r w:rsidRPr="00077C1B">
        <w:rPr>
          <w:rFonts w:eastAsia="Calibri"/>
          <w:sz w:val="26"/>
          <w:szCs w:val="26"/>
        </w:rPr>
        <w:lastRenderedPageBreak/>
        <w:t xml:space="preserve">that would support the Commission disturbing its Order in this matter.  </w:t>
      </w:r>
      <w:r w:rsidR="00E23B04" w:rsidRPr="00077C1B">
        <w:rPr>
          <w:rFonts w:eastAsia="Calibri"/>
          <w:sz w:val="26"/>
          <w:szCs w:val="26"/>
        </w:rPr>
        <w:t>The</w:t>
      </w:r>
      <w:r w:rsidR="00683C21" w:rsidRPr="00077C1B">
        <w:rPr>
          <w:rFonts w:eastAsia="Calibri"/>
          <w:sz w:val="26"/>
          <w:szCs w:val="26"/>
        </w:rPr>
        <w:t>refore,</w:t>
      </w:r>
      <w:r w:rsidR="00247F19" w:rsidRPr="00077C1B">
        <w:rPr>
          <w:rFonts w:eastAsia="Calibri"/>
          <w:sz w:val="26"/>
          <w:szCs w:val="26"/>
        </w:rPr>
        <w:t xml:space="preserve"> PGW requests that the Commission deny the Petition and not disturb</w:t>
      </w:r>
      <w:r w:rsidR="00591ADF" w:rsidRPr="00077C1B">
        <w:rPr>
          <w:rFonts w:eastAsia="Calibri"/>
          <w:sz w:val="26"/>
          <w:szCs w:val="26"/>
        </w:rPr>
        <w:t xml:space="preserve"> the </w:t>
      </w:r>
      <w:r w:rsidR="00591ADF" w:rsidRPr="00077C1B">
        <w:rPr>
          <w:bCs/>
          <w:i/>
          <w:iCs/>
          <w:sz w:val="26"/>
          <w:szCs w:val="26"/>
        </w:rPr>
        <w:t>December 2019 Final Order</w:t>
      </w:r>
      <w:r w:rsidR="00591ADF" w:rsidRPr="00077C1B">
        <w:rPr>
          <w:bCs/>
          <w:sz w:val="26"/>
          <w:szCs w:val="26"/>
        </w:rPr>
        <w:t xml:space="preserve"> that adopted the Initial Decision as final action of the Commission.  </w:t>
      </w:r>
      <w:r w:rsidRPr="00077C1B">
        <w:rPr>
          <w:rFonts w:eastAsia="Calibri"/>
          <w:sz w:val="26"/>
          <w:szCs w:val="26"/>
        </w:rPr>
        <w:t>Answer at 3</w:t>
      </w:r>
      <w:r w:rsidR="00E22093" w:rsidRPr="00077C1B">
        <w:rPr>
          <w:rFonts w:eastAsia="Calibri"/>
          <w:sz w:val="26"/>
          <w:szCs w:val="26"/>
        </w:rPr>
        <w:t>-4</w:t>
      </w:r>
      <w:r w:rsidRPr="00077C1B">
        <w:rPr>
          <w:rFonts w:eastAsia="Calibri"/>
          <w:sz w:val="26"/>
          <w:szCs w:val="26"/>
        </w:rPr>
        <w:t>.</w:t>
      </w:r>
    </w:p>
    <w:p w14:paraId="4E01C52B" w14:textId="69ED8ED9" w:rsidR="0010796B" w:rsidRPr="00077C1B" w:rsidRDefault="00D07716" w:rsidP="00077C1B">
      <w:pPr>
        <w:widowControl/>
        <w:spacing w:line="360" w:lineRule="auto"/>
        <w:rPr>
          <w:bCs/>
          <w:sz w:val="26"/>
          <w:szCs w:val="26"/>
        </w:rPr>
      </w:pPr>
      <w:r w:rsidRPr="00077C1B">
        <w:rPr>
          <w:bCs/>
          <w:sz w:val="26"/>
          <w:szCs w:val="26"/>
        </w:rPr>
        <w:t xml:space="preserve"> </w:t>
      </w:r>
    </w:p>
    <w:p w14:paraId="18A2ED8A" w14:textId="5482AC68" w:rsidR="001F0176" w:rsidRPr="00077C1B" w:rsidRDefault="001F0176" w:rsidP="00077C1B">
      <w:pPr>
        <w:pStyle w:val="Heading2"/>
        <w:widowControl/>
        <w:numPr>
          <w:ilvl w:val="0"/>
          <w:numId w:val="6"/>
        </w:numPr>
        <w:spacing w:before="0"/>
        <w:ind w:left="0" w:firstLine="0"/>
        <w:jc w:val="center"/>
        <w:rPr>
          <w:rFonts w:ascii="Times New Roman" w:hAnsi="Times New Roman" w:cs="Times New Roman"/>
          <w:b/>
          <w:color w:val="auto"/>
        </w:rPr>
      </w:pPr>
      <w:bookmarkStart w:id="6" w:name="_Toc42780245"/>
      <w:r w:rsidRPr="00077C1B">
        <w:rPr>
          <w:rFonts w:ascii="Times New Roman" w:hAnsi="Times New Roman" w:cs="Times New Roman"/>
          <w:b/>
          <w:color w:val="auto"/>
        </w:rPr>
        <w:t>Disposition</w:t>
      </w:r>
      <w:bookmarkEnd w:id="6"/>
    </w:p>
    <w:p w14:paraId="757F630D" w14:textId="28FB16C6" w:rsidR="00055F0E" w:rsidRPr="00077C1B" w:rsidRDefault="00055F0E" w:rsidP="00077C1B">
      <w:pPr>
        <w:widowControl/>
        <w:spacing w:line="360" w:lineRule="auto"/>
        <w:rPr>
          <w:sz w:val="26"/>
          <w:szCs w:val="26"/>
        </w:rPr>
      </w:pPr>
    </w:p>
    <w:p w14:paraId="22C08368" w14:textId="72EAC054" w:rsidR="00055F0E" w:rsidRPr="00077C1B" w:rsidRDefault="00E74C2B" w:rsidP="00077C1B">
      <w:pPr>
        <w:widowControl/>
        <w:spacing w:line="360" w:lineRule="auto"/>
        <w:ind w:firstLine="1440"/>
        <w:rPr>
          <w:sz w:val="26"/>
          <w:szCs w:val="26"/>
        </w:rPr>
      </w:pPr>
      <w:r w:rsidRPr="00077C1B">
        <w:rPr>
          <w:sz w:val="26"/>
          <w:szCs w:val="26"/>
        </w:rPr>
        <w:t xml:space="preserve">As discussed </w:t>
      </w:r>
      <w:r w:rsidRPr="00077C1B">
        <w:rPr>
          <w:i/>
          <w:iCs/>
          <w:sz w:val="26"/>
          <w:szCs w:val="26"/>
        </w:rPr>
        <w:t>infra</w:t>
      </w:r>
      <w:r w:rsidRPr="00077C1B">
        <w:rPr>
          <w:sz w:val="26"/>
          <w:szCs w:val="26"/>
        </w:rPr>
        <w:t xml:space="preserve">., because </w:t>
      </w:r>
      <w:r w:rsidR="00A00452" w:rsidRPr="00077C1B">
        <w:rPr>
          <w:sz w:val="26"/>
          <w:szCs w:val="26"/>
        </w:rPr>
        <w:t xml:space="preserve">we </w:t>
      </w:r>
      <w:r w:rsidR="00A251D7" w:rsidRPr="00077C1B">
        <w:rPr>
          <w:sz w:val="26"/>
          <w:szCs w:val="26"/>
        </w:rPr>
        <w:t xml:space="preserve">conclude the </w:t>
      </w:r>
      <w:r w:rsidR="009A05CD" w:rsidRPr="00077C1B">
        <w:rPr>
          <w:sz w:val="26"/>
          <w:szCs w:val="26"/>
        </w:rPr>
        <w:t xml:space="preserve">Petition for </w:t>
      </w:r>
      <w:r w:rsidR="00A251D7" w:rsidRPr="00077C1B">
        <w:rPr>
          <w:sz w:val="26"/>
          <w:szCs w:val="26"/>
        </w:rPr>
        <w:t>Re</w:t>
      </w:r>
      <w:r w:rsidR="003B350E" w:rsidRPr="00077C1B">
        <w:rPr>
          <w:sz w:val="26"/>
          <w:szCs w:val="26"/>
        </w:rPr>
        <w:t>s</w:t>
      </w:r>
      <w:r w:rsidR="00A251D7" w:rsidRPr="00077C1B">
        <w:rPr>
          <w:sz w:val="26"/>
          <w:szCs w:val="26"/>
        </w:rPr>
        <w:t xml:space="preserve">cission of the Commission’s </w:t>
      </w:r>
      <w:r w:rsidR="00A251D7" w:rsidRPr="00077C1B">
        <w:rPr>
          <w:i/>
          <w:iCs/>
          <w:sz w:val="26"/>
          <w:szCs w:val="26"/>
        </w:rPr>
        <w:t>December 2019 Final Order</w:t>
      </w:r>
      <w:r w:rsidR="00A251D7" w:rsidRPr="00077C1B">
        <w:rPr>
          <w:sz w:val="26"/>
          <w:szCs w:val="26"/>
        </w:rPr>
        <w:t xml:space="preserve"> fails to assert any basis warranting </w:t>
      </w:r>
      <w:r w:rsidR="006157AE" w:rsidRPr="00077C1B">
        <w:rPr>
          <w:sz w:val="26"/>
          <w:szCs w:val="26"/>
        </w:rPr>
        <w:t>rescission</w:t>
      </w:r>
      <w:r w:rsidR="00A251D7" w:rsidRPr="00077C1B">
        <w:rPr>
          <w:sz w:val="26"/>
          <w:szCs w:val="26"/>
        </w:rPr>
        <w:t xml:space="preserve">, we </w:t>
      </w:r>
      <w:r w:rsidR="004D22EC" w:rsidRPr="00077C1B">
        <w:rPr>
          <w:sz w:val="26"/>
          <w:szCs w:val="26"/>
        </w:rPr>
        <w:t>shall deny the Petition</w:t>
      </w:r>
      <w:r w:rsidR="00A251D7" w:rsidRPr="00077C1B">
        <w:rPr>
          <w:sz w:val="26"/>
          <w:szCs w:val="26"/>
        </w:rPr>
        <w:t xml:space="preserve">. </w:t>
      </w:r>
      <w:r w:rsidR="004D22EC" w:rsidRPr="00077C1B">
        <w:rPr>
          <w:sz w:val="26"/>
          <w:szCs w:val="26"/>
        </w:rPr>
        <w:t xml:space="preserve"> However, while </w:t>
      </w:r>
      <w:r w:rsidR="00D07716" w:rsidRPr="00077C1B">
        <w:rPr>
          <w:sz w:val="26"/>
          <w:szCs w:val="26"/>
        </w:rPr>
        <w:t xml:space="preserve">we </w:t>
      </w:r>
      <w:r w:rsidR="00055F0E" w:rsidRPr="00077C1B">
        <w:rPr>
          <w:sz w:val="26"/>
          <w:szCs w:val="26"/>
        </w:rPr>
        <w:t xml:space="preserve">shall deny </w:t>
      </w:r>
      <w:r w:rsidR="006157AE" w:rsidRPr="00077C1B">
        <w:rPr>
          <w:sz w:val="26"/>
          <w:szCs w:val="26"/>
        </w:rPr>
        <w:t>rescission</w:t>
      </w:r>
      <w:r w:rsidR="00055F0E" w:rsidRPr="00077C1B">
        <w:rPr>
          <w:sz w:val="26"/>
          <w:szCs w:val="26"/>
        </w:rPr>
        <w:t xml:space="preserve">, </w:t>
      </w:r>
      <w:r w:rsidR="00D07716" w:rsidRPr="00077C1B">
        <w:rPr>
          <w:sz w:val="26"/>
          <w:szCs w:val="26"/>
        </w:rPr>
        <w:t xml:space="preserve">because the </w:t>
      </w:r>
      <w:r w:rsidR="004D22EC" w:rsidRPr="00077C1B">
        <w:rPr>
          <w:i/>
          <w:iCs/>
          <w:sz w:val="26"/>
          <w:szCs w:val="26"/>
        </w:rPr>
        <w:t>December 2019 Final Order</w:t>
      </w:r>
      <w:r w:rsidR="004D22EC" w:rsidRPr="00077C1B">
        <w:rPr>
          <w:sz w:val="26"/>
          <w:szCs w:val="26"/>
        </w:rPr>
        <w:t xml:space="preserve"> effectively bars the </w:t>
      </w:r>
      <w:r w:rsidRPr="00077C1B">
        <w:rPr>
          <w:i/>
          <w:iCs/>
          <w:sz w:val="26"/>
          <w:szCs w:val="26"/>
        </w:rPr>
        <w:t>pro se</w:t>
      </w:r>
      <w:r w:rsidRPr="00077C1B">
        <w:rPr>
          <w:sz w:val="26"/>
          <w:szCs w:val="26"/>
        </w:rPr>
        <w:t xml:space="preserve"> </w:t>
      </w:r>
      <w:r w:rsidR="004D22EC" w:rsidRPr="00077C1B">
        <w:rPr>
          <w:sz w:val="26"/>
          <w:szCs w:val="26"/>
        </w:rPr>
        <w:t>Petitioner</w:t>
      </w:r>
      <w:r w:rsidRPr="00077C1B">
        <w:rPr>
          <w:sz w:val="26"/>
          <w:szCs w:val="26"/>
        </w:rPr>
        <w:t xml:space="preserve"> in this proceeding </w:t>
      </w:r>
      <w:r w:rsidR="004D22EC" w:rsidRPr="00077C1B">
        <w:rPr>
          <w:sz w:val="26"/>
          <w:szCs w:val="26"/>
        </w:rPr>
        <w:t>from raising any future claims related to the underlying Complaint</w:t>
      </w:r>
      <w:r w:rsidR="00D07716" w:rsidRPr="00077C1B">
        <w:rPr>
          <w:sz w:val="26"/>
          <w:szCs w:val="26"/>
        </w:rPr>
        <w:t xml:space="preserve">, </w:t>
      </w:r>
      <w:r w:rsidR="00055F0E" w:rsidRPr="00077C1B">
        <w:rPr>
          <w:sz w:val="26"/>
          <w:szCs w:val="26"/>
        </w:rPr>
        <w:t xml:space="preserve">we shall also </w:t>
      </w:r>
      <w:r w:rsidRPr="00077C1B">
        <w:rPr>
          <w:sz w:val="26"/>
          <w:szCs w:val="26"/>
        </w:rPr>
        <w:t xml:space="preserve">review </w:t>
      </w:r>
      <w:r w:rsidR="00055F0E" w:rsidRPr="00077C1B">
        <w:rPr>
          <w:sz w:val="26"/>
          <w:szCs w:val="26"/>
        </w:rPr>
        <w:t xml:space="preserve">the </w:t>
      </w:r>
      <w:r w:rsidR="00D07716" w:rsidRPr="00077C1B">
        <w:rPr>
          <w:i/>
          <w:iCs/>
          <w:sz w:val="26"/>
          <w:szCs w:val="26"/>
        </w:rPr>
        <w:t xml:space="preserve">December 2019 </w:t>
      </w:r>
      <w:r w:rsidR="00055F0E" w:rsidRPr="00077C1B">
        <w:rPr>
          <w:i/>
          <w:iCs/>
          <w:sz w:val="26"/>
          <w:szCs w:val="26"/>
        </w:rPr>
        <w:t>Final Order</w:t>
      </w:r>
      <w:r w:rsidR="00055F0E" w:rsidRPr="00077C1B">
        <w:rPr>
          <w:sz w:val="26"/>
          <w:szCs w:val="26"/>
        </w:rPr>
        <w:t xml:space="preserve"> to ensure </w:t>
      </w:r>
      <w:r w:rsidR="009C3A3E" w:rsidRPr="00077C1B">
        <w:rPr>
          <w:sz w:val="26"/>
          <w:szCs w:val="26"/>
        </w:rPr>
        <w:t xml:space="preserve">that </w:t>
      </w:r>
      <w:r w:rsidR="00055F0E" w:rsidRPr="00077C1B">
        <w:rPr>
          <w:sz w:val="26"/>
          <w:szCs w:val="26"/>
        </w:rPr>
        <w:t xml:space="preserve">the ALJ afforded the </w:t>
      </w:r>
      <w:r w:rsidR="00055F0E" w:rsidRPr="00077C1B">
        <w:rPr>
          <w:i/>
          <w:iCs/>
          <w:sz w:val="26"/>
          <w:szCs w:val="26"/>
        </w:rPr>
        <w:t>pro se</w:t>
      </w:r>
      <w:r w:rsidR="00055F0E" w:rsidRPr="00077C1B">
        <w:rPr>
          <w:sz w:val="26"/>
          <w:szCs w:val="26"/>
        </w:rPr>
        <w:t xml:space="preserve"> litigant adequate due process protections </w:t>
      </w:r>
      <w:r w:rsidR="009C3A3E" w:rsidRPr="00077C1B">
        <w:rPr>
          <w:sz w:val="26"/>
          <w:szCs w:val="26"/>
        </w:rPr>
        <w:t xml:space="preserve">before </w:t>
      </w:r>
      <w:r w:rsidR="00055F0E" w:rsidRPr="00077C1B">
        <w:rPr>
          <w:sz w:val="26"/>
          <w:szCs w:val="26"/>
        </w:rPr>
        <w:t>dismiss</w:t>
      </w:r>
      <w:r w:rsidR="009C3A3E" w:rsidRPr="00077C1B">
        <w:rPr>
          <w:sz w:val="26"/>
          <w:szCs w:val="26"/>
        </w:rPr>
        <w:t>ing</w:t>
      </w:r>
      <w:r w:rsidR="00055F0E" w:rsidRPr="00077C1B">
        <w:rPr>
          <w:sz w:val="26"/>
          <w:szCs w:val="26"/>
        </w:rPr>
        <w:t xml:space="preserve"> the Complaint with prejudice.</w:t>
      </w:r>
    </w:p>
    <w:p w14:paraId="37E95339" w14:textId="0D2A7F7C" w:rsidR="006E40B0" w:rsidRPr="00077C1B" w:rsidRDefault="006E40B0" w:rsidP="00077C1B">
      <w:pPr>
        <w:widowControl/>
        <w:spacing w:line="360" w:lineRule="auto"/>
        <w:ind w:firstLine="1440"/>
        <w:rPr>
          <w:sz w:val="26"/>
          <w:szCs w:val="26"/>
        </w:rPr>
      </w:pPr>
    </w:p>
    <w:p w14:paraId="58F11072" w14:textId="7E41E4EC" w:rsidR="00DC55F5" w:rsidRPr="00077C1B" w:rsidRDefault="00DC55F5" w:rsidP="00077C1B">
      <w:pPr>
        <w:pStyle w:val="ListParagraph"/>
        <w:keepNext/>
        <w:keepLines/>
        <w:widowControl/>
        <w:numPr>
          <w:ilvl w:val="0"/>
          <w:numId w:val="13"/>
        </w:numPr>
        <w:spacing w:line="360" w:lineRule="auto"/>
        <w:ind w:hanging="720"/>
        <w:outlineLvl w:val="2"/>
        <w:rPr>
          <w:b/>
          <w:bCs/>
          <w:sz w:val="26"/>
          <w:szCs w:val="26"/>
        </w:rPr>
      </w:pPr>
      <w:bookmarkStart w:id="7" w:name="_Toc42780246"/>
      <w:r w:rsidRPr="00077C1B">
        <w:rPr>
          <w:b/>
          <w:bCs/>
          <w:sz w:val="26"/>
          <w:szCs w:val="26"/>
        </w:rPr>
        <w:t>Petition for Re</w:t>
      </w:r>
      <w:r w:rsidR="00D17290" w:rsidRPr="00077C1B">
        <w:rPr>
          <w:b/>
          <w:bCs/>
          <w:sz w:val="26"/>
          <w:szCs w:val="26"/>
        </w:rPr>
        <w:t>s</w:t>
      </w:r>
      <w:r w:rsidRPr="00077C1B">
        <w:rPr>
          <w:b/>
          <w:bCs/>
          <w:sz w:val="26"/>
          <w:szCs w:val="26"/>
        </w:rPr>
        <w:t>cission</w:t>
      </w:r>
      <w:bookmarkEnd w:id="7"/>
    </w:p>
    <w:p w14:paraId="25CDA38B" w14:textId="77777777" w:rsidR="00DC55F5" w:rsidRPr="00077C1B" w:rsidRDefault="00DC55F5" w:rsidP="00077C1B">
      <w:pPr>
        <w:keepNext/>
        <w:keepLines/>
        <w:widowControl/>
        <w:spacing w:line="360" w:lineRule="auto"/>
        <w:rPr>
          <w:sz w:val="26"/>
          <w:szCs w:val="26"/>
        </w:rPr>
      </w:pPr>
    </w:p>
    <w:p w14:paraId="4B2B3CF3" w14:textId="62884EE5" w:rsidR="00341E24" w:rsidRPr="00077C1B" w:rsidRDefault="00DC55F5" w:rsidP="00077C1B">
      <w:pPr>
        <w:keepNext/>
        <w:keepLines/>
        <w:widowControl/>
        <w:spacing w:line="360" w:lineRule="auto"/>
        <w:ind w:firstLine="1440"/>
        <w:rPr>
          <w:sz w:val="26"/>
          <w:szCs w:val="26"/>
        </w:rPr>
      </w:pPr>
      <w:r w:rsidRPr="00077C1B">
        <w:rPr>
          <w:sz w:val="26"/>
          <w:szCs w:val="26"/>
        </w:rPr>
        <w:t xml:space="preserve">Turning first to the merits of the </w:t>
      </w:r>
      <w:bookmarkStart w:id="8" w:name="_Hlk42181025"/>
      <w:r w:rsidRPr="00077C1B">
        <w:rPr>
          <w:sz w:val="26"/>
          <w:szCs w:val="26"/>
        </w:rPr>
        <w:t>Petition</w:t>
      </w:r>
      <w:bookmarkEnd w:id="8"/>
      <w:r w:rsidR="00341E24" w:rsidRPr="00077C1B">
        <w:rPr>
          <w:sz w:val="26"/>
          <w:szCs w:val="26"/>
        </w:rPr>
        <w:t>, based on our review of the record and the instant Petition, we will deny the Petitioner’s request for re</w:t>
      </w:r>
      <w:r w:rsidR="00D17290" w:rsidRPr="00077C1B">
        <w:rPr>
          <w:sz w:val="26"/>
          <w:szCs w:val="26"/>
        </w:rPr>
        <w:t>s</w:t>
      </w:r>
      <w:r w:rsidR="00341E24" w:rsidRPr="00077C1B">
        <w:rPr>
          <w:sz w:val="26"/>
          <w:szCs w:val="26"/>
        </w:rPr>
        <w:t xml:space="preserve">cission of our </w:t>
      </w:r>
      <w:r w:rsidR="00341E24" w:rsidRPr="00077C1B">
        <w:rPr>
          <w:i/>
          <w:iCs/>
          <w:sz w:val="26"/>
          <w:szCs w:val="26"/>
        </w:rPr>
        <w:t>December 2019 Final Order</w:t>
      </w:r>
      <w:r w:rsidR="00341E24" w:rsidRPr="00077C1B">
        <w:rPr>
          <w:sz w:val="26"/>
          <w:szCs w:val="26"/>
        </w:rPr>
        <w:t xml:space="preserve">. </w:t>
      </w:r>
    </w:p>
    <w:p w14:paraId="1C33D39B" w14:textId="77777777" w:rsidR="00341E24" w:rsidRPr="00077C1B" w:rsidRDefault="00341E24" w:rsidP="00077C1B">
      <w:pPr>
        <w:widowControl/>
        <w:spacing w:line="360" w:lineRule="auto"/>
        <w:ind w:firstLine="1440"/>
        <w:rPr>
          <w:sz w:val="26"/>
          <w:szCs w:val="26"/>
        </w:rPr>
      </w:pPr>
    </w:p>
    <w:p w14:paraId="595151B6" w14:textId="32E13D3E" w:rsidR="00A00452" w:rsidRPr="00077C1B" w:rsidRDefault="00DC55F5" w:rsidP="00077C1B">
      <w:pPr>
        <w:widowControl/>
        <w:spacing w:line="360" w:lineRule="auto"/>
        <w:ind w:firstLine="1440"/>
        <w:rPr>
          <w:rFonts w:eastAsia="Calibri"/>
          <w:sz w:val="26"/>
          <w:szCs w:val="26"/>
        </w:rPr>
      </w:pPr>
      <w:r w:rsidRPr="00077C1B">
        <w:rPr>
          <w:sz w:val="26"/>
          <w:szCs w:val="26"/>
        </w:rPr>
        <w:t xml:space="preserve">Presently, </w:t>
      </w:r>
      <w:r w:rsidR="002C67FD" w:rsidRPr="00077C1B">
        <w:rPr>
          <w:sz w:val="26"/>
          <w:szCs w:val="26"/>
        </w:rPr>
        <w:t xml:space="preserve">Ms. Poe-Henderson’s </w:t>
      </w:r>
      <w:r w:rsidRPr="00077C1B">
        <w:rPr>
          <w:sz w:val="26"/>
          <w:szCs w:val="26"/>
        </w:rPr>
        <w:t xml:space="preserve">Petition raises the same facts and arguments previously asserted </w:t>
      </w:r>
      <w:r w:rsidR="002C67FD" w:rsidRPr="00077C1B">
        <w:rPr>
          <w:sz w:val="26"/>
          <w:szCs w:val="26"/>
        </w:rPr>
        <w:t xml:space="preserve">in her </w:t>
      </w:r>
      <w:r w:rsidRPr="00077C1B">
        <w:rPr>
          <w:sz w:val="26"/>
          <w:szCs w:val="26"/>
        </w:rPr>
        <w:t>Complaint</w:t>
      </w:r>
      <w:r w:rsidR="002C67FD" w:rsidRPr="00077C1B">
        <w:rPr>
          <w:sz w:val="26"/>
          <w:szCs w:val="26"/>
        </w:rPr>
        <w:t xml:space="preserve">, which was dismissed with prejudice </w:t>
      </w:r>
      <w:r w:rsidRPr="00077C1B">
        <w:rPr>
          <w:sz w:val="26"/>
          <w:szCs w:val="26"/>
        </w:rPr>
        <w:t>by the ALJ</w:t>
      </w:r>
      <w:r w:rsidR="002C67FD" w:rsidRPr="00077C1B">
        <w:rPr>
          <w:sz w:val="26"/>
          <w:szCs w:val="26"/>
        </w:rPr>
        <w:t xml:space="preserve">’s </w:t>
      </w:r>
      <w:r w:rsidRPr="00077C1B">
        <w:rPr>
          <w:sz w:val="26"/>
          <w:szCs w:val="26"/>
        </w:rPr>
        <w:t>Initial Decision</w:t>
      </w:r>
      <w:r w:rsidR="000749DA" w:rsidRPr="00077C1B">
        <w:rPr>
          <w:sz w:val="26"/>
          <w:szCs w:val="26"/>
        </w:rPr>
        <w:t>,</w:t>
      </w:r>
      <w:r w:rsidRPr="00077C1B">
        <w:rPr>
          <w:sz w:val="26"/>
          <w:szCs w:val="26"/>
        </w:rPr>
        <w:t xml:space="preserve"> </w:t>
      </w:r>
      <w:r w:rsidR="000749DA" w:rsidRPr="00077C1B">
        <w:rPr>
          <w:sz w:val="26"/>
          <w:szCs w:val="26"/>
        </w:rPr>
        <w:t>as</w:t>
      </w:r>
      <w:r w:rsidRPr="00077C1B">
        <w:rPr>
          <w:sz w:val="26"/>
          <w:szCs w:val="26"/>
        </w:rPr>
        <w:t xml:space="preserve"> adopted by the Commission in the </w:t>
      </w:r>
      <w:r w:rsidR="002C67FD" w:rsidRPr="00077C1B">
        <w:rPr>
          <w:i/>
          <w:iCs/>
          <w:sz w:val="26"/>
          <w:szCs w:val="26"/>
        </w:rPr>
        <w:t>December 2019 Final Order</w:t>
      </w:r>
      <w:r w:rsidRPr="00077C1B">
        <w:rPr>
          <w:i/>
          <w:iCs/>
          <w:sz w:val="26"/>
          <w:szCs w:val="26"/>
        </w:rPr>
        <w:t>.</w:t>
      </w:r>
      <w:r w:rsidR="00341E24" w:rsidRPr="00077C1B">
        <w:rPr>
          <w:i/>
          <w:iCs/>
          <w:sz w:val="26"/>
          <w:szCs w:val="26"/>
        </w:rPr>
        <w:t xml:space="preserve">  </w:t>
      </w:r>
      <w:r w:rsidR="00A00452" w:rsidRPr="00077C1B">
        <w:rPr>
          <w:rFonts w:eastAsia="Calibri"/>
          <w:sz w:val="26"/>
          <w:szCs w:val="26"/>
        </w:rPr>
        <w:t xml:space="preserve">Specifically, </w:t>
      </w:r>
      <w:bookmarkStart w:id="9" w:name="_Hlk42268210"/>
      <w:r w:rsidR="00A00452" w:rsidRPr="00077C1B">
        <w:rPr>
          <w:rFonts w:eastAsia="Calibri"/>
          <w:sz w:val="26"/>
          <w:szCs w:val="26"/>
        </w:rPr>
        <w:t xml:space="preserve">the Petition asserts that reconsideration of the </w:t>
      </w:r>
      <w:r w:rsidR="00A00452" w:rsidRPr="00077C1B">
        <w:rPr>
          <w:i/>
          <w:iCs/>
          <w:sz w:val="26"/>
          <w:szCs w:val="26"/>
        </w:rPr>
        <w:t>December 2019 Final Order</w:t>
      </w:r>
      <w:r w:rsidR="00A00452" w:rsidRPr="00077C1B">
        <w:rPr>
          <w:rFonts w:eastAsia="Calibri"/>
          <w:sz w:val="26"/>
          <w:szCs w:val="26"/>
        </w:rPr>
        <w:t xml:space="preserve"> is warranted due to PGW’s unlawful termination of service, PGW’s incorrect billing, and safety concerns with PGW’s service causing Ms. Poe-Henderson to suffer gas poisoning.  </w:t>
      </w:r>
      <w:r w:rsidR="00A00452" w:rsidRPr="00077C1B">
        <w:rPr>
          <w:rFonts w:eastAsia="Calibri"/>
          <w:i/>
          <w:iCs/>
          <w:sz w:val="26"/>
          <w:szCs w:val="26"/>
        </w:rPr>
        <w:t>See</w:t>
      </w:r>
      <w:r w:rsidR="00A00452" w:rsidRPr="00077C1B">
        <w:rPr>
          <w:rFonts w:eastAsia="Calibri"/>
          <w:sz w:val="26"/>
          <w:szCs w:val="26"/>
        </w:rPr>
        <w:t xml:space="preserve"> Petition at 1-2</w:t>
      </w:r>
      <w:r w:rsidR="004363EF" w:rsidRPr="00077C1B">
        <w:rPr>
          <w:rFonts w:eastAsia="Calibri"/>
          <w:sz w:val="26"/>
          <w:szCs w:val="26"/>
        </w:rPr>
        <w:t>; Complaint at 1-5.</w:t>
      </w:r>
    </w:p>
    <w:bookmarkEnd w:id="9"/>
    <w:p w14:paraId="053B2DBC" w14:textId="77777777" w:rsidR="00A00452" w:rsidRPr="00077C1B" w:rsidRDefault="00A00452" w:rsidP="00077C1B">
      <w:pPr>
        <w:widowControl/>
        <w:spacing w:line="360" w:lineRule="auto"/>
        <w:ind w:firstLine="1440"/>
        <w:rPr>
          <w:rFonts w:eastAsia="Calibri"/>
          <w:sz w:val="26"/>
          <w:szCs w:val="26"/>
        </w:rPr>
      </w:pPr>
    </w:p>
    <w:p w14:paraId="308B37EC" w14:textId="05F74E91" w:rsidR="00DC55F5" w:rsidRPr="00077C1B" w:rsidRDefault="00A00452" w:rsidP="00077C1B">
      <w:pPr>
        <w:widowControl/>
        <w:spacing w:line="360" w:lineRule="auto"/>
        <w:ind w:firstLine="1440"/>
        <w:rPr>
          <w:i/>
          <w:iCs/>
          <w:sz w:val="26"/>
          <w:szCs w:val="26"/>
        </w:rPr>
      </w:pPr>
      <w:r w:rsidRPr="00077C1B">
        <w:rPr>
          <w:rFonts w:eastAsia="Calibri"/>
          <w:sz w:val="26"/>
          <w:szCs w:val="26"/>
        </w:rPr>
        <w:lastRenderedPageBreak/>
        <w:t xml:space="preserve">In the complaint proceeding, </w:t>
      </w:r>
      <w:r w:rsidR="00DC55F5" w:rsidRPr="00077C1B">
        <w:rPr>
          <w:sz w:val="26"/>
          <w:szCs w:val="26"/>
        </w:rPr>
        <w:t xml:space="preserve">ALJ </w:t>
      </w:r>
      <w:r w:rsidRPr="00077C1B">
        <w:rPr>
          <w:sz w:val="26"/>
          <w:szCs w:val="26"/>
        </w:rPr>
        <w:t xml:space="preserve">Vero </w:t>
      </w:r>
      <w:r w:rsidR="00341E24" w:rsidRPr="00077C1B">
        <w:rPr>
          <w:sz w:val="26"/>
          <w:szCs w:val="26"/>
        </w:rPr>
        <w:t>dismissed Ms. Poe-Henderson’s Complaint with prejudice, based on the finding that Ms. Poe-Henderson failed to appear at the scheduled September 6, 2019, telephonic hearing without unavoidable reason or permissible excuse</w:t>
      </w:r>
      <w:r w:rsidRPr="00077C1B">
        <w:rPr>
          <w:sz w:val="26"/>
          <w:szCs w:val="26"/>
        </w:rPr>
        <w:t xml:space="preserve">, consistent with </w:t>
      </w:r>
      <w:r w:rsidRPr="00077C1B">
        <w:rPr>
          <w:color w:val="000000" w:themeColor="text1"/>
          <w:sz w:val="26"/>
          <w:szCs w:val="26"/>
        </w:rPr>
        <w:t>66 Pa. C.S. § 332(f) and 52 Pa. Code §</w:t>
      </w:r>
      <w:r w:rsidR="00A5453B" w:rsidRPr="00077C1B">
        <w:rPr>
          <w:color w:val="000000" w:themeColor="text1"/>
          <w:sz w:val="26"/>
          <w:szCs w:val="26"/>
        </w:rPr>
        <w:t> </w:t>
      </w:r>
      <w:r w:rsidRPr="00077C1B">
        <w:rPr>
          <w:color w:val="000000" w:themeColor="text1"/>
          <w:sz w:val="26"/>
          <w:szCs w:val="26"/>
        </w:rPr>
        <w:t>5.245(a)-(b)</w:t>
      </w:r>
      <w:r w:rsidR="00341E24" w:rsidRPr="00077C1B">
        <w:rPr>
          <w:sz w:val="26"/>
          <w:szCs w:val="26"/>
        </w:rPr>
        <w:t>.  ALJ Vero determined that</w:t>
      </w:r>
      <w:r w:rsidRPr="00077C1B">
        <w:rPr>
          <w:sz w:val="26"/>
          <w:szCs w:val="26"/>
        </w:rPr>
        <w:t>,</w:t>
      </w:r>
      <w:r w:rsidR="00341E24" w:rsidRPr="00077C1B">
        <w:rPr>
          <w:sz w:val="26"/>
          <w:szCs w:val="26"/>
        </w:rPr>
        <w:t xml:space="preserve"> by the unexcused failure to appear, Ms. Poe-Henderson </w:t>
      </w:r>
      <w:r w:rsidR="002C67FD" w:rsidRPr="00077C1B">
        <w:rPr>
          <w:sz w:val="26"/>
          <w:szCs w:val="26"/>
        </w:rPr>
        <w:t xml:space="preserve">waived all right </w:t>
      </w:r>
      <w:r w:rsidR="00341E24" w:rsidRPr="00077C1B">
        <w:rPr>
          <w:sz w:val="26"/>
          <w:szCs w:val="26"/>
        </w:rPr>
        <w:t xml:space="preserve">to </w:t>
      </w:r>
      <w:r w:rsidR="002C67FD" w:rsidRPr="00077C1B">
        <w:rPr>
          <w:sz w:val="26"/>
          <w:szCs w:val="26"/>
        </w:rPr>
        <w:t xml:space="preserve">present evidence in support of </w:t>
      </w:r>
      <w:r w:rsidR="00341E24" w:rsidRPr="00077C1B">
        <w:rPr>
          <w:sz w:val="26"/>
          <w:szCs w:val="26"/>
        </w:rPr>
        <w:t>the</w:t>
      </w:r>
      <w:r w:rsidR="00A251D7" w:rsidRPr="00077C1B">
        <w:rPr>
          <w:sz w:val="26"/>
          <w:szCs w:val="26"/>
        </w:rPr>
        <w:t xml:space="preserve"> allegations in the </w:t>
      </w:r>
      <w:r w:rsidR="002C67FD" w:rsidRPr="00077C1B">
        <w:rPr>
          <w:sz w:val="26"/>
          <w:szCs w:val="26"/>
        </w:rPr>
        <w:t>Complaint, and therefore, failed to sustain her burden of proof</w:t>
      </w:r>
      <w:r w:rsidR="00341E24" w:rsidRPr="00077C1B">
        <w:rPr>
          <w:sz w:val="26"/>
          <w:szCs w:val="26"/>
        </w:rPr>
        <w:t xml:space="preserve">. </w:t>
      </w:r>
      <w:r w:rsidR="002C67FD" w:rsidRPr="00077C1B">
        <w:rPr>
          <w:sz w:val="26"/>
          <w:szCs w:val="26"/>
        </w:rPr>
        <w:t xml:space="preserve"> </w:t>
      </w:r>
      <w:r w:rsidR="00DC55F5" w:rsidRPr="00077C1B">
        <w:rPr>
          <w:rFonts w:eastAsia="Calibri"/>
          <w:i/>
          <w:iCs/>
          <w:sz w:val="26"/>
          <w:szCs w:val="26"/>
        </w:rPr>
        <w:t>See</w:t>
      </w:r>
      <w:r w:rsidR="00DC55F5" w:rsidRPr="00077C1B">
        <w:rPr>
          <w:rFonts w:eastAsia="Calibri"/>
          <w:sz w:val="26"/>
          <w:szCs w:val="26"/>
        </w:rPr>
        <w:t xml:space="preserve"> </w:t>
      </w:r>
      <w:r w:rsidR="00DC55F5" w:rsidRPr="00077C1B">
        <w:rPr>
          <w:sz w:val="26"/>
          <w:szCs w:val="26"/>
        </w:rPr>
        <w:t>I.D.</w:t>
      </w:r>
      <w:r w:rsidR="00DC55F5" w:rsidRPr="00077C1B">
        <w:rPr>
          <w:rFonts w:eastAsia="Calibri"/>
          <w:sz w:val="26"/>
          <w:szCs w:val="26"/>
        </w:rPr>
        <w:t xml:space="preserve"> </w:t>
      </w:r>
      <w:r w:rsidR="0051416C" w:rsidRPr="00077C1B">
        <w:rPr>
          <w:rFonts w:eastAsia="Calibri"/>
          <w:sz w:val="26"/>
          <w:szCs w:val="26"/>
        </w:rPr>
        <w:t>7.</w:t>
      </w:r>
    </w:p>
    <w:p w14:paraId="5D87D179" w14:textId="3E7BF6F5" w:rsidR="00DC55F5" w:rsidRPr="00077C1B" w:rsidRDefault="00DC55F5" w:rsidP="00077C1B">
      <w:pPr>
        <w:widowControl/>
        <w:spacing w:line="360" w:lineRule="auto"/>
        <w:ind w:firstLine="1440"/>
        <w:rPr>
          <w:sz w:val="26"/>
          <w:szCs w:val="26"/>
        </w:rPr>
      </w:pPr>
    </w:p>
    <w:p w14:paraId="02667210" w14:textId="52FDABE1" w:rsidR="00DC55F5" w:rsidRPr="00077C1B" w:rsidRDefault="00DC55F5" w:rsidP="00077C1B">
      <w:pPr>
        <w:widowControl/>
        <w:spacing w:line="360" w:lineRule="auto"/>
        <w:ind w:firstLine="1440"/>
        <w:rPr>
          <w:sz w:val="26"/>
          <w:szCs w:val="26"/>
        </w:rPr>
      </w:pPr>
      <w:r w:rsidRPr="00077C1B">
        <w:rPr>
          <w:sz w:val="26"/>
          <w:szCs w:val="26"/>
        </w:rPr>
        <w:t xml:space="preserve">As previously noted, petitions for rescission of a prior final order of the Commission may be granted where the Commission is persuaded by </w:t>
      </w:r>
      <w:r w:rsidRPr="00077C1B">
        <w:rPr>
          <w:rFonts w:eastAsia="Calibri"/>
          <w:sz w:val="26"/>
          <w:szCs w:val="26"/>
        </w:rPr>
        <w:t>new and novel arguments, not previously heard, or considerations which appear to have been overlooked by the Commission.</w:t>
      </w:r>
      <w:r w:rsidRPr="00077C1B">
        <w:rPr>
          <w:rFonts w:eastAsia="Calibri"/>
          <w:i/>
          <w:sz w:val="26"/>
          <w:szCs w:val="26"/>
        </w:rPr>
        <w:t xml:space="preserve">  </w:t>
      </w:r>
      <w:proofErr w:type="spellStart"/>
      <w:r w:rsidRPr="00077C1B">
        <w:rPr>
          <w:rFonts w:eastAsia="Calibri"/>
          <w:i/>
          <w:sz w:val="26"/>
          <w:szCs w:val="26"/>
        </w:rPr>
        <w:t>Duick</w:t>
      </w:r>
      <w:proofErr w:type="spellEnd"/>
      <w:r w:rsidRPr="00077C1B">
        <w:rPr>
          <w:rFonts w:eastAsia="Calibri"/>
          <w:i/>
          <w:sz w:val="26"/>
          <w:szCs w:val="26"/>
        </w:rPr>
        <w:t> v. Pennsylvania Gas and Water Company</w:t>
      </w:r>
      <w:r w:rsidRPr="00077C1B">
        <w:rPr>
          <w:rFonts w:eastAsia="Calibri"/>
          <w:sz w:val="26"/>
          <w:szCs w:val="26"/>
        </w:rPr>
        <w:t>, 1982 Pa. PUC Lexis 4, *12-13 (</w:t>
      </w:r>
      <w:proofErr w:type="spellStart"/>
      <w:r w:rsidRPr="00077C1B">
        <w:rPr>
          <w:rFonts w:eastAsia="Calibri"/>
          <w:i/>
          <w:iCs/>
          <w:sz w:val="26"/>
          <w:szCs w:val="26"/>
        </w:rPr>
        <w:t>Duick</w:t>
      </w:r>
      <w:proofErr w:type="spellEnd"/>
      <w:r w:rsidRPr="00077C1B">
        <w:rPr>
          <w:rFonts w:eastAsia="Calibri"/>
          <w:sz w:val="26"/>
          <w:szCs w:val="26"/>
        </w:rPr>
        <w:t>).</w:t>
      </w:r>
      <w:r w:rsidRPr="00077C1B">
        <w:rPr>
          <w:sz w:val="26"/>
          <w:szCs w:val="26"/>
        </w:rPr>
        <w:t xml:space="preserve">  Therefore, </w:t>
      </w:r>
      <w:r w:rsidR="00B6033B" w:rsidRPr="00077C1B">
        <w:rPr>
          <w:sz w:val="26"/>
          <w:szCs w:val="26"/>
        </w:rPr>
        <w:t xml:space="preserve">the </w:t>
      </w:r>
      <w:r w:rsidRPr="00077C1B">
        <w:rPr>
          <w:sz w:val="26"/>
          <w:szCs w:val="26"/>
        </w:rPr>
        <w:t>Petitioner is required to do more than simply restate the same arguments previously reviewed and rejected by the Commission.</w:t>
      </w:r>
    </w:p>
    <w:p w14:paraId="2F328F0E" w14:textId="77777777" w:rsidR="00DC55F5" w:rsidRPr="00077C1B" w:rsidRDefault="00DC55F5" w:rsidP="00077C1B">
      <w:pPr>
        <w:widowControl/>
        <w:spacing w:line="360" w:lineRule="auto"/>
        <w:ind w:firstLine="1440"/>
        <w:rPr>
          <w:sz w:val="26"/>
          <w:szCs w:val="26"/>
        </w:rPr>
      </w:pPr>
    </w:p>
    <w:p w14:paraId="76F40D73" w14:textId="7B8DB862" w:rsidR="00DD002F" w:rsidRPr="00077C1B" w:rsidRDefault="00DC55F5" w:rsidP="00077C1B">
      <w:pPr>
        <w:widowControl/>
        <w:spacing w:line="360" w:lineRule="auto"/>
        <w:ind w:firstLine="1440"/>
        <w:rPr>
          <w:rFonts w:eastAsia="Calibri"/>
          <w:sz w:val="26"/>
          <w:szCs w:val="26"/>
        </w:rPr>
      </w:pPr>
      <w:r w:rsidRPr="00077C1B">
        <w:rPr>
          <w:rFonts w:eastAsia="Calibri"/>
          <w:sz w:val="26"/>
          <w:szCs w:val="26"/>
        </w:rPr>
        <w:t xml:space="preserve">Here, </w:t>
      </w:r>
      <w:r w:rsidR="00B6033B" w:rsidRPr="00077C1B">
        <w:rPr>
          <w:rFonts w:eastAsia="Calibri"/>
          <w:sz w:val="26"/>
          <w:szCs w:val="26"/>
        </w:rPr>
        <w:t xml:space="preserve">the </w:t>
      </w:r>
      <w:r w:rsidR="005E59DE" w:rsidRPr="00077C1B">
        <w:rPr>
          <w:rFonts w:eastAsia="Calibri"/>
          <w:sz w:val="26"/>
          <w:szCs w:val="26"/>
        </w:rPr>
        <w:t>Petitioner restates the same allegations raised in the Complaint,</w:t>
      </w:r>
      <w:r w:rsidR="005E59DE" w:rsidRPr="00077C1B">
        <w:rPr>
          <w:rFonts w:eastAsia="Calibri"/>
          <w:i/>
          <w:iCs/>
          <w:sz w:val="26"/>
          <w:szCs w:val="26"/>
        </w:rPr>
        <w:t xml:space="preserve"> i.e.</w:t>
      </w:r>
      <w:r w:rsidR="005E59DE" w:rsidRPr="00077C1B">
        <w:rPr>
          <w:rFonts w:eastAsia="Calibri"/>
          <w:sz w:val="26"/>
          <w:szCs w:val="26"/>
        </w:rPr>
        <w:t xml:space="preserve">, </w:t>
      </w:r>
      <w:r w:rsidR="007C5D94" w:rsidRPr="00077C1B">
        <w:rPr>
          <w:rFonts w:eastAsia="Calibri"/>
          <w:sz w:val="26"/>
          <w:szCs w:val="26"/>
        </w:rPr>
        <w:t xml:space="preserve">unlawful termination of service, incorrect billing, </w:t>
      </w:r>
      <w:r w:rsidR="00901F40" w:rsidRPr="00077C1B">
        <w:rPr>
          <w:rFonts w:eastAsia="Calibri"/>
          <w:sz w:val="26"/>
          <w:szCs w:val="26"/>
        </w:rPr>
        <w:t xml:space="preserve">and </w:t>
      </w:r>
      <w:r w:rsidR="007C5D94" w:rsidRPr="00077C1B">
        <w:rPr>
          <w:rFonts w:eastAsia="Calibri"/>
          <w:sz w:val="26"/>
          <w:szCs w:val="26"/>
        </w:rPr>
        <w:t>safety concerns asserting that Complainant suffered gas poisoning.</w:t>
      </w:r>
      <w:r w:rsidR="005E59DE" w:rsidRPr="00077C1B">
        <w:rPr>
          <w:rFonts w:eastAsia="Calibri"/>
          <w:sz w:val="26"/>
          <w:szCs w:val="26"/>
        </w:rPr>
        <w:t xml:space="preserve">  </w:t>
      </w:r>
      <w:r w:rsidR="005E59DE" w:rsidRPr="00077C1B">
        <w:rPr>
          <w:rFonts w:eastAsia="Calibri"/>
          <w:i/>
          <w:iCs/>
          <w:sz w:val="26"/>
          <w:szCs w:val="26"/>
        </w:rPr>
        <w:t>See</w:t>
      </w:r>
      <w:r w:rsidR="005E59DE" w:rsidRPr="00077C1B">
        <w:rPr>
          <w:rFonts w:eastAsia="Calibri"/>
          <w:sz w:val="26"/>
          <w:szCs w:val="26"/>
        </w:rPr>
        <w:t xml:space="preserve"> </w:t>
      </w:r>
      <w:r w:rsidR="00726E5E" w:rsidRPr="00077C1B">
        <w:rPr>
          <w:rFonts w:eastAsia="Calibri"/>
          <w:sz w:val="26"/>
          <w:szCs w:val="26"/>
        </w:rPr>
        <w:t xml:space="preserve">Petition at 1-2; </w:t>
      </w:r>
      <w:r w:rsidR="004363EF" w:rsidRPr="00077C1B">
        <w:rPr>
          <w:rFonts w:eastAsia="Calibri"/>
          <w:sz w:val="26"/>
          <w:szCs w:val="26"/>
        </w:rPr>
        <w:t>Complaint at 1-5</w:t>
      </w:r>
      <w:r w:rsidR="005E59DE" w:rsidRPr="00077C1B">
        <w:rPr>
          <w:rFonts w:eastAsia="Calibri"/>
          <w:sz w:val="26"/>
          <w:szCs w:val="26"/>
        </w:rPr>
        <w:t>.  The arguments raised by the Petition</w:t>
      </w:r>
      <w:r w:rsidR="00967263" w:rsidRPr="00077C1B">
        <w:rPr>
          <w:rFonts w:eastAsia="Calibri"/>
          <w:sz w:val="26"/>
          <w:szCs w:val="26"/>
        </w:rPr>
        <w:t>er</w:t>
      </w:r>
      <w:r w:rsidR="005E59DE" w:rsidRPr="00077C1B">
        <w:rPr>
          <w:rFonts w:eastAsia="Calibri"/>
          <w:sz w:val="26"/>
          <w:szCs w:val="26"/>
        </w:rPr>
        <w:t xml:space="preserve"> have already been considered and rejected </w:t>
      </w:r>
      <w:r w:rsidR="000749DA" w:rsidRPr="00077C1B">
        <w:rPr>
          <w:rFonts w:eastAsia="Calibri"/>
          <w:sz w:val="26"/>
          <w:szCs w:val="26"/>
        </w:rPr>
        <w:t>as matters which were waived by Ms. Po</w:t>
      </w:r>
      <w:r w:rsidR="004363EF" w:rsidRPr="00077C1B">
        <w:rPr>
          <w:rFonts w:eastAsia="Calibri"/>
          <w:sz w:val="26"/>
          <w:szCs w:val="26"/>
        </w:rPr>
        <w:t>e</w:t>
      </w:r>
      <w:r w:rsidR="000749DA" w:rsidRPr="00077C1B">
        <w:rPr>
          <w:rFonts w:eastAsia="Calibri"/>
          <w:sz w:val="26"/>
          <w:szCs w:val="26"/>
        </w:rPr>
        <w:t>-Henderson’s failure to appear at the September 6, 2019, telephonic hearing without unavoidable reason or permissible excuse.</w:t>
      </w:r>
      <w:r w:rsidR="005E59DE" w:rsidRPr="00077C1B">
        <w:rPr>
          <w:rFonts w:eastAsia="Calibri"/>
          <w:sz w:val="26"/>
          <w:szCs w:val="26"/>
        </w:rPr>
        <w:t xml:space="preserve">  </w:t>
      </w:r>
      <w:r w:rsidR="005E59DE" w:rsidRPr="00077C1B">
        <w:rPr>
          <w:rFonts w:eastAsia="Calibri"/>
          <w:i/>
          <w:sz w:val="26"/>
          <w:szCs w:val="26"/>
        </w:rPr>
        <w:t xml:space="preserve">See </w:t>
      </w:r>
      <w:r w:rsidR="005E59DE" w:rsidRPr="00077C1B">
        <w:rPr>
          <w:rFonts w:eastAsia="Calibri"/>
          <w:sz w:val="26"/>
          <w:szCs w:val="26"/>
        </w:rPr>
        <w:t xml:space="preserve">I.D. at </w:t>
      </w:r>
      <w:r w:rsidR="0051416C" w:rsidRPr="00077C1B">
        <w:rPr>
          <w:rFonts w:eastAsia="Calibri"/>
          <w:sz w:val="26"/>
          <w:szCs w:val="26"/>
        </w:rPr>
        <w:t>3, 5</w:t>
      </w:r>
      <w:r w:rsidR="005E59DE" w:rsidRPr="00077C1B">
        <w:rPr>
          <w:rFonts w:eastAsia="Calibri"/>
          <w:sz w:val="26"/>
          <w:szCs w:val="26"/>
        </w:rPr>
        <w:t xml:space="preserve">.  </w:t>
      </w:r>
    </w:p>
    <w:p w14:paraId="3701E01F" w14:textId="77777777" w:rsidR="00DD002F" w:rsidRPr="00077C1B" w:rsidRDefault="00DD002F" w:rsidP="00077C1B">
      <w:pPr>
        <w:widowControl/>
        <w:spacing w:line="360" w:lineRule="auto"/>
        <w:ind w:firstLine="1440"/>
        <w:rPr>
          <w:rFonts w:eastAsia="Calibri"/>
          <w:sz w:val="26"/>
          <w:szCs w:val="26"/>
        </w:rPr>
      </w:pPr>
    </w:p>
    <w:p w14:paraId="08EAC26D" w14:textId="46C9B926" w:rsidR="005E59DE" w:rsidRPr="00077C1B" w:rsidRDefault="005E59DE" w:rsidP="00077C1B">
      <w:pPr>
        <w:widowControl/>
        <w:spacing w:line="360" w:lineRule="auto"/>
        <w:ind w:firstLine="1440"/>
        <w:rPr>
          <w:rFonts w:eastAsia="Calibri"/>
          <w:sz w:val="26"/>
          <w:szCs w:val="26"/>
        </w:rPr>
      </w:pPr>
      <w:r w:rsidRPr="00077C1B">
        <w:rPr>
          <w:rFonts w:eastAsia="Calibri"/>
          <w:sz w:val="26"/>
          <w:szCs w:val="26"/>
        </w:rPr>
        <w:t xml:space="preserve">Therefore, </w:t>
      </w:r>
      <w:r w:rsidR="00DC55F5" w:rsidRPr="00077C1B">
        <w:rPr>
          <w:rFonts w:eastAsia="Calibri"/>
          <w:sz w:val="26"/>
          <w:szCs w:val="26"/>
        </w:rPr>
        <w:t xml:space="preserve">the Petitioner’s arguments in support of </w:t>
      </w:r>
      <w:r w:rsidR="00CD2214" w:rsidRPr="00077C1B">
        <w:rPr>
          <w:rFonts w:eastAsia="Calibri"/>
          <w:sz w:val="26"/>
          <w:szCs w:val="26"/>
        </w:rPr>
        <w:t>rescission</w:t>
      </w:r>
      <w:r w:rsidRPr="00077C1B">
        <w:rPr>
          <w:rFonts w:eastAsia="Calibri"/>
          <w:sz w:val="26"/>
          <w:szCs w:val="26"/>
        </w:rPr>
        <w:t xml:space="preserve"> </w:t>
      </w:r>
      <w:r w:rsidR="00DC55F5" w:rsidRPr="00077C1B">
        <w:rPr>
          <w:rFonts w:eastAsia="Calibri"/>
          <w:sz w:val="26"/>
          <w:szCs w:val="26"/>
        </w:rPr>
        <w:t xml:space="preserve">neither raise new or novel arguments, nor call to our attention matters which may have been previously overlooked.  To the contrary, </w:t>
      </w:r>
      <w:r w:rsidRPr="00077C1B">
        <w:rPr>
          <w:rFonts w:eastAsia="Calibri"/>
          <w:sz w:val="26"/>
          <w:szCs w:val="26"/>
        </w:rPr>
        <w:t>the matters raised by the Petitioner are matters which were waived due to the Petitioner</w:t>
      </w:r>
      <w:r w:rsidR="00DD002F" w:rsidRPr="00077C1B">
        <w:rPr>
          <w:rFonts w:eastAsia="Calibri"/>
          <w:sz w:val="26"/>
          <w:szCs w:val="26"/>
        </w:rPr>
        <w:t>’</w:t>
      </w:r>
      <w:r w:rsidRPr="00077C1B">
        <w:rPr>
          <w:rFonts w:eastAsia="Calibri"/>
          <w:sz w:val="26"/>
          <w:szCs w:val="26"/>
        </w:rPr>
        <w:t xml:space="preserve">s conduct in failing to </w:t>
      </w:r>
      <w:r w:rsidR="00DD002F" w:rsidRPr="00077C1B">
        <w:rPr>
          <w:rFonts w:eastAsia="Calibri"/>
          <w:sz w:val="26"/>
          <w:szCs w:val="26"/>
        </w:rPr>
        <w:t>participate in the scheduled telephonic hearing, and failing to provide any reason</w:t>
      </w:r>
      <w:r w:rsidR="004648A7" w:rsidRPr="00077C1B">
        <w:rPr>
          <w:rFonts w:eastAsia="Calibri"/>
          <w:sz w:val="26"/>
          <w:szCs w:val="26"/>
        </w:rPr>
        <w:t xml:space="preserve"> why the failure to appear </w:t>
      </w:r>
      <w:r w:rsidR="00341E24" w:rsidRPr="00077C1B">
        <w:rPr>
          <w:rFonts w:eastAsia="Calibri"/>
          <w:sz w:val="26"/>
          <w:szCs w:val="26"/>
        </w:rPr>
        <w:t>should be excused</w:t>
      </w:r>
      <w:r w:rsidR="00DD002F" w:rsidRPr="00077C1B">
        <w:rPr>
          <w:rFonts w:eastAsia="Calibri"/>
          <w:sz w:val="26"/>
          <w:szCs w:val="26"/>
        </w:rPr>
        <w:t xml:space="preserve">.  </w:t>
      </w:r>
      <w:r w:rsidR="0051416C" w:rsidRPr="00077C1B">
        <w:rPr>
          <w:rFonts w:eastAsia="Calibri"/>
          <w:i/>
          <w:iCs/>
          <w:sz w:val="26"/>
          <w:szCs w:val="26"/>
        </w:rPr>
        <w:t>Id</w:t>
      </w:r>
      <w:r w:rsidR="0051416C" w:rsidRPr="00077C1B">
        <w:rPr>
          <w:rFonts w:eastAsia="Calibri"/>
          <w:sz w:val="26"/>
          <w:szCs w:val="26"/>
        </w:rPr>
        <w:t>.</w:t>
      </w:r>
    </w:p>
    <w:p w14:paraId="36D04BD0" w14:textId="45C5B6BC" w:rsidR="00DC55F5" w:rsidRPr="00077C1B" w:rsidRDefault="00DC55F5" w:rsidP="00077C1B">
      <w:pPr>
        <w:widowControl/>
        <w:spacing w:line="360" w:lineRule="auto"/>
        <w:ind w:firstLine="1440"/>
        <w:rPr>
          <w:sz w:val="26"/>
          <w:szCs w:val="26"/>
        </w:rPr>
      </w:pPr>
    </w:p>
    <w:p w14:paraId="6FF9442D" w14:textId="3156C63A" w:rsidR="00DC55F5" w:rsidRPr="00077C1B" w:rsidRDefault="00DC55F5" w:rsidP="00077C1B">
      <w:pPr>
        <w:widowControl/>
        <w:spacing w:line="360" w:lineRule="auto"/>
        <w:ind w:firstLine="1440"/>
        <w:rPr>
          <w:sz w:val="26"/>
          <w:szCs w:val="26"/>
        </w:rPr>
      </w:pPr>
      <w:r w:rsidRPr="00077C1B">
        <w:rPr>
          <w:sz w:val="26"/>
          <w:szCs w:val="26"/>
        </w:rPr>
        <w:lastRenderedPageBreak/>
        <w:t xml:space="preserve">We find that, pursuant to </w:t>
      </w:r>
      <w:proofErr w:type="spellStart"/>
      <w:r w:rsidRPr="00077C1B">
        <w:rPr>
          <w:i/>
          <w:iCs/>
          <w:sz w:val="26"/>
          <w:szCs w:val="26"/>
        </w:rPr>
        <w:t>Duick</w:t>
      </w:r>
      <w:proofErr w:type="spellEnd"/>
      <w:r w:rsidRPr="00077C1B">
        <w:rPr>
          <w:sz w:val="26"/>
          <w:szCs w:val="26"/>
        </w:rPr>
        <w:t xml:space="preserve">, we are unpersuaded that </w:t>
      </w:r>
      <w:r w:rsidR="00CD2214" w:rsidRPr="00077C1B">
        <w:rPr>
          <w:sz w:val="26"/>
          <w:szCs w:val="26"/>
        </w:rPr>
        <w:t>rescission</w:t>
      </w:r>
      <w:r w:rsidR="00341E24" w:rsidRPr="00077C1B">
        <w:rPr>
          <w:sz w:val="26"/>
          <w:szCs w:val="26"/>
        </w:rPr>
        <w:t xml:space="preserve"> </w:t>
      </w:r>
      <w:r w:rsidRPr="00077C1B">
        <w:rPr>
          <w:sz w:val="26"/>
          <w:szCs w:val="26"/>
        </w:rPr>
        <w:t xml:space="preserve">of the Commission’s </w:t>
      </w:r>
      <w:r w:rsidRPr="00077C1B">
        <w:rPr>
          <w:i/>
          <w:iCs/>
          <w:sz w:val="26"/>
          <w:szCs w:val="26"/>
        </w:rPr>
        <w:t>December 2019 Final Order</w:t>
      </w:r>
      <w:r w:rsidRPr="00077C1B">
        <w:rPr>
          <w:sz w:val="26"/>
          <w:szCs w:val="26"/>
        </w:rPr>
        <w:t xml:space="preserve"> is warranted </w:t>
      </w:r>
      <w:r w:rsidR="00DD002F" w:rsidRPr="00077C1B">
        <w:rPr>
          <w:sz w:val="26"/>
          <w:szCs w:val="26"/>
        </w:rPr>
        <w:t xml:space="preserve">where </w:t>
      </w:r>
      <w:r w:rsidRPr="00077C1B">
        <w:rPr>
          <w:sz w:val="26"/>
          <w:szCs w:val="26"/>
        </w:rPr>
        <w:t xml:space="preserve">the Petition </w:t>
      </w:r>
      <w:r w:rsidR="005E59DE" w:rsidRPr="00077C1B">
        <w:rPr>
          <w:sz w:val="26"/>
          <w:szCs w:val="26"/>
        </w:rPr>
        <w:t>asserts matters which Petitioner waived by failing to appear at the scheduled hearing</w:t>
      </w:r>
      <w:r w:rsidR="00DD002F" w:rsidRPr="00077C1B">
        <w:rPr>
          <w:sz w:val="26"/>
          <w:szCs w:val="26"/>
        </w:rPr>
        <w:t xml:space="preserve"> without </w:t>
      </w:r>
      <w:r w:rsidR="000749DA" w:rsidRPr="00077C1B">
        <w:rPr>
          <w:sz w:val="26"/>
          <w:szCs w:val="26"/>
        </w:rPr>
        <w:t xml:space="preserve">unavoidable reason or </w:t>
      </w:r>
      <w:r w:rsidR="00341E24" w:rsidRPr="00077C1B">
        <w:rPr>
          <w:sz w:val="26"/>
          <w:szCs w:val="26"/>
        </w:rPr>
        <w:t xml:space="preserve">permissible excuse. </w:t>
      </w:r>
      <w:r w:rsidR="005E59DE" w:rsidRPr="00077C1B">
        <w:rPr>
          <w:sz w:val="26"/>
          <w:szCs w:val="26"/>
        </w:rPr>
        <w:t xml:space="preserve"> As such, the Petition </w:t>
      </w:r>
      <w:r w:rsidRPr="00077C1B">
        <w:rPr>
          <w:sz w:val="26"/>
          <w:szCs w:val="26"/>
        </w:rPr>
        <w:t>fails to assert new or novel arguments or matters which were previously not considered.  Therefore, we will deny the Petition</w:t>
      </w:r>
      <w:r w:rsidR="0051416C" w:rsidRPr="00077C1B">
        <w:rPr>
          <w:sz w:val="26"/>
          <w:szCs w:val="26"/>
        </w:rPr>
        <w:t>.</w:t>
      </w:r>
    </w:p>
    <w:p w14:paraId="2D69CC77" w14:textId="77777777" w:rsidR="002D7C8C" w:rsidRPr="00077C1B" w:rsidRDefault="002D7C8C" w:rsidP="00077C1B">
      <w:pPr>
        <w:widowControl/>
        <w:spacing w:line="360" w:lineRule="auto"/>
        <w:rPr>
          <w:sz w:val="26"/>
          <w:szCs w:val="26"/>
        </w:rPr>
      </w:pPr>
    </w:p>
    <w:p w14:paraId="1AEF32F7" w14:textId="1D6B3720" w:rsidR="00DC55F5" w:rsidRPr="00077C1B" w:rsidRDefault="00DC55F5" w:rsidP="00077C1B">
      <w:pPr>
        <w:pStyle w:val="ListParagraph"/>
        <w:widowControl/>
        <w:numPr>
          <w:ilvl w:val="0"/>
          <w:numId w:val="13"/>
        </w:numPr>
        <w:spacing w:line="360" w:lineRule="auto"/>
        <w:ind w:hanging="810"/>
        <w:outlineLvl w:val="2"/>
        <w:rPr>
          <w:b/>
          <w:bCs/>
          <w:sz w:val="26"/>
          <w:szCs w:val="26"/>
        </w:rPr>
      </w:pPr>
      <w:bookmarkStart w:id="10" w:name="_Toc42780247"/>
      <w:r w:rsidRPr="00077C1B">
        <w:rPr>
          <w:b/>
          <w:bCs/>
          <w:sz w:val="26"/>
          <w:szCs w:val="26"/>
        </w:rPr>
        <w:t xml:space="preserve">Due Process </w:t>
      </w:r>
      <w:r w:rsidR="00430F39" w:rsidRPr="00077C1B">
        <w:rPr>
          <w:b/>
          <w:bCs/>
          <w:sz w:val="26"/>
          <w:szCs w:val="26"/>
        </w:rPr>
        <w:t>Review</w:t>
      </w:r>
      <w:bookmarkEnd w:id="10"/>
      <w:r w:rsidR="00430F39" w:rsidRPr="00077C1B">
        <w:rPr>
          <w:b/>
          <w:bCs/>
          <w:sz w:val="26"/>
          <w:szCs w:val="26"/>
        </w:rPr>
        <w:t xml:space="preserve"> </w:t>
      </w:r>
    </w:p>
    <w:p w14:paraId="027CA56E" w14:textId="67ED2F20" w:rsidR="00DC55F5" w:rsidRPr="00077C1B" w:rsidRDefault="00DC55F5" w:rsidP="00077C1B">
      <w:pPr>
        <w:widowControl/>
        <w:spacing w:line="360" w:lineRule="auto"/>
        <w:rPr>
          <w:sz w:val="26"/>
          <w:szCs w:val="26"/>
        </w:rPr>
      </w:pPr>
    </w:p>
    <w:p w14:paraId="74741388" w14:textId="2669959D" w:rsidR="00132DB5" w:rsidRPr="00077C1B" w:rsidRDefault="00DD002F" w:rsidP="00077C1B">
      <w:pPr>
        <w:widowControl/>
        <w:spacing w:line="360" w:lineRule="auto"/>
        <w:ind w:firstLine="1440"/>
        <w:rPr>
          <w:sz w:val="26"/>
          <w:szCs w:val="26"/>
        </w:rPr>
      </w:pPr>
      <w:r w:rsidRPr="00077C1B">
        <w:rPr>
          <w:sz w:val="26"/>
          <w:szCs w:val="26"/>
        </w:rPr>
        <w:t xml:space="preserve">Because our decision to deny the Petition turns on the ALJ’s determination that the </w:t>
      </w:r>
      <w:r w:rsidRPr="00077C1B">
        <w:rPr>
          <w:i/>
          <w:iCs/>
          <w:sz w:val="26"/>
          <w:szCs w:val="26"/>
        </w:rPr>
        <w:t>pro se</w:t>
      </w:r>
      <w:r w:rsidRPr="00077C1B">
        <w:rPr>
          <w:sz w:val="26"/>
          <w:szCs w:val="26"/>
        </w:rPr>
        <w:t xml:space="preserve"> litigant</w:t>
      </w:r>
      <w:r w:rsidR="00A251D7" w:rsidRPr="00077C1B">
        <w:rPr>
          <w:sz w:val="26"/>
          <w:szCs w:val="26"/>
        </w:rPr>
        <w:t xml:space="preserve">’s failure to appear is deemed a </w:t>
      </w:r>
      <w:r w:rsidR="00132DB5" w:rsidRPr="00077C1B">
        <w:rPr>
          <w:sz w:val="26"/>
          <w:szCs w:val="26"/>
        </w:rPr>
        <w:t>waive</w:t>
      </w:r>
      <w:r w:rsidR="00A251D7" w:rsidRPr="00077C1B">
        <w:rPr>
          <w:sz w:val="26"/>
          <w:szCs w:val="26"/>
        </w:rPr>
        <w:t>r</w:t>
      </w:r>
      <w:r w:rsidR="00132DB5" w:rsidRPr="00077C1B">
        <w:rPr>
          <w:sz w:val="26"/>
          <w:szCs w:val="26"/>
        </w:rPr>
        <w:t xml:space="preserve"> </w:t>
      </w:r>
      <w:r w:rsidR="00A251D7" w:rsidRPr="00077C1B">
        <w:rPr>
          <w:sz w:val="26"/>
          <w:szCs w:val="26"/>
        </w:rPr>
        <w:t xml:space="preserve">of </w:t>
      </w:r>
      <w:r w:rsidR="00132DB5" w:rsidRPr="00077C1B">
        <w:rPr>
          <w:sz w:val="26"/>
          <w:szCs w:val="26"/>
        </w:rPr>
        <w:t>the right to present evidence</w:t>
      </w:r>
      <w:r w:rsidR="008D14E5" w:rsidRPr="00077C1B">
        <w:rPr>
          <w:sz w:val="26"/>
          <w:szCs w:val="26"/>
        </w:rPr>
        <w:t xml:space="preserve"> in support of the Complaint</w:t>
      </w:r>
      <w:r w:rsidR="00132DB5" w:rsidRPr="00077C1B">
        <w:rPr>
          <w:sz w:val="26"/>
          <w:szCs w:val="26"/>
        </w:rPr>
        <w:t xml:space="preserve">, our denial of the Petition operates to </w:t>
      </w:r>
      <w:r w:rsidRPr="00077C1B">
        <w:rPr>
          <w:sz w:val="26"/>
          <w:szCs w:val="26"/>
        </w:rPr>
        <w:t xml:space="preserve">forever bar the Complainant from </w:t>
      </w:r>
      <w:r w:rsidR="00430F39" w:rsidRPr="00077C1B">
        <w:rPr>
          <w:sz w:val="26"/>
          <w:szCs w:val="26"/>
        </w:rPr>
        <w:t xml:space="preserve">any </w:t>
      </w:r>
      <w:r w:rsidR="00132DB5" w:rsidRPr="00077C1B">
        <w:rPr>
          <w:sz w:val="26"/>
          <w:szCs w:val="26"/>
        </w:rPr>
        <w:t xml:space="preserve">future claims </w:t>
      </w:r>
      <w:r w:rsidR="00430F39" w:rsidRPr="00077C1B">
        <w:rPr>
          <w:sz w:val="26"/>
          <w:szCs w:val="26"/>
        </w:rPr>
        <w:t>based on m</w:t>
      </w:r>
      <w:r w:rsidRPr="00077C1B">
        <w:rPr>
          <w:sz w:val="26"/>
          <w:szCs w:val="26"/>
        </w:rPr>
        <w:t>atters arising under the Compl</w:t>
      </w:r>
      <w:r w:rsidR="00822453" w:rsidRPr="00077C1B">
        <w:rPr>
          <w:sz w:val="26"/>
          <w:szCs w:val="26"/>
        </w:rPr>
        <w:t>ai</w:t>
      </w:r>
      <w:r w:rsidRPr="00077C1B">
        <w:rPr>
          <w:sz w:val="26"/>
          <w:szCs w:val="26"/>
        </w:rPr>
        <w:t>nt</w:t>
      </w:r>
      <w:r w:rsidR="00132DB5" w:rsidRPr="00077C1B">
        <w:rPr>
          <w:sz w:val="26"/>
          <w:szCs w:val="26"/>
        </w:rPr>
        <w:t xml:space="preserve">.  Therefore, </w:t>
      </w:r>
      <w:r w:rsidR="00822453" w:rsidRPr="00077C1B">
        <w:rPr>
          <w:sz w:val="26"/>
          <w:szCs w:val="26"/>
        </w:rPr>
        <w:t xml:space="preserve">to </w:t>
      </w:r>
      <w:r w:rsidR="008D14E5" w:rsidRPr="00077C1B">
        <w:rPr>
          <w:sz w:val="26"/>
          <w:szCs w:val="26"/>
        </w:rPr>
        <w:t>ensur</w:t>
      </w:r>
      <w:r w:rsidR="00822453" w:rsidRPr="00077C1B">
        <w:rPr>
          <w:sz w:val="26"/>
          <w:szCs w:val="26"/>
        </w:rPr>
        <w:t>e</w:t>
      </w:r>
      <w:r w:rsidR="008D14E5" w:rsidRPr="00077C1B">
        <w:rPr>
          <w:sz w:val="26"/>
          <w:szCs w:val="26"/>
        </w:rPr>
        <w:t xml:space="preserve"> that the </w:t>
      </w:r>
      <w:r w:rsidR="008D14E5" w:rsidRPr="00077C1B">
        <w:rPr>
          <w:i/>
          <w:iCs/>
          <w:sz w:val="26"/>
          <w:szCs w:val="26"/>
        </w:rPr>
        <w:t>pro se</w:t>
      </w:r>
      <w:r w:rsidR="008D14E5" w:rsidRPr="00077C1B">
        <w:rPr>
          <w:sz w:val="26"/>
          <w:szCs w:val="26"/>
        </w:rPr>
        <w:t xml:space="preserve"> litigant</w:t>
      </w:r>
      <w:r w:rsidR="0051416C" w:rsidRPr="00077C1B">
        <w:rPr>
          <w:sz w:val="26"/>
          <w:szCs w:val="26"/>
        </w:rPr>
        <w:t xml:space="preserve"> has been</w:t>
      </w:r>
      <w:r w:rsidR="008D14E5" w:rsidRPr="00077C1B">
        <w:rPr>
          <w:sz w:val="26"/>
          <w:szCs w:val="26"/>
        </w:rPr>
        <w:t xml:space="preserve"> afforded </w:t>
      </w:r>
      <w:r w:rsidR="00132DB5" w:rsidRPr="00077C1B">
        <w:rPr>
          <w:sz w:val="26"/>
          <w:szCs w:val="26"/>
        </w:rPr>
        <w:t xml:space="preserve">due process, our analysis includes our </w:t>
      </w:r>
      <w:r w:rsidRPr="00077C1B">
        <w:rPr>
          <w:sz w:val="26"/>
          <w:szCs w:val="26"/>
        </w:rPr>
        <w:t xml:space="preserve">review </w:t>
      </w:r>
      <w:r w:rsidR="00132DB5" w:rsidRPr="00077C1B">
        <w:rPr>
          <w:sz w:val="26"/>
          <w:szCs w:val="26"/>
        </w:rPr>
        <w:t xml:space="preserve">of </w:t>
      </w:r>
      <w:r w:rsidRPr="00077C1B">
        <w:rPr>
          <w:sz w:val="26"/>
          <w:szCs w:val="26"/>
        </w:rPr>
        <w:t>the circums</w:t>
      </w:r>
      <w:r w:rsidR="00132DB5" w:rsidRPr="00077C1B">
        <w:rPr>
          <w:sz w:val="26"/>
          <w:szCs w:val="26"/>
        </w:rPr>
        <w:t>tances under which the ALJ den</w:t>
      </w:r>
      <w:r w:rsidR="00822453" w:rsidRPr="00077C1B">
        <w:rPr>
          <w:sz w:val="26"/>
          <w:szCs w:val="26"/>
        </w:rPr>
        <w:t>ied a</w:t>
      </w:r>
      <w:r w:rsidR="00132DB5" w:rsidRPr="00077C1B">
        <w:rPr>
          <w:sz w:val="26"/>
          <w:szCs w:val="26"/>
        </w:rPr>
        <w:t>nd dismiss</w:t>
      </w:r>
      <w:r w:rsidR="00822453" w:rsidRPr="00077C1B">
        <w:rPr>
          <w:sz w:val="26"/>
          <w:szCs w:val="26"/>
        </w:rPr>
        <w:t>ed</w:t>
      </w:r>
      <w:r w:rsidR="00132DB5" w:rsidRPr="00077C1B">
        <w:rPr>
          <w:sz w:val="26"/>
          <w:szCs w:val="26"/>
        </w:rPr>
        <w:t xml:space="preserve"> the Complaint with prejudice</w:t>
      </w:r>
      <w:r w:rsidR="00822453" w:rsidRPr="00077C1B">
        <w:rPr>
          <w:sz w:val="26"/>
          <w:szCs w:val="26"/>
        </w:rPr>
        <w:t>,</w:t>
      </w:r>
      <w:r w:rsidR="00132DB5" w:rsidRPr="00077C1B">
        <w:rPr>
          <w:sz w:val="26"/>
          <w:szCs w:val="26"/>
        </w:rPr>
        <w:t xml:space="preserve"> based upon the Complainant’s </w:t>
      </w:r>
      <w:r w:rsidR="00A251D7" w:rsidRPr="00077C1B">
        <w:rPr>
          <w:sz w:val="26"/>
          <w:szCs w:val="26"/>
        </w:rPr>
        <w:t xml:space="preserve">unexcused </w:t>
      </w:r>
      <w:r w:rsidR="00132DB5" w:rsidRPr="00077C1B">
        <w:rPr>
          <w:sz w:val="26"/>
          <w:szCs w:val="26"/>
        </w:rPr>
        <w:t>failure to appear</w:t>
      </w:r>
      <w:r w:rsidR="008D14E5" w:rsidRPr="00077C1B">
        <w:rPr>
          <w:sz w:val="26"/>
          <w:szCs w:val="26"/>
        </w:rPr>
        <w:t xml:space="preserve">, consistent with </w:t>
      </w:r>
      <w:r w:rsidR="008D14E5" w:rsidRPr="00077C1B">
        <w:rPr>
          <w:rFonts w:eastAsiaTheme="minorHAnsi"/>
          <w:sz w:val="26"/>
          <w:szCs w:val="26"/>
        </w:rPr>
        <w:t>66 Pa. C.S. § 332(f); 52 Pa. Code § 5.245(a)-(b).</w:t>
      </w:r>
    </w:p>
    <w:p w14:paraId="046F96CB" w14:textId="00B63BF3" w:rsidR="00247F65" w:rsidRPr="00077C1B" w:rsidRDefault="00247F65" w:rsidP="00077C1B">
      <w:pPr>
        <w:keepNext/>
        <w:keepLines/>
        <w:widowControl/>
        <w:spacing w:line="360" w:lineRule="auto"/>
        <w:rPr>
          <w:sz w:val="26"/>
          <w:szCs w:val="26"/>
        </w:rPr>
      </w:pPr>
    </w:p>
    <w:p w14:paraId="1F78C0BE" w14:textId="3B9D5E22" w:rsidR="0042160A" w:rsidRPr="00077C1B" w:rsidRDefault="00AA35FA" w:rsidP="00077C1B">
      <w:pPr>
        <w:widowControl/>
        <w:spacing w:line="360" w:lineRule="auto"/>
        <w:ind w:firstLine="1440"/>
        <w:rPr>
          <w:color w:val="000000" w:themeColor="text1"/>
          <w:sz w:val="26"/>
          <w:szCs w:val="26"/>
        </w:rPr>
      </w:pPr>
      <w:r w:rsidRPr="00077C1B">
        <w:rPr>
          <w:sz w:val="26"/>
          <w:szCs w:val="26"/>
        </w:rPr>
        <w:t>Where</w:t>
      </w:r>
      <w:r w:rsidR="00822453" w:rsidRPr="00077C1B">
        <w:rPr>
          <w:sz w:val="26"/>
          <w:szCs w:val="26"/>
        </w:rPr>
        <w:t xml:space="preserve">, as here, </w:t>
      </w:r>
      <w:r w:rsidRPr="00077C1B">
        <w:rPr>
          <w:sz w:val="26"/>
          <w:szCs w:val="26"/>
        </w:rPr>
        <w:t xml:space="preserve">a party fails to appear at a scheduled hearing, </w:t>
      </w:r>
      <w:r w:rsidR="002F64C8" w:rsidRPr="00077C1B">
        <w:rPr>
          <w:color w:val="000000" w:themeColor="text1"/>
          <w:sz w:val="26"/>
          <w:szCs w:val="26"/>
        </w:rPr>
        <w:t>i</w:t>
      </w:r>
      <w:r w:rsidR="00273868" w:rsidRPr="00077C1B">
        <w:rPr>
          <w:color w:val="000000" w:themeColor="text1"/>
          <w:sz w:val="26"/>
          <w:szCs w:val="26"/>
        </w:rPr>
        <w:t>t is within the sound discretion of the ALJ to decide whether the failure to appear was unavoidable</w:t>
      </w:r>
      <w:r w:rsidR="002C67FD" w:rsidRPr="00077C1B">
        <w:rPr>
          <w:color w:val="000000" w:themeColor="text1"/>
          <w:sz w:val="26"/>
          <w:szCs w:val="26"/>
        </w:rPr>
        <w:t xml:space="preserve"> or excusable</w:t>
      </w:r>
      <w:r w:rsidR="00273868" w:rsidRPr="00077C1B">
        <w:rPr>
          <w:color w:val="000000" w:themeColor="text1"/>
          <w:sz w:val="26"/>
          <w:szCs w:val="26"/>
        </w:rPr>
        <w:t xml:space="preserve"> and whether permitting a hearing would prejudice the public interest or the interest of the </w:t>
      </w:r>
      <w:r w:rsidR="00CA1440" w:rsidRPr="00077C1B">
        <w:rPr>
          <w:color w:val="000000" w:themeColor="text1"/>
          <w:sz w:val="26"/>
          <w:szCs w:val="26"/>
        </w:rPr>
        <w:t>other party</w:t>
      </w:r>
      <w:r w:rsidR="00273868" w:rsidRPr="00077C1B">
        <w:rPr>
          <w:color w:val="000000" w:themeColor="text1"/>
          <w:sz w:val="26"/>
          <w:szCs w:val="26"/>
        </w:rPr>
        <w:t xml:space="preserve">.  </w:t>
      </w:r>
      <w:r w:rsidR="00273868" w:rsidRPr="00077C1B">
        <w:rPr>
          <w:i/>
          <w:sz w:val="26"/>
          <w:szCs w:val="26"/>
        </w:rPr>
        <w:t xml:space="preserve">See </w:t>
      </w:r>
      <w:r w:rsidR="00273868" w:rsidRPr="00077C1B">
        <w:rPr>
          <w:sz w:val="26"/>
          <w:szCs w:val="26"/>
        </w:rPr>
        <w:t xml:space="preserve">66 Pa. C.S. § 332(f); </w:t>
      </w:r>
      <w:r w:rsidR="00273868" w:rsidRPr="00077C1B">
        <w:rPr>
          <w:i/>
          <w:sz w:val="26"/>
          <w:szCs w:val="26"/>
        </w:rPr>
        <w:t>see also</w:t>
      </w:r>
      <w:r w:rsidR="00273868" w:rsidRPr="00077C1B">
        <w:rPr>
          <w:sz w:val="26"/>
          <w:szCs w:val="26"/>
        </w:rPr>
        <w:t xml:space="preserve"> 52 Pa. Code § 5.245(a)-(b).  </w:t>
      </w:r>
      <w:r w:rsidR="005926C7" w:rsidRPr="00077C1B">
        <w:rPr>
          <w:color w:val="000000" w:themeColor="text1"/>
          <w:sz w:val="26"/>
          <w:szCs w:val="26"/>
        </w:rPr>
        <w:t>From an administrative due process standpoint, t</w:t>
      </w:r>
      <w:r w:rsidR="0042160A" w:rsidRPr="00077C1B">
        <w:rPr>
          <w:color w:val="000000" w:themeColor="text1"/>
          <w:sz w:val="26"/>
          <w:szCs w:val="26"/>
        </w:rPr>
        <w:t>he question is whether the Complainants</w:t>
      </w:r>
      <w:r w:rsidR="008C7941" w:rsidRPr="00077C1B">
        <w:rPr>
          <w:color w:val="000000" w:themeColor="text1"/>
          <w:sz w:val="26"/>
          <w:szCs w:val="26"/>
        </w:rPr>
        <w:t>’</w:t>
      </w:r>
      <w:r w:rsidR="0042160A" w:rsidRPr="00077C1B">
        <w:rPr>
          <w:color w:val="000000" w:themeColor="text1"/>
          <w:sz w:val="26"/>
          <w:szCs w:val="26"/>
        </w:rPr>
        <w:t xml:space="preserve"> failure to appear sh</w:t>
      </w:r>
      <w:r w:rsidR="00A64097" w:rsidRPr="00077C1B">
        <w:rPr>
          <w:color w:val="000000" w:themeColor="text1"/>
          <w:sz w:val="26"/>
          <w:szCs w:val="26"/>
        </w:rPr>
        <w:t xml:space="preserve">ould </w:t>
      </w:r>
      <w:r w:rsidR="0042160A" w:rsidRPr="00077C1B">
        <w:rPr>
          <w:color w:val="000000" w:themeColor="text1"/>
          <w:sz w:val="26"/>
          <w:szCs w:val="26"/>
        </w:rPr>
        <w:t xml:space="preserve">be deemed </w:t>
      </w:r>
      <w:r w:rsidR="002C67FD" w:rsidRPr="00077C1B">
        <w:rPr>
          <w:color w:val="000000" w:themeColor="text1"/>
          <w:sz w:val="26"/>
          <w:szCs w:val="26"/>
        </w:rPr>
        <w:t xml:space="preserve">as </w:t>
      </w:r>
      <w:r w:rsidR="0042160A" w:rsidRPr="00077C1B">
        <w:rPr>
          <w:color w:val="000000" w:themeColor="text1"/>
          <w:sz w:val="26"/>
          <w:szCs w:val="26"/>
        </w:rPr>
        <w:t xml:space="preserve">the Complainant’s waiver of the opportunity to </w:t>
      </w:r>
      <w:r w:rsidR="00711B8C" w:rsidRPr="00077C1B">
        <w:rPr>
          <w:color w:val="000000" w:themeColor="text1"/>
          <w:sz w:val="26"/>
          <w:szCs w:val="26"/>
        </w:rPr>
        <w:t xml:space="preserve">present evidence </w:t>
      </w:r>
      <w:r w:rsidR="0042160A" w:rsidRPr="00077C1B">
        <w:rPr>
          <w:color w:val="000000" w:themeColor="text1"/>
          <w:sz w:val="26"/>
          <w:szCs w:val="26"/>
        </w:rPr>
        <w:t xml:space="preserve">in </w:t>
      </w:r>
      <w:r w:rsidR="002C67FD" w:rsidRPr="00077C1B">
        <w:rPr>
          <w:color w:val="000000" w:themeColor="text1"/>
          <w:sz w:val="26"/>
          <w:szCs w:val="26"/>
        </w:rPr>
        <w:t>support of the Complaint</w:t>
      </w:r>
      <w:r w:rsidR="0042160A" w:rsidRPr="00077C1B">
        <w:rPr>
          <w:color w:val="000000" w:themeColor="text1"/>
          <w:sz w:val="26"/>
          <w:szCs w:val="26"/>
        </w:rPr>
        <w:t>, pursuant to 66 Pa. C.S. §</w:t>
      </w:r>
      <w:r w:rsidR="00CD2214" w:rsidRPr="00077C1B">
        <w:rPr>
          <w:color w:val="000000" w:themeColor="text1"/>
          <w:sz w:val="26"/>
          <w:szCs w:val="26"/>
        </w:rPr>
        <w:t> </w:t>
      </w:r>
      <w:r w:rsidR="0042160A" w:rsidRPr="00077C1B">
        <w:rPr>
          <w:color w:val="000000" w:themeColor="text1"/>
          <w:sz w:val="26"/>
          <w:szCs w:val="26"/>
        </w:rPr>
        <w:t>332(f) and 52 Pa. Code § 5.245(a)-(b).</w:t>
      </w:r>
    </w:p>
    <w:p w14:paraId="6A3FF144" w14:textId="3217AA34" w:rsidR="00C73014" w:rsidRPr="00077C1B" w:rsidRDefault="00C73014" w:rsidP="00077C1B">
      <w:pPr>
        <w:widowControl/>
        <w:spacing w:line="360" w:lineRule="auto"/>
        <w:rPr>
          <w:color w:val="000000" w:themeColor="text1"/>
          <w:sz w:val="26"/>
          <w:szCs w:val="26"/>
        </w:rPr>
      </w:pPr>
    </w:p>
    <w:p w14:paraId="2FA7420D" w14:textId="464DD2CD" w:rsidR="00CE43D8" w:rsidRPr="00077C1B" w:rsidRDefault="00A251D7" w:rsidP="00077C1B">
      <w:pPr>
        <w:widowControl/>
        <w:spacing w:line="360" w:lineRule="auto"/>
        <w:ind w:firstLine="1440"/>
        <w:rPr>
          <w:color w:val="000000" w:themeColor="text1"/>
          <w:sz w:val="26"/>
          <w:szCs w:val="26"/>
        </w:rPr>
      </w:pPr>
      <w:r w:rsidRPr="00077C1B">
        <w:rPr>
          <w:rFonts w:eastAsiaTheme="minorHAnsi"/>
          <w:color w:val="000000"/>
          <w:sz w:val="26"/>
          <w:szCs w:val="26"/>
        </w:rPr>
        <w:t>The record reflects that ALJ Vero</w:t>
      </w:r>
      <w:r w:rsidR="006E40B0" w:rsidRPr="00077C1B">
        <w:rPr>
          <w:rFonts w:eastAsiaTheme="minorHAnsi"/>
          <w:color w:val="000000"/>
          <w:sz w:val="26"/>
          <w:szCs w:val="26"/>
        </w:rPr>
        <w:t xml:space="preserve">’s analysis and determination regarding Ms. Poe-Henderson’s failure to appear was consistent with due process.  </w:t>
      </w:r>
      <w:r w:rsidR="00C73014" w:rsidRPr="00077C1B">
        <w:rPr>
          <w:rFonts w:eastAsiaTheme="minorHAnsi"/>
          <w:color w:val="000000"/>
          <w:sz w:val="26"/>
          <w:szCs w:val="26"/>
        </w:rPr>
        <w:t xml:space="preserve">Prior to the </w:t>
      </w:r>
      <w:r w:rsidR="006E40B0" w:rsidRPr="00077C1B">
        <w:rPr>
          <w:rFonts w:eastAsiaTheme="minorHAnsi"/>
          <w:color w:val="000000"/>
          <w:sz w:val="26"/>
          <w:szCs w:val="26"/>
        </w:rPr>
        <w:lastRenderedPageBreak/>
        <w:t xml:space="preserve">scheduled </w:t>
      </w:r>
      <w:r w:rsidR="00C73014" w:rsidRPr="00077C1B">
        <w:rPr>
          <w:rFonts w:eastAsiaTheme="minorHAnsi"/>
          <w:color w:val="000000"/>
          <w:sz w:val="26"/>
          <w:szCs w:val="26"/>
        </w:rPr>
        <w:t xml:space="preserve">hearing, </w:t>
      </w:r>
      <w:r w:rsidR="00CE43D8" w:rsidRPr="00077C1B">
        <w:rPr>
          <w:rFonts w:eastAsiaTheme="minorHAnsi"/>
          <w:color w:val="000000"/>
          <w:sz w:val="26"/>
          <w:szCs w:val="26"/>
        </w:rPr>
        <w:t xml:space="preserve">ALJ Vero accommodated Ms. Poe-Henderson’s request to attend the hearing </w:t>
      </w:r>
      <w:r w:rsidR="00CE43D8" w:rsidRPr="00077C1B">
        <w:rPr>
          <w:rFonts w:eastAsiaTheme="minorHAnsi"/>
          <w:i/>
          <w:iCs/>
          <w:color w:val="000000"/>
          <w:sz w:val="26"/>
          <w:szCs w:val="26"/>
        </w:rPr>
        <w:t>via</w:t>
      </w:r>
      <w:r w:rsidR="00CE43D8" w:rsidRPr="00077C1B">
        <w:rPr>
          <w:rFonts w:eastAsiaTheme="minorHAnsi"/>
          <w:color w:val="000000"/>
          <w:sz w:val="26"/>
          <w:szCs w:val="26"/>
        </w:rPr>
        <w:t xml:space="preserve"> telephone.  The record reflects that Ms. Poe-Henderson was properly notified of the date and time of the scheduled telephonic hearing and provided instructions </w:t>
      </w:r>
      <w:r w:rsidR="00644C69" w:rsidRPr="00077C1B">
        <w:rPr>
          <w:rFonts w:eastAsiaTheme="minorHAnsi"/>
          <w:color w:val="000000"/>
          <w:sz w:val="26"/>
          <w:szCs w:val="26"/>
        </w:rPr>
        <w:t xml:space="preserve">on </w:t>
      </w:r>
      <w:r w:rsidR="00CE43D8" w:rsidRPr="00077C1B">
        <w:rPr>
          <w:rFonts w:eastAsiaTheme="minorHAnsi"/>
          <w:color w:val="000000"/>
          <w:sz w:val="26"/>
          <w:szCs w:val="26"/>
        </w:rPr>
        <w:t xml:space="preserve">how to participate </w:t>
      </w:r>
      <w:r w:rsidR="00CE43D8" w:rsidRPr="00077C1B">
        <w:rPr>
          <w:rFonts w:eastAsiaTheme="minorHAnsi"/>
          <w:i/>
          <w:iCs/>
          <w:color w:val="000000"/>
          <w:sz w:val="26"/>
          <w:szCs w:val="26"/>
        </w:rPr>
        <w:t>via</w:t>
      </w:r>
      <w:r w:rsidR="00CE43D8" w:rsidRPr="00077C1B">
        <w:rPr>
          <w:rFonts w:eastAsiaTheme="minorHAnsi"/>
          <w:color w:val="000000"/>
          <w:sz w:val="26"/>
          <w:szCs w:val="26"/>
        </w:rPr>
        <w:t xml:space="preserve"> telephone.  </w:t>
      </w:r>
      <w:r w:rsidR="00DE1903" w:rsidRPr="00077C1B">
        <w:rPr>
          <w:rFonts w:eastAsiaTheme="minorHAnsi"/>
          <w:color w:val="000000"/>
          <w:sz w:val="26"/>
          <w:szCs w:val="26"/>
        </w:rPr>
        <w:t>However,</w:t>
      </w:r>
      <w:r w:rsidR="00DE1903" w:rsidRPr="00077C1B">
        <w:rPr>
          <w:color w:val="000000" w:themeColor="text1"/>
          <w:sz w:val="26"/>
          <w:szCs w:val="26"/>
        </w:rPr>
        <w:t xml:space="preserve"> after the ALJ convened the scheduled </w:t>
      </w:r>
      <w:r w:rsidR="008D14E5" w:rsidRPr="00077C1B">
        <w:rPr>
          <w:color w:val="000000" w:themeColor="text1"/>
          <w:sz w:val="26"/>
          <w:szCs w:val="26"/>
        </w:rPr>
        <w:t xml:space="preserve">telephonic </w:t>
      </w:r>
      <w:r w:rsidR="00DE1903" w:rsidRPr="00077C1B">
        <w:rPr>
          <w:color w:val="000000" w:themeColor="text1"/>
          <w:sz w:val="26"/>
          <w:szCs w:val="26"/>
        </w:rPr>
        <w:t xml:space="preserve">hearing, </w:t>
      </w:r>
      <w:r w:rsidR="00711B8C" w:rsidRPr="00077C1B">
        <w:rPr>
          <w:color w:val="000000" w:themeColor="text1"/>
          <w:sz w:val="26"/>
          <w:szCs w:val="26"/>
        </w:rPr>
        <w:t xml:space="preserve">Ms. Poe-Henderson neither participated </w:t>
      </w:r>
      <w:r w:rsidR="00711B8C" w:rsidRPr="00077C1B">
        <w:rPr>
          <w:i/>
          <w:iCs/>
          <w:color w:val="000000" w:themeColor="text1"/>
          <w:sz w:val="26"/>
          <w:szCs w:val="26"/>
        </w:rPr>
        <w:t>via</w:t>
      </w:r>
      <w:r w:rsidR="00711B8C" w:rsidRPr="00077C1B">
        <w:rPr>
          <w:color w:val="000000" w:themeColor="text1"/>
          <w:sz w:val="26"/>
          <w:szCs w:val="26"/>
        </w:rPr>
        <w:t xml:space="preserve"> telephone, n</w:t>
      </w:r>
      <w:r w:rsidR="00DE1903" w:rsidRPr="00077C1B">
        <w:rPr>
          <w:color w:val="000000" w:themeColor="text1"/>
          <w:sz w:val="26"/>
          <w:szCs w:val="26"/>
        </w:rPr>
        <w:t xml:space="preserve">or </w:t>
      </w:r>
      <w:r w:rsidR="00711B8C" w:rsidRPr="00077C1B">
        <w:rPr>
          <w:color w:val="000000" w:themeColor="text1"/>
          <w:sz w:val="26"/>
          <w:szCs w:val="26"/>
        </w:rPr>
        <w:t xml:space="preserve">appeared in person. </w:t>
      </w:r>
      <w:r w:rsidR="00AA35FA" w:rsidRPr="00077C1B">
        <w:rPr>
          <w:color w:val="000000" w:themeColor="text1"/>
          <w:sz w:val="26"/>
          <w:szCs w:val="26"/>
        </w:rPr>
        <w:t xml:space="preserve"> </w:t>
      </w:r>
      <w:r w:rsidR="00AA35FA" w:rsidRPr="00077C1B">
        <w:rPr>
          <w:rFonts w:eastAsiaTheme="minorHAnsi"/>
          <w:i/>
          <w:iCs/>
          <w:color w:val="000000"/>
          <w:sz w:val="26"/>
          <w:szCs w:val="26"/>
        </w:rPr>
        <w:t>See</w:t>
      </w:r>
      <w:r w:rsidR="00AA35FA" w:rsidRPr="00077C1B">
        <w:rPr>
          <w:rFonts w:eastAsiaTheme="minorHAnsi"/>
          <w:color w:val="000000"/>
          <w:sz w:val="26"/>
          <w:szCs w:val="26"/>
        </w:rPr>
        <w:t xml:space="preserve"> I.D. at 5.</w:t>
      </w:r>
    </w:p>
    <w:p w14:paraId="3B8A31F2" w14:textId="77777777" w:rsidR="00822453" w:rsidRPr="00077C1B" w:rsidRDefault="00822453" w:rsidP="00077C1B">
      <w:pPr>
        <w:widowControl/>
        <w:spacing w:line="360" w:lineRule="auto"/>
        <w:ind w:firstLine="1440"/>
        <w:rPr>
          <w:color w:val="000000" w:themeColor="text1"/>
          <w:sz w:val="26"/>
          <w:szCs w:val="26"/>
        </w:rPr>
      </w:pPr>
    </w:p>
    <w:p w14:paraId="6129EE9D" w14:textId="3A4E97E7" w:rsidR="00674F7F" w:rsidRPr="00077C1B" w:rsidRDefault="0076027A" w:rsidP="00077C1B">
      <w:pPr>
        <w:widowControl/>
        <w:spacing w:line="360" w:lineRule="auto"/>
        <w:ind w:firstLine="1440"/>
        <w:rPr>
          <w:rFonts w:eastAsiaTheme="minorHAnsi"/>
          <w:color w:val="000000"/>
          <w:sz w:val="26"/>
          <w:szCs w:val="26"/>
        </w:rPr>
      </w:pPr>
      <w:r w:rsidRPr="00077C1B">
        <w:rPr>
          <w:color w:val="000000" w:themeColor="text1"/>
          <w:sz w:val="26"/>
          <w:szCs w:val="26"/>
        </w:rPr>
        <w:t>U</w:t>
      </w:r>
      <w:r w:rsidR="006E40B0" w:rsidRPr="00077C1B">
        <w:rPr>
          <w:color w:val="000000" w:themeColor="text1"/>
          <w:sz w:val="26"/>
          <w:szCs w:val="26"/>
        </w:rPr>
        <w:t xml:space="preserve">pon Ms. Poe-Henderson’s failure to appear, </w:t>
      </w:r>
      <w:r w:rsidR="00CE43D8" w:rsidRPr="00077C1B">
        <w:rPr>
          <w:color w:val="000000" w:themeColor="text1"/>
          <w:sz w:val="26"/>
          <w:szCs w:val="26"/>
        </w:rPr>
        <w:t xml:space="preserve">ALJ Vero took the affirmative step of calling Ms. Poe-Henderson to </w:t>
      </w:r>
      <w:r w:rsidR="008D14E5" w:rsidRPr="00077C1B">
        <w:rPr>
          <w:rFonts w:eastAsiaTheme="minorHAnsi"/>
          <w:color w:val="000000"/>
          <w:sz w:val="26"/>
          <w:szCs w:val="26"/>
        </w:rPr>
        <w:t xml:space="preserve">facilitate </w:t>
      </w:r>
      <w:r w:rsidR="00CE43D8" w:rsidRPr="00077C1B">
        <w:rPr>
          <w:rFonts w:eastAsiaTheme="minorHAnsi"/>
          <w:color w:val="000000"/>
          <w:sz w:val="26"/>
          <w:szCs w:val="26"/>
        </w:rPr>
        <w:t xml:space="preserve">her </w:t>
      </w:r>
      <w:r w:rsidR="008D14E5" w:rsidRPr="00077C1B">
        <w:rPr>
          <w:rFonts w:eastAsiaTheme="minorHAnsi"/>
          <w:color w:val="000000"/>
          <w:sz w:val="26"/>
          <w:szCs w:val="26"/>
        </w:rPr>
        <w:t>participation in the telephonic hearing</w:t>
      </w:r>
      <w:r w:rsidRPr="00077C1B">
        <w:rPr>
          <w:rFonts w:eastAsiaTheme="minorHAnsi"/>
          <w:color w:val="000000"/>
          <w:sz w:val="26"/>
          <w:szCs w:val="26"/>
        </w:rPr>
        <w:t xml:space="preserve">, although under no obligation to do so. </w:t>
      </w:r>
      <w:r w:rsidR="00AA35FA" w:rsidRPr="00077C1B">
        <w:rPr>
          <w:rFonts w:eastAsiaTheme="minorHAnsi"/>
          <w:color w:val="000000"/>
          <w:sz w:val="26"/>
          <w:szCs w:val="26"/>
        </w:rPr>
        <w:t xml:space="preserve"> It </w:t>
      </w:r>
      <w:r w:rsidR="00CE43D8" w:rsidRPr="00077C1B">
        <w:rPr>
          <w:rFonts w:eastAsiaTheme="minorHAnsi"/>
          <w:color w:val="000000"/>
          <w:sz w:val="26"/>
          <w:szCs w:val="26"/>
        </w:rPr>
        <w:t xml:space="preserve">appears </w:t>
      </w:r>
      <w:r w:rsidR="00AA35FA" w:rsidRPr="00077C1B">
        <w:rPr>
          <w:rFonts w:eastAsiaTheme="minorHAnsi"/>
          <w:color w:val="000000"/>
          <w:sz w:val="26"/>
          <w:szCs w:val="26"/>
        </w:rPr>
        <w:t xml:space="preserve">that </w:t>
      </w:r>
      <w:r w:rsidR="00CE43D8" w:rsidRPr="00077C1B">
        <w:rPr>
          <w:rFonts w:eastAsiaTheme="minorHAnsi"/>
          <w:color w:val="000000"/>
          <w:sz w:val="26"/>
          <w:szCs w:val="26"/>
        </w:rPr>
        <w:t>Ms. Poe-Henderson answered and ALJ Vero provided the instructions for Ms. Poe-Henderson to</w:t>
      </w:r>
      <w:r w:rsidR="00822453" w:rsidRPr="00077C1B">
        <w:rPr>
          <w:rFonts w:eastAsiaTheme="minorHAnsi"/>
          <w:color w:val="000000"/>
          <w:sz w:val="26"/>
          <w:szCs w:val="26"/>
        </w:rPr>
        <w:t xml:space="preserve"> call and join the </w:t>
      </w:r>
      <w:r w:rsidR="00CE43D8" w:rsidRPr="00077C1B">
        <w:rPr>
          <w:rFonts w:eastAsiaTheme="minorHAnsi"/>
          <w:color w:val="000000"/>
          <w:sz w:val="26"/>
          <w:szCs w:val="26"/>
        </w:rPr>
        <w:t xml:space="preserve">hearing.  ALJ Vero then gave Ms. Poe-Henderson additional time to call.  When Ms. Poe Henderson did not call to join the hearing, </w:t>
      </w:r>
      <w:r w:rsidR="000616F4" w:rsidRPr="00077C1B">
        <w:rPr>
          <w:rFonts w:eastAsiaTheme="minorHAnsi"/>
          <w:color w:val="000000"/>
          <w:sz w:val="26"/>
          <w:szCs w:val="26"/>
        </w:rPr>
        <w:t xml:space="preserve">the ALJ </w:t>
      </w:r>
      <w:r w:rsidR="00CE43D8" w:rsidRPr="00077C1B">
        <w:rPr>
          <w:rFonts w:eastAsiaTheme="minorHAnsi"/>
          <w:color w:val="000000"/>
          <w:sz w:val="26"/>
          <w:szCs w:val="26"/>
        </w:rPr>
        <w:t xml:space="preserve">again attempted to </w:t>
      </w:r>
      <w:r w:rsidR="00A53556" w:rsidRPr="00077C1B">
        <w:rPr>
          <w:rFonts w:eastAsiaTheme="minorHAnsi"/>
          <w:color w:val="000000"/>
          <w:sz w:val="26"/>
          <w:szCs w:val="26"/>
        </w:rPr>
        <w:t>call</w:t>
      </w:r>
      <w:r w:rsidR="00CE43D8" w:rsidRPr="00077C1B">
        <w:rPr>
          <w:rFonts w:eastAsiaTheme="minorHAnsi"/>
          <w:color w:val="000000"/>
          <w:sz w:val="26"/>
          <w:szCs w:val="26"/>
        </w:rPr>
        <w:t xml:space="preserve"> M</w:t>
      </w:r>
      <w:r w:rsidR="008D14E5" w:rsidRPr="00077C1B">
        <w:rPr>
          <w:rFonts w:eastAsiaTheme="minorHAnsi"/>
          <w:color w:val="000000"/>
          <w:sz w:val="26"/>
          <w:szCs w:val="26"/>
        </w:rPr>
        <w:t>s. Poe- Henderson</w:t>
      </w:r>
      <w:r w:rsidR="00CE43D8" w:rsidRPr="00077C1B">
        <w:rPr>
          <w:rFonts w:eastAsiaTheme="minorHAnsi"/>
          <w:color w:val="000000"/>
          <w:sz w:val="26"/>
          <w:szCs w:val="26"/>
        </w:rPr>
        <w:t xml:space="preserve">.  It then </w:t>
      </w:r>
      <w:r w:rsidR="00674F7F" w:rsidRPr="00077C1B">
        <w:rPr>
          <w:rFonts w:eastAsiaTheme="minorHAnsi"/>
          <w:color w:val="000000"/>
          <w:sz w:val="26"/>
          <w:szCs w:val="26"/>
        </w:rPr>
        <w:t>appears</w:t>
      </w:r>
      <w:r w:rsidR="00CE43D8" w:rsidRPr="00077C1B">
        <w:rPr>
          <w:rFonts w:eastAsiaTheme="minorHAnsi"/>
          <w:color w:val="000000"/>
          <w:sz w:val="26"/>
          <w:szCs w:val="26"/>
        </w:rPr>
        <w:t xml:space="preserve"> that </w:t>
      </w:r>
      <w:r w:rsidR="00674F7F" w:rsidRPr="00077C1B">
        <w:rPr>
          <w:rFonts w:eastAsiaTheme="minorHAnsi"/>
          <w:color w:val="000000"/>
          <w:sz w:val="26"/>
          <w:szCs w:val="26"/>
        </w:rPr>
        <w:t xml:space="preserve">Ms. Poe-Henderson </w:t>
      </w:r>
      <w:r w:rsidR="00CE43D8" w:rsidRPr="00077C1B">
        <w:rPr>
          <w:rFonts w:eastAsiaTheme="minorHAnsi"/>
          <w:color w:val="000000"/>
          <w:sz w:val="26"/>
          <w:szCs w:val="26"/>
        </w:rPr>
        <w:t xml:space="preserve">answered and </w:t>
      </w:r>
      <w:r w:rsidR="00674F7F" w:rsidRPr="00077C1B">
        <w:rPr>
          <w:rFonts w:eastAsiaTheme="minorHAnsi"/>
          <w:color w:val="000000"/>
          <w:sz w:val="26"/>
          <w:szCs w:val="26"/>
        </w:rPr>
        <w:t>hung up</w:t>
      </w:r>
      <w:r w:rsidR="00CE43D8" w:rsidRPr="00077C1B">
        <w:rPr>
          <w:rFonts w:eastAsiaTheme="minorHAnsi"/>
          <w:color w:val="000000"/>
          <w:sz w:val="26"/>
          <w:szCs w:val="26"/>
        </w:rPr>
        <w:t xml:space="preserve">, then </w:t>
      </w:r>
      <w:r w:rsidR="003E61CA" w:rsidRPr="00077C1B">
        <w:rPr>
          <w:rFonts w:eastAsiaTheme="minorHAnsi"/>
          <w:color w:val="000000"/>
          <w:sz w:val="26"/>
          <w:szCs w:val="26"/>
        </w:rPr>
        <w:t xml:space="preserve">subsequently </w:t>
      </w:r>
      <w:r w:rsidR="00674F7F" w:rsidRPr="00077C1B">
        <w:rPr>
          <w:rFonts w:eastAsiaTheme="minorHAnsi"/>
          <w:color w:val="000000"/>
          <w:sz w:val="26"/>
          <w:szCs w:val="26"/>
        </w:rPr>
        <w:t>refused to answer</w:t>
      </w:r>
      <w:r w:rsidR="003E61CA" w:rsidRPr="00077C1B">
        <w:rPr>
          <w:rFonts w:eastAsiaTheme="minorHAnsi"/>
          <w:color w:val="000000"/>
          <w:sz w:val="26"/>
          <w:szCs w:val="26"/>
        </w:rPr>
        <w:t xml:space="preserve"> the ALJ’s </w:t>
      </w:r>
      <w:r w:rsidR="00CE43D8" w:rsidRPr="00077C1B">
        <w:rPr>
          <w:rFonts w:eastAsiaTheme="minorHAnsi"/>
          <w:color w:val="000000"/>
          <w:sz w:val="26"/>
          <w:szCs w:val="26"/>
        </w:rPr>
        <w:t xml:space="preserve">repeated calls to facilitate Ms. Poe-Henderson’s participation in the telephonic hearing. </w:t>
      </w:r>
      <w:r w:rsidR="00674F7F" w:rsidRPr="00077C1B">
        <w:rPr>
          <w:rFonts w:eastAsiaTheme="minorHAnsi"/>
          <w:color w:val="000000"/>
          <w:sz w:val="26"/>
          <w:szCs w:val="26"/>
        </w:rPr>
        <w:t xml:space="preserve"> </w:t>
      </w:r>
      <w:r w:rsidR="00AA35FA" w:rsidRPr="00077C1B">
        <w:rPr>
          <w:rFonts w:eastAsiaTheme="minorHAnsi"/>
          <w:i/>
          <w:iCs/>
          <w:color w:val="000000"/>
          <w:sz w:val="26"/>
          <w:szCs w:val="26"/>
        </w:rPr>
        <w:t>See</w:t>
      </w:r>
      <w:r w:rsidR="00AA35FA" w:rsidRPr="00077C1B">
        <w:rPr>
          <w:rFonts w:eastAsiaTheme="minorHAnsi"/>
          <w:color w:val="000000"/>
          <w:sz w:val="26"/>
          <w:szCs w:val="26"/>
        </w:rPr>
        <w:t xml:space="preserve"> I.D. at 2-</w:t>
      </w:r>
      <w:r w:rsidR="00822453" w:rsidRPr="00077C1B">
        <w:rPr>
          <w:rFonts w:eastAsiaTheme="minorHAnsi"/>
          <w:color w:val="000000"/>
          <w:sz w:val="26"/>
          <w:szCs w:val="26"/>
        </w:rPr>
        <w:t>6</w:t>
      </w:r>
      <w:r w:rsidR="00AA35FA" w:rsidRPr="00077C1B">
        <w:rPr>
          <w:rFonts w:eastAsiaTheme="minorHAnsi"/>
          <w:color w:val="000000"/>
          <w:sz w:val="26"/>
          <w:szCs w:val="26"/>
        </w:rPr>
        <w:t>.</w:t>
      </w:r>
    </w:p>
    <w:p w14:paraId="2E52A088" w14:textId="77777777" w:rsidR="00674F7F" w:rsidRPr="00077C1B" w:rsidRDefault="00674F7F" w:rsidP="00077C1B">
      <w:pPr>
        <w:widowControl/>
        <w:spacing w:line="360" w:lineRule="auto"/>
        <w:ind w:firstLine="1440"/>
        <w:rPr>
          <w:rFonts w:eastAsiaTheme="minorHAnsi"/>
          <w:color w:val="000000"/>
          <w:sz w:val="26"/>
          <w:szCs w:val="26"/>
          <w:highlight w:val="yellow"/>
        </w:rPr>
      </w:pPr>
    </w:p>
    <w:p w14:paraId="3FC54F34" w14:textId="496FF8C3" w:rsidR="00674F7F" w:rsidRPr="00077C1B" w:rsidRDefault="00674F7F" w:rsidP="00077C1B">
      <w:pPr>
        <w:widowControl/>
        <w:spacing w:line="360" w:lineRule="auto"/>
        <w:ind w:firstLine="1440"/>
        <w:rPr>
          <w:rFonts w:eastAsiaTheme="minorHAnsi"/>
          <w:color w:val="000000"/>
          <w:sz w:val="26"/>
          <w:szCs w:val="26"/>
        </w:rPr>
      </w:pPr>
      <w:r w:rsidRPr="00077C1B">
        <w:rPr>
          <w:rFonts w:eastAsiaTheme="minorHAnsi"/>
          <w:color w:val="000000"/>
          <w:sz w:val="26"/>
          <w:szCs w:val="26"/>
        </w:rPr>
        <w:t>We conclude that Ms. Poe-Henderson’s conduct can only be construed as a refusal to participate in the evidentiary hearing on her Complaint</w:t>
      </w:r>
      <w:r w:rsidR="00AA35FA" w:rsidRPr="00077C1B">
        <w:rPr>
          <w:rFonts w:eastAsiaTheme="minorHAnsi"/>
          <w:color w:val="000000"/>
          <w:sz w:val="26"/>
          <w:szCs w:val="26"/>
        </w:rPr>
        <w:t xml:space="preserve">, despite ALJ Vero having provided </w:t>
      </w:r>
      <w:r w:rsidR="00E73ADF" w:rsidRPr="00077C1B">
        <w:rPr>
          <w:rFonts w:eastAsiaTheme="minorHAnsi"/>
          <w:color w:val="000000"/>
          <w:sz w:val="26"/>
          <w:szCs w:val="26"/>
        </w:rPr>
        <w:t xml:space="preserve">the </w:t>
      </w:r>
      <w:r w:rsidR="00EF214E" w:rsidRPr="00077C1B">
        <w:rPr>
          <w:rFonts w:eastAsiaTheme="minorHAnsi"/>
          <w:color w:val="000000"/>
          <w:sz w:val="26"/>
          <w:szCs w:val="26"/>
        </w:rPr>
        <w:t xml:space="preserve">Complainant </w:t>
      </w:r>
      <w:r w:rsidR="00AA35FA" w:rsidRPr="00077C1B">
        <w:rPr>
          <w:rFonts w:eastAsiaTheme="minorHAnsi"/>
          <w:color w:val="000000"/>
          <w:sz w:val="26"/>
          <w:szCs w:val="26"/>
        </w:rPr>
        <w:t>ample opportunity to do so.</w:t>
      </w:r>
      <w:r w:rsidRPr="00077C1B">
        <w:rPr>
          <w:rFonts w:eastAsiaTheme="minorHAnsi"/>
          <w:color w:val="000000"/>
          <w:sz w:val="26"/>
          <w:szCs w:val="26"/>
        </w:rPr>
        <w:t xml:space="preserve">  We note that </w:t>
      </w:r>
      <w:r w:rsidR="00DC7ACB" w:rsidRPr="00077C1B">
        <w:rPr>
          <w:rFonts w:eastAsiaTheme="minorHAnsi"/>
          <w:color w:val="000000"/>
          <w:sz w:val="26"/>
          <w:szCs w:val="26"/>
        </w:rPr>
        <w:t xml:space="preserve">the consequences of </w:t>
      </w:r>
      <w:r w:rsidRPr="00077C1B">
        <w:rPr>
          <w:rFonts w:eastAsiaTheme="minorHAnsi"/>
          <w:color w:val="000000"/>
          <w:sz w:val="26"/>
          <w:szCs w:val="26"/>
        </w:rPr>
        <w:t xml:space="preserve">a party’s </w:t>
      </w:r>
      <w:r w:rsidR="0076027A" w:rsidRPr="00077C1B">
        <w:rPr>
          <w:rFonts w:eastAsiaTheme="minorHAnsi"/>
          <w:color w:val="000000"/>
          <w:sz w:val="26"/>
          <w:szCs w:val="26"/>
        </w:rPr>
        <w:t xml:space="preserve">unjustifiable </w:t>
      </w:r>
      <w:r w:rsidR="00DC7ACB" w:rsidRPr="00077C1B">
        <w:rPr>
          <w:rFonts w:eastAsiaTheme="minorHAnsi"/>
          <w:color w:val="000000"/>
          <w:sz w:val="26"/>
          <w:szCs w:val="26"/>
        </w:rPr>
        <w:t xml:space="preserve">failure to </w:t>
      </w:r>
      <w:r w:rsidRPr="00077C1B">
        <w:rPr>
          <w:rFonts w:eastAsiaTheme="minorHAnsi"/>
          <w:color w:val="000000"/>
          <w:sz w:val="26"/>
          <w:szCs w:val="26"/>
        </w:rPr>
        <w:t xml:space="preserve">participate in an evidentiary hearing </w:t>
      </w:r>
      <w:r w:rsidR="00DC7ACB" w:rsidRPr="00077C1B">
        <w:rPr>
          <w:rFonts w:eastAsiaTheme="minorHAnsi"/>
          <w:color w:val="000000"/>
          <w:sz w:val="26"/>
          <w:szCs w:val="26"/>
        </w:rPr>
        <w:t>include</w:t>
      </w:r>
      <w:r w:rsidR="0076027A" w:rsidRPr="00077C1B">
        <w:rPr>
          <w:rFonts w:eastAsiaTheme="minorHAnsi"/>
          <w:color w:val="000000"/>
          <w:sz w:val="26"/>
          <w:szCs w:val="26"/>
        </w:rPr>
        <w:t xml:space="preserve">, </w:t>
      </w:r>
      <w:r w:rsidR="00711B8C" w:rsidRPr="00077C1B">
        <w:rPr>
          <w:rFonts w:eastAsiaTheme="minorHAnsi"/>
          <w:color w:val="000000"/>
          <w:sz w:val="26"/>
          <w:szCs w:val="26"/>
        </w:rPr>
        <w:t xml:space="preserve">not only </w:t>
      </w:r>
      <w:r w:rsidR="00DC7ACB" w:rsidRPr="00077C1B">
        <w:rPr>
          <w:rFonts w:eastAsiaTheme="minorHAnsi"/>
          <w:color w:val="000000"/>
          <w:sz w:val="26"/>
          <w:szCs w:val="26"/>
        </w:rPr>
        <w:t>the</w:t>
      </w:r>
      <w:r w:rsidR="00711B8C" w:rsidRPr="00077C1B">
        <w:rPr>
          <w:rFonts w:eastAsiaTheme="minorHAnsi"/>
          <w:color w:val="000000"/>
          <w:sz w:val="26"/>
          <w:szCs w:val="26"/>
        </w:rPr>
        <w:t xml:space="preserve"> waiver of important </w:t>
      </w:r>
      <w:r w:rsidR="00AA35FA" w:rsidRPr="00077C1B">
        <w:rPr>
          <w:rFonts w:eastAsiaTheme="minorHAnsi"/>
          <w:color w:val="000000"/>
          <w:sz w:val="26"/>
          <w:szCs w:val="26"/>
        </w:rPr>
        <w:t xml:space="preserve">evidentiary </w:t>
      </w:r>
      <w:r w:rsidR="00711B8C" w:rsidRPr="00077C1B">
        <w:rPr>
          <w:rFonts w:eastAsiaTheme="minorHAnsi"/>
          <w:color w:val="000000"/>
          <w:sz w:val="26"/>
          <w:szCs w:val="26"/>
        </w:rPr>
        <w:t xml:space="preserve">rights, but also </w:t>
      </w:r>
      <w:r w:rsidR="00DC7ACB" w:rsidRPr="00077C1B">
        <w:rPr>
          <w:rFonts w:eastAsiaTheme="minorHAnsi"/>
          <w:color w:val="000000"/>
          <w:sz w:val="26"/>
          <w:szCs w:val="26"/>
        </w:rPr>
        <w:t>the</w:t>
      </w:r>
      <w:r w:rsidR="00094549" w:rsidRPr="00077C1B">
        <w:rPr>
          <w:rFonts w:eastAsiaTheme="minorHAnsi"/>
          <w:color w:val="000000"/>
          <w:sz w:val="26"/>
          <w:szCs w:val="26"/>
        </w:rPr>
        <w:t xml:space="preserve"> unnecessary </w:t>
      </w:r>
      <w:r w:rsidRPr="00077C1B">
        <w:rPr>
          <w:rFonts w:eastAsiaTheme="minorHAnsi"/>
          <w:color w:val="000000"/>
          <w:sz w:val="26"/>
          <w:szCs w:val="26"/>
        </w:rPr>
        <w:t xml:space="preserve">waste of the </w:t>
      </w:r>
      <w:r w:rsidR="003E61CA" w:rsidRPr="00077C1B">
        <w:rPr>
          <w:rFonts w:eastAsiaTheme="minorHAnsi"/>
          <w:color w:val="000000"/>
          <w:sz w:val="26"/>
          <w:szCs w:val="26"/>
        </w:rPr>
        <w:t xml:space="preserve">agency’s </w:t>
      </w:r>
      <w:r w:rsidRPr="00077C1B">
        <w:rPr>
          <w:rFonts w:eastAsiaTheme="minorHAnsi"/>
          <w:color w:val="000000"/>
          <w:sz w:val="26"/>
          <w:szCs w:val="26"/>
        </w:rPr>
        <w:t xml:space="preserve">administrative resources.  </w:t>
      </w:r>
      <w:r w:rsidR="003E61CA" w:rsidRPr="00077C1B">
        <w:rPr>
          <w:rFonts w:eastAsiaTheme="minorHAnsi"/>
          <w:color w:val="000000"/>
          <w:sz w:val="26"/>
          <w:szCs w:val="26"/>
        </w:rPr>
        <w:t xml:space="preserve">This is particularly so where, as here, the party who </w:t>
      </w:r>
      <w:r w:rsidR="003E61CA" w:rsidRPr="00077C1B">
        <w:rPr>
          <w:rFonts w:eastAsiaTheme="minorHAnsi"/>
          <w:i/>
          <w:iCs/>
          <w:color w:val="000000"/>
          <w:sz w:val="26"/>
          <w:szCs w:val="26"/>
        </w:rPr>
        <w:t>initiated</w:t>
      </w:r>
      <w:r w:rsidR="003E61CA" w:rsidRPr="00077C1B">
        <w:rPr>
          <w:rFonts w:eastAsiaTheme="minorHAnsi"/>
          <w:color w:val="000000"/>
          <w:sz w:val="26"/>
          <w:szCs w:val="26"/>
        </w:rPr>
        <w:t xml:space="preserve"> the administrative proceeding refuses to participate.  </w:t>
      </w:r>
      <w:r w:rsidRPr="00077C1B">
        <w:rPr>
          <w:rFonts w:eastAsiaTheme="minorHAnsi"/>
          <w:color w:val="000000"/>
          <w:sz w:val="26"/>
          <w:szCs w:val="26"/>
        </w:rPr>
        <w:t>We also note that, PGW</w:t>
      </w:r>
      <w:r w:rsidR="00094549" w:rsidRPr="00077C1B">
        <w:rPr>
          <w:rFonts w:eastAsiaTheme="minorHAnsi"/>
          <w:color w:val="000000"/>
          <w:sz w:val="26"/>
          <w:szCs w:val="26"/>
        </w:rPr>
        <w:t>,</w:t>
      </w:r>
      <w:r w:rsidRPr="00077C1B">
        <w:rPr>
          <w:rFonts w:eastAsiaTheme="minorHAnsi"/>
          <w:color w:val="000000"/>
          <w:sz w:val="26"/>
          <w:szCs w:val="26"/>
        </w:rPr>
        <w:t xml:space="preserve"> in good faith and at certain expense, appear</w:t>
      </w:r>
      <w:r w:rsidR="00094549" w:rsidRPr="00077C1B">
        <w:rPr>
          <w:rFonts w:eastAsiaTheme="minorHAnsi"/>
          <w:color w:val="000000"/>
          <w:sz w:val="26"/>
          <w:szCs w:val="26"/>
        </w:rPr>
        <w:t>ed</w:t>
      </w:r>
      <w:r w:rsidRPr="00077C1B">
        <w:rPr>
          <w:rFonts w:eastAsiaTheme="minorHAnsi"/>
          <w:color w:val="000000"/>
          <w:sz w:val="26"/>
          <w:szCs w:val="26"/>
        </w:rPr>
        <w:t xml:space="preserve"> in person represented by counsel</w:t>
      </w:r>
      <w:r w:rsidR="00094549" w:rsidRPr="00077C1B">
        <w:rPr>
          <w:rFonts w:eastAsiaTheme="minorHAnsi"/>
          <w:color w:val="000000"/>
          <w:sz w:val="26"/>
          <w:szCs w:val="26"/>
        </w:rPr>
        <w:t>,</w:t>
      </w:r>
      <w:r w:rsidRPr="00077C1B">
        <w:rPr>
          <w:rFonts w:eastAsiaTheme="minorHAnsi"/>
          <w:color w:val="000000"/>
          <w:sz w:val="26"/>
          <w:szCs w:val="26"/>
        </w:rPr>
        <w:t xml:space="preserve"> prepared to offer evidence to refute the allegations of the Compl</w:t>
      </w:r>
      <w:r w:rsidR="00094549" w:rsidRPr="00077C1B">
        <w:rPr>
          <w:rFonts w:eastAsiaTheme="minorHAnsi"/>
          <w:color w:val="000000"/>
          <w:sz w:val="26"/>
          <w:szCs w:val="26"/>
        </w:rPr>
        <w:t>ai</w:t>
      </w:r>
      <w:r w:rsidRPr="00077C1B">
        <w:rPr>
          <w:rFonts w:eastAsiaTheme="minorHAnsi"/>
          <w:color w:val="000000"/>
          <w:sz w:val="26"/>
          <w:szCs w:val="26"/>
        </w:rPr>
        <w:t>nt.</w:t>
      </w:r>
    </w:p>
    <w:p w14:paraId="114BF890" w14:textId="77777777" w:rsidR="00F61B81" w:rsidRPr="00077C1B" w:rsidRDefault="00F61B81" w:rsidP="00077C1B">
      <w:pPr>
        <w:widowControl/>
        <w:spacing w:line="360" w:lineRule="auto"/>
        <w:ind w:firstLine="1440"/>
        <w:rPr>
          <w:rFonts w:eastAsiaTheme="minorHAnsi"/>
          <w:color w:val="000000"/>
          <w:sz w:val="26"/>
          <w:szCs w:val="26"/>
        </w:rPr>
      </w:pPr>
    </w:p>
    <w:p w14:paraId="2EDDC79F" w14:textId="3C3A1F28" w:rsidR="00F61B81" w:rsidRPr="00077C1B" w:rsidRDefault="00F61B81" w:rsidP="00077C1B">
      <w:pPr>
        <w:pStyle w:val="FootnoteText"/>
        <w:widowControl/>
        <w:spacing w:line="360" w:lineRule="auto"/>
        <w:ind w:firstLine="1440"/>
        <w:rPr>
          <w:sz w:val="26"/>
          <w:szCs w:val="26"/>
        </w:rPr>
      </w:pPr>
      <w:r w:rsidRPr="00077C1B">
        <w:rPr>
          <w:sz w:val="26"/>
          <w:szCs w:val="26"/>
        </w:rPr>
        <w:t xml:space="preserve">Although the Complainant avers that she is old and is in poor health, she failed to provide any explanation as to why she refused to participate in the hearing and </w:t>
      </w:r>
      <w:r w:rsidRPr="00077C1B">
        <w:rPr>
          <w:sz w:val="26"/>
          <w:szCs w:val="26"/>
        </w:rPr>
        <w:lastRenderedPageBreak/>
        <w:t xml:space="preserve">why she prematurely terminated the phone calls with the ALJ despite </w:t>
      </w:r>
      <w:r w:rsidR="00946000" w:rsidRPr="00077C1B">
        <w:rPr>
          <w:sz w:val="26"/>
          <w:szCs w:val="26"/>
        </w:rPr>
        <w:t>the ALJ’s</w:t>
      </w:r>
      <w:r w:rsidRPr="00077C1B">
        <w:rPr>
          <w:sz w:val="26"/>
          <w:szCs w:val="26"/>
        </w:rPr>
        <w:t xml:space="preserve"> repeated attempts to warn her that her failure to participate in the hearing would result in the dismissal of the case.  The Complainant also failed to explain why she did not request a continuance or why she did not call the ALJ after the hearing to explain her decision not to participate in the hearing.  In addition, the Complainant failed to provide any evidence to support her claim that she has poor health conditions.</w:t>
      </w:r>
    </w:p>
    <w:p w14:paraId="0D3FF89B" w14:textId="77777777" w:rsidR="00F61B81" w:rsidRPr="00077C1B" w:rsidRDefault="00F61B81" w:rsidP="00077C1B">
      <w:pPr>
        <w:pStyle w:val="FootnoteText"/>
        <w:widowControl/>
        <w:spacing w:line="360" w:lineRule="auto"/>
        <w:ind w:firstLine="1440"/>
        <w:rPr>
          <w:sz w:val="26"/>
          <w:szCs w:val="26"/>
        </w:rPr>
      </w:pPr>
    </w:p>
    <w:p w14:paraId="5E78F691" w14:textId="77777777" w:rsidR="00F61B81" w:rsidRPr="00077C1B" w:rsidRDefault="00F61B81" w:rsidP="00077C1B">
      <w:pPr>
        <w:widowControl/>
        <w:spacing w:line="360" w:lineRule="auto"/>
        <w:ind w:firstLine="1440"/>
        <w:rPr>
          <w:sz w:val="26"/>
          <w:szCs w:val="26"/>
        </w:rPr>
      </w:pPr>
      <w:r w:rsidRPr="00077C1B">
        <w:rPr>
          <w:sz w:val="26"/>
          <w:szCs w:val="26"/>
        </w:rPr>
        <w:t xml:space="preserve">In this case, the Complainant never disputed that she received notice of the hearing.  As such, the ALJ properly ruled that because the Hearing Notices were sent to the Complainant by first class mail at the address on her Complaint and were not returned to the Commission, there is a presumption that the documents were received by the Complainant.  </w:t>
      </w:r>
      <w:r w:rsidRPr="00077C1B">
        <w:rPr>
          <w:i/>
          <w:sz w:val="26"/>
          <w:szCs w:val="26"/>
        </w:rPr>
        <w:t>See</w:t>
      </w:r>
      <w:r w:rsidRPr="00077C1B">
        <w:rPr>
          <w:sz w:val="26"/>
          <w:szCs w:val="26"/>
        </w:rPr>
        <w:t xml:space="preserve">, </w:t>
      </w:r>
      <w:r w:rsidRPr="00077C1B">
        <w:rPr>
          <w:i/>
          <w:sz w:val="26"/>
          <w:szCs w:val="26"/>
        </w:rPr>
        <w:t>Berkowitz, supra</w:t>
      </w:r>
      <w:r w:rsidRPr="00077C1B">
        <w:rPr>
          <w:sz w:val="26"/>
          <w:szCs w:val="26"/>
        </w:rPr>
        <w:t xml:space="preserve">. </w:t>
      </w:r>
    </w:p>
    <w:p w14:paraId="31311E34" w14:textId="21F566E4" w:rsidR="006E40B0" w:rsidRPr="00077C1B" w:rsidRDefault="00F61B81" w:rsidP="00077C1B">
      <w:pPr>
        <w:widowControl/>
        <w:spacing w:line="360" w:lineRule="auto"/>
        <w:ind w:firstLine="1440"/>
        <w:rPr>
          <w:rFonts w:eastAsiaTheme="minorHAnsi"/>
          <w:color w:val="000000"/>
          <w:sz w:val="26"/>
          <w:szCs w:val="26"/>
        </w:rPr>
      </w:pPr>
      <w:r w:rsidRPr="00077C1B">
        <w:rPr>
          <w:sz w:val="26"/>
          <w:szCs w:val="26"/>
        </w:rPr>
        <w:t xml:space="preserve"> </w:t>
      </w:r>
    </w:p>
    <w:p w14:paraId="376CF226" w14:textId="665E7211" w:rsidR="006E40B0" w:rsidRPr="00077C1B" w:rsidRDefault="006E40B0" w:rsidP="00077C1B">
      <w:pPr>
        <w:widowControl/>
        <w:spacing w:line="360" w:lineRule="auto"/>
        <w:ind w:firstLine="1440"/>
        <w:rPr>
          <w:rFonts w:eastAsiaTheme="minorHAnsi"/>
          <w:color w:val="000000"/>
          <w:sz w:val="26"/>
          <w:szCs w:val="26"/>
        </w:rPr>
      </w:pPr>
      <w:r w:rsidRPr="00077C1B">
        <w:rPr>
          <w:sz w:val="26"/>
          <w:szCs w:val="26"/>
        </w:rPr>
        <w:t xml:space="preserve">Based upon our review of the record, we find no reason to disturb ALJ Vero’s determination that Ms. Poe-Henderson’s failure to appear was unexcused, and </w:t>
      </w:r>
      <w:r w:rsidR="00E1048D" w:rsidRPr="00077C1B">
        <w:rPr>
          <w:sz w:val="26"/>
          <w:szCs w:val="26"/>
        </w:rPr>
        <w:t xml:space="preserve">is </w:t>
      </w:r>
      <w:r w:rsidRPr="00077C1B">
        <w:rPr>
          <w:sz w:val="26"/>
          <w:szCs w:val="26"/>
        </w:rPr>
        <w:t xml:space="preserve">therefore, </w:t>
      </w:r>
      <w:r w:rsidR="00A53556" w:rsidRPr="00077C1B">
        <w:rPr>
          <w:sz w:val="26"/>
          <w:szCs w:val="26"/>
        </w:rPr>
        <w:t xml:space="preserve">deemed to be a </w:t>
      </w:r>
      <w:r w:rsidRPr="00077C1B">
        <w:rPr>
          <w:sz w:val="26"/>
          <w:szCs w:val="26"/>
        </w:rPr>
        <w:t xml:space="preserve">waiver of the right to present evidence on the Complaint.  I.D. at 5-6.  </w:t>
      </w:r>
      <w:r w:rsidRPr="00077C1B">
        <w:rPr>
          <w:rFonts w:eastAsiaTheme="minorHAnsi"/>
          <w:color w:val="000000"/>
          <w:sz w:val="26"/>
          <w:szCs w:val="26"/>
        </w:rPr>
        <w:t xml:space="preserve">We note with approval that ALJ Vero acted to ensure that Ms. Poe-Henderson, as a </w:t>
      </w:r>
      <w:r w:rsidRPr="00077C1B">
        <w:rPr>
          <w:rFonts w:eastAsiaTheme="minorHAnsi"/>
          <w:i/>
          <w:iCs/>
          <w:color w:val="000000"/>
          <w:sz w:val="26"/>
          <w:szCs w:val="26"/>
        </w:rPr>
        <w:t>pro se</w:t>
      </w:r>
      <w:r w:rsidRPr="00077C1B">
        <w:rPr>
          <w:rFonts w:eastAsiaTheme="minorHAnsi"/>
          <w:color w:val="000000"/>
          <w:sz w:val="26"/>
          <w:szCs w:val="26"/>
        </w:rPr>
        <w:t xml:space="preserve"> litigant, was afforded due process</w:t>
      </w:r>
      <w:r w:rsidR="00DC7ACB" w:rsidRPr="00077C1B">
        <w:rPr>
          <w:rFonts w:eastAsiaTheme="minorHAnsi"/>
          <w:color w:val="000000"/>
          <w:sz w:val="26"/>
          <w:szCs w:val="26"/>
        </w:rPr>
        <w:t xml:space="preserve"> at every stage of the proceeding</w:t>
      </w:r>
      <w:r w:rsidRPr="00077C1B">
        <w:rPr>
          <w:rFonts w:eastAsiaTheme="minorHAnsi"/>
          <w:color w:val="000000"/>
          <w:sz w:val="26"/>
          <w:szCs w:val="26"/>
        </w:rPr>
        <w:t xml:space="preserve">.  </w:t>
      </w:r>
    </w:p>
    <w:p w14:paraId="694DD59F" w14:textId="18A5AA24" w:rsidR="00674F7F" w:rsidRPr="00077C1B" w:rsidRDefault="00674F7F" w:rsidP="00077C1B">
      <w:pPr>
        <w:widowControl/>
        <w:spacing w:line="360" w:lineRule="auto"/>
        <w:ind w:firstLine="1440"/>
        <w:rPr>
          <w:rFonts w:eastAsiaTheme="minorHAnsi"/>
          <w:color w:val="000000"/>
          <w:sz w:val="26"/>
          <w:szCs w:val="26"/>
          <w:highlight w:val="yellow"/>
        </w:rPr>
      </w:pPr>
    </w:p>
    <w:p w14:paraId="4247F808" w14:textId="60430370" w:rsidR="00F61B81" w:rsidRPr="00077C1B" w:rsidRDefault="00F61B81" w:rsidP="00077C1B">
      <w:pPr>
        <w:widowControl/>
        <w:spacing w:line="360" w:lineRule="auto"/>
        <w:ind w:firstLine="1440"/>
        <w:rPr>
          <w:rFonts w:eastAsiaTheme="minorHAnsi"/>
          <w:color w:val="000000"/>
          <w:sz w:val="26"/>
          <w:szCs w:val="26"/>
        </w:rPr>
      </w:pPr>
      <w:r w:rsidRPr="00077C1B">
        <w:rPr>
          <w:sz w:val="26"/>
          <w:szCs w:val="26"/>
        </w:rPr>
        <w:t>W</w:t>
      </w:r>
      <w:r w:rsidR="00A251D7" w:rsidRPr="00077C1B">
        <w:rPr>
          <w:sz w:val="26"/>
          <w:szCs w:val="26"/>
        </w:rPr>
        <w:t xml:space="preserve">e note that </w:t>
      </w:r>
      <w:r w:rsidR="00094549" w:rsidRPr="00077C1B">
        <w:rPr>
          <w:sz w:val="26"/>
          <w:szCs w:val="26"/>
        </w:rPr>
        <w:t>the</w:t>
      </w:r>
      <w:r w:rsidR="000616F4" w:rsidRPr="00077C1B">
        <w:rPr>
          <w:sz w:val="26"/>
          <w:szCs w:val="26"/>
        </w:rPr>
        <w:t xml:space="preserve"> </w:t>
      </w:r>
      <w:r w:rsidR="00430F39" w:rsidRPr="00077C1B">
        <w:rPr>
          <w:sz w:val="26"/>
          <w:szCs w:val="26"/>
        </w:rPr>
        <w:t xml:space="preserve">Petition </w:t>
      </w:r>
      <w:r w:rsidR="000616F4" w:rsidRPr="00077C1B">
        <w:rPr>
          <w:sz w:val="26"/>
          <w:szCs w:val="26"/>
        </w:rPr>
        <w:t>did not present any reason</w:t>
      </w:r>
      <w:r w:rsidR="00D670DD" w:rsidRPr="00077C1B">
        <w:rPr>
          <w:sz w:val="26"/>
          <w:szCs w:val="26"/>
        </w:rPr>
        <w:t xml:space="preserve"> </w:t>
      </w:r>
      <w:r w:rsidR="000616F4" w:rsidRPr="00077C1B">
        <w:rPr>
          <w:sz w:val="26"/>
          <w:szCs w:val="26"/>
        </w:rPr>
        <w:t xml:space="preserve">why </w:t>
      </w:r>
      <w:r w:rsidR="00711B8C" w:rsidRPr="00077C1B">
        <w:rPr>
          <w:sz w:val="26"/>
          <w:szCs w:val="26"/>
        </w:rPr>
        <w:t xml:space="preserve">the </w:t>
      </w:r>
      <w:r w:rsidR="003E61CA" w:rsidRPr="00077C1B">
        <w:rPr>
          <w:sz w:val="26"/>
          <w:szCs w:val="26"/>
        </w:rPr>
        <w:t xml:space="preserve">Petitioner </w:t>
      </w:r>
      <w:r w:rsidR="000616F4" w:rsidRPr="00077C1B">
        <w:rPr>
          <w:sz w:val="26"/>
          <w:szCs w:val="26"/>
        </w:rPr>
        <w:t xml:space="preserve">failed to </w:t>
      </w:r>
      <w:r w:rsidR="00094549" w:rsidRPr="00077C1B">
        <w:rPr>
          <w:sz w:val="26"/>
          <w:szCs w:val="26"/>
        </w:rPr>
        <w:t xml:space="preserve">participate in the </w:t>
      </w:r>
      <w:r w:rsidR="003E61CA" w:rsidRPr="00077C1B">
        <w:rPr>
          <w:sz w:val="26"/>
          <w:szCs w:val="26"/>
        </w:rPr>
        <w:t xml:space="preserve">scheduled evidentiary </w:t>
      </w:r>
      <w:r w:rsidR="000616F4" w:rsidRPr="00077C1B">
        <w:rPr>
          <w:sz w:val="26"/>
          <w:szCs w:val="26"/>
        </w:rPr>
        <w:t xml:space="preserve">hearing </w:t>
      </w:r>
      <w:r w:rsidR="000616F4" w:rsidRPr="00077C1B">
        <w:rPr>
          <w:i/>
          <w:iCs/>
          <w:sz w:val="26"/>
          <w:szCs w:val="26"/>
        </w:rPr>
        <w:t>via</w:t>
      </w:r>
      <w:r w:rsidR="000616F4" w:rsidRPr="00077C1B">
        <w:rPr>
          <w:sz w:val="26"/>
          <w:szCs w:val="26"/>
        </w:rPr>
        <w:t xml:space="preserve"> telephone</w:t>
      </w:r>
      <w:r w:rsidR="004648A7" w:rsidRPr="00077C1B">
        <w:rPr>
          <w:sz w:val="26"/>
          <w:szCs w:val="26"/>
        </w:rPr>
        <w:t>.</w:t>
      </w:r>
      <w:r w:rsidR="00094549" w:rsidRPr="00077C1B">
        <w:rPr>
          <w:sz w:val="26"/>
          <w:szCs w:val="26"/>
        </w:rPr>
        <w:t xml:space="preserve">  </w:t>
      </w:r>
      <w:r w:rsidR="00094549" w:rsidRPr="00077C1B">
        <w:rPr>
          <w:i/>
          <w:iCs/>
          <w:sz w:val="26"/>
          <w:szCs w:val="26"/>
        </w:rPr>
        <w:t>See</w:t>
      </w:r>
      <w:r w:rsidR="00094549" w:rsidRPr="00077C1B">
        <w:rPr>
          <w:sz w:val="26"/>
          <w:szCs w:val="26"/>
        </w:rPr>
        <w:t xml:space="preserve"> Petition 1-3.</w:t>
      </w:r>
      <w:r w:rsidR="004648A7" w:rsidRPr="00077C1B">
        <w:rPr>
          <w:sz w:val="26"/>
          <w:szCs w:val="26"/>
        </w:rPr>
        <w:t xml:space="preserve"> </w:t>
      </w:r>
      <w:r w:rsidR="002E4A9E" w:rsidRPr="00077C1B">
        <w:rPr>
          <w:sz w:val="26"/>
          <w:szCs w:val="26"/>
        </w:rPr>
        <w:t xml:space="preserve"> </w:t>
      </w:r>
      <w:r w:rsidR="000616F4" w:rsidRPr="00077C1B">
        <w:rPr>
          <w:sz w:val="26"/>
          <w:szCs w:val="26"/>
        </w:rPr>
        <w:t xml:space="preserve">Thus, </w:t>
      </w:r>
      <w:r w:rsidR="000616F4" w:rsidRPr="00077C1B">
        <w:rPr>
          <w:rFonts w:eastAsiaTheme="minorHAnsi"/>
          <w:color w:val="000000"/>
          <w:sz w:val="26"/>
          <w:szCs w:val="26"/>
        </w:rPr>
        <w:t xml:space="preserve">the </w:t>
      </w:r>
      <w:r w:rsidR="00711B8C" w:rsidRPr="00077C1B">
        <w:rPr>
          <w:rFonts w:eastAsiaTheme="minorHAnsi"/>
          <w:color w:val="000000"/>
          <w:sz w:val="26"/>
          <w:szCs w:val="26"/>
        </w:rPr>
        <w:t xml:space="preserve">Petitioner </w:t>
      </w:r>
      <w:r w:rsidR="000616F4" w:rsidRPr="00077C1B">
        <w:rPr>
          <w:rFonts w:eastAsiaTheme="minorHAnsi"/>
          <w:color w:val="000000"/>
          <w:sz w:val="26"/>
          <w:szCs w:val="26"/>
        </w:rPr>
        <w:t>ha</w:t>
      </w:r>
      <w:r w:rsidR="004648A7" w:rsidRPr="00077C1B">
        <w:rPr>
          <w:rFonts w:eastAsiaTheme="minorHAnsi"/>
          <w:color w:val="000000"/>
          <w:sz w:val="26"/>
          <w:szCs w:val="26"/>
        </w:rPr>
        <w:t>s</w:t>
      </w:r>
      <w:r w:rsidR="000616F4" w:rsidRPr="00077C1B">
        <w:rPr>
          <w:rFonts w:eastAsiaTheme="minorHAnsi"/>
          <w:color w:val="000000"/>
          <w:sz w:val="26"/>
          <w:szCs w:val="26"/>
        </w:rPr>
        <w:t xml:space="preserve"> presented no reason for our consideration to conclude that the Complainant</w:t>
      </w:r>
      <w:r w:rsidR="008C7941" w:rsidRPr="00077C1B">
        <w:rPr>
          <w:rFonts w:eastAsiaTheme="minorHAnsi"/>
          <w:color w:val="000000"/>
          <w:sz w:val="26"/>
          <w:szCs w:val="26"/>
        </w:rPr>
        <w:t>’</w:t>
      </w:r>
      <w:r w:rsidR="004648A7" w:rsidRPr="00077C1B">
        <w:rPr>
          <w:rFonts w:eastAsiaTheme="minorHAnsi"/>
          <w:color w:val="000000"/>
          <w:sz w:val="26"/>
          <w:szCs w:val="26"/>
        </w:rPr>
        <w:t>s</w:t>
      </w:r>
      <w:r w:rsidR="000616F4" w:rsidRPr="00077C1B">
        <w:rPr>
          <w:rFonts w:eastAsiaTheme="minorHAnsi"/>
          <w:color w:val="000000"/>
          <w:sz w:val="26"/>
          <w:szCs w:val="26"/>
        </w:rPr>
        <w:t xml:space="preserve"> </w:t>
      </w:r>
      <w:r w:rsidR="00094549" w:rsidRPr="00077C1B">
        <w:rPr>
          <w:rFonts w:eastAsiaTheme="minorHAnsi"/>
          <w:color w:val="000000"/>
          <w:sz w:val="26"/>
          <w:szCs w:val="26"/>
        </w:rPr>
        <w:t xml:space="preserve">failure to participate </w:t>
      </w:r>
      <w:r w:rsidR="000616F4" w:rsidRPr="00077C1B">
        <w:rPr>
          <w:rFonts w:eastAsiaTheme="minorHAnsi"/>
          <w:i/>
          <w:iCs/>
          <w:color w:val="000000"/>
          <w:sz w:val="26"/>
          <w:szCs w:val="26"/>
        </w:rPr>
        <w:t>via</w:t>
      </w:r>
      <w:r w:rsidR="000616F4" w:rsidRPr="00077C1B">
        <w:rPr>
          <w:rFonts w:eastAsiaTheme="minorHAnsi"/>
          <w:color w:val="000000"/>
          <w:sz w:val="26"/>
          <w:szCs w:val="26"/>
        </w:rPr>
        <w:t xml:space="preserve"> telephone was </w:t>
      </w:r>
      <w:r w:rsidR="00094549" w:rsidRPr="00077C1B">
        <w:rPr>
          <w:rFonts w:eastAsiaTheme="minorHAnsi"/>
          <w:color w:val="000000"/>
          <w:sz w:val="26"/>
          <w:szCs w:val="26"/>
        </w:rPr>
        <w:t>excusable</w:t>
      </w:r>
      <w:r w:rsidR="000616F4" w:rsidRPr="00077C1B">
        <w:rPr>
          <w:rFonts w:eastAsiaTheme="minorHAnsi"/>
          <w:color w:val="000000"/>
          <w:sz w:val="26"/>
          <w:szCs w:val="26"/>
        </w:rPr>
        <w:t>.</w:t>
      </w:r>
      <w:r w:rsidR="000616F4" w:rsidRPr="00077C1B">
        <w:rPr>
          <w:sz w:val="26"/>
          <w:szCs w:val="26"/>
        </w:rPr>
        <w:t xml:space="preserve">  </w:t>
      </w:r>
      <w:r w:rsidR="00094549" w:rsidRPr="00077C1B">
        <w:rPr>
          <w:sz w:val="26"/>
          <w:szCs w:val="26"/>
        </w:rPr>
        <w:t>W</w:t>
      </w:r>
      <w:r w:rsidR="000616F4" w:rsidRPr="00077C1B">
        <w:rPr>
          <w:sz w:val="26"/>
          <w:szCs w:val="26"/>
        </w:rPr>
        <w:t xml:space="preserve">e are left to conclude that </w:t>
      </w:r>
      <w:r w:rsidR="000616F4" w:rsidRPr="00077C1B">
        <w:rPr>
          <w:rFonts w:eastAsiaTheme="minorHAnsi"/>
          <w:color w:val="000000"/>
          <w:sz w:val="26"/>
          <w:szCs w:val="26"/>
        </w:rPr>
        <w:t xml:space="preserve">the Complainant chose not to avail </w:t>
      </w:r>
      <w:r w:rsidR="004648A7" w:rsidRPr="00077C1B">
        <w:rPr>
          <w:rFonts w:eastAsiaTheme="minorHAnsi"/>
          <w:color w:val="000000"/>
          <w:sz w:val="26"/>
          <w:szCs w:val="26"/>
        </w:rPr>
        <w:t xml:space="preserve">herself of the opportunity to </w:t>
      </w:r>
      <w:r w:rsidR="00094549" w:rsidRPr="00077C1B">
        <w:rPr>
          <w:rFonts w:eastAsiaTheme="minorHAnsi"/>
          <w:color w:val="000000"/>
          <w:sz w:val="26"/>
          <w:szCs w:val="26"/>
        </w:rPr>
        <w:t xml:space="preserve">participate </w:t>
      </w:r>
      <w:r w:rsidR="004648A7" w:rsidRPr="00077C1B">
        <w:rPr>
          <w:rFonts w:eastAsiaTheme="minorHAnsi"/>
          <w:color w:val="000000"/>
          <w:sz w:val="26"/>
          <w:szCs w:val="26"/>
        </w:rPr>
        <w:t>and present evidence on the Complaint, and ther</w:t>
      </w:r>
      <w:r w:rsidR="003E61CA" w:rsidRPr="00077C1B">
        <w:rPr>
          <w:rFonts w:eastAsiaTheme="minorHAnsi"/>
          <w:color w:val="000000"/>
          <w:sz w:val="26"/>
          <w:szCs w:val="26"/>
        </w:rPr>
        <w:t>eby</w:t>
      </w:r>
      <w:r w:rsidR="004648A7" w:rsidRPr="00077C1B">
        <w:rPr>
          <w:rFonts w:eastAsiaTheme="minorHAnsi"/>
          <w:color w:val="000000"/>
          <w:sz w:val="26"/>
          <w:szCs w:val="26"/>
        </w:rPr>
        <w:t xml:space="preserve"> waived all rights to do so</w:t>
      </w:r>
      <w:r w:rsidR="00094549" w:rsidRPr="00077C1B">
        <w:rPr>
          <w:rFonts w:eastAsiaTheme="minorHAnsi"/>
          <w:color w:val="000000"/>
          <w:sz w:val="26"/>
          <w:szCs w:val="26"/>
        </w:rPr>
        <w:t xml:space="preserve">, consistent with </w:t>
      </w:r>
      <w:r w:rsidR="00094549" w:rsidRPr="00077C1B">
        <w:rPr>
          <w:color w:val="000000" w:themeColor="text1"/>
          <w:sz w:val="26"/>
          <w:szCs w:val="26"/>
        </w:rPr>
        <w:t>66 Pa. C.S. § 332(f) and 52 Pa. Code § 5.245(a)-(b).</w:t>
      </w:r>
      <w:r w:rsidR="004648A7" w:rsidRPr="00077C1B">
        <w:rPr>
          <w:rFonts w:eastAsiaTheme="minorHAnsi"/>
          <w:color w:val="000000"/>
          <w:sz w:val="26"/>
          <w:szCs w:val="26"/>
        </w:rPr>
        <w:t xml:space="preserve"> </w:t>
      </w:r>
    </w:p>
    <w:p w14:paraId="74E56B44" w14:textId="77777777" w:rsidR="00F61B81" w:rsidRPr="00077C1B" w:rsidRDefault="00F61B81" w:rsidP="00077C1B">
      <w:pPr>
        <w:widowControl/>
        <w:spacing w:line="360" w:lineRule="auto"/>
        <w:ind w:firstLine="1440"/>
        <w:rPr>
          <w:rFonts w:eastAsiaTheme="minorHAnsi"/>
          <w:color w:val="000000"/>
          <w:sz w:val="26"/>
          <w:szCs w:val="26"/>
        </w:rPr>
      </w:pPr>
    </w:p>
    <w:p w14:paraId="6100F744" w14:textId="5CD9EB98" w:rsidR="00F61B81" w:rsidRDefault="00F61B81" w:rsidP="00077C1B">
      <w:pPr>
        <w:widowControl/>
        <w:spacing w:line="360" w:lineRule="auto"/>
        <w:ind w:firstLine="1440"/>
        <w:rPr>
          <w:sz w:val="26"/>
          <w:szCs w:val="26"/>
        </w:rPr>
      </w:pPr>
      <w:r w:rsidRPr="00077C1B">
        <w:rPr>
          <w:sz w:val="26"/>
          <w:szCs w:val="26"/>
        </w:rPr>
        <w:t xml:space="preserve">Finally, out of concern for the waste of the Commission’s and the respondents’ time and resources, on many occasions, we have dismissed </w:t>
      </w:r>
      <w:r w:rsidRPr="00077C1B">
        <w:rPr>
          <w:i/>
          <w:sz w:val="26"/>
          <w:szCs w:val="26"/>
        </w:rPr>
        <w:t>pro se</w:t>
      </w:r>
      <w:r w:rsidRPr="00077C1B">
        <w:rPr>
          <w:sz w:val="26"/>
          <w:szCs w:val="26"/>
        </w:rPr>
        <w:t xml:space="preserve"> </w:t>
      </w:r>
      <w:r w:rsidRPr="00077C1B">
        <w:rPr>
          <w:sz w:val="26"/>
          <w:szCs w:val="26"/>
        </w:rPr>
        <w:lastRenderedPageBreak/>
        <w:t xml:space="preserve">complaints, with prejudice, for failure to appear at a hearing.  </w:t>
      </w:r>
      <w:r w:rsidRPr="00077C1B">
        <w:rPr>
          <w:i/>
          <w:sz w:val="26"/>
          <w:szCs w:val="26"/>
        </w:rPr>
        <w:t>See e.g. Marilyn Day v. PECO Energy Company</w:t>
      </w:r>
      <w:r w:rsidRPr="00077C1B">
        <w:rPr>
          <w:sz w:val="26"/>
          <w:szCs w:val="26"/>
        </w:rPr>
        <w:t xml:space="preserve">, Docket No. </w:t>
      </w:r>
      <w:r w:rsidR="00262C10">
        <w:rPr>
          <w:sz w:val="26"/>
          <w:szCs w:val="26"/>
        </w:rPr>
        <w:t>C-</w:t>
      </w:r>
      <w:r w:rsidRPr="00077C1B">
        <w:rPr>
          <w:sz w:val="26"/>
          <w:szCs w:val="26"/>
        </w:rPr>
        <w:t>2010-2181515 (Order entered June 10, 2011); and</w:t>
      </w:r>
      <w:r w:rsidRPr="00077C1B">
        <w:rPr>
          <w:i/>
          <w:sz w:val="26"/>
          <w:szCs w:val="26"/>
        </w:rPr>
        <w:t xml:space="preserve"> Patricia Geary v. Verizon Pennsylvania, Inc.</w:t>
      </w:r>
      <w:r w:rsidRPr="00077C1B">
        <w:rPr>
          <w:sz w:val="26"/>
          <w:szCs w:val="26"/>
        </w:rPr>
        <w:t xml:space="preserve">, Docket No. C-2009-2118625 (Order entered September 16, 2010).  However, we have also declined to dismiss complaints, with prejudice, if the complainants made good faith attempts to attend their hearings on time.  </w:t>
      </w:r>
      <w:r w:rsidRPr="00077C1B">
        <w:rPr>
          <w:i/>
          <w:sz w:val="26"/>
          <w:szCs w:val="26"/>
        </w:rPr>
        <w:t xml:space="preserve">See e.g. </w:t>
      </w:r>
      <w:proofErr w:type="spellStart"/>
      <w:r w:rsidRPr="00077C1B">
        <w:rPr>
          <w:i/>
          <w:sz w:val="26"/>
          <w:szCs w:val="26"/>
        </w:rPr>
        <w:t>Yomari</w:t>
      </w:r>
      <w:proofErr w:type="spellEnd"/>
      <w:r w:rsidRPr="00077C1B">
        <w:rPr>
          <w:i/>
          <w:sz w:val="26"/>
          <w:szCs w:val="26"/>
        </w:rPr>
        <w:t xml:space="preserve"> Then v. Philadelphia Gas Works</w:t>
      </w:r>
      <w:r w:rsidRPr="00077C1B">
        <w:rPr>
          <w:sz w:val="26"/>
          <w:szCs w:val="26"/>
        </w:rPr>
        <w:t xml:space="preserve">, Docket No. F-2012-2318264 (Order entered June 13, 2012); </w:t>
      </w:r>
      <w:proofErr w:type="spellStart"/>
      <w:r w:rsidRPr="00077C1B">
        <w:rPr>
          <w:i/>
          <w:sz w:val="26"/>
          <w:szCs w:val="26"/>
        </w:rPr>
        <w:t>Windell</w:t>
      </w:r>
      <w:proofErr w:type="spellEnd"/>
      <w:r w:rsidRPr="00077C1B">
        <w:rPr>
          <w:i/>
          <w:sz w:val="26"/>
          <w:szCs w:val="26"/>
        </w:rPr>
        <w:t xml:space="preserve"> C. Wiggins v. PECO Energy Company</w:t>
      </w:r>
      <w:r w:rsidRPr="00077C1B">
        <w:rPr>
          <w:sz w:val="26"/>
          <w:szCs w:val="26"/>
        </w:rPr>
        <w:t>, Docket</w:t>
      </w:r>
      <w:r w:rsidR="00D87F1F">
        <w:rPr>
          <w:sz w:val="26"/>
          <w:szCs w:val="26"/>
        </w:rPr>
        <w:t> </w:t>
      </w:r>
      <w:r w:rsidRPr="00077C1B">
        <w:rPr>
          <w:sz w:val="26"/>
          <w:szCs w:val="26"/>
        </w:rPr>
        <w:t xml:space="preserve">No. C-2010-2190335 (Order entered October 27, 2011) </w:t>
      </w:r>
      <w:r w:rsidRPr="00077C1B">
        <w:rPr>
          <w:i/>
          <w:sz w:val="26"/>
          <w:szCs w:val="26"/>
        </w:rPr>
        <w:t>(Wiggins)</w:t>
      </w:r>
      <w:r w:rsidRPr="00077C1B">
        <w:rPr>
          <w:sz w:val="26"/>
          <w:szCs w:val="26"/>
        </w:rPr>
        <w:t>; and</w:t>
      </w:r>
      <w:r w:rsidRPr="00077C1B">
        <w:rPr>
          <w:i/>
          <w:sz w:val="26"/>
          <w:szCs w:val="26"/>
        </w:rPr>
        <w:t xml:space="preserve"> Edward</w:t>
      </w:r>
      <w:r w:rsidR="00C60DD0">
        <w:rPr>
          <w:i/>
          <w:sz w:val="26"/>
          <w:szCs w:val="26"/>
        </w:rPr>
        <w:t> </w:t>
      </w:r>
      <w:r w:rsidRPr="00077C1B">
        <w:rPr>
          <w:i/>
          <w:sz w:val="26"/>
          <w:szCs w:val="26"/>
        </w:rPr>
        <w:t xml:space="preserve">B. </w:t>
      </w:r>
      <w:proofErr w:type="spellStart"/>
      <w:r w:rsidRPr="00077C1B">
        <w:rPr>
          <w:i/>
          <w:sz w:val="26"/>
          <w:szCs w:val="26"/>
        </w:rPr>
        <w:t>Ference</w:t>
      </w:r>
      <w:proofErr w:type="spellEnd"/>
      <w:r w:rsidRPr="00077C1B">
        <w:rPr>
          <w:i/>
          <w:sz w:val="26"/>
          <w:szCs w:val="26"/>
        </w:rPr>
        <w:t xml:space="preserve"> v. Equitable Gas Company</w:t>
      </w:r>
      <w:r w:rsidRPr="00077C1B">
        <w:rPr>
          <w:sz w:val="26"/>
          <w:szCs w:val="26"/>
        </w:rPr>
        <w:t>, Docket No. C-20015840 (Order entered February</w:t>
      </w:r>
      <w:r w:rsidR="00D87F1F">
        <w:rPr>
          <w:sz w:val="26"/>
          <w:szCs w:val="26"/>
        </w:rPr>
        <w:t> </w:t>
      </w:r>
      <w:r w:rsidRPr="00077C1B">
        <w:rPr>
          <w:sz w:val="26"/>
          <w:szCs w:val="26"/>
        </w:rPr>
        <w:t>12, 2002).</w:t>
      </w:r>
    </w:p>
    <w:p w14:paraId="6A8EFA7C" w14:textId="77777777" w:rsidR="00D87F1F" w:rsidRPr="00077C1B" w:rsidRDefault="00D87F1F" w:rsidP="00077C1B">
      <w:pPr>
        <w:widowControl/>
        <w:spacing w:line="360" w:lineRule="auto"/>
        <w:ind w:firstLine="1440"/>
        <w:rPr>
          <w:sz w:val="26"/>
          <w:szCs w:val="26"/>
        </w:rPr>
      </w:pPr>
    </w:p>
    <w:p w14:paraId="4750B1EA" w14:textId="0EA8D2C9" w:rsidR="000616F4" w:rsidRPr="00077C1B" w:rsidRDefault="00F61B81" w:rsidP="00077C1B">
      <w:pPr>
        <w:widowControl/>
        <w:spacing w:line="360" w:lineRule="auto"/>
        <w:ind w:firstLine="1440"/>
        <w:rPr>
          <w:sz w:val="26"/>
          <w:szCs w:val="26"/>
        </w:rPr>
      </w:pPr>
      <w:r w:rsidRPr="00077C1B">
        <w:rPr>
          <w:sz w:val="26"/>
          <w:szCs w:val="26"/>
        </w:rPr>
        <w:t xml:space="preserve">Consistent with our prior decisions, we agree with the ALJ’s Initial Decision that dismisses the Complaint, with prejudice, due to the Complainant’s failure to appear for the scheduled hearing and prosecute the Complaint.  We recognize that the dismissal of the Complaint, with prejudice, may appear to be a severe sanction on the Complainant.  Nevertheless, our </w:t>
      </w:r>
      <w:r w:rsidR="005A5048" w:rsidRPr="00077C1B">
        <w:rPr>
          <w:sz w:val="26"/>
          <w:szCs w:val="26"/>
        </w:rPr>
        <w:t>R</w:t>
      </w:r>
      <w:r w:rsidRPr="00077C1B">
        <w:rPr>
          <w:sz w:val="26"/>
          <w:szCs w:val="26"/>
        </w:rPr>
        <w:t xml:space="preserve">egulations permit the imposition of sanctions where a party, after being notified, fails to appear or to be represented at a scheduled conference or hearing.  52 Pa. Code § 5.245.  The Hearing Notices clearly gave the </w:t>
      </w:r>
      <w:r w:rsidR="005A5048" w:rsidRPr="00077C1B">
        <w:rPr>
          <w:sz w:val="26"/>
          <w:szCs w:val="26"/>
        </w:rPr>
        <w:t>P</w:t>
      </w:r>
      <w:r w:rsidRPr="00077C1B">
        <w:rPr>
          <w:sz w:val="26"/>
          <w:szCs w:val="26"/>
        </w:rPr>
        <w:t xml:space="preserve">arties notice of the date and time of the hearing and the possibility of sanctions if a party failed to appear.  Under the facts of this specific case, we conclude that in light </w:t>
      </w:r>
      <w:r w:rsidR="006B2488" w:rsidRPr="00077C1B">
        <w:rPr>
          <w:sz w:val="26"/>
          <w:szCs w:val="26"/>
        </w:rPr>
        <w:t xml:space="preserve">of </w:t>
      </w:r>
      <w:r w:rsidRPr="00077C1B">
        <w:rPr>
          <w:sz w:val="26"/>
          <w:szCs w:val="26"/>
        </w:rPr>
        <w:t xml:space="preserve">the Complainant’s failure to abide by the rules in the Hearing Notices and refusal to listen to the ALJ on the telephone calls made by the ALJ to her during the scheduled hearing, the appropriate circumstances do not exist for us to grant the Complainant’s Petition and disturb the </w:t>
      </w:r>
      <w:r w:rsidRPr="00077C1B">
        <w:rPr>
          <w:sz w:val="26"/>
          <w:szCs w:val="26"/>
        </w:rPr>
        <w:lastRenderedPageBreak/>
        <w:t xml:space="preserve">Commission’s </w:t>
      </w:r>
      <w:r w:rsidRPr="00077C1B">
        <w:rPr>
          <w:i/>
          <w:sz w:val="26"/>
          <w:szCs w:val="26"/>
        </w:rPr>
        <w:t>December 2019 Final Order</w:t>
      </w:r>
      <w:r w:rsidRPr="00077C1B">
        <w:rPr>
          <w:sz w:val="26"/>
          <w:szCs w:val="26"/>
        </w:rPr>
        <w:t>.</w:t>
      </w:r>
      <w:r w:rsidRPr="00077C1B">
        <w:rPr>
          <w:rStyle w:val="FootnoteReference"/>
          <w:sz w:val="26"/>
          <w:szCs w:val="26"/>
        </w:rPr>
        <w:footnoteReference w:id="9"/>
      </w:r>
      <w:r w:rsidRPr="00077C1B">
        <w:rPr>
          <w:sz w:val="26"/>
          <w:szCs w:val="26"/>
        </w:rPr>
        <w:t xml:space="preserve">  </w:t>
      </w:r>
      <w:r w:rsidR="000616F4" w:rsidRPr="00077C1B">
        <w:rPr>
          <w:rFonts w:eastAsiaTheme="minorHAnsi"/>
          <w:color w:val="000000"/>
          <w:sz w:val="26"/>
          <w:szCs w:val="26"/>
        </w:rPr>
        <w:t xml:space="preserve">Therefore, we </w:t>
      </w:r>
      <w:r w:rsidR="002C67FD" w:rsidRPr="00077C1B">
        <w:rPr>
          <w:rFonts w:eastAsiaTheme="minorHAnsi"/>
          <w:color w:val="000000"/>
          <w:sz w:val="26"/>
          <w:szCs w:val="26"/>
        </w:rPr>
        <w:t xml:space="preserve">see no reason to disturb </w:t>
      </w:r>
      <w:r w:rsidR="000616F4" w:rsidRPr="00077C1B">
        <w:rPr>
          <w:rFonts w:eastAsiaTheme="minorHAnsi"/>
          <w:color w:val="000000"/>
          <w:sz w:val="26"/>
          <w:szCs w:val="26"/>
        </w:rPr>
        <w:t>the ALJ</w:t>
      </w:r>
      <w:r w:rsidR="002C67FD" w:rsidRPr="00077C1B">
        <w:rPr>
          <w:rFonts w:eastAsiaTheme="minorHAnsi"/>
          <w:color w:val="000000"/>
          <w:sz w:val="26"/>
          <w:szCs w:val="26"/>
        </w:rPr>
        <w:t xml:space="preserve">’s determination </w:t>
      </w:r>
      <w:r w:rsidR="000616F4" w:rsidRPr="00077C1B">
        <w:rPr>
          <w:rFonts w:eastAsiaTheme="minorHAnsi"/>
          <w:color w:val="000000"/>
          <w:sz w:val="26"/>
          <w:szCs w:val="26"/>
        </w:rPr>
        <w:t>that the Complainant</w:t>
      </w:r>
      <w:r w:rsidR="004648A7" w:rsidRPr="00077C1B">
        <w:rPr>
          <w:rFonts w:eastAsiaTheme="minorHAnsi"/>
          <w:color w:val="000000"/>
          <w:sz w:val="26"/>
          <w:szCs w:val="26"/>
        </w:rPr>
        <w:t xml:space="preserve">’s </w:t>
      </w:r>
      <w:r w:rsidR="00DC7ACB" w:rsidRPr="00077C1B">
        <w:rPr>
          <w:rFonts w:eastAsiaTheme="minorHAnsi"/>
          <w:color w:val="000000"/>
          <w:sz w:val="26"/>
          <w:szCs w:val="26"/>
        </w:rPr>
        <w:t xml:space="preserve">unexcused </w:t>
      </w:r>
      <w:r w:rsidR="004648A7" w:rsidRPr="00077C1B">
        <w:rPr>
          <w:rFonts w:eastAsiaTheme="minorHAnsi"/>
          <w:color w:val="000000"/>
          <w:sz w:val="26"/>
          <w:szCs w:val="26"/>
        </w:rPr>
        <w:t>failure to appea</w:t>
      </w:r>
      <w:r w:rsidR="00DC7ACB" w:rsidRPr="00077C1B">
        <w:rPr>
          <w:rFonts w:eastAsiaTheme="minorHAnsi"/>
          <w:color w:val="000000"/>
          <w:sz w:val="26"/>
          <w:szCs w:val="26"/>
        </w:rPr>
        <w:t xml:space="preserve">r </w:t>
      </w:r>
      <w:r w:rsidR="004648A7" w:rsidRPr="00077C1B">
        <w:rPr>
          <w:rFonts w:eastAsiaTheme="minorHAnsi"/>
          <w:color w:val="000000"/>
          <w:sz w:val="26"/>
          <w:szCs w:val="26"/>
        </w:rPr>
        <w:t>warranted dismissal of the Compl</w:t>
      </w:r>
      <w:r w:rsidR="00094549" w:rsidRPr="00077C1B">
        <w:rPr>
          <w:rFonts w:eastAsiaTheme="minorHAnsi"/>
          <w:color w:val="000000"/>
          <w:sz w:val="26"/>
          <w:szCs w:val="26"/>
        </w:rPr>
        <w:t>ai</w:t>
      </w:r>
      <w:r w:rsidR="004648A7" w:rsidRPr="00077C1B">
        <w:rPr>
          <w:rFonts w:eastAsiaTheme="minorHAnsi"/>
          <w:color w:val="000000"/>
          <w:sz w:val="26"/>
          <w:szCs w:val="26"/>
        </w:rPr>
        <w:t xml:space="preserve">nt with prejudice. </w:t>
      </w:r>
    </w:p>
    <w:p w14:paraId="21A7BCFD" w14:textId="77777777" w:rsidR="000616F4" w:rsidRPr="00077C1B" w:rsidRDefault="000616F4" w:rsidP="00077C1B">
      <w:pPr>
        <w:widowControl/>
        <w:autoSpaceDE w:val="0"/>
        <w:autoSpaceDN w:val="0"/>
        <w:adjustRightInd w:val="0"/>
        <w:spacing w:line="360" w:lineRule="auto"/>
        <w:ind w:firstLine="1440"/>
        <w:rPr>
          <w:rFonts w:eastAsiaTheme="minorHAnsi"/>
          <w:color w:val="000000"/>
          <w:sz w:val="26"/>
          <w:szCs w:val="26"/>
        </w:rPr>
      </w:pPr>
    </w:p>
    <w:p w14:paraId="5E89397F" w14:textId="28582EE7" w:rsidR="008B26D7" w:rsidRPr="00077C1B" w:rsidRDefault="00F41A6A" w:rsidP="00077C1B">
      <w:pPr>
        <w:widowControl/>
        <w:spacing w:line="360" w:lineRule="auto"/>
        <w:ind w:firstLine="1440"/>
        <w:rPr>
          <w:sz w:val="26"/>
          <w:szCs w:val="26"/>
        </w:rPr>
      </w:pPr>
      <w:r w:rsidRPr="00077C1B">
        <w:rPr>
          <w:sz w:val="26"/>
          <w:szCs w:val="26"/>
        </w:rPr>
        <w:t xml:space="preserve">Accordingly, for all the forgoing reasons, we </w:t>
      </w:r>
      <w:r w:rsidR="00BF7AC0" w:rsidRPr="00077C1B">
        <w:rPr>
          <w:sz w:val="26"/>
          <w:szCs w:val="26"/>
        </w:rPr>
        <w:t>shall</w:t>
      </w:r>
      <w:r w:rsidR="009C3A3E" w:rsidRPr="00077C1B">
        <w:rPr>
          <w:sz w:val="26"/>
          <w:szCs w:val="26"/>
        </w:rPr>
        <w:t xml:space="preserve"> deny the Petition for Re</w:t>
      </w:r>
      <w:r w:rsidR="00500EB2" w:rsidRPr="00077C1B">
        <w:rPr>
          <w:sz w:val="26"/>
          <w:szCs w:val="26"/>
        </w:rPr>
        <w:t>s</w:t>
      </w:r>
      <w:r w:rsidR="009C3A3E" w:rsidRPr="00077C1B">
        <w:rPr>
          <w:sz w:val="26"/>
          <w:szCs w:val="26"/>
        </w:rPr>
        <w:t xml:space="preserve">cission, </w:t>
      </w:r>
      <w:r w:rsidRPr="00077C1B">
        <w:rPr>
          <w:sz w:val="26"/>
          <w:szCs w:val="26"/>
        </w:rPr>
        <w:t xml:space="preserve">affirm the </w:t>
      </w:r>
      <w:r w:rsidR="00D741F0" w:rsidRPr="00077C1B">
        <w:rPr>
          <w:sz w:val="26"/>
          <w:szCs w:val="26"/>
        </w:rPr>
        <w:t xml:space="preserve">Commission’s </w:t>
      </w:r>
      <w:r w:rsidR="00D741F0" w:rsidRPr="00077C1B">
        <w:rPr>
          <w:i/>
          <w:iCs/>
          <w:sz w:val="26"/>
          <w:szCs w:val="26"/>
        </w:rPr>
        <w:t>December 2019 Final Order</w:t>
      </w:r>
      <w:r w:rsidR="00D741F0" w:rsidRPr="00077C1B">
        <w:rPr>
          <w:sz w:val="26"/>
          <w:szCs w:val="26"/>
        </w:rPr>
        <w:t xml:space="preserve"> </w:t>
      </w:r>
      <w:r w:rsidRPr="00077C1B">
        <w:rPr>
          <w:sz w:val="26"/>
          <w:szCs w:val="26"/>
        </w:rPr>
        <w:t>dismiss</w:t>
      </w:r>
      <w:r w:rsidR="00D741F0" w:rsidRPr="00077C1B">
        <w:rPr>
          <w:sz w:val="26"/>
          <w:szCs w:val="26"/>
        </w:rPr>
        <w:t>ing</w:t>
      </w:r>
      <w:r w:rsidR="00BF7AC0" w:rsidRPr="00077C1B">
        <w:rPr>
          <w:sz w:val="26"/>
          <w:szCs w:val="26"/>
        </w:rPr>
        <w:t xml:space="preserve"> </w:t>
      </w:r>
      <w:r w:rsidRPr="00077C1B">
        <w:rPr>
          <w:sz w:val="26"/>
          <w:szCs w:val="26"/>
        </w:rPr>
        <w:t>the Complaint</w:t>
      </w:r>
      <w:r w:rsidR="00BF7AC0" w:rsidRPr="00077C1B">
        <w:rPr>
          <w:sz w:val="26"/>
          <w:szCs w:val="26"/>
        </w:rPr>
        <w:t xml:space="preserve"> with prejudice</w:t>
      </w:r>
      <w:r w:rsidRPr="00077C1B">
        <w:rPr>
          <w:sz w:val="26"/>
          <w:szCs w:val="26"/>
        </w:rPr>
        <w:t xml:space="preserve">.  </w:t>
      </w:r>
      <w:r w:rsidR="00094549" w:rsidRPr="00077C1B">
        <w:rPr>
          <w:sz w:val="26"/>
          <w:szCs w:val="26"/>
        </w:rPr>
        <w:t xml:space="preserve">As discussed </w:t>
      </w:r>
      <w:r w:rsidR="00094549" w:rsidRPr="00077C1B">
        <w:rPr>
          <w:i/>
          <w:iCs/>
          <w:sz w:val="26"/>
          <w:szCs w:val="26"/>
        </w:rPr>
        <w:t>supra.</w:t>
      </w:r>
      <w:r w:rsidR="00094549" w:rsidRPr="00077C1B">
        <w:rPr>
          <w:sz w:val="26"/>
          <w:szCs w:val="26"/>
        </w:rPr>
        <w:t>, a</w:t>
      </w:r>
      <w:r w:rsidRPr="00077C1B">
        <w:rPr>
          <w:sz w:val="26"/>
          <w:szCs w:val="26"/>
        </w:rPr>
        <w:t xml:space="preserve"> dismissal </w:t>
      </w:r>
      <w:r w:rsidR="00BF7AC0" w:rsidRPr="00077C1B">
        <w:rPr>
          <w:sz w:val="26"/>
          <w:szCs w:val="26"/>
        </w:rPr>
        <w:t>“</w:t>
      </w:r>
      <w:r w:rsidRPr="00077C1B">
        <w:rPr>
          <w:sz w:val="26"/>
          <w:szCs w:val="26"/>
        </w:rPr>
        <w:t>with prejudice</w:t>
      </w:r>
      <w:r w:rsidR="00BF7AC0" w:rsidRPr="00077C1B">
        <w:rPr>
          <w:sz w:val="26"/>
          <w:szCs w:val="26"/>
        </w:rPr>
        <w:t>”</w:t>
      </w:r>
      <w:r w:rsidRPr="00077C1B">
        <w:rPr>
          <w:sz w:val="26"/>
          <w:szCs w:val="26"/>
        </w:rPr>
        <w:t xml:space="preserve"> means that </w:t>
      </w:r>
      <w:r w:rsidR="00094549" w:rsidRPr="00077C1B">
        <w:rPr>
          <w:sz w:val="26"/>
          <w:szCs w:val="26"/>
        </w:rPr>
        <w:t xml:space="preserve">Ms. Poe-Henderson is </w:t>
      </w:r>
      <w:r w:rsidRPr="00077C1B">
        <w:rPr>
          <w:sz w:val="26"/>
          <w:szCs w:val="26"/>
        </w:rPr>
        <w:t xml:space="preserve">barred from filing </w:t>
      </w:r>
      <w:r w:rsidR="00D741F0" w:rsidRPr="00077C1B">
        <w:rPr>
          <w:sz w:val="26"/>
          <w:szCs w:val="26"/>
        </w:rPr>
        <w:t xml:space="preserve">a future </w:t>
      </w:r>
      <w:r w:rsidRPr="00077C1B">
        <w:rPr>
          <w:sz w:val="26"/>
          <w:szCs w:val="26"/>
        </w:rPr>
        <w:t>complain</w:t>
      </w:r>
      <w:r w:rsidR="00DC7ACB" w:rsidRPr="00077C1B">
        <w:rPr>
          <w:sz w:val="26"/>
          <w:szCs w:val="26"/>
        </w:rPr>
        <w:t>t</w:t>
      </w:r>
      <w:r w:rsidRPr="00077C1B">
        <w:rPr>
          <w:sz w:val="26"/>
          <w:szCs w:val="26"/>
        </w:rPr>
        <w:t xml:space="preserve"> with the Commission raising the same issues or claims </w:t>
      </w:r>
      <w:r w:rsidR="00D741F0" w:rsidRPr="00077C1B">
        <w:rPr>
          <w:sz w:val="26"/>
          <w:szCs w:val="26"/>
        </w:rPr>
        <w:t xml:space="preserve">arising under </w:t>
      </w:r>
      <w:r w:rsidRPr="00077C1B">
        <w:rPr>
          <w:sz w:val="26"/>
          <w:szCs w:val="26"/>
        </w:rPr>
        <w:t>the dismissed complaint.</w:t>
      </w:r>
    </w:p>
    <w:p w14:paraId="5DDB171D" w14:textId="77777777" w:rsidR="00822453" w:rsidRPr="00077C1B" w:rsidRDefault="00822453" w:rsidP="00077C1B">
      <w:pPr>
        <w:keepNext/>
        <w:keepLines/>
        <w:widowControl/>
        <w:spacing w:line="360" w:lineRule="auto"/>
        <w:rPr>
          <w:bCs/>
          <w:sz w:val="26"/>
          <w:szCs w:val="26"/>
        </w:rPr>
      </w:pPr>
    </w:p>
    <w:p w14:paraId="7DB1C06A" w14:textId="5E8A8FD6" w:rsidR="001F38B7" w:rsidRPr="00077C1B" w:rsidRDefault="00B76CFE" w:rsidP="00077C1B">
      <w:pPr>
        <w:keepNext/>
        <w:keepLines/>
        <w:widowControl/>
        <w:spacing w:line="360" w:lineRule="auto"/>
        <w:jc w:val="center"/>
        <w:outlineLvl w:val="0"/>
        <w:rPr>
          <w:b/>
          <w:sz w:val="26"/>
          <w:szCs w:val="26"/>
        </w:rPr>
      </w:pPr>
      <w:bookmarkStart w:id="11" w:name="_Toc42780248"/>
      <w:r w:rsidRPr="00077C1B">
        <w:rPr>
          <w:b/>
          <w:sz w:val="26"/>
          <w:szCs w:val="26"/>
        </w:rPr>
        <w:t>IV.</w:t>
      </w:r>
      <w:r w:rsidRPr="00077C1B">
        <w:rPr>
          <w:b/>
          <w:sz w:val="26"/>
          <w:szCs w:val="26"/>
        </w:rPr>
        <w:tab/>
      </w:r>
      <w:r w:rsidR="001F38B7" w:rsidRPr="00077C1B">
        <w:rPr>
          <w:b/>
          <w:sz w:val="26"/>
          <w:szCs w:val="26"/>
        </w:rPr>
        <w:t>Conclusion</w:t>
      </w:r>
      <w:bookmarkEnd w:id="11"/>
    </w:p>
    <w:p w14:paraId="272FA93B" w14:textId="77777777" w:rsidR="001F38B7" w:rsidRPr="00077C1B" w:rsidRDefault="001F38B7" w:rsidP="00077C1B">
      <w:pPr>
        <w:keepNext/>
        <w:keepLines/>
        <w:widowControl/>
        <w:spacing w:line="360" w:lineRule="auto"/>
        <w:ind w:firstLine="1440"/>
        <w:rPr>
          <w:sz w:val="26"/>
          <w:szCs w:val="26"/>
        </w:rPr>
      </w:pPr>
    </w:p>
    <w:p w14:paraId="6A7C06AF" w14:textId="070F039D" w:rsidR="001F38B7" w:rsidRPr="00077C1B" w:rsidRDefault="001F38B7" w:rsidP="00077C1B">
      <w:pPr>
        <w:widowControl/>
        <w:spacing w:line="360" w:lineRule="auto"/>
        <w:ind w:firstLine="1440"/>
        <w:rPr>
          <w:sz w:val="26"/>
          <w:szCs w:val="26"/>
        </w:rPr>
      </w:pPr>
      <w:r w:rsidRPr="00077C1B">
        <w:rPr>
          <w:sz w:val="26"/>
          <w:szCs w:val="26"/>
        </w:rPr>
        <w:t>Based upon our review of the record and the applicable law, we shall deny the</w:t>
      </w:r>
      <w:r w:rsidR="00DC7ACB" w:rsidRPr="00077C1B">
        <w:rPr>
          <w:sz w:val="26"/>
          <w:szCs w:val="26"/>
        </w:rPr>
        <w:t xml:space="preserve"> </w:t>
      </w:r>
      <w:r w:rsidR="009C3A3E" w:rsidRPr="00077C1B">
        <w:rPr>
          <w:sz w:val="26"/>
          <w:szCs w:val="26"/>
        </w:rPr>
        <w:t>Petition for Re</w:t>
      </w:r>
      <w:r w:rsidR="00500EB2" w:rsidRPr="00077C1B">
        <w:rPr>
          <w:sz w:val="26"/>
          <w:szCs w:val="26"/>
        </w:rPr>
        <w:t>s</w:t>
      </w:r>
      <w:r w:rsidR="009C3A3E" w:rsidRPr="00077C1B">
        <w:rPr>
          <w:sz w:val="26"/>
          <w:szCs w:val="26"/>
        </w:rPr>
        <w:t xml:space="preserve">cission </w:t>
      </w:r>
      <w:r w:rsidR="00F41A6A" w:rsidRPr="00077C1B">
        <w:rPr>
          <w:sz w:val="26"/>
          <w:szCs w:val="26"/>
        </w:rPr>
        <w:t>and</w:t>
      </w:r>
      <w:r w:rsidR="004648A7" w:rsidRPr="00077C1B">
        <w:rPr>
          <w:sz w:val="26"/>
          <w:szCs w:val="26"/>
        </w:rPr>
        <w:t xml:space="preserve"> affirm the </w:t>
      </w:r>
      <w:r w:rsidR="00D741F0" w:rsidRPr="00077C1B">
        <w:rPr>
          <w:sz w:val="26"/>
          <w:szCs w:val="26"/>
        </w:rPr>
        <w:t xml:space="preserve">Commission’s </w:t>
      </w:r>
      <w:r w:rsidR="004648A7" w:rsidRPr="00077C1B">
        <w:rPr>
          <w:i/>
          <w:iCs/>
          <w:sz w:val="26"/>
          <w:szCs w:val="26"/>
        </w:rPr>
        <w:t>December 2019 Final Order</w:t>
      </w:r>
      <w:r w:rsidRPr="00077C1B">
        <w:rPr>
          <w:i/>
          <w:iCs/>
          <w:sz w:val="26"/>
          <w:szCs w:val="26"/>
        </w:rPr>
        <w:t>,</w:t>
      </w:r>
      <w:r w:rsidRPr="00077C1B">
        <w:rPr>
          <w:sz w:val="26"/>
          <w:szCs w:val="26"/>
        </w:rPr>
        <w:t xml:space="preserve"> consistent with this Opinion and </w:t>
      </w:r>
      <w:proofErr w:type="gramStart"/>
      <w:r w:rsidRPr="00077C1B">
        <w:rPr>
          <w:sz w:val="26"/>
          <w:szCs w:val="26"/>
        </w:rPr>
        <w:t>Order;</w:t>
      </w:r>
      <w:proofErr w:type="gramEnd"/>
      <w:r w:rsidRPr="00077C1B">
        <w:rPr>
          <w:sz w:val="26"/>
          <w:szCs w:val="26"/>
        </w:rPr>
        <w:t xml:space="preserve"> </w:t>
      </w:r>
      <w:r w:rsidRPr="00077C1B">
        <w:rPr>
          <w:b/>
          <w:sz w:val="26"/>
          <w:szCs w:val="26"/>
        </w:rPr>
        <w:t>THEREFORE,</w:t>
      </w:r>
      <w:r w:rsidRPr="00077C1B">
        <w:rPr>
          <w:sz w:val="26"/>
          <w:szCs w:val="26"/>
        </w:rPr>
        <w:t xml:space="preserve"> </w:t>
      </w:r>
    </w:p>
    <w:p w14:paraId="33196801" w14:textId="77777777" w:rsidR="001F38B7" w:rsidRPr="00077C1B" w:rsidRDefault="001F38B7" w:rsidP="00077C1B">
      <w:pPr>
        <w:widowControl/>
        <w:rPr>
          <w:sz w:val="26"/>
          <w:szCs w:val="26"/>
        </w:rPr>
      </w:pPr>
    </w:p>
    <w:p w14:paraId="70B7AE93" w14:textId="08FE7F92" w:rsidR="001F38B7" w:rsidRPr="00077C1B" w:rsidRDefault="001F38B7" w:rsidP="00077C1B">
      <w:pPr>
        <w:keepNext/>
        <w:keepLines/>
        <w:widowControl/>
        <w:spacing w:line="360" w:lineRule="auto"/>
        <w:ind w:firstLine="1440"/>
        <w:rPr>
          <w:b/>
          <w:sz w:val="26"/>
          <w:szCs w:val="26"/>
        </w:rPr>
      </w:pPr>
      <w:r w:rsidRPr="00077C1B">
        <w:rPr>
          <w:b/>
          <w:sz w:val="26"/>
          <w:szCs w:val="26"/>
        </w:rPr>
        <w:lastRenderedPageBreak/>
        <w:t>IT IS ORDERED:</w:t>
      </w:r>
    </w:p>
    <w:p w14:paraId="2065B502" w14:textId="77777777" w:rsidR="00146CCB" w:rsidRPr="00077C1B" w:rsidRDefault="00146CCB" w:rsidP="00077C1B">
      <w:pPr>
        <w:keepNext/>
        <w:keepLines/>
        <w:widowControl/>
        <w:spacing w:line="360" w:lineRule="auto"/>
        <w:rPr>
          <w:sz w:val="26"/>
          <w:szCs w:val="26"/>
        </w:rPr>
      </w:pPr>
    </w:p>
    <w:p w14:paraId="78DDC2D9" w14:textId="7DAB19B8" w:rsidR="00146CCB" w:rsidRPr="00077C1B" w:rsidRDefault="00146CCB" w:rsidP="00077C1B">
      <w:pPr>
        <w:keepNext/>
        <w:keepLines/>
        <w:widowControl/>
        <w:numPr>
          <w:ilvl w:val="0"/>
          <w:numId w:val="5"/>
        </w:numPr>
        <w:tabs>
          <w:tab w:val="num" w:pos="0"/>
        </w:tabs>
        <w:spacing w:line="360" w:lineRule="auto"/>
        <w:ind w:left="0" w:firstLine="1440"/>
        <w:rPr>
          <w:sz w:val="26"/>
          <w:szCs w:val="26"/>
        </w:rPr>
      </w:pPr>
      <w:r w:rsidRPr="00077C1B">
        <w:rPr>
          <w:sz w:val="26"/>
          <w:szCs w:val="26"/>
        </w:rPr>
        <w:t xml:space="preserve">That the </w:t>
      </w:r>
      <w:r w:rsidR="009C3A3E" w:rsidRPr="00077C1B">
        <w:rPr>
          <w:sz w:val="26"/>
          <w:szCs w:val="26"/>
        </w:rPr>
        <w:t>Petition for Re</w:t>
      </w:r>
      <w:r w:rsidR="00E01C9B" w:rsidRPr="00077C1B">
        <w:rPr>
          <w:sz w:val="26"/>
          <w:szCs w:val="26"/>
        </w:rPr>
        <w:t>s</w:t>
      </w:r>
      <w:r w:rsidR="009C3A3E" w:rsidRPr="00077C1B">
        <w:rPr>
          <w:sz w:val="26"/>
          <w:szCs w:val="26"/>
        </w:rPr>
        <w:t xml:space="preserve">cission </w:t>
      </w:r>
      <w:r w:rsidR="009466A3" w:rsidRPr="00077C1B">
        <w:rPr>
          <w:sz w:val="26"/>
          <w:szCs w:val="26"/>
        </w:rPr>
        <w:t xml:space="preserve">filed by </w:t>
      </w:r>
      <w:r w:rsidR="009C3A3E" w:rsidRPr="00077C1B">
        <w:rPr>
          <w:sz w:val="26"/>
          <w:szCs w:val="26"/>
        </w:rPr>
        <w:t>Althea Poe-Henderson</w:t>
      </w:r>
      <w:r w:rsidRPr="00077C1B">
        <w:rPr>
          <w:sz w:val="26"/>
          <w:szCs w:val="26"/>
        </w:rPr>
        <w:t xml:space="preserve">, </w:t>
      </w:r>
      <w:r w:rsidR="009466A3" w:rsidRPr="00077C1B">
        <w:rPr>
          <w:sz w:val="26"/>
          <w:szCs w:val="26"/>
        </w:rPr>
        <w:t xml:space="preserve">on </w:t>
      </w:r>
      <w:r w:rsidR="00D741F0" w:rsidRPr="00077C1B">
        <w:rPr>
          <w:sz w:val="26"/>
          <w:szCs w:val="26"/>
        </w:rPr>
        <w:t>January 10, 2020</w:t>
      </w:r>
      <w:r w:rsidRPr="00077C1B">
        <w:rPr>
          <w:sz w:val="26"/>
          <w:szCs w:val="26"/>
        </w:rPr>
        <w:t xml:space="preserve">, </w:t>
      </w:r>
      <w:r w:rsidR="009C3A3E" w:rsidRPr="00077C1B">
        <w:rPr>
          <w:sz w:val="26"/>
          <w:szCs w:val="26"/>
        </w:rPr>
        <w:t xml:space="preserve">seeking </w:t>
      </w:r>
      <w:r w:rsidR="00E05C79" w:rsidRPr="00077C1B">
        <w:rPr>
          <w:sz w:val="26"/>
          <w:szCs w:val="26"/>
        </w:rPr>
        <w:t>re</w:t>
      </w:r>
      <w:r w:rsidR="00E01C9B" w:rsidRPr="00077C1B">
        <w:rPr>
          <w:sz w:val="26"/>
          <w:szCs w:val="26"/>
        </w:rPr>
        <w:t>s</w:t>
      </w:r>
      <w:r w:rsidR="00E05C79" w:rsidRPr="00077C1B">
        <w:rPr>
          <w:sz w:val="26"/>
          <w:szCs w:val="26"/>
        </w:rPr>
        <w:t>cission</w:t>
      </w:r>
      <w:r w:rsidR="009C3A3E" w:rsidRPr="00077C1B">
        <w:rPr>
          <w:sz w:val="26"/>
          <w:szCs w:val="26"/>
        </w:rPr>
        <w:t xml:space="preserve"> of the</w:t>
      </w:r>
      <w:r w:rsidR="004648A7" w:rsidRPr="00077C1B">
        <w:rPr>
          <w:sz w:val="26"/>
          <w:szCs w:val="26"/>
        </w:rPr>
        <w:t xml:space="preserve"> final order of the </w:t>
      </w:r>
      <w:r w:rsidR="009C3A3E" w:rsidRPr="00077C1B">
        <w:rPr>
          <w:sz w:val="26"/>
          <w:szCs w:val="26"/>
        </w:rPr>
        <w:t>Commission</w:t>
      </w:r>
      <w:r w:rsidR="009466A3" w:rsidRPr="00077C1B">
        <w:rPr>
          <w:sz w:val="26"/>
          <w:szCs w:val="26"/>
        </w:rPr>
        <w:t xml:space="preserve">, </w:t>
      </w:r>
      <w:r w:rsidR="00D741F0" w:rsidRPr="00077C1B">
        <w:rPr>
          <w:sz w:val="26"/>
          <w:szCs w:val="26"/>
        </w:rPr>
        <w:t xml:space="preserve">entered </w:t>
      </w:r>
      <w:r w:rsidR="009466A3" w:rsidRPr="00077C1B">
        <w:rPr>
          <w:sz w:val="26"/>
          <w:szCs w:val="26"/>
        </w:rPr>
        <w:t>on</w:t>
      </w:r>
      <w:r w:rsidR="009C3A3E" w:rsidRPr="00077C1B">
        <w:rPr>
          <w:sz w:val="26"/>
          <w:szCs w:val="26"/>
        </w:rPr>
        <w:t xml:space="preserve"> </w:t>
      </w:r>
      <w:r w:rsidR="00D741F0" w:rsidRPr="00077C1B">
        <w:rPr>
          <w:sz w:val="26"/>
          <w:szCs w:val="26"/>
        </w:rPr>
        <w:t>December 1</w:t>
      </w:r>
      <w:r w:rsidR="00D14129" w:rsidRPr="00077C1B">
        <w:rPr>
          <w:sz w:val="26"/>
          <w:szCs w:val="26"/>
        </w:rPr>
        <w:t>3</w:t>
      </w:r>
      <w:r w:rsidR="00D741F0" w:rsidRPr="00077C1B">
        <w:rPr>
          <w:sz w:val="26"/>
          <w:szCs w:val="26"/>
        </w:rPr>
        <w:t>, 2019</w:t>
      </w:r>
      <w:r w:rsidR="009466A3" w:rsidRPr="00077C1B">
        <w:rPr>
          <w:sz w:val="26"/>
          <w:szCs w:val="26"/>
        </w:rPr>
        <w:t xml:space="preserve">, </w:t>
      </w:r>
      <w:r w:rsidR="004648A7" w:rsidRPr="00077C1B">
        <w:rPr>
          <w:sz w:val="26"/>
          <w:szCs w:val="26"/>
        </w:rPr>
        <w:t xml:space="preserve">at </w:t>
      </w:r>
      <w:r w:rsidR="00E5437E" w:rsidRPr="00077C1B">
        <w:rPr>
          <w:sz w:val="26"/>
          <w:szCs w:val="26"/>
        </w:rPr>
        <w:t xml:space="preserve">Docket No. </w:t>
      </w:r>
      <w:r w:rsidR="00D741F0" w:rsidRPr="00077C1B">
        <w:rPr>
          <w:sz w:val="26"/>
          <w:szCs w:val="26"/>
        </w:rPr>
        <w:t>F-2019-3010206</w:t>
      </w:r>
      <w:r w:rsidR="00E5437E" w:rsidRPr="00077C1B">
        <w:rPr>
          <w:sz w:val="26"/>
          <w:szCs w:val="26"/>
        </w:rPr>
        <w:t xml:space="preserve">, </w:t>
      </w:r>
      <w:r w:rsidR="009C3A3E" w:rsidRPr="00077C1B">
        <w:rPr>
          <w:sz w:val="26"/>
          <w:szCs w:val="26"/>
        </w:rPr>
        <w:t xml:space="preserve">is </w:t>
      </w:r>
      <w:r w:rsidRPr="00077C1B">
        <w:rPr>
          <w:sz w:val="26"/>
          <w:szCs w:val="26"/>
        </w:rPr>
        <w:t>denied.</w:t>
      </w:r>
    </w:p>
    <w:p w14:paraId="6E88F6B7" w14:textId="77777777" w:rsidR="00146CCB" w:rsidRPr="00077C1B" w:rsidRDefault="00146CCB" w:rsidP="00077C1B">
      <w:pPr>
        <w:widowControl/>
        <w:spacing w:line="360" w:lineRule="auto"/>
        <w:rPr>
          <w:sz w:val="26"/>
          <w:szCs w:val="26"/>
        </w:rPr>
      </w:pPr>
    </w:p>
    <w:p w14:paraId="48839F7A" w14:textId="43E3DE98" w:rsidR="00D741F0" w:rsidRPr="00077C1B" w:rsidRDefault="00146CCB" w:rsidP="00077C1B">
      <w:pPr>
        <w:widowControl/>
        <w:numPr>
          <w:ilvl w:val="0"/>
          <w:numId w:val="5"/>
        </w:numPr>
        <w:tabs>
          <w:tab w:val="num" w:pos="0"/>
        </w:tabs>
        <w:spacing w:line="360" w:lineRule="auto"/>
        <w:ind w:left="0" w:firstLine="1440"/>
        <w:rPr>
          <w:sz w:val="26"/>
          <w:szCs w:val="26"/>
        </w:rPr>
      </w:pPr>
      <w:r w:rsidRPr="00077C1B">
        <w:rPr>
          <w:sz w:val="26"/>
          <w:szCs w:val="26"/>
        </w:rPr>
        <w:t xml:space="preserve">That, pursuant to 66 Pa. C.S. § 332(f) and 52 Pa. Code § 5.245, the Complainant, </w:t>
      </w:r>
      <w:r w:rsidR="009C3A3E" w:rsidRPr="00077C1B">
        <w:rPr>
          <w:sz w:val="26"/>
          <w:szCs w:val="26"/>
        </w:rPr>
        <w:t>Althea Poe-Henderson</w:t>
      </w:r>
      <w:r w:rsidRPr="00077C1B">
        <w:rPr>
          <w:sz w:val="26"/>
          <w:szCs w:val="26"/>
        </w:rPr>
        <w:t xml:space="preserve">, </w:t>
      </w:r>
      <w:r w:rsidR="009C3A3E" w:rsidRPr="00077C1B">
        <w:rPr>
          <w:sz w:val="26"/>
          <w:szCs w:val="26"/>
        </w:rPr>
        <w:t>is</w:t>
      </w:r>
      <w:r w:rsidRPr="00077C1B">
        <w:rPr>
          <w:sz w:val="26"/>
          <w:szCs w:val="26"/>
        </w:rPr>
        <w:t xml:space="preserve"> deemed to have waived </w:t>
      </w:r>
      <w:r w:rsidR="009C3A3E" w:rsidRPr="00077C1B">
        <w:rPr>
          <w:sz w:val="26"/>
          <w:szCs w:val="26"/>
        </w:rPr>
        <w:t>her</w:t>
      </w:r>
      <w:r w:rsidRPr="00077C1B">
        <w:rPr>
          <w:sz w:val="26"/>
          <w:szCs w:val="26"/>
        </w:rPr>
        <w:t xml:space="preserve"> </w:t>
      </w:r>
      <w:r w:rsidR="00D741F0" w:rsidRPr="00077C1B">
        <w:rPr>
          <w:sz w:val="26"/>
          <w:szCs w:val="26"/>
        </w:rPr>
        <w:t xml:space="preserve">right to </w:t>
      </w:r>
      <w:r w:rsidRPr="00077C1B">
        <w:rPr>
          <w:sz w:val="26"/>
          <w:szCs w:val="26"/>
        </w:rPr>
        <w:t>p</w:t>
      </w:r>
      <w:r w:rsidR="00D741F0" w:rsidRPr="00077C1B">
        <w:rPr>
          <w:sz w:val="26"/>
          <w:szCs w:val="26"/>
        </w:rPr>
        <w:t xml:space="preserve">resent evidence </w:t>
      </w:r>
      <w:r w:rsidR="003E61CA" w:rsidRPr="00077C1B">
        <w:rPr>
          <w:sz w:val="26"/>
          <w:szCs w:val="26"/>
        </w:rPr>
        <w:t xml:space="preserve">in support of </w:t>
      </w:r>
      <w:r w:rsidR="00F10F07" w:rsidRPr="00077C1B">
        <w:rPr>
          <w:sz w:val="26"/>
          <w:szCs w:val="26"/>
        </w:rPr>
        <w:t>her</w:t>
      </w:r>
      <w:r w:rsidRPr="00077C1B">
        <w:rPr>
          <w:sz w:val="26"/>
          <w:szCs w:val="26"/>
        </w:rPr>
        <w:t xml:space="preserve"> Formal Complaint filed on </w:t>
      </w:r>
      <w:r w:rsidR="00F10F07" w:rsidRPr="00077C1B">
        <w:rPr>
          <w:sz w:val="26"/>
          <w:szCs w:val="26"/>
        </w:rPr>
        <w:t>May 30, 2019</w:t>
      </w:r>
      <w:r w:rsidR="009C3A3E" w:rsidRPr="00077C1B">
        <w:rPr>
          <w:sz w:val="26"/>
          <w:szCs w:val="26"/>
        </w:rPr>
        <w:t>,</w:t>
      </w:r>
      <w:r w:rsidRPr="00077C1B">
        <w:rPr>
          <w:sz w:val="26"/>
          <w:szCs w:val="26"/>
        </w:rPr>
        <w:t xml:space="preserve"> due to </w:t>
      </w:r>
      <w:r w:rsidR="00D741F0" w:rsidRPr="00077C1B">
        <w:rPr>
          <w:sz w:val="26"/>
          <w:szCs w:val="26"/>
        </w:rPr>
        <w:t xml:space="preserve">her </w:t>
      </w:r>
      <w:r w:rsidR="00E05C79" w:rsidRPr="00077C1B">
        <w:rPr>
          <w:sz w:val="26"/>
          <w:szCs w:val="26"/>
        </w:rPr>
        <w:t xml:space="preserve">unexcused </w:t>
      </w:r>
      <w:r w:rsidRPr="00077C1B">
        <w:rPr>
          <w:sz w:val="26"/>
          <w:szCs w:val="26"/>
        </w:rPr>
        <w:t xml:space="preserve">failure to appear </w:t>
      </w:r>
      <w:r w:rsidR="00D741F0" w:rsidRPr="00077C1B">
        <w:rPr>
          <w:sz w:val="26"/>
          <w:szCs w:val="26"/>
        </w:rPr>
        <w:t>and participate in the September 6, 2019, telephonic evidentiary</w:t>
      </w:r>
      <w:r w:rsidRPr="00077C1B">
        <w:rPr>
          <w:sz w:val="26"/>
          <w:szCs w:val="26"/>
        </w:rPr>
        <w:t xml:space="preserve"> hearing held </w:t>
      </w:r>
      <w:r w:rsidR="008C7941" w:rsidRPr="00077C1B">
        <w:rPr>
          <w:sz w:val="26"/>
          <w:szCs w:val="26"/>
        </w:rPr>
        <w:t>in</w:t>
      </w:r>
      <w:r w:rsidRPr="00077C1B">
        <w:rPr>
          <w:sz w:val="26"/>
          <w:szCs w:val="26"/>
        </w:rPr>
        <w:t xml:space="preserve"> th</w:t>
      </w:r>
      <w:r w:rsidR="00F10F07" w:rsidRPr="00077C1B">
        <w:rPr>
          <w:sz w:val="26"/>
          <w:szCs w:val="26"/>
        </w:rPr>
        <w:t xml:space="preserve">e </w:t>
      </w:r>
      <w:r w:rsidR="003E61CA" w:rsidRPr="00077C1B">
        <w:rPr>
          <w:sz w:val="26"/>
          <w:szCs w:val="26"/>
        </w:rPr>
        <w:t xml:space="preserve">complaint </w:t>
      </w:r>
      <w:r w:rsidRPr="00077C1B">
        <w:rPr>
          <w:sz w:val="26"/>
          <w:szCs w:val="26"/>
        </w:rPr>
        <w:t>proceeding.</w:t>
      </w:r>
    </w:p>
    <w:p w14:paraId="6EA4E394" w14:textId="77777777" w:rsidR="00F10F07" w:rsidRPr="00077C1B" w:rsidRDefault="00F10F07" w:rsidP="00C60DD0">
      <w:pPr>
        <w:pStyle w:val="ListParagraph"/>
        <w:widowControl/>
        <w:spacing w:line="360" w:lineRule="auto"/>
        <w:rPr>
          <w:sz w:val="26"/>
          <w:szCs w:val="26"/>
        </w:rPr>
      </w:pPr>
    </w:p>
    <w:p w14:paraId="0D8DF9EE" w14:textId="5DC2359E" w:rsidR="00146CCB" w:rsidRPr="00077C1B" w:rsidRDefault="00146CCB" w:rsidP="00077C1B">
      <w:pPr>
        <w:widowControl/>
        <w:numPr>
          <w:ilvl w:val="0"/>
          <w:numId w:val="5"/>
        </w:numPr>
        <w:tabs>
          <w:tab w:val="num" w:pos="0"/>
        </w:tabs>
        <w:spacing w:line="360" w:lineRule="auto"/>
        <w:ind w:left="0" w:firstLine="1440"/>
        <w:rPr>
          <w:sz w:val="26"/>
          <w:szCs w:val="26"/>
        </w:rPr>
      </w:pPr>
      <w:r w:rsidRPr="00077C1B">
        <w:rPr>
          <w:sz w:val="26"/>
          <w:szCs w:val="26"/>
        </w:rPr>
        <w:t xml:space="preserve">That the Formal Complaint of </w:t>
      </w:r>
      <w:r w:rsidR="009C3A3E" w:rsidRPr="00077C1B">
        <w:rPr>
          <w:sz w:val="26"/>
          <w:szCs w:val="26"/>
        </w:rPr>
        <w:t>Althea Poe-Henderson</w:t>
      </w:r>
      <w:r w:rsidR="00C57A36" w:rsidRPr="00077C1B">
        <w:rPr>
          <w:sz w:val="26"/>
          <w:szCs w:val="26"/>
        </w:rPr>
        <w:t>,</w:t>
      </w:r>
      <w:r w:rsidRPr="00077C1B">
        <w:rPr>
          <w:sz w:val="26"/>
          <w:szCs w:val="26"/>
        </w:rPr>
        <w:t xml:space="preserve"> filed on </w:t>
      </w:r>
      <w:r w:rsidR="004648A7" w:rsidRPr="00077C1B">
        <w:rPr>
          <w:sz w:val="26"/>
          <w:szCs w:val="26"/>
        </w:rPr>
        <w:t>May</w:t>
      </w:r>
      <w:r w:rsidR="00D87F1F">
        <w:rPr>
          <w:sz w:val="26"/>
          <w:szCs w:val="26"/>
        </w:rPr>
        <w:t> </w:t>
      </w:r>
      <w:r w:rsidR="004648A7" w:rsidRPr="00077C1B">
        <w:rPr>
          <w:sz w:val="26"/>
          <w:szCs w:val="26"/>
        </w:rPr>
        <w:t xml:space="preserve">30, 2019, </w:t>
      </w:r>
      <w:r w:rsidRPr="00077C1B">
        <w:rPr>
          <w:sz w:val="26"/>
          <w:szCs w:val="26"/>
        </w:rPr>
        <w:t xml:space="preserve">at this docket, is dismissed, </w:t>
      </w:r>
      <w:r w:rsidRPr="00077C1B">
        <w:rPr>
          <w:iCs/>
          <w:sz w:val="26"/>
          <w:szCs w:val="26"/>
        </w:rPr>
        <w:t>with prejudice</w:t>
      </w:r>
      <w:r w:rsidRPr="00077C1B">
        <w:rPr>
          <w:sz w:val="26"/>
          <w:szCs w:val="26"/>
        </w:rPr>
        <w:t>, barring the Complainant from filing a</w:t>
      </w:r>
      <w:r w:rsidR="00D741F0" w:rsidRPr="00077C1B">
        <w:rPr>
          <w:sz w:val="26"/>
          <w:szCs w:val="26"/>
        </w:rPr>
        <w:t xml:space="preserve"> future </w:t>
      </w:r>
      <w:r w:rsidRPr="00077C1B">
        <w:rPr>
          <w:sz w:val="26"/>
          <w:szCs w:val="26"/>
        </w:rPr>
        <w:t>complaint with the Public Utility Commission raising the same issues or claims a</w:t>
      </w:r>
      <w:r w:rsidR="00D741F0" w:rsidRPr="00077C1B">
        <w:rPr>
          <w:sz w:val="26"/>
          <w:szCs w:val="26"/>
        </w:rPr>
        <w:t xml:space="preserve">rising under </w:t>
      </w:r>
      <w:r w:rsidRPr="00077C1B">
        <w:rPr>
          <w:sz w:val="26"/>
          <w:szCs w:val="26"/>
        </w:rPr>
        <w:t>the Formal Complaint filed on</w:t>
      </w:r>
      <w:r w:rsidR="004648A7" w:rsidRPr="00077C1B">
        <w:rPr>
          <w:sz w:val="26"/>
          <w:szCs w:val="26"/>
        </w:rPr>
        <w:t xml:space="preserve"> May 30, 2019</w:t>
      </w:r>
      <w:r w:rsidRPr="00077C1B">
        <w:rPr>
          <w:sz w:val="26"/>
          <w:szCs w:val="26"/>
        </w:rPr>
        <w:t xml:space="preserve">, at </w:t>
      </w:r>
      <w:r w:rsidR="00E5437E" w:rsidRPr="00077C1B">
        <w:rPr>
          <w:sz w:val="26"/>
          <w:szCs w:val="26"/>
        </w:rPr>
        <w:t xml:space="preserve">Docket No. </w:t>
      </w:r>
      <w:r w:rsidR="00F10F07" w:rsidRPr="00077C1B">
        <w:rPr>
          <w:sz w:val="26"/>
          <w:szCs w:val="26"/>
        </w:rPr>
        <w:t>F</w:t>
      </w:r>
      <w:r w:rsidR="00D87F1F">
        <w:rPr>
          <w:sz w:val="26"/>
          <w:szCs w:val="26"/>
        </w:rPr>
        <w:noBreakHyphen/>
      </w:r>
      <w:r w:rsidR="00F10F07" w:rsidRPr="00077C1B">
        <w:rPr>
          <w:sz w:val="26"/>
          <w:szCs w:val="26"/>
        </w:rPr>
        <w:t>2019</w:t>
      </w:r>
      <w:r w:rsidR="00D87F1F">
        <w:rPr>
          <w:sz w:val="26"/>
          <w:szCs w:val="26"/>
        </w:rPr>
        <w:noBreakHyphen/>
      </w:r>
      <w:r w:rsidR="00F10F07" w:rsidRPr="00077C1B">
        <w:rPr>
          <w:sz w:val="26"/>
          <w:szCs w:val="26"/>
        </w:rPr>
        <w:t>3010206</w:t>
      </w:r>
      <w:r w:rsidR="00E54EDD" w:rsidRPr="00077C1B">
        <w:rPr>
          <w:sz w:val="26"/>
          <w:szCs w:val="26"/>
        </w:rPr>
        <w:t>.</w:t>
      </w:r>
    </w:p>
    <w:p w14:paraId="05B019F4" w14:textId="77777777" w:rsidR="00290532" w:rsidRPr="00077C1B" w:rsidRDefault="00290532" w:rsidP="00D87F1F">
      <w:pPr>
        <w:pStyle w:val="ListParagraph"/>
        <w:widowControl/>
        <w:spacing w:line="360" w:lineRule="auto"/>
        <w:rPr>
          <w:sz w:val="26"/>
          <w:szCs w:val="26"/>
        </w:rPr>
      </w:pPr>
    </w:p>
    <w:p w14:paraId="63FB2896" w14:textId="459478E2" w:rsidR="00146CCB" w:rsidRPr="00077C1B" w:rsidRDefault="00146CCB" w:rsidP="00077C1B">
      <w:pPr>
        <w:keepNext/>
        <w:keepLines/>
        <w:widowControl/>
        <w:numPr>
          <w:ilvl w:val="0"/>
          <w:numId w:val="5"/>
        </w:numPr>
        <w:tabs>
          <w:tab w:val="num" w:pos="0"/>
        </w:tabs>
        <w:spacing w:line="360" w:lineRule="auto"/>
        <w:ind w:left="0" w:firstLine="1440"/>
        <w:rPr>
          <w:sz w:val="26"/>
          <w:szCs w:val="26"/>
        </w:rPr>
      </w:pPr>
      <w:r w:rsidRPr="00077C1B">
        <w:rPr>
          <w:sz w:val="26"/>
          <w:szCs w:val="26"/>
        </w:rPr>
        <w:t>That</w:t>
      </w:r>
      <w:r w:rsidR="00BB5C84" w:rsidRPr="00077C1B">
        <w:rPr>
          <w:sz w:val="26"/>
          <w:szCs w:val="26"/>
        </w:rPr>
        <w:t xml:space="preserve"> this proceeding be marked</w:t>
      </w:r>
      <w:r w:rsidRPr="00077C1B">
        <w:rPr>
          <w:sz w:val="26"/>
          <w:szCs w:val="26"/>
        </w:rPr>
        <w:t xml:space="preserve"> closed.</w:t>
      </w:r>
    </w:p>
    <w:p w14:paraId="3550DDAE" w14:textId="24DA3983" w:rsidR="00146CCB" w:rsidRPr="00077C1B" w:rsidRDefault="00146CCB" w:rsidP="00D87F1F">
      <w:pPr>
        <w:keepNext/>
        <w:keepLines/>
        <w:widowControl/>
        <w:rPr>
          <w:sz w:val="26"/>
          <w:szCs w:val="26"/>
        </w:rPr>
      </w:pPr>
    </w:p>
    <w:p w14:paraId="3BD1A640" w14:textId="65F26CEF" w:rsidR="001F38B7" w:rsidRPr="00077C1B" w:rsidRDefault="00C3448A" w:rsidP="00077C1B">
      <w:pPr>
        <w:keepNext/>
        <w:keepLines/>
        <w:widowControl/>
        <w:tabs>
          <w:tab w:val="left" w:pos="-720"/>
        </w:tabs>
        <w:ind w:firstLine="5040"/>
        <w:rPr>
          <w:sz w:val="26"/>
          <w:szCs w:val="26"/>
        </w:rPr>
      </w:pPr>
      <w:bookmarkStart w:id="12" w:name="_GoBack"/>
      <w:r w:rsidRPr="009F01BA">
        <w:rPr>
          <w:b/>
          <w:noProof/>
        </w:rPr>
        <w:drawing>
          <wp:anchor distT="0" distB="0" distL="114300" distR="114300" simplePos="0" relativeHeight="251659264" behindDoc="1" locked="0" layoutInCell="1" allowOverlap="1" wp14:anchorId="4B34E353" wp14:editId="0D2B3F26">
            <wp:simplePos x="0" y="0"/>
            <wp:positionH relativeFrom="column">
              <wp:posOffset>3000375</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2"/>
      <w:r w:rsidR="001F38B7" w:rsidRPr="00077C1B">
        <w:rPr>
          <w:b/>
          <w:sz w:val="26"/>
          <w:szCs w:val="26"/>
        </w:rPr>
        <w:t>BY THE COMMISSION,</w:t>
      </w:r>
    </w:p>
    <w:p w14:paraId="74E3CAB3" w14:textId="4CEC5E3E" w:rsidR="001F38B7" w:rsidRPr="00077C1B" w:rsidRDefault="001F38B7" w:rsidP="00077C1B">
      <w:pPr>
        <w:keepNext/>
        <w:keepLines/>
        <w:widowControl/>
        <w:tabs>
          <w:tab w:val="left" w:pos="-720"/>
        </w:tabs>
        <w:rPr>
          <w:sz w:val="26"/>
          <w:szCs w:val="26"/>
        </w:rPr>
      </w:pPr>
    </w:p>
    <w:p w14:paraId="09C86AFA" w14:textId="4A2AC5C8" w:rsidR="00BB5C84" w:rsidRPr="00077C1B" w:rsidRDefault="00BB5C84" w:rsidP="00077C1B">
      <w:pPr>
        <w:keepNext/>
        <w:keepLines/>
        <w:widowControl/>
        <w:tabs>
          <w:tab w:val="left" w:pos="-720"/>
          <w:tab w:val="left" w:pos="5445"/>
        </w:tabs>
        <w:rPr>
          <w:sz w:val="26"/>
          <w:szCs w:val="26"/>
        </w:rPr>
      </w:pPr>
    </w:p>
    <w:p w14:paraId="0A84AE10" w14:textId="77777777" w:rsidR="001F38B7" w:rsidRPr="00077C1B" w:rsidRDefault="001F38B7" w:rsidP="00077C1B">
      <w:pPr>
        <w:keepNext/>
        <w:keepLines/>
        <w:widowControl/>
        <w:tabs>
          <w:tab w:val="left" w:pos="-720"/>
        </w:tabs>
        <w:rPr>
          <w:sz w:val="26"/>
          <w:szCs w:val="26"/>
        </w:rPr>
      </w:pPr>
    </w:p>
    <w:p w14:paraId="1F165E5A" w14:textId="77777777" w:rsidR="001F38B7" w:rsidRPr="00077C1B" w:rsidRDefault="001F38B7" w:rsidP="00077C1B">
      <w:pPr>
        <w:keepNext/>
        <w:keepLines/>
        <w:widowControl/>
        <w:tabs>
          <w:tab w:val="left" w:pos="-720"/>
        </w:tabs>
        <w:ind w:firstLine="5040"/>
        <w:rPr>
          <w:b/>
          <w:sz w:val="26"/>
          <w:szCs w:val="26"/>
        </w:rPr>
      </w:pPr>
      <w:r w:rsidRPr="00077C1B">
        <w:rPr>
          <w:sz w:val="26"/>
          <w:szCs w:val="26"/>
        </w:rPr>
        <w:t>Rosemary Chiavetta</w:t>
      </w:r>
    </w:p>
    <w:p w14:paraId="382E6190" w14:textId="77777777" w:rsidR="001F38B7" w:rsidRPr="00077C1B" w:rsidRDefault="001F38B7" w:rsidP="00077C1B">
      <w:pPr>
        <w:keepNext/>
        <w:keepLines/>
        <w:widowControl/>
        <w:tabs>
          <w:tab w:val="left" w:pos="-720"/>
        </w:tabs>
        <w:ind w:firstLine="5040"/>
        <w:rPr>
          <w:sz w:val="26"/>
          <w:szCs w:val="26"/>
        </w:rPr>
      </w:pPr>
      <w:r w:rsidRPr="00077C1B">
        <w:rPr>
          <w:sz w:val="26"/>
          <w:szCs w:val="26"/>
        </w:rPr>
        <w:t>Secretary</w:t>
      </w:r>
    </w:p>
    <w:p w14:paraId="666193FF" w14:textId="77777777" w:rsidR="001F38B7" w:rsidRPr="00077C1B" w:rsidRDefault="001F38B7" w:rsidP="00077C1B">
      <w:pPr>
        <w:keepNext/>
        <w:keepLines/>
        <w:widowControl/>
        <w:tabs>
          <w:tab w:val="left" w:pos="-720"/>
        </w:tabs>
        <w:rPr>
          <w:sz w:val="26"/>
          <w:szCs w:val="26"/>
        </w:rPr>
      </w:pPr>
    </w:p>
    <w:p w14:paraId="5BCF53C7" w14:textId="77777777" w:rsidR="00D87F1F" w:rsidRDefault="00D87F1F" w:rsidP="00077C1B">
      <w:pPr>
        <w:keepNext/>
        <w:keepLines/>
        <w:widowControl/>
        <w:tabs>
          <w:tab w:val="left" w:pos="-720"/>
        </w:tabs>
        <w:rPr>
          <w:sz w:val="26"/>
          <w:szCs w:val="26"/>
        </w:rPr>
      </w:pPr>
    </w:p>
    <w:p w14:paraId="487790CD" w14:textId="20A457F7" w:rsidR="001F38B7" w:rsidRPr="00077C1B" w:rsidRDefault="001F38B7" w:rsidP="00077C1B">
      <w:pPr>
        <w:keepNext/>
        <w:keepLines/>
        <w:widowControl/>
        <w:tabs>
          <w:tab w:val="left" w:pos="-720"/>
        </w:tabs>
        <w:rPr>
          <w:sz w:val="26"/>
          <w:szCs w:val="26"/>
        </w:rPr>
      </w:pPr>
      <w:r w:rsidRPr="00077C1B">
        <w:rPr>
          <w:sz w:val="26"/>
          <w:szCs w:val="26"/>
        </w:rPr>
        <w:t>(SEAL)</w:t>
      </w:r>
    </w:p>
    <w:p w14:paraId="2DFAE948" w14:textId="77777777" w:rsidR="001F38B7" w:rsidRPr="00077C1B" w:rsidRDefault="001F38B7" w:rsidP="00077C1B">
      <w:pPr>
        <w:keepNext/>
        <w:keepLines/>
        <w:widowControl/>
        <w:tabs>
          <w:tab w:val="left" w:pos="-720"/>
        </w:tabs>
        <w:rPr>
          <w:sz w:val="26"/>
          <w:szCs w:val="26"/>
        </w:rPr>
      </w:pPr>
    </w:p>
    <w:p w14:paraId="0DD43CB6" w14:textId="680BDEF4" w:rsidR="001F38B7" w:rsidRPr="00077C1B" w:rsidRDefault="001F38B7" w:rsidP="00077C1B">
      <w:pPr>
        <w:keepNext/>
        <w:keepLines/>
        <w:widowControl/>
        <w:tabs>
          <w:tab w:val="left" w:pos="-720"/>
        </w:tabs>
        <w:rPr>
          <w:sz w:val="26"/>
          <w:szCs w:val="26"/>
        </w:rPr>
      </w:pPr>
      <w:r w:rsidRPr="00077C1B">
        <w:rPr>
          <w:sz w:val="26"/>
          <w:szCs w:val="26"/>
        </w:rPr>
        <w:t xml:space="preserve">ORDER ADOPTED: </w:t>
      </w:r>
      <w:r w:rsidR="00D07716" w:rsidRPr="00077C1B">
        <w:rPr>
          <w:sz w:val="26"/>
          <w:szCs w:val="26"/>
        </w:rPr>
        <w:t xml:space="preserve"> </w:t>
      </w:r>
      <w:r w:rsidR="000F0EA1" w:rsidRPr="00077C1B">
        <w:rPr>
          <w:sz w:val="26"/>
          <w:szCs w:val="26"/>
        </w:rPr>
        <w:t xml:space="preserve">August </w:t>
      </w:r>
      <w:r w:rsidR="00E01C9B" w:rsidRPr="00077C1B">
        <w:rPr>
          <w:sz w:val="26"/>
          <w:szCs w:val="26"/>
        </w:rPr>
        <w:t>6</w:t>
      </w:r>
      <w:r w:rsidR="00D07716" w:rsidRPr="00077C1B">
        <w:rPr>
          <w:sz w:val="26"/>
          <w:szCs w:val="26"/>
        </w:rPr>
        <w:t>, 2020</w:t>
      </w:r>
    </w:p>
    <w:p w14:paraId="2229C585" w14:textId="77777777" w:rsidR="001F38B7" w:rsidRPr="00077C1B" w:rsidRDefault="001F38B7" w:rsidP="00077C1B">
      <w:pPr>
        <w:keepNext/>
        <w:keepLines/>
        <w:widowControl/>
        <w:tabs>
          <w:tab w:val="left" w:pos="-720"/>
        </w:tabs>
        <w:rPr>
          <w:sz w:val="26"/>
          <w:szCs w:val="26"/>
        </w:rPr>
      </w:pPr>
    </w:p>
    <w:p w14:paraId="10CCF3C7" w14:textId="5EEA4CFD" w:rsidR="00A3095E" w:rsidRPr="00EA5945" w:rsidRDefault="001F38B7" w:rsidP="00D87F1F">
      <w:pPr>
        <w:keepNext/>
        <w:keepLines/>
        <w:widowControl/>
        <w:tabs>
          <w:tab w:val="left" w:pos="-720"/>
        </w:tabs>
        <w:rPr>
          <w:sz w:val="26"/>
          <w:szCs w:val="26"/>
        </w:rPr>
      </w:pPr>
      <w:r w:rsidRPr="00077C1B">
        <w:rPr>
          <w:sz w:val="26"/>
          <w:szCs w:val="26"/>
        </w:rPr>
        <w:t xml:space="preserve">ORDER ENTERED:  </w:t>
      </w:r>
      <w:r w:rsidR="00C3448A">
        <w:rPr>
          <w:sz w:val="26"/>
          <w:szCs w:val="26"/>
        </w:rPr>
        <w:t>August 6, 2020</w:t>
      </w:r>
    </w:p>
    <w:sectPr w:rsidR="00A3095E" w:rsidRPr="00EA5945" w:rsidSect="00C05183">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0A5DB" w14:textId="77777777" w:rsidR="00790A87" w:rsidRDefault="00790A87" w:rsidP="001F0176">
      <w:r>
        <w:separator/>
      </w:r>
    </w:p>
  </w:endnote>
  <w:endnote w:type="continuationSeparator" w:id="0">
    <w:p w14:paraId="48554847" w14:textId="77777777" w:rsidR="00790A87" w:rsidRDefault="00790A87" w:rsidP="001F0176">
      <w:r>
        <w:continuationSeparator/>
      </w:r>
    </w:p>
  </w:endnote>
  <w:endnote w:type="continuationNotice" w:id="1">
    <w:p w14:paraId="69F13728" w14:textId="77777777" w:rsidR="00790A87" w:rsidRDefault="00790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400545"/>
      <w:docPartObj>
        <w:docPartGallery w:val="Page Numbers (Bottom of Page)"/>
        <w:docPartUnique/>
      </w:docPartObj>
    </w:sdtPr>
    <w:sdtEndPr>
      <w:rPr>
        <w:noProof/>
        <w:sz w:val="26"/>
        <w:szCs w:val="26"/>
      </w:rPr>
    </w:sdtEndPr>
    <w:sdtContent>
      <w:p w14:paraId="37CAEF41" w14:textId="04C432FD" w:rsidR="00CE43D8" w:rsidRPr="00604B16" w:rsidRDefault="00047F31" w:rsidP="00604B16">
        <w:pPr>
          <w:pStyle w:val="Footer"/>
          <w:jc w:val="center"/>
          <w:rPr>
            <w:sz w:val="26"/>
            <w:szCs w:val="26"/>
          </w:rPr>
        </w:pPr>
        <w:r w:rsidRPr="00604B16">
          <w:rPr>
            <w:sz w:val="26"/>
            <w:szCs w:val="26"/>
          </w:rPr>
          <w:fldChar w:fldCharType="begin"/>
        </w:r>
        <w:r w:rsidRPr="00604B16">
          <w:rPr>
            <w:sz w:val="26"/>
            <w:szCs w:val="26"/>
          </w:rPr>
          <w:instrText xml:space="preserve"> PAGE   \* MERGEFORMAT </w:instrText>
        </w:r>
        <w:r w:rsidRPr="00604B16">
          <w:rPr>
            <w:sz w:val="26"/>
            <w:szCs w:val="26"/>
          </w:rPr>
          <w:fldChar w:fldCharType="separate"/>
        </w:r>
        <w:r w:rsidR="009A05CD">
          <w:rPr>
            <w:noProof/>
            <w:sz w:val="26"/>
            <w:szCs w:val="26"/>
          </w:rPr>
          <w:t>15</w:t>
        </w:r>
        <w:r w:rsidRPr="00604B16">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DA423" w14:textId="77777777" w:rsidR="00790A87" w:rsidRDefault="00790A87" w:rsidP="001F0176">
      <w:r>
        <w:separator/>
      </w:r>
    </w:p>
  </w:footnote>
  <w:footnote w:type="continuationSeparator" w:id="0">
    <w:p w14:paraId="336FF597" w14:textId="77777777" w:rsidR="00790A87" w:rsidRDefault="00790A87" w:rsidP="001F0176">
      <w:r>
        <w:continuationSeparator/>
      </w:r>
    </w:p>
  </w:footnote>
  <w:footnote w:type="continuationNotice" w:id="1">
    <w:p w14:paraId="100937AF" w14:textId="77777777" w:rsidR="00790A87" w:rsidRDefault="00790A87"/>
  </w:footnote>
  <w:footnote w:id="2">
    <w:p w14:paraId="553AA7F5" w14:textId="7016A9E0" w:rsidR="005848C6" w:rsidRPr="00D670DD" w:rsidRDefault="005848C6" w:rsidP="00D670DD">
      <w:pPr>
        <w:pStyle w:val="FootnoteText"/>
        <w:spacing w:after="120"/>
        <w:ind w:firstLine="720"/>
        <w:rPr>
          <w:sz w:val="26"/>
          <w:szCs w:val="26"/>
        </w:rPr>
      </w:pPr>
      <w:r w:rsidRPr="00D670DD">
        <w:rPr>
          <w:rStyle w:val="FootnoteReference"/>
          <w:sz w:val="26"/>
          <w:szCs w:val="26"/>
        </w:rPr>
        <w:footnoteRef/>
      </w:r>
      <w:r w:rsidRPr="00D670DD">
        <w:rPr>
          <w:sz w:val="26"/>
          <w:szCs w:val="26"/>
        </w:rPr>
        <w:t xml:space="preserve"> </w:t>
      </w:r>
      <w:r w:rsidR="00EA1553" w:rsidRPr="00D670DD">
        <w:rPr>
          <w:sz w:val="26"/>
          <w:szCs w:val="26"/>
        </w:rPr>
        <w:tab/>
        <w:t>The Petition is styled as a letter Petition</w:t>
      </w:r>
      <w:r w:rsidR="00991318" w:rsidRPr="00D670DD">
        <w:rPr>
          <w:sz w:val="26"/>
          <w:szCs w:val="26"/>
        </w:rPr>
        <w:t xml:space="preserve"> that is not set forth in numbered paragraphs nor otherwise complies with our Regulations for post-hearing relief petitions.  </w:t>
      </w:r>
      <w:r w:rsidR="00991318" w:rsidRPr="00D670DD">
        <w:rPr>
          <w:i/>
          <w:sz w:val="26"/>
          <w:szCs w:val="26"/>
        </w:rPr>
        <w:t>See</w:t>
      </w:r>
      <w:r w:rsidR="00991318" w:rsidRPr="00D670DD">
        <w:rPr>
          <w:sz w:val="26"/>
          <w:szCs w:val="26"/>
        </w:rPr>
        <w:t xml:space="preserve"> 52 Pa. Code </w:t>
      </w:r>
      <w:r w:rsidR="00991318" w:rsidRPr="00D670DD">
        <w:rPr>
          <w:rFonts w:hint="eastAsia"/>
          <w:sz w:val="26"/>
          <w:szCs w:val="26"/>
        </w:rPr>
        <w:t>§</w:t>
      </w:r>
      <w:r w:rsidR="00991318" w:rsidRPr="00D670DD">
        <w:rPr>
          <w:sz w:val="26"/>
          <w:szCs w:val="26"/>
        </w:rPr>
        <w:t xml:space="preserve"> 5.572.  </w:t>
      </w:r>
      <w:r w:rsidR="00E1292C" w:rsidRPr="00D670DD">
        <w:rPr>
          <w:sz w:val="26"/>
          <w:szCs w:val="26"/>
        </w:rPr>
        <w:t xml:space="preserve">We note that pursuant to 52 Pa. Code § 1.2(a), because the Petitioner appears </w:t>
      </w:r>
      <w:r w:rsidR="00E1292C" w:rsidRPr="00D670DD">
        <w:rPr>
          <w:i/>
          <w:iCs/>
          <w:sz w:val="26"/>
          <w:szCs w:val="26"/>
        </w:rPr>
        <w:t>pro se</w:t>
      </w:r>
      <w:r w:rsidR="00E1292C" w:rsidRPr="00D670DD">
        <w:rPr>
          <w:sz w:val="26"/>
          <w:szCs w:val="26"/>
        </w:rPr>
        <w:t xml:space="preserve"> in this proceeding, § 1.2(a) requires a liberal construction of our Regulations to secure the just, speedy, and inexpensive determination of every action or proceeding to which they are applicable.  Therefore, w</w:t>
      </w:r>
      <w:r w:rsidR="00991318" w:rsidRPr="00D670DD">
        <w:rPr>
          <w:sz w:val="26"/>
          <w:szCs w:val="26"/>
        </w:rPr>
        <w:t>e will overlook these defects as we are permitted to do under Section 1</w:t>
      </w:r>
      <w:r w:rsidR="00E1292C" w:rsidRPr="00D670DD">
        <w:rPr>
          <w:sz w:val="26"/>
          <w:szCs w:val="26"/>
        </w:rPr>
        <w:t>.</w:t>
      </w:r>
      <w:r w:rsidR="00991318" w:rsidRPr="00D670DD">
        <w:rPr>
          <w:sz w:val="26"/>
          <w:szCs w:val="26"/>
        </w:rPr>
        <w:t>2 of our Regulations</w:t>
      </w:r>
      <w:r w:rsidR="00E1292C" w:rsidRPr="00D670DD">
        <w:rPr>
          <w:sz w:val="26"/>
          <w:szCs w:val="26"/>
        </w:rPr>
        <w:t>.</w:t>
      </w:r>
    </w:p>
  </w:footnote>
  <w:footnote w:id="3">
    <w:p w14:paraId="571E9E07" w14:textId="6F704A72" w:rsidR="003B350E" w:rsidRPr="00D670DD" w:rsidRDefault="003B350E" w:rsidP="00D670DD">
      <w:pPr>
        <w:pStyle w:val="FootnoteText"/>
        <w:spacing w:after="120"/>
        <w:ind w:firstLine="720"/>
        <w:rPr>
          <w:sz w:val="26"/>
          <w:szCs w:val="26"/>
        </w:rPr>
      </w:pPr>
      <w:r w:rsidRPr="00D670DD">
        <w:rPr>
          <w:rStyle w:val="FootnoteReference"/>
          <w:sz w:val="26"/>
          <w:szCs w:val="26"/>
        </w:rPr>
        <w:footnoteRef/>
      </w:r>
      <w:r w:rsidRPr="00D670DD">
        <w:rPr>
          <w:sz w:val="26"/>
          <w:szCs w:val="26"/>
        </w:rPr>
        <w:t xml:space="preserve"> </w:t>
      </w:r>
      <w:r w:rsidRPr="00D670DD">
        <w:rPr>
          <w:sz w:val="26"/>
          <w:szCs w:val="26"/>
        </w:rPr>
        <w:tab/>
      </w:r>
      <w:r w:rsidR="00CF7507" w:rsidRPr="00D670DD">
        <w:rPr>
          <w:sz w:val="26"/>
          <w:szCs w:val="26"/>
        </w:rPr>
        <w:t xml:space="preserve">The Commission issued the Initial Decision (I.D.) of Administrative Law Judge Eranda Vero on October 28, 2019 with a Secretarial Letter providing the Parties with the opportunity to file Exceptions and Reply Exceptions within twenty days and ten days respectively.  No Exceptions were filed.  Consequently, the Commission </w:t>
      </w:r>
      <w:r w:rsidR="00CD2214">
        <w:rPr>
          <w:sz w:val="26"/>
          <w:szCs w:val="26"/>
        </w:rPr>
        <w:t xml:space="preserve">issued </w:t>
      </w:r>
      <w:r w:rsidR="00CF7507" w:rsidRPr="00D670DD">
        <w:rPr>
          <w:sz w:val="26"/>
          <w:szCs w:val="26"/>
        </w:rPr>
        <w:t xml:space="preserve">the </w:t>
      </w:r>
      <w:r w:rsidR="001B51C7" w:rsidRPr="00EA5945">
        <w:rPr>
          <w:i/>
          <w:iCs/>
          <w:sz w:val="26"/>
          <w:szCs w:val="26"/>
        </w:rPr>
        <w:t>December 2019</w:t>
      </w:r>
      <w:r w:rsidR="001B51C7" w:rsidRPr="00EA5945">
        <w:rPr>
          <w:i/>
          <w:iCs/>
          <w:color w:val="000000"/>
          <w:sz w:val="26"/>
          <w:szCs w:val="26"/>
        </w:rPr>
        <w:t xml:space="preserve"> Final Order</w:t>
      </w:r>
      <w:r w:rsidR="00CF7507" w:rsidRPr="00D670DD">
        <w:rPr>
          <w:sz w:val="26"/>
          <w:szCs w:val="26"/>
        </w:rPr>
        <w:t>.</w:t>
      </w:r>
    </w:p>
  </w:footnote>
  <w:footnote w:id="4">
    <w:p w14:paraId="002C983D" w14:textId="55C6E3D2" w:rsidR="00CE43D8" w:rsidRDefault="00CE43D8" w:rsidP="007E32DB">
      <w:pPr>
        <w:pStyle w:val="FootnoteText"/>
        <w:ind w:firstLine="720"/>
      </w:pPr>
      <w:r w:rsidRPr="007E32DB">
        <w:rPr>
          <w:rStyle w:val="FootnoteReference"/>
          <w:sz w:val="26"/>
          <w:szCs w:val="26"/>
        </w:rPr>
        <w:footnoteRef/>
      </w:r>
      <w:r w:rsidRPr="007E32DB">
        <w:rPr>
          <w:sz w:val="26"/>
          <w:szCs w:val="26"/>
        </w:rPr>
        <w:t xml:space="preserve"> </w:t>
      </w:r>
      <w:r>
        <w:rPr>
          <w:sz w:val="26"/>
          <w:szCs w:val="26"/>
        </w:rPr>
        <w:tab/>
      </w:r>
      <w:r w:rsidRPr="00F10F07">
        <w:rPr>
          <w:color w:val="000000"/>
          <w:sz w:val="26"/>
          <w:szCs w:val="26"/>
        </w:rPr>
        <w:t>The Complaint was filed as a timely appeal of the Commission’s Bureau of Consumer Services (BCS) decision, at BCS Case No. 3640822.</w:t>
      </w:r>
    </w:p>
  </w:footnote>
  <w:footnote w:id="5">
    <w:p w14:paraId="4D736F38" w14:textId="7D421FF0" w:rsidR="00CE43D8" w:rsidRPr="00460C2C" w:rsidRDefault="00CE43D8" w:rsidP="00EC5AB8">
      <w:pPr>
        <w:pStyle w:val="FootnoteText"/>
        <w:ind w:firstLine="720"/>
        <w:rPr>
          <w:sz w:val="26"/>
          <w:szCs w:val="26"/>
        </w:rPr>
      </w:pPr>
      <w:r w:rsidRPr="00D670DD">
        <w:rPr>
          <w:rStyle w:val="FootnoteReference"/>
          <w:sz w:val="26"/>
          <w:szCs w:val="26"/>
        </w:rPr>
        <w:footnoteRef/>
      </w:r>
      <w:r w:rsidRPr="00D670DD">
        <w:rPr>
          <w:sz w:val="26"/>
          <w:szCs w:val="26"/>
        </w:rPr>
        <w:t xml:space="preserve"> </w:t>
      </w:r>
      <w:r w:rsidRPr="00D670DD">
        <w:rPr>
          <w:sz w:val="26"/>
          <w:szCs w:val="26"/>
        </w:rPr>
        <w:tab/>
      </w:r>
      <w:r w:rsidRPr="000D7DF7">
        <w:rPr>
          <w:sz w:val="26"/>
          <w:szCs w:val="26"/>
        </w:rPr>
        <w:t xml:space="preserve">The August 7, 2019 hearing was rescheduled due to a </w:t>
      </w:r>
      <w:r w:rsidRPr="000D7DF7">
        <w:rPr>
          <w:color w:val="000000"/>
          <w:sz w:val="26"/>
          <w:szCs w:val="26"/>
        </w:rPr>
        <w:t xml:space="preserve">conflict in </w:t>
      </w:r>
      <w:r w:rsidRPr="00460C2C">
        <w:rPr>
          <w:color w:val="000000"/>
          <w:sz w:val="26"/>
          <w:szCs w:val="26"/>
        </w:rPr>
        <w:t>ALJ Vero’s schedule.</w:t>
      </w:r>
    </w:p>
  </w:footnote>
  <w:footnote w:id="6">
    <w:p w14:paraId="526C17F5" w14:textId="19C0968F" w:rsidR="0087367C" w:rsidRPr="00D670DD" w:rsidRDefault="0087367C" w:rsidP="0087367C">
      <w:pPr>
        <w:pStyle w:val="FootnoteText"/>
        <w:ind w:firstLine="720"/>
        <w:rPr>
          <w:sz w:val="26"/>
          <w:szCs w:val="26"/>
        </w:rPr>
      </w:pPr>
      <w:r w:rsidRPr="00D670DD">
        <w:rPr>
          <w:rStyle w:val="FootnoteReference"/>
          <w:sz w:val="26"/>
          <w:szCs w:val="26"/>
        </w:rPr>
        <w:footnoteRef/>
      </w:r>
      <w:r w:rsidRPr="00D670DD">
        <w:rPr>
          <w:sz w:val="26"/>
          <w:szCs w:val="26"/>
        </w:rPr>
        <w:t xml:space="preserve"> </w:t>
      </w:r>
      <w:r w:rsidRPr="00D670DD">
        <w:rPr>
          <w:sz w:val="26"/>
          <w:szCs w:val="26"/>
        </w:rPr>
        <w:tab/>
        <w:t>Upon review of the case it was discovered that the Complainant had not served a copy of the Letter</w:t>
      </w:r>
      <w:r w:rsidR="000E1865">
        <w:rPr>
          <w:sz w:val="26"/>
          <w:szCs w:val="26"/>
        </w:rPr>
        <w:t>-</w:t>
      </w:r>
      <w:r w:rsidRPr="00D670DD">
        <w:rPr>
          <w:sz w:val="26"/>
          <w:szCs w:val="26"/>
        </w:rPr>
        <w:t xml:space="preserve">Petition on PGW.  By Secretarial Letter dated </w:t>
      </w:r>
      <w:r w:rsidR="00D10DFF" w:rsidRPr="00D670DD">
        <w:rPr>
          <w:sz w:val="26"/>
          <w:szCs w:val="26"/>
        </w:rPr>
        <w:t xml:space="preserve">June 24, 2020, PGW electronically received a letter from the Secretary of the Commission purporting to serve PGW with the Complainant’s </w:t>
      </w:r>
      <w:r w:rsidR="005F08A1">
        <w:rPr>
          <w:sz w:val="26"/>
          <w:szCs w:val="26"/>
        </w:rPr>
        <w:t>P</w:t>
      </w:r>
      <w:r w:rsidR="00D10DFF" w:rsidRPr="00D670DD">
        <w:rPr>
          <w:sz w:val="26"/>
          <w:szCs w:val="26"/>
        </w:rPr>
        <w:t>etition; however, the letter had no attachment and no filing from the Complainant was uploaded to the Commission’s website.  PGW brought the omission to the Commission’s attention and on June 29, 2020, PGW was electronically served with a copy of the Complainant’s</w:t>
      </w:r>
      <w:r w:rsidR="006C46DC">
        <w:rPr>
          <w:sz w:val="26"/>
          <w:szCs w:val="26"/>
        </w:rPr>
        <w:t xml:space="preserve"> Petition</w:t>
      </w:r>
      <w:r w:rsidR="00D10DFF" w:rsidRPr="00D670DD">
        <w:rPr>
          <w:sz w:val="26"/>
          <w:szCs w:val="26"/>
        </w:rPr>
        <w:t xml:space="preserve">.  PGW was given ten days to file its Answer.  </w:t>
      </w:r>
    </w:p>
  </w:footnote>
  <w:footnote w:id="7">
    <w:p w14:paraId="70804208" w14:textId="6D94C5F6" w:rsidR="00460C2C" w:rsidRPr="0044646B" w:rsidRDefault="00460C2C" w:rsidP="005B6D26">
      <w:pPr>
        <w:pStyle w:val="FootnoteText"/>
        <w:keepNext/>
        <w:keepLines/>
        <w:widowControl/>
        <w:spacing w:after="120"/>
        <w:ind w:firstLine="720"/>
        <w:rPr>
          <w:sz w:val="26"/>
          <w:szCs w:val="26"/>
        </w:rPr>
      </w:pPr>
      <w:r w:rsidRPr="0044646B">
        <w:rPr>
          <w:rStyle w:val="FootnoteReference"/>
          <w:sz w:val="26"/>
          <w:szCs w:val="26"/>
        </w:rPr>
        <w:footnoteRef/>
      </w:r>
      <w:r w:rsidRPr="0044646B">
        <w:rPr>
          <w:sz w:val="26"/>
          <w:szCs w:val="26"/>
        </w:rPr>
        <w:tab/>
        <w:t xml:space="preserve">Generally, </w:t>
      </w:r>
      <w:proofErr w:type="spellStart"/>
      <w:r w:rsidRPr="0044646B">
        <w:rPr>
          <w:i/>
          <w:sz w:val="26"/>
          <w:szCs w:val="26"/>
        </w:rPr>
        <w:t>nunc</w:t>
      </w:r>
      <w:proofErr w:type="spellEnd"/>
      <w:r w:rsidRPr="0044646B">
        <w:rPr>
          <w:i/>
          <w:sz w:val="26"/>
          <w:szCs w:val="26"/>
        </w:rPr>
        <w:t xml:space="preserve"> pro </w:t>
      </w:r>
      <w:proofErr w:type="spellStart"/>
      <w:r w:rsidRPr="0044646B">
        <w:rPr>
          <w:i/>
          <w:sz w:val="26"/>
          <w:szCs w:val="26"/>
        </w:rPr>
        <w:t>tunc</w:t>
      </w:r>
      <w:proofErr w:type="spellEnd"/>
      <w:r w:rsidRPr="0044646B">
        <w:rPr>
          <w:sz w:val="26"/>
          <w:szCs w:val="26"/>
        </w:rPr>
        <w:t xml:space="preserve"> relief is granted when a delay in filing a document is caused by extraordinary circumstances involving fraud or a breakdown in the opera</w:t>
      </w:r>
      <w:r w:rsidR="00E801B3">
        <w:rPr>
          <w:sz w:val="26"/>
          <w:szCs w:val="26"/>
        </w:rPr>
        <w:t>t</w:t>
      </w:r>
      <w:r w:rsidRPr="0044646B">
        <w:rPr>
          <w:sz w:val="26"/>
          <w:szCs w:val="26"/>
        </w:rPr>
        <w:t xml:space="preserve">ions of the court or administrative agency involved or is caused by an unforeseeable and unavoidable event, but only if the document is thereafter filed as soon as possible and the opposing party is not thereby prejudiced.  </w:t>
      </w:r>
      <w:r w:rsidRPr="0044646B">
        <w:rPr>
          <w:i/>
          <w:sz w:val="26"/>
          <w:szCs w:val="26"/>
        </w:rPr>
        <w:t xml:space="preserve">Gloria </w:t>
      </w:r>
      <w:proofErr w:type="spellStart"/>
      <w:r w:rsidRPr="0044646B">
        <w:rPr>
          <w:i/>
          <w:sz w:val="26"/>
          <w:szCs w:val="26"/>
        </w:rPr>
        <w:t>Scarnati</w:t>
      </w:r>
      <w:proofErr w:type="spellEnd"/>
      <w:r w:rsidRPr="0044646B">
        <w:rPr>
          <w:i/>
          <w:sz w:val="26"/>
          <w:szCs w:val="26"/>
        </w:rPr>
        <w:t xml:space="preserve"> v. Pennsylvania-American Water Company</w:t>
      </w:r>
      <w:r w:rsidRPr="0044646B">
        <w:rPr>
          <w:sz w:val="26"/>
          <w:szCs w:val="26"/>
        </w:rPr>
        <w:t>, Docket No. C-00015273 (Order entered January 10, 2002) (</w:t>
      </w:r>
      <w:proofErr w:type="spellStart"/>
      <w:r w:rsidRPr="0044646B">
        <w:rPr>
          <w:i/>
          <w:sz w:val="26"/>
          <w:szCs w:val="26"/>
        </w:rPr>
        <w:t>Scarnati</w:t>
      </w:r>
      <w:proofErr w:type="spellEnd"/>
      <w:r w:rsidRPr="0044646B">
        <w:rPr>
          <w:sz w:val="26"/>
          <w:szCs w:val="26"/>
        </w:rPr>
        <w:t xml:space="preserve">) (citing </w:t>
      </w:r>
      <w:r w:rsidRPr="0044646B">
        <w:rPr>
          <w:i/>
          <w:iCs/>
          <w:sz w:val="26"/>
          <w:szCs w:val="26"/>
        </w:rPr>
        <w:t>Cook v. Unemployment Comp. Bd. of Review</w:t>
      </w:r>
      <w:r w:rsidRPr="001777B9">
        <w:rPr>
          <w:sz w:val="26"/>
          <w:szCs w:val="26"/>
        </w:rPr>
        <w:t>,</w:t>
      </w:r>
      <w:r w:rsidRPr="0044646B">
        <w:rPr>
          <w:sz w:val="26"/>
          <w:szCs w:val="26"/>
        </w:rPr>
        <w:t xml:space="preserve"> 671</w:t>
      </w:r>
      <w:r w:rsidR="001777B9">
        <w:rPr>
          <w:sz w:val="26"/>
          <w:szCs w:val="26"/>
        </w:rPr>
        <w:t> </w:t>
      </w:r>
      <w:r w:rsidRPr="0044646B">
        <w:rPr>
          <w:sz w:val="26"/>
          <w:szCs w:val="26"/>
        </w:rPr>
        <w:t>A.2d 1130, 1131 (Pa. 1996)).</w:t>
      </w:r>
    </w:p>
  </w:footnote>
  <w:footnote w:id="8">
    <w:p w14:paraId="5D0491B7" w14:textId="4A5C5AB5" w:rsidR="00717D31" w:rsidRPr="0044646B" w:rsidRDefault="00717D31" w:rsidP="005B6D26">
      <w:pPr>
        <w:pStyle w:val="FootnoteText"/>
        <w:keepNext/>
        <w:keepLines/>
        <w:widowControl/>
        <w:spacing w:after="120"/>
        <w:ind w:firstLine="720"/>
        <w:rPr>
          <w:sz w:val="26"/>
          <w:szCs w:val="26"/>
        </w:rPr>
      </w:pPr>
      <w:r w:rsidRPr="0044646B">
        <w:rPr>
          <w:rStyle w:val="FootnoteReference"/>
          <w:sz w:val="26"/>
          <w:szCs w:val="26"/>
        </w:rPr>
        <w:footnoteRef/>
      </w:r>
      <w:r w:rsidRPr="0044646B">
        <w:rPr>
          <w:sz w:val="26"/>
          <w:szCs w:val="26"/>
        </w:rPr>
        <w:tab/>
        <w:t>Section 5.572(c) states that p</w:t>
      </w:r>
      <w:r w:rsidRPr="0044646B">
        <w:rPr>
          <w:color w:val="000000"/>
          <w:sz w:val="26"/>
          <w:szCs w:val="26"/>
        </w:rPr>
        <w:t xml:space="preserve">etitions for rehearing, </w:t>
      </w:r>
      <w:proofErr w:type="spellStart"/>
      <w:r w:rsidRPr="0044646B">
        <w:rPr>
          <w:color w:val="000000"/>
          <w:sz w:val="26"/>
          <w:szCs w:val="26"/>
        </w:rPr>
        <w:t>reargument</w:t>
      </w:r>
      <w:proofErr w:type="spellEnd"/>
      <w:r w:rsidRPr="0044646B">
        <w:rPr>
          <w:color w:val="000000"/>
          <w:sz w:val="26"/>
          <w:szCs w:val="26"/>
        </w:rPr>
        <w:t xml:space="preserve">, reconsideration, clarification, rescission, amendment, </w:t>
      </w:r>
      <w:proofErr w:type="spellStart"/>
      <w:r w:rsidRPr="00981203">
        <w:rPr>
          <w:i/>
          <w:color w:val="000000"/>
          <w:sz w:val="26"/>
          <w:szCs w:val="26"/>
        </w:rPr>
        <w:t>superseadeas</w:t>
      </w:r>
      <w:proofErr w:type="spellEnd"/>
      <w:r w:rsidRPr="0044646B">
        <w:rPr>
          <w:color w:val="000000"/>
          <w:sz w:val="26"/>
          <w:szCs w:val="26"/>
        </w:rPr>
        <w:t xml:space="preserve">, or the like, are required to be filed </w:t>
      </w:r>
      <w:bookmarkStart w:id="3" w:name="_Hlk531331763"/>
      <w:r w:rsidRPr="0044646B">
        <w:rPr>
          <w:color w:val="000000"/>
          <w:sz w:val="26"/>
          <w:szCs w:val="26"/>
        </w:rPr>
        <w:t xml:space="preserve">within 15 days after the Commission order involved is entered.  </w:t>
      </w:r>
      <w:bookmarkEnd w:id="3"/>
      <w:r w:rsidRPr="0044646B">
        <w:rPr>
          <w:color w:val="000000"/>
          <w:sz w:val="26"/>
          <w:szCs w:val="26"/>
        </w:rPr>
        <w:t>52</w:t>
      </w:r>
      <w:r>
        <w:rPr>
          <w:color w:val="000000"/>
          <w:sz w:val="26"/>
          <w:szCs w:val="26"/>
        </w:rPr>
        <w:t> </w:t>
      </w:r>
      <w:r w:rsidRPr="0044646B">
        <w:rPr>
          <w:color w:val="000000"/>
          <w:sz w:val="26"/>
          <w:szCs w:val="26"/>
        </w:rPr>
        <w:t xml:space="preserve">Pa. Code § 5.572(c).  </w:t>
      </w:r>
      <w:r w:rsidRPr="0044646B">
        <w:rPr>
          <w:sz w:val="26"/>
          <w:szCs w:val="26"/>
        </w:rPr>
        <w:t xml:space="preserve">Section 5.572(d) states </w:t>
      </w:r>
      <w:r w:rsidRPr="0044646B">
        <w:rPr>
          <w:color w:val="000000"/>
          <w:sz w:val="26"/>
          <w:szCs w:val="26"/>
        </w:rPr>
        <w:t xml:space="preserve">petitions </w:t>
      </w:r>
      <w:r w:rsidRPr="0044646B">
        <w:rPr>
          <w:spacing w:val="-3"/>
          <w:sz w:val="26"/>
          <w:szCs w:val="26"/>
        </w:rPr>
        <w:t>for rescission or amendment of a Commission order are permitted to be filed at any time in accordance with Section 703(g) of the Code.  52 Pa. Code § 5.572(d).</w:t>
      </w:r>
    </w:p>
  </w:footnote>
  <w:footnote w:id="9">
    <w:p w14:paraId="61807959" w14:textId="49A93545" w:rsidR="00F61B81" w:rsidRPr="0044646B" w:rsidRDefault="00F61B81" w:rsidP="00F61B81">
      <w:pPr>
        <w:pStyle w:val="FootnoteText"/>
        <w:keepNext/>
        <w:keepLines/>
        <w:widowControl/>
        <w:spacing w:after="120"/>
        <w:ind w:firstLine="720"/>
        <w:rPr>
          <w:sz w:val="26"/>
          <w:szCs w:val="26"/>
        </w:rPr>
      </w:pPr>
      <w:r w:rsidRPr="0044646B">
        <w:rPr>
          <w:rStyle w:val="FootnoteReference"/>
          <w:sz w:val="26"/>
          <w:szCs w:val="26"/>
        </w:rPr>
        <w:footnoteRef/>
      </w:r>
      <w:r w:rsidRPr="0044646B">
        <w:rPr>
          <w:sz w:val="26"/>
          <w:szCs w:val="26"/>
        </w:rPr>
        <w:tab/>
        <w:t xml:space="preserve">We find that this case is distinguishable from </w:t>
      </w:r>
      <w:r w:rsidRPr="0044646B">
        <w:rPr>
          <w:i/>
          <w:sz w:val="26"/>
          <w:szCs w:val="26"/>
        </w:rPr>
        <w:t>Wiggins, supra</w:t>
      </w:r>
      <w:r w:rsidRPr="0044646B">
        <w:rPr>
          <w:sz w:val="26"/>
          <w:szCs w:val="26"/>
        </w:rPr>
        <w:t xml:space="preserve">.  In </w:t>
      </w:r>
      <w:r w:rsidRPr="0044646B">
        <w:rPr>
          <w:i/>
          <w:sz w:val="26"/>
          <w:szCs w:val="26"/>
        </w:rPr>
        <w:t>Wiggins</w:t>
      </w:r>
      <w:r w:rsidRPr="0044646B">
        <w:rPr>
          <w:sz w:val="26"/>
          <w:szCs w:val="26"/>
        </w:rPr>
        <w:t xml:space="preserve">, we dismissed a </w:t>
      </w:r>
      <w:r w:rsidRPr="0044646B">
        <w:rPr>
          <w:i/>
          <w:sz w:val="26"/>
          <w:szCs w:val="26"/>
        </w:rPr>
        <w:t>pro se</w:t>
      </w:r>
      <w:r w:rsidRPr="0044646B">
        <w:rPr>
          <w:sz w:val="26"/>
          <w:szCs w:val="26"/>
        </w:rPr>
        <w:t xml:space="preserve"> complainant’s complaint, without prejudice, because the complainant made an effort to attend the initial hearing but could not be found in a timely manner in order to participate because he was located in a different area of the building in which the hearing was to be held</w:t>
      </w:r>
      <w:r w:rsidRPr="00900D64">
        <w:rPr>
          <w:sz w:val="26"/>
          <w:szCs w:val="26"/>
        </w:rPr>
        <w:t>.  In this case, the Complainant failed to appear for her scheduled hearing and did not answer subsequent calls by the ALJ after their initial call and conversation at the time and date of the scheduled hearing to commence the hearing as scheduled.</w:t>
      </w:r>
      <w:r>
        <w:rPr>
          <w:sz w:val="26"/>
          <w:szCs w:val="26"/>
        </w:rPr>
        <w:t xml:space="preserve"> </w:t>
      </w:r>
      <w:r w:rsidRPr="0044646B">
        <w:rPr>
          <w:sz w:val="26"/>
          <w:szCs w:val="26"/>
        </w:rPr>
        <w:t xml:space="preserve"> The Complainant did not also properly request a continuance in advance of the hearing.  There is no evidence in this case that the Complainant failed to receive the Telephonic Hearing Notices advising her of the date and time of the hearing.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63A3A"/>
    <w:multiLevelType w:val="hybridMultilevel"/>
    <w:tmpl w:val="DD5E041A"/>
    <w:lvl w:ilvl="0" w:tplc="8FD4616C">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D19D2"/>
    <w:multiLevelType w:val="hybridMultilevel"/>
    <w:tmpl w:val="17DCA908"/>
    <w:lvl w:ilvl="0" w:tplc="0409000F">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24DB26A2"/>
    <w:multiLevelType w:val="hybridMultilevel"/>
    <w:tmpl w:val="11CC0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CF72F29"/>
    <w:multiLevelType w:val="hybridMultilevel"/>
    <w:tmpl w:val="6F1CE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B2785"/>
    <w:multiLevelType w:val="hybridMultilevel"/>
    <w:tmpl w:val="1978632A"/>
    <w:lvl w:ilvl="0" w:tplc="4DF03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9841D0"/>
    <w:multiLevelType w:val="hybridMultilevel"/>
    <w:tmpl w:val="E25A443E"/>
    <w:lvl w:ilvl="0" w:tplc="1AA4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F70A56"/>
    <w:multiLevelType w:val="hybridMultilevel"/>
    <w:tmpl w:val="F058F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9079A"/>
    <w:multiLevelType w:val="hybridMultilevel"/>
    <w:tmpl w:val="0ED099A6"/>
    <w:lvl w:ilvl="0" w:tplc="C67C1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F075D"/>
    <w:multiLevelType w:val="hybridMultilevel"/>
    <w:tmpl w:val="56A42F0E"/>
    <w:lvl w:ilvl="0" w:tplc="767AC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062FDC"/>
    <w:multiLevelType w:val="hybridMultilevel"/>
    <w:tmpl w:val="B80C2E6C"/>
    <w:lvl w:ilvl="0" w:tplc="5DE234D8">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067D0"/>
    <w:multiLevelType w:val="hybridMultilevel"/>
    <w:tmpl w:val="0F00AD9C"/>
    <w:lvl w:ilvl="0" w:tplc="00180DC8">
      <w:start w:val="1"/>
      <w:numFmt w:val="decimal"/>
      <w:lvlText w:val="%1."/>
      <w:lvlJc w:val="left"/>
      <w:pPr>
        <w:ind w:left="1800" w:hanging="360"/>
      </w:pPr>
      <w:rPr>
        <w:rFonts w:ascii="Times New Roman" w:eastAsia="Times New Roman" w:hAnsi="Times New Roman" w:cs="Times New Roman" w:hint="default"/>
        <w:color w:val="0563C1"/>
        <w:sz w:val="2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5"/>
  </w:num>
  <w:num w:numId="3">
    <w:abstractNumId w:val="6"/>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2"/>
  </w:num>
  <w:num w:numId="9">
    <w:abstractNumId w:val="1"/>
  </w:num>
  <w:num w:numId="10">
    <w:abstractNumId w:val="11"/>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6"/>
    <w:rsid w:val="000038FB"/>
    <w:rsid w:val="00005FD6"/>
    <w:rsid w:val="00007A6C"/>
    <w:rsid w:val="00014C3D"/>
    <w:rsid w:val="000207EC"/>
    <w:rsid w:val="000207F0"/>
    <w:rsid w:val="000243F4"/>
    <w:rsid w:val="00024DB6"/>
    <w:rsid w:val="00027CB5"/>
    <w:rsid w:val="000306A6"/>
    <w:rsid w:val="0003143A"/>
    <w:rsid w:val="000328F0"/>
    <w:rsid w:val="00032C88"/>
    <w:rsid w:val="0003317C"/>
    <w:rsid w:val="00036A14"/>
    <w:rsid w:val="0004138C"/>
    <w:rsid w:val="00047F31"/>
    <w:rsid w:val="000533D7"/>
    <w:rsid w:val="00055F0E"/>
    <w:rsid w:val="000616F4"/>
    <w:rsid w:val="00062C45"/>
    <w:rsid w:val="00062E2B"/>
    <w:rsid w:val="00063902"/>
    <w:rsid w:val="00065A0A"/>
    <w:rsid w:val="00066646"/>
    <w:rsid w:val="000749DA"/>
    <w:rsid w:val="00077C1B"/>
    <w:rsid w:val="00077E81"/>
    <w:rsid w:val="00085774"/>
    <w:rsid w:val="00085FF5"/>
    <w:rsid w:val="00086F68"/>
    <w:rsid w:val="00092378"/>
    <w:rsid w:val="00094549"/>
    <w:rsid w:val="000979F8"/>
    <w:rsid w:val="00097FA5"/>
    <w:rsid w:val="000A16A9"/>
    <w:rsid w:val="000A6954"/>
    <w:rsid w:val="000B2EC7"/>
    <w:rsid w:val="000B4F1C"/>
    <w:rsid w:val="000B7A70"/>
    <w:rsid w:val="000C2BA1"/>
    <w:rsid w:val="000C3D9E"/>
    <w:rsid w:val="000C4E9F"/>
    <w:rsid w:val="000C62CC"/>
    <w:rsid w:val="000D29AD"/>
    <w:rsid w:val="000D3509"/>
    <w:rsid w:val="000D3CB7"/>
    <w:rsid w:val="000D6F39"/>
    <w:rsid w:val="000D7DF7"/>
    <w:rsid w:val="000E1865"/>
    <w:rsid w:val="000E29B9"/>
    <w:rsid w:val="000E513A"/>
    <w:rsid w:val="000E666E"/>
    <w:rsid w:val="000F00D1"/>
    <w:rsid w:val="000F0EA1"/>
    <w:rsid w:val="000F38C5"/>
    <w:rsid w:val="0010011C"/>
    <w:rsid w:val="001008F1"/>
    <w:rsid w:val="00104BBD"/>
    <w:rsid w:val="0010796B"/>
    <w:rsid w:val="00117BCB"/>
    <w:rsid w:val="00122019"/>
    <w:rsid w:val="00124394"/>
    <w:rsid w:val="00126A0E"/>
    <w:rsid w:val="00126C9D"/>
    <w:rsid w:val="0012749A"/>
    <w:rsid w:val="001277CD"/>
    <w:rsid w:val="001307EC"/>
    <w:rsid w:val="0013084C"/>
    <w:rsid w:val="00132DB5"/>
    <w:rsid w:val="00140ABF"/>
    <w:rsid w:val="0014180D"/>
    <w:rsid w:val="00146CCB"/>
    <w:rsid w:val="00147290"/>
    <w:rsid w:val="001559FC"/>
    <w:rsid w:val="001565C8"/>
    <w:rsid w:val="00157C0A"/>
    <w:rsid w:val="00173840"/>
    <w:rsid w:val="00174AC1"/>
    <w:rsid w:val="001777B9"/>
    <w:rsid w:val="00180FE2"/>
    <w:rsid w:val="0018300A"/>
    <w:rsid w:val="00184694"/>
    <w:rsid w:val="0018484A"/>
    <w:rsid w:val="001854A3"/>
    <w:rsid w:val="00194052"/>
    <w:rsid w:val="001A048C"/>
    <w:rsid w:val="001A4DE6"/>
    <w:rsid w:val="001B51C7"/>
    <w:rsid w:val="001C6218"/>
    <w:rsid w:val="001C6776"/>
    <w:rsid w:val="001C75C3"/>
    <w:rsid w:val="001C7D01"/>
    <w:rsid w:val="001D3C34"/>
    <w:rsid w:val="001D5644"/>
    <w:rsid w:val="001E4F37"/>
    <w:rsid w:val="001E63A2"/>
    <w:rsid w:val="001F0176"/>
    <w:rsid w:val="001F3658"/>
    <w:rsid w:val="001F38B7"/>
    <w:rsid w:val="001F3A63"/>
    <w:rsid w:val="00202574"/>
    <w:rsid w:val="0020490A"/>
    <w:rsid w:val="00205281"/>
    <w:rsid w:val="00205577"/>
    <w:rsid w:val="00205B68"/>
    <w:rsid w:val="00210277"/>
    <w:rsid w:val="00211F86"/>
    <w:rsid w:val="0021597F"/>
    <w:rsid w:val="002332D7"/>
    <w:rsid w:val="00233498"/>
    <w:rsid w:val="00241EA2"/>
    <w:rsid w:val="00247F19"/>
    <w:rsid w:val="00247F65"/>
    <w:rsid w:val="0025495F"/>
    <w:rsid w:val="00262C10"/>
    <w:rsid w:val="00270861"/>
    <w:rsid w:val="00271950"/>
    <w:rsid w:val="00273868"/>
    <w:rsid w:val="0027593A"/>
    <w:rsid w:val="00281937"/>
    <w:rsid w:val="00281B04"/>
    <w:rsid w:val="00284719"/>
    <w:rsid w:val="00284A91"/>
    <w:rsid w:val="00286790"/>
    <w:rsid w:val="0028730C"/>
    <w:rsid w:val="0028797C"/>
    <w:rsid w:val="00290532"/>
    <w:rsid w:val="00290EE6"/>
    <w:rsid w:val="00293120"/>
    <w:rsid w:val="002937C9"/>
    <w:rsid w:val="00293DE1"/>
    <w:rsid w:val="002A1852"/>
    <w:rsid w:val="002A5127"/>
    <w:rsid w:val="002A7FFC"/>
    <w:rsid w:val="002B1339"/>
    <w:rsid w:val="002B1A07"/>
    <w:rsid w:val="002B2372"/>
    <w:rsid w:val="002B2C4A"/>
    <w:rsid w:val="002C0AF8"/>
    <w:rsid w:val="002C656D"/>
    <w:rsid w:val="002C67FD"/>
    <w:rsid w:val="002C7EB8"/>
    <w:rsid w:val="002D24F0"/>
    <w:rsid w:val="002D2BEB"/>
    <w:rsid w:val="002D396E"/>
    <w:rsid w:val="002D3A26"/>
    <w:rsid w:val="002D7C8C"/>
    <w:rsid w:val="002E4A9E"/>
    <w:rsid w:val="002E5DBA"/>
    <w:rsid w:val="002F2A52"/>
    <w:rsid w:val="002F63AB"/>
    <w:rsid w:val="002F64C8"/>
    <w:rsid w:val="003042F3"/>
    <w:rsid w:val="003118C8"/>
    <w:rsid w:val="003136C0"/>
    <w:rsid w:val="0031507E"/>
    <w:rsid w:val="00316620"/>
    <w:rsid w:val="003265F5"/>
    <w:rsid w:val="00331A92"/>
    <w:rsid w:val="00333F1C"/>
    <w:rsid w:val="0033797C"/>
    <w:rsid w:val="003400E1"/>
    <w:rsid w:val="00340D38"/>
    <w:rsid w:val="0034131C"/>
    <w:rsid w:val="0034175E"/>
    <w:rsid w:val="00341E24"/>
    <w:rsid w:val="00350470"/>
    <w:rsid w:val="0035084A"/>
    <w:rsid w:val="00351D02"/>
    <w:rsid w:val="003566CC"/>
    <w:rsid w:val="00357B29"/>
    <w:rsid w:val="003611E6"/>
    <w:rsid w:val="003633ED"/>
    <w:rsid w:val="00373052"/>
    <w:rsid w:val="003731DD"/>
    <w:rsid w:val="003732D0"/>
    <w:rsid w:val="00381AEC"/>
    <w:rsid w:val="00390284"/>
    <w:rsid w:val="003903B0"/>
    <w:rsid w:val="00391B1A"/>
    <w:rsid w:val="0039367E"/>
    <w:rsid w:val="0039748A"/>
    <w:rsid w:val="00397869"/>
    <w:rsid w:val="003A0E15"/>
    <w:rsid w:val="003A58E5"/>
    <w:rsid w:val="003B152C"/>
    <w:rsid w:val="003B350E"/>
    <w:rsid w:val="003B53E7"/>
    <w:rsid w:val="003C5DFE"/>
    <w:rsid w:val="003C7BA4"/>
    <w:rsid w:val="003D4693"/>
    <w:rsid w:val="003D5C5F"/>
    <w:rsid w:val="003D666E"/>
    <w:rsid w:val="003D672A"/>
    <w:rsid w:val="003D6E8E"/>
    <w:rsid w:val="003E0D4E"/>
    <w:rsid w:val="003E4E5F"/>
    <w:rsid w:val="003E5039"/>
    <w:rsid w:val="003E552E"/>
    <w:rsid w:val="003E61CA"/>
    <w:rsid w:val="003F10BC"/>
    <w:rsid w:val="003F1F66"/>
    <w:rsid w:val="003F2439"/>
    <w:rsid w:val="0040009E"/>
    <w:rsid w:val="00400B66"/>
    <w:rsid w:val="0040264A"/>
    <w:rsid w:val="00403AB1"/>
    <w:rsid w:val="00403B54"/>
    <w:rsid w:val="0041520A"/>
    <w:rsid w:val="00420CFB"/>
    <w:rsid w:val="0042160A"/>
    <w:rsid w:val="004246A3"/>
    <w:rsid w:val="00427225"/>
    <w:rsid w:val="00430883"/>
    <w:rsid w:val="00430F39"/>
    <w:rsid w:val="004354A4"/>
    <w:rsid w:val="004363EF"/>
    <w:rsid w:val="00440D3C"/>
    <w:rsid w:val="0044122F"/>
    <w:rsid w:val="00445B90"/>
    <w:rsid w:val="00457BEE"/>
    <w:rsid w:val="00460C2C"/>
    <w:rsid w:val="004648A7"/>
    <w:rsid w:val="004668D3"/>
    <w:rsid w:val="004705CB"/>
    <w:rsid w:val="00472263"/>
    <w:rsid w:val="004739F9"/>
    <w:rsid w:val="0047495E"/>
    <w:rsid w:val="00475A4B"/>
    <w:rsid w:val="0047617A"/>
    <w:rsid w:val="00482331"/>
    <w:rsid w:val="00483B8C"/>
    <w:rsid w:val="004871AD"/>
    <w:rsid w:val="00491EAC"/>
    <w:rsid w:val="00492840"/>
    <w:rsid w:val="004938DF"/>
    <w:rsid w:val="004A0429"/>
    <w:rsid w:val="004A1A86"/>
    <w:rsid w:val="004A28A4"/>
    <w:rsid w:val="004A2C4A"/>
    <w:rsid w:val="004A380F"/>
    <w:rsid w:val="004A7365"/>
    <w:rsid w:val="004A74EC"/>
    <w:rsid w:val="004B43D1"/>
    <w:rsid w:val="004B55D3"/>
    <w:rsid w:val="004B6D0C"/>
    <w:rsid w:val="004C4510"/>
    <w:rsid w:val="004C6966"/>
    <w:rsid w:val="004D22EC"/>
    <w:rsid w:val="004D3F4C"/>
    <w:rsid w:val="004D4404"/>
    <w:rsid w:val="004D59F3"/>
    <w:rsid w:val="004E2673"/>
    <w:rsid w:val="004F3AD9"/>
    <w:rsid w:val="004F3F3F"/>
    <w:rsid w:val="00500EB2"/>
    <w:rsid w:val="00501485"/>
    <w:rsid w:val="00506398"/>
    <w:rsid w:val="00506F43"/>
    <w:rsid w:val="00507145"/>
    <w:rsid w:val="00507480"/>
    <w:rsid w:val="0051416C"/>
    <w:rsid w:val="00515E22"/>
    <w:rsid w:val="005164B8"/>
    <w:rsid w:val="0052081D"/>
    <w:rsid w:val="0052333F"/>
    <w:rsid w:val="005278A5"/>
    <w:rsid w:val="00531DA7"/>
    <w:rsid w:val="00532462"/>
    <w:rsid w:val="00552636"/>
    <w:rsid w:val="00557358"/>
    <w:rsid w:val="00564F2E"/>
    <w:rsid w:val="005650B7"/>
    <w:rsid w:val="00571E2D"/>
    <w:rsid w:val="00573C95"/>
    <w:rsid w:val="00577194"/>
    <w:rsid w:val="005814A1"/>
    <w:rsid w:val="00581B3B"/>
    <w:rsid w:val="005831D0"/>
    <w:rsid w:val="005848C6"/>
    <w:rsid w:val="00591ADF"/>
    <w:rsid w:val="005926C7"/>
    <w:rsid w:val="005A083F"/>
    <w:rsid w:val="005A4E44"/>
    <w:rsid w:val="005A5048"/>
    <w:rsid w:val="005A5939"/>
    <w:rsid w:val="005B46CD"/>
    <w:rsid w:val="005B6415"/>
    <w:rsid w:val="005B6D26"/>
    <w:rsid w:val="005B7E52"/>
    <w:rsid w:val="005C0F83"/>
    <w:rsid w:val="005C50A1"/>
    <w:rsid w:val="005D29BB"/>
    <w:rsid w:val="005D6470"/>
    <w:rsid w:val="005E10A3"/>
    <w:rsid w:val="005E3BE5"/>
    <w:rsid w:val="005E3DCA"/>
    <w:rsid w:val="005E59DE"/>
    <w:rsid w:val="005F08A1"/>
    <w:rsid w:val="005F72CA"/>
    <w:rsid w:val="005F76BA"/>
    <w:rsid w:val="005F7FEB"/>
    <w:rsid w:val="00600796"/>
    <w:rsid w:val="00601293"/>
    <w:rsid w:val="00603C36"/>
    <w:rsid w:val="00604B16"/>
    <w:rsid w:val="00606353"/>
    <w:rsid w:val="00610C8A"/>
    <w:rsid w:val="006126D4"/>
    <w:rsid w:val="00613F68"/>
    <w:rsid w:val="00614D46"/>
    <w:rsid w:val="006157AE"/>
    <w:rsid w:val="00616C44"/>
    <w:rsid w:val="00624658"/>
    <w:rsid w:val="006262F2"/>
    <w:rsid w:val="00626B80"/>
    <w:rsid w:val="00626BFB"/>
    <w:rsid w:val="00627F4F"/>
    <w:rsid w:val="0063586A"/>
    <w:rsid w:val="00641757"/>
    <w:rsid w:val="00644C69"/>
    <w:rsid w:val="00646A14"/>
    <w:rsid w:val="006513C4"/>
    <w:rsid w:val="00654C97"/>
    <w:rsid w:val="0065674A"/>
    <w:rsid w:val="006604AB"/>
    <w:rsid w:val="006604BF"/>
    <w:rsid w:val="0066095F"/>
    <w:rsid w:val="00661619"/>
    <w:rsid w:val="00661AA5"/>
    <w:rsid w:val="00674E8E"/>
    <w:rsid w:val="00674F7F"/>
    <w:rsid w:val="00681453"/>
    <w:rsid w:val="00682DD3"/>
    <w:rsid w:val="00683C21"/>
    <w:rsid w:val="00686956"/>
    <w:rsid w:val="00691948"/>
    <w:rsid w:val="006925A0"/>
    <w:rsid w:val="00694569"/>
    <w:rsid w:val="0069543F"/>
    <w:rsid w:val="006A1D9A"/>
    <w:rsid w:val="006A1E41"/>
    <w:rsid w:val="006A462D"/>
    <w:rsid w:val="006B0210"/>
    <w:rsid w:val="006B2488"/>
    <w:rsid w:val="006B3DC3"/>
    <w:rsid w:val="006B3E50"/>
    <w:rsid w:val="006B6D74"/>
    <w:rsid w:val="006C46DC"/>
    <w:rsid w:val="006C5C0E"/>
    <w:rsid w:val="006D4304"/>
    <w:rsid w:val="006D5B1B"/>
    <w:rsid w:val="006D5BF5"/>
    <w:rsid w:val="006D745F"/>
    <w:rsid w:val="006E1783"/>
    <w:rsid w:val="006E35F5"/>
    <w:rsid w:val="006E40B0"/>
    <w:rsid w:val="006E4BEF"/>
    <w:rsid w:val="006F0D6B"/>
    <w:rsid w:val="007004CC"/>
    <w:rsid w:val="007021E9"/>
    <w:rsid w:val="00703797"/>
    <w:rsid w:val="00707ED5"/>
    <w:rsid w:val="00710EA4"/>
    <w:rsid w:val="00711B8C"/>
    <w:rsid w:val="00713E1E"/>
    <w:rsid w:val="0071475D"/>
    <w:rsid w:val="00715D74"/>
    <w:rsid w:val="00717D31"/>
    <w:rsid w:val="00721606"/>
    <w:rsid w:val="00726E5E"/>
    <w:rsid w:val="00733B3A"/>
    <w:rsid w:val="00733FBF"/>
    <w:rsid w:val="00740BEB"/>
    <w:rsid w:val="00744816"/>
    <w:rsid w:val="00745D1A"/>
    <w:rsid w:val="00747261"/>
    <w:rsid w:val="00753AEA"/>
    <w:rsid w:val="00753DF4"/>
    <w:rsid w:val="007547CF"/>
    <w:rsid w:val="007555FF"/>
    <w:rsid w:val="00756F0E"/>
    <w:rsid w:val="0076027A"/>
    <w:rsid w:val="00762ADE"/>
    <w:rsid w:val="00765807"/>
    <w:rsid w:val="00770A96"/>
    <w:rsid w:val="00773DD1"/>
    <w:rsid w:val="007746C7"/>
    <w:rsid w:val="007766F9"/>
    <w:rsid w:val="00783660"/>
    <w:rsid w:val="0078438E"/>
    <w:rsid w:val="007868AD"/>
    <w:rsid w:val="00790A87"/>
    <w:rsid w:val="00796CDF"/>
    <w:rsid w:val="00797F06"/>
    <w:rsid w:val="007A3AEC"/>
    <w:rsid w:val="007A6DFE"/>
    <w:rsid w:val="007A786B"/>
    <w:rsid w:val="007B024B"/>
    <w:rsid w:val="007C2014"/>
    <w:rsid w:val="007C34EE"/>
    <w:rsid w:val="007C4AFE"/>
    <w:rsid w:val="007C5D94"/>
    <w:rsid w:val="007D6CE4"/>
    <w:rsid w:val="007E094B"/>
    <w:rsid w:val="007E1B73"/>
    <w:rsid w:val="007E32DB"/>
    <w:rsid w:val="007E5DE6"/>
    <w:rsid w:val="007E7197"/>
    <w:rsid w:val="007F1C67"/>
    <w:rsid w:val="007F41FD"/>
    <w:rsid w:val="007F587A"/>
    <w:rsid w:val="0080096B"/>
    <w:rsid w:val="008057C6"/>
    <w:rsid w:val="00812686"/>
    <w:rsid w:val="00814423"/>
    <w:rsid w:val="008220F2"/>
    <w:rsid w:val="00822453"/>
    <w:rsid w:val="00832981"/>
    <w:rsid w:val="00834BD9"/>
    <w:rsid w:val="00834EB8"/>
    <w:rsid w:val="008412B0"/>
    <w:rsid w:val="00843622"/>
    <w:rsid w:val="0084527A"/>
    <w:rsid w:val="0084709A"/>
    <w:rsid w:val="008537CB"/>
    <w:rsid w:val="008540FF"/>
    <w:rsid w:val="008558BF"/>
    <w:rsid w:val="00855DF5"/>
    <w:rsid w:val="00862389"/>
    <w:rsid w:val="0086312B"/>
    <w:rsid w:val="00867B31"/>
    <w:rsid w:val="0087367C"/>
    <w:rsid w:val="008736B7"/>
    <w:rsid w:val="00873828"/>
    <w:rsid w:val="00873D97"/>
    <w:rsid w:val="00873F67"/>
    <w:rsid w:val="00876436"/>
    <w:rsid w:val="00877396"/>
    <w:rsid w:val="008779DB"/>
    <w:rsid w:val="00877B07"/>
    <w:rsid w:val="00881A25"/>
    <w:rsid w:val="00882434"/>
    <w:rsid w:val="00884262"/>
    <w:rsid w:val="00885328"/>
    <w:rsid w:val="00885E00"/>
    <w:rsid w:val="00892371"/>
    <w:rsid w:val="0089265E"/>
    <w:rsid w:val="008939C2"/>
    <w:rsid w:val="00893C38"/>
    <w:rsid w:val="008A133C"/>
    <w:rsid w:val="008B17FA"/>
    <w:rsid w:val="008B26D7"/>
    <w:rsid w:val="008B6A7F"/>
    <w:rsid w:val="008C19C9"/>
    <w:rsid w:val="008C2C13"/>
    <w:rsid w:val="008C5AFE"/>
    <w:rsid w:val="008C7941"/>
    <w:rsid w:val="008D14E5"/>
    <w:rsid w:val="008D1D9B"/>
    <w:rsid w:val="008E06F7"/>
    <w:rsid w:val="008E143D"/>
    <w:rsid w:val="008E453B"/>
    <w:rsid w:val="008E78CA"/>
    <w:rsid w:val="008E7E77"/>
    <w:rsid w:val="00900D64"/>
    <w:rsid w:val="009010BF"/>
    <w:rsid w:val="00901F40"/>
    <w:rsid w:val="00910F79"/>
    <w:rsid w:val="00911044"/>
    <w:rsid w:val="009115A4"/>
    <w:rsid w:val="00913D14"/>
    <w:rsid w:val="00921EF3"/>
    <w:rsid w:val="009269E8"/>
    <w:rsid w:val="00930C55"/>
    <w:rsid w:val="00931373"/>
    <w:rsid w:val="00944056"/>
    <w:rsid w:val="00944A3B"/>
    <w:rsid w:val="00946000"/>
    <w:rsid w:val="009466A3"/>
    <w:rsid w:val="00947BCC"/>
    <w:rsid w:val="00951129"/>
    <w:rsid w:val="009570C2"/>
    <w:rsid w:val="009619E7"/>
    <w:rsid w:val="00964127"/>
    <w:rsid w:val="00966A49"/>
    <w:rsid w:val="00967263"/>
    <w:rsid w:val="00971A89"/>
    <w:rsid w:val="00973A82"/>
    <w:rsid w:val="00973BEC"/>
    <w:rsid w:val="009770F4"/>
    <w:rsid w:val="009834BD"/>
    <w:rsid w:val="00986EE2"/>
    <w:rsid w:val="00990CD8"/>
    <w:rsid w:val="00991318"/>
    <w:rsid w:val="009915F0"/>
    <w:rsid w:val="009967C2"/>
    <w:rsid w:val="009A05CD"/>
    <w:rsid w:val="009A106C"/>
    <w:rsid w:val="009A15B2"/>
    <w:rsid w:val="009A1607"/>
    <w:rsid w:val="009A226D"/>
    <w:rsid w:val="009A2724"/>
    <w:rsid w:val="009A482F"/>
    <w:rsid w:val="009A4B67"/>
    <w:rsid w:val="009C0A32"/>
    <w:rsid w:val="009C3A3E"/>
    <w:rsid w:val="009C5538"/>
    <w:rsid w:val="009D3139"/>
    <w:rsid w:val="009D61A3"/>
    <w:rsid w:val="009D6D83"/>
    <w:rsid w:val="009D7B90"/>
    <w:rsid w:val="009E20F8"/>
    <w:rsid w:val="009E6A45"/>
    <w:rsid w:val="009F01B9"/>
    <w:rsid w:val="009F0BCF"/>
    <w:rsid w:val="009F10EE"/>
    <w:rsid w:val="009F2EC6"/>
    <w:rsid w:val="00A00452"/>
    <w:rsid w:val="00A01339"/>
    <w:rsid w:val="00A026BC"/>
    <w:rsid w:val="00A05A19"/>
    <w:rsid w:val="00A06C57"/>
    <w:rsid w:val="00A14D17"/>
    <w:rsid w:val="00A1682B"/>
    <w:rsid w:val="00A23311"/>
    <w:rsid w:val="00A251D7"/>
    <w:rsid w:val="00A3095E"/>
    <w:rsid w:val="00A31D5A"/>
    <w:rsid w:val="00A33402"/>
    <w:rsid w:val="00A34A4B"/>
    <w:rsid w:val="00A34C41"/>
    <w:rsid w:val="00A434C0"/>
    <w:rsid w:val="00A4385A"/>
    <w:rsid w:val="00A44D54"/>
    <w:rsid w:val="00A46686"/>
    <w:rsid w:val="00A52C11"/>
    <w:rsid w:val="00A53556"/>
    <w:rsid w:val="00A53B95"/>
    <w:rsid w:val="00A544A7"/>
    <w:rsid w:val="00A5453B"/>
    <w:rsid w:val="00A62430"/>
    <w:rsid w:val="00A631F5"/>
    <w:rsid w:val="00A64097"/>
    <w:rsid w:val="00A66DA4"/>
    <w:rsid w:val="00A72295"/>
    <w:rsid w:val="00A7505C"/>
    <w:rsid w:val="00A77404"/>
    <w:rsid w:val="00A86DB0"/>
    <w:rsid w:val="00A9079D"/>
    <w:rsid w:val="00A92891"/>
    <w:rsid w:val="00A95023"/>
    <w:rsid w:val="00A97A4A"/>
    <w:rsid w:val="00AA0B3E"/>
    <w:rsid w:val="00AA0DBD"/>
    <w:rsid w:val="00AA35FA"/>
    <w:rsid w:val="00AA79BA"/>
    <w:rsid w:val="00AB75E9"/>
    <w:rsid w:val="00AC1594"/>
    <w:rsid w:val="00AC201A"/>
    <w:rsid w:val="00AC2873"/>
    <w:rsid w:val="00AC3619"/>
    <w:rsid w:val="00AC446E"/>
    <w:rsid w:val="00AC4B41"/>
    <w:rsid w:val="00AC5EAF"/>
    <w:rsid w:val="00AC6661"/>
    <w:rsid w:val="00AC7B96"/>
    <w:rsid w:val="00AD3F45"/>
    <w:rsid w:val="00AD7439"/>
    <w:rsid w:val="00AE0894"/>
    <w:rsid w:val="00AE2496"/>
    <w:rsid w:val="00AE4474"/>
    <w:rsid w:val="00AF1646"/>
    <w:rsid w:val="00B00105"/>
    <w:rsid w:val="00B04A04"/>
    <w:rsid w:val="00B058A1"/>
    <w:rsid w:val="00B05E9E"/>
    <w:rsid w:val="00B06B89"/>
    <w:rsid w:val="00B07A0B"/>
    <w:rsid w:val="00B10D59"/>
    <w:rsid w:val="00B10E89"/>
    <w:rsid w:val="00B10F54"/>
    <w:rsid w:val="00B17C9E"/>
    <w:rsid w:val="00B20EEF"/>
    <w:rsid w:val="00B21FDB"/>
    <w:rsid w:val="00B22B37"/>
    <w:rsid w:val="00B27D7F"/>
    <w:rsid w:val="00B408BF"/>
    <w:rsid w:val="00B463D4"/>
    <w:rsid w:val="00B46514"/>
    <w:rsid w:val="00B46AD4"/>
    <w:rsid w:val="00B51FAE"/>
    <w:rsid w:val="00B5494B"/>
    <w:rsid w:val="00B5528E"/>
    <w:rsid w:val="00B55E0B"/>
    <w:rsid w:val="00B55E2B"/>
    <w:rsid w:val="00B6033B"/>
    <w:rsid w:val="00B60ED3"/>
    <w:rsid w:val="00B625F1"/>
    <w:rsid w:val="00B6589C"/>
    <w:rsid w:val="00B76CFE"/>
    <w:rsid w:val="00B779D2"/>
    <w:rsid w:val="00B82170"/>
    <w:rsid w:val="00B859E6"/>
    <w:rsid w:val="00B93BC3"/>
    <w:rsid w:val="00B946BC"/>
    <w:rsid w:val="00B94AED"/>
    <w:rsid w:val="00B9769C"/>
    <w:rsid w:val="00BA0B53"/>
    <w:rsid w:val="00BB169A"/>
    <w:rsid w:val="00BB5C84"/>
    <w:rsid w:val="00BB6239"/>
    <w:rsid w:val="00BC03F2"/>
    <w:rsid w:val="00BC3017"/>
    <w:rsid w:val="00BC43F2"/>
    <w:rsid w:val="00BC7D2F"/>
    <w:rsid w:val="00BD70D6"/>
    <w:rsid w:val="00BF238E"/>
    <w:rsid w:val="00BF23FC"/>
    <w:rsid w:val="00BF466E"/>
    <w:rsid w:val="00BF7AC0"/>
    <w:rsid w:val="00C0136D"/>
    <w:rsid w:val="00C036C1"/>
    <w:rsid w:val="00C04D45"/>
    <w:rsid w:val="00C05183"/>
    <w:rsid w:val="00C0785B"/>
    <w:rsid w:val="00C13274"/>
    <w:rsid w:val="00C15EDA"/>
    <w:rsid w:val="00C321B5"/>
    <w:rsid w:val="00C3448A"/>
    <w:rsid w:val="00C346EA"/>
    <w:rsid w:val="00C362B6"/>
    <w:rsid w:val="00C4384F"/>
    <w:rsid w:val="00C43FDC"/>
    <w:rsid w:val="00C45FAF"/>
    <w:rsid w:val="00C52E47"/>
    <w:rsid w:val="00C53428"/>
    <w:rsid w:val="00C53B81"/>
    <w:rsid w:val="00C53D37"/>
    <w:rsid w:val="00C57619"/>
    <w:rsid w:val="00C57A36"/>
    <w:rsid w:val="00C57D54"/>
    <w:rsid w:val="00C60DD0"/>
    <w:rsid w:val="00C631FF"/>
    <w:rsid w:val="00C63A45"/>
    <w:rsid w:val="00C658C0"/>
    <w:rsid w:val="00C676AC"/>
    <w:rsid w:val="00C67EDA"/>
    <w:rsid w:val="00C73014"/>
    <w:rsid w:val="00C83FA7"/>
    <w:rsid w:val="00C84168"/>
    <w:rsid w:val="00C86EDF"/>
    <w:rsid w:val="00C878E7"/>
    <w:rsid w:val="00C916D1"/>
    <w:rsid w:val="00C9465A"/>
    <w:rsid w:val="00CA1440"/>
    <w:rsid w:val="00CA1BEF"/>
    <w:rsid w:val="00CA479C"/>
    <w:rsid w:val="00CA6C13"/>
    <w:rsid w:val="00CA796F"/>
    <w:rsid w:val="00CB17AD"/>
    <w:rsid w:val="00CB1C4C"/>
    <w:rsid w:val="00CB43A5"/>
    <w:rsid w:val="00CC3584"/>
    <w:rsid w:val="00CC64ED"/>
    <w:rsid w:val="00CD2214"/>
    <w:rsid w:val="00CD4BA2"/>
    <w:rsid w:val="00CD5C4D"/>
    <w:rsid w:val="00CD6108"/>
    <w:rsid w:val="00CE421F"/>
    <w:rsid w:val="00CE43D8"/>
    <w:rsid w:val="00CE4678"/>
    <w:rsid w:val="00CE4FA2"/>
    <w:rsid w:val="00CE69FD"/>
    <w:rsid w:val="00CF3F20"/>
    <w:rsid w:val="00CF4933"/>
    <w:rsid w:val="00CF7507"/>
    <w:rsid w:val="00D00409"/>
    <w:rsid w:val="00D00480"/>
    <w:rsid w:val="00D02E86"/>
    <w:rsid w:val="00D07716"/>
    <w:rsid w:val="00D10DFF"/>
    <w:rsid w:val="00D13F6C"/>
    <w:rsid w:val="00D14129"/>
    <w:rsid w:val="00D15AB1"/>
    <w:rsid w:val="00D16672"/>
    <w:rsid w:val="00D17290"/>
    <w:rsid w:val="00D217BD"/>
    <w:rsid w:val="00D22DF9"/>
    <w:rsid w:val="00D238C2"/>
    <w:rsid w:val="00D25039"/>
    <w:rsid w:val="00D328B8"/>
    <w:rsid w:val="00D34E70"/>
    <w:rsid w:val="00D45052"/>
    <w:rsid w:val="00D477ED"/>
    <w:rsid w:val="00D549A2"/>
    <w:rsid w:val="00D60404"/>
    <w:rsid w:val="00D62B18"/>
    <w:rsid w:val="00D65D1A"/>
    <w:rsid w:val="00D670DD"/>
    <w:rsid w:val="00D67BFD"/>
    <w:rsid w:val="00D74062"/>
    <w:rsid w:val="00D741F0"/>
    <w:rsid w:val="00D7695A"/>
    <w:rsid w:val="00D8123D"/>
    <w:rsid w:val="00D81BE7"/>
    <w:rsid w:val="00D83B4C"/>
    <w:rsid w:val="00D84123"/>
    <w:rsid w:val="00D87F1F"/>
    <w:rsid w:val="00D9277B"/>
    <w:rsid w:val="00D92D3E"/>
    <w:rsid w:val="00D952C3"/>
    <w:rsid w:val="00DB428E"/>
    <w:rsid w:val="00DB65E9"/>
    <w:rsid w:val="00DC55F5"/>
    <w:rsid w:val="00DC7ACB"/>
    <w:rsid w:val="00DD002F"/>
    <w:rsid w:val="00DD1F91"/>
    <w:rsid w:val="00DD59D8"/>
    <w:rsid w:val="00DD63DA"/>
    <w:rsid w:val="00DE12D6"/>
    <w:rsid w:val="00DE1903"/>
    <w:rsid w:val="00DE3DDF"/>
    <w:rsid w:val="00DE41F2"/>
    <w:rsid w:val="00DE5EF8"/>
    <w:rsid w:val="00DE6283"/>
    <w:rsid w:val="00DE6D71"/>
    <w:rsid w:val="00DE73D0"/>
    <w:rsid w:val="00DF2061"/>
    <w:rsid w:val="00DF3738"/>
    <w:rsid w:val="00DF41EF"/>
    <w:rsid w:val="00E01C9B"/>
    <w:rsid w:val="00E05C79"/>
    <w:rsid w:val="00E065A6"/>
    <w:rsid w:val="00E068AB"/>
    <w:rsid w:val="00E0717C"/>
    <w:rsid w:val="00E07340"/>
    <w:rsid w:val="00E1048D"/>
    <w:rsid w:val="00E10E27"/>
    <w:rsid w:val="00E11FBD"/>
    <w:rsid w:val="00E1292C"/>
    <w:rsid w:val="00E1459E"/>
    <w:rsid w:val="00E177BA"/>
    <w:rsid w:val="00E205A7"/>
    <w:rsid w:val="00E22093"/>
    <w:rsid w:val="00E22442"/>
    <w:rsid w:val="00E227EE"/>
    <w:rsid w:val="00E23B04"/>
    <w:rsid w:val="00E24439"/>
    <w:rsid w:val="00E2754B"/>
    <w:rsid w:val="00E31049"/>
    <w:rsid w:val="00E317AF"/>
    <w:rsid w:val="00E31C87"/>
    <w:rsid w:val="00E33E1F"/>
    <w:rsid w:val="00E4428D"/>
    <w:rsid w:val="00E50333"/>
    <w:rsid w:val="00E5102C"/>
    <w:rsid w:val="00E5437E"/>
    <w:rsid w:val="00E54EDD"/>
    <w:rsid w:val="00E661CB"/>
    <w:rsid w:val="00E739F2"/>
    <w:rsid w:val="00E73ADF"/>
    <w:rsid w:val="00E74C2B"/>
    <w:rsid w:val="00E74F63"/>
    <w:rsid w:val="00E801B3"/>
    <w:rsid w:val="00E82CDF"/>
    <w:rsid w:val="00E84955"/>
    <w:rsid w:val="00E8586A"/>
    <w:rsid w:val="00E92AC8"/>
    <w:rsid w:val="00EA1553"/>
    <w:rsid w:val="00EA5945"/>
    <w:rsid w:val="00EB1BC8"/>
    <w:rsid w:val="00EB267E"/>
    <w:rsid w:val="00EB335F"/>
    <w:rsid w:val="00EB5427"/>
    <w:rsid w:val="00EC0380"/>
    <w:rsid w:val="00EC1E36"/>
    <w:rsid w:val="00EC355A"/>
    <w:rsid w:val="00EC5AB8"/>
    <w:rsid w:val="00ED4AB6"/>
    <w:rsid w:val="00ED6D2A"/>
    <w:rsid w:val="00ED7B4D"/>
    <w:rsid w:val="00EE4DBA"/>
    <w:rsid w:val="00EE5603"/>
    <w:rsid w:val="00EE5688"/>
    <w:rsid w:val="00EE779B"/>
    <w:rsid w:val="00EF214E"/>
    <w:rsid w:val="00EF36D9"/>
    <w:rsid w:val="00EF71B1"/>
    <w:rsid w:val="00F002BB"/>
    <w:rsid w:val="00F02C96"/>
    <w:rsid w:val="00F10F07"/>
    <w:rsid w:val="00F2341A"/>
    <w:rsid w:val="00F24AFE"/>
    <w:rsid w:val="00F3088E"/>
    <w:rsid w:val="00F3114C"/>
    <w:rsid w:val="00F31C44"/>
    <w:rsid w:val="00F3319A"/>
    <w:rsid w:val="00F37AB6"/>
    <w:rsid w:val="00F41A6A"/>
    <w:rsid w:val="00F4320E"/>
    <w:rsid w:val="00F465BA"/>
    <w:rsid w:val="00F503BB"/>
    <w:rsid w:val="00F61B81"/>
    <w:rsid w:val="00F65247"/>
    <w:rsid w:val="00F6525D"/>
    <w:rsid w:val="00F662D7"/>
    <w:rsid w:val="00F735AD"/>
    <w:rsid w:val="00F812A1"/>
    <w:rsid w:val="00F8404B"/>
    <w:rsid w:val="00F861A5"/>
    <w:rsid w:val="00F8631E"/>
    <w:rsid w:val="00F90B27"/>
    <w:rsid w:val="00F91FC0"/>
    <w:rsid w:val="00F95803"/>
    <w:rsid w:val="00F96907"/>
    <w:rsid w:val="00FA07C5"/>
    <w:rsid w:val="00FA7059"/>
    <w:rsid w:val="00FA79D3"/>
    <w:rsid w:val="00FA7D1F"/>
    <w:rsid w:val="00FB0243"/>
    <w:rsid w:val="00FB2521"/>
    <w:rsid w:val="00FB53CD"/>
    <w:rsid w:val="00FC06A4"/>
    <w:rsid w:val="00FD5DB8"/>
    <w:rsid w:val="00FD609D"/>
    <w:rsid w:val="00FD710C"/>
    <w:rsid w:val="00FD729A"/>
    <w:rsid w:val="00FD79C8"/>
    <w:rsid w:val="00FD79D5"/>
    <w:rsid w:val="00FE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8D81F"/>
  <w15:chartTrackingRefBased/>
  <w15:docId w15:val="{D678FBF3-B2D6-4AED-B52B-E2D5560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76"/>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C878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1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F0176"/>
    <w:pPr>
      <w:widowControl/>
      <w:spacing w:before="100" w:beforeAutospacing="1" w:after="100" w:afterAutospacing="1"/>
    </w:pPr>
    <w:rPr>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FOOTNOTE"/>
    <w:basedOn w:val="Normal"/>
    <w:link w:val="FootnoteTextChar"/>
    <w:uiPriority w:val="99"/>
    <w:unhideWhenUsed/>
    <w:qFormat/>
    <w:rsid w:val="001F0176"/>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1F0176"/>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Style 13,Style 12,Style 28,(NECG) Footnote Reference,Style 11,Style 9,Style 16,Style 15,o1,fr1,o2,fr2,o3,fr3,Style 124,FR,Footnote Reference/"/>
    <w:basedOn w:val="DefaultParagraphFont"/>
    <w:unhideWhenUsed/>
    <w:rsid w:val="001F0176"/>
    <w:rPr>
      <w:vertAlign w:val="superscript"/>
    </w:rPr>
  </w:style>
  <w:style w:type="character" w:customStyle="1" w:styleId="term1">
    <w:name w:val="term1"/>
    <w:basedOn w:val="DefaultParagraphFont"/>
    <w:rsid w:val="001F0176"/>
    <w:rPr>
      <w:b/>
      <w:bCs/>
    </w:rPr>
  </w:style>
  <w:style w:type="paragraph" w:customStyle="1" w:styleId="Default">
    <w:name w:val="Default"/>
    <w:rsid w:val="001C75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0785B"/>
    <w:pPr>
      <w:ind w:left="720"/>
      <w:contextualSpacing/>
    </w:pPr>
  </w:style>
  <w:style w:type="paragraph" w:styleId="Header">
    <w:name w:val="header"/>
    <w:basedOn w:val="Normal"/>
    <w:link w:val="HeaderChar"/>
    <w:uiPriority w:val="99"/>
    <w:unhideWhenUsed/>
    <w:rsid w:val="009D3139"/>
    <w:pPr>
      <w:tabs>
        <w:tab w:val="center" w:pos="4680"/>
        <w:tab w:val="right" w:pos="9360"/>
      </w:tabs>
    </w:pPr>
  </w:style>
  <w:style w:type="character" w:customStyle="1" w:styleId="HeaderChar">
    <w:name w:val="Header Char"/>
    <w:basedOn w:val="DefaultParagraphFont"/>
    <w:link w:val="Header"/>
    <w:uiPriority w:val="99"/>
    <w:rsid w:val="009D3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3139"/>
    <w:pPr>
      <w:tabs>
        <w:tab w:val="center" w:pos="4680"/>
        <w:tab w:val="right" w:pos="9360"/>
      </w:tabs>
    </w:pPr>
  </w:style>
  <w:style w:type="character" w:customStyle="1" w:styleId="FooterChar">
    <w:name w:val="Footer Char"/>
    <w:basedOn w:val="DefaultParagraphFont"/>
    <w:link w:val="Footer"/>
    <w:uiPriority w:val="99"/>
    <w:rsid w:val="009D31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4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6A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246A3"/>
    <w:rPr>
      <w:sz w:val="16"/>
      <w:szCs w:val="16"/>
    </w:rPr>
  </w:style>
  <w:style w:type="paragraph" w:styleId="CommentText">
    <w:name w:val="annotation text"/>
    <w:basedOn w:val="Normal"/>
    <w:link w:val="CommentTextChar"/>
    <w:uiPriority w:val="99"/>
    <w:semiHidden/>
    <w:unhideWhenUsed/>
    <w:rsid w:val="004246A3"/>
  </w:style>
  <w:style w:type="character" w:customStyle="1" w:styleId="CommentTextChar">
    <w:name w:val="Comment Text Char"/>
    <w:basedOn w:val="DefaultParagraphFont"/>
    <w:link w:val="CommentText"/>
    <w:uiPriority w:val="99"/>
    <w:semiHidden/>
    <w:rsid w:val="004246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46A3"/>
    <w:rPr>
      <w:b/>
      <w:bCs/>
    </w:rPr>
  </w:style>
  <w:style w:type="character" w:customStyle="1" w:styleId="CommentSubjectChar">
    <w:name w:val="Comment Subject Char"/>
    <w:basedOn w:val="CommentTextChar"/>
    <w:link w:val="CommentSubject"/>
    <w:uiPriority w:val="99"/>
    <w:semiHidden/>
    <w:rsid w:val="004246A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D7B4D"/>
    <w:rPr>
      <w:color w:val="0563C1"/>
      <w:u w:val="single"/>
    </w:rPr>
  </w:style>
  <w:style w:type="character" w:customStyle="1" w:styleId="Heading2Char">
    <w:name w:val="Heading 2 Char"/>
    <w:basedOn w:val="DefaultParagraphFont"/>
    <w:link w:val="Heading2"/>
    <w:uiPriority w:val="9"/>
    <w:semiHidden/>
    <w:rsid w:val="00C878E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DE3DDF"/>
    <w:pPr>
      <w:spacing w:after="100"/>
    </w:pPr>
    <w:rPr>
      <w:sz w:val="26"/>
    </w:rPr>
  </w:style>
  <w:style w:type="paragraph" w:styleId="TOC2">
    <w:name w:val="toc 2"/>
    <w:basedOn w:val="Normal"/>
    <w:next w:val="Normal"/>
    <w:autoRedefine/>
    <w:uiPriority w:val="39"/>
    <w:unhideWhenUsed/>
    <w:rsid w:val="00DE3DDF"/>
    <w:pPr>
      <w:tabs>
        <w:tab w:val="left" w:pos="1440"/>
        <w:tab w:val="right" w:leader="dot" w:pos="9350"/>
      </w:tabs>
      <w:spacing w:after="100"/>
      <w:ind w:left="200" w:firstLine="520"/>
    </w:pPr>
    <w:rPr>
      <w:sz w:val="26"/>
    </w:rPr>
  </w:style>
  <w:style w:type="paragraph" w:styleId="TOC3">
    <w:name w:val="toc 3"/>
    <w:basedOn w:val="Normal"/>
    <w:next w:val="Normal"/>
    <w:autoRedefine/>
    <w:uiPriority w:val="39"/>
    <w:unhideWhenUsed/>
    <w:rsid w:val="00DE3DDF"/>
    <w:pPr>
      <w:tabs>
        <w:tab w:val="left" w:pos="880"/>
        <w:tab w:val="left" w:pos="1890"/>
        <w:tab w:val="right" w:leader="dot" w:pos="9350"/>
      </w:tabs>
      <w:spacing w:after="100"/>
      <w:ind w:left="400" w:firstLine="1040"/>
    </w:pPr>
    <w:rPr>
      <w:sz w:val="26"/>
    </w:rPr>
  </w:style>
  <w:style w:type="character" w:customStyle="1" w:styleId="fnChar1">
    <w:name w:val="fn Char1"/>
    <w:aliases w:val="ALTS FOOTNOTE Char1,Footnote Text 2 Char,Footnote text Char,FOOTNOTE Char,ALTS FOOTNOTE Char Char,fn Char Char,ALTS FOOTNOTE Char Char Char Char,f Char"/>
    <w:uiPriority w:val="99"/>
    <w:rsid w:val="00460C2C"/>
    <w:rPr>
      <w:rFonts w:eastAsia="SimSun" w:cs="Times New Roman"/>
      <w:szCs w:val="20"/>
    </w:rPr>
  </w:style>
  <w:style w:type="paragraph" w:styleId="TOC4">
    <w:name w:val="toc 4"/>
    <w:basedOn w:val="Normal"/>
    <w:next w:val="Normal"/>
    <w:autoRedefine/>
    <w:uiPriority w:val="39"/>
    <w:semiHidden/>
    <w:unhideWhenUsed/>
    <w:rsid w:val="00DE3DDF"/>
    <w:pPr>
      <w:tabs>
        <w:tab w:val="left" w:pos="2160"/>
      </w:tabs>
      <w:spacing w:after="100"/>
      <w:ind w:left="60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5407">
      <w:bodyDiv w:val="1"/>
      <w:marLeft w:val="0"/>
      <w:marRight w:val="0"/>
      <w:marTop w:val="0"/>
      <w:marBottom w:val="0"/>
      <w:divBdr>
        <w:top w:val="none" w:sz="0" w:space="0" w:color="auto"/>
        <w:left w:val="none" w:sz="0" w:space="0" w:color="auto"/>
        <w:bottom w:val="none" w:sz="0" w:space="0" w:color="auto"/>
        <w:right w:val="none" w:sz="0" w:space="0" w:color="auto"/>
      </w:divBdr>
    </w:div>
    <w:div w:id="246891007">
      <w:bodyDiv w:val="1"/>
      <w:marLeft w:val="0"/>
      <w:marRight w:val="0"/>
      <w:marTop w:val="0"/>
      <w:marBottom w:val="0"/>
      <w:divBdr>
        <w:top w:val="none" w:sz="0" w:space="0" w:color="auto"/>
        <w:left w:val="none" w:sz="0" w:space="0" w:color="auto"/>
        <w:bottom w:val="none" w:sz="0" w:space="0" w:color="auto"/>
        <w:right w:val="none" w:sz="0" w:space="0" w:color="auto"/>
      </w:divBdr>
    </w:div>
    <w:div w:id="555046091">
      <w:bodyDiv w:val="1"/>
      <w:marLeft w:val="0"/>
      <w:marRight w:val="0"/>
      <w:marTop w:val="0"/>
      <w:marBottom w:val="0"/>
      <w:divBdr>
        <w:top w:val="none" w:sz="0" w:space="0" w:color="auto"/>
        <w:left w:val="none" w:sz="0" w:space="0" w:color="auto"/>
        <w:bottom w:val="none" w:sz="0" w:space="0" w:color="auto"/>
        <w:right w:val="none" w:sz="0" w:space="0" w:color="auto"/>
      </w:divBdr>
    </w:div>
    <w:div w:id="583612885">
      <w:bodyDiv w:val="1"/>
      <w:marLeft w:val="0"/>
      <w:marRight w:val="0"/>
      <w:marTop w:val="0"/>
      <w:marBottom w:val="0"/>
      <w:divBdr>
        <w:top w:val="none" w:sz="0" w:space="0" w:color="auto"/>
        <w:left w:val="none" w:sz="0" w:space="0" w:color="auto"/>
        <w:bottom w:val="none" w:sz="0" w:space="0" w:color="auto"/>
        <w:right w:val="none" w:sz="0" w:space="0" w:color="auto"/>
      </w:divBdr>
    </w:div>
    <w:div w:id="861551793">
      <w:bodyDiv w:val="1"/>
      <w:marLeft w:val="0"/>
      <w:marRight w:val="0"/>
      <w:marTop w:val="0"/>
      <w:marBottom w:val="0"/>
      <w:divBdr>
        <w:top w:val="none" w:sz="0" w:space="0" w:color="auto"/>
        <w:left w:val="none" w:sz="0" w:space="0" w:color="auto"/>
        <w:bottom w:val="none" w:sz="0" w:space="0" w:color="auto"/>
        <w:right w:val="none" w:sz="0" w:space="0" w:color="auto"/>
      </w:divBdr>
    </w:div>
    <w:div w:id="1506627723">
      <w:bodyDiv w:val="1"/>
      <w:marLeft w:val="0"/>
      <w:marRight w:val="0"/>
      <w:marTop w:val="0"/>
      <w:marBottom w:val="0"/>
      <w:divBdr>
        <w:top w:val="none" w:sz="0" w:space="0" w:color="auto"/>
        <w:left w:val="none" w:sz="0" w:space="0" w:color="auto"/>
        <w:bottom w:val="none" w:sz="0" w:space="0" w:color="auto"/>
        <w:right w:val="none" w:sz="0" w:space="0" w:color="auto"/>
      </w:divBdr>
    </w:div>
    <w:div w:id="1757163351">
      <w:bodyDiv w:val="1"/>
      <w:marLeft w:val="0"/>
      <w:marRight w:val="0"/>
      <w:marTop w:val="0"/>
      <w:marBottom w:val="0"/>
      <w:divBdr>
        <w:top w:val="none" w:sz="0" w:space="0" w:color="auto"/>
        <w:left w:val="none" w:sz="0" w:space="0" w:color="auto"/>
        <w:bottom w:val="none" w:sz="0" w:space="0" w:color="auto"/>
        <w:right w:val="none" w:sz="0" w:space="0" w:color="auto"/>
      </w:divBdr>
    </w:div>
    <w:div w:id="1935941545">
      <w:bodyDiv w:val="1"/>
      <w:marLeft w:val="0"/>
      <w:marRight w:val="0"/>
      <w:marTop w:val="0"/>
      <w:marBottom w:val="0"/>
      <w:divBdr>
        <w:top w:val="none" w:sz="0" w:space="0" w:color="auto"/>
        <w:left w:val="none" w:sz="0" w:space="0" w:color="auto"/>
        <w:bottom w:val="none" w:sz="0" w:space="0" w:color="auto"/>
        <w:right w:val="none" w:sz="0" w:space="0" w:color="auto"/>
      </w:divBdr>
    </w:div>
    <w:div w:id="194048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2A97-A1A8-468E-88D1-7FBF3D3EB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3D2D0C-8782-4B85-B53D-86AC8942F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C7554-4590-463C-B12E-C4B971C6105B}">
  <ds:schemaRefs>
    <ds:schemaRef ds:uri="http://schemas.microsoft.com/sharepoint/v3/contenttype/forms"/>
  </ds:schemaRefs>
</ds:datastoreItem>
</file>

<file path=customXml/itemProps4.xml><?xml version="1.0" encoding="utf-8"?>
<ds:datastoreItem xmlns:ds="http://schemas.openxmlformats.org/officeDocument/2006/customXml" ds:itemID="{00CD366F-44E6-49F4-8B88-B8B061C5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4788</Words>
  <Characters>27296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 Januzzi, Elizabeth</dc:creator>
  <cp:keywords/>
  <dc:description/>
  <cp:lastModifiedBy>Sheffer, Ryan</cp:lastModifiedBy>
  <cp:revision>3</cp:revision>
  <cp:lastPrinted>2019-09-24T13:11:00Z</cp:lastPrinted>
  <dcterms:created xsi:type="dcterms:W3CDTF">2020-07-28T15:46:00Z</dcterms:created>
  <dcterms:modified xsi:type="dcterms:W3CDTF">2020-08-06T15:23:00Z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