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48130C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577603">
      <w:pPr>
        <w:jc w:val="center"/>
        <w:rPr>
          <w:rFonts w:ascii="Times New Roman" w:hAnsi="Times New Roman"/>
          <w:sz w:val="24"/>
          <w:szCs w:val="24"/>
        </w:rPr>
      </w:pPr>
    </w:p>
    <w:p w14:paraId="173E0AB4" w14:textId="4A1CD7FB"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606F2F">
        <w:rPr>
          <w:rFonts w:ascii="Times New Roman" w:hAnsi="Times New Roman"/>
          <w:sz w:val="24"/>
          <w:szCs w:val="24"/>
        </w:rPr>
        <w:t>August 6, 2020</w:t>
      </w:r>
    </w:p>
    <w:p w14:paraId="685280F8" w14:textId="4FE139F5" w:rsidR="00035460" w:rsidRPr="00985C3A" w:rsidRDefault="00035460" w:rsidP="00577603">
      <w:pPr>
        <w:rPr>
          <w:rFonts w:ascii="Times New Roman" w:hAnsi="Times New Roman"/>
          <w:sz w:val="24"/>
          <w:szCs w:val="24"/>
        </w:rPr>
      </w:pPr>
    </w:p>
    <w:p w14:paraId="27259194" w14:textId="77777777" w:rsidR="006B7495" w:rsidRDefault="006B7495"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r w:rsidRPr="00985C3A">
        <w:rPr>
          <w:rFonts w:ascii="Times New Roman" w:eastAsia="Times New Roman" w:hAnsi="Times New Roman"/>
          <w:bCs/>
          <w:sz w:val="24"/>
          <w:szCs w:val="24"/>
        </w:rPr>
        <w:t>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533950ED" w14:textId="695BACDB" w:rsidR="00866790" w:rsidRDefault="00866790" w:rsidP="000A63CB">
      <w:pPr>
        <w:rPr>
          <w:rFonts w:ascii="Times New Roman" w:eastAsia="Times New Roman" w:hAnsi="Times New Roman"/>
          <w:bCs/>
          <w:sz w:val="24"/>
          <w:szCs w:val="24"/>
        </w:rPr>
      </w:pPr>
    </w:p>
    <w:p w14:paraId="7D033BA0" w14:textId="77777777" w:rsidR="001D4F35" w:rsidRDefault="001D4F35" w:rsidP="000A63CB">
      <w:pPr>
        <w:rPr>
          <w:rFonts w:ascii="Times New Roman" w:eastAsia="Times New Roman" w:hAnsi="Times New Roman"/>
          <w:bCs/>
          <w:sz w:val="24"/>
          <w:szCs w:val="24"/>
        </w:rPr>
      </w:pPr>
    </w:p>
    <w:p w14:paraId="7341630D" w14:textId="2735DCA1" w:rsidR="004776E2" w:rsidRDefault="004776E2" w:rsidP="000A63CB">
      <w:pPr>
        <w:rPr>
          <w:rFonts w:ascii="Times New Roman" w:eastAsia="Times New Roman" w:hAnsi="Times New Roman"/>
          <w:bCs/>
          <w:sz w:val="24"/>
          <w:szCs w:val="24"/>
        </w:rPr>
      </w:pPr>
    </w:p>
    <w:p w14:paraId="57F00B8F" w14:textId="1257AC58" w:rsidR="00606F2F" w:rsidRPr="00606F2F" w:rsidRDefault="00606F2F" w:rsidP="00606F2F">
      <w:pPr>
        <w:autoSpaceDE w:val="0"/>
        <w:autoSpaceDN w:val="0"/>
        <w:rPr>
          <w:rFonts w:ascii="Times New Roman" w:eastAsia="Times New Roman" w:hAnsi="Times New Roman"/>
          <w:sz w:val="24"/>
          <w:szCs w:val="24"/>
        </w:rPr>
      </w:pPr>
      <w:r w:rsidRPr="00606F2F">
        <w:rPr>
          <w:rFonts w:ascii="Times New Roman" w:eastAsia="Times New Roman" w:hAnsi="Times New Roman"/>
          <w:sz w:val="24"/>
          <w:szCs w:val="24"/>
        </w:rPr>
        <w:t>Pennsylvania Public Utility Commission</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t>:</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Pr>
          <w:rFonts w:ascii="Times New Roman" w:eastAsia="Times New Roman" w:hAnsi="Times New Roman"/>
          <w:sz w:val="24"/>
          <w:szCs w:val="24"/>
        </w:rPr>
        <w:tab/>
      </w:r>
      <w:r w:rsidRPr="00606F2F">
        <w:rPr>
          <w:rFonts w:ascii="Times New Roman" w:eastAsia="Times New Roman" w:hAnsi="Times New Roman"/>
          <w:sz w:val="24"/>
          <w:szCs w:val="24"/>
        </w:rPr>
        <w:t>R-2020-3017934</w:t>
      </w:r>
    </w:p>
    <w:p w14:paraId="2EF84DE8" w14:textId="77777777" w:rsidR="00606F2F" w:rsidRPr="00606F2F" w:rsidRDefault="00606F2F" w:rsidP="00606F2F">
      <w:pPr>
        <w:spacing w:line="360" w:lineRule="auto"/>
        <w:rPr>
          <w:rFonts w:ascii="Times New Roman" w:eastAsia="Times New Roman" w:hAnsi="Times New Roman"/>
          <w:sz w:val="24"/>
          <w:szCs w:val="24"/>
        </w:rPr>
      </w:pP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p>
    <w:p w14:paraId="06D198C6" w14:textId="487B69A2" w:rsidR="00606F2F" w:rsidRPr="00606F2F" w:rsidRDefault="00606F2F" w:rsidP="00606F2F">
      <w:pPr>
        <w:rPr>
          <w:rFonts w:ascii="Times New Roman" w:eastAsia="Times New Roman" w:hAnsi="Times New Roman"/>
          <w:sz w:val="24"/>
          <w:szCs w:val="24"/>
        </w:rPr>
      </w:pPr>
      <w:r w:rsidRPr="00606F2F">
        <w:rPr>
          <w:rFonts w:ascii="Times New Roman" w:eastAsia="Times New Roman" w:hAnsi="Times New Roman"/>
          <w:sz w:val="24"/>
          <w:szCs w:val="24"/>
        </w:rPr>
        <w:t>Office of Consumer Advocate</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t>:</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Pr>
          <w:rFonts w:ascii="Times New Roman" w:eastAsia="Times New Roman" w:hAnsi="Times New Roman"/>
          <w:sz w:val="24"/>
          <w:szCs w:val="24"/>
        </w:rPr>
        <w:tab/>
      </w:r>
      <w:r w:rsidRPr="00606F2F">
        <w:rPr>
          <w:rFonts w:ascii="Times New Roman" w:eastAsia="Times New Roman" w:hAnsi="Times New Roman"/>
          <w:sz w:val="24"/>
          <w:szCs w:val="24"/>
        </w:rPr>
        <w:t>C-2020-3018205</w:t>
      </w:r>
    </w:p>
    <w:p w14:paraId="31DE8F17" w14:textId="7DEB19B7" w:rsidR="00606F2F" w:rsidRPr="00606F2F" w:rsidRDefault="00606F2F" w:rsidP="00606F2F">
      <w:pPr>
        <w:rPr>
          <w:rFonts w:ascii="Times New Roman" w:eastAsia="Times New Roman" w:hAnsi="Times New Roman"/>
          <w:sz w:val="24"/>
          <w:szCs w:val="24"/>
        </w:rPr>
      </w:pPr>
      <w:r w:rsidRPr="00606F2F">
        <w:rPr>
          <w:rFonts w:ascii="Times New Roman" w:eastAsia="Times New Roman" w:hAnsi="Times New Roman"/>
          <w:sz w:val="24"/>
          <w:szCs w:val="24"/>
        </w:rPr>
        <w:t>Office of Small Business Advocate</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t>:</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Pr>
          <w:rFonts w:ascii="Times New Roman" w:eastAsia="Times New Roman" w:hAnsi="Times New Roman"/>
          <w:sz w:val="24"/>
          <w:szCs w:val="24"/>
        </w:rPr>
        <w:tab/>
      </w:r>
      <w:r w:rsidRPr="00606F2F">
        <w:rPr>
          <w:rFonts w:ascii="Times New Roman" w:eastAsia="Times New Roman" w:hAnsi="Times New Roman"/>
          <w:sz w:val="24"/>
          <w:szCs w:val="24"/>
        </w:rPr>
        <w:t>C-2020-3018856</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t>:</w:t>
      </w:r>
    </w:p>
    <w:p w14:paraId="422430CF" w14:textId="77777777" w:rsidR="00606F2F" w:rsidRPr="00606F2F" w:rsidRDefault="00606F2F" w:rsidP="00606F2F">
      <w:pPr>
        <w:rPr>
          <w:rFonts w:ascii="Times New Roman" w:eastAsia="Times New Roman" w:hAnsi="Times New Roman"/>
          <w:sz w:val="24"/>
          <w:szCs w:val="24"/>
        </w:rPr>
      </w:pPr>
      <w:r w:rsidRPr="00606F2F">
        <w:rPr>
          <w:rFonts w:ascii="Times New Roman" w:eastAsia="Times New Roman" w:hAnsi="Times New Roman"/>
          <w:caps/>
          <w:sz w:val="24"/>
          <w:szCs w:val="24"/>
        </w:rPr>
        <w:tab/>
      </w:r>
      <w:r w:rsidRPr="00606F2F">
        <w:rPr>
          <w:rFonts w:ascii="Times New Roman" w:eastAsia="Times New Roman" w:hAnsi="Times New Roman"/>
          <w:sz w:val="24"/>
          <w:szCs w:val="24"/>
        </w:rPr>
        <w:t>v.</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t>:</w:t>
      </w:r>
      <w:r w:rsidRPr="00606F2F">
        <w:rPr>
          <w:rFonts w:ascii="Times New Roman" w:eastAsia="Times New Roman" w:hAnsi="Times New Roman"/>
          <w:sz w:val="24"/>
          <w:szCs w:val="24"/>
        </w:rPr>
        <w:tab/>
      </w:r>
    </w:p>
    <w:p w14:paraId="01714BAC" w14:textId="77777777" w:rsidR="00606F2F" w:rsidRPr="00606F2F" w:rsidRDefault="00606F2F" w:rsidP="00606F2F">
      <w:pPr>
        <w:rPr>
          <w:rFonts w:ascii="Times New Roman" w:eastAsia="Times New Roman" w:hAnsi="Times New Roman"/>
          <w:sz w:val="24"/>
          <w:szCs w:val="24"/>
        </w:rPr>
      </w:pP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t>:</w:t>
      </w:r>
      <w:r w:rsidRPr="00606F2F">
        <w:rPr>
          <w:rFonts w:ascii="Times New Roman" w:eastAsia="Times New Roman" w:hAnsi="Times New Roman"/>
          <w:sz w:val="24"/>
          <w:szCs w:val="24"/>
        </w:rPr>
        <w:tab/>
      </w:r>
    </w:p>
    <w:p w14:paraId="7270AA1F" w14:textId="77777777" w:rsidR="00606F2F" w:rsidRPr="00606F2F" w:rsidRDefault="00606F2F" w:rsidP="00606F2F">
      <w:pPr>
        <w:rPr>
          <w:rFonts w:ascii="Times New Roman" w:eastAsia="Times New Roman" w:hAnsi="Times New Roman"/>
          <w:sz w:val="24"/>
          <w:szCs w:val="24"/>
        </w:rPr>
      </w:pPr>
      <w:r w:rsidRPr="00606F2F">
        <w:rPr>
          <w:rFonts w:ascii="Times New Roman" w:eastAsia="Times New Roman" w:hAnsi="Times New Roman"/>
          <w:sz w:val="24"/>
          <w:szCs w:val="24"/>
        </w:rPr>
        <w:t>Philadelphia Gas Works</w:t>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r>
      <w:r w:rsidRPr="00606F2F">
        <w:rPr>
          <w:rFonts w:ascii="Times New Roman" w:eastAsia="Times New Roman" w:hAnsi="Times New Roman"/>
          <w:sz w:val="24"/>
          <w:szCs w:val="24"/>
        </w:rPr>
        <w:tab/>
        <w:t>:</w:t>
      </w:r>
    </w:p>
    <w:p w14:paraId="1C7748F0" w14:textId="77777777" w:rsidR="007754BA" w:rsidRDefault="007754BA" w:rsidP="00D924AD">
      <w:pPr>
        <w:autoSpaceDE w:val="0"/>
        <w:autoSpaceDN w:val="0"/>
        <w:rPr>
          <w:rFonts w:ascii="Times New Roman" w:eastAsia="Times New Roman" w:hAnsi="Times New Roman"/>
          <w:sz w:val="24"/>
          <w:szCs w:val="24"/>
        </w:rPr>
      </w:pPr>
    </w:p>
    <w:p w14:paraId="03275046" w14:textId="67B4F230" w:rsidR="00866790" w:rsidRDefault="00866790" w:rsidP="00D924AD">
      <w:pPr>
        <w:autoSpaceDE w:val="0"/>
        <w:autoSpaceDN w:val="0"/>
        <w:rPr>
          <w:rFonts w:ascii="Times New Roman" w:eastAsia="Times New Roman" w:hAnsi="Times New Roman"/>
          <w:sz w:val="24"/>
          <w:szCs w:val="24"/>
        </w:rPr>
      </w:pPr>
    </w:p>
    <w:p w14:paraId="23BC0217" w14:textId="77777777" w:rsidR="005B30FC" w:rsidRPr="00985C3A" w:rsidRDefault="005B30FC" w:rsidP="00D924AD">
      <w:pPr>
        <w:autoSpaceDE w:val="0"/>
        <w:autoSpaceDN w:val="0"/>
        <w:rPr>
          <w:rFonts w:ascii="Times New Roman" w:eastAsia="Times New Roman" w:hAnsi="Times New Roman"/>
          <w:sz w:val="24"/>
          <w:szCs w:val="24"/>
        </w:rPr>
      </w:pPr>
    </w:p>
    <w:p w14:paraId="48E02378" w14:textId="77777777" w:rsidR="00577603" w:rsidRPr="00985C3A" w:rsidRDefault="00577603" w:rsidP="00577603">
      <w:pPr>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0F2F22B2"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5257F3">
        <w:rPr>
          <w:rFonts w:ascii="Times New Roman" w:hAnsi="Times New Roman"/>
          <w:sz w:val="24"/>
          <w:szCs w:val="24"/>
        </w:rPr>
        <w:t>Rec</w:t>
      </w:r>
      <w:r w:rsidR="004815B5">
        <w:rPr>
          <w:rFonts w:ascii="Times New Roman" w:hAnsi="Times New Roman"/>
          <w:sz w:val="24"/>
          <w:szCs w:val="24"/>
        </w:rPr>
        <w:t>ommended</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D266D4">
        <w:rPr>
          <w:rFonts w:ascii="Times New Roman" w:hAnsi="Times New Roman"/>
          <w:sz w:val="24"/>
          <w:szCs w:val="24"/>
        </w:rPr>
        <w:t xml:space="preserve"> </w:t>
      </w:r>
      <w:r w:rsidR="004A242C">
        <w:rPr>
          <w:rFonts w:ascii="Times New Roman" w:hAnsi="Times New Roman"/>
          <w:sz w:val="24"/>
          <w:szCs w:val="24"/>
        </w:rPr>
        <w:t>ALJ</w:t>
      </w:r>
      <w:r w:rsidR="00866790">
        <w:rPr>
          <w:rFonts w:ascii="Times New Roman" w:hAnsi="Times New Roman"/>
          <w:sz w:val="24"/>
          <w:szCs w:val="24"/>
        </w:rPr>
        <w:t xml:space="preserve"> </w:t>
      </w:r>
      <w:r w:rsidR="00CE352A">
        <w:rPr>
          <w:rFonts w:ascii="Times New Roman" w:hAnsi="Times New Roman"/>
          <w:sz w:val="24"/>
          <w:szCs w:val="24"/>
        </w:rPr>
        <w:t>Darlene Heep</w:t>
      </w:r>
      <w:r w:rsidR="002922C8">
        <w:rPr>
          <w:rFonts w:ascii="Times New Roman" w:hAnsi="Times New Roman"/>
          <w:sz w:val="24"/>
          <w:szCs w:val="24"/>
        </w:rPr>
        <w:t xml:space="preserve">, </w:t>
      </w:r>
      <w:r w:rsidR="00E17242" w:rsidRPr="00985C3A">
        <w:rPr>
          <w:rFonts w:ascii="Times New Roman" w:hAnsi="Times New Roman"/>
          <w:sz w:val="24"/>
          <w:szCs w:val="24"/>
        </w:rPr>
        <w:t xml:space="preserve">dated </w:t>
      </w:r>
      <w:r w:rsidR="00CE352A">
        <w:rPr>
          <w:rFonts w:ascii="Times New Roman" w:hAnsi="Times New Roman"/>
          <w:sz w:val="24"/>
          <w:szCs w:val="24"/>
        </w:rPr>
        <w:t>June 29</w:t>
      </w:r>
      <w:r w:rsidR="004A242C">
        <w:rPr>
          <w:rFonts w:ascii="Times New Roman" w:hAnsi="Times New Roman"/>
          <w:sz w:val="24"/>
          <w:szCs w:val="24"/>
        </w:rPr>
        <w:t>, 2020</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2B1921CC" w14:textId="77777777" w:rsidR="00686693" w:rsidRDefault="00686693" w:rsidP="00304E75">
      <w:pPr>
        <w:spacing w:line="360" w:lineRule="auto"/>
        <w:ind w:firstLine="720"/>
        <w:jc w:val="both"/>
        <w:rPr>
          <w:rFonts w:ascii="Times New Roman" w:hAnsi="Times New Roman"/>
          <w:sz w:val="24"/>
          <w:szCs w:val="24"/>
        </w:rPr>
      </w:pPr>
    </w:p>
    <w:p w14:paraId="1F6ED8D9" w14:textId="0B3FD69E"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985C3A" w:rsidRDefault="0042537E" w:rsidP="00304E75">
      <w:pPr>
        <w:spacing w:line="360" w:lineRule="auto"/>
        <w:jc w:val="both"/>
        <w:rPr>
          <w:rFonts w:ascii="Times New Roman" w:hAnsi="Times New Roman"/>
          <w:sz w:val="24"/>
          <w:szCs w:val="24"/>
        </w:rPr>
      </w:pPr>
    </w:p>
    <w:p w14:paraId="63589474" w14:textId="77777777" w:rsidR="00CE352A" w:rsidRPr="00CE352A" w:rsidRDefault="00CE352A" w:rsidP="00FB0070">
      <w:pPr>
        <w:numPr>
          <w:ilvl w:val="0"/>
          <w:numId w:val="35"/>
        </w:numPr>
        <w:tabs>
          <w:tab w:val="left" w:pos="2160"/>
        </w:tabs>
        <w:spacing w:line="360" w:lineRule="auto"/>
        <w:ind w:left="0" w:firstLine="1440"/>
        <w:contextualSpacing/>
        <w:jc w:val="both"/>
        <w:rPr>
          <w:rFonts w:ascii="Times New Roman" w:eastAsia="Times New Roman" w:hAnsi="Times New Roman"/>
          <w:sz w:val="24"/>
          <w:szCs w:val="24"/>
        </w:rPr>
      </w:pPr>
      <w:r w:rsidRPr="00CE352A">
        <w:rPr>
          <w:rFonts w:ascii="Times New Roman" w:eastAsia="Times New Roman" w:hAnsi="Times New Roman"/>
          <w:sz w:val="24"/>
          <w:szCs w:val="24"/>
        </w:rPr>
        <w:t>That the documents in the Stipulated Record are admitted into the record of this proceeding at Docket Number R-2020-3017934, which are as follows:</w:t>
      </w:r>
    </w:p>
    <w:p w14:paraId="7DE4EA76" w14:textId="77777777" w:rsidR="00FB0070" w:rsidRDefault="00FB0070" w:rsidP="00CE352A">
      <w:pPr>
        <w:tabs>
          <w:tab w:val="left" w:pos="2160"/>
        </w:tabs>
        <w:spacing w:line="360" w:lineRule="auto"/>
        <w:ind w:left="1440"/>
        <w:contextualSpacing/>
        <w:rPr>
          <w:rFonts w:ascii="Times New Roman" w:eastAsia="Times New Roman" w:hAnsi="Times New Roman"/>
          <w:sz w:val="24"/>
          <w:szCs w:val="24"/>
        </w:rPr>
        <w:sectPr w:rsidR="00FB0070" w:rsidSect="00FB0070">
          <w:footerReference w:type="default" r:id="rId11"/>
          <w:footerReference w:type="first" r:id="rId12"/>
          <w:pgSz w:w="12240" w:h="15840" w:code="1"/>
          <w:pgMar w:top="1296" w:right="1440" w:bottom="1296" w:left="1440" w:header="720" w:footer="720" w:gutter="0"/>
          <w:cols w:space="720"/>
          <w:titlePg/>
          <w:docGrid w:linePitch="360"/>
        </w:sectPr>
      </w:pPr>
    </w:p>
    <w:p w14:paraId="46B40FD8" w14:textId="77777777" w:rsidR="00CE352A" w:rsidRPr="00CE352A" w:rsidRDefault="00CE352A" w:rsidP="00FB0070">
      <w:pPr>
        <w:numPr>
          <w:ilvl w:val="0"/>
          <w:numId w:val="34"/>
        </w:numPr>
        <w:jc w:val="both"/>
        <w:rPr>
          <w:rFonts w:ascii="Times New Roman" w:eastAsia="Times New Roman" w:hAnsi="Times New Roman"/>
          <w:sz w:val="24"/>
          <w:szCs w:val="20"/>
        </w:rPr>
      </w:pPr>
      <w:r w:rsidRPr="00CE352A">
        <w:rPr>
          <w:rFonts w:ascii="Times New Roman" w:eastAsia="Times New Roman" w:hAnsi="Times New Roman"/>
          <w:sz w:val="24"/>
          <w:szCs w:val="20"/>
        </w:rPr>
        <w:lastRenderedPageBreak/>
        <w:t>PGW’s January 30, 2020 Pre-filing Information;</w:t>
      </w:r>
    </w:p>
    <w:p w14:paraId="04D0A132" w14:textId="77777777" w:rsidR="00CE352A" w:rsidRPr="00CE352A" w:rsidRDefault="00CE352A" w:rsidP="00FB0070">
      <w:pPr>
        <w:ind w:left="1800"/>
        <w:jc w:val="both"/>
        <w:rPr>
          <w:rFonts w:ascii="Times New Roman" w:eastAsia="Times New Roman" w:hAnsi="Times New Roman"/>
          <w:sz w:val="24"/>
          <w:szCs w:val="20"/>
        </w:rPr>
      </w:pPr>
    </w:p>
    <w:p w14:paraId="52C4B8D4" w14:textId="77777777" w:rsidR="00CE352A" w:rsidRPr="00CE352A" w:rsidRDefault="00CE352A" w:rsidP="00FB0070">
      <w:pPr>
        <w:numPr>
          <w:ilvl w:val="0"/>
          <w:numId w:val="34"/>
        </w:numPr>
        <w:jc w:val="both"/>
        <w:rPr>
          <w:rFonts w:ascii="Times New Roman" w:eastAsia="Times New Roman" w:hAnsi="Times New Roman"/>
          <w:sz w:val="24"/>
          <w:szCs w:val="20"/>
        </w:rPr>
      </w:pPr>
      <w:r w:rsidRPr="00CE352A">
        <w:rPr>
          <w:rFonts w:ascii="Times New Roman" w:eastAsia="Times New Roman" w:hAnsi="Times New Roman"/>
          <w:sz w:val="24"/>
          <w:szCs w:val="20"/>
        </w:rPr>
        <w:t>PGW’s March 2, 2020 Annual GCR Filing;</w:t>
      </w:r>
    </w:p>
    <w:p w14:paraId="5FF389A9" w14:textId="77777777" w:rsidR="00CE352A" w:rsidRPr="00CE352A" w:rsidRDefault="00CE352A" w:rsidP="00FB0070">
      <w:pPr>
        <w:jc w:val="both"/>
        <w:rPr>
          <w:rFonts w:ascii="Times New Roman" w:eastAsia="Times New Roman" w:hAnsi="Times New Roman"/>
          <w:sz w:val="24"/>
          <w:szCs w:val="20"/>
        </w:rPr>
      </w:pPr>
    </w:p>
    <w:p w14:paraId="1CF500C6" w14:textId="77777777" w:rsidR="00CE352A" w:rsidRPr="00CE352A" w:rsidRDefault="00CE352A" w:rsidP="00FB0070">
      <w:pPr>
        <w:numPr>
          <w:ilvl w:val="0"/>
          <w:numId w:val="34"/>
        </w:numPr>
        <w:jc w:val="both"/>
        <w:rPr>
          <w:rFonts w:ascii="Times New Roman" w:eastAsia="Times New Roman" w:hAnsi="Times New Roman"/>
          <w:sz w:val="24"/>
          <w:szCs w:val="20"/>
        </w:rPr>
      </w:pPr>
      <w:r w:rsidRPr="00CE352A">
        <w:rPr>
          <w:rFonts w:ascii="Times New Roman" w:eastAsia="Times New Roman" w:hAnsi="Times New Roman"/>
          <w:sz w:val="24"/>
          <w:szCs w:val="20"/>
        </w:rPr>
        <w:t>PGW St. 1, Direct Testimony of Kenneth S. Dybalski, dated March 2, 2020;</w:t>
      </w:r>
    </w:p>
    <w:p w14:paraId="7E2B6060" w14:textId="77777777" w:rsidR="00CE352A" w:rsidRPr="00CE352A" w:rsidRDefault="00CE352A" w:rsidP="00FB0070">
      <w:pPr>
        <w:ind w:left="1800"/>
        <w:jc w:val="both"/>
        <w:rPr>
          <w:rFonts w:ascii="Times New Roman" w:eastAsia="Times New Roman" w:hAnsi="Times New Roman"/>
          <w:sz w:val="24"/>
          <w:szCs w:val="20"/>
        </w:rPr>
      </w:pPr>
    </w:p>
    <w:p w14:paraId="611D48C5" w14:textId="77777777" w:rsidR="00CE352A" w:rsidRPr="00CE352A" w:rsidRDefault="00CE352A" w:rsidP="00FB0070">
      <w:pPr>
        <w:numPr>
          <w:ilvl w:val="0"/>
          <w:numId w:val="34"/>
        </w:numPr>
        <w:jc w:val="both"/>
        <w:rPr>
          <w:rFonts w:ascii="Times New Roman" w:eastAsia="Times New Roman" w:hAnsi="Times New Roman"/>
          <w:sz w:val="24"/>
          <w:szCs w:val="20"/>
        </w:rPr>
      </w:pPr>
      <w:r w:rsidRPr="00CE352A">
        <w:rPr>
          <w:rFonts w:ascii="Times New Roman" w:eastAsia="Times New Roman" w:hAnsi="Times New Roman"/>
          <w:sz w:val="24"/>
          <w:szCs w:val="20"/>
        </w:rPr>
        <w:t>PGW St. 2, Direct Testimony of John C. Zuk, dated March 2, 2020;</w:t>
      </w:r>
    </w:p>
    <w:p w14:paraId="3B7D9E2F" w14:textId="77777777" w:rsidR="00CE352A" w:rsidRPr="00CE352A" w:rsidRDefault="00CE352A" w:rsidP="00FB0070">
      <w:pPr>
        <w:ind w:left="1800"/>
        <w:jc w:val="both"/>
        <w:rPr>
          <w:rFonts w:ascii="Times New Roman" w:eastAsia="Times New Roman" w:hAnsi="Times New Roman"/>
          <w:sz w:val="24"/>
          <w:szCs w:val="20"/>
        </w:rPr>
      </w:pPr>
    </w:p>
    <w:p w14:paraId="5D2A4B23" w14:textId="77777777" w:rsidR="00CE352A" w:rsidRPr="00CE352A" w:rsidRDefault="00CE352A" w:rsidP="00FB0070">
      <w:pPr>
        <w:numPr>
          <w:ilvl w:val="0"/>
          <w:numId w:val="34"/>
        </w:numPr>
        <w:jc w:val="both"/>
        <w:rPr>
          <w:rFonts w:ascii="Times New Roman" w:eastAsia="Times New Roman" w:hAnsi="Times New Roman"/>
          <w:sz w:val="24"/>
          <w:szCs w:val="20"/>
        </w:rPr>
      </w:pPr>
      <w:r w:rsidRPr="00CE352A">
        <w:rPr>
          <w:rFonts w:ascii="Times New Roman" w:eastAsia="Times New Roman" w:hAnsi="Times New Roman"/>
          <w:sz w:val="24"/>
          <w:szCs w:val="20"/>
        </w:rPr>
        <w:t>PGW St. 3, Direct Testimony of Denise Adamucci, dated March 2, 2020;</w:t>
      </w:r>
    </w:p>
    <w:p w14:paraId="3A91644B" w14:textId="77777777" w:rsidR="00CE352A" w:rsidRPr="00CE352A" w:rsidRDefault="00CE352A" w:rsidP="00FB0070">
      <w:pPr>
        <w:ind w:left="1800"/>
        <w:jc w:val="both"/>
        <w:rPr>
          <w:rFonts w:ascii="Times New Roman" w:eastAsia="Times New Roman" w:hAnsi="Times New Roman"/>
          <w:sz w:val="24"/>
          <w:szCs w:val="20"/>
        </w:rPr>
      </w:pPr>
    </w:p>
    <w:p w14:paraId="76C15E45" w14:textId="77777777" w:rsidR="00CE352A" w:rsidRPr="00CE352A" w:rsidRDefault="00CE352A" w:rsidP="00FB0070">
      <w:pPr>
        <w:numPr>
          <w:ilvl w:val="0"/>
          <w:numId w:val="34"/>
        </w:numPr>
        <w:jc w:val="both"/>
        <w:rPr>
          <w:rFonts w:ascii="Times New Roman" w:eastAsia="Times New Roman" w:hAnsi="Times New Roman"/>
          <w:sz w:val="24"/>
          <w:szCs w:val="20"/>
        </w:rPr>
      </w:pPr>
      <w:bookmarkStart w:id="0" w:name="_Hlk43975592"/>
      <w:r w:rsidRPr="00CE352A">
        <w:rPr>
          <w:rFonts w:ascii="Times New Roman" w:eastAsia="Times New Roman" w:hAnsi="Times New Roman"/>
          <w:sz w:val="24"/>
          <w:szCs w:val="20"/>
        </w:rPr>
        <w:t>OCA St. 1, Direct Testimony of Jerome D. Mierzwa, and all accompanying schedules and appendices, dated April 17, 2020;</w:t>
      </w:r>
    </w:p>
    <w:bookmarkEnd w:id="0"/>
    <w:p w14:paraId="734A72C7" w14:textId="77777777" w:rsidR="00CE352A" w:rsidRPr="00CE352A" w:rsidRDefault="00CE352A" w:rsidP="00FB0070">
      <w:pPr>
        <w:ind w:left="1800"/>
        <w:jc w:val="both"/>
        <w:rPr>
          <w:rFonts w:ascii="Times New Roman" w:eastAsia="Times New Roman" w:hAnsi="Times New Roman"/>
          <w:sz w:val="24"/>
          <w:szCs w:val="20"/>
        </w:rPr>
      </w:pPr>
    </w:p>
    <w:p w14:paraId="0A2223EC" w14:textId="77777777" w:rsidR="00CE352A" w:rsidRPr="00CE352A" w:rsidRDefault="00CE352A" w:rsidP="00FB0070">
      <w:pPr>
        <w:numPr>
          <w:ilvl w:val="0"/>
          <w:numId w:val="34"/>
        </w:numPr>
        <w:jc w:val="both"/>
        <w:rPr>
          <w:rFonts w:ascii="Times New Roman" w:eastAsia="Times New Roman" w:hAnsi="Times New Roman"/>
          <w:sz w:val="24"/>
          <w:szCs w:val="20"/>
        </w:rPr>
      </w:pPr>
      <w:r w:rsidRPr="00CE352A">
        <w:rPr>
          <w:rFonts w:ascii="Times New Roman" w:eastAsia="Times New Roman" w:hAnsi="Times New Roman"/>
          <w:sz w:val="24"/>
          <w:szCs w:val="20"/>
        </w:rPr>
        <w:t xml:space="preserve">PGW St. 2R, Rebuttal Testimony of Raymond M. Snyder, dated May 4, 2020; </w:t>
      </w:r>
    </w:p>
    <w:p w14:paraId="5AC8D04D" w14:textId="77777777" w:rsidR="00CE352A" w:rsidRPr="00CE352A" w:rsidRDefault="00CE352A" w:rsidP="00FB0070">
      <w:pPr>
        <w:ind w:left="1800"/>
        <w:jc w:val="both"/>
        <w:rPr>
          <w:rFonts w:ascii="Times New Roman" w:eastAsia="Times New Roman" w:hAnsi="Times New Roman"/>
          <w:sz w:val="24"/>
          <w:szCs w:val="20"/>
        </w:rPr>
      </w:pPr>
    </w:p>
    <w:p w14:paraId="64EC0352" w14:textId="77777777" w:rsidR="00CE352A" w:rsidRPr="00CE352A" w:rsidRDefault="00CE352A" w:rsidP="00FB0070">
      <w:pPr>
        <w:numPr>
          <w:ilvl w:val="0"/>
          <w:numId w:val="34"/>
        </w:numPr>
        <w:jc w:val="both"/>
        <w:rPr>
          <w:rFonts w:ascii="Times New Roman" w:eastAsia="Times New Roman" w:hAnsi="Times New Roman"/>
          <w:sz w:val="24"/>
          <w:szCs w:val="20"/>
        </w:rPr>
      </w:pPr>
      <w:r w:rsidRPr="00CE352A">
        <w:rPr>
          <w:rFonts w:ascii="Times New Roman" w:eastAsia="Times New Roman" w:hAnsi="Times New Roman"/>
          <w:sz w:val="24"/>
          <w:szCs w:val="20"/>
        </w:rPr>
        <w:t xml:space="preserve">PGW St. 2R, Rebuttal Testimony of John C. Zuk, dated May 4, 2020; </w:t>
      </w:r>
    </w:p>
    <w:p w14:paraId="4D484977" w14:textId="77777777" w:rsidR="00CE352A" w:rsidRPr="00CE352A" w:rsidRDefault="00CE352A" w:rsidP="00FB0070">
      <w:pPr>
        <w:ind w:left="1800"/>
        <w:jc w:val="both"/>
        <w:rPr>
          <w:rFonts w:ascii="Times New Roman" w:eastAsia="Times New Roman" w:hAnsi="Times New Roman"/>
          <w:sz w:val="24"/>
          <w:szCs w:val="24"/>
        </w:rPr>
      </w:pPr>
    </w:p>
    <w:p w14:paraId="69372A8D" w14:textId="77777777" w:rsidR="00CE352A" w:rsidRPr="00CE352A" w:rsidRDefault="00CE352A" w:rsidP="00FB0070">
      <w:pPr>
        <w:numPr>
          <w:ilvl w:val="0"/>
          <w:numId w:val="34"/>
        </w:numPr>
        <w:jc w:val="both"/>
        <w:rPr>
          <w:rFonts w:ascii="Times New Roman" w:eastAsia="Times New Roman" w:hAnsi="Times New Roman"/>
          <w:sz w:val="24"/>
          <w:szCs w:val="24"/>
        </w:rPr>
      </w:pPr>
      <w:r w:rsidRPr="00CE352A">
        <w:rPr>
          <w:rFonts w:ascii="Times New Roman" w:eastAsia="Times New Roman" w:hAnsi="Times New Roman"/>
          <w:sz w:val="24"/>
          <w:szCs w:val="24"/>
        </w:rPr>
        <w:t>OCA St. 1-S, Surrebuttal Testimony of Jerome D. Mierzwa, and all accompanying schedules, dated May 11, 2020.</w:t>
      </w:r>
    </w:p>
    <w:p w14:paraId="046858A4" w14:textId="77777777" w:rsidR="00CE352A" w:rsidRPr="00CE352A" w:rsidRDefault="00CE352A" w:rsidP="00FB0070">
      <w:pPr>
        <w:tabs>
          <w:tab w:val="left" w:pos="0"/>
        </w:tabs>
        <w:spacing w:line="360" w:lineRule="auto"/>
        <w:ind w:left="1440"/>
        <w:jc w:val="both"/>
        <w:rPr>
          <w:rFonts w:ascii="Times New Roman" w:eastAsia="Times New Roman" w:hAnsi="Times New Roman"/>
          <w:sz w:val="24"/>
          <w:szCs w:val="24"/>
        </w:rPr>
      </w:pPr>
    </w:p>
    <w:p w14:paraId="321D30E5" w14:textId="77777777" w:rsidR="00CE352A" w:rsidRPr="00CE352A" w:rsidRDefault="00CE352A" w:rsidP="00FB0070">
      <w:pPr>
        <w:numPr>
          <w:ilvl w:val="0"/>
          <w:numId w:val="36"/>
        </w:numPr>
        <w:tabs>
          <w:tab w:val="left" w:pos="2160"/>
        </w:tabs>
        <w:spacing w:line="360" w:lineRule="auto"/>
        <w:ind w:left="0"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That the Joint Petition for Settlement of Philadelphia Gas Works’ 2020-2021 GCR Proceeding submitted by the Philadelphia Gas Works, the Bureau of Investigation and Enforcement and the Office of Consumer Advocate be approved.</w:t>
      </w:r>
    </w:p>
    <w:p w14:paraId="24E98634" w14:textId="77777777" w:rsidR="00CE352A" w:rsidRPr="00CE352A" w:rsidRDefault="00CE352A" w:rsidP="00FB0070">
      <w:pPr>
        <w:tabs>
          <w:tab w:val="left" w:pos="2160"/>
        </w:tabs>
        <w:spacing w:line="360" w:lineRule="auto"/>
        <w:ind w:firstLine="1440"/>
        <w:jc w:val="both"/>
        <w:rPr>
          <w:rFonts w:ascii="Times New Roman" w:eastAsia="Times New Roman" w:hAnsi="Times New Roman"/>
          <w:sz w:val="24"/>
          <w:szCs w:val="24"/>
        </w:rPr>
      </w:pPr>
    </w:p>
    <w:p w14:paraId="2DCE3788" w14:textId="77777777" w:rsidR="00CE352A" w:rsidRPr="00CE352A" w:rsidRDefault="00CE352A" w:rsidP="00FB0070">
      <w:pPr>
        <w:numPr>
          <w:ilvl w:val="0"/>
          <w:numId w:val="36"/>
        </w:numPr>
        <w:tabs>
          <w:tab w:val="left" w:pos="2160"/>
        </w:tabs>
        <w:spacing w:line="360" w:lineRule="auto"/>
        <w:ind w:left="0"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 xml:space="preserve">That Philadelphia Gas Works be authorized to file a tariff supplement to reflect rates and terms consistent with this order to be effective for services rendered on or after September 1, 2020, subject to quarterly adjustments permitted by Commission regulations at 52 Pa. Code § 53.64(i)(5), including a quarterly adjustment to be effective on September 1, 2020, to reflect actual experience and changes in forecasted natural gas prices. </w:t>
      </w:r>
    </w:p>
    <w:p w14:paraId="5B35308D" w14:textId="77777777" w:rsidR="00CE352A" w:rsidRPr="00CE352A" w:rsidRDefault="00CE352A" w:rsidP="00FB0070">
      <w:pPr>
        <w:tabs>
          <w:tab w:val="left" w:pos="2160"/>
        </w:tabs>
        <w:spacing w:line="360" w:lineRule="auto"/>
        <w:ind w:firstLine="1440"/>
        <w:jc w:val="both"/>
        <w:outlineLvl w:val="1"/>
        <w:rPr>
          <w:rFonts w:ascii="Times New Roman" w:eastAsia="Times New Roman" w:hAnsi="Times New Roman"/>
          <w:b/>
          <w:bCs/>
          <w:color w:val="4F81BD"/>
          <w:sz w:val="24"/>
          <w:szCs w:val="24"/>
        </w:rPr>
      </w:pPr>
    </w:p>
    <w:p w14:paraId="22946A64" w14:textId="77777777" w:rsidR="00CE352A" w:rsidRPr="00CE352A" w:rsidRDefault="00CE352A" w:rsidP="00FB0070">
      <w:pPr>
        <w:numPr>
          <w:ilvl w:val="0"/>
          <w:numId w:val="36"/>
        </w:numPr>
        <w:tabs>
          <w:tab w:val="left" w:pos="2160"/>
        </w:tabs>
        <w:spacing w:line="360" w:lineRule="auto"/>
        <w:ind w:left="0"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 xml:space="preserve">That Philadelphia Gas Works be permitted to continue to retain 25% of capacity release credits (excluding capacity release to firm transportation suppliers), off-system sales margin and asset management margin/credit/fees with the remaining 75% applied as an offset to purchased gas costs. </w:t>
      </w:r>
    </w:p>
    <w:p w14:paraId="32C237A6" w14:textId="77777777" w:rsidR="00CE352A" w:rsidRPr="00CE352A" w:rsidRDefault="00CE352A" w:rsidP="00FB0070">
      <w:pPr>
        <w:tabs>
          <w:tab w:val="left" w:pos="2160"/>
        </w:tabs>
        <w:spacing w:line="360" w:lineRule="auto"/>
        <w:ind w:firstLine="1440"/>
        <w:jc w:val="both"/>
        <w:rPr>
          <w:rFonts w:ascii="Times New Roman" w:eastAsia="Times New Roman" w:hAnsi="Times New Roman"/>
          <w:sz w:val="24"/>
          <w:szCs w:val="24"/>
        </w:rPr>
      </w:pPr>
    </w:p>
    <w:p w14:paraId="5FDDB36B" w14:textId="77777777" w:rsidR="00CE352A" w:rsidRPr="00CE352A" w:rsidRDefault="00CE352A" w:rsidP="00FB0070">
      <w:pPr>
        <w:numPr>
          <w:ilvl w:val="0"/>
          <w:numId w:val="36"/>
        </w:numPr>
        <w:tabs>
          <w:tab w:val="left" w:pos="2160"/>
        </w:tabs>
        <w:spacing w:line="360" w:lineRule="auto"/>
        <w:ind w:left="0"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 xml:space="preserve">That for fiscal year 2020 upstream sales of Philadelphia Gas Works-owned natural gas that would not have occurred but for the availability of excess LNG that use interstate pipeline capacity for delivery/displacement, Philadelphia Gas Works be authorized to remove the </w:t>
      </w:r>
      <w:r w:rsidRPr="00CE352A">
        <w:rPr>
          <w:rFonts w:ascii="Times New Roman" w:eastAsia="Times New Roman" w:hAnsi="Times New Roman"/>
          <w:sz w:val="24"/>
          <w:szCs w:val="24"/>
        </w:rPr>
        <w:lastRenderedPageBreak/>
        <w:t>WACOG per DTH and Sales Service demand charge then credit an additional 25% to the GCR and 75% to the base rate, all parties retaining the right to propose different treatment for such sales in future GCR proceedings</w:t>
      </w:r>
    </w:p>
    <w:p w14:paraId="57390116" w14:textId="77777777" w:rsidR="00CE352A" w:rsidRPr="00CE352A" w:rsidRDefault="00CE352A" w:rsidP="00FB0070">
      <w:pPr>
        <w:tabs>
          <w:tab w:val="left" w:pos="2160"/>
        </w:tabs>
        <w:spacing w:line="360" w:lineRule="auto"/>
        <w:ind w:firstLine="1440"/>
        <w:jc w:val="both"/>
        <w:rPr>
          <w:rFonts w:ascii="Times New Roman" w:eastAsia="Times New Roman" w:hAnsi="Times New Roman"/>
          <w:sz w:val="24"/>
          <w:szCs w:val="24"/>
        </w:rPr>
      </w:pPr>
    </w:p>
    <w:p w14:paraId="40EB9471" w14:textId="77777777" w:rsidR="00CE352A" w:rsidRPr="00CE352A" w:rsidRDefault="00CE352A" w:rsidP="00FB0070">
      <w:pPr>
        <w:numPr>
          <w:ilvl w:val="0"/>
          <w:numId w:val="36"/>
        </w:numPr>
        <w:tabs>
          <w:tab w:val="left" w:pos="2160"/>
        </w:tabs>
        <w:spacing w:line="360" w:lineRule="auto"/>
        <w:ind w:left="0"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 xml:space="preserve">That Philadelphia Gas Works be directed to continue to reach out to suppliers in advance of the capacity release to invite bids; however, if PGW does not get any bids, PGW be authorized to move capacity release on the 24-inch pipe starting in STX for November 2020.  </w:t>
      </w:r>
    </w:p>
    <w:p w14:paraId="28AA78A9" w14:textId="77777777" w:rsidR="00CE352A" w:rsidRPr="00CE352A" w:rsidRDefault="00CE352A" w:rsidP="00FB0070">
      <w:pPr>
        <w:tabs>
          <w:tab w:val="left" w:pos="2160"/>
        </w:tabs>
        <w:spacing w:line="360" w:lineRule="auto"/>
        <w:ind w:firstLine="1440"/>
        <w:jc w:val="both"/>
        <w:rPr>
          <w:rFonts w:ascii="Times New Roman" w:eastAsia="Times New Roman" w:hAnsi="Times New Roman"/>
          <w:sz w:val="24"/>
          <w:szCs w:val="24"/>
        </w:rPr>
      </w:pPr>
    </w:p>
    <w:p w14:paraId="2EE3BB6B" w14:textId="77777777" w:rsidR="00CE352A" w:rsidRPr="00CE352A" w:rsidRDefault="00CE352A" w:rsidP="00FB0070">
      <w:pPr>
        <w:numPr>
          <w:ilvl w:val="0"/>
          <w:numId w:val="36"/>
        </w:numPr>
        <w:tabs>
          <w:tab w:val="left" w:pos="2160"/>
        </w:tabs>
        <w:spacing w:line="360" w:lineRule="auto"/>
        <w:ind w:left="0"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That PGW be permitted to revise its Load Balancing Charge to include 50% Firm Transportation costs in the calculation and to include pipeline storage fuel injection and withdrawal charges in the calculation.</w:t>
      </w:r>
    </w:p>
    <w:p w14:paraId="7199D168" w14:textId="77777777" w:rsidR="00CE352A" w:rsidRPr="00CE352A" w:rsidRDefault="00CE352A" w:rsidP="00FB0070">
      <w:pPr>
        <w:tabs>
          <w:tab w:val="left" w:pos="2160"/>
        </w:tabs>
        <w:spacing w:line="360" w:lineRule="auto"/>
        <w:ind w:firstLine="1440"/>
        <w:jc w:val="both"/>
        <w:rPr>
          <w:rFonts w:ascii="Times New Roman" w:eastAsia="Times New Roman" w:hAnsi="Times New Roman"/>
          <w:sz w:val="24"/>
          <w:szCs w:val="24"/>
        </w:rPr>
      </w:pPr>
    </w:p>
    <w:p w14:paraId="3503854F" w14:textId="77777777" w:rsidR="00CE352A" w:rsidRPr="00CE352A" w:rsidRDefault="00CE352A" w:rsidP="00FB0070">
      <w:pPr>
        <w:numPr>
          <w:ilvl w:val="0"/>
          <w:numId w:val="36"/>
        </w:numPr>
        <w:tabs>
          <w:tab w:val="left" w:pos="2160"/>
        </w:tabs>
        <w:spacing w:line="360" w:lineRule="auto"/>
        <w:ind w:left="0"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That Philadelphia Gas Works be permitted to continue to recover the Planalytics fee for price analysis and buying advisory services (not to exceed $125,000) for the 2020-2021 GCR period. Continued recovery of the fee beyond the 2020-2021 GCR period must be addressed in next year’s Purchased Gas Cost proceeding</w:t>
      </w:r>
    </w:p>
    <w:p w14:paraId="631DEB5C" w14:textId="77777777" w:rsidR="00CE352A" w:rsidRPr="00CE352A" w:rsidRDefault="00CE352A" w:rsidP="00FB0070">
      <w:pPr>
        <w:tabs>
          <w:tab w:val="left" w:pos="2160"/>
        </w:tabs>
        <w:spacing w:line="360" w:lineRule="auto"/>
        <w:ind w:firstLine="1440"/>
        <w:jc w:val="both"/>
        <w:rPr>
          <w:rFonts w:ascii="Times New Roman" w:eastAsia="Times New Roman" w:hAnsi="Times New Roman"/>
          <w:sz w:val="24"/>
          <w:szCs w:val="24"/>
        </w:rPr>
      </w:pPr>
    </w:p>
    <w:p w14:paraId="0DDB0317" w14:textId="1EBF45A5" w:rsidR="00CE352A" w:rsidRDefault="00CE352A" w:rsidP="00FB0070">
      <w:pPr>
        <w:numPr>
          <w:ilvl w:val="0"/>
          <w:numId w:val="36"/>
        </w:numPr>
        <w:tabs>
          <w:tab w:val="left" w:pos="2160"/>
        </w:tabs>
        <w:spacing w:line="360" w:lineRule="auto"/>
        <w:ind w:left="0"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 xml:space="preserve">That Philadelphia Gas Works be permitted to proceed as follows in its 2021-2022 GCR proceedings: </w:t>
      </w:r>
    </w:p>
    <w:p w14:paraId="2ADF8131" w14:textId="77777777" w:rsidR="00FB0070" w:rsidRPr="00CE352A" w:rsidRDefault="00FB0070" w:rsidP="00FB0070">
      <w:pPr>
        <w:tabs>
          <w:tab w:val="left" w:pos="2160"/>
        </w:tabs>
        <w:spacing w:line="360" w:lineRule="auto"/>
        <w:ind w:left="1440"/>
        <w:outlineLvl w:val="1"/>
        <w:rPr>
          <w:rFonts w:ascii="Times New Roman" w:eastAsia="Times New Roman" w:hAnsi="Times New Roman"/>
          <w:sz w:val="24"/>
          <w:szCs w:val="24"/>
        </w:rPr>
      </w:pPr>
    </w:p>
    <w:p w14:paraId="26123497" w14:textId="77777777" w:rsidR="00CE352A" w:rsidRPr="00CE352A" w:rsidRDefault="00CE352A" w:rsidP="00FB0070">
      <w:pPr>
        <w:spacing w:after="240"/>
        <w:ind w:left="1440" w:right="720" w:firstLine="720"/>
        <w:jc w:val="both"/>
        <w:rPr>
          <w:rFonts w:ascii="Times New Roman" w:eastAsia="Times New Roman" w:hAnsi="Times New Roman"/>
          <w:sz w:val="24"/>
          <w:szCs w:val="24"/>
        </w:rPr>
      </w:pPr>
      <w:r w:rsidRPr="00CE352A">
        <w:rPr>
          <w:rFonts w:ascii="Times New Roman" w:eastAsia="Times New Roman" w:hAnsi="Times New Roman"/>
          <w:sz w:val="24"/>
          <w:szCs w:val="24"/>
        </w:rPr>
        <w:t>(a)</w:t>
      </w:r>
      <w:r w:rsidRPr="00CE352A">
        <w:rPr>
          <w:rFonts w:ascii="Times New Roman" w:eastAsia="Times New Roman" w:hAnsi="Times New Roman"/>
          <w:sz w:val="24"/>
          <w:szCs w:val="24"/>
        </w:rPr>
        <w:tab/>
        <w:t xml:space="preserve">provide written notice to customers by bill insert in the one-month billing cycle commencing on the date of the annual 1307(f) filing, on March 1, of a tariff addendum and tariff or tariff supplement reflecting changes in purchased gas costs and ending no later than thirty (30) days after the filing of such tariff addendum and tariff or tariff supplement, instead of beginning such notice with the one-month billing cycle commencing thirty (30) days prior to the filing of the tariff addendum and tariff or tariff supplement as required by 52 Pa. Code § 53.68(a); </w:t>
      </w:r>
    </w:p>
    <w:p w14:paraId="23785747" w14:textId="77777777" w:rsidR="00CE352A" w:rsidRPr="00CE352A" w:rsidRDefault="00CE352A" w:rsidP="00FB0070">
      <w:pPr>
        <w:spacing w:after="240"/>
        <w:ind w:left="1440" w:right="720" w:firstLine="720"/>
        <w:jc w:val="both"/>
        <w:rPr>
          <w:rFonts w:ascii="Times New Roman" w:eastAsia="Times New Roman" w:hAnsi="Times New Roman"/>
          <w:sz w:val="24"/>
          <w:szCs w:val="24"/>
        </w:rPr>
      </w:pPr>
      <w:r w:rsidRPr="00CE352A">
        <w:rPr>
          <w:rFonts w:ascii="Times New Roman" w:eastAsia="Times New Roman" w:hAnsi="Times New Roman"/>
          <w:sz w:val="24"/>
          <w:szCs w:val="24"/>
        </w:rPr>
        <w:t>(b)</w:t>
      </w:r>
      <w:r w:rsidRPr="00CE352A">
        <w:rPr>
          <w:rFonts w:ascii="Times New Roman" w:eastAsia="Times New Roman" w:hAnsi="Times New Roman"/>
          <w:sz w:val="24"/>
          <w:szCs w:val="24"/>
        </w:rPr>
        <w:tab/>
        <w:t xml:space="preserve">in company offices in which payments are accepted, provide public notice on the date of the annual 1307(f) filing, March 1, of a tariff addendum and tariff or tariff supplement reflecting changes in purchased gas costs, instead of thirty (30) days prior to the filing of such tariff addendum and tariff or tariff supplement as required by 52 Pa. Code §§ 53.68(a) and 53.45(b); and </w:t>
      </w:r>
    </w:p>
    <w:p w14:paraId="5AB91123" w14:textId="77777777" w:rsidR="00CE352A" w:rsidRPr="00CE352A" w:rsidRDefault="00CE352A" w:rsidP="00FB0070">
      <w:pPr>
        <w:spacing w:after="240"/>
        <w:ind w:left="1440" w:right="720" w:firstLine="720"/>
        <w:jc w:val="both"/>
        <w:rPr>
          <w:rFonts w:ascii="Times New Roman" w:eastAsia="Times New Roman" w:hAnsi="Times New Roman"/>
          <w:sz w:val="24"/>
          <w:szCs w:val="24"/>
        </w:rPr>
      </w:pPr>
      <w:r w:rsidRPr="00CE352A">
        <w:rPr>
          <w:rFonts w:ascii="Times New Roman" w:eastAsia="Times New Roman" w:hAnsi="Times New Roman"/>
          <w:sz w:val="24"/>
          <w:szCs w:val="24"/>
        </w:rPr>
        <w:lastRenderedPageBreak/>
        <w:t>(c)</w:t>
      </w:r>
      <w:r w:rsidRPr="00CE352A">
        <w:rPr>
          <w:rFonts w:ascii="Times New Roman" w:eastAsia="Times New Roman" w:hAnsi="Times New Roman"/>
          <w:sz w:val="24"/>
          <w:szCs w:val="24"/>
        </w:rPr>
        <w:tab/>
        <w:t>provide estimated data for both January and February in the March 1 quarterly 1307(f) filing instead of providing actual data for January alone as required by 52 Pa. Code § 53.64(i)(5)(i).</w:t>
      </w:r>
    </w:p>
    <w:p w14:paraId="08D35D76" w14:textId="1B4295BE" w:rsidR="00CE352A" w:rsidRPr="00CE352A" w:rsidRDefault="00CE352A" w:rsidP="00CE352A">
      <w:pPr>
        <w:tabs>
          <w:tab w:val="left" w:pos="2160"/>
          <w:tab w:val="left" w:pos="2880"/>
        </w:tabs>
        <w:spacing w:line="360" w:lineRule="auto"/>
        <w:ind w:right="720" w:firstLine="1440"/>
        <w:rPr>
          <w:rFonts w:ascii="Times New Roman" w:eastAsia="Times New Roman" w:hAnsi="Times New Roman"/>
          <w:sz w:val="24"/>
          <w:szCs w:val="24"/>
        </w:rPr>
      </w:pPr>
    </w:p>
    <w:p w14:paraId="2FB52101" w14:textId="77777777" w:rsidR="00CE352A" w:rsidRPr="00CE352A" w:rsidRDefault="00CE352A" w:rsidP="00FB0070">
      <w:pPr>
        <w:tabs>
          <w:tab w:val="left" w:pos="2160"/>
          <w:tab w:val="left" w:pos="2880"/>
        </w:tabs>
        <w:spacing w:line="360" w:lineRule="auto"/>
        <w:ind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10.</w:t>
      </w:r>
      <w:r w:rsidRPr="00CE352A">
        <w:rPr>
          <w:rFonts w:ascii="Times New Roman" w:eastAsia="Times New Roman" w:hAnsi="Times New Roman"/>
          <w:sz w:val="24"/>
          <w:szCs w:val="24"/>
        </w:rPr>
        <w:tab/>
        <w:t>That this Settlement does not in any way limit or prevent I&amp;E or OCA from reviewing, or bar from examination, in future proceedings, after such projected gas purchases actually have been made and gas purchasing practices actually have been implemented, whether PGW’s gas purchases and gas purchasing practices complied with Section 1318.</w:t>
      </w:r>
    </w:p>
    <w:p w14:paraId="52BFF27D" w14:textId="77777777" w:rsidR="00CE352A" w:rsidRPr="00CE352A" w:rsidRDefault="00CE352A" w:rsidP="00FB0070">
      <w:pPr>
        <w:tabs>
          <w:tab w:val="left" w:pos="2160"/>
          <w:tab w:val="left" w:pos="2880"/>
        </w:tabs>
        <w:spacing w:line="360" w:lineRule="auto"/>
        <w:ind w:firstLine="1440"/>
        <w:jc w:val="both"/>
        <w:rPr>
          <w:rFonts w:ascii="Times New Roman" w:eastAsia="Times New Roman" w:hAnsi="Times New Roman"/>
          <w:sz w:val="24"/>
          <w:szCs w:val="24"/>
        </w:rPr>
      </w:pPr>
    </w:p>
    <w:p w14:paraId="28C6780F" w14:textId="77777777" w:rsidR="00CE352A" w:rsidRPr="00CE352A" w:rsidRDefault="00CE352A" w:rsidP="00FB0070">
      <w:pPr>
        <w:tabs>
          <w:tab w:val="left" w:pos="2160"/>
          <w:tab w:val="left" w:pos="2880"/>
        </w:tabs>
        <w:spacing w:line="360" w:lineRule="auto"/>
        <w:ind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11.</w:t>
      </w:r>
      <w:r w:rsidRPr="00CE352A">
        <w:rPr>
          <w:rFonts w:ascii="Times New Roman" w:eastAsia="Times New Roman" w:hAnsi="Times New Roman"/>
          <w:sz w:val="24"/>
          <w:szCs w:val="24"/>
        </w:rPr>
        <w:tab/>
        <w:t>That the Commission investigation at Docket R</w:t>
      </w:r>
      <w:r w:rsidRPr="00CE352A">
        <w:rPr>
          <w:rFonts w:ascii="Times New Roman" w:eastAsia="Times New Roman" w:hAnsi="Times New Roman"/>
          <w:spacing w:val="-3"/>
          <w:sz w:val="24"/>
          <w:szCs w:val="24"/>
        </w:rPr>
        <w:t xml:space="preserve">-2020-3017934 </w:t>
      </w:r>
      <w:r w:rsidRPr="00CE352A">
        <w:rPr>
          <w:rFonts w:ascii="Times New Roman" w:eastAsia="Times New Roman" w:hAnsi="Times New Roman"/>
          <w:sz w:val="24"/>
          <w:szCs w:val="24"/>
        </w:rPr>
        <w:t>be terminated and shall be marked closed.</w:t>
      </w:r>
    </w:p>
    <w:p w14:paraId="60F89856" w14:textId="77777777" w:rsidR="00CE352A" w:rsidRPr="00CE352A" w:rsidRDefault="00CE352A" w:rsidP="00FB0070">
      <w:pPr>
        <w:tabs>
          <w:tab w:val="left" w:pos="2160"/>
          <w:tab w:val="left" w:pos="2880"/>
          <w:tab w:val="left" w:pos="7830"/>
        </w:tabs>
        <w:spacing w:line="360" w:lineRule="auto"/>
        <w:ind w:firstLine="1440"/>
        <w:jc w:val="both"/>
        <w:rPr>
          <w:rFonts w:ascii="Times New Roman" w:eastAsia="Times New Roman" w:hAnsi="Times New Roman"/>
          <w:sz w:val="24"/>
          <w:szCs w:val="24"/>
        </w:rPr>
      </w:pPr>
    </w:p>
    <w:p w14:paraId="3BF9009F" w14:textId="77777777" w:rsidR="00CE352A" w:rsidRPr="00CE352A" w:rsidRDefault="00CE352A" w:rsidP="00FB0070">
      <w:pPr>
        <w:tabs>
          <w:tab w:val="left" w:pos="2160"/>
          <w:tab w:val="left" w:pos="2880"/>
        </w:tabs>
        <w:spacing w:line="360" w:lineRule="auto"/>
        <w:ind w:firstLine="1440"/>
        <w:jc w:val="both"/>
        <w:outlineLvl w:val="1"/>
        <w:rPr>
          <w:rFonts w:ascii="Times New Roman" w:eastAsia="Times New Roman" w:hAnsi="Times New Roman"/>
          <w:sz w:val="24"/>
          <w:szCs w:val="24"/>
        </w:rPr>
      </w:pPr>
      <w:r w:rsidRPr="00CE352A">
        <w:rPr>
          <w:rFonts w:ascii="Times New Roman" w:eastAsia="Times New Roman" w:hAnsi="Times New Roman"/>
          <w:sz w:val="24"/>
          <w:szCs w:val="24"/>
        </w:rPr>
        <w:t>12.</w:t>
      </w:r>
      <w:r w:rsidRPr="00CE352A">
        <w:rPr>
          <w:rFonts w:ascii="Times New Roman" w:eastAsia="Times New Roman" w:hAnsi="Times New Roman"/>
          <w:sz w:val="24"/>
          <w:szCs w:val="24"/>
        </w:rPr>
        <w:tab/>
        <w:t>That the formal complaints at docket numbers C</w:t>
      </w:r>
      <w:r w:rsidRPr="00CE352A">
        <w:rPr>
          <w:rFonts w:ascii="Times New Roman" w:eastAsia="Times New Roman" w:hAnsi="Times New Roman"/>
          <w:spacing w:val="-3"/>
          <w:sz w:val="24"/>
          <w:szCs w:val="24"/>
        </w:rPr>
        <w:t xml:space="preserve">-2020-3018205 </w:t>
      </w:r>
      <w:r w:rsidRPr="00CE352A">
        <w:rPr>
          <w:rFonts w:ascii="Times New Roman" w:eastAsia="Times New Roman" w:hAnsi="Times New Roman"/>
          <w:sz w:val="24"/>
          <w:szCs w:val="24"/>
        </w:rPr>
        <w:t>and C</w:t>
      </w:r>
      <w:r w:rsidRPr="00CE352A">
        <w:rPr>
          <w:rFonts w:ascii="Times New Roman" w:eastAsia="Times New Roman" w:hAnsi="Times New Roman"/>
          <w:spacing w:val="-3"/>
          <w:sz w:val="24"/>
          <w:szCs w:val="24"/>
        </w:rPr>
        <w:t xml:space="preserve">-2020-3018856 </w:t>
      </w:r>
      <w:r w:rsidRPr="00CE352A">
        <w:rPr>
          <w:rFonts w:ascii="Times New Roman" w:eastAsia="Times New Roman" w:hAnsi="Times New Roman"/>
          <w:sz w:val="24"/>
          <w:szCs w:val="24"/>
        </w:rPr>
        <w:t>be deemed satisfied and shall be marked closed.</w:t>
      </w:r>
    </w:p>
    <w:p w14:paraId="70C7BFEC" w14:textId="77777777" w:rsidR="009D548C" w:rsidRPr="00985C3A" w:rsidRDefault="009D548C" w:rsidP="008652F1">
      <w:pPr>
        <w:tabs>
          <w:tab w:val="left" w:pos="2160"/>
        </w:tabs>
        <w:spacing w:line="480" w:lineRule="auto"/>
        <w:ind w:firstLine="1440"/>
        <w:jc w:val="both"/>
        <w:rPr>
          <w:rFonts w:ascii="Times New Roman" w:hAnsi="Times New Roman"/>
          <w:sz w:val="24"/>
          <w:szCs w:val="24"/>
        </w:rPr>
      </w:pPr>
    </w:p>
    <w:p w14:paraId="32EC2B50" w14:textId="64775F1B" w:rsidR="00577603" w:rsidRPr="00985C3A" w:rsidRDefault="0068705A" w:rsidP="00926EEF">
      <w:pPr>
        <w:spacing w:line="360" w:lineRule="auto"/>
        <w:jc w:val="both"/>
        <w:rPr>
          <w:rFonts w:ascii="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58240" behindDoc="1" locked="0" layoutInCell="1" allowOverlap="1" wp14:anchorId="50836EA0" wp14:editId="2DBD7077">
            <wp:simplePos x="0" y="0"/>
            <wp:positionH relativeFrom="column">
              <wp:posOffset>3238500</wp:posOffset>
            </wp:positionH>
            <wp:positionV relativeFrom="paragraph">
              <wp:posOffset>14605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2F622F82" w:rsidR="009E2694" w:rsidRPr="00985C3A" w:rsidRDefault="009E2694" w:rsidP="00577603">
      <w:pPr>
        <w:ind w:left="5040"/>
        <w:rPr>
          <w:rFonts w:ascii="Times New Roman" w:hAnsi="Times New Roman"/>
          <w:sz w:val="24"/>
          <w:szCs w:val="24"/>
        </w:rPr>
      </w:pPr>
    </w:p>
    <w:p w14:paraId="64C55E9F" w14:textId="77777777" w:rsidR="0042537E" w:rsidRPr="00985C3A" w:rsidRDefault="0042537E" w:rsidP="00577603">
      <w:pPr>
        <w:ind w:left="5040"/>
        <w:rPr>
          <w:rFonts w:ascii="Times New Roman" w:hAnsi="Times New Roman"/>
          <w:sz w:val="24"/>
          <w:szCs w:val="24"/>
        </w:rPr>
      </w:pPr>
    </w:p>
    <w:p w14:paraId="4B77783A" w14:textId="66BC6C8E"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5894603D" w14:textId="77777777" w:rsidR="009A7A53" w:rsidRPr="00985C3A" w:rsidRDefault="009A7A53" w:rsidP="00577603">
      <w:pPr>
        <w:rPr>
          <w:rFonts w:ascii="Times New Roman" w:hAnsi="Times New Roman"/>
          <w:sz w:val="24"/>
          <w:szCs w:val="24"/>
        </w:rPr>
      </w:pPr>
    </w:p>
    <w:p w14:paraId="7AF50D9B" w14:textId="77777777" w:rsidR="004A242C" w:rsidRDefault="004A242C" w:rsidP="00577603">
      <w:pPr>
        <w:rPr>
          <w:rFonts w:ascii="Times New Roman" w:hAnsi="Times New Roman"/>
          <w:sz w:val="24"/>
          <w:szCs w:val="24"/>
        </w:rPr>
      </w:pPr>
    </w:p>
    <w:p w14:paraId="7DA11475" w14:textId="77777777" w:rsidR="004A242C" w:rsidRDefault="004A242C"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7DADC81B"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FB0070">
        <w:rPr>
          <w:rFonts w:ascii="Times New Roman" w:hAnsi="Times New Roman"/>
          <w:sz w:val="24"/>
          <w:szCs w:val="24"/>
        </w:rPr>
        <w:t>August 6</w:t>
      </w:r>
      <w:r w:rsidR="00535076">
        <w:rPr>
          <w:rFonts w:ascii="Times New Roman" w:hAnsi="Times New Roman"/>
          <w:sz w:val="24"/>
          <w:szCs w:val="24"/>
        </w:rPr>
        <w:t>, 2020</w:t>
      </w:r>
    </w:p>
    <w:p w14:paraId="20F78A23" w14:textId="77777777" w:rsidR="00577603" w:rsidRPr="00985C3A" w:rsidRDefault="00577603" w:rsidP="00577603">
      <w:pPr>
        <w:rPr>
          <w:rFonts w:ascii="Times New Roman" w:hAnsi="Times New Roman"/>
          <w:sz w:val="24"/>
          <w:szCs w:val="24"/>
        </w:rPr>
      </w:pPr>
    </w:p>
    <w:p w14:paraId="537B2293" w14:textId="4340C003"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68705A">
        <w:rPr>
          <w:rFonts w:ascii="Times New Roman" w:hAnsi="Times New Roman"/>
          <w:sz w:val="24"/>
          <w:szCs w:val="24"/>
        </w:rPr>
        <w:t>August 6, 2020</w:t>
      </w:r>
      <w:bookmarkStart w:id="1" w:name="_GoBack"/>
      <w:bookmarkEnd w:id="1"/>
    </w:p>
    <w:sectPr w:rsidR="00B4392F" w:rsidRPr="00985C3A" w:rsidSect="00FB0070">
      <w:footerReference w:type="first" r:id="rId14"/>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6043F" w14:textId="77777777" w:rsidR="000F1B90" w:rsidRDefault="000F1B90" w:rsidP="00577603">
      <w:r>
        <w:separator/>
      </w:r>
    </w:p>
  </w:endnote>
  <w:endnote w:type="continuationSeparator" w:id="0">
    <w:p w14:paraId="680C5E0A" w14:textId="77777777" w:rsidR="000F1B90" w:rsidRDefault="000F1B90"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2116658258"/>
      <w:docPartObj>
        <w:docPartGallery w:val="Page Numbers (Bottom of Page)"/>
        <w:docPartUnique/>
      </w:docPartObj>
    </w:sdtPr>
    <w:sdtEndPr>
      <w:rPr>
        <w:noProof/>
      </w:rPr>
    </w:sdtEndPr>
    <w:sdtContent>
      <w:p w14:paraId="0C7CE123" w14:textId="7D019630" w:rsidR="00FB0070" w:rsidRPr="00FB0070" w:rsidRDefault="00FB0070">
        <w:pPr>
          <w:pStyle w:val="Footer"/>
          <w:jc w:val="center"/>
          <w:rPr>
            <w:rFonts w:ascii="Times New Roman" w:hAnsi="Times New Roman"/>
            <w:sz w:val="20"/>
            <w:szCs w:val="20"/>
          </w:rPr>
        </w:pPr>
        <w:r w:rsidRPr="00FB0070">
          <w:rPr>
            <w:rFonts w:ascii="Times New Roman" w:hAnsi="Times New Roman"/>
            <w:sz w:val="20"/>
            <w:szCs w:val="20"/>
          </w:rPr>
          <w:fldChar w:fldCharType="begin"/>
        </w:r>
        <w:r w:rsidRPr="00FB0070">
          <w:rPr>
            <w:rFonts w:ascii="Times New Roman" w:hAnsi="Times New Roman"/>
            <w:sz w:val="20"/>
            <w:szCs w:val="20"/>
          </w:rPr>
          <w:instrText xml:space="preserve"> PAGE   \* MERGEFORMAT </w:instrText>
        </w:r>
        <w:r w:rsidRPr="00FB0070">
          <w:rPr>
            <w:rFonts w:ascii="Times New Roman" w:hAnsi="Times New Roman"/>
            <w:sz w:val="20"/>
            <w:szCs w:val="20"/>
          </w:rPr>
          <w:fldChar w:fldCharType="separate"/>
        </w:r>
        <w:r w:rsidRPr="00FB0070">
          <w:rPr>
            <w:rFonts w:ascii="Times New Roman" w:hAnsi="Times New Roman"/>
            <w:noProof/>
            <w:sz w:val="20"/>
            <w:szCs w:val="20"/>
          </w:rPr>
          <w:t>2</w:t>
        </w:r>
        <w:r w:rsidRPr="00FB0070">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213262"/>
      <w:docPartObj>
        <w:docPartGallery w:val="Page Numbers (Bottom of Page)"/>
        <w:docPartUnique/>
      </w:docPartObj>
    </w:sdtPr>
    <w:sdtEndPr>
      <w:rPr>
        <w:rFonts w:ascii="Times New Roman" w:hAnsi="Times New Roman"/>
        <w:noProof/>
        <w:sz w:val="20"/>
        <w:szCs w:val="20"/>
      </w:rPr>
    </w:sdtEndPr>
    <w:sdtContent>
      <w:p w14:paraId="2475156F" w14:textId="46412BC9" w:rsidR="002A3244" w:rsidRPr="00A917D3" w:rsidRDefault="000F1B90">
        <w:pPr>
          <w:pStyle w:val="Footer"/>
          <w:jc w:val="center"/>
          <w:rPr>
            <w:rFonts w:ascii="Times New Roman" w:hAnsi="Times New Roman"/>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505878"/>
      <w:docPartObj>
        <w:docPartGallery w:val="Page Numbers (Bottom of Page)"/>
        <w:docPartUnique/>
      </w:docPartObj>
    </w:sdtPr>
    <w:sdtEndPr>
      <w:rPr>
        <w:rFonts w:ascii="Times New Roman" w:hAnsi="Times New Roman"/>
        <w:noProof/>
        <w:sz w:val="20"/>
        <w:szCs w:val="20"/>
      </w:rPr>
    </w:sdtEndPr>
    <w:sdtContent>
      <w:p w14:paraId="0AB7BFAE" w14:textId="77777777" w:rsidR="00FB0070" w:rsidRPr="00A917D3" w:rsidRDefault="00FB0070">
        <w:pPr>
          <w:pStyle w:val="Footer"/>
          <w:jc w:val="center"/>
          <w:rPr>
            <w:rFonts w:ascii="Times New Roman" w:hAnsi="Times New Roman"/>
            <w:sz w:val="20"/>
            <w:szCs w:val="20"/>
          </w:rPr>
        </w:pPr>
        <w:r>
          <w:rPr>
            <w:rFonts w:ascii="Times New Roman" w:hAnsi="Times New Roman"/>
            <w:sz w:val="20"/>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ECD10" w14:textId="77777777" w:rsidR="000F1B90" w:rsidRDefault="000F1B90" w:rsidP="00577603">
      <w:r>
        <w:separator/>
      </w:r>
    </w:p>
  </w:footnote>
  <w:footnote w:type="continuationSeparator" w:id="0">
    <w:p w14:paraId="042FDFF0" w14:textId="77777777" w:rsidR="000F1B90" w:rsidRDefault="000F1B90"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2466167"/>
    <w:multiLevelType w:val="hybridMultilevel"/>
    <w:tmpl w:val="A2D08DE6"/>
    <w:lvl w:ilvl="0" w:tplc="C2E43A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4"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777EF"/>
    <w:multiLevelType w:val="multilevel"/>
    <w:tmpl w:val="0409001D"/>
    <w:lvl w:ilvl="0">
      <w:start w:val="1"/>
      <w:numFmt w:val="decimal"/>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lowerRoman"/>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9"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1" w15:restartNumberingAfterBreak="0">
    <w:nsid w:val="48BA3E2A"/>
    <w:multiLevelType w:val="multilevel"/>
    <w:tmpl w:val="F2624A76"/>
    <w:lvl w:ilvl="0">
      <w:start w:val="2"/>
      <w:numFmt w:val="decimal"/>
      <w:lvlText w:val="%1."/>
      <w:lvlJc w:val="left"/>
      <w:pPr>
        <w:tabs>
          <w:tab w:val="num" w:pos="1080"/>
        </w:tabs>
        <w:ind w:left="108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2"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EAB3A30"/>
    <w:multiLevelType w:val="hybridMultilevel"/>
    <w:tmpl w:val="087A6944"/>
    <w:lvl w:ilvl="0" w:tplc="B1B644C6">
      <w:start w:val="1"/>
      <w:numFmt w:val="decimal"/>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3"/>
  </w:num>
  <w:num w:numId="3">
    <w:abstractNumId w:val="23"/>
  </w:num>
  <w:num w:numId="4">
    <w:abstractNumId w:val="26"/>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28"/>
  </w:num>
  <w:num w:numId="12">
    <w:abstractNumId w:val="7"/>
  </w:num>
  <w:num w:numId="13">
    <w:abstractNumId w:val="24"/>
  </w:num>
  <w:num w:numId="14">
    <w:abstractNumId w:val="14"/>
  </w:num>
  <w:num w:numId="15">
    <w:abstractNumId w:val="18"/>
  </w:num>
  <w:num w:numId="16">
    <w:abstractNumId w:val="1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2"/>
  </w:num>
  <w:num w:numId="29">
    <w:abstractNumId w:val="11"/>
  </w:num>
  <w:num w:numId="30">
    <w:abstractNumId w:val="17"/>
  </w:num>
  <w:num w:numId="31">
    <w:abstractNumId w:val="1"/>
  </w:num>
  <w:num w:numId="32">
    <w:abstractNumId w:val="3"/>
  </w:num>
  <w:num w:numId="33">
    <w:abstractNumId w:val="2"/>
  </w:num>
  <w:num w:numId="34">
    <w:abstractNumId w:val="8"/>
  </w:num>
  <w:num w:numId="35">
    <w:abstractNumId w:val="3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536CD"/>
    <w:rsid w:val="000611CF"/>
    <w:rsid w:val="00063411"/>
    <w:rsid w:val="000663F2"/>
    <w:rsid w:val="000844A5"/>
    <w:rsid w:val="00085D71"/>
    <w:rsid w:val="00090052"/>
    <w:rsid w:val="000944C1"/>
    <w:rsid w:val="000A179A"/>
    <w:rsid w:val="000A2947"/>
    <w:rsid w:val="000A63CB"/>
    <w:rsid w:val="000B00DA"/>
    <w:rsid w:val="000C03D6"/>
    <w:rsid w:val="000C14A2"/>
    <w:rsid w:val="000C3643"/>
    <w:rsid w:val="000C6988"/>
    <w:rsid w:val="000D4CC8"/>
    <w:rsid w:val="000D5EA1"/>
    <w:rsid w:val="000D5F69"/>
    <w:rsid w:val="000E1A7C"/>
    <w:rsid w:val="000E2512"/>
    <w:rsid w:val="000E48FC"/>
    <w:rsid w:val="000F1B90"/>
    <w:rsid w:val="001013CF"/>
    <w:rsid w:val="00105726"/>
    <w:rsid w:val="00107F56"/>
    <w:rsid w:val="001146D1"/>
    <w:rsid w:val="00115803"/>
    <w:rsid w:val="00125F74"/>
    <w:rsid w:val="00131662"/>
    <w:rsid w:val="00134222"/>
    <w:rsid w:val="001371D8"/>
    <w:rsid w:val="001430DE"/>
    <w:rsid w:val="00143DCF"/>
    <w:rsid w:val="001464B3"/>
    <w:rsid w:val="001614E7"/>
    <w:rsid w:val="00166640"/>
    <w:rsid w:val="00167B29"/>
    <w:rsid w:val="0018257D"/>
    <w:rsid w:val="001846FB"/>
    <w:rsid w:val="00193C4E"/>
    <w:rsid w:val="001A3C1A"/>
    <w:rsid w:val="001A7A94"/>
    <w:rsid w:val="001B07F4"/>
    <w:rsid w:val="001B27C9"/>
    <w:rsid w:val="001B79A6"/>
    <w:rsid w:val="001C24F3"/>
    <w:rsid w:val="001C57AF"/>
    <w:rsid w:val="001C6A74"/>
    <w:rsid w:val="001D4981"/>
    <w:rsid w:val="001D4E5B"/>
    <w:rsid w:val="001D4F35"/>
    <w:rsid w:val="001D5649"/>
    <w:rsid w:val="001D654E"/>
    <w:rsid w:val="001D7592"/>
    <w:rsid w:val="001E213F"/>
    <w:rsid w:val="001E248F"/>
    <w:rsid w:val="001E4ACD"/>
    <w:rsid w:val="001F1988"/>
    <w:rsid w:val="001F620A"/>
    <w:rsid w:val="001F6775"/>
    <w:rsid w:val="002053BB"/>
    <w:rsid w:val="002115AC"/>
    <w:rsid w:val="00227171"/>
    <w:rsid w:val="00227917"/>
    <w:rsid w:val="002328FE"/>
    <w:rsid w:val="002348D6"/>
    <w:rsid w:val="00236095"/>
    <w:rsid w:val="002363AC"/>
    <w:rsid w:val="00246581"/>
    <w:rsid w:val="00251686"/>
    <w:rsid w:val="00252090"/>
    <w:rsid w:val="00253A7E"/>
    <w:rsid w:val="00253F1B"/>
    <w:rsid w:val="00255D53"/>
    <w:rsid w:val="002706DB"/>
    <w:rsid w:val="00274749"/>
    <w:rsid w:val="00277876"/>
    <w:rsid w:val="00287DA4"/>
    <w:rsid w:val="0029123A"/>
    <w:rsid w:val="002922C8"/>
    <w:rsid w:val="00292B26"/>
    <w:rsid w:val="002977F1"/>
    <w:rsid w:val="002A2679"/>
    <w:rsid w:val="002A2DAE"/>
    <w:rsid w:val="002A3244"/>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01C0"/>
    <w:rsid w:val="002E2F5B"/>
    <w:rsid w:val="002E7FB1"/>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0429"/>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488"/>
    <w:rsid w:val="00440E92"/>
    <w:rsid w:val="00442788"/>
    <w:rsid w:val="00443F42"/>
    <w:rsid w:val="0044551A"/>
    <w:rsid w:val="0044606E"/>
    <w:rsid w:val="00451040"/>
    <w:rsid w:val="00451BD4"/>
    <w:rsid w:val="00461867"/>
    <w:rsid w:val="00461D0C"/>
    <w:rsid w:val="00462FA6"/>
    <w:rsid w:val="004656BD"/>
    <w:rsid w:val="00467549"/>
    <w:rsid w:val="004741B0"/>
    <w:rsid w:val="00474BF2"/>
    <w:rsid w:val="00475FED"/>
    <w:rsid w:val="004776E2"/>
    <w:rsid w:val="004815B5"/>
    <w:rsid w:val="00481C93"/>
    <w:rsid w:val="00486FF6"/>
    <w:rsid w:val="0049180C"/>
    <w:rsid w:val="00491BAF"/>
    <w:rsid w:val="00495A06"/>
    <w:rsid w:val="004A242C"/>
    <w:rsid w:val="004A4684"/>
    <w:rsid w:val="004A7799"/>
    <w:rsid w:val="004B2AB3"/>
    <w:rsid w:val="004C1C2B"/>
    <w:rsid w:val="004C5399"/>
    <w:rsid w:val="004C58B6"/>
    <w:rsid w:val="004D0CAD"/>
    <w:rsid w:val="004D1BC3"/>
    <w:rsid w:val="004D1D7B"/>
    <w:rsid w:val="004E445E"/>
    <w:rsid w:val="004F3637"/>
    <w:rsid w:val="004F5360"/>
    <w:rsid w:val="005008C0"/>
    <w:rsid w:val="00500ACE"/>
    <w:rsid w:val="005047D7"/>
    <w:rsid w:val="00513883"/>
    <w:rsid w:val="005257F3"/>
    <w:rsid w:val="0053164C"/>
    <w:rsid w:val="00533816"/>
    <w:rsid w:val="005340DF"/>
    <w:rsid w:val="00534A0E"/>
    <w:rsid w:val="00535076"/>
    <w:rsid w:val="00536AD8"/>
    <w:rsid w:val="00536E3F"/>
    <w:rsid w:val="00541846"/>
    <w:rsid w:val="00547388"/>
    <w:rsid w:val="0054758E"/>
    <w:rsid w:val="00547892"/>
    <w:rsid w:val="0055254D"/>
    <w:rsid w:val="00563ADE"/>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B30FC"/>
    <w:rsid w:val="005C28EE"/>
    <w:rsid w:val="005D0E37"/>
    <w:rsid w:val="005D4D77"/>
    <w:rsid w:val="005D5E1C"/>
    <w:rsid w:val="005D7B71"/>
    <w:rsid w:val="00600091"/>
    <w:rsid w:val="0060079E"/>
    <w:rsid w:val="00606F2F"/>
    <w:rsid w:val="00606FC2"/>
    <w:rsid w:val="00607708"/>
    <w:rsid w:val="00612264"/>
    <w:rsid w:val="00616F40"/>
    <w:rsid w:val="006170A3"/>
    <w:rsid w:val="00617AF8"/>
    <w:rsid w:val="00617DCC"/>
    <w:rsid w:val="0062057F"/>
    <w:rsid w:val="00622639"/>
    <w:rsid w:val="00627178"/>
    <w:rsid w:val="00630955"/>
    <w:rsid w:val="006418EF"/>
    <w:rsid w:val="0064430B"/>
    <w:rsid w:val="00650720"/>
    <w:rsid w:val="006511D0"/>
    <w:rsid w:val="0065224A"/>
    <w:rsid w:val="0066410F"/>
    <w:rsid w:val="00664482"/>
    <w:rsid w:val="0067513D"/>
    <w:rsid w:val="00682353"/>
    <w:rsid w:val="006859AE"/>
    <w:rsid w:val="00685C05"/>
    <w:rsid w:val="00686693"/>
    <w:rsid w:val="0068705A"/>
    <w:rsid w:val="00693D35"/>
    <w:rsid w:val="006A16A0"/>
    <w:rsid w:val="006A62FB"/>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312BE"/>
    <w:rsid w:val="00840A74"/>
    <w:rsid w:val="00854781"/>
    <w:rsid w:val="0085572D"/>
    <w:rsid w:val="00863BD4"/>
    <w:rsid w:val="008652F1"/>
    <w:rsid w:val="00866145"/>
    <w:rsid w:val="00866790"/>
    <w:rsid w:val="00871EEB"/>
    <w:rsid w:val="008722D0"/>
    <w:rsid w:val="008748B4"/>
    <w:rsid w:val="00876B81"/>
    <w:rsid w:val="00885CBF"/>
    <w:rsid w:val="00887780"/>
    <w:rsid w:val="00892B7B"/>
    <w:rsid w:val="00895C96"/>
    <w:rsid w:val="008A1028"/>
    <w:rsid w:val="008A4505"/>
    <w:rsid w:val="008D6D3F"/>
    <w:rsid w:val="008E2998"/>
    <w:rsid w:val="008E4A92"/>
    <w:rsid w:val="008F4EF1"/>
    <w:rsid w:val="008F5BA5"/>
    <w:rsid w:val="008F60F4"/>
    <w:rsid w:val="0090326D"/>
    <w:rsid w:val="0090332D"/>
    <w:rsid w:val="0091254F"/>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70A9"/>
    <w:rsid w:val="00A83A7C"/>
    <w:rsid w:val="00A917D3"/>
    <w:rsid w:val="00A9414A"/>
    <w:rsid w:val="00AA0304"/>
    <w:rsid w:val="00AA1373"/>
    <w:rsid w:val="00AA5094"/>
    <w:rsid w:val="00AB05F8"/>
    <w:rsid w:val="00AC0834"/>
    <w:rsid w:val="00AC132D"/>
    <w:rsid w:val="00AC1B96"/>
    <w:rsid w:val="00AC3136"/>
    <w:rsid w:val="00AC3230"/>
    <w:rsid w:val="00AC3AFC"/>
    <w:rsid w:val="00AC4910"/>
    <w:rsid w:val="00AD6CC9"/>
    <w:rsid w:val="00AE1886"/>
    <w:rsid w:val="00AE5F5D"/>
    <w:rsid w:val="00AF34C5"/>
    <w:rsid w:val="00AF7235"/>
    <w:rsid w:val="00B05A2D"/>
    <w:rsid w:val="00B14FA4"/>
    <w:rsid w:val="00B21F40"/>
    <w:rsid w:val="00B378FF"/>
    <w:rsid w:val="00B40D01"/>
    <w:rsid w:val="00B4119A"/>
    <w:rsid w:val="00B435FF"/>
    <w:rsid w:val="00B4392F"/>
    <w:rsid w:val="00B65524"/>
    <w:rsid w:val="00B70CE4"/>
    <w:rsid w:val="00B71000"/>
    <w:rsid w:val="00B712ED"/>
    <w:rsid w:val="00B71993"/>
    <w:rsid w:val="00B76A14"/>
    <w:rsid w:val="00B77435"/>
    <w:rsid w:val="00B81C8B"/>
    <w:rsid w:val="00B951B5"/>
    <w:rsid w:val="00B9558C"/>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352A"/>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CF9"/>
    <w:rsid w:val="00DA158D"/>
    <w:rsid w:val="00DA2F02"/>
    <w:rsid w:val="00DA6E2D"/>
    <w:rsid w:val="00DB10D3"/>
    <w:rsid w:val="00DC1485"/>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4055C"/>
    <w:rsid w:val="00E41A99"/>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44E"/>
    <w:rsid w:val="00FA1A8E"/>
    <w:rsid w:val="00FA576D"/>
    <w:rsid w:val="00FA5939"/>
    <w:rsid w:val="00FB0070"/>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3.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FF5C3-D5F9-422B-A2C1-7E8DC204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2020-08-06T17:13:00Z</dcterms:created>
  <dcterms:modified xsi:type="dcterms:W3CDTF">2020-08-06T17:13:00Z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