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F75A5" w14:textId="77777777" w:rsidR="005B6850" w:rsidRDefault="005B6850" w:rsidP="00D42AE2">
      <w:pPr>
        <w:tabs>
          <w:tab w:val="left" w:pos="360"/>
        </w:tabs>
        <w:jc w:val="center"/>
        <w:rPr>
          <w:b/>
        </w:rPr>
      </w:pPr>
      <w:r>
        <w:rPr>
          <w:b/>
        </w:rPr>
        <w:t>BEFORE THE</w:t>
      </w:r>
    </w:p>
    <w:p w14:paraId="00E10559" w14:textId="77777777" w:rsidR="005B6850" w:rsidRDefault="005B6850" w:rsidP="00D42AE2">
      <w:pPr>
        <w:tabs>
          <w:tab w:val="left" w:pos="360"/>
        </w:tabs>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14:paraId="5396E8F8" w14:textId="4E323ACA" w:rsidR="005B6850" w:rsidRDefault="005B6850" w:rsidP="005B6850">
      <w:pPr>
        <w:tabs>
          <w:tab w:val="left" w:pos="360"/>
        </w:tabs>
        <w:jc w:val="both"/>
        <w:rPr>
          <w:b/>
        </w:rPr>
      </w:pPr>
    </w:p>
    <w:p w14:paraId="78064945" w14:textId="77777777" w:rsidR="003711EC" w:rsidRDefault="003711EC" w:rsidP="005B6850">
      <w:pPr>
        <w:tabs>
          <w:tab w:val="left" w:pos="360"/>
        </w:tabs>
        <w:jc w:val="both"/>
        <w:rPr>
          <w:b/>
        </w:rPr>
      </w:pPr>
    </w:p>
    <w:p w14:paraId="736EFD97" w14:textId="77777777" w:rsidR="005921E9" w:rsidRDefault="005921E9" w:rsidP="005921E9">
      <w:pPr>
        <w:tabs>
          <w:tab w:val="left" w:pos="0"/>
        </w:tabs>
        <w:jc w:val="both"/>
        <w:rPr>
          <w:b/>
        </w:rPr>
      </w:pPr>
    </w:p>
    <w:p w14:paraId="04038903" w14:textId="77777777" w:rsidR="005921E9" w:rsidRDefault="005921E9" w:rsidP="005921E9">
      <w:pPr>
        <w:tabs>
          <w:tab w:val="left" w:pos="0"/>
        </w:tabs>
        <w:jc w:val="both"/>
      </w:pPr>
      <w:r>
        <w:t>Pennsylvania Public Utility Commission</w:t>
      </w:r>
      <w:r>
        <w:tab/>
        <w:t xml:space="preserve"> </w:t>
      </w:r>
      <w:r>
        <w:tab/>
      </w:r>
      <w:r w:rsidRPr="00560DC5">
        <w:t>:</w:t>
      </w:r>
      <w:r>
        <w:tab/>
      </w:r>
      <w:r>
        <w:tab/>
        <w:t>R-2020-3018835</w:t>
      </w:r>
    </w:p>
    <w:p w14:paraId="16ABF502" w14:textId="77777777" w:rsidR="005921E9" w:rsidRDefault="005921E9" w:rsidP="005921E9">
      <w:pPr>
        <w:tabs>
          <w:tab w:val="left" w:pos="0"/>
        </w:tabs>
        <w:jc w:val="both"/>
      </w:pPr>
      <w:r>
        <w:t>Office of Consumer Advocate</w:t>
      </w:r>
      <w:r>
        <w:tab/>
      </w:r>
      <w:r>
        <w:tab/>
      </w:r>
      <w:r>
        <w:tab/>
        <w:t>:</w:t>
      </w:r>
      <w:r>
        <w:tab/>
      </w:r>
      <w:r>
        <w:tab/>
        <w:t>C-2020-3019702</w:t>
      </w:r>
    </w:p>
    <w:p w14:paraId="5DE31B0D" w14:textId="77777777" w:rsidR="005921E9" w:rsidRDefault="005921E9" w:rsidP="005921E9">
      <w:pPr>
        <w:tabs>
          <w:tab w:val="left" w:pos="0"/>
        </w:tabs>
        <w:jc w:val="both"/>
      </w:pPr>
      <w:r>
        <w:t>Office of Small Business Advocate</w:t>
      </w:r>
      <w:r>
        <w:tab/>
      </w:r>
      <w:r>
        <w:tab/>
      </w:r>
      <w:r>
        <w:tab/>
        <w:t>:</w:t>
      </w:r>
      <w:r>
        <w:tab/>
      </w:r>
      <w:r>
        <w:tab/>
        <w:t>C-2020-3019714</w:t>
      </w:r>
    </w:p>
    <w:p w14:paraId="6C91ACF1" w14:textId="77777777" w:rsidR="005921E9" w:rsidRDefault="005921E9" w:rsidP="005921E9">
      <w:pPr>
        <w:tabs>
          <w:tab w:val="left" w:pos="0"/>
        </w:tabs>
        <w:jc w:val="both"/>
      </w:pPr>
      <w:r>
        <w:t>Columbia Industrial Intervenors</w:t>
      </w:r>
      <w:r>
        <w:tab/>
      </w:r>
      <w:r>
        <w:tab/>
      </w:r>
      <w:r>
        <w:tab/>
        <w:t>:</w:t>
      </w:r>
      <w:r>
        <w:tab/>
      </w:r>
      <w:r>
        <w:tab/>
        <w:t>C-2020-302</w:t>
      </w:r>
      <w:r w:rsidRPr="00E05705">
        <w:t>0105</w:t>
      </w:r>
    </w:p>
    <w:p w14:paraId="3FD0B9B3" w14:textId="7B675889" w:rsidR="00F61C5C" w:rsidRDefault="00F61C5C" w:rsidP="005921E9">
      <w:pPr>
        <w:tabs>
          <w:tab w:val="left" w:pos="0"/>
        </w:tabs>
        <w:ind w:left="720" w:hanging="720"/>
        <w:jc w:val="both"/>
      </w:pPr>
      <w:r>
        <w:t>Dr. Richard Collins</w:t>
      </w:r>
      <w:r>
        <w:tab/>
      </w:r>
      <w:r>
        <w:tab/>
      </w:r>
      <w:r>
        <w:tab/>
      </w:r>
      <w:r>
        <w:tab/>
      </w:r>
      <w:r>
        <w:tab/>
        <w:t xml:space="preserve">: </w:t>
      </w:r>
      <w:r>
        <w:tab/>
      </w:r>
      <w:r>
        <w:tab/>
        <w:t>C-2020-3020207</w:t>
      </w:r>
    </w:p>
    <w:p w14:paraId="3C9AA454" w14:textId="65467D9C" w:rsidR="00F61C5C" w:rsidRDefault="00F61C5C" w:rsidP="005921E9">
      <w:pPr>
        <w:tabs>
          <w:tab w:val="left" w:pos="0"/>
        </w:tabs>
        <w:ind w:left="720" w:hanging="720"/>
        <w:jc w:val="both"/>
      </w:pPr>
      <w:r>
        <w:t>Ionut R. Ilie</w:t>
      </w:r>
      <w:r>
        <w:tab/>
      </w:r>
      <w:r>
        <w:tab/>
      </w:r>
      <w:r>
        <w:tab/>
      </w:r>
      <w:r>
        <w:tab/>
      </w:r>
      <w:r>
        <w:tab/>
      </w:r>
      <w:r>
        <w:tab/>
        <w:t xml:space="preserve">: </w:t>
      </w:r>
      <w:r>
        <w:tab/>
      </w:r>
      <w:r>
        <w:tab/>
        <w:t>C-2020-3020498</w:t>
      </w:r>
    </w:p>
    <w:p w14:paraId="18A745C3" w14:textId="77777777" w:rsidR="00985BC3" w:rsidRDefault="00985BC3" w:rsidP="00985BC3">
      <w:pPr>
        <w:tabs>
          <w:tab w:val="left" w:pos="0"/>
        </w:tabs>
        <w:ind w:left="720" w:hanging="720"/>
        <w:jc w:val="both"/>
      </w:pPr>
      <w:r>
        <w:t>Pennsylvania State University</w:t>
      </w:r>
      <w:r>
        <w:tab/>
      </w:r>
      <w:r>
        <w:tab/>
      </w:r>
      <w:r>
        <w:tab/>
        <w:t xml:space="preserve">: </w:t>
      </w:r>
      <w:r>
        <w:tab/>
      </w:r>
      <w:r>
        <w:tab/>
        <w:t>C-2020-3020666</w:t>
      </w:r>
    </w:p>
    <w:p w14:paraId="6440F7B8" w14:textId="77777777" w:rsidR="005921E9" w:rsidRPr="007A28C9" w:rsidRDefault="005921E9" w:rsidP="005921E9">
      <w:pPr>
        <w:tabs>
          <w:tab w:val="left" w:pos="0"/>
        </w:tabs>
        <w:ind w:left="720" w:hanging="720"/>
        <w:jc w:val="both"/>
      </w:pPr>
      <w:r>
        <w:rPr>
          <w:b/>
        </w:rPr>
        <w:tab/>
      </w:r>
      <w:r>
        <w:rPr>
          <w:b/>
        </w:rPr>
        <w:tab/>
      </w:r>
      <w:r>
        <w:rPr>
          <w:b/>
        </w:rPr>
        <w:tab/>
      </w:r>
      <w:r>
        <w:rPr>
          <w:b/>
        </w:rPr>
        <w:tab/>
      </w:r>
      <w:r>
        <w:rPr>
          <w:b/>
        </w:rPr>
        <w:tab/>
      </w:r>
      <w:r>
        <w:rPr>
          <w:b/>
        </w:rPr>
        <w:tab/>
      </w:r>
      <w:r>
        <w:rPr>
          <w:b/>
        </w:rPr>
        <w:tab/>
      </w:r>
      <w:r w:rsidRPr="007A28C9">
        <w:t>:</w:t>
      </w:r>
    </w:p>
    <w:p w14:paraId="2B6C3433" w14:textId="77777777" w:rsidR="005921E9" w:rsidRDefault="005921E9" w:rsidP="005921E9">
      <w:pPr>
        <w:tabs>
          <w:tab w:val="left" w:pos="0"/>
        </w:tabs>
        <w:jc w:val="both"/>
        <w:rPr>
          <w:b/>
        </w:rPr>
      </w:pPr>
      <w:r>
        <w:tab/>
        <w:t>v.</w:t>
      </w:r>
      <w:r>
        <w:tab/>
      </w:r>
      <w:r>
        <w:tab/>
      </w:r>
      <w:r>
        <w:tab/>
      </w:r>
      <w:r>
        <w:tab/>
      </w:r>
      <w:r>
        <w:tab/>
      </w:r>
      <w:r>
        <w:tab/>
      </w:r>
      <w:r w:rsidRPr="00560DC5">
        <w:t>:</w:t>
      </w:r>
      <w:r>
        <w:rPr>
          <w:b/>
        </w:rPr>
        <w:tab/>
      </w:r>
    </w:p>
    <w:p w14:paraId="711B40A5" w14:textId="77777777" w:rsidR="005921E9" w:rsidRPr="00F450E2" w:rsidRDefault="005921E9" w:rsidP="005921E9">
      <w:pPr>
        <w:tabs>
          <w:tab w:val="left" w:pos="0"/>
        </w:tabs>
        <w:jc w:val="both"/>
      </w:pPr>
      <w:r>
        <w:rPr>
          <w:b/>
        </w:rPr>
        <w:tab/>
      </w:r>
      <w:r>
        <w:rPr>
          <w:b/>
        </w:rPr>
        <w:tab/>
      </w:r>
      <w:r>
        <w:rPr>
          <w:b/>
        </w:rPr>
        <w:tab/>
      </w:r>
      <w:r>
        <w:rPr>
          <w:b/>
        </w:rPr>
        <w:tab/>
      </w:r>
      <w:r>
        <w:rPr>
          <w:b/>
        </w:rPr>
        <w:tab/>
      </w:r>
      <w:r>
        <w:rPr>
          <w:b/>
        </w:rPr>
        <w:tab/>
      </w:r>
      <w:r>
        <w:rPr>
          <w:b/>
        </w:rPr>
        <w:tab/>
      </w:r>
      <w:r w:rsidRPr="00F450E2">
        <w:t>:</w:t>
      </w:r>
    </w:p>
    <w:p w14:paraId="3D8BFC04" w14:textId="77777777" w:rsidR="005921E9" w:rsidRDefault="005921E9" w:rsidP="005921E9">
      <w:pPr>
        <w:tabs>
          <w:tab w:val="left" w:pos="0"/>
        </w:tabs>
        <w:jc w:val="both"/>
      </w:pPr>
      <w:r>
        <w:t>Columbia Gas of Pennsylvania, Inc.</w:t>
      </w:r>
      <w:r>
        <w:tab/>
        <w:t xml:space="preserve"> </w:t>
      </w:r>
      <w:r>
        <w:tab/>
      </w:r>
      <w:r>
        <w:tab/>
        <w:t>:</w:t>
      </w:r>
    </w:p>
    <w:p w14:paraId="3E500BE1" w14:textId="77777777" w:rsidR="005921E9" w:rsidRDefault="005921E9" w:rsidP="005921E9">
      <w:pPr>
        <w:tabs>
          <w:tab w:val="left" w:pos="0"/>
        </w:tabs>
        <w:jc w:val="both"/>
      </w:pPr>
      <w:r>
        <w:tab/>
      </w:r>
    </w:p>
    <w:p w14:paraId="797D0F8E" w14:textId="77777777" w:rsidR="00716AAB" w:rsidRDefault="00716AAB" w:rsidP="00716AAB"/>
    <w:p w14:paraId="4DCAB638" w14:textId="77777777" w:rsidR="00DC7E90" w:rsidRDefault="00DC7E90" w:rsidP="00716AAB"/>
    <w:p w14:paraId="74BD5117" w14:textId="539DF56E" w:rsidR="00716AAB" w:rsidRPr="003711EC" w:rsidRDefault="009D232A" w:rsidP="00716AAB">
      <w:pPr>
        <w:jc w:val="center"/>
        <w:rPr>
          <w:b/>
          <w:bCs/>
        </w:rPr>
      </w:pPr>
      <w:r w:rsidRPr="003711EC">
        <w:rPr>
          <w:b/>
          <w:bCs/>
          <w:u w:val="single"/>
        </w:rPr>
        <w:t>THIRD</w:t>
      </w:r>
      <w:r w:rsidR="00A96E66" w:rsidRPr="003711EC">
        <w:rPr>
          <w:b/>
          <w:bCs/>
          <w:u w:val="single"/>
        </w:rPr>
        <w:t xml:space="preserve"> </w:t>
      </w:r>
      <w:r w:rsidR="00716AAB" w:rsidRPr="003711EC">
        <w:rPr>
          <w:b/>
          <w:bCs/>
          <w:u w:val="single"/>
        </w:rPr>
        <w:t>INTERIM ORDER</w:t>
      </w:r>
      <w:r w:rsidR="001E2E86" w:rsidRPr="003711EC">
        <w:rPr>
          <w:b/>
          <w:bCs/>
          <w:u w:val="single"/>
        </w:rPr>
        <w:t xml:space="preserve"> </w:t>
      </w:r>
    </w:p>
    <w:p w14:paraId="2DC2AF56" w14:textId="5586BDC7" w:rsidR="005921E9" w:rsidRDefault="009D232A" w:rsidP="00E20EB7">
      <w:pPr>
        <w:jc w:val="center"/>
      </w:pPr>
      <w:r>
        <w:t>Denying</w:t>
      </w:r>
      <w:r w:rsidR="005921E9">
        <w:t xml:space="preserve"> Objections </w:t>
      </w:r>
    </w:p>
    <w:p w14:paraId="7E04D8A0" w14:textId="77777777" w:rsidR="005921E9" w:rsidRDefault="005921E9" w:rsidP="00E20EB7">
      <w:pPr>
        <w:jc w:val="center"/>
      </w:pPr>
      <w:r>
        <w:t xml:space="preserve">of Columbia Gas of Pennsylvania, Inc. </w:t>
      </w:r>
    </w:p>
    <w:p w14:paraId="4E43E8E0" w14:textId="4640298E" w:rsidR="005921E9" w:rsidRDefault="005921E9" w:rsidP="005921E9">
      <w:pPr>
        <w:jc w:val="center"/>
      </w:pPr>
      <w:r>
        <w:t xml:space="preserve">to </w:t>
      </w:r>
      <w:r w:rsidR="005B6850">
        <w:t xml:space="preserve">Portions of </w:t>
      </w:r>
      <w:r>
        <w:t xml:space="preserve">Public Input </w:t>
      </w:r>
      <w:r w:rsidR="005B6850">
        <w:t>Testimony</w:t>
      </w:r>
    </w:p>
    <w:p w14:paraId="1DDCDBE4" w14:textId="101D4745" w:rsidR="00E20EB7" w:rsidRDefault="005B6850" w:rsidP="005921E9">
      <w:pPr>
        <w:jc w:val="center"/>
      </w:pPr>
      <w:r>
        <w:t xml:space="preserve">of </w:t>
      </w:r>
      <w:r w:rsidR="005921E9">
        <w:t>Richard C. Culbertson</w:t>
      </w:r>
      <w:r>
        <w:t xml:space="preserve"> </w:t>
      </w:r>
    </w:p>
    <w:p w14:paraId="3CEC691C" w14:textId="77777777" w:rsidR="00E20EB7" w:rsidRDefault="00E20EB7" w:rsidP="003711EC">
      <w:pPr>
        <w:spacing w:line="360" w:lineRule="auto"/>
      </w:pPr>
    </w:p>
    <w:p w14:paraId="0202967E" w14:textId="77777777" w:rsidR="00985BC3" w:rsidRDefault="00985BC3" w:rsidP="003711EC">
      <w:pPr>
        <w:spacing w:line="360" w:lineRule="auto"/>
        <w:ind w:firstLine="1440"/>
      </w:pPr>
      <w:r w:rsidRPr="00ED26C8">
        <w:t xml:space="preserve">On </w:t>
      </w:r>
      <w:r>
        <w:t>April 24</w:t>
      </w:r>
      <w:r w:rsidRPr="00ED26C8">
        <w:t xml:space="preserve">, 2020, </w:t>
      </w:r>
      <w:r>
        <w:t>Columbia</w:t>
      </w:r>
      <w:r w:rsidRPr="00ED26C8">
        <w:t xml:space="preserve"> Gas of Pennsylvania, Inc. (</w:t>
      </w:r>
      <w:r>
        <w:t>Columbia</w:t>
      </w:r>
      <w:r w:rsidRPr="00ED26C8">
        <w:t xml:space="preserve">) </w:t>
      </w:r>
      <w:r>
        <w:t>filed Supplement No. 307 to Tariff Gas Pa. P.U.C. No. 9 at Docket No. R-2020-3018835, with an effective date of January 23, 2021.  Columbia</w:t>
      </w:r>
      <w:r w:rsidRPr="00ED26C8">
        <w:t xml:space="preserve"> propose</w:t>
      </w:r>
      <w:r>
        <w:t>d</w:t>
      </w:r>
      <w:r w:rsidRPr="00ED26C8">
        <w:t xml:space="preserve"> to increase overall rates by approximately $100.4 million per year, or 17.54% over present revenues. </w:t>
      </w:r>
      <w:r>
        <w:t xml:space="preserve"> </w:t>
      </w:r>
      <w:r w:rsidRPr="00ED26C8">
        <w:t>Columbia’s proposal</w:t>
      </w:r>
      <w:r>
        <w:t>, if granted,</w:t>
      </w:r>
      <w:r w:rsidRPr="00ED26C8">
        <w:t xml:space="preserve"> would increase the average residential customer bill from $87.57 to $103.19, or by approximately 17.84%.</w:t>
      </w:r>
      <w:r>
        <w:t xml:space="preserve">  Columbia also proposed to increase the residential fixed monthly charge from $16.75 to $23.00.  </w:t>
      </w:r>
    </w:p>
    <w:p w14:paraId="38540D68" w14:textId="77777777" w:rsidR="00985BC3" w:rsidRDefault="00985BC3" w:rsidP="003711EC">
      <w:pPr>
        <w:spacing w:line="360" w:lineRule="auto"/>
      </w:pPr>
    </w:p>
    <w:p w14:paraId="0B931A04" w14:textId="77777777" w:rsidR="00985BC3" w:rsidRDefault="00985BC3" w:rsidP="003711EC">
      <w:pPr>
        <w:spacing w:line="360" w:lineRule="auto"/>
        <w:ind w:firstLine="1440"/>
        <w:rPr>
          <w:spacing w:val="-3"/>
        </w:rPr>
      </w:pPr>
      <w:r>
        <w:t xml:space="preserve">On Wednesday, June 3, 2020, the presiding officer conducted a call-in telephonic prehearing conference with the parties in which various procedural matters were discussed and a litigation schedule was established.  Present during the call-in telephonic prehearing conference were counsel representing the following:  Columbia Gas; OCA; OSBA; BIE; CII; CAAP; and CAUSE-PA.  </w:t>
      </w:r>
      <w:r w:rsidRPr="00245A01">
        <w:rPr>
          <w:spacing w:val="-3"/>
        </w:rPr>
        <w:t>T</w:t>
      </w:r>
      <w:r>
        <w:rPr>
          <w:spacing w:val="-3"/>
        </w:rPr>
        <w:t>he</w:t>
      </w:r>
      <w:r w:rsidRPr="00245A01">
        <w:rPr>
          <w:spacing w:val="-3"/>
        </w:rPr>
        <w:t xml:space="preserve"> </w:t>
      </w:r>
      <w:r>
        <w:rPr>
          <w:spacing w:val="-3"/>
        </w:rPr>
        <w:t>parties addressed various procedural matters including</w:t>
      </w:r>
      <w:r w:rsidRPr="00245A01">
        <w:rPr>
          <w:spacing w:val="-3"/>
        </w:rPr>
        <w:t xml:space="preserve"> </w:t>
      </w:r>
      <w:r>
        <w:rPr>
          <w:spacing w:val="-3"/>
        </w:rPr>
        <w:t xml:space="preserve">the litigation schedule but could not agree on a litigation schedule.  The parties </w:t>
      </w:r>
      <w:r>
        <w:rPr>
          <w:spacing w:val="-3"/>
        </w:rPr>
        <w:lastRenderedPageBreak/>
        <w:t xml:space="preserve">requested time after the prehearing conference in which to discuss together the litigation schedule and then to inform the presiding officer the proposed dates the parties would request for this proceeding.  </w:t>
      </w:r>
    </w:p>
    <w:p w14:paraId="2559BDA8" w14:textId="77777777" w:rsidR="00985BC3" w:rsidRDefault="00985BC3" w:rsidP="003711EC">
      <w:pPr>
        <w:spacing w:line="360" w:lineRule="auto"/>
        <w:ind w:firstLine="1440"/>
        <w:rPr>
          <w:spacing w:val="-3"/>
        </w:rPr>
      </w:pPr>
    </w:p>
    <w:p w14:paraId="7ECDA454" w14:textId="77777777" w:rsidR="00985BC3" w:rsidRDefault="00985BC3" w:rsidP="003711EC">
      <w:pPr>
        <w:spacing w:line="360" w:lineRule="auto"/>
        <w:ind w:firstLine="1440"/>
      </w:pPr>
      <w:r>
        <w:rPr>
          <w:spacing w:val="-3"/>
        </w:rPr>
        <w:t>On Friday, June 5, 2020, the parties provided suggested dates for the litigation schedule.  Thereafter, the presiding officer requested, and received, clarifying information about the technology and procedure to be used by witnesses and non-testifying participants at the telephonic public input hearings.  Accordingly, on Friday, June 12, 2020, the presiding officer issued the Prehearing Order which memorialized</w:t>
      </w:r>
      <w:r w:rsidRPr="00146506">
        <w:t xml:space="preserve"> the matters discussed</w:t>
      </w:r>
      <w:r>
        <w:t xml:space="preserve"> </w:t>
      </w:r>
      <w:r w:rsidRPr="00146506">
        <w:t>by the parties during the prehearing conference</w:t>
      </w:r>
      <w:r>
        <w:t xml:space="preserve"> on June 3, 2020 and which established the litigation schedule.</w:t>
      </w:r>
    </w:p>
    <w:p w14:paraId="3226239A" w14:textId="77777777" w:rsidR="00985BC3" w:rsidRDefault="00985BC3" w:rsidP="003711EC">
      <w:pPr>
        <w:spacing w:line="360" w:lineRule="auto"/>
        <w:ind w:firstLine="1440"/>
      </w:pPr>
    </w:p>
    <w:p w14:paraId="7C3092CC" w14:textId="345DC7A9" w:rsidR="00985BC3" w:rsidRDefault="00985BC3" w:rsidP="003711EC">
      <w:pPr>
        <w:spacing w:line="360" w:lineRule="auto"/>
        <w:ind w:firstLine="1440"/>
      </w:pPr>
      <w:r>
        <w:t>Also, on June 12, 2020, the Office of Administrative Law Judge issued the Telephonic Evidentiary Hearing Notice which scheduled the telephonic evidentiary hearings for Tuesday, September 22, 2020 through Thursday, September 24, 2020.</w:t>
      </w:r>
    </w:p>
    <w:p w14:paraId="0CC172FE" w14:textId="74653085" w:rsidR="00C65F4B" w:rsidRDefault="00C65F4B" w:rsidP="003711EC">
      <w:pPr>
        <w:spacing w:line="360" w:lineRule="auto"/>
        <w:ind w:firstLine="1440"/>
      </w:pPr>
    </w:p>
    <w:p w14:paraId="69034BA2" w14:textId="171FFC44" w:rsidR="00C65F4B" w:rsidRDefault="00C65F4B" w:rsidP="003711EC">
      <w:pPr>
        <w:spacing w:line="360" w:lineRule="auto"/>
        <w:ind w:firstLine="1440"/>
      </w:pPr>
      <w:r>
        <w:t xml:space="preserve">On July 8, 2020, the presiding officer conducted a telephonic public input hearing.  One of the two witnesses who testified at that </w:t>
      </w:r>
      <w:r w:rsidR="00E54C89">
        <w:t>public input hearing</w:t>
      </w:r>
      <w:r>
        <w:t xml:space="preserve"> was Richard C. Culbertson.  </w:t>
      </w:r>
      <w:r w:rsidR="00DD104E">
        <w:t xml:space="preserve">Prior to being sworn in as a witness, Columbia Gas objected to the testimony of Mr. Culbertson.  Columbia Gas contended Mr. Culbertson did not qualify as a witness and should not be permitted to testify because he was neither a party nor a current ratepayer.  </w:t>
      </w:r>
    </w:p>
    <w:p w14:paraId="24B3434C" w14:textId="0C2972A9" w:rsidR="00C65F4B" w:rsidRDefault="00C65F4B" w:rsidP="003711EC">
      <w:pPr>
        <w:spacing w:line="360" w:lineRule="auto"/>
        <w:ind w:firstLine="1440"/>
      </w:pPr>
    </w:p>
    <w:p w14:paraId="15785B58" w14:textId="1318EBA5" w:rsidR="005C0B3E" w:rsidRDefault="00C65F4B" w:rsidP="003711EC">
      <w:pPr>
        <w:spacing w:line="360" w:lineRule="auto"/>
        <w:ind w:firstLine="1440"/>
      </w:pPr>
      <w:r>
        <w:t>On July 15, 2020, Columbia Gas filed its Objections of Columbia Gas of Pennsylvania, Inc. to the Written Statement and Exhibits of Richard C. Culbertson</w:t>
      </w:r>
      <w:r w:rsidR="00E54C89">
        <w:t xml:space="preserve"> (Objections to Culbertson Testimony)</w:t>
      </w:r>
      <w:r w:rsidR="009D604F">
        <w:t xml:space="preserve"> submitted into the hearing record when</w:t>
      </w:r>
      <w:r>
        <w:t xml:space="preserve"> Mr. Culbertson testified at the public input hearing on July 8, 2020.  Columbia Gas </w:t>
      </w:r>
      <w:r w:rsidR="005C0B3E">
        <w:t>requested the presiding officer exclude certain portions of the written statement and exhibits submitted by Mr.</w:t>
      </w:r>
      <w:r w:rsidR="00735E34">
        <w:t> </w:t>
      </w:r>
      <w:r w:rsidR="005C0B3E">
        <w:t xml:space="preserve">Culbertson.  </w:t>
      </w:r>
      <w:r w:rsidR="009D604F">
        <w:t>Columbia Gas specifi</w:t>
      </w:r>
      <w:r w:rsidR="00735E34">
        <w:t>ed it</w:t>
      </w:r>
      <w:r w:rsidR="009D604F">
        <w:t xml:space="preserve"> objected to </w:t>
      </w:r>
      <w:r w:rsidR="007A7B71">
        <w:t>Public Input Exhibit</w:t>
      </w:r>
      <w:r w:rsidR="009D604F">
        <w:t>s 1, 5 and 6</w:t>
      </w:r>
      <w:r w:rsidR="00735E34">
        <w:t>,</w:t>
      </w:r>
      <w:r w:rsidR="009D604F">
        <w:t xml:space="preserve"> and it specified its particular objections in Paragraphs 16 to 26 of its Objections to Culbertson Testimony.  </w:t>
      </w:r>
      <w:r w:rsidR="005C0B3E">
        <w:t xml:space="preserve">Columbia Gas averred the written statement and exhibits contained irrelevant statements that were unrelated to the rates and service provided by Columbia Gas, and that the </w:t>
      </w:r>
      <w:r w:rsidR="009D604F">
        <w:t xml:space="preserve">inadmissible </w:t>
      </w:r>
      <w:r w:rsidR="005C0B3E">
        <w:t>hearsay statements within were not subject to any hearsay exception</w:t>
      </w:r>
      <w:r>
        <w:t>.</w:t>
      </w:r>
      <w:r w:rsidR="005C0B3E">
        <w:t xml:space="preserve">  </w:t>
      </w:r>
    </w:p>
    <w:p w14:paraId="58C10DCD" w14:textId="7205A3AA" w:rsidR="00BE4CD2" w:rsidRPr="009D604F" w:rsidRDefault="0092383A" w:rsidP="003711EC">
      <w:pPr>
        <w:spacing w:line="360" w:lineRule="auto"/>
        <w:ind w:firstLine="720"/>
      </w:pPr>
      <w:r w:rsidRPr="009D604F">
        <w:rPr>
          <w:u w:color="000000"/>
        </w:rPr>
        <w:lastRenderedPageBreak/>
        <w:tab/>
      </w:r>
      <w:r w:rsidR="00E54C89" w:rsidRPr="009D604F">
        <w:rPr>
          <w:u w:color="000000"/>
        </w:rPr>
        <w:t>Columbia Gas</w:t>
      </w:r>
      <w:r w:rsidR="00BE4CD2" w:rsidRPr="009D604F">
        <w:rPr>
          <w:u w:color="000000"/>
        </w:rPr>
        <w:t xml:space="preserve"> contended</w:t>
      </w:r>
      <w:r w:rsidR="00471D1D" w:rsidRPr="009D604F">
        <w:rPr>
          <w:u w:color="000000"/>
        </w:rPr>
        <w:t xml:space="preserve"> unsupported assertions contained</w:t>
      </w:r>
      <w:r w:rsidR="00471D1D" w:rsidRPr="009D604F">
        <w:t xml:space="preserve"> within Mr.</w:t>
      </w:r>
      <w:r w:rsidR="00735E34">
        <w:t> </w:t>
      </w:r>
      <w:r w:rsidR="00E54C89" w:rsidRPr="009D604F">
        <w:t>Culbertson’s</w:t>
      </w:r>
      <w:r w:rsidR="00471D1D" w:rsidRPr="009D604F">
        <w:t xml:space="preserve"> testimony concern</w:t>
      </w:r>
      <w:r w:rsidR="009D604F" w:rsidRPr="009D604F">
        <w:t xml:space="preserve"> actions and events which involved NiSource, Columbia Gas’ parent company, and Columbia Gas of Massachusetts, a “sister corporation.”  </w:t>
      </w:r>
      <w:r w:rsidR="00E54C89" w:rsidRPr="009D604F">
        <w:t>Columbia Gas</w:t>
      </w:r>
      <w:r w:rsidR="00537BC1" w:rsidRPr="009D604F">
        <w:t xml:space="preserve"> argued allowing the disputed </w:t>
      </w:r>
      <w:r w:rsidR="00E54C89" w:rsidRPr="009D604F">
        <w:t xml:space="preserve">statements </w:t>
      </w:r>
      <w:r w:rsidR="009D604F" w:rsidRPr="009D604F">
        <w:t xml:space="preserve">- </w:t>
      </w:r>
      <w:r w:rsidR="00E54C89" w:rsidRPr="009D604F">
        <w:t xml:space="preserve">about events </w:t>
      </w:r>
      <w:r w:rsidR="009D604F" w:rsidRPr="009D604F">
        <w:t>occurring in another state and</w:t>
      </w:r>
      <w:r w:rsidR="00E54C89" w:rsidRPr="009D604F">
        <w:t xml:space="preserve"> involving Columbia Gas’ unrelated “sister corporation”</w:t>
      </w:r>
      <w:r w:rsidR="00537BC1" w:rsidRPr="009D604F">
        <w:t xml:space="preserve"> </w:t>
      </w:r>
      <w:r w:rsidR="009D604F" w:rsidRPr="009D604F">
        <w:t xml:space="preserve">and/or NiSource - </w:t>
      </w:r>
      <w:r w:rsidR="00537BC1" w:rsidRPr="009D604F">
        <w:t>through Mr.</w:t>
      </w:r>
      <w:r w:rsidR="00735E34">
        <w:t> </w:t>
      </w:r>
      <w:r w:rsidR="00E54C89" w:rsidRPr="009D604F">
        <w:t>Culbertson’s</w:t>
      </w:r>
      <w:r w:rsidR="00537BC1" w:rsidRPr="009D604F">
        <w:t xml:space="preserve"> testimony in the </w:t>
      </w:r>
      <w:r w:rsidR="00E54C89" w:rsidRPr="009D604F">
        <w:t xml:space="preserve">Section </w:t>
      </w:r>
      <w:r w:rsidR="00537BC1" w:rsidRPr="009D604F">
        <w:t xml:space="preserve">1307(f) </w:t>
      </w:r>
      <w:r w:rsidR="00E54C89" w:rsidRPr="009D604F">
        <w:t xml:space="preserve">proceeding </w:t>
      </w:r>
      <w:r w:rsidR="00537BC1" w:rsidRPr="009D604F">
        <w:t xml:space="preserve">is unfair to </w:t>
      </w:r>
      <w:r w:rsidR="00E54C89" w:rsidRPr="009D604F">
        <w:t>Columbia Gas</w:t>
      </w:r>
      <w:r w:rsidR="00537BC1" w:rsidRPr="009D604F">
        <w:t xml:space="preserve"> and a violation of the rules of evidence.  </w:t>
      </w:r>
      <w:r w:rsidR="00292448">
        <w:t>Columbia Gas referenced the Walker Rule</w:t>
      </w:r>
    </w:p>
    <w:p w14:paraId="1E9085C8" w14:textId="77777777" w:rsidR="00270D4B" w:rsidRDefault="00270D4B" w:rsidP="003711EC">
      <w:pPr>
        <w:spacing w:line="360" w:lineRule="auto"/>
        <w:ind w:firstLine="1440"/>
      </w:pPr>
    </w:p>
    <w:p w14:paraId="29690C6B" w14:textId="1A7F3198" w:rsidR="00270D4B" w:rsidRDefault="00270D4B" w:rsidP="003711EC">
      <w:pPr>
        <w:spacing w:line="360" w:lineRule="auto"/>
        <w:ind w:firstLine="1440"/>
      </w:pPr>
      <w:r>
        <w:t>On July 27, 2020, the Office of Administrative Law Judge issued the Initial Call-In Prehearing Conference Notice which scheduled a telephonic evidentiary prehearing conference for 9:00 a.m. on Friday, July 31, 2020.</w:t>
      </w:r>
    </w:p>
    <w:p w14:paraId="1C9E61EC" w14:textId="031F5C13" w:rsidR="00270D4B" w:rsidRDefault="00270D4B" w:rsidP="003711EC">
      <w:pPr>
        <w:spacing w:line="360" w:lineRule="auto"/>
        <w:ind w:firstLine="1440"/>
      </w:pPr>
    </w:p>
    <w:p w14:paraId="02D13E32" w14:textId="2BFB7907" w:rsidR="00CE1A53" w:rsidRDefault="00270D4B" w:rsidP="003711EC">
      <w:pPr>
        <w:spacing w:line="360" w:lineRule="auto"/>
        <w:ind w:firstLine="1440"/>
      </w:pPr>
      <w:r>
        <w:t>On July 31, 2020, the presiding officer conducted the evidentiary prehearing conference</w:t>
      </w:r>
      <w:r w:rsidR="00507230">
        <w:t xml:space="preserve">.  </w:t>
      </w:r>
      <w:r w:rsidR="009D604F">
        <w:t xml:space="preserve">At the evidentiary prehearing conference, oral arguments against the objections were received from OCA and CAAP.  </w:t>
      </w:r>
      <w:r w:rsidR="00292448">
        <w:t xml:space="preserve">OCA contended the Walker Rule is not controlling and does not apply in this proceeding.  OCA referred to evidentiary decisions in the </w:t>
      </w:r>
      <w:r w:rsidR="00292448" w:rsidRPr="00401027">
        <w:rPr>
          <w:i/>
          <w:iCs/>
        </w:rPr>
        <w:t>TrailCo</w:t>
      </w:r>
      <w:r w:rsidR="00292448">
        <w:t xml:space="preserve"> case and </w:t>
      </w:r>
      <w:r w:rsidR="00292448" w:rsidRPr="00401027">
        <w:rPr>
          <w:i/>
          <w:iCs/>
        </w:rPr>
        <w:t>Zapa</w:t>
      </w:r>
      <w:r w:rsidR="00B110C8">
        <w:rPr>
          <w:i/>
          <w:iCs/>
        </w:rPr>
        <w:t>t</w:t>
      </w:r>
      <w:r w:rsidR="00292448" w:rsidRPr="00401027">
        <w:rPr>
          <w:i/>
          <w:iCs/>
        </w:rPr>
        <w:t>ka v. Columbia Gas of Pennsylvania</w:t>
      </w:r>
      <w:r w:rsidR="00292448">
        <w:t xml:space="preserve"> case as precedence for admitting exhibits at a public input hearing even when the exhibits contain hearsay to which there are objections.  OCA noted hearsay exhibits can be admitted </w:t>
      </w:r>
      <w:r w:rsidR="00401027">
        <w:t xml:space="preserve">over objection </w:t>
      </w:r>
      <w:r w:rsidR="00292448">
        <w:t>but standing alone cannot form the basis of fact needed to establish substantial evidence.  OCA</w:t>
      </w:r>
      <w:r w:rsidR="00187200">
        <w:t xml:space="preserve"> argue</w:t>
      </w:r>
      <w:r w:rsidR="00401027">
        <w:t>d</w:t>
      </w:r>
      <w:r w:rsidR="00187200">
        <w:t xml:space="preserve"> Columbia Gas</w:t>
      </w:r>
      <w:r w:rsidR="00401027">
        <w:t xml:space="preserve"> has a right to rebut the testimony and exhibits and the utility continues to have an opportunity to respond to the evidence as needed.  </w:t>
      </w:r>
    </w:p>
    <w:p w14:paraId="64F33330" w14:textId="77777777" w:rsidR="00CE1A53" w:rsidRDefault="00CE1A53" w:rsidP="003711EC">
      <w:pPr>
        <w:spacing w:line="360" w:lineRule="auto"/>
        <w:ind w:firstLine="1440"/>
      </w:pPr>
    </w:p>
    <w:p w14:paraId="651C075D" w14:textId="0547CAE9" w:rsidR="00270D4B" w:rsidRDefault="00401027" w:rsidP="003711EC">
      <w:pPr>
        <w:spacing w:line="360" w:lineRule="auto"/>
        <w:ind w:firstLine="1440"/>
      </w:pPr>
      <w:r>
        <w:t>In addition, OCA pointed out there were only two witnesses at the public input hearing in a $100 million base rate request and Columbia Gas’ hearsay arguments are too far-reaching for a public input hearing and may create a chilling effect for participation by ratepayers in future proceedings.  OCA specifically discussed each objection raised by Columbia Gas and pointed out the reasons why the disputed information should remain in the record.  Specifically, OCA noted the places where Columbia Gas objected to information which Mr. Culbertson placed in a table or chart format using information from</w:t>
      </w:r>
      <w:r w:rsidR="00CE1A53">
        <w:t xml:space="preserve"> either</w:t>
      </w:r>
      <w:r>
        <w:t xml:space="preserve"> Columbia Gas</w:t>
      </w:r>
      <w:r w:rsidR="00CE1A53">
        <w:t xml:space="preserve"> or the parent company, NiSource, sp</w:t>
      </w:r>
      <w:r>
        <w:t xml:space="preserve">ecifically </w:t>
      </w:r>
      <w:r w:rsidR="007A7B71">
        <w:t>Public Input Exhibit</w:t>
      </w:r>
      <w:r>
        <w:t xml:space="preserve">s 3 and 4, </w:t>
      </w:r>
      <w:r>
        <w:lastRenderedPageBreak/>
        <w:t xml:space="preserve">which are news releases from or about NiSource and/or Columbia Gas of Massachusetts and to which Columbia Gas did not raise an objection in its filing.  </w:t>
      </w:r>
    </w:p>
    <w:p w14:paraId="27F68819" w14:textId="37CFF77B" w:rsidR="00401027" w:rsidRDefault="00401027" w:rsidP="003711EC">
      <w:pPr>
        <w:spacing w:line="360" w:lineRule="auto"/>
        <w:ind w:firstLine="1440"/>
      </w:pPr>
    </w:p>
    <w:p w14:paraId="4055FFB4" w14:textId="7BD1811E" w:rsidR="00401027" w:rsidRDefault="00401027" w:rsidP="003711EC">
      <w:pPr>
        <w:spacing w:line="360" w:lineRule="auto"/>
        <w:ind w:firstLine="1440"/>
      </w:pPr>
      <w:r>
        <w:t xml:space="preserve">CAAP also </w:t>
      </w:r>
      <w:r w:rsidR="00CE1A53">
        <w:t>objected</w:t>
      </w:r>
      <w:r>
        <w:t xml:space="preserve"> to Columbia Gas’ objections.  CAAP contended that hopefully more than two ratepayers would have testified</w:t>
      </w:r>
      <w:r w:rsidR="00CE1A53">
        <w:t xml:space="preserve"> at the public input hearing</w:t>
      </w:r>
      <w:r>
        <w:t xml:space="preserve"> but averred the Commission should give deference to ratepayers who appear to testify </w:t>
      </w:r>
      <w:r w:rsidR="00CE1A53">
        <w:t>publicly</w:t>
      </w:r>
      <w:r>
        <w:t xml:space="preserve">.  </w:t>
      </w:r>
      <w:r w:rsidR="00F921BD">
        <w:t xml:space="preserve">CAAP </w:t>
      </w:r>
      <w:r w:rsidR="00CE1A53">
        <w:t>pointed out</w:t>
      </w:r>
      <w:r w:rsidR="00F921BD">
        <w:t xml:space="preserve"> </w:t>
      </w:r>
      <w:r w:rsidR="00CE1A53">
        <w:t xml:space="preserve">Columbia Gas made a larger than normal number of objections during the public input hearing </w:t>
      </w:r>
      <w:r w:rsidR="00F921BD">
        <w:t xml:space="preserve">and further noted </w:t>
      </w:r>
      <w:r w:rsidR="00CE1A53">
        <w:t>Columbia Gas’ objections will have a chilling effect on participation by ratepayers at future public input hearings</w:t>
      </w:r>
      <w:r w:rsidR="00F921BD">
        <w:t>.</w:t>
      </w:r>
    </w:p>
    <w:p w14:paraId="74A950E0" w14:textId="77777777" w:rsidR="00270D4B" w:rsidRDefault="00270D4B" w:rsidP="003711EC">
      <w:pPr>
        <w:spacing w:line="360" w:lineRule="auto"/>
      </w:pPr>
    </w:p>
    <w:p w14:paraId="56B2BFDB" w14:textId="5E9BC0AA" w:rsidR="009B003D" w:rsidRPr="00962C33" w:rsidRDefault="006224F3" w:rsidP="003711EC">
      <w:pPr>
        <w:spacing w:line="360" w:lineRule="auto"/>
        <w:jc w:val="center"/>
        <w:rPr>
          <w:u w:val="single"/>
        </w:rPr>
      </w:pPr>
      <w:r w:rsidRPr="00962C33">
        <w:rPr>
          <w:u w:val="single"/>
        </w:rPr>
        <w:t>DISCUSSION</w:t>
      </w:r>
    </w:p>
    <w:p w14:paraId="76A3BA86" w14:textId="77777777" w:rsidR="009D232A" w:rsidRDefault="009D232A" w:rsidP="003711EC">
      <w:pPr>
        <w:spacing w:line="360" w:lineRule="auto"/>
        <w:rPr>
          <w:b/>
          <w:bCs/>
        </w:rPr>
      </w:pPr>
    </w:p>
    <w:p w14:paraId="2995A809" w14:textId="2D2B713B" w:rsidR="006224F3" w:rsidRPr="00C216CA" w:rsidRDefault="00C216CA" w:rsidP="003711EC">
      <w:pPr>
        <w:spacing w:line="360" w:lineRule="auto"/>
        <w:rPr>
          <w:b/>
          <w:bCs/>
        </w:rPr>
      </w:pPr>
      <w:r w:rsidRPr="00C216CA">
        <w:rPr>
          <w:b/>
          <w:bCs/>
        </w:rPr>
        <w:t>Exhibits at Issue</w:t>
      </w:r>
      <w:r w:rsidR="007A7B71">
        <w:rPr>
          <w:rStyle w:val="FootnoteReference"/>
          <w:b/>
          <w:bCs/>
        </w:rPr>
        <w:footnoteReference w:id="1"/>
      </w:r>
    </w:p>
    <w:p w14:paraId="1D27A72D" w14:textId="1F4B5EBC" w:rsidR="00C216CA" w:rsidRDefault="00C216CA" w:rsidP="003711EC">
      <w:pPr>
        <w:spacing w:line="360" w:lineRule="auto"/>
      </w:pPr>
    </w:p>
    <w:p w14:paraId="4A741FA5" w14:textId="6F1E1361" w:rsidR="007B6BEC" w:rsidRDefault="007A7B71" w:rsidP="003711EC">
      <w:pPr>
        <w:spacing w:line="360" w:lineRule="auto"/>
      </w:pPr>
      <w:r>
        <w:t>Public Input Exhibit</w:t>
      </w:r>
      <w:r w:rsidR="00C216CA">
        <w:t xml:space="preserve"> 1 </w:t>
      </w:r>
    </w:p>
    <w:p w14:paraId="6FDA7203" w14:textId="77777777" w:rsidR="007B6BEC" w:rsidRDefault="007B6BEC" w:rsidP="003711EC">
      <w:pPr>
        <w:spacing w:line="360" w:lineRule="auto"/>
      </w:pPr>
    </w:p>
    <w:p w14:paraId="297E03D4" w14:textId="65716672" w:rsidR="00C216CA" w:rsidRDefault="007A7B71" w:rsidP="003711EC">
      <w:pPr>
        <w:spacing w:line="360" w:lineRule="auto"/>
        <w:ind w:firstLine="1440"/>
      </w:pPr>
      <w:r>
        <w:t>Written Statement of Richard C. Culbertson</w:t>
      </w:r>
      <w:r w:rsidR="00FF58B3">
        <w:t>.  Includes personal information of witness including education, work experience, testimony before the Commission and various personal opinions concerning Columbia Gas’ current base rate request as well as reference to various state and federal statutes, regulations and guidelines.  Attachments include front page of Pennsylvania’s Management Directive No. 325.12 Amended (Standards for Internal Controls in Commonwealth Agencies, dated May 15, 2018); front page of Pennsylvania’s Management Directive No. 325.3 Amended (Performance of Audit Responsibilities, dated January 10, 2011); and a sundry listing of various newspaper articles, trade association statements and/or guidelines, and charts concerning Columbia Gas and/or NiSource.</w:t>
      </w:r>
    </w:p>
    <w:p w14:paraId="0A8D3079" w14:textId="5A0CDC4A" w:rsidR="00C216CA" w:rsidRDefault="00962C33" w:rsidP="003711EC">
      <w:pPr>
        <w:spacing w:line="360" w:lineRule="auto"/>
      </w:pPr>
      <w:r>
        <w:br/>
      </w:r>
    </w:p>
    <w:p w14:paraId="200421DC" w14:textId="77777777" w:rsidR="007B6BEC" w:rsidRDefault="007A7B71" w:rsidP="003711EC">
      <w:pPr>
        <w:spacing w:line="360" w:lineRule="auto"/>
      </w:pPr>
      <w:r>
        <w:lastRenderedPageBreak/>
        <w:t>Public Input Exhibit</w:t>
      </w:r>
      <w:r w:rsidR="00C216CA">
        <w:t xml:space="preserve"> 5 </w:t>
      </w:r>
    </w:p>
    <w:p w14:paraId="13DD9E21" w14:textId="77777777" w:rsidR="007B6BEC" w:rsidRDefault="007B6BEC" w:rsidP="003711EC">
      <w:pPr>
        <w:spacing w:line="360" w:lineRule="auto"/>
      </w:pPr>
    </w:p>
    <w:p w14:paraId="2C7D01CB" w14:textId="5993BD9A" w:rsidR="00C216CA" w:rsidRPr="000418E9" w:rsidRDefault="005505B9" w:rsidP="003711EC">
      <w:pPr>
        <w:spacing w:line="360" w:lineRule="auto"/>
        <w:ind w:firstLine="1440"/>
      </w:pPr>
      <w:r>
        <w:t xml:space="preserve">Deferred Prosecution Agreement between the United States Attorney for the District of Massachusetts and NiSource, Inc.as Defendant, concerning </w:t>
      </w:r>
      <w:r w:rsidRPr="000418E9">
        <w:t>criminal liability for actions of subsidiary, Columbia Gas of Massachusetts, from over-pressurization event on September 13, 2018 in Merrimack Valley, Massachusetts.</w:t>
      </w:r>
      <w:r w:rsidR="00987FA5">
        <w:rPr>
          <w:rStyle w:val="FootnoteReference"/>
        </w:rPr>
        <w:footnoteReference w:id="2"/>
      </w:r>
      <w:r w:rsidRPr="000418E9">
        <w:t xml:space="preserve">  </w:t>
      </w:r>
      <w:r w:rsidR="00987FA5">
        <w:t>Does not i</w:t>
      </w:r>
      <w:r w:rsidR="000418E9" w:rsidRPr="000418E9">
        <w:t>nclude a copy of the February 24, 2020 Plea Agreement between the Government and NiSource</w:t>
      </w:r>
      <w:r w:rsidR="00987FA5">
        <w:t xml:space="preserve"> which is referenced by the exhibit itself</w:t>
      </w:r>
      <w:r w:rsidR="000418E9" w:rsidRPr="000418E9">
        <w:t>.  In Paragraph 11, NiSource agreed its subsidiaries</w:t>
      </w:r>
      <w:r w:rsidR="00992D29">
        <w:t xml:space="preserve"> in other states</w:t>
      </w:r>
      <w:r w:rsidR="000418E9" w:rsidRPr="000418E9">
        <w:t xml:space="preserve"> (including Pennsylvania) would implement and adhere to each of the recommendations from the NTSB related to the Merrimack Valley over-pressurization event.</w:t>
      </w:r>
    </w:p>
    <w:p w14:paraId="07D1348C" w14:textId="52BAA009" w:rsidR="00C216CA" w:rsidRPr="000418E9" w:rsidRDefault="00C216CA" w:rsidP="003711EC">
      <w:pPr>
        <w:spacing w:line="360" w:lineRule="auto"/>
      </w:pPr>
    </w:p>
    <w:p w14:paraId="7E911B66" w14:textId="77777777" w:rsidR="007B6BEC" w:rsidRDefault="007A7B71" w:rsidP="003711EC">
      <w:pPr>
        <w:spacing w:line="360" w:lineRule="auto"/>
      </w:pPr>
      <w:r w:rsidRPr="000418E9">
        <w:t>Public Input Exhibit</w:t>
      </w:r>
      <w:r w:rsidR="00C216CA" w:rsidRPr="000418E9">
        <w:t xml:space="preserve"> 6 </w:t>
      </w:r>
    </w:p>
    <w:p w14:paraId="4A86CAF3" w14:textId="77777777" w:rsidR="007B6BEC" w:rsidRDefault="007B6BEC" w:rsidP="003711EC">
      <w:pPr>
        <w:spacing w:line="360" w:lineRule="auto"/>
      </w:pPr>
    </w:p>
    <w:p w14:paraId="2AF6E25E" w14:textId="1FD50753" w:rsidR="00C216CA" w:rsidRPr="000418E9" w:rsidRDefault="005505B9" w:rsidP="003711EC">
      <w:pPr>
        <w:spacing w:line="360" w:lineRule="auto"/>
        <w:ind w:firstLine="1440"/>
      </w:pPr>
      <w:r w:rsidRPr="000418E9">
        <w:t>Pipeline Accident Report</w:t>
      </w:r>
      <w:r w:rsidR="000418E9" w:rsidRPr="000418E9">
        <w:t>, related to NTSB Accident ID PLD 18MR003,</w:t>
      </w:r>
      <w:r w:rsidRPr="000418E9">
        <w:t xml:space="preserve"> adopted September 24, 2019 by National Transportation Safety Board, subtitled </w:t>
      </w:r>
      <w:r w:rsidRPr="00962C33">
        <w:rPr>
          <w:i/>
          <w:iCs/>
        </w:rPr>
        <w:t>Overpressurization of Natural Gas Distribution Syste</w:t>
      </w:r>
      <w:r w:rsidR="00FF58B3" w:rsidRPr="00962C33">
        <w:rPr>
          <w:i/>
          <w:iCs/>
        </w:rPr>
        <w:t>m</w:t>
      </w:r>
      <w:r w:rsidRPr="00962C33">
        <w:rPr>
          <w:i/>
          <w:iCs/>
        </w:rPr>
        <w:t>, Explosions, and Fires in Merrimack Valley, Massachusetts September 13, 2018</w:t>
      </w:r>
      <w:r w:rsidRPr="000418E9">
        <w:t>.</w:t>
      </w:r>
      <w:r w:rsidR="00987FA5">
        <w:t xml:space="preserve">  Finding No. 8 concluded NiSource’s engineering risk management processes were deficient.  The NTSB report issued new recommendations which include advising multiple states (including Pennsylvania) to remove any exemption so that all future natural gas infrastructure projects would require a licensed professional engineer’s approval and stamping.  The NTSB report noted prior recommendations including recommending NiSource </w:t>
      </w:r>
      <w:r w:rsidR="00992D29">
        <w:t>revise its engineering plan and constructability review process across all of NiSource’s subsidiaries.</w:t>
      </w:r>
    </w:p>
    <w:p w14:paraId="5C9A6A8F" w14:textId="5C56F1A2" w:rsidR="00C216CA" w:rsidRDefault="00C216CA" w:rsidP="003711EC">
      <w:pPr>
        <w:spacing w:line="360" w:lineRule="auto"/>
      </w:pPr>
    </w:p>
    <w:p w14:paraId="0101F026" w14:textId="7851F158" w:rsidR="006224F3" w:rsidRDefault="009D232A" w:rsidP="003711EC">
      <w:pPr>
        <w:spacing w:line="360" w:lineRule="auto"/>
        <w:rPr>
          <w:b/>
          <w:bCs/>
        </w:rPr>
      </w:pPr>
      <w:r>
        <w:rPr>
          <w:b/>
          <w:bCs/>
        </w:rPr>
        <w:t xml:space="preserve">Relevance and </w:t>
      </w:r>
      <w:r w:rsidR="006224F3" w:rsidRPr="006224F3">
        <w:rPr>
          <w:b/>
          <w:bCs/>
        </w:rPr>
        <w:t>Hearsay</w:t>
      </w:r>
    </w:p>
    <w:p w14:paraId="1744E4E1" w14:textId="73CDB0F6" w:rsidR="006224F3" w:rsidRPr="00B456F7" w:rsidRDefault="006224F3" w:rsidP="003711EC">
      <w:pPr>
        <w:spacing w:line="360" w:lineRule="auto"/>
      </w:pPr>
      <w:bookmarkStart w:id="0" w:name="56.72."/>
    </w:p>
    <w:p w14:paraId="034838A8" w14:textId="3A6BDD3F" w:rsidR="00EB5502" w:rsidRDefault="009D232A" w:rsidP="003711EC">
      <w:pPr>
        <w:spacing w:line="360" w:lineRule="auto"/>
      </w:pPr>
      <w:r w:rsidRPr="00B456F7">
        <w:tab/>
      </w:r>
      <w:r w:rsidRPr="00B456F7">
        <w:tab/>
        <w:t>Relevant evidence is that evidence which tends to establish some fact material to the case, or which tends to make a fact, which is at issue, more</w:t>
      </w:r>
      <w:r>
        <w:t xml:space="preserve"> or less probable.</w:t>
      </w:r>
      <w:r w:rsidR="00555DE0">
        <w:rPr>
          <w:rStyle w:val="FootnoteReference"/>
        </w:rPr>
        <w:footnoteReference w:id="3"/>
      </w:r>
      <w:r>
        <w:t xml:space="preserve">  </w:t>
      </w:r>
      <w:r>
        <w:lastRenderedPageBreak/>
        <w:t>Generally speaking, evidence which is irrelevant or immaterial will not be admissible before the Commission.</w:t>
      </w:r>
      <w:r w:rsidR="00555DE0">
        <w:rPr>
          <w:rStyle w:val="FootnoteReference"/>
        </w:rPr>
        <w:footnoteReference w:id="4"/>
      </w:r>
      <w:r>
        <w:t xml:space="preserve">  </w:t>
      </w:r>
      <w:r w:rsidR="00EB5502">
        <w:t>In addition, e</w:t>
      </w:r>
      <w:r w:rsidR="00555DE0">
        <w:t>vidence which is relevant should still be excluded if its probative value is outweighed by</w:t>
      </w:r>
      <w:r w:rsidR="00EB5502">
        <w:t xml:space="preserve"> the danger there will be</w:t>
      </w:r>
      <w:r w:rsidR="00555DE0">
        <w:t xml:space="preserve"> unfair prejudic</w:t>
      </w:r>
      <w:r w:rsidR="00F90E8A">
        <w:t>e</w:t>
      </w:r>
      <w:r w:rsidR="00EB5502">
        <w:t xml:space="preserve">, </w:t>
      </w:r>
      <w:r w:rsidR="00555DE0">
        <w:t>a confusion of the issues, mislead</w:t>
      </w:r>
      <w:r w:rsidR="00EB5502">
        <w:t>ing of</w:t>
      </w:r>
      <w:r w:rsidR="00555DE0">
        <w:t xml:space="preserve"> the fact finder, creat</w:t>
      </w:r>
      <w:r w:rsidR="00EB5502">
        <w:t>ing</w:t>
      </w:r>
      <w:r w:rsidR="00555DE0">
        <w:t xml:space="preserve"> undue delay, wast</w:t>
      </w:r>
      <w:r w:rsidR="00EB5502">
        <w:t>ing</w:t>
      </w:r>
      <w:r w:rsidR="00555DE0">
        <w:t xml:space="preserve"> time or needlessly present</w:t>
      </w:r>
      <w:r w:rsidR="00EB5502">
        <w:t>ing</w:t>
      </w:r>
      <w:r w:rsidR="00555DE0">
        <w:t xml:space="preserve"> </w:t>
      </w:r>
      <w:r w:rsidR="00F90E8A">
        <w:t>cumulative</w:t>
      </w:r>
      <w:r w:rsidR="00555DE0">
        <w:t xml:space="preserve"> evidence.</w:t>
      </w:r>
      <w:r w:rsidR="00F90E8A">
        <w:rPr>
          <w:rStyle w:val="FootnoteReference"/>
        </w:rPr>
        <w:footnoteReference w:id="5"/>
      </w:r>
      <w:r w:rsidR="00555DE0">
        <w:t xml:space="preserve">  </w:t>
      </w:r>
    </w:p>
    <w:p w14:paraId="42209C91" w14:textId="77777777" w:rsidR="00EB5502" w:rsidRDefault="00EB5502" w:rsidP="003711EC">
      <w:pPr>
        <w:spacing w:line="360" w:lineRule="auto"/>
      </w:pPr>
    </w:p>
    <w:p w14:paraId="4BE59E2E" w14:textId="0E2F3E55" w:rsidR="00555DE0" w:rsidRDefault="00EB5502" w:rsidP="003711EC">
      <w:pPr>
        <w:spacing w:line="360" w:lineRule="auto"/>
        <w:ind w:firstLine="1440"/>
        <w:rPr>
          <w:lang w:val="en"/>
        </w:rPr>
      </w:pPr>
      <w:r>
        <w:t>Pursuant to Pennsylvania Rule of Evidence § 401, e</w:t>
      </w:r>
      <w:r w:rsidR="00555DE0" w:rsidRPr="00B456F7">
        <w:t xml:space="preserve">vidence is relevant if it has any tendency to make a fact more or less probable than it would be without the evidence; and if the fact is of consequence in </w:t>
      </w:r>
      <w:r>
        <w:t>disposing of</w:t>
      </w:r>
      <w:r w:rsidR="00555DE0" w:rsidRPr="00B456F7">
        <w:t xml:space="preserve"> the action</w:t>
      </w:r>
      <w:r>
        <w:t>,</w:t>
      </w:r>
      <w:r w:rsidR="00555DE0" w:rsidRPr="00B456F7">
        <w:t xml:space="preserve"> as determined by the court in the light of reason, experience, scientific principles and the other testimony offered in the case.  The evidence can be relevant even if the relevance of the proposed evidence may be dependent on evidence not yet of record.</w:t>
      </w:r>
      <w:r w:rsidR="00555DE0">
        <w:rPr>
          <w:rStyle w:val="FootnoteReference"/>
        </w:rPr>
        <w:footnoteReference w:id="6"/>
      </w:r>
      <w:r w:rsidR="00555DE0" w:rsidRPr="00B456F7">
        <w:t xml:space="preserve">    </w:t>
      </w:r>
    </w:p>
    <w:p w14:paraId="2EB698F2" w14:textId="77777777" w:rsidR="00F90E8A" w:rsidRDefault="00F90E8A" w:rsidP="003711EC">
      <w:pPr>
        <w:spacing w:line="360" w:lineRule="auto"/>
      </w:pPr>
    </w:p>
    <w:p w14:paraId="297E5133" w14:textId="0423412C" w:rsidR="00EB5502" w:rsidRDefault="006224F3" w:rsidP="003711EC">
      <w:pPr>
        <w:spacing w:line="360" w:lineRule="auto"/>
      </w:pPr>
      <w:r w:rsidRPr="005B12AD">
        <w:tab/>
      </w:r>
      <w:r w:rsidRPr="005B12AD">
        <w:tab/>
      </w:r>
      <w:r w:rsidR="00EB5502">
        <w:t xml:space="preserve">The hearsay </w:t>
      </w:r>
      <w:r w:rsidR="009D56EE">
        <w:t>is generally defined as a statement made by an out-of-court declarant (i.e., the de</w:t>
      </w:r>
      <w:r w:rsidR="009D56EE">
        <w:rPr>
          <w:lang w:val="en"/>
        </w:rPr>
        <w:t>clarant is not testifying at the current trial or hearing) and a party attempts to offer the out-of-court statement into evidence in order to prove the truth of the matter asserted in the out-of-court statement.</w:t>
      </w:r>
      <w:r w:rsidR="009D56EE">
        <w:rPr>
          <w:rStyle w:val="FootnoteReference"/>
          <w:lang w:val="en"/>
        </w:rPr>
        <w:footnoteReference w:id="7"/>
      </w:r>
      <w:r w:rsidR="009D56EE">
        <w:rPr>
          <w:lang w:val="en"/>
        </w:rPr>
        <w:t xml:space="preserve">  </w:t>
      </w:r>
      <w:r w:rsidR="00EB5502">
        <w:t xml:space="preserve">Pursuant to Pa.R.E. § 802, </w:t>
      </w:r>
      <w:r w:rsidR="009D56EE">
        <w:t xml:space="preserve">that </w:t>
      </w:r>
      <w:r w:rsidR="00EB5502">
        <w:t xml:space="preserve">hearsay </w:t>
      </w:r>
      <w:r w:rsidR="009D56EE">
        <w:t xml:space="preserve">statement </w:t>
      </w:r>
      <w:r w:rsidR="00EB5502">
        <w:t xml:space="preserve">generally is not admissible.  </w:t>
      </w:r>
      <w:r w:rsidR="009D56EE">
        <w:t>There are, however, currently in Pennsylvania over two dozen exceptions to the hearsay rule.</w:t>
      </w:r>
      <w:r w:rsidR="009D56EE">
        <w:rPr>
          <w:rStyle w:val="FootnoteReference"/>
        </w:rPr>
        <w:footnoteReference w:id="8"/>
      </w:r>
    </w:p>
    <w:p w14:paraId="3F1EDF22" w14:textId="77777777" w:rsidR="00EB5502" w:rsidRDefault="00EB5502" w:rsidP="003711EC">
      <w:pPr>
        <w:spacing w:line="360" w:lineRule="auto"/>
      </w:pPr>
    </w:p>
    <w:p w14:paraId="490D5ADD" w14:textId="393CA64B" w:rsidR="006224F3" w:rsidRPr="005B12AD" w:rsidRDefault="006224F3" w:rsidP="003711EC">
      <w:pPr>
        <w:spacing w:line="360" w:lineRule="auto"/>
        <w:ind w:firstLine="1440"/>
      </w:pPr>
      <w:r w:rsidRPr="005B12AD">
        <w:t>By statute, administrative agencies</w:t>
      </w:r>
      <w:r w:rsidR="00F921BD">
        <w:t>,</w:t>
      </w:r>
      <w:r w:rsidRPr="005B12AD">
        <w:t xml:space="preserve"> which are part of the executive branch of the government</w:t>
      </w:r>
      <w:r w:rsidR="00F921BD">
        <w:t>,</w:t>
      </w:r>
      <w:r w:rsidRPr="005B12AD">
        <w:t xml:space="preserve"> are not bound by the hearsay rule.  </w:t>
      </w:r>
      <w:r w:rsidRPr="005B12AD">
        <w:rPr>
          <w:i/>
        </w:rPr>
        <w:t>See</w:t>
      </w:r>
      <w:r w:rsidRPr="005B12AD">
        <w:t xml:space="preserve"> 2 Pa.C.S.</w:t>
      </w:r>
      <w:r w:rsidR="00833011">
        <w:t>A.</w:t>
      </w:r>
      <w:r w:rsidRPr="005B12AD">
        <w:t xml:space="preserve"> §§ 505, 554.  However, the </w:t>
      </w:r>
      <w:r w:rsidR="009D56EE">
        <w:t>Commission</w:t>
      </w:r>
      <w:r w:rsidRPr="005B12AD">
        <w:t xml:space="preserve"> follows the </w:t>
      </w:r>
      <w:r w:rsidRPr="005B12AD">
        <w:rPr>
          <w:i/>
        </w:rPr>
        <w:t>Walker</w:t>
      </w:r>
      <w:r w:rsidR="00833011">
        <w:rPr>
          <w:rStyle w:val="FootnoteReference"/>
          <w:i/>
        </w:rPr>
        <w:footnoteReference w:id="9"/>
      </w:r>
      <w:r w:rsidRPr="005B12AD">
        <w:t xml:space="preserve"> rule, which provides that hearsay evidence, properly objected to, is not competent evidence to support a finding of the agency.  Hearsay evidence</w:t>
      </w:r>
      <w:r w:rsidR="009D56EE">
        <w:t>,</w:t>
      </w:r>
      <w:r w:rsidRPr="005B12AD">
        <w:t xml:space="preserve"> </w:t>
      </w:r>
      <w:r w:rsidRPr="005B12AD">
        <w:lastRenderedPageBreak/>
        <w:t>admitted without objection, will be given its natural probative effect and may support a finding of the agency if it is corroborated by any competent evidence in the record</w:t>
      </w:r>
      <w:r w:rsidR="009D56EE">
        <w:t xml:space="preserve">, but no </w:t>
      </w:r>
      <w:r w:rsidRPr="005B12AD">
        <w:t xml:space="preserve">finding of fact </w:t>
      </w:r>
      <w:r w:rsidR="009D56EE">
        <w:t xml:space="preserve">can stand if </w:t>
      </w:r>
      <w:r w:rsidRPr="005B12AD">
        <w:t xml:space="preserve">based solely on hearsay.    </w:t>
      </w:r>
    </w:p>
    <w:p w14:paraId="2063A2EF" w14:textId="77777777" w:rsidR="006224F3" w:rsidRPr="005B12AD" w:rsidRDefault="006224F3" w:rsidP="003711EC">
      <w:pPr>
        <w:spacing w:line="360" w:lineRule="auto"/>
      </w:pPr>
    </w:p>
    <w:p w14:paraId="296E6BB7" w14:textId="08E30ADE" w:rsidR="006224F3" w:rsidRPr="005B12AD" w:rsidRDefault="006224F3" w:rsidP="003711EC">
      <w:pPr>
        <w:spacing w:line="360" w:lineRule="auto"/>
      </w:pPr>
      <w:r w:rsidRPr="005B12AD">
        <w:tab/>
      </w:r>
      <w:r w:rsidRPr="005B12AD">
        <w:tab/>
        <w:t xml:space="preserve">There are ample </w:t>
      </w:r>
      <w:r w:rsidR="00833011">
        <w:t>Commission</w:t>
      </w:r>
      <w:r w:rsidRPr="005B12AD">
        <w:t xml:space="preserve"> cases discussing this issue:  </w:t>
      </w:r>
      <w:bookmarkStart w:id="1" w:name="_GoBack"/>
      <w:r w:rsidRPr="005B12AD">
        <w:rPr>
          <w:i/>
        </w:rPr>
        <w:t>Zap</w:t>
      </w:r>
      <w:bookmarkEnd w:id="1"/>
      <w:r w:rsidRPr="005B12AD">
        <w:rPr>
          <w:i/>
        </w:rPr>
        <w:t>atka v. Columbia Gas of Pennsylvania, Inc</w:t>
      </w:r>
      <w:r w:rsidRPr="005B12AD">
        <w:t>, 82 PA PUC 138, 143-144 (1994)</w:t>
      </w:r>
      <w:r w:rsidR="00833011">
        <w:t xml:space="preserve">;  </w:t>
      </w:r>
      <w:r w:rsidRPr="005B12AD">
        <w:rPr>
          <w:i/>
        </w:rPr>
        <w:t>Re Duquesne Light Company</w:t>
      </w:r>
      <w:r w:rsidRPr="005B12AD">
        <w:t xml:space="preserve">, 57 PA PUC 313, 317-318 (1983), </w:t>
      </w:r>
      <w:r w:rsidRPr="005B12AD">
        <w:rPr>
          <w:i/>
        </w:rPr>
        <w:t>Nesbit v. Vandervort</w:t>
      </w:r>
      <w:r w:rsidRPr="005B12AD">
        <w:t xml:space="preserve"> 128 Pa Super Ct 58 (1937); </w:t>
      </w:r>
      <w:r w:rsidRPr="005B12AD">
        <w:rPr>
          <w:i/>
        </w:rPr>
        <w:t>Bickling v. Unemployment Compensation Board of Review</w:t>
      </w:r>
      <w:r w:rsidRPr="005B12AD">
        <w:t xml:space="preserve"> 17 Pa Cmwlth 619 (1975)</w:t>
      </w:r>
      <w:r w:rsidR="00833011">
        <w:t xml:space="preserve">; </w:t>
      </w:r>
      <w:r w:rsidRPr="005B12AD">
        <w:rPr>
          <w:i/>
        </w:rPr>
        <w:t>Collins v. Peoples Natural Gas Company d/b/a Dominion Peoples</w:t>
      </w:r>
      <w:r w:rsidRPr="005B12AD">
        <w:t>, Docket No. C</w:t>
      </w:r>
      <w:r w:rsidRPr="005B12AD">
        <w:noBreakHyphen/>
        <w:t>20042465, entered, June 1, 2005</w:t>
      </w:r>
      <w:r w:rsidR="00833011">
        <w:t>;</w:t>
      </w:r>
      <w:r w:rsidRPr="005B12AD">
        <w:t xml:space="preserve"> </w:t>
      </w:r>
      <w:r w:rsidRPr="005B12AD">
        <w:rPr>
          <w:i/>
        </w:rPr>
        <w:t>Palumbo v. Equitable Gas Company</w:t>
      </w:r>
      <w:r w:rsidRPr="005B12AD">
        <w:t>, Docket No. F</w:t>
      </w:r>
      <w:r w:rsidRPr="005B12AD">
        <w:noBreakHyphen/>
        <w:t>01030117, entered July 15, 200</w:t>
      </w:r>
      <w:r w:rsidR="00833011">
        <w:t>3: and</w:t>
      </w:r>
      <w:r w:rsidRPr="005B12AD">
        <w:t xml:space="preserve"> </w:t>
      </w:r>
      <w:r w:rsidRPr="005B12AD">
        <w:rPr>
          <w:i/>
        </w:rPr>
        <w:t>Peckman v</w:t>
      </w:r>
      <w:r w:rsidR="00833011">
        <w:rPr>
          <w:i/>
        </w:rPr>
        <w:t>. Pennsylvania Electric Company</w:t>
      </w:r>
      <w:r w:rsidRPr="005B12AD">
        <w:t xml:space="preserve"> , Docket No. C-20078456 (Final Order entered January 15, 2009) at 8-9.</w:t>
      </w:r>
    </w:p>
    <w:p w14:paraId="0C270A80" w14:textId="77777777" w:rsidR="006224F3" w:rsidRPr="005B12AD" w:rsidRDefault="006224F3" w:rsidP="003711EC">
      <w:pPr>
        <w:spacing w:line="360" w:lineRule="auto"/>
      </w:pPr>
    </w:p>
    <w:p w14:paraId="6ADB3593" w14:textId="43ADF694" w:rsidR="00D90DC6" w:rsidRPr="00F921BD" w:rsidRDefault="006224F3" w:rsidP="003711EC">
      <w:pPr>
        <w:spacing w:line="360" w:lineRule="auto"/>
        <w:ind w:firstLine="1350"/>
        <w:contextualSpacing/>
      </w:pPr>
      <w:r w:rsidRPr="005B12AD">
        <w:t xml:space="preserve">The important point is that the hearsay rule is not a technical rule.  The courts consider the hearsay rule to be a fundamental principle of law which must be followed by an agency at those points in a hearing where facts crucial to the issue are sought to be placed on the record.  </w:t>
      </w:r>
      <w:r w:rsidRPr="005B12AD">
        <w:rPr>
          <w:i/>
        </w:rPr>
        <w:t>Com</w:t>
      </w:r>
      <w:r w:rsidR="00833011">
        <w:rPr>
          <w:i/>
        </w:rPr>
        <w:t>.</w:t>
      </w:r>
      <w:r w:rsidRPr="005B12AD">
        <w:rPr>
          <w:i/>
        </w:rPr>
        <w:t>, State Board of Medical Education &amp; Licensure v. Contakos</w:t>
      </w:r>
      <w:r w:rsidRPr="005B12AD">
        <w:t>, 21 Pa. Comm</w:t>
      </w:r>
      <w:r w:rsidR="00833011">
        <w:t>w.</w:t>
      </w:r>
      <w:r w:rsidRPr="005B12AD">
        <w:t xml:space="preserve"> Ct. 422, 346 A.2d 850, 852 (1975); </w:t>
      </w:r>
      <w:r w:rsidRPr="005B12AD">
        <w:rPr>
          <w:i/>
        </w:rPr>
        <w:t>Bledevens v. Com</w:t>
      </w:r>
      <w:r w:rsidR="00833011">
        <w:rPr>
          <w:i/>
        </w:rPr>
        <w:t>.</w:t>
      </w:r>
      <w:r w:rsidRPr="005B12AD">
        <w:rPr>
          <w:i/>
        </w:rPr>
        <w:t>, State Civil Service Commission</w:t>
      </w:r>
      <w:r w:rsidRPr="005B12AD">
        <w:t>, 11 Pa. Com</w:t>
      </w:r>
      <w:r w:rsidR="00833011">
        <w:t>mw.</w:t>
      </w:r>
      <w:r w:rsidRPr="005B12AD">
        <w:t xml:space="preserve"> Ct. 1, 312 A.2d 109, 111 (1973).  </w:t>
      </w:r>
      <w:bookmarkEnd w:id="0"/>
    </w:p>
    <w:p w14:paraId="50896186" w14:textId="362FEDBB" w:rsidR="008C5FD9" w:rsidRDefault="008C5FD9" w:rsidP="003711EC">
      <w:pPr>
        <w:spacing w:line="360" w:lineRule="auto"/>
      </w:pPr>
    </w:p>
    <w:p w14:paraId="27C1C064" w14:textId="3BA33F4C" w:rsidR="00B96302" w:rsidRPr="00B96302" w:rsidRDefault="00B96302" w:rsidP="003711EC">
      <w:pPr>
        <w:spacing w:line="360" w:lineRule="auto"/>
        <w:rPr>
          <w:b/>
          <w:bCs/>
        </w:rPr>
      </w:pPr>
      <w:r w:rsidRPr="00B96302">
        <w:rPr>
          <w:b/>
          <w:bCs/>
        </w:rPr>
        <w:t>Conclusion</w:t>
      </w:r>
    </w:p>
    <w:p w14:paraId="00C024CC" w14:textId="30325ADB" w:rsidR="00B96302" w:rsidRDefault="00B96302" w:rsidP="003711EC">
      <w:pPr>
        <w:spacing w:line="360" w:lineRule="auto"/>
      </w:pPr>
    </w:p>
    <w:p w14:paraId="2AB6FBCF" w14:textId="7FEEB392" w:rsidR="008B59DD" w:rsidRDefault="008B59DD" w:rsidP="003711EC">
      <w:pPr>
        <w:spacing w:line="360" w:lineRule="auto"/>
        <w:ind w:firstLine="1440"/>
      </w:pPr>
      <w:r>
        <w:t>Columbia Gas acknowledged in its Objections (in Paragraph 22) that the proper scope of</w:t>
      </w:r>
      <w:r w:rsidR="00C216CA">
        <w:t xml:space="preserve"> any</w:t>
      </w:r>
      <w:r>
        <w:t xml:space="preserve"> testimony </w:t>
      </w:r>
      <w:r w:rsidR="00C216CA">
        <w:t xml:space="preserve">offered </w:t>
      </w:r>
      <w:r>
        <w:t>in this base rate case includes an investigation into Columbia Gas’ rates and services.  But Columbia Gas insisted Mr. Culbertson</w:t>
      </w:r>
      <w:r w:rsidR="00EB5502">
        <w:t xml:space="preserve">’s evidence </w:t>
      </w:r>
      <w:r w:rsidR="009D56EE">
        <w:t>did</w:t>
      </w:r>
      <w:r>
        <w:t xml:space="preserve"> not relate to the rates and services of Columbia Gas</w:t>
      </w:r>
      <w:r w:rsidR="00EB5502">
        <w:t xml:space="preserve"> - </w:t>
      </w:r>
      <w:r>
        <w:t>even though</w:t>
      </w:r>
      <w:r w:rsidR="00B96302">
        <w:t xml:space="preserve"> </w:t>
      </w:r>
      <w:r w:rsidR="00C216CA">
        <w:t>three</w:t>
      </w:r>
      <w:r w:rsidR="00B96302">
        <w:t xml:space="preserve"> exhibits (</w:t>
      </w:r>
      <w:r w:rsidR="007A7B71">
        <w:t>Public Input Exhibit</w:t>
      </w:r>
      <w:r w:rsidR="00B96302">
        <w:t xml:space="preserve">s </w:t>
      </w:r>
      <w:r w:rsidR="00C216CA">
        <w:t xml:space="preserve">2, </w:t>
      </w:r>
      <w:r w:rsidR="00B96302">
        <w:t xml:space="preserve">3 and 4) relate to news releases concerning assurances made by </w:t>
      </w:r>
      <w:r w:rsidR="00C216CA">
        <w:t>Columbia Gas’</w:t>
      </w:r>
      <w:r w:rsidR="00B96302">
        <w:t xml:space="preserve"> parent company </w:t>
      </w:r>
      <w:r w:rsidR="00C216CA">
        <w:t xml:space="preserve">(NiSource) in a Massachusetts proceeding </w:t>
      </w:r>
      <w:r w:rsidR="00B96302">
        <w:t>about services it would provide through Columbia Gas of Pennsylvania, Inc.</w:t>
      </w:r>
      <w:r w:rsidR="00C216CA">
        <w:t xml:space="preserve">  T</w:t>
      </w:r>
      <w:r w:rsidR="00B96302">
        <w:t>hose</w:t>
      </w:r>
      <w:r w:rsidR="00C216CA">
        <w:t xml:space="preserve"> </w:t>
      </w:r>
      <w:r w:rsidR="00EB5502">
        <w:t xml:space="preserve">press releases refer to service but also refer to the costs those </w:t>
      </w:r>
      <w:r w:rsidR="00C216CA">
        <w:t>promised</w:t>
      </w:r>
      <w:r w:rsidR="00B96302">
        <w:t xml:space="preserve"> services may have </w:t>
      </w:r>
      <w:r w:rsidR="00EB5502">
        <w:t>on</w:t>
      </w:r>
      <w:r w:rsidR="00B96302">
        <w:t xml:space="preserve"> the rate</w:t>
      </w:r>
      <w:r w:rsidR="00C216CA">
        <w:t>s</w:t>
      </w:r>
      <w:r w:rsidR="00B96302">
        <w:t xml:space="preserve"> charged to the ratepayers of Columbia Gas of Pennsylvania, Inc.</w:t>
      </w:r>
    </w:p>
    <w:p w14:paraId="12B061E8" w14:textId="776D806A" w:rsidR="00516763" w:rsidRDefault="00B96302" w:rsidP="003711EC">
      <w:pPr>
        <w:spacing w:line="360" w:lineRule="auto"/>
        <w:ind w:firstLine="1440"/>
      </w:pPr>
      <w:r>
        <w:lastRenderedPageBreak/>
        <w:t xml:space="preserve">Furthermore, the other </w:t>
      </w:r>
      <w:r w:rsidR="00C216CA">
        <w:t>three</w:t>
      </w:r>
      <w:r>
        <w:t xml:space="preserve"> exhibits at issue </w:t>
      </w:r>
      <w:r w:rsidR="009D56EE">
        <w:t>were received with</w:t>
      </w:r>
      <w:r>
        <w:t xml:space="preserve"> statements from an interested party </w:t>
      </w:r>
      <w:r w:rsidR="009D56EE">
        <w:t>testifying at a public input hearing and</w:t>
      </w:r>
      <w:r>
        <w:t xml:space="preserve"> questioning how the assurances and promises made by the parent company to expend monies through Columbia Gas, </w:t>
      </w:r>
      <w:r w:rsidRPr="00C216CA">
        <w:rPr>
          <w:i/>
          <w:iCs/>
        </w:rPr>
        <w:t>inter alia</w:t>
      </w:r>
      <w:r>
        <w:t xml:space="preserve">, </w:t>
      </w:r>
      <w:r w:rsidR="009D56EE">
        <w:t>will</w:t>
      </w:r>
      <w:r>
        <w:t xml:space="preserve"> impact the current $100 million base rate increase.  </w:t>
      </w:r>
      <w:r w:rsidR="00516763">
        <w:t xml:space="preserve">  </w:t>
      </w:r>
    </w:p>
    <w:p w14:paraId="49AFC4B6" w14:textId="77777777" w:rsidR="00516763" w:rsidRDefault="00516763" w:rsidP="003711EC">
      <w:pPr>
        <w:spacing w:line="360" w:lineRule="auto"/>
        <w:ind w:firstLine="1440"/>
      </w:pPr>
    </w:p>
    <w:p w14:paraId="5AFAC113" w14:textId="575B4CED" w:rsidR="00B96302" w:rsidRDefault="009D56EE" w:rsidP="003711EC">
      <w:pPr>
        <w:spacing w:line="360" w:lineRule="auto"/>
        <w:ind w:firstLine="1440"/>
      </w:pPr>
      <w:r>
        <w:t xml:space="preserve">Mr. Culbertson presented material which he intended would show that a natural gas explosion occurred in Merrimack Valley, Massachusetts involving a </w:t>
      </w:r>
      <w:r w:rsidR="008C75A1">
        <w:t>“</w:t>
      </w:r>
      <w:r>
        <w:t>sister company</w:t>
      </w:r>
      <w:r w:rsidR="008C75A1">
        <w:t>”</w:t>
      </w:r>
      <w:r>
        <w:t xml:space="preserve"> in 2018.  </w:t>
      </w:r>
      <w:r w:rsidR="00516763">
        <w:t xml:space="preserve">Columbia Gas is correct when it asserted it played no part in the explosion or in resolving the aftermath.  However, Columbia Gas’ parent company made many promises.  </w:t>
      </w:r>
      <w:r>
        <w:t>While i</w:t>
      </w:r>
      <w:r w:rsidR="00516763">
        <w:t xml:space="preserve">t is true some material </w:t>
      </w:r>
      <w:r>
        <w:t>contained</w:t>
      </w:r>
      <w:r w:rsidR="00516763">
        <w:t xml:space="preserve"> statement</w:t>
      </w:r>
      <w:r w:rsidR="00B56BE0">
        <w:t>s</w:t>
      </w:r>
      <w:r w:rsidR="00516763">
        <w:t xml:space="preserve"> of opinion offered by other people</w:t>
      </w:r>
      <w:r w:rsidR="00B56BE0">
        <w:t>, those same materials contained Mr. Culbertson’s statements of opinion</w:t>
      </w:r>
      <w:r w:rsidR="00516763">
        <w:t xml:space="preserve">.  While hearsay offered </w:t>
      </w:r>
      <w:r w:rsidR="00B56BE0">
        <w:t>from</w:t>
      </w:r>
      <w:r w:rsidR="00516763">
        <w:t xml:space="preserve"> a declarant who is not present and subject to cross-examination is not relevant</w:t>
      </w:r>
      <w:r w:rsidR="00B56BE0">
        <w:t xml:space="preserve"> typically, Mr. Culbertson’s </w:t>
      </w:r>
      <w:r w:rsidR="00516763">
        <w:t xml:space="preserve">opinions are admissible and relevant as the statements of an interest member of the public at a public input hearing involving a base rate request from a public utility.  </w:t>
      </w:r>
      <w:r w:rsidR="00B56BE0">
        <w:t xml:space="preserve">It should be noted that Columbia Gas had a full opportunity to cross-examine Mr. Culbertson about his </w:t>
      </w:r>
      <w:r w:rsidR="00670CD6">
        <w:t>testimony and exhibits.</w:t>
      </w:r>
    </w:p>
    <w:p w14:paraId="5739690F" w14:textId="77777777" w:rsidR="00B96302" w:rsidRDefault="00B96302" w:rsidP="003711EC">
      <w:pPr>
        <w:spacing w:line="360" w:lineRule="auto"/>
        <w:ind w:firstLine="1440"/>
      </w:pPr>
    </w:p>
    <w:p w14:paraId="0DA3DEBD" w14:textId="77777777" w:rsidR="00670CD6" w:rsidRDefault="00B96302" w:rsidP="003711EC">
      <w:pPr>
        <w:spacing w:line="360" w:lineRule="auto"/>
        <w:ind w:firstLine="1440"/>
      </w:pPr>
      <w:r>
        <w:t xml:space="preserve">Lastly, it must be noted that OCA’s and CAAP’s stated concerns are valid </w:t>
      </w:r>
      <w:r w:rsidR="00670CD6">
        <w:t xml:space="preserve">as those concern related to </w:t>
      </w:r>
      <w:r>
        <w:t>Columbia Gas</w:t>
      </w:r>
      <w:r w:rsidR="00670CD6">
        <w:t>’ stance at the public input hearing</w:t>
      </w:r>
      <w:r>
        <w:t xml:space="preserve">.  Columbia Gas took a </w:t>
      </w:r>
      <w:r w:rsidR="00670CD6">
        <w:t>strong</w:t>
      </w:r>
      <w:r>
        <w:t xml:space="preserve"> position with a witness at a public input hearing before the presiding officer even </w:t>
      </w:r>
      <w:r w:rsidR="00670CD6">
        <w:t xml:space="preserve">started the opening statement or mentioned swearing in </w:t>
      </w:r>
      <w:r w:rsidR="00C216CA">
        <w:t>Mr. Culbertson</w:t>
      </w:r>
      <w:r>
        <w:t xml:space="preserve"> as a witness.  </w:t>
      </w:r>
      <w:r w:rsidR="00670CD6">
        <w:t xml:space="preserve">A member of public, whether familiar or unfamiliar with testifying publicly, might have been cowed or considered the exchange to be confrontational and combative.  </w:t>
      </w:r>
    </w:p>
    <w:p w14:paraId="62302F1A" w14:textId="77777777" w:rsidR="00670CD6" w:rsidRDefault="00670CD6" w:rsidP="003711EC">
      <w:pPr>
        <w:spacing w:line="360" w:lineRule="auto"/>
        <w:ind w:firstLine="1440"/>
      </w:pPr>
    </w:p>
    <w:p w14:paraId="2F2B33E3" w14:textId="77777777" w:rsidR="00670CD6" w:rsidRDefault="00670CD6" w:rsidP="003711EC">
      <w:pPr>
        <w:spacing w:line="360" w:lineRule="auto"/>
        <w:ind w:firstLine="1440"/>
      </w:pPr>
      <w:r>
        <w:t>Furthermore, t</w:t>
      </w:r>
      <w:r w:rsidR="00B96302">
        <w:t xml:space="preserve">he witness had distributed his material </w:t>
      </w:r>
      <w:r w:rsidR="00C216CA">
        <w:t xml:space="preserve">via email </w:t>
      </w:r>
      <w:r w:rsidR="00B96302">
        <w:t xml:space="preserve">two days prior to the public input hearing </w:t>
      </w:r>
      <w:r w:rsidR="00C216CA">
        <w:t xml:space="preserve">to, among others, Columbia Gas.  </w:t>
      </w:r>
      <w:r w:rsidR="00B96302">
        <w:t xml:space="preserve">Columbia Gas waited until the public input hearing to voice concerns about Mr. Culbertson’s testimony and exhibits.  Once the public input hearing began, Columbia Gas objected strenuously and repeatedly to the testimony of a public input witness in front of all participants at the public input hearing.  </w:t>
      </w:r>
    </w:p>
    <w:p w14:paraId="69A55E84" w14:textId="77777777" w:rsidR="00670CD6" w:rsidRDefault="00670CD6" w:rsidP="003711EC">
      <w:pPr>
        <w:spacing w:line="360" w:lineRule="auto"/>
        <w:ind w:firstLine="1440"/>
      </w:pPr>
    </w:p>
    <w:p w14:paraId="2DFA9C9E" w14:textId="63C07BC8" w:rsidR="00B96302" w:rsidRDefault="00B96302" w:rsidP="003711EC">
      <w:pPr>
        <w:spacing w:line="360" w:lineRule="auto"/>
        <w:ind w:firstLine="1440"/>
      </w:pPr>
      <w:r>
        <w:lastRenderedPageBreak/>
        <w:t xml:space="preserve">OCA and CAAP correctly noted Columbia Gas’ behavior at the public input hearing and in the filing of a long list of specific objections </w:t>
      </w:r>
      <w:r w:rsidR="00C216CA">
        <w:t xml:space="preserve">to testimony provided by a member of the public </w:t>
      </w:r>
      <w:r>
        <w:t>will create</w:t>
      </w:r>
      <w:r w:rsidR="00C216CA">
        <w:t xml:space="preserve">, </w:t>
      </w:r>
      <w:r w:rsidR="00670CD6">
        <w:t>whether</w:t>
      </w:r>
      <w:r w:rsidR="00C216CA">
        <w:t xml:space="preserve"> by design or unintentionally,</w:t>
      </w:r>
      <w:r>
        <w:t xml:space="preserve"> and has created</w:t>
      </w:r>
      <w:r w:rsidR="00670CD6">
        <w:t>,</w:t>
      </w:r>
      <w:r>
        <w:t xml:space="preserve"> a chilling effect on participation by other witnesses at future </w:t>
      </w:r>
      <w:r w:rsidR="00DF69FD">
        <w:t xml:space="preserve">public input hearings.  </w:t>
      </w:r>
    </w:p>
    <w:p w14:paraId="7BE5302D" w14:textId="22762A82" w:rsidR="00DF69FD" w:rsidRDefault="00DF69FD" w:rsidP="003711EC">
      <w:pPr>
        <w:spacing w:line="360" w:lineRule="auto"/>
        <w:ind w:firstLine="1440"/>
      </w:pPr>
    </w:p>
    <w:p w14:paraId="2A496FF4" w14:textId="380CDA5F" w:rsidR="00DF69FD" w:rsidRDefault="00DF69FD" w:rsidP="003711EC">
      <w:pPr>
        <w:spacing w:line="360" w:lineRule="auto"/>
        <w:ind w:firstLine="1440"/>
      </w:pPr>
      <w:r>
        <w:t xml:space="preserve">The </w:t>
      </w:r>
      <w:r w:rsidR="00670CD6" w:rsidRPr="00670CD6">
        <w:rPr>
          <w:u w:val="single"/>
        </w:rPr>
        <w:t>primary</w:t>
      </w:r>
      <w:r w:rsidR="00670CD6">
        <w:t xml:space="preserve"> </w:t>
      </w:r>
      <w:r>
        <w:t xml:space="preserve">purpose of </w:t>
      </w:r>
      <w:r w:rsidRPr="00670CD6">
        <w:rPr>
          <w:u w:val="single"/>
        </w:rPr>
        <w:t>all</w:t>
      </w:r>
      <w:r>
        <w:t xml:space="preserve"> public input hearings is to secure the testimony of what ratepayers and interested parties, i.e., the public, think.  At the start of most public input hearings, the presiding officer will advise those present that the Commission wants to hear </w:t>
      </w:r>
      <w:r w:rsidR="00C216CA">
        <w:t xml:space="preserve">from the public </w:t>
      </w:r>
      <w:r>
        <w:t>what the public thinks about the utility’s request.  That sentiment is repeated typically multiple times by a presiding officer and is often echoed in the opening statements of the parties present at the start of the public input hearing.  To grant Columbia Gas’ request – to limit the opportunity for an interest</w:t>
      </w:r>
      <w:r w:rsidR="00C216CA">
        <w:t>ed</w:t>
      </w:r>
      <w:r>
        <w:t xml:space="preserve"> member of the public to tell the Commission what the witness thinks</w:t>
      </w:r>
      <w:r w:rsidR="00C216CA">
        <w:t xml:space="preserve"> about a $100 million base rate increase </w:t>
      </w:r>
      <w:r>
        <w:t xml:space="preserve">– would be to expose members of the public to intense cross examination and potentially public ridicule by a public utility.  The end result would be the opposite of the Commission’s stated intention for why public input hearings are conducted.  </w:t>
      </w:r>
    </w:p>
    <w:p w14:paraId="5403AC9B" w14:textId="2C019B17" w:rsidR="00DF69FD" w:rsidRDefault="00DF69FD" w:rsidP="003711EC">
      <w:pPr>
        <w:spacing w:line="360" w:lineRule="auto"/>
        <w:ind w:firstLine="1440"/>
      </w:pPr>
    </w:p>
    <w:p w14:paraId="7DCCF613" w14:textId="77777777" w:rsidR="007B6BEC" w:rsidRDefault="00DF69FD" w:rsidP="003711EC">
      <w:pPr>
        <w:spacing w:line="360" w:lineRule="auto"/>
        <w:ind w:firstLine="1440"/>
      </w:pPr>
      <w:r>
        <w:t xml:space="preserve">Mr. Culbertson interspersed his testimony and exhibits with material that is relevant to the base rate proceeding as well as some material that appears irrelevant but it is not.  </w:t>
      </w:r>
      <w:r w:rsidR="00C216CA">
        <w:t>While s</w:t>
      </w:r>
      <w:r>
        <w:t xml:space="preserve">ome evidence is repetitive on the circumstances surrounding </w:t>
      </w:r>
      <w:r w:rsidR="00670CD6">
        <w:t>the</w:t>
      </w:r>
      <w:r>
        <w:t xml:space="preserve"> natural gas explosion in Massachusetts in 2018</w:t>
      </w:r>
      <w:r w:rsidR="00C216CA">
        <w:t xml:space="preserve"> involving Columbia Gas of Massachusetts, Inc.</w:t>
      </w:r>
      <w:r>
        <w:t>, those same exhibits contain statements from Columbia Gas’ parent company, NiSource, about costs NiSource expect</w:t>
      </w:r>
      <w:r w:rsidR="007B6BEC">
        <w:t>ed</w:t>
      </w:r>
      <w:r>
        <w:t xml:space="preserve"> to spend or promise</w:t>
      </w:r>
      <w:r w:rsidR="007B6BEC">
        <w:t>d</w:t>
      </w:r>
      <w:r>
        <w:t xml:space="preserve"> to spend on infrastructure and safety equipment/practices </w:t>
      </w:r>
      <w:r w:rsidR="007B6BEC">
        <w:t>through</w:t>
      </w:r>
      <w:r>
        <w:t xml:space="preserve"> its subsidiary, Columbia Gas of Pennsylvania, Inc.  </w:t>
      </w:r>
    </w:p>
    <w:p w14:paraId="68F616C3" w14:textId="77777777" w:rsidR="007B6BEC" w:rsidRDefault="007B6BEC" w:rsidP="003711EC">
      <w:pPr>
        <w:spacing w:line="360" w:lineRule="auto"/>
        <w:ind w:firstLine="1440"/>
      </w:pPr>
    </w:p>
    <w:p w14:paraId="54A78098" w14:textId="3F04B162" w:rsidR="00DF69FD" w:rsidRDefault="00DF69FD" w:rsidP="003711EC">
      <w:pPr>
        <w:spacing w:line="360" w:lineRule="auto"/>
        <w:ind w:firstLine="1440"/>
      </w:pPr>
      <w:r w:rsidRPr="00DF69FD">
        <w:rPr>
          <w:b/>
          <w:bCs/>
        </w:rPr>
        <w:t>All</w:t>
      </w:r>
      <w:r>
        <w:t xml:space="preserve"> costs which a public utility uses to compute its base rate, including improvements to infrastructure and to safety, are relevant in a base rate proceeding.  </w:t>
      </w:r>
      <w:r w:rsidR="00516763">
        <w:t>In addition, s</w:t>
      </w:r>
      <w:r>
        <w:t xml:space="preserve">afety </w:t>
      </w:r>
      <w:r w:rsidR="007B6BEC">
        <w:t xml:space="preserve">specifically </w:t>
      </w:r>
      <w:r>
        <w:t xml:space="preserve">is </w:t>
      </w:r>
      <w:r w:rsidRPr="00DF69FD">
        <w:rPr>
          <w:b/>
          <w:bCs/>
        </w:rPr>
        <w:t>always</w:t>
      </w:r>
      <w:r w:rsidR="007B6BEC">
        <w:rPr>
          <w:b/>
          <w:bCs/>
        </w:rPr>
        <w:t xml:space="preserve"> </w:t>
      </w:r>
      <w:r w:rsidR="007B6BEC" w:rsidRPr="007B6BEC">
        <w:t>a</w:t>
      </w:r>
      <w:r>
        <w:t xml:space="preserve"> relevant</w:t>
      </w:r>
      <w:r w:rsidR="007B6BEC">
        <w:t xml:space="preserve"> issue</w:t>
      </w:r>
      <w:r>
        <w:t xml:space="preserve"> in a base rate proceeding.  While NiSource is not a certificated public utility in Pennsylvania, Columbia Gas of Pennsylvania is.  Therefore, evidence </w:t>
      </w:r>
      <w:r w:rsidR="00C216CA">
        <w:t xml:space="preserve">- </w:t>
      </w:r>
      <w:r>
        <w:t xml:space="preserve">which tends to show that Columbia Gas may be obligated through </w:t>
      </w:r>
      <w:r>
        <w:lastRenderedPageBreak/>
        <w:t>its parent company to expend sums for improvements to infrastructure and safety</w:t>
      </w:r>
      <w:r w:rsidR="00C216CA">
        <w:t xml:space="preserve"> – is relevant</w:t>
      </w:r>
      <w:r w:rsidR="007B6BEC">
        <w:t xml:space="preserve"> and may well be</w:t>
      </w:r>
      <w:r w:rsidR="00C216CA">
        <w:t xml:space="preserve"> pertinent to the discussion at hand.</w:t>
      </w:r>
    </w:p>
    <w:p w14:paraId="6312A88E" w14:textId="5DD9473F" w:rsidR="00C216CA" w:rsidRDefault="00C216CA" w:rsidP="003711EC">
      <w:pPr>
        <w:spacing w:line="360" w:lineRule="auto"/>
        <w:ind w:firstLine="1440"/>
      </w:pPr>
    </w:p>
    <w:p w14:paraId="738F18CC" w14:textId="2E70550D" w:rsidR="00C216CA" w:rsidRDefault="00C216CA" w:rsidP="003711EC">
      <w:pPr>
        <w:spacing w:line="360" w:lineRule="auto"/>
        <w:ind w:firstLine="1440"/>
      </w:pPr>
      <w:r>
        <w:t>Accordingly, the Objections of Columbia Gas will be denied in the Ordering Paragraphs below.</w:t>
      </w:r>
      <w:r w:rsidR="007B6BEC">
        <w:t xml:space="preserve">  The evidence provided through Mr. Culbertson at the public input hearing will remain within the hearing record.  The presiding officer will determine the weight, if any, which the evidence will carry.</w:t>
      </w:r>
    </w:p>
    <w:p w14:paraId="5FA08D9A" w14:textId="77777777" w:rsidR="0092383A" w:rsidRDefault="0092383A" w:rsidP="003711EC">
      <w:pPr>
        <w:spacing w:line="360" w:lineRule="auto"/>
      </w:pPr>
    </w:p>
    <w:p w14:paraId="2D652BA8" w14:textId="77777777" w:rsidR="00602C40" w:rsidRDefault="0092383A" w:rsidP="003711EC">
      <w:pPr>
        <w:spacing w:line="360" w:lineRule="auto"/>
        <w:ind w:left="720" w:firstLine="720"/>
      </w:pPr>
      <w:r>
        <w:t xml:space="preserve">THEREFORE, </w:t>
      </w:r>
    </w:p>
    <w:p w14:paraId="1D48964A" w14:textId="77777777" w:rsidR="00602C40" w:rsidRDefault="00602C40" w:rsidP="003711EC">
      <w:pPr>
        <w:spacing w:line="360" w:lineRule="auto"/>
      </w:pPr>
    </w:p>
    <w:p w14:paraId="04BA4896" w14:textId="77777777" w:rsidR="0092383A" w:rsidRDefault="0092383A" w:rsidP="003711EC">
      <w:pPr>
        <w:spacing w:line="360" w:lineRule="auto"/>
        <w:ind w:left="720" w:firstLine="720"/>
      </w:pPr>
      <w:r w:rsidRPr="00946965">
        <w:t>IT IS ORDERED:</w:t>
      </w:r>
    </w:p>
    <w:p w14:paraId="797F62B4" w14:textId="77777777" w:rsidR="0092383A" w:rsidRDefault="0092383A" w:rsidP="003711EC">
      <w:pPr>
        <w:spacing w:line="360" w:lineRule="auto"/>
      </w:pPr>
    </w:p>
    <w:p w14:paraId="26FA86C8" w14:textId="67D5E1BE" w:rsidR="0092383A" w:rsidRDefault="0092383A" w:rsidP="003711EC">
      <w:pPr>
        <w:spacing w:line="360" w:lineRule="auto"/>
      </w:pPr>
      <w:r>
        <w:tab/>
      </w:r>
      <w:r>
        <w:tab/>
      </w:r>
      <w:r w:rsidR="00E54C89">
        <w:t xml:space="preserve">1. </w:t>
      </w:r>
      <w:r w:rsidR="00E54C89">
        <w:tab/>
      </w:r>
      <w:r w:rsidR="00FE72FE">
        <w:t>That,</w:t>
      </w:r>
      <w:r w:rsidR="00602C40">
        <w:t xml:space="preserve"> pursu</w:t>
      </w:r>
      <w:r w:rsidR="002004DE">
        <w:t>ant to 52 Pa.Code §</w:t>
      </w:r>
      <w:r w:rsidR="00E54C89">
        <w:t xml:space="preserve"> </w:t>
      </w:r>
      <w:r w:rsidR="00104540">
        <w:t>5.103</w:t>
      </w:r>
      <w:r w:rsidR="00F17C43">
        <w:t>, §</w:t>
      </w:r>
      <w:r w:rsidR="00E54C89">
        <w:t xml:space="preserve"> </w:t>
      </w:r>
      <w:r w:rsidR="00F17C43">
        <w:t>5.412(f) and §</w:t>
      </w:r>
      <w:r w:rsidR="00E54C89">
        <w:t xml:space="preserve"> </w:t>
      </w:r>
      <w:r w:rsidR="00F17C43">
        <w:t xml:space="preserve">5.402, </w:t>
      </w:r>
      <w:r w:rsidR="00507230">
        <w:t>the</w:t>
      </w:r>
      <w:r w:rsidR="00E54C89">
        <w:t xml:space="preserve"> Objections</w:t>
      </w:r>
      <w:r w:rsidR="008A65C4">
        <w:t xml:space="preserve"> </w:t>
      </w:r>
      <w:r w:rsidR="00507230">
        <w:t xml:space="preserve">of Columbia Gas of Pennsylvania, Inc. to the Written Statement and Exhibits of Richard C. Culbertson </w:t>
      </w:r>
      <w:r w:rsidR="00F921BD">
        <w:t>are denied</w:t>
      </w:r>
      <w:r w:rsidR="008A65C4">
        <w:t>.</w:t>
      </w:r>
    </w:p>
    <w:p w14:paraId="6E352C04" w14:textId="5AE4DE52" w:rsidR="00E54C89" w:rsidRDefault="00E54C89" w:rsidP="003711EC">
      <w:pPr>
        <w:spacing w:line="360" w:lineRule="auto"/>
      </w:pPr>
    </w:p>
    <w:p w14:paraId="1931C549" w14:textId="17AD3DB3" w:rsidR="00E54C89" w:rsidRDefault="00E54C89" w:rsidP="003711EC">
      <w:pPr>
        <w:spacing w:line="360" w:lineRule="auto"/>
      </w:pPr>
      <w:r>
        <w:tab/>
      </w:r>
      <w:r>
        <w:tab/>
        <w:t xml:space="preserve">2. </w:t>
      </w:r>
      <w:r>
        <w:tab/>
        <w:t>That the Written Statement and Exhibits of Richard C. Culbertson</w:t>
      </w:r>
      <w:r w:rsidR="00F921BD">
        <w:t xml:space="preserve">, </w:t>
      </w:r>
      <w:r w:rsidR="007B6BEC">
        <w:t xml:space="preserve">having been </w:t>
      </w:r>
      <w:r w:rsidR="00F921BD">
        <w:t xml:space="preserve">previously admitted into the hearing record, </w:t>
      </w:r>
      <w:r w:rsidR="007B6BEC">
        <w:t>will</w:t>
      </w:r>
      <w:r w:rsidR="00F921BD">
        <w:t xml:space="preserve"> remain </w:t>
      </w:r>
      <w:r w:rsidR="003A2704">
        <w:t>within</w:t>
      </w:r>
      <w:r w:rsidR="00F921BD">
        <w:t xml:space="preserve"> the hearing record in this proceeding, subject to a determination </w:t>
      </w:r>
      <w:r w:rsidR="007B6BEC">
        <w:t xml:space="preserve">by the presiding officer </w:t>
      </w:r>
      <w:r w:rsidR="00F921BD">
        <w:t>about the weight to be applied to the evidence</w:t>
      </w:r>
      <w:r>
        <w:t>.</w:t>
      </w:r>
    </w:p>
    <w:p w14:paraId="24ED6EE2" w14:textId="43C3A972" w:rsidR="00E54C89" w:rsidRDefault="00E54C89" w:rsidP="003711EC">
      <w:pPr>
        <w:spacing w:line="360" w:lineRule="auto"/>
      </w:pPr>
    </w:p>
    <w:p w14:paraId="44484FFB" w14:textId="27F998D4" w:rsidR="00E54C89" w:rsidRDefault="00E54C89" w:rsidP="003711EC">
      <w:pPr>
        <w:spacing w:line="360" w:lineRule="auto"/>
      </w:pPr>
      <w:r>
        <w:tab/>
      </w:r>
      <w:r>
        <w:tab/>
        <w:t xml:space="preserve">3. </w:t>
      </w:r>
      <w:r>
        <w:tab/>
        <w:t xml:space="preserve">That </w:t>
      </w:r>
      <w:r w:rsidR="00F921BD">
        <w:t xml:space="preserve">Columbia Gas of Pennsylvania, Inc. </w:t>
      </w:r>
      <w:r w:rsidR="003A2704">
        <w:t>may supply evidence in rebuttal to the written statement and exhibits in written form and/or during the evidentiary hearings in this proceeding, as Columbia Gas of Pennsylvania, Inc. may deem necessary.</w:t>
      </w:r>
    </w:p>
    <w:p w14:paraId="74117601" w14:textId="77777777" w:rsidR="0092383A" w:rsidRDefault="0092383A" w:rsidP="003711EC">
      <w:pPr>
        <w:spacing w:line="360" w:lineRule="auto"/>
      </w:pPr>
    </w:p>
    <w:p w14:paraId="756287C9" w14:textId="77777777" w:rsidR="00FE72FE" w:rsidRDefault="00FE72FE" w:rsidP="003711EC">
      <w:pPr>
        <w:spacing w:line="360" w:lineRule="auto"/>
      </w:pPr>
    </w:p>
    <w:p w14:paraId="60002B1F" w14:textId="4472AEAD" w:rsidR="00FE72FE" w:rsidRDefault="002D7359" w:rsidP="008C75A1">
      <w:r>
        <w:rPr>
          <w:u w:val="single"/>
        </w:rPr>
        <w:t>August 13, 2020</w:t>
      </w:r>
      <w:r w:rsidR="00FE72FE">
        <w:tab/>
      </w:r>
      <w:r w:rsidR="00FE72FE">
        <w:tab/>
      </w:r>
      <w:r w:rsidR="00FE72FE">
        <w:tab/>
      </w:r>
      <w:r w:rsidR="00FE72FE">
        <w:tab/>
      </w:r>
      <w:r w:rsidR="00FE72FE">
        <w:tab/>
      </w:r>
      <w:r w:rsidR="00FE72FE" w:rsidRPr="008C75A1">
        <w:rPr>
          <w:u w:val="single"/>
        </w:rPr>
        <w:t>________</w:t>
      </w:r>
      <w:r w:rsidR="008C75A1" w:rsidRPr="008C75A1">
        <w:rPr>
          <w:u w:val="single"/>
        </w:rPr>
        <w:t>/s/</w:t>
      </w:r>
      <w:r w:rsidR="00FE72FE" w:rsidRPr="008C75A1">
        <w:rPr>
          <w:u w:val="single"/>
        </w:rPr>
        <w:t>________________</w:t>
      </w:r>
      <w:r w:rsidR="00516400" w:rsidRPr="008C75A1">
        <w:rPr>
          <w:u w:val="single"/>
        </w:rPr>
        <w:t>_____</w:t>
      </w:r>
    </w:p>
    <w:p w14:paraId="01831CE8" w14:textId="77777777" w:rsidR="00FE72FE" w:rsidRDefault="00FE72FE" w:rsidP="008C75A1">
      <w:r>
        <w:tab/>
      </w:r>
      <w:r>
        <w:tab/>
      </w:r>
      <w:r>
        <w:tab/>
      </w:r>
      <w:r>
        <w:tab/>
      </w:r>
      <w:r>
        <w:tab/>
      </w:r>
      <w:r>
        <w:tab/>
      </w:r>
      <w:r>
        <w:tab/>
        <w:t>Katrina L. Dunderdale</w:t>
      </w:r>
    </w:p>
    <w:p w14:paraId="1DF89F30" w14:textId="77777777" w:rsidR="00FE72FE" w:rsidRDefault="00FE72FE" w:rsidP="008C75A1">
      <w:r>
        <w:tab/>
      </w:r>
      <w:r>
        <w:tab/>
      </w:r>
      <w:r>
        <w:tab/>
      </w:r>
      <w:r>
        <w:tab/>
      </w:r>
      <w:r>
        <w:tab/>
      </w:r>
      <w:r>
        <w:tab/>
      </w:r>
      <w:r>
        <w:tab/>
        <w:t>Administrative Law Judge</w:t>
      </w:r>
    </w:p>
    <w:p w14:paraId="65FFC309" w14:textId="77777777" w:rsidR="00FE72FE" w:rsidRDefault="00FE72FE" w:rsidP="008A65C4"/>
    <w:p w14:paraId="454AD757" w14:textId="6ABFB1F5" w:rsidR="00833011" w:rsidRPr="005B12AD" w:rsidRDefault="008A65C4" w:rsidP="00992D29">
      <w:pPr>
        <w:tabs>
          <w:tab w:val="num" w:pos="2160"/>
        </w:tabs>
      </w:pPr>
      <w:r w:rsidRPr="00EA1625">
        <w:t xml:space="preserve"> </w:t>
      </w:r>
    </w:p>
    <w:p w14:paraId="735A03CD" w14:textId="77777777" w:rsidR="008C75A1" w:rsidRDefault="008C75A1" w:rsidP="0092383A">
      <w:pPr>
        <w:sectPr w:rsidR="008C75A1" w:rsidSect="0007225C">
          <w:footerReference w:type="even" r:id="rId8"/>
          <w:footerReference w:type="default" r:id="rId9"/>
          <w:pgSz w:w="12240" w:h="15840"/>
          <w:pgMar w:top="1440" w:right="1800" w:bottom="1440" w:left="1440" w:header="720" w:footer="720" w:gutter="0"/>
          <w:cols w:space="720"/>
          <w:titlePg/>
          <w:docGrid w:linePitch="360"/>
        </w:sectPr>
      </w:pPr>
    </w:p>
    <w:p w14:paraId="5F50C6D5" w14:textId="77777777" w:rsidR="008C75A1" w:rsidRPr="00AB5C02" w:rsidRDefault="008C75A1" w:rsidP="008C75A1">
      <w:pPr>
        <w:rPr>
          <w:rFonts w:ascii="Microsoft Sans Serif" w:eastAsia="Microsoft Sans Serif" w:hAnsi="Microsoft Sans Serif" w:cs="Microsoft Sans Serif"/>
          <w:b/>
          <w:szCs w:val="22"/>
          <w:u w:val="single"/>
        </w:rPr>
      </w:pPr>
      <w:r w:rsidRPr="00AB5C02">
        <w:rPr>
          <w:rFonts w:ascii="Microsoft Sans Serif" w:eastAsia="Microsoft Sans Serif" w:hAnsi="Microsoft Sans Serif" w:cs="Microsoft Sans Serif"/>
          <w:b/>
          <w:szCs w:val="22"/>
          <w:u w:val="single"/>
        </w:rPr>
        <w:lastRenderedPageBreak/>
        <w:t>R-2020-3018835 et al - PA PUBLIC UTILITY COMMISSION  v. COLUMBIA GAS OF PENNSYLVANIA INC</w:t>
      </w:r>
      <w:r w:rsidRPr="00AB5C02">
        <w:rPr>
          <w:rFonts w:ascii="Microsoft Sans Serif" w:eastAsia="Microsoft Sans Serif" w:hAnsi="Microsoft Sans Serif" w:cs="Microsoft Sans Serif"/>
          <w:b/>
          <w:szCs w:val="22"/>
          <w:u w:val="single"/>
        </w:rPr>
        <w:cr/>
      </w:r>
    </w:p>
    <w:p w14:paraId="38E8C0DB" w14:textId="77777777" w:rsidR="008C75A1" w:rsidRPr="00AB5C02" w:rsidRDefault="008C75A1" w:rsidP="008C75A1">
      <w:pPr>
        <w:rPr>
          <w:rFonts w:ascii="Microsoft Sans Serif" w:eastAsia="Microsoft Sans Serif" w:hAnsi="Microsoft Sans Serif" w:cs="Microsoft Sans Serif"/>
          <w:bCs/>
          <w:i/>
          <w:iCs/>
          <w:szCs w:val="22"/>
        </w:rPr>
      </w:pPr>
      <w:r w:rsidRPr="00AB5C02">
        <w:rPr>
          <w:rFonts w:ascii="Microsoft Sans Serif" w:eastAsia="Microsoft Sans Serif" w:hAnsi="Microsoft Sans Serif" w:cs="Microsoft Sans Serif"/>
          <w:bCs/>
          <w:i/>
          <w:iCs/>
          <w:szCs w:val="22"/>
        </w:rPr>
        <w:t>Revised 7/7/20</w:t>
      </w:r>
    </w:p>
    <w:p w14:paraId="1B59C04A" w14:textId="77777777" w:rsidR="008C75A1" w:rsidRDefault="008C75A1" w:rsidP="008C75A1">
      <w:pPr>
        <w:rPr>
          <w:rFonts w:ascii="Microsoft Sans Serif" w:eastAsia="Microsoft Sans Serif" w:hAnsi="Microsoft Sans Serif" w:cs="Microsoft Sans Serif"/>
          <w:b/>
          <w:szCs w:val="22"/>
          <w:u w:val="single"/>
        </w:rPr>
        <w:sectPr w:rsidR="008C75A1" w:rsidSect="0007225C">
          <w:footerReference w:type="default" r:id="rId10"/>
          <w:pgSz w:w="12240" w:h="15840"/>
          <w:pgMar w:top="1440" w:right="1800" w:bottom="1440" w:left="1440" w:header="720" w:footer="720" w:gutter="0"/>
          <w:cols w:space="720"/>
          <w:titlePg/>
          <w:docGrid w:linePitch="360"/>
        </w:sectPr>
      </w:pPr>
      <w:r w:rsidRPr="00AB5C02">
        <w:rPr>
          <w:rFonts w:ascii="Microsoft Sans Serif" w:eastAsia="Microsoft Sans Serif" w:hAnsi="Microsoft Sans Serif" w:cs="Microsoft Sans Serif"/>
          <w:b/>
          <w:szCs w:val="22"/>
          <w:u w:val="single"/>
        </w:rPr>
        <w:cr/>
      </w:r>
    </w:p>
    <w:p w14:paraId="05B0E3F2" w14:textId="7127B50E"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MICHAEL W HASSELL ESQUIRE</w:t>
      </w:r>
      <w:r w:rsidRPr="00AB5C02">
        <w:rPr>
          <w:rFonts w:ascii="Microsoft Sans Serif" w:eastAsia="Microsoft Sans Serif" w:hAnsi="Microsoft Sans Serif" w:cs="Microsoft Sans Serif"/>
          <w:szCs w:val="22"/>
        </w:rPr>
        <w:cr/>
        <w:t>LINDSAY A BERKSTRESSER ESQUIRE</w:t>
      </w:r>
    </w:p>
    <w:p w14:paraId="6E258098"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POST &amp; SCHELL PC</w:t>
      </w:r>
      <w:r w:rsidRPr="00AB5C02">
        <w:rPr>
          <w:rFonts w:ascii="Microsoft Sans Serif" w:eastAsia="Microsoft Sans Serif" w:hAnsi="Microsoft Sans Serif" w:cs="Microsoft Sans Serif"/>
          <w:szCs w:val="22"/>
        </w:rPr>
        <w:cr/>
        <w:t>17 NORTH SECOND STREET 12TH FLOOR</w:t>
      </w:r>
      <w:r w:rsidRPr="00AB5C02">
        <w:rPr>
          <w:rFonts w:ascii="Microsoft Sans Serif" w:eastAsia="Microsoft Sans Serif" w:hAnsi="Microsoft Sans Serif" w:cs="Microsoft Sans Serif"/>
          <w:szCs w:val="22"/>
        </w:rPr>
        <w:cr/>
        <w:t>HARRISBURG PA  17101-1601</w:t>
      </w:r>
      <w:r w:rsidRPr="00AB5C02">
        <w:rPr>
          <w:rFonts w:ascii="Microsoft Sans Serif" w:eastAsia="Microsoft Sans Serif" w:hAnsi="Microsoft Sans Serif" w:cs="Microsoft Sans Serif"/>
          <w:szCs w:val="22"/>
        </w:rPr>
        <w:cr/>
      </w:r>
      <w:r w:rsidRPr="00AB5C02">
        <w:rPr>
          <w:rFonts w:ascii="Microsoft Sans Serif" w:eastAsia="Microsoft Sans Serif" w:hAnsi="Microsoft Sans Serif" w:cs="Microsoft Sans Serif"/>
          <w:b/>
          <w:bCs/>
          <w:szCs w:val="22"/>
        </w:rPr>
        <w:t>717-612-6029</w:t>
      </w:r>
      <w:r w:rsidRPr="00AB5C02">
        <w:rPr>
          <w:rFonts w:ascii="Microsoft Sans Serif" w:eastAsia="Microsoft Sans Serif" w:hAnsi="Microsoft Sans Serif" w:cs="Microsoft Sans Serif"/>
          <w:b/>
          <w:bCs/>
          <w:szCs w:val="22"/>
        </w:rPr>
        <w:cr/>
        <w:t>717-612-6021</w:t>
      </w:r>
    </w:p>
    <w:p w14:paraId="2FC34493"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Accepts eService</w:t>
      </w:r>
    </w:p>
    <w:p w14:paraId="712A90E5" w14:textId="77777777" w:rsidR="008C75A1" w:rsidRPr="00AB5C02" w:rsidRDefault="008C75A1" w:rsidP="008C75A1">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Representing Columbia Gas of Pennsylvania, Inc.</w:t>
      </w:r>
    </w:p>
    <w:p w14:paraId="090584B3" w14:textId="77777777" w:rsidR="008C75A1" w:rsidRPr="00AB5C02" w:rsidRDefault="008C75A1" w:rsidP="008C75A1">
      <w:pPr>
        <w:rPr>
          <w:rFonts w:ascii="Microsoft Sans Serif" w:eastAsia="Microsoft Sans Serif" w:hAnsi="Microsoft Sans Serif" w:cs="Microsoft Sans Serif"/>
          <w:szCs w:val="22"/>
        </w:rPr>
      </w:pPr>
    </w:p>
    <w:p w14:paraId="33C082E5"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MEAGAN B MOORE ESQUIRE</w:t>
      </w:r>
      <w:r w:rsidRPr="00AB5C02">
        <w:rPr>
          <w:rFonts w:ascii="Microsoft Sans Serif" w:eastAsia="Microsoft Sans Serif" w:hAnsi="Microsoft Sans Serif" w:cs="Microsoft Sans Serif"/>
          <w:szCs w:val="22"/>
        </w:rPr>
        <w:cr/>
        <w:t>NISOURCE CORPORATE SERVICES CO</w:t>
      </w:r>
    </w:p>
    <w:p w14:paraId="7B6A6A0C" w14:textId="77777777" w:rsidR="008C75A1" w:rsidRPr="00AB5C02" w:rsidRDefault="008C75A1" w:rsidP="008C75A1">
      <w:pPr>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szCs w:val="22"/>
        </w:rPr>
        <w:t>121 CHAMPION WAY</w:t>
      </w:r>
      <w:r w:rsidRPr="00AB5C02">
        <w:rPr>
          <w:rFonts w:ascii="Microsoft Sans Serif" w:eastAsia="Microsoft Sans Serif" w:hAnsi="Microsoft Sans Serif" w:cs="Microsoft Sans Serif"/>
          <w:szCs w:val="22"/>
        </w:rPr>
        <w:cr/>
        <w:t>SUITE 100</w:t>
      </w:r>
      <w:r w:rsidRPr="00AB5C02">
        <w:rPr>
          <w:rFonts w:ascii="Microsoft Sans Serif" w:eastAsia="Microsoft Sans Serif" w:hAnsi="Microsoft Sans Serif" w:cs="Microsoft Sans Serif"/>
          <w:szCs w:val="22"/>
        </w:rPr>
        <w:cr/>
        <w:t>CANONSBURG PA  15317</w:t>
      </w:r>
      <w:r w:rsidRPr="00AB5C02">
        <w:rPr>
          <w:rFonts w:ascii="Microsoft Sans Serif" w:eastAsia="Microsoft Sans Serif" w:hAnsi="Microsoft Sans Serif" w:cs="Microsoft Sans Serif"/>
          <w:szCs w:val="22"/>
        </w:rPr>
        <w:cr/>
      </w:r>
      <w:r w:rsidRPr="00AB5C02">
        <w:rPr>
          <w:rFonts w:ascii="Microsoft Sans Serif" w:eastAsia="Microsoft Sans Serif" w:hAnsi="Microsoft Sans Serif" w:cs="Microsoft Sans Serif"/>
          <w:b/>
          <w:bCs/>
          <w:szCs w:val="22"/>
        </w:rPr>
        <w:t>724-416-6347</w:t>
      </w:r>
      <w:r w:rsidRPr="00AB5C02">
        <w:rPr>
          <w:rFonts w:ascii="Microsoft Sans Serif" w:eastAsia="Microsoft Sans Serif" w:hAnsi="Microsoft Sans Serif" w:cs="Microsoft Sans Serif"/>
          <w:szCs w:val="22"/>
        </w:rPr>
        <w:cr/>
        <w:t>Accepts eService</w:t>
      </w:r>
    </w:p>
    <w:p w14:paraId="3C734CEA" w14:textId="77777777" w:rsidR="008C75A1" w:rsidRPr="00AB5C02" w:rsidRDefault="008C75A1" w:rsidP="008C75A1">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Representing Columbia Gas of Pennsylvania, Inc.</w:t>
      </w:r>
    </w:p>
    <w:p w14:paraId="2E5A7EE8"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cr/>
        <w:t>AMY E HIRAKIS ESQUIRE</w:t>
      </w:r>
      <w:r w:rsidRPr="00AB5C02">
        <w:rPr>
          <w:rFonts w:ascii="Microsoft Sans Serif" w:eastAsia="Microsoft Sans Serif" w:hAnsi="Microsoft Sans Serif" w:cs="Microsoft Sans Serif"/>
          <w:szCs w:val="22"/>
        </w:rPr>
        <w:cr/>
        <w:t>NISOURCE CORPORATE SERVICES CO</w:t>
      </w:r>
    </w:p>
    <w:p w14:paraId="60C35236"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800 NORTH 3RD STREET STE 204</w:t>
      </w:r>
      <w:r w:rsidRPr="00AB5C02">
        <w:rPr>
          <w:rFonts w:ascii="Microsoft Sans Serif" w:eastAsia="Microsoft Sans Serif" w:hAnsi="Microsoft Sans Serif" w:cs="Microsoft Sans Serif"/>
          <w:szCs w:val="22"/>
        </w:rPr>
        <w:cr/>
        <w:t>HARRISBURG PA 17102 PA  18101</w:t>
      </w:r>
      <w:r w:rsidRPr="00AB5C02">
        <w:rPr>
          <w:rFonts w:ascii="Microsoft Sans Serif" w:eastAsia="Microsoft Sans Serif" w:hAnsi="Microsoft Sans Serif" w:cs="Microsoft Sans Serif"/>
          <w:szCs w:val="22"/>
        </w:rPr>
        <w:cr/>
      </w:r>
      <w:r w:rsidRPr="00AB5C02">
        <w:rPr>
          <w:rFonts w:ascii="Microsoft Sans Serif" w:eastAsia="Microsoft Sans Serif" w:hAnsi="Microsoft Sans Serif" w:cs="Microsoft Sans Serif"/>
          <w:b/>
          <w:bCs/>
          <w:szCs w:val="22"/>
        </w:rPr>
        <w:t>717-233-1351</w:t>
      </w:r>
      <w:r w:rsidRPr="00AB5C02">
        <w:rPr>
          <w:rFonts w:ascii="Microsoft Sans Serif" w:eastAsia="Microsoft Sans Serif" w:hAnsi="Microsoft Sans Serif" w:cs="Microsoft Sans Serif"/>
          <w:szCs w:val="22"/>
        </w:rPr>
        <w:cr/>
        <w:t>Accepts eService</w:t>
      </w:r>
    </w:p>
    <w:p w14:paraId="4035C9D8" w14:textId="77777777" w:rsidR="008C75A1" w:rsidRPr="00AB5C02" w:rsidRDefault="008C75A1" w:rsidP="008C75A1">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Representing Columbia Gas of Pennsylvania, Inc.</w:t>
      </w:r>
    </w:p>
    <w:p w14:paraId="6A8D3058" w14:textId="77777777" w:rsidR="008C75A1" w:rsidRPr="00AB5C02" w:rsidRDefault="008C75A1" w:rsidP="008C75A1">
      <w:pPr>
        <w:rPr>
          <w:rFonts w:ascii="Microsoft Sans Serif" w:eastAsia="Microsoft Sans Serif" w:hAnsi="Microsoft Sans Serif" w:cs="Microsoft Sans Serif"/>
          <w:szCs w:val="22"/>
        </w:rPr>
      </w:pPr>
    </w:p>
    <w:p w14:paraId="458487BF"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ERIKA MCLAIN ESQUIRE</w:t>
      </w:r>
      <w:r w:rsidRPr="00AB5C02">
        <w:rPr>
          <w:rFonts w:ascii="Microsoft Sans Serif" w:eastAsia="Microsoft Sans Serif" w:hAnsi="Microsoft Sans Serif" w:cs="Microsoft Sans Serif"/>
          <w:szCs w:val="22"/>
        </w:rPr>
        <w:cr/>
      </w:r>
      <w:r w:rsidRPr="00AB5C02">
        <w:rPr>
          <w:rFonts w:ascii="Microsoft Sans Serif" w:hAnsi="Microsoft Sans Serif" w:cs="Microsoft Sans Serif"/>
          <w:color w:val="000000"/>
        </w:rPr>
        <w:t xml:space="preserve">PA PUC BUREAU OF INVESTIGATION AND ENFORCEMENT </w:t>
      </w:r>
      <w:r w:rsidRPr="00AB5C02">
        <w:rPr>
          <w:rFonts w:ascii="Microsoft Sans Serif" w:hAnsi="Microsoft Sans Serif" w:cs="Microsoft Sans Serif"/>
          <w:color w:val="000000"/>
        </w:rPr>
        <w:br/>
        <w:t>400 NORTH STREET</w:t>
      </w:r>
      <w:r w:rsidRPr="00AB5C02">
        <w:rPr>
          <w:rFonts w:ascii="Microsoft Sans Serif" w:hAnsi="Microsoft Sans Serif" w:cs="Microsoft Sans Serif"/>
          <w:color w:val="000000"/>
        </w:rPr>
        <w:br/>
        <w:t>HARRISBURG PA 17120</w:t>
      </w:r>
      <w:r w:rsidRPr="00AB5C02">
        <w:rPr>
          <w:rFonts w:ascii="Microsoft Sans Serif" w:hAnsi="Microsoft Sans Serif" w:cs="Microsoft Sans Serif"/>
          <w:color w:val="000000"/>
        </w:rPr>
        <w:br/>
      </w:r>
      <w:r w:rsidRPr="00AB5C02">
        <w:rPr>
          <w:rFonts w:ascii="Microsoft Sans Serif" w:eastAsia="Microsoft Sans Serif" w:hAnsi="Microsoft Sans Serif" w:cs="Microsoft Sans Serif"/>
          <w:b/>
          <w:bCs/>
          <w:szCs w:val="22"/>
        </w:rPr>
        <w:t>717-783-6170</w:t>
      </w:r>
      <w:r w:rsidRPr="00AB5C02">
        <w:rPr>
          <w:rFonts w:ascii="Microsoft Sans Serif" w:eastAsia="Microsoft Sans Serif" w:hAnsi="Microsoft Sans Serif" w:cs="Microsoft Sans Serif"/>
          <w:szCs w:val="22"/>
        </w:rPr>
        <w:cr/>
        <w:t>Accepts eService</w:t>
      </w:r>
    </w:p>
    <w:p w14:paraId="445FF311"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 xml:space="preserve">DANIEL G ASMUS ESQUIRE </w:t>
      </w:r>
    </w:p>
    <w:p w14:paraId="2FFC9A5C"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STEVEN GRAY ESQUIRE</w:t>
      </w:r>
      <w:r w:rsidRPr="00AB5C02">
        <w:rPr>
          <w:rFonts w:ascii="Microsoft Sans Serif" w:eastAsia="Microsoft Sans Serif" w:hAnsi="Microsoft Sans Serif" w:cs="Microsoft Sans Serif"/>
          <w:szCs w:val="22"/>
        </w:rPr>
        <w:cr/>
        <w:t>OFFICE SMALL BUSINESS ADVOCATE</w:t>
      </w:r>
      <w:r w:rsidRPr="00AB5C02">
        <w:rPr>
          <w:rFonts w:ascii="Microsoft Sans Serif" w:eastAsia="Microsoft Sans Serif" w:hAnsi="Microsoft Sans Serif" w:cs="Microsoft Sans Serif"/>
          <w:szCs w:val="22"/>
        </w:rPr>
        <w:cr/>
        <w:t>300 NORTH SECOND ST SUITE 202</w:t>
      </w:r>
      <w:r w:rsidRPr="00AB5C02">
        <w:rPr>
          <w:rFonts w:ascii="Microsoft Sans Serif" w:eastAsia="Microsoft Sans Serif" w:hAnsi="Microsoft Sans Serif" w:cs="Microsoft Sans Serif"/>
          <w:szCs w:val="22"/>
        </w:rPr>
        <w:cr/>
        <w:t>HARRISBURG PA  17101</w:t>
      </w:r>
      <w:r w:rsidRPr="00AB5C02">
        <w:rPr>
          <w:rFonts w:ascii="Microsoft Sans Serif" w:eastAsia="Microsoft Sans Serif" w:hAnsi="Microsoft Sans Serif" w:cs="Microsoft Sans Serif"/>
          <w:szCs w:val="22"/>
        </w:rPr>
        <w:cr/>
      </w:r>
      <w:r w:rsidRPr="00AB5C02">
        <w:rPr>
          <w:rFonts w:ascii="Microsoft Sans Serif" w:eastAsia="Microsoft Sans Serif" w:hAnsi="Microsoft Sans Serif" w:cs="Microsoft Sans Serif"/>
          <w:b/>
          <w:bCs/>
          <w:szCs w:val="22"/>
        </w:rPr>
        <w:t>717-783-2525</w:t>
      </w:r>
      <w:r w:rsidRPr="00AB5C02">
        <w:rPr>
          <w:rFonts w:ascii="Microsoft Sans Serif" w:eastAsia="Microsoft Sans Serif" w:hAnsi="Microsoft Sans Serif" w:cs="Microsoft Sans Serif"/>
          <w:szCs w:val="22"/>
        </w:rPr>
        <w:cr/>
      </w:r>
      <w:bookmarkStart w:id="2" w:name="_Hlk40960222"/>
      <w:r w:rsidRPr="00AB5C02">
        <w:rPr>
          <w:rFonts w:ascii="Microsoft Sans Serif" w:eastAsia="Microsoft Sans Serif" w:hAnsi="Microsoft Sans Serif" w:cs="Microsoft Sans Serif"/>
          <w:szCs w:val="22"/>
        </w:rPr>
        <w:fldChar w:fldCharType="begin"/>
      </w:r>
      <w:r w:rsidRPr="00AB5C02">
        <w:rPr>
          <w:rFonts w:ascii="Microsoft Sans Serif" w:eastAsia="Microsoft Sans Serif" w:hAnsi="Microsoft Sans Serif" w:cs="Microsoft Sans Serif"/>
          <w:szCs w:val="22"/>
        </w:rPr>
        <w:instrText xml:space="preserve"> HYPERLINK "mailto:dasmus@pa.gov" </w:instrText>
      </w:r>
      <w:r w:rsidRPr="00AB5C02">
        <w:rPr>
          <w:rFonts w:ascii="Microsoft Sans Serif" w:eastAsia="Microsoft Sans Serif" w:hAnsi="Microsoft Sans Serif" w:cs="Microsoft Sans Serif"/>
          <w:szCs w:val="22"/>
        </w:rPr>
        <w:fldChar w:fldCharType="separate"/>
      </w:r>
      <w:r w:rsidRPr="008C75A1">
        <w:rPr>
          <w:rFonts w:ascii="Microsoft Sans Serif" w:eastAsia="Microsoft Sans Serif" w:hAnsi="Microsoft Sans Serif" w:cs="Microsoft Sans Serif"/>
          <w:color w:val="0563C1"/>
          <w:szCs w:val="22"/>
          <w:u w:val="single"/>
        </w:rPr>
        <w:t>dasmus@pa.gov</w:t>
      </w:r>
      <w:r w:rsidRPr="00AB5C02">
        <w:rPr>
          <w:rFonts w:ascii="Microsoft Sans Serif" w:eastAsia="Microsoft Sans Serif" w:hAnsi="Microsoft Sans Serif" w:cs="Microsoft Sans Serif"/>
          <w:szCs w:val="22"/>
        </w:rPr>
        <w:fldChar w:fldCharType="end"/>
      </w:r>
      <w:r w:rsidRPr="00AB5C02">
        <w:rPr>
          <w:rFonts w:ascii="Microsoft Sans Serif" w:eastAsia="Microsoft Sans Serif" w:hAnsi="Microsoft Sans Serif" w:cs="Microsoft Sans Serif"/>
          <w:szCs w:val="22"/>
        </w:rPr>
        <w:t xml:space="preserve"> </w:t>
      </w:r>
    </w:p>
    <w:p w14:paraId="08BA8455" w14:textId="77777777" w:rsidR="008C75A1" w:rsidRPr="008C75A1" w:rsidRDefault="008C75A1" w:rsidP="008C75A1">
      <w:pPr>
        <w:rPr>
          <w:rFonts w:ascii="Microsoft Sans Serif" w:eastAsia="Microsoft Sans Serif" w:hAnsi="Microsoft Sans Serif" w:cs="Microsoft Sans Serif"/>
          <w:color w:val="0563C1"/>
          <w:szCs w:val="22"/>
          <w:u w:val="single"/>
        </w:rPr>
      </w:pPr>
      <w:hyperlink r:id="rId11" w:history="1">
        <w:r w:rsidRPr="008C75A1">
          <w:rPr>
            <w:rFonts w:ascii="Microsoft Sans Serif" w:eastAsia="Microsoft Sans Serif" w:hAnsi="Microsoft Sans Serif" w:cs="Microsoft Sans Serif"/>
            <w:color w:val="0563C1"/>
            <w:szCs w:val="22"/>
            <w:u w:val="single"/>
          </w:rPr>
          <w:t>sgray@pa.gov</w:t>
        </w:r>
      </w:hyperlink>
    </w:p>
    <w:p w14:paraId="76735A3D" w14:textId="77777777" w:rsidR="008C75A1" w:rsidRPr="00DC2A62" w:rsidRDefault="008C75A1" w:rsidP="008C75A1">
      <w:pPr>
        <w:rPr>
          <w:rFonts w:ascii="Microsoft Sans Serif" w:hAnsi="Microsoft Sans Serif" w:cs="Microsoft Sans Serif"/>
          <w:i/>
          <w:iCs/>
        </w:rPr>
      </w:pPr>
      <w:r w:rsidRPr="00DC2A62">
        <w:rPr>
          <w:rFonts w:ascii="Microsoft Sans Serif" w:hAnsi="Microsoft Sans Serif" w:cs="Microsoft Sans Serif"/>
          <w:i/>
          <w:iCs/>
        </w:rPr>
        <w:t>Via electronic service only due to Emergency Order at M-2020-3019262</w:t>
      </w:r>
    </w:p>
    <w:bookmarkEnd w:id="2"/>
    <w:p w14:paraId="4259BA31" w14:textId="77777777" w:rsidR="008C75A1" w:rsidRPr="00AB5C02" w:rsidRDefault="008C75A1" w:rsidP="008C75A1">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Complainant C-2020-3019702</w:t>
      </w:r>
    </w:p>
    <w:p w14:paraId="0748B02A" w14:textId="77777777" w:rsidR="008C75A1" w:rsidRPr="00AB5C02" w:rsidRDefault="008C75A1" w:rsidP="008C75A1">
      <w:pPr>
        <w:rPr>
          <w:rFonts w:ascii="Microsoft Sans Serif" w:eastAsia="Microsoft Sans Serif" w:hAnsi="Microsoft Sans Serif" w:cs="Microsoft Sans Serif"/>
          <w:szCs w:val="22"/>
        </w:rPr>
      </w:pPr>
    </w:p>
    <w:p w14:paraId="0A9ADDE1" w14:textId="77777777" w:rsidR="008C75A1" w:rsidRPr="00AB5C02" w:rsidRDefault="008C75A1" w:rsidP="008C75A1">
      <w:pPr>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szCs w:val="22"/>
        </w:rPr>
        <w:t>*LAURA ANTINUCCI ESQUIRE</w:t>
      </w:r>
      <w:r w:rsidRPr="00AB5C02">
        <w:rPr>
          <w:rFonts w:ascii="Microsoft Sans Serif" w:eastAsia="Microsoft Sans Serif" w:hAnsi="Microsoft Sans Serif" w:cs="Microsoft Sans Serif"/>
          <w:szCs w:val="22"/>
        </w:rPr>
        <w:cr/>
        <w:t>*BARRETT SHERIDAN ESQUIRE</w:t>
      </w:r>
      <w:r w:rsidRPr="00AB5C02">
        <w:rPr>
          <w:rFonts w:ascii="Microsoft Sans Serif" w:eastAsia="Microsoft Sans Serif" w:hAnsi="Microsoft Sans Serif" w:cs="Microsoft Sans Serif"/>
          <w:szCs w:val="22"/>
        </w:rPr>
        <w:cr/>
        <w:t>DARRYL LAWRENCE ESQUIRE</w:t>
      </w:r>
      <w:r w:rsidRPr="00AB5C02">
        <w:rPr>
          <w:rFonts w:ascii="Microsoft Sans Serif" w:eastAsia="Microsoft Sans Serif" w:hAnsi="Microsoft Sans Serif" w:cs="Microsoft Sans Serif"/>
          <w:szCs w:val="22"/>
        </w:rPr>
        <w:cr/>
        <w:t>OFFICE OF CONSUMER ADVOCATE</w:t>
      </w:r>
      <w:r w:rsidRPr="00AB5C02">
        <w:rPr>
          <w:rFonts w:ascii="Microsoft Sans Serif" w:eastAsia="Microsoft Sans Serif" w:hAnsi="Microsoft Sans Serif" w:cs="Microsoft Sans Serif"/>
          <w:szCs w:val="22"/>
        </w:rPr>
        <w:cr/>
        <w:t xml:space="preserve">FORUM PLACE 5TH FLOOR </w:t>
      </w:r>
      <w:r w:rsidRPr="00AB5C02">
        <w:rPr>
          <w:rFonts w:ascii="Microsoft Sans Serif" w:eastAsia="Microsoft Sans Serif" w:hAnsi="Microsoft Sans Serif" w:cs="Microsoft Sans Serif"/>
          <w:szCs w:val="22"/>
        </w:rPr>
        <w:cr/>
        <w:t>555 WALNUT STREET</w:t>
      </w:r>
      <w:r w:rsidRPr="00AB5C02">
        <w:rPr>
          <w:rFonts w:ascii="Microsoft Sans Serif" w:eastAsia="Microsoft Sans Serif" w:hAnsi="Microsoft Sans Serif" w:cs="Microsoft Sans Serif"/>
          <w:szCs w:val="22"/>
        </w:rPr>
        <w:cr/>
        <w:t>HARRISBURG PA  17101-1923</w:t>
      </w:r>
      <w:r w:rsidRPr="00AB5C02">
        <w:rPr>
          <w:rFonts w:ascii="Microsoft Sans Serif" w:eastAsia="Microsoft Sans Serif" w:hAnsi="Microsoft Sans Serif" w:cs="Microsoft Sans Serif"/>
          <w:szCs w:val="22"/>
        </w:rPr>
        <w:cr/>
      </w:r>
      <w:r w:rsidRPr="00AB5C02">
        <w:rPr>
          <w:rFonts w:ascii="Microsoft Sans Serif" w:eastAsia="Microsoft Sans Serif" w:hAnsi="Microsoft Sans Serif" w:cs="Microsoft Sans Serif"/>
          <w:b/>
          <w:bCs/>
          <w:szCs w:val="22"/>
        </w:rPr>
        <w:t>717-783-5048</w:t>
      </w:r>
    </w:p>
    <w:p w14:paraId="723EB110" w14:textId="77777777" w:rsidR="008C75A1" w:rsidRPr="00AB5C02" w:rsidRDefault="008C75A1" w:rsidP="008C75A1">
      <w:pPr>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szCs w:val="22"/>
        </w:rPr>
        <w:t>*Accepts eService</w:t>
      </w:r>
    </w:p>
    <w:bookmarkStart w:id="3" w:name="_Hlk40960589"/>
    <w:p w14:paraId="6A1BB915" w14:textId="77777777" w:rsidR="008C75A1"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fldChar w:fldCharType="begin"/>
      </w:r>
      <w:r w:rsidRPr="00AB5C02">
        <w:rPr>
          <w:rFonts w:ascii="Microsoft Sans Serif" w:eastAsia="Microsoft Sans Serif" w:hAnsi="Microsoft Sans Serif" w:cs="Microsoft Sans Serif"/>
          <w:szCs w:val="22"/>
        </w:rPr>
        <w:instrText xml:space="preserve"> HYPERLINK "mailto:DLawrence@paoca.org" </w:instrText>
      </w:r>
      <w:r w:rsidRPr="00AB5C02">
        <w:rPr>
          <w:rFonts w:ascii="Microsoft Sans Serif" w:eastAsia="Microsoft Sans Serif" w:hAnsi="Microsoft Sans Serif" w:cs="Microsoft Sans Serif"/>
          <w:szCs w:val="22"/>
        </w:rPr>
        <w:fldChar w:fldCharType="separate"/>
      </w:r>
      <w:r w:rsidRPr="008C75A1">
        <w:rPr>
          <w:rFonts w:ascii="Microsoft Sans Serif" w:eastAsia="Microsoft Sans Serif" w:hAnsi="Microsoft Sans Serif" w:cs="Microsoft Sans Serif"/>
          <w:color w:val="0563C1"/>
          <w:szCs w:val="22"/>
          <w:u w:val="single"/>
        </w:rPr>
        <w:t>DLawrence@paoca.org</w:t>
      </w:r>
      <w:bookmarkEnd w:id="3"/>
      <w:r w:rsidRPr="00AB5C02">
        <w:rPr>
          <w:rFonts w:ascii="Microsoft Sans Serif" w:eastAsia="Microsoft Sans Serif" w:hAnsi="Microsoft Sans Serif" w:cs="Microsoft Sans Serif"/>
          <w:szCs w:val="22"/>
        </w:rPr>
        <w:fldChar w:fldCharType="end"/>
      </w:r>
      <w:r w:rsidRPr="00AB5C02">
        <w:rPr>
          <w:rFonts w:ascii="Microsoft Sans Serif" w:eastAsia="Microsoft Sans Serif" w:hAnsi="Microsoft Sans Serif" w:cs="Microsoft Sans Serif"/>
          <w:szCs w:val="22"/>
        </w:rPr>
        <w:t xml:space="preserve"> </w:t>
      </w:r>
    </w:p>
    <w:p w14:paraId="449847A6" w14:textId="77777777" w:rsidR="008C75A1" w:rsidRPr="00DC2A62" w:rsidRDefault="008C75A1" w:rsidP="008C75A1">
      <w:pPr>
        <w:rPr>
          <w:rFonts w:ascii="Microsoft Sans Serif" w:hAnsi="Microsoft Sans Serif" w:cs="Microsoft Sans Serif"/>
          <w:i/>
          <w:iCs/>
        </w:rPr>
      </w:pPr>
      <w:r w:rsidRPr="00DC2A62">
        <w:rPr>
          <w:rFonts w:ascii="Microsoft Sans Serif" w:hAnsi="Microsoft Sans Serif" w:cs="Microsoft Sans Serif"/>
          <w:i/>
          <w:iCs/>
        </w:rPr>
        <w:t>Via electronic service only due to Emergency Order at M-2020-3019262</w:t>
      </w:r>
    </w:p>
    <w:p w14:paraId="21019029"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i/>
          <w:iCs/>
          <w:szCs w:val="22"/>
        </w:rPr>
        <w:t>Complainant C-2020-3019714</w:t>
      </w:r>
      <w:r w:rsidRPr="00AB5C02">
        <w:rPr>
          <w:rFonts w:ascii="Microsoft Sans Serif" w:eastAsia="Microsoft Sans Serif" w:hAnsi="Microsoft Sans Serif" w:cs="Microsoft Sans Serif"/>
          <w:szCs w:val="22"/>
        </w:rPr>
        <w:cr/>
      </w:r>
      <w:r w:rsidRPr="00AB5C02">
        <w:rPr>
          <w:rFonts w:ascii="Microsoft Sans Serif" w:eastAsia="Microsoft Sans Serif" w:hAnsi="Microsoft Sans Serif" w:cs="Microsoft Sans Serif"/>
          <w:szCs w:val="22"/>
        </w:rPr>
        <w:cr/>
      </w:r>
      <w:bookmarkStart w:id="4" w:name="_Hlk40961722"/>
      <w:r w:rsidRPr="00AB5C02">
        <w:rPr>
          <w:rFonts w:ascii="Microsoft Sans Serif" w:eastAsia="Microsoft Sans Serif" w:hAnsi="Microsoft Sans Serif" w:cs="Microsoft Sans Serif"/>
          <w:szCs w:val="22"/>
        </w:rPr>
        <w:t>CHARIS MINCAVAGE ESQUIRE</w:t>
      </w:r>
    </w:p>
    <w:p w14:paraId="54043B1A"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KENNETH R STARK ESQUIRE</w:t>
      </w:r>
    </w:p>
    <w:p w14:paraId="415C35DA"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MCNEES WALLACE &amp; NURICK</w:t>
      </w:r>
    </w:p>
    <w:p w14:paraId="098ACB22"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100 PINE STREET</w:t>
      </w:r>
    </w:p>
    <w:p w14:paraId="2C9F9026"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PO BOX 1166</w:t>
      </w:r>
    </w:p>
    <w:p w14:paraId="0069CF82"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HARRISBURG PA  17108-1166</w:t>
      </w:r>
    </w:p>
    <w:p w14:paraId="764A6F90" w14:textId="77777777" w:rsidR="008C75A1" w:rsidRPr="00AB5C02" w:rsidRDefault="008C75A1" w:rsidP="008C75A1">
      <w:pPr>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b/>
          <w:bCs/>
          <w:szCs w:val="22"/>
        </w:rPr>
        <w:t>717-232-8000</w:t>
      </w:r>
    </w:p>
    <w:p w14:paraId="20A6D024" w14:textId="77777777" w:rsidR="008C75A1" w:rsidRPr="00AB5C02" w:rsidRDefault="008C75A1" w:rsidP="008C75A1">
      <w:pPr>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b/>
          <w:bCs/>
          <w:szCs w:val="22"/>
        </w:rPr>
        <w:t>717-237-5300</w:t>
      </w:r>
    </w:p>
    <w:p w14:paraId="3A8BBB70"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Accepts eService</w:t>
      </w:r>
    </w:p>
    <w:p w14:paraId="1DA280AC" w14:textId="77777777" w:rsidR="008C75A1" w:rsidRPr="00AB5C02" w:rsidRDefault="008C75A1" w:rsidP="008C75A1">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Representing Columbia Industrial Intervenors</w:t>
      </w:r>
    </w:p>
    <w:p w14:paraId="7E2EF6CF" w14:textId="77777777" w:rsidR="008C75A1" w:rsidRPr="00AB5C02" w:rsidRDefault="008C75A1" w:rsidP="008C75A1">
      <w:pPr>
        <w:textAlignment w:val="baseline"/>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Complainant C-2020-3020105</w:t>
      </w:r>
    </w:p>
    <w:p w14:paraId="6ABF6978" w14:textId="77777777" w:rsidR="008C75A1" w:rsidRPr="00AB5C02" w:rsidRDefault="008C75A1" w:rsidP="008C75A1">
      <w:pPr>
        <w:textAlignment w:val="baseline"/>
        <w:rPr>
          <w:rFonts w:ascii="Microsoft Sans Serif" w:eastAsia="Microsoft Sans Serif" w:hAnsi="Microsoft Sans Serif" w:cs="Microsoft Sans Serif"/>
          <w:i/>
          <w:iCs/>
          <w:szCs w:val="22"/>
        </w:rPr>
      </w:pPr>
    </w:p>
    <w:p w14:paraId="4C3E0D9D" w14:textId="77777777" w:rsidR="008C75A1" w:rsidRPr="00AB5C02" w:rsidRDefault="008C75A1" w:rsidP="008C75A1">
      <w:pPr>
        <w:textAlignment w:val="baseline"/>
        <w:rPr>
          <w:rFonts w:ascii="Microsoft Sans Serif" w:eastAsia="Microsoft Sans Serif" w:hAnsi="Microsoft Sans Serif" w:cs="Microsoft Sans Serif"/>
          <w:i/>
          <w:iCs/>
          <w:szCs w:val="22"/>
        </w:rPr>
      </w:pPr>
    </w:p>
    <w:p w14:paraId="039D24E5" w14:textId="77777777" w:rsidR="008C75A1" w:rsidRPr="00AB5C02" w:rsidRDefault="008C75A1" w:rsidP="008C75A1">
      <w:pPr>
        <w:textAlignment w:val="baseline"/>
        <w:rPr>
          <w:rFonts w:ascii="Microsoft Sans Serif" w:eastAsia="Microsoft Sans Serif" w:hAnsi="Microsoft Sans Serif" w:cs="Microsoft Sans Serif"/>
          <w:i/>
          <w:iCs/>
          <w:szCs w:val="22"/>
        </w:rPr>
      </w:pPr>
    </w:p>
    <w:p w14:paraId="3E9D0509" w14:textId="77777777" w:rsidR="008C75A1" w:rsidRPr="00AB5C02" w:rsidRDefault="008C75A1" w:rsidP="008C75A1">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lastRenderedPageBreak/>
        <w:t>DR RICHARD COLLINS</w:t>
      </w:r>
    </w:p>
    <w:p w14:paraId="28D70BAE" w14:textId="77777777" w:rsidR="008C75A1" w:rsidRPr="00AB5C02" w:rsidRDefault="008C75A1" w:rsidP="008C75A1">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440 MONMOUTH DRIVE</w:t>
      </w:r>
    </w:p>
    <w:p w14:paraId="5CE7CAC8" w14:textId="77777777" w:rsidR="008C75A1" w:rsidRPr="00AB5C02" w:rsidRDefault="008C75A1" w:rsidP="008C75A1">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CRANBERRY TOWNSHIP PA 16066-5756</w:t>
      </w:r>
    </w:p>
    <w:p w14:paraId="435B39D1" w14:textId="77777777" w:rsidR="008C75A1" w:rsidRPr="00AB5C02" w:rsidRDefault="008C75A1" w:rsidP="008C75A1">
      <w:pPr>
        <w:textAlignment w:val="baseline"/>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b/>
          <w:bCs/>
          <w:szCs w:val="22"/>
        </w:rPr>
        <w:t>724-742-0414</w:t>
      </w:r>
    </w:p>
    <w:p w14:paraId="1DC5D4A1"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Accepts eService</w:t>
      </w:r>
    </w:p>
    <w:p w14:paraId="497AE5D3" w14:textId="77777777" w:rsidR="008C75A1" w:rsidRPr="00AB5C02" w:rsidRDefault="008C75A1" w:rsidP="008C75A1">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i/>
          <w:iCs/>
          <w:szCs w:val="22"/>
        </w:rPr>
        <w:t>Complainant C-2020-3020207</w:t>
      </w:r>
    </w:p>
    <w:p w14:paraId="0ACFB87B" w14:textId="77777777" w:rsidR="008C75A1" w:rsidRPr="00AB5C02" w:rsidRDefault="008C75A1" w:rsidP="008C75A1">
      <w:pPr>
        <w:textAlignment w:val="baseline"/>
        <w:rPr>
          <w:rFonts w:ascii="Microsoft Sans Serif" w:eastAsia="Microsoft Sans Serif" w:hAnsi="Microsoft Sans Serif" w:cs="Microsoft Sans Serif"/>
          <w:szCs w:val="22"/>
        </w:rPr>
      </w:pPr>
    </w:p>
    <w:p w14:paraId="5DE4FE94" w14:textId="77777777" w:rsidR="008C75A1" w:rsidRPr="00AB5C02" w:rsidRDefault="008C75A1" w:rsidP="008C75A1">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IONUT R ILIE</w:t>
      </w:r>
    </w:p>
    <w:p w14:paraId="350760F0" w14:textId="77777777" w:rsidR="008C75A1" w:rsidRPr="00AB5C02" w:rsidRDefault="008C75A1" w:rsidP="008C75A1">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255 MCBATH STREET</w:t>
      </w:r>
    </w:p>
    <w:p w14:paraId="771EA39C" w14:textId="77777777" w:rsidR="008C75A1" w:rsidRPr="00AB5C02" w:rsidRDefault="008C75A1" w:rsidP="008C75A1">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STATE COLLEGE PA  16801</w:t>
      </w:r>
    </w:p>
    <w:p w14:paraId="6D77A25D" w14:textId="77777777" w:rsidR="008C75A1" w:rsidRPr="00AB5C02" w:rsidRDefault="008C75A1" w:rsidP="008C75A1">
      <w:pPr>
        <w:textAlignment w:val="baseline"/>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b/>
          <w:bCs/>
          <w:szCs w:val="22"/>
        </w:rPr>
        <w:t>814-409-9305</w:t>
      </w:r>
    </w:p>
    <w:p w14:paraId="219CAC05"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Accepts eService</w:t>
      </w:r>
    </w:p>
    <w:p w14:paraId="127FF464" w14:textId="77777777" w:rsidR="008C75A1" w:rsidRPr="00AB5C02" w:rsidRDefault="008C75A1" w:rsidP="008C75A1">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i/>
          <w:iCs/>
          <w:szCs w:val="22"/>
        </w:rPr>
        <w:t>Complainant C-2020-3020498</w:t>
      </w:r>
    </w:p>
    <w:p w14:paraId="51CF591F" w14:textId="77777777" w:rsidR="008C75A1" w:rsidRPr="00AB5C02" w:rsidRDefault="008C75A1" w:rsidP="008C75A1">
      <w:pPr>
        <w:textAlignment w:val="baseline"/>
        <w:rPr>
          <w:rFonts w:ascii="Microsoft Sans Serif" w:eastAsia="Microsoft Sans Serif" w:hAnsi="Microsoft Sans Serif" w:cs="Microsoft Sans Serif"/>
          <w:szCs w:val="22"/>
        </w:rPr>
      </w:pPr>
    </w:p>
    <w:p w14:paraId="1A9AEE54" w14:textId="77777777" w:rsidR="008C75A1" w:rsidRPr="00AB5C02" w:rsidRDefault="008C75A1" w:rsidP="008C75A1">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THOMAS J SNISCAK, ESQUIRE</w:t>
      </w:r>
    </w:p>
    <w:p w14:paraId="44B5CDDA" w14:textId="77777777" w:rsidR="008C75A1" w:rsidRPr="00AB5C02" w:rsidRDefault="008C75A1" w:rsidP="008C75A1">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WHITNEY E SNYDER ESQUIRE</w:t>
      </w:r>
    </w:p>
    <w:p w14:paraId="0DA70D06" w14:textId="77777777" w:rsidR="008C75A1" w:rsidRPr="00AB5C02" w:rsidRDefault="008C75A1" w:rsidP="008C75A1">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HAWKE MCKEON &amp; SNISCAK LLP</w:t>
      </w:r>
    </w:p>
    <w:p w14:paraId="5CAB5713" w14:textId="77777777" w:rsidR="008C75A1" w:rsidRPr="00AB5C02" w:rsidRDefault="008C75A1" w:rsidP="008C75A1">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100 NORTH TENTH STREET</w:t>
      </w:r>
    </w:p>
    <w:p w14:paraId="34386113" w14:textId="77777777" w:rsidR="008C75A1" w:rsidRPr="00AB5C02" w:rsidRDefault="008C75A1" w:rsidP="008C75A1">
      <w:pPr>
        <w:textAlignment w:val="baseline"/>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HARRISBURG PA 17101</w:t>
      </w:r>
    </w:p>
    <w:p w14:paraId="71F0E254" w14:textId="77777777" w:rsidR="008C75A1" w:rsidRPr="00AB5C02" w:rsidRDefault="008C75A1" w:rsidP="008C75A1">
      <w:pPr>
        <w:textAlignment w:val="baseline"/>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b/>
          <w:bCs/>
          <w:szCs w:val="22"/>
        </w:rPr>
        <w:t>717- 236-1300</w:t>
      </w:r>
    </w:p>
    <w:p w14:paraId="412794D8"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Accepts eService</w:t>
      </w:r>
    </w:p>
    <w:p w14:paraId="268604B4" w14:textId="77777777" w:rsidR="008C75A1" w:rsidRPr="00AB5C02" w:rsidRDefault="008C75A1" w:rsidP="008C75A1">
      <w:pPr>
        <w:textAlignment w:val="baseline"/>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Complainant C-2020-3020666</w:t>
      </w:r>
    </w:p>
    <w:p w14:paraId="7E6F25E2" w14:textId="77777777" w:rsidR="008C75A1" w:rsidRDefault="008C75A1" w:rsidP="008C75A1">
      <w:pPr>
        <w:textAlignment w:val="baseline"/>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Representing the Pennsylvania State University</w:t>
      </w:r>
    </w:p>
    <w:p w14:paraId="090D4DA9" w14:textId="77777777" w:rsidR="008C75A1" w:rsidRPr="00AB5C02" w:rsidRDefault="008C75A1" w:rsidP="008C75A1">
      <w:pPr>
        <w:textAlignment w:val="baseline"/>
        <w:rPr>
          <w:rFonts w:ascii="Microsoft Sans Serif" w:eastAsia="Microsoft Sans Serif" w:hAnsi="Microsoft Sans Serif" w:cs="Microsoft Sans Serif"/>
          <w:szCs w:val="22"/>
        </w:rPr>
      </w:pPr>
    </w:p>
    <w:p w14:paraId="5E68F7ED" w14:textId="77777777" w:rsidR="008C75A1" w:rsidRPr="00AB5C02" w:rsidRDefault="008C75A1" w:rsidP="008C75A1">
      <w:pPr>
        <w:textAlignment w:val="baseline"/>
        <w:rPr>
          <w:rFonts w:ascii="Microsoft Sans Serif" w:hAnsi="Microsoft Sans Serif" w:cs="Microsoft Sans Serif"/>
          <w:color w:val="000000"/>
          <w:szCs w:val="22"/>
        </w:rPr>
      </w:pPr>
      <w:r w:rsidRPr="00AB5C02">
        <w:rPr>
          <w:rFonts w:ascii="Microsoft Sans Serif" w:eastAsia="Microsoft Sans Serif" w:hAnsi="Microsoft Sans Serif" w:cs="Microsoft Sans Serif"/>
          <w:szCs w:val="22"/>
        </w:rPr>
        <w:t>ELIZABETH R MARX ESQUIRE</w:t>
      </w:r>
      <w:r w:rsidRPr="00AB5C02">
        <w:rPr>
          <w:rFonts w:ascii="Microsoft Sans Serif" w:eastAsia="Microsoft Sans Serif" w:hAnsi="Microsoft Sans Serif" w:cs="Microsoft Sans Serif"/>
          <w:szCs w:val="22"/>
        </w:rPr>
        <w:cr/>
      </w:r>
      <w:r w:rsidRPr="00AB5C02">
        <w:rPr>
          <w:rFonts w:ascii="Microsoft Sans Serif" w:hAnsi="Microsoft Sans Serif" w:cs="Microsoft Sans Serif"/>
          <w:color w:val="000000"/>
          <w:szCs w:val="22"/>
        </w:rPr>
        <w:t>RIA M PEREIRA ESQUIRE</w:t>
      </w:r>
    </w:p>
    <w:p w14:paraId="7BFC2D64" w14:textId="77777777" w:rsidR="008C75A1" w:rsidRPr="00AB5C02" w:rsidRDefault="008C75A1" w:rsidP="008C75A1">
      <w:pPr>
        <w:textAlignment w:val="baseline"/>
        <w:rPr>
          <w:rFonts w:ascii="Microsoft Sans Serif" w:hAnsi="Microsoft Sans Serif" w:cs="Microsoft Sans Serif"/>
          <w:color w:val="000000"/>
          <w:szCs w:val="22"/>
        </w:rPr>
      </w:pPr>
      <w:r w:rsidRPr="00AB5C02">
        <w:rPr>
          <w:rFonts w:ascii="Microsoft Sans Serif" w:hAnsi="Microsoft Sans Serif" w:cs="Microsoft Sans Serif"/>
          <w:color w:val="000000"/>
          <w:szCs w:val="22"/>
        </w:rPr>
        <w:t>JOHN W SWEET ESQUIRE</w:t>
      </w:r>
    </w:p>
    <w:p w14:paraId="14663D8E" w14:textId="77777777" w:rsidR="008C75A1" w:rsidRPr="00AB5C02" w:rsidRDefault="008C75A1" w:rsidP="008C75A1">
      <w:pPr>
        <w:textAlignment w:val="baseline"/>
        <w:rPr>
          <w:rFonts w:ascii="Microsoft Sans Serif" w:hAnsi="Microsoft Sans Serif" w:cs="Microsoft Sans Serif"/>
          <w:color w:val="000000"/>
          <w:szCs w:val="22"/>
        </w:rPr>
      </w:pPr>
      <w:r w:rsidRPr="00AB5C02">
        <w:rPr>
          <w:rFonts w:ascii="Microsoft Sans Serif" w:hAnsi="Microsoft Sans Serif" w:cs="Microsoft Sans Serif"/>
          <w:color w:val="000000"/>
          <w:szCs w:val="22"/>
        </w:rPr>
        <w:t>PENNSYLVANIA UTILITY LAW PROJECT</w:t>
      </w:r>
    </w:p>
    <w:p w14:paraId="31543D8A" w14:textId="77777777" w:rsidR="008C75A1" w:rsidRPr="00AB5C02" w:rsidRDefault="008C75A1" w:rsidP="008C75A1">
      <w:pPr>
        <w:textAlignment w:val="baseline"/>
        <w:rPr>
          <w:rFonts w:ascii="Microsoft Sans Serif" w:hAnsi="Microsoft Sans Serif" w:cs="Microsoft Sans Serif"/>
          <w:color w:val="000000"/>
          <w:spacing w:val="-1"/>
          <w:szCs w:val="22"/>
        </w:rPr>
      </w:pPr>
      <w:r w:rsidRPr="00AB5C02">
        <w:rPr>
          <w:rFonts w:ascii="Microsoft Sans Serif" w:hAnsi="Microsoft Sans Serif" w:cs="Microsoft Sans Serif"/>
          <w:color w:val="000000"/>
          <w:spacing w:val="-1"/>
          <w:szCs w:val="22"/>
        </w:rPr>
        <w:t>118 LOCUST STREET</w:t>
      </w:r>
    </w:p>
    <w:p w14:paraId="07C99F84" w14:textId="77777777" w:rsidR="008C75A1" w:rsidRPr="00AB5C02" w:rsidRDefault="008C75A1" w:rsidP="008C75A1">
      <w:pPr>
        <w:textAlignment w:val="baseline"/>
        <w:rPr>
          <w:rFonts w:ascii="Microsoft Sans Serif" w:hAnsi="Microsoft Sans Serif" w:cs="Microsoft Sans Serif"/>
          <w:color w:val="000000"/>
          <w:spacing w:val="-1"/>
          <w:szCs w:val="22"/>
        </w:rPr>
      </w:pPr>
      <w:r w:rsidRPr="00AB5C02">
        <w:rPr>
          <w:rFonts w:ascii="Microsoft Sans Serif" w:hAnsi="Microsoft Sans Serif" w:cs="Microsoft Sans Serif"/>
          <w:color w:val="000000"/>
          <w:spacing w:val="-1"/>
          <w:szCs w:val="22"/>
        </w:rPr>
        <w:t>HARRISBURG PA 17101</w:t>
      </w:r>
    </w:p>
    <w:p w14:paraId="5CF95043" w14:textId="77777777" w:rsidR="008C75A1" w:rsidRPr="00AB5C02" w:rsidRDefault="008C75A1" w:rsidP="008C75A1">
      <w:pPr>
        <w:textAlignment w:val="baseline"/>
        <w:rPr>
          <w:rFonts w:ascii="Microsoft Sans Serif" w:hAnsi="Microsoft Sans Serif" w:cs="Microsoft Sans Serif"/>
          <w:b/>
          <w:bCs/>
          <w:color w:val="000000"/>
          <w:spacing w:val="1"/>
          <w:szCs w:val="22"/>
        </w:rPr>
      </w:pPr>
      <w:r w:rsidRPr="00AB5C02">
        <w:rPr>
          <w:rFonts w:ascii="Microsoft Sans Serif" w:hAnsi="Microsoft Sans Serif" w:cs="Microsoft Sans Serif"/>
          <w:b/>
          <w:bCs/>
          <w:color w:val="000000"/>
          <w:spacing w:val="1"/>
          <w:szCs w:val="22"/>
        </w:rPr>
        <w:t>717-236-9486</w:t>
      </w:r>
    </w:p>
    <w:p w14:paraId="6388F4DA" w14:textId="77777777" w:rsidR="008C75A1" w:rsidRPr="00AB5C02" w:rsidRDefault="008C75A1" w:rsidP="008C75A1">
      <w:pPr>
        <w:rPr>
          <w:rFonts w:ascii="Microsoft Sans Serif" w:eastAsia="Microsoft Sans Serif" w:hAnsi="Microsoft Sans Serif" w:cs="Microsoft Sans Serif"/>
          <w:szCs w:val="22"/>
        </w:rPr>
      </w:pPr>
      <w:r w:rsidRPr="00AB5C02">
        <w:rPr>
          <w:rFonts w:ascii="Microsoft Sans Serif" w:eastAsia="Microsoft Sans Serif" w:hAnsi="Microsoft Sans Serif" w:cs="Microsoft Sans Serif"/>
          <w:szCs w:val="22"/>
        </w:rPr>
        <w:t>Accepts eService</w:t>
      </w:r>
    </w:p>
    <w:p w14:paraId="18263939" w14:textId="77777777" w:rsidR="008C75A1" w:rsidRPr="00AB5C02" w:rsidRDefault="008C75A1" w:rsidP="008C75A1">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Representing CAUSE-PA</w:t>
      </w:r>
    </w:p>
    <w:p w14:paraId="0D6DF403" w14:textId="77777777" w:rsidR="008C75A1" w:rsidRDefault="008C75A1" w:rsidP="008C75A1">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Intervenor</w:t>
      </w:r>
      <w:r w:rsidRPr="00AB5C02">
        <w:rPr>
          <w:rFonts w:ascii="Microsoft Sans Serif" w:eastAsia="Microsoft Sans Serif" w:hAnsi="Microsoft Sans Serif" w:cs="Microsoft Sans Serif"/>
          <w:i/>
          <w:iCs/>
          <w:szCs w:val="22"/>
        </w:rPr>
        <w:cr/>
      </w:r>
      <w:bookmarkEnd w:id="4"/>
    </w:p>
    <w:p w14:paraId="4E36C253" w14:textId="77777777" w:rsidR="008C75A1" w:rsidRPr="00AB5C02" w:rsidRDefault="008C75A1" w:rsidP="008C75A1">
      <w:pPr>
        <w:rPr>
          <w:rFonts w:ascii="Microsoft Sans Serif" w:eastAsia="Microsoft Sans Serif" w:hAnsi="Microsoft Sans Serif" w:cs="Microsoft Sans Serif"/>
          <w:b/>
          <w:bCs/>
          <w:szCs w:val="22"/>
        </w:rPr>
      </w:pPr>
      <w:r w:rsidRPr="00AB5C02">
        <w:rPr>
          <w:rFonts w:ascii="Microsoft Sans Serif" w:eastAsia="Microsoft Sans Serif" w:hAnsi="Microsoft Sans Serif" w:cs="Microsoft Sans Serif"/>
          <w:szCs w:val="22"/>
        </w:rPr>
        <w:t>JOSEPH L VULLO ESQUIRE</w:t>
      </w:r>
      <w:r w:rsidRPr="00AB5C02">
        <w:rPr>
          <w:rFonts w:ascii="Microsoft Sans Serif" w:eastAsia="Microsoft Sans Serif" w:hAnsi="Microsoft Sans Serif" w:cs="Microsoft Sans Serif"/>
          <w:szCs w:val="22"/>
        </w:rPr>
        <w:cr/>
        <w:t>BURKE VULLO REILLY ROBERTS</w:t>
      </w:r>
      <w:r w:rsidRPr="00AB5C02">
        <w:rPr>
          <w:rFonts w:ascii="Microsoft Sans Serif" w:eastAsia="Microsoft Sans Serif" w:hAnsi="Microsoft Sans Serif" w:cs="Microsoft Sans Serif"/>
          <w:szCs w:val="22"/>
        </w:rPr>
        <w:cr/>
        <w:t>1460 WYOMING AVENUE</w:t>
      </w:r>
      <w:r w:rsidRPr="00AB5C02">
        <w:rPr>
          <w:rFonts w:ascii="Microsoft Sans Serif" w:eastAsia="Microsoft Sans Serif" w:hAnsi="Microsoft Sans Serif" w:cs="Microsoft Sans Serif"/>
          <w:szCs w:val="22"/>
        </w:rPr>
        <w:cr/>
        <w:t>FORTY FORT PA  18704</w:t>
      </w:r>
      <w:r w:rsidRPr="00AB5C02">
        <w:rPr>
          <w:rFonts w:ascii="Microsoft Sans Serif" w:eastAsia="Microsoft Sans Serif" w:hAnsi="Microsoft Sans Serif" w:cs="Microsoft Sans Serif"/>
          <w:szCs w:val="22"/>
        </w:rPr>
        <w:cr/>
      </w:r>
      <w:r w:rsidRPr="00AB5C02">
        <w:rPr>
          <w:rFonts w:ascii="Microsoft Sans Serif" w:eastAsia="Microsoft Sans Serif" w:hAnsi="Microsoft Sans Serif" w:cs="Microsoft Sans Serif"/>
          <w:b/>
          <w:bCs/>
          <w:szCs w:val="22"/>
        </w:rPr>
        <w:t>570-288-6441</w:t>
      </w:r>
      <w:r w:rsidRPr="00AB5C02">
        <w:rPr>
          <w:rFonts w:ascii="Microsoft Sans Serif" w:eastAsia="Microsoft Sans Serif" w:hAnsi="Microsoft Sans Serif" w:cs="Microsoft Sans Serif"/>
          <w:szCs w:val="22"/>
        </w:rPr>
        <w:cr/>
        <w:t>Accepts eService</w:t>
      </w:r>
    </w:p>
    <w:p w14:paraId="25C9BC93" w14:textId="77777777" w:rsidR="008C75A1" w:rsidRPr="00AB5C02" w:rsidRDefault="008C75A1" w:rsidP="008C75A1">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Representing Community Action Association of Pennsylvania</w:t>
      </w:r>
    </w:p>
    <w:p w14:paraId="475425C0" w14:textId="77777777" w:rsidR="008C75A1" w:rsidRPr="00AB5C02" w:rsidRDefault="008C75A1" w:rsidP="008C75A1">
      <w:pPr>
        <w:rPr>
          <w:rFonts w:ascii="Microsoft Sans Serif" w:eastAsia="Microsoft Sans Serif" w:hAnsi="Microsoft Sans Serif" w:cs="Microsoft Sans Serif"/>
          <w:i/>
          <w:iCs/>
          <w:szCs w:val="22"/>
        </w:rPr>
      </w:pPr>
      <w:r w:rsidRPr="00AB5C02">
        <w:rPr>
          <w:rFonts w:ascii="Microsoft Sans Serif" w:eastAsia="Microsoft Sans Serif" w:hAnsi="Microsoft Sans Serif" w:cs="Microsoft Sans Serif"/>
          <w:i/>
          <w:iCs/>
          <w:szCs w:val="22"/>
        </w:rPr>
        <w:t>Intervenor</w:t>
      </w:r>
    </w:p>
    <w:p w14:paraId="75681E21" w14:textId="59B0EBFC" w:rsidR="00716AAB" w:rsidRPr="00716AAB" w:rsidRDefault="00716AAB" w:rsidP="0092383A"/>
    <w:sectPr w:rsidR="00716AAB" w:rsidRPr="00716AAB" w:rsidSect="008C75A1">
      <w:type w:val="continuous"/>
      <w:pgSz w:w="12240" w:h="15840"/>
      <w:pgMar w:top="1440" w:right="180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D4F64" w14:textId="77777777" w:rsidR="00AC63DF" w:rsidRDefault="00AC63DF">
      <w:r>
        <w:separator/>
      </w:r>
    </w:p>
  </w:endnote>
  <w:endnote w:type="continuationSeparator" w:id="0">
    <w:p w14:paraId="3B999838" w14:textId="77777777" w:rsidR="00AC63DF" w:rsidRDefault="00AC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3584D" w14:textId="77777777" w:rsidR="00E224B9" w:rsidRDefault="00E224B9" w:rsidP="00274B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0F384B" w14:textId="77777777" w:rsidR="00E224B9" w:rsidRDefault="00E22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C2303" w14:textId="77777777" w:rsidR="00E224B9" w:rsidRPr="00735E34" w:rsidRDefault="00E224B9" w:rsidP="00274B35">
    <w:pPr>
      <w:pStyle w:val="Footer"/>
      <w:framePr w:wrap="around" w:vAnchor="text" w:hAnchor="margin" w:xAlign="center" w:y="1"/>
      <w:rPr>
        <w:rStyle w:val="PageNumber"/>
        <w:sz w:val="20"/>
        <w:szCs w:val="20"/>
      </w:rPr>
    </w:pPr>
    <w:r w:rsidRPr="00735E34">
      <w:rPr>
        <w:rStyle w:val="PageNumber"/>
        <w:sz w:val="20"/>
        <w:szCs w:val="20"/>
      </w:rPr>
      <w:fldChar w:fldCharType="begin"/>
    </w:r>
    <w:r w:rsidRPr="00735E34">
      <w:rPr>
        <w:rStyle w:val="PageNumber"/>
        <w:sz w:val="20"/>
        <w:szCs w:val="20"/>
      </w:rPr>
      <w:instrText xml:space="preserve">PAGE  </w:instrText>
    </w:r>
    <w:r w:rsidRPr="00735E34">
      <w:rPr>
        <w:rStyle w:val="PageNumber"/>
        <w:sz w:val="20"/>
        <w:szCs w:val="20"/>
      </w:rPr>
      <w:fldChar w:fldCharType="separate"/>
    </w:r>
    <w:r w:rsidR="005A0D59" w:rsidRPr="00735E34">
      <w:rPr>
        <w:rStyle w:val="PageNumber"/>
        <w:noProof/>
        <w:sz w:val="20"/>
        <w:szCs w:val="20"/>
      </w:rPr>
      <w:t>2</w:t>
    </w:r>
    <w:r w:rsidRPr="00735E34">
      <w:rPr>
        <w:rStyle w:val="PageNumber"/>
        <w:sz w:val="20"/>
        <w:szCs w:val="20"/>
      </w:rPr>
      <w:fldChar w:fldCharType="end"/>
    </w:r>
  </w:p>
  <w:p w14:paraId="1658068E" w14:textId="77777777" w:rsidR="00E224B9" w:rsidRDefault="00E22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90222" w14:textId="77777777" w:rsidR="008C75A1" w:rsidRPr="00A91A1C" w:rsidRDefault="008C75A1" w:rsidP="00274B35">
    <w:pPr>
      <w:pStyle w:val="Footer"/>
      <w:framePr w:wrap="around" w:vAnchor="text" w:hAnchor="margin" w:xAlign="center" w:y="1"/>
      <w:rPr>
        <w:rStyle w:val="PageNumber"/>
        <w:sz w:val="20"/>
        <w:szCs w:val="20"/>
      </w:rPr>
    </w:pPr>
  </w:p>
  <w:p w14:paraId="60137B7C" w14:textId="77777777" w:rsidR="008C75A1" w:rsidRDefault="008C75A1" w:rsidP="00AB5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54741" w14:textId="77777777" w:rsidR="00AC63DF" w:rsidRDefault="00AC63DF">
      <w:r>
        <w:separator/>
      </w:r>
    </w:p>
  </w:footnote>
  <w:footnote w:type="continuationSeparator" w:id="0">
    <w:p w14:paraId="4E50C78C" w14:textId="77777777" w:rsidR="00AC63DF" w:rsidRDefault="00AC63DF">
      <w:r>
        <w:continuationSeparator/>
      </w:r>
    </w:p>
  </w:footnote>
  <w:footnote w:id="1">
    <w:p w14:paraId="62F46CF9" w14:textId="3BA8ED4B" w:rsidR="007A7B71" w:rsidRDefault="007A7B71">
      <w:pPr>
        <w:pStyle w:val="FootnoteText"/>
      </w:pPr>
      <w:r>
        <w:rPr>
          <w:rStyle w:val="FootnoteReference"/>
        </w:rPr>
        <w:footnoteRef/>
      </w:r>
      <w:r>
        <w:t xml:space="preserve"> </w:t>
      </w:r>
      <w:r>
        <w:tab/>
      </w:r>
      <w:r w:rsidR="00CE1A53">
        <w:t xml:space="preserve">Columbia Gas did not object to three exhibits: </w:t>
      </w:r>
      <w:r>
        <w:t xml:space="preserve">Public Input Exhibit 2 (April 24, 2020 Press Release by Columbia Gas </w:t>
      </w:r>
      <w:r w:rsidR="005505B9">
        <w:t xml:space="preserve">of Pennsylvania, Inc. </w:t>
      </w:r>
      <w:r>
        <w:t xml:space="preserve">concerning current base rate request for investment in safety); Public Input Exhibit 3 (June 26, 2020 Press Release from NiSource concerning company </w:t>
      </w:r>
      <w:r w:rsidR="005505B9">
        <w:t xml:space="preserve">and subsidiary </w:t>
      </w:r>
      <w:r>
        <w:t xml:space="preserve">information for NiSource); and Public Input Exhibit 4 </w:t>
      </w:r>
      <w:r w:rsidR="000C5A69">
        <w:t>(</w:t>
      </w:r>
      <w:r w:rsidR="005505B9">
        <w:t xml:space="preserve">2018 publication of the American  Petroleum Institute, entitled </w:t>
      </w:r>
      <w:r w:rsidR="000C5A69" w:rsidRPr="00962C33">
        <w:rPr>
          <w:i/>
          <w:iCs/>
        </w:rPr>
        <w:t>Pipeline Safety Management Systems</w:t>
      </w:r>
      <w:r w:rsidR="000C5A69">
        <w:t>)</w:t>
      </w:r>
      <w:r>
        <w:t xml:space="preserve">.  </w:t>
      </w:r>
    </w:p>
    <w:p w14:paraId="35362661" w14:textId="77777777" w:rsidR="005505B9" w:rsidRDefault="005505B9">
      <w:pPr>
        <w:pStyle w:val="FootnoteText"/>
      </w:pPr>
    </w:p>
  </w:footnote>
  <w:footnote w:id="2">
    <w:p w14:paraId="5EC54149" w14:textId="7D5BEAE1" w:rsidR="00987FA5" w:rsidRPr="00555DE0" w:rsidRDefault="00987FA5">
      <w:pPr>
        <w:pStyle w:val="FootnoteText"/>
      </w:pPr>
      <w:r w:rsidRPr="00555DE0">
        <w:rPr>
          <w:rStyle w:val="FootnoteReference"/>
        </w:rPr>
        <w:footnoteRef/>
      </w:r>
      <w:r w:rsidRPr="00555DE0">
        <w:t xml:space="preserve"> </w:t>
      </w:r>
      <w:r w:rsidRPr="00555DE0">
        <w:tab/>
        <w:t>The witness highlighted some portions of the document.</w:t>
      </w:r>
    </w:p>
    <w:p w14:paraId="4A4EA82F" w14:textId="77777777" w:rsidR="00987FA5" w:rsidRPr="00555DE0" w:rsidRDefault="00987FA5">
      <w:pPr>
        <w:pStyle w:val="FootnoteText"/>
      </w:pPr>
    </w:p>
  </w:footnote>
  <w:footnote w:id="3">
    <w:p w14:paraId="6B41A385" w14:textId="4B332C95" w:rsidR="00555DE0" w:rsidRPr="00555DE0" w:rsidRDefault="00555DE0">
      <w:pPr>
        <w:pStyle w:val="FootnoteText"/>
      </w:pPr>
      <w:r w:rsidRPr="00555DE0">
        <w:rPr>
          <w:rStyle w:val="FootnoteReference"/>
        </w:rPr>
        <w:footnoteRef/>
      </w:r>
      <w:r w:rsidRPr="00555DE0">
        <w:t xml:space="preserve"> </w:t>
      </w:r>
      <w:r w:rsidRPr="00555DE0">
        <w:tab/>
      </w:r>
      <w:r w:rsidRPr="00555DE0">
        <w:rPr>
          <w:i/>
          <w:iCs/>
        </w:rPr>
        <w:t>Com. v. Scott</w:t>
      </w:r>
      <w:r w:rsidRPr="00555DE0">
        <w:t>, 389 A.2d 79 (1978).</w:t>
      </w:r>
    </w:p>
    <w:p w14:paraId="054235A9" w14:textId="77777777" w:rsidR="00555DE0" w:rsidRPr="00555DE0" w:rsidRDefault="00555DE0">
      <w:pPr>
        <w:pStyle w:val="FootnoteText"/>
      </w:pPr>
    </w:p>
  </w:footnote>
  <w:footnote w:id="4">
    <w:p w14:paraId="496E0A76" w14:textId="571395F9" w:rsidR="00555DE0" w:rsidRDefault="00555DE0">
      <w:pPr>
        <w:pStyle w:val="FootnoteText"/>
      </w:pPr>
      <w:r w:rsidRPr="00555DE0">
        <w:rPr>
          <w:rStyle w:val="FootnoteReference"/>
        </w:rPr>
        <w:footnoteRef/>
      </w:r>
      <w:r w:rsidRPr="00555DE0">
        <w:t xml:space="preserve"> </w:t>
      </w:r>
      <w:r w:rsidRPr="00555DE0">
        <w:tab/>
        <w:t xml:space="preserve">66 Pa.C.S.A. § 332(b).  </w:t>
      </w:r>
    </w:p>
    <w:p w14:paraId="256D545D" w14:textId="77777777" w:rsidR="00962C33" w:rsidRPr="00555DE0" w:rsidRDefault="00962C33">
      <w:pPr>
        <w:pStyle w:val="FootnoteText"/>
      </w:pPr>
    </w:p>
  </w:footnote>
  <w:footnote w:id="5">
    <w:p w14:paraId="0C0EC8B2" w14:textId="6DCF7510" w:rsidR="00F90E8A" w:rsidRDefault="00F90E8A">
      <w:pPr>
        <w:pStyle w:val="FootnoteText"/>
      </w:pPr>
      <w:r>
        <w:rPr>
          <w:rStyle w:val="FootnoteReference"/>
        </w:rPr>
        <w:footnoteRef/>
      </w:r>
      <w:r>
        <w:t xml:space="preserve"> </w:t>
      </w:r>
      <w:r>
        <w:tab/>
      </w:r>
      <w:r w:rsidR="00EB5502">
        <w:t xml:space="preserve">Pa. </w:t>
      </w:r>
      <w:proofErr w:type="spellStart"/>
      <w:r w:rsidR="00EB5502">
        <w:t>R.E</w:t>
      </w:r>
      <w:proofErr w:type="spellEnd"/>
      <w:r w:rsidR="00EB5502">
        <w:t xml:space="preserve">. § 403; </w:t>
      </w:r>
      <w:r>
        <w:t>Parr v</w:t>
      </w:r>
      <w:r w:rsidR="00EB5502">
        <w:t>.</w:t>
      </w:r>
      <w:r>
        <w:t xml:space="preserve"> Ford Motor Co., 109 A.3d 682 (</w:t>
      </w:r>
      <w:proofErr w:type="spellStart"/>
      <w:r>
        <w:t>Pa.Super</w:t>
      </w:r>
      <w:proofErr w:type="spellEnd"/>
      <w:proofErr w:type="gramStart"/>
      <w:r>
        <w:t xml:space="preserve">. </w:t>
      </w:r>
      <w:proofErr w:type="gramEnd"/>
      <w:r>
        <w:t>2014).</w:t>
      </w:r>
    </w:p>
    <w:p w14:paraId="53D4E766" w14:textId="77777777" w:rsidR="00F90E8A" w:rsidRDefault="00F90E8A">
      <w:pPr>
        <w:pStyle w:val="FootnoteText"/>
      </w:pPr>
    </w:p>
  </w:footnote>
  <w:footnote w:id="6">
    <w:p w14:paraId="2D36D8B5" w14:textId="6100EA03" w:rsidR="00555DE0" w:rsidRPr="00555DE0" w:rsidRDefault="00555DE0">
      <w:pPr>
        <w:pStyle w:val="FootnoteText"/>
      </w:pPr>
      <w:r w:rsidRPr="00555DE0">
        <w:rPr>
          <w:rStyle w:val="FootnoteReference"/>
        </w:rPr>
        <w:footnoteRef/>
      </w:r>
      <w:r w:rsidRPr="00555DE0">
        <w:t xml:space="preserve"> </w:t>
      </w:r>
      <w:r w:rsidRPr="00555DE0">
        <w:tab/>
        <w:t>Pa.R.E. § 401.</w:t>
      </w:r>
    </w:p>
    <w:p w14:paraId="7B1E67E0" w14:textId="77777777" w:rsidR="00555DE0" w:rsidRPr="00555DE0" w:rsidRDefault="00555DE0">
      <w:pPr>
        <w:pStyle w:val="FootnoteText"/>
      </w:pPr>
    </w:p>
  </w:footnote>
  <w:footnote w:id="7">
    <w:p w14:paraId="0B149BD1" w14:textId="149FDEE0" w:rsidR="009D56EE" w:rsidRDefault="009D56EE">
      <w:pPr>
        <w:pStyle w:val="FootnoteText"/>
      </w:pPr>
      <w:r>
        <w:rPr>
          <w:rStyle w:val="FootnoteReference"/>
        </w:rPr>
        <w:footnoteRef/>
      </w:r>
      <w:r>
        <w:t xml:space="preserve"> </w:t>
      </w:r>
      <w:r>
        <w:tab/>
        <w:t>Pa.R.E. § 801.</w:t>
      </w:r>
    </w:p>
    <w:p w14:paraId="54360620" w14:textId="77777777" w:rsidR="009D56EE" w:rsidRDefault="009D56EE">
      <w:pPr>
        <w:pStyle w:val="FootnoteText"/>
      </w:pPr>
    </w:p>
  </w:footnote>
  <w:footnote w:id="8">
    <w:p w14:paraId="5787F62C" w14:textId="5C97D65E" w:rsidR="009D56EE" w:rsidRDefault="009D56EE">
      <w:pPr>
        <w:pStyle w:val="FootnoteText"/>
      </w:pPr>
      <w:r>
        <w:rPr>
          <w:rStyle w:val="FootnoteReference"/>
        </w:rPr>
        <w:footnoteRef/>
      </w:r>
      <w:r>
        <w:t xml:space="preserve"> </w:t>
      </w:r>
      <w:r>
        <w:tab/>
        <w:t>Pa.R.E. § 803.</w:t>
      </w:r>
    </w:p>
    <w:p w14:paraId="4807B16F" w14:textId="77777777" w:rsidR="009D56EE" w:rsidRDefault="009D56EE">
      <w:pPr>
        <w:pStyle w:val="FootnoteText"/>
      </w:pPr>
    </w:p>
  </w:footnote>
  <w:footnote w:id="9">
    <w:p w14:paraId="7214773A" w14:textId="02D1B846" w:rsidR="00833011" w:rsidRPr="00555DE0" w:rsidRDefault="00833011">
      <w:pPr>
        <w:pStyle w:val="FootnoteText"/>
      </w:pPr>
      <w:r w:rsidRPr="00555DE0">
        <w:rPr>
          <w:rStyle w:val="FootnoteReference"/>
        </w:rPr>
        <w:footnoteRef/>
      </w:r>
      <w:r w:rsidRPr="00555DE0">
        <w:t xml:space="preserve"> </w:t>
      </w:r>
      <w:r w:rsidRPr="00555DE0">
        <w:tab/>
      </w:r>
      <w:r w:rsidRPr="00555DE0">
        <w:rPr>
          <w:i/>
        </w:rPr>
        <w:t xml:space="preserve">Walker v. Unemployment Compensation Board of Review, </w:t>
      </w:r>
      <w:r w:rsidRPr="00555DE0">
        <w:t>367 A.2d 366, 370 (Pa. Cmwlth. 1976).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418E9"/>
    <w:rsid w:val="0007225C"/>
    <w:rsid w:val="00096EFF"/>
    <w:rsid w:val="000C5A69"/>
    <w:rsid w:val="00104540"/>
    <w:rsid w:val="001814F0"/>
    <w:rsid w:val="00187200"/>
    <w:rsid w:val="001977CE"/>
    <w:rsid w:val="001E2E86"/>
    <w:rsid w:val="001F22AC"/>
    <w:rsid w:val="002004DE"/>
    <w:rsid w:val="0020190B"/>
    <w:rsid w:val="00205198"/>
    <w:rsid w:val="00253591"/>
    <w:rsid w:val="00270D4B"/>
    <w:rsid w:val="00274B35"/>
    <w:rsid w:val="00292448"/>
    <w:rsid w:val="0029613E"/>
    <w:rsid w:val="002D7359"/>
    <w:rsid w:val="002F56A9"/>
    <w:rsid w:val="003711EC"/>
    <w:rsid w:val="00386A34"/>
    <w:rsid w:val="003A2704"/>
    <w:rsid w:val="003A5378"/>
    <w:rsid w:val="00401027"/>
    <w:rsid w:val="004156CE"/>
    <w:rsid w:val="00435E52"/>
    <w:rsid w:val="00471D1D"/>
    <w:rsid w:val="004B22D0"/>
    <w:rsid w:val="004D0DAF"/>
    <w:rsid w:val="004D46CE"/>
    <w:rsid w:val="00507230"/>
    <w:rsid w:val="00516400"/>
    <w:rsid w:val="00516763"/>
    <w:rsid w:val="00537BC1"/>
    <w:rsid w:val="005505B9"/>
    <w:rsid w:val="00550DF0"/>
    <w:rsid w:val="00555DE0"/>
    <w:rsid w:val="00564827"/>
    <w:rsid w:val="00571271"/>
    <w:rsid w:val="005921E9"/>
    <w:rsid w:val="005A0D59"/>
    <w:rsid w:val="005B6850"/>
    <w:rsid w:val="005C0B3E"/>
    <w:rsid w:val="005D4351"/>
    <w:rsid w:val="00602C40"/>
    <w:rsid w:val="006224F3"/>
    <w:rsid w:val="00654D63"/>
    <w:rsid w:val="00670CD6"/>
    <w:rsid w:val="006A1AF7"/>
    <w:rsid w:val="006B7E24"/>
    <w:rsid w:val="006C14B7"/>
    <w:rsid w:val="00705E4B"/>
    <w:rsid w:val="0070657B"/>
    <w:rsid w:val="00716AAB"/>
    <w:rsid w:val="007223D9"/>
    <w:rsid w:val="00735E34"/>
    <w:rsid w:val="007826B0"/>
    <w:rsid w:val="007A7B71"/>
    <w:rsid w:val="007B6BEC"/>
    <w:rsid w:val="007E7DBF"/>
    <w:rsid w:val="00833011"/>
    <w:rsid w:val="008430ED"/>
    <w:rsid w:val="00886269"/>
    <w:rsid w:val="008A65C4"/>
    <w:rsid w:val="008B59DD"/>
    <w:rsid w:val="008B6BE9"/>
    <w:rsid w:val="008C5FD9"/>
    <w:rsid w:val="008C75A1"/>
    <w:rsid w:val="008D425F"/>
    <w:rsid w:val="0092383A"/>
    <w:rsid w:val="00961B88"/>
    <w:rsid w:val="00962C33"/>
    <w:rsid w:val="00985BC3"/>
    <w:rsid w:val="00987FA5"/>
    <w:rsid w:val="00992419"/>
    <w:rsid w:val="00992D29"/>
    <w:rsid w:val="009A2F6E"/>
    <w:rsid w:val="009B003D"/>
    <w:rsid w:val="009D232A"/>
    <w:rsid w:val="009D56EE"/>
    <w:rsid w:val="009D604F"/>
    <w:rsid w:val="009E0730"/>
    <w:rsid w:val="00A0654D"/>
    <w:rsid w:val="00A547C8"/>
    <w:rsid w:val="00A730AC"/>
    <w:rsid w:val="00A9292E"/>
    <w:rsid w:val="00A933FA"/>
    <w:rsid w:val="00A96E66"/>
    <w:rsid w:val="00AC63DF"/>
    <w:rsid w:val="00AF7C06"/>
    <w:rsid w:val="00B110C8"/>
    <w:rsid w:val="00B1451C"/>
    <w:rsid w:val="00B2156C"/>
    <w:rsid w:val="00B456F7"/>
    <w:rsid w:val="00B56BE0"/>
    <w:rsid w:val="00B57879"/>
    <w:rsid w:val="00B96302"/>
    <w:rsid w:val="00BB2693"/>
    <w:rsid w:val="00BB6928"/>
    <w:rsid w:val="00BD17FA"/>
    <w:rsid w:val="00BE4CD2"/>
    <w:rsid w:val="00C13586"/>
    <w:rsid w:val="00C216CA"/>
    <w:rsid w:val="00C65F4B"/>
    <w:rsid w:val="00CB3BE0"/>
    <w:rsid w:val="00CE1A53"/>
    <w:rsid w:val="00D000A3"/>
    <w:rsid w:val="00D25875"/>
    <w:rsid w:val="00D42AE2"/>
    <w:rsid w:val="00D533D3"/>
    <w:rsid w:val="00D604D8"/>
    <w:rsid w:val="00D7056B"/>
    <w:rsid w:val="00D90DC6"/>
    <w:rsid w:val="00DC7E90"/>
    <w:rsid w:val="00DD104E"/>
    <w:rsid w:val="00DF69FD"/>
    <w:rsid w:val="00E20EB7"/>
    <w:rsid w:val="00E224B9"/>
    <w:rsid w:val="00E54C89"/>
    <w:rsid w:val="00EB5502"/>
    <w:rsid w:val="00EE5A8F"/>
    <w:rsid w:val="00EF0B1E"/>
    <w:rsid w:val="00F058A6"/>
    <w:rsid w:val="00F17C43"/>
    <w:rsid w:val="00F2220C"/>
    <w:rsid w:val="00F270AE"/>
    <w:rsid w:val="00F35CDE"/>
    <w:rsid w:val="00F61C5C"/>
    <w:rsid w:val="00F83A78"/>
    <w:rsid w:val="00F866BD"/>
    <w:rsid w:val="00F90E8A"/>
    <w:rsid w:val="00F921BD"/>
    <w:rsid w:val="00FC7E6E"/>
    <w:rsid w:val="00FD192C"/>
    <w:rsid w:val="00FE72FE"/>
    <w:rsid w:val="00FF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481B7EA"/>
  <w15:chartTrackingRefBased/>
  <w15:docId w15:val="{BAFF9A41-74C0-48DB-B0BB-4160E4DB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225C"/>
    <w:pPr>
      <w:tabs>
        <w:tab w:val="center" w:pos="4320"/>
        <w:tab w:val="right" w:pos="8640"/>
      </w:tabs>
    </w:pPr>
  </w:style>
  <w:style w:type="character" w:styleId="PageNumber">
    <w:name w:val="page number"/>
    <w:basedOn w:val="DefaultParagraphFont"/>
    <w:rsid w:val="0007225C"/>
  </w:style>
  <w:style w:type="paragraph" w:styleId="NormalWeb">
    <w:name w:val="Normal (Web)"/>
    <w:basedOn w:val="Normal"/>
    <w:uiPriority w:val="99"/>
    <w:unhideWhenUsed/>
    <w:rsid w:val="006224F3"/>
    <w:pPr>
      <w:spacing w:before="100" w:beforeAutospacing="1" w:after="100" w:afterAutospacing="1"/>
    </w:pPr>
  </w:style>
  <w:style w:type="paragraph" w:styleId="FootnoteText">
    <w:name w:val="footnote text"/>
    <w:basedOn w:val="Normal"/>
    <w:link w:val="FootnoteTextChar"/>
    <w:rsid w:val="00833011"/>
    <w:rPr>
      <w:sz w:val="20"/>
      <w:szCs w:val="20"/>
    </w:rPr>
  </w:style>
  <w:style w:type="character" w:customStyle="1" w:styleId="FootnoteTextChar">
    <w:name w:val="Footnote Text Char"/>
    <w:basedOn w:val="DefaultParagraphFont"/>
    <w:link w:val="FootnoteText"/>
    <w:rsid w:val="00833011"/>
  </w:style>
  <w:style w:type="character" w:styleId="FootnoteReference">
    <w:name w:val="footnote reference"/>
    <w:rsid w:val="00833011"/>
    <w:rPr>
      <w:vertAlign w:val="superscript"/>
    </w:rPr>
  </w:style>
  <w:style w:type="paragraph" w:styleId="BalloonText">
    <w:name w:val="Balloon Text"/>
    <w:basedOn w:val="Normal"/>
    <w:link w:val="BalloonTextChar"/>
    <w:rsid w:val="00992D29"/>
    <w:rPr>
      <w:rFonts w:ascii="Segoe UI" w:hAnsi="Segoe UI" w:cs="Segoe UI"/>
      <w:sz w:val="18"/>
      <w:szCs w:val="18"/>
    </w:rPr>
  </w:style>
  <w:style w:type="character" w:customStyle="1" w:styleId="BalloonTextChar">
    <w:name w:val="Balloon Text Char"/>
    <w:link w:val="BalloonText"/>
    <w:rsid w:val="00992D29"/>
    <w:rPr>
      <w:rFonts w:ascii="Segoe UI" w:hAnsi="Segoe UI" w:cs="Segoe UI"/>
      <w:sz w:val="18"/>
      <w:szCs w:val="18"/>
    </w:rPr>
  </w:style>
  <w:style w:type="paragraph" w:styleId="Header">
    <w:name w:val="header"/>
    <w:basedOn w:val="Normal"/>
    <w:link w:val="HeaderChar"/>
    <w:rsid w:val="00735E34"/>
    <w:pPr>
      <w:tabs>
        <w:tab w:val="center" w:pos="4680"/>
        <w:tab w:val="right" w:pos="9360"/>
      </w:tabs>
    </w:pPr>
  </w:style>
  <w:style w:type="character" w:customStyle="1" w:styleId="HeaderChar">
    <w:name w:val="Header Char"/>
    <w:basedOn w:val="DefaultParagraphFont"/>
    <w:link w:val="Header"/>
    <w:rsid w:val="00735E34"/>
    <w:rPr>
      <w:sz w:val="24"/>
      <w:szCs w:val="24"/>
    </w:rPr>
  </w:style>
  <w:style w:type="character" w:customStyle="1" w:styleId="FooterChar">
    <w:name w:val="Footer Char"/>
    <w:link w:val="Footer"/>
    <w:uiPriority w:val="99"/>
    <w:rsid w:val="008C75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98886">
      <w:bodyDiv w:val="1"/>
      <w:marLeft w:val="0"/>
      <w:marRight w:val="0"/>
      <w:marTop w:val="0"/>
      <w:marBottom w:val="0"/>
      <w:divBdr>
        <w:top w:val="none" w:sz="0" w:space="0" w:color="auto"/>
        <w:left w:val="none" w:sz="0" w:space="0" w:color="auto"/>
        <w:bottom w:val="none" w:sz="0" w:space="0" w:color="auto"/>
        <w:right w:val="none" w:sz="0" w:space="0" w:color="auto"/>
      </w:divBdr>
      <w:divsChild>
        <w:div w:id="1831746304">
          <w:marLeft w:val="0"/>
          <w:marRight w:val="0"/>
          <w:marTop w:val="0"/>
          <w:marBottom w:val="0"/>
          <w:divBdr>
            <w:top w:val="none" w:sz="0" w:space="0" w:color="auto"/>
            <w:left w:val="none" w:sz="0" w:space="0" w:color="auto"/>
            <w:bottom w:val="none" w:sz="0" w:space="0" w:color="auto"/>
            <w:right w:val="none" w:sz="0" w:space="0" w:color="auto"/>
          </w:divBdr>
          <w:divsChild>
            <w:div w:id="1162552088">
              <w:marLeft w:val="-225"/>
              <w:marRight w:val="-225"/>
              <w:marTop w:val="0"/>
              <w:marBottom w:val="0"/>
              <w:divBdr>
                <w:top w:val="none" w:sz="0" w:space="0" w:color="auto"/>
                <w:left w:val="none" w:sz="0" w:space="0" w:color="auto"/>
                <w:bottom w:val="none" w:sz="0" w:space="0" w:color="auto"/>
                <w:right w:val="none" w:sz="0" w:space="0" w:color="auto"/>
              </w:divBdr>
              <w:divsChild>
                <w:div w:id="2030174930">
                  <w:marLeft w:val="0"/>
                  <w:marRight w:val="0"/>
                  <w:marTop w:val="0"/>
                  <w:marBottom w:val="0"/>
                  <w:divBdr>
                    <w:top w:val="none" w:sz="0" w:space="0" w:color="auto"/>
                    <w:left w:val="none" w:sz="0" w:space="0" w:color="auto"/>
                    <w:bottom w:val="none" w:sz="0" w:space="0" w:color="auto"/>
                    <w:right w:val="none" w:sz="0" w:space="0" w:color="auto"/>
                  </w:divBdr>
                  <w:divsChild>
                    <w:div w:id="1675377661">
                      <w:marLeft w:val="0"/>
                      <w:marRight w:val="0"/>
                      <w:marTop w:val="0"/>
                      <w:marBottom w:val="0"/>
                      <w:divBdr>
                        <w:top w:val="none" w:sz="0" w:space="0" w:color="auto"/>
                        <w:left w:val="none" w:sz="0" w:space="0" w:color="auto"/>
                        <w:bottom w:val="none" w:sz="0" w:space="0" w:color="auto"/>
                        <w:right w:val="none" w:sz="0" w:space="0" w:color="auto"/>
                      </w:divBdr>
                      <w:divsChild>
                        <w:div w:id="110978308">
                          <w:marLeft w:val="0"/>
                          <w:marRight w:val="0"/>
                          <w:marTop w:val="0"/>
                          <w:marBottom w:val="0"/>
                          <w:divBdr>
                            <w:top w:val="none" w:sz="0" w:space="0" w:color="auto"/>
                            <w:left w:val="none" w:sz="0" w:space="0" w:color="auto"/>
                            <w:bottom w:val="none" w:sz="0" w:space="0" w:color="auto"/>
                            <w:right w:val="none" w:sz="0" w:space="0" w:color="auto"/>
                          </w:divBdr>
                          <w:divsChild>
                            <w:div w:id="1468937897">
                              <w:marLeft w:val="0"/>
                              <w:marRight w:val="0"/>
                              <w:marTop w:val="0"/>
                              <w:marBottom w:val="0"/>
                              <w:divBdr>
                                <w:top w:val="none" w:sz="0" w:space="0" w:color="auto"/>
                                <w:left w:val="none" w:sz="0" w:space="0" w:color="auto"/>
                                <w:bottom w:val="none" w:sz="0" w:space="0" w:color="auto"/>
                                <w:right w:val="none" w:sz="0" w:space="0" w:color="auto"/>
                              </w:divBdr>
                              <w:divsChild>
                                <w:div w:id="1308171792">
                                  <w:marLeft w:val="0"/>
                                  <w:marRight w:val="0"/>
                                  <w:marTop w:val="0"/>
                                  <w:marBottom w:val="0"/>
                                  <w:divBdr>
                                    <w:top w:val="none" w:sz="0" w:space="0" w:color="auto"/>
                                    <w:left w:val="none" w:sz="0" w:space="0" w:color="auto"/>
                                    <w:bottom w:val="none" w:sz="0" w:space="0" w:color="auto"/>
                                    <w:right w:val="none" w:sz="0" w:space="0" w:color="auto"/>
                                  </w:divBdr>
                                  <w:divsChild>
                                    <w:div w:id="14848125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ray@pa.gov"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D5208-C36C-442E-BDF6-A0406F4A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3276</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Miskanic, Nicholas</cp:lastModifiedBy>
  <cp:revision>4</cp:revision>
  <cp:lastPrinted>2020-08-08T20:17:00Z</cp:lastPrinted>
  <dcterms:created xsi:type="dcterms:W3CDTF">2020-08-13T19:05:00Z</dcterms:created>
  <dcterms:modified xsi:type="dcterms:W3CDTF">2020-08-13T19:07:00Z</dcterms:modified>
</cp:coreProperties>
</file>