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792E" w14:textId="77777777" w:rsidR="00F14E4C" w:rsidRPr="0055259C" w:rsidRDefault="00F14E4C" w:rsidP="00590FE7">
      <w:pPr>
        <w:spacing w:line="240" w:lineRule="auto"/>
        <w:ind w:firstLine="0"/>
        <w:jc w:val="center"/>
        <w:rPr>
          <w:b/>
          <w:sz w:val="26"/>
          <w:szCs w:val="26"/>
        </w:rPr>
      </w:pPr>
      <w:r w:rsidRPr="0055259C">
        <w:rPr>
          <w:b/>
          <w:sz w:val="26"/>
          <w:szCs w:val="26"/>
        </w:rPr>
        <w:t>PENNSYLVANIA</w:t>
      </w:r>
    </w:p>
    <w:p w14:paraId="2C36D26C" w14:textId="77777777" w:rsidR="00F14E4C" w:rsidRPr="0055259C" w:rsidRDefault="00F14E4C" w:rsidP="00590FE7">
      <w:pPr>
        <w:spacing w:line="240" w:lineRule="auto"/>
        <w:ind w:firstLine="0"/>
        <w:jc w:val="center"/>
        <w:rPr>
          <w:sz w:val="26"/>
          <w:szCs w:val="26"/>
        </w:rPr>
      </w:pPr>
      <w:r w:rsidRPr="0055259C">
        <w:rPr>
          <w:b/>
          <w:sz w:val="26"/>
          <w:szCs w:val="26"/>
        </w:rPr>
        <w:t>PUBLIC UTILITY COMMISSION</w:t>
      </w:r>
    </w:p>
    <w:p w14:paraId="4E33449D" w14:textId="77777777" w:rsidR="00F14E4C" w:rsidRPr="0055259C" w:rsidRDefault="00F14E4C" w:rsidP="00590FE7">
      <w:pPr>
        <w:spacing w:line="240" w:lineRule="auto"/>
        <w:ind w:firstLine="0"/>
        <w:jc w:val="center"/>
        <w:rPr>
          <w:b/>
          <w:sz w:val="26"/>
          <w:szCs w:val="26"/>
        </w:rPr>
      </w:pPr>
      <w:r w:rsidRPr="0055259C">
        <w:rPr>
          <w:b/>
          <w:sz w:val="26"/>
          <w:szCs w:val="26"/>
        </w:rPr>
        <w:t>Harrisburg, PA 171</w:t>
      </w:r>
      <w:r w:rsidR="0070281A" w:rsidRPr="0055259C">
        <w:rPr>
          <w:b/>
          <w:sz w:val="26"/>
          <w:szCs w:val="26"/>
        </w:rPr>
        <w:t>20</w:t>
      </w:r>
    </w:p>
    <w:p w14:paraId="1FDC0A89" w14:textId="579E86EF" w:rsidR="00601798" w:rsidRDefault="00601798" w:rsidP="00085B91">
      <w:pPr>
        <w:spacing w:line="240" w:lineRule="auto"/>
        <w:ind w:firstLine="0"/>
        <w:rPr>
          <w:sz w:val="26"/>
          <w:szCs w:val="26"/>
        </w:rPr>
      </w:pPr>
    </w:p>
    <w:p w14:paraId="77AB695F" w14:textId="77777777" w:rsidR="00967B68" w:rsidRPr="0055259C" w:rsidRDefault="00967B68" w:rsidP="00085B91">
      <w:pPr>
        <w:spacing w:line="240" w:lineRule="auto"/>
        <w:ind w:firstLine="0"/>
        <w:rPr>
          <w:sz w:val="26"/>
          <w:szCs w:val="26"/>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631"/>
      </w:tblGrid>
      <w:tr w:rsidR="00085B91" w:rsidRPr="00276B2B" w14:paraId="534567FE" w14:textId="77777777" w:rsidTr="00C555CB">
        <w:trPr>
          <w:jc w:val="center"/>
        </w:trPr>
        <w:tc>
          <w:tcPr>
            <w:tcW w:w="4819" w:type="dxa"/>
          </w:tcPr>
          <w:p w14:paraId="578CF8E5" w14:textId="77777777" w:rsidR="00085B91" w:rsidRPr="00276B2B" w:rsidRDefault="00085B91" w:rsidP="00590FE7">
            <w:pPr>
              <w:ind w:firstLine="0"/>
              <w:rPr>
                <w:sz w:val="26"/>
                <w:szCs w:val="26"/>
              </w:rPr>
            </w:pPr>
          </w:p>
        </w:tc>
        <w:tc>
          <w:tcPr>
            <w:tcW w:w="4631" w:type="dxa"/>
          </w:tcPr>
          <w:p w14:paraId="56353BD6" w14:textId="77777777" w:rsidR="00085B91" w:rsidRPr="00276B2B" w:rsidRDefault="00085B91" w:rsidP="00085B91">
            <w:pPr>
              <w:ind w:firstLine="0"/>
              <w:jc w:val="right"/>
              <w:rPr>
                <w:sz w:val="26"/>
                <w:szCs w:val="26"/>
              </w:rPr>
            </w:pPr>
            <w:r w:rsidRPr="00276B2B">
              <w:rPr>
                <w:sz w:val="26"/>
                <w:szCs w:val="26"/>
              </w:rPr>
              <w:t xml:space="preserve">Public Meeting held </w:t>
            </w:r>
            <w:r w:rsidR="00E415E4">
              <w:rPr>
                <w:sz w:val="26"/>
                <w:szCs w:val="26"/>
              </w:rPr>
              <w:t>August 6</w:t>
            </w:r>
            <w:r w:rsidRPr="00276B2B">
              <w:rPr>
                <w:sz w:val="26"/>
                <w:szCs w:val="26"/>
              </w:rPr>
              <w:t>, 2020</w:t>
            </w:r>
          </w:p>
        </w:tc>
      </w:tr>
      <w:tr w:rsidR="0055259C" w:rsidRPr="00276B2B" w14:paraId="095D10A8" w14:textId="77777777" w:rsidTr="00C555CB">
        <w:trPr>
          <w:jc w:val="center"/>
        </w:trPr>
        <w:tc>
          <w:tcPr>
            <w:tcW w:w="4819" w:type="dxa"/>
          </w:tcPr>
          <w:p w14:paraId="28B360A7" w14:textId="05F64698" w:rsidR="00EE6739" w:rsidRDefault="00EE6739" w:rsidP="00590FE7">
            <w:pPr>
              <w:ind w:firstLine="0"/>
              <w:rPr>
                <w:sz w:val="26"/>
                <w:szCs w:val="26"/>
              </w:rPr>
            </w:pPr>
          </w:p>
          <w:p w14:paraId="53FEEA0B" w14:textId="77777777" w:rsidR="00967B68" w:rsidRPr="00276B2B" w:rsidRDefault="00967B68" w:rsidP="00590FE7">
            <w:pPr>
              <w:ind w:firstLine="0"/>
              <w:rPr>
                <w:sz w:val="26"/>
                <w:szCs w:val="26"/>
              </w:rPr>
            </w:pPr>
          </w:p>
          <w:p w14:paraId="048FB74B" w14:textId="77777777" w:rsidR="00EE6739" w:rsidRPr="00276B2B" w:rsidRDefault="00EE6739" w:rsidP="00590FE7">
            <w:pPr>
              <w:ind w:firstLine="0"/>
              <w:rPr>
                <w:sz w:val="26"/>
                <w:szCs w:val="26"/>
              </w:rPr>
            </w:pPr>
            <w:r w:rsidRPr="00276B2B">
              <w:rPr>
                <w:sz w:val="26"/>
                <w:szCs w:val="26"/>
              </w:rPr>
              <w:t>Commissioners Present:</w:t>
            </w:r>
          </w:p>
          <w:p w14:paraId="18777CCF" w14:textId="77777777" w:rsidR="00EE6739" w:rsidRPr="00276B2B" w:rsidRDefault="00EE6739" w:rsidP="00590FE7">
            <w:pPr>
              <w:ind w:firstLine="0"/>
              <w:rPr>
                <w:sz w:val="26"/>
                <w:szCs w:val="26"/>
              </w:rPr>
            </w:pPr>
          </w:p>
          <w:p w14:paraId="3AFBCC65" w14:textId="77777777" w:rsidR="00EE6739" w:rsidRPr="00276B2B" w:rsidRDefault="00EE6739" w:rsidP="00590FE7">
            <w:pPr>
              <w:ind w:firstLine="0"/>
              <w:rPr>
                <w:sz w:val="26"/>
                <w:szCs w:val="26"/>
              </w:rPr>
            </w:pPr>
            <w:r w:rsidRPr="00276B2B">
              <w:rPr>
                <w:sz w:val="26"/>
                <w:szCs w:val="26"/>
              </w:rPr>
              <w:t>Gladys Brown Dutrieuille, Chairman</w:t>
            </w:r>
          </w:p>
          <w:p w14:paraId="68DD0532" w14:textId="77777777" w:rsidR="00EE6739" w:rsidRPr="00276B2B" w:rsidRDefault="00EE6739" w:rsidP="00590FE7">
            <w:pPr>
              <w:ind w:firstLine="0"/>
              <w:rPr>
                <w:sz w:val="26"/>
                <w:szCs w:val="26"/>
              </w:rPr>
            </w:pPr>
            <w:r w:rsidRPr="00276B2B">
              <w:rPr>
                <w:sz w:val="26"/>
                <w:szCs w:val="26"/>
              </w:rPr>
              <w:t>David W. Sweet, Vice Chairman</w:t>
            </w:r>
          </w:p>
          <w:p w14:paraId="021D4C73" w14:textId="77777777" w:rsidR="00EE6739" w:rsidRPr="00276B2B" w:rsidRDefault="00EE6739" w:rsidP="00590FE7">
            <w:pPr>
              <w:ind w:firstLine="0"/>
              <w:rPr>
                <w:sz w:val="26"/>
                <w:szCs w:val="26"/>
              </w:rPr>
            </w:pPr>
            <w:r w:rsidRPr="00276B2B">
              <w:rPr>
                <w:sz w:val="26"/>
                <w:szCs w:val="26"/>
              </w:rPr>
              <w:t xml:space="preserve">John F. Coleman, Jr. </w:t>
            </w:r>
          </w:p>
          <w:p w14:paraId="390A7FDD" w14:textId="77777777" w:rsidR="00EE6739" w:rsidRPr="00276B2B" w:rsidRDefault="00EE6739" w:rsidP="00590FE7">
            <w:pPr>
              <w:ind w:firstLine="0"/>
              <w:rPr>
                <w:sz w:val="26"/>
                <w:szCs w:val="26"/>
              </w:rPr>
            </w:pPr>
            <w:r w:rsidRPr="00276B2B">
              <w:rPr>
                <w:sz w:val="26"/>
                <w:szCs w:val="26"/>
              </w:rPr>
              <w:t>Ralph V. Yanora</w:t>
            </w:r>
          </w:p>
          <w:p w14:paraId="62D821F1" w14:textId="77777777" w:rsidR="00EE6739" w:rsidRPr="00276B2B" w:rsidRDefault="00EE6739" w:rsidP="00590FE7">
            <w:pPr>
              <w:ind w:firstLine="0"/>
              <w:rPr>
                <w:sz w:val="26"/>
                <w:szCs w:val="26"/>
              </w:rPr>
            </w:pPr>
          </w:p>
          <w:p w14:paraId="189B1789" w14:textId="77777777" w:rsidR="00E17AF2" w:rsidRPr="00276B2B" w:rsidRDefault="00E17AF2" w:rsidP="00590FE7">
            <w:pPr>
              <w:ind w:firstLine="0"/>
              <w:rPr>
                <w:sz w:val="26"/>
                <w:szCs w:val="26"/>
              </w:rPr>
            </w:pPr>
          </w:p>
        </w:tc>
        <w:tc>
          <w:tcPr>
            <w:tcW w:w="4631" w:type="dxa"/>
          </w:tcPr>
          <w:p w14:paraId="10E29559" w14:textId="77777777" w:rsidR="00EE6739" w:rsidRPr="00276B2B" w:rsidRDefault="00EE6739" w:rsidP="00590FE7">
            <w:pPr>
              <w:ind w:firstLine="0"/>
              <w:rPr>
                <w:sz w:val="26"/>
                <w:szCs w:val="26"/>
              </w:rPr>
            </w:pPr>
          </w:p>
          <w:p w14:paraId="5F88421C" w14:textId="77777777" w:rsidR="00EE6739" w:rsidRPr="00276B2B" w:rsidRDefault="00EE6739" w:rsidP="00590FE7">
            <w:pPr>
              <w:ind w:firstLine="0"/>
              <w:rPr>
                <w:sz w:val="26"/>
                <w:szCs w:val="26"/>
              </w:rPr>
            </w:pPr>
          </w:p>
        </w:tc>
      </w:tr>
      <w:tr w:rsidR="0055259C" w:rsidRPr="00276B2B" w14:paraId="4F6E3777" w14:textId="77777777" w:rsidTr="00C555CB">
        <w:trPr>
          <w:jc w:val="center"/>
        </w:trPr>
        <w:tc>
          <w:tcPr>
            <w:tcW w:w="4819" w:type="dxa"/>
          </w:tcPr>
          <w:p w14:paraId="5254A066" w14:textId="77777777" w:rsidR="00E00D72" w:rsidRPr="00E00D72" w:rsidRDefault="00E00D72" w:rsidP="00E00D72">
            <w:pPr>
              <w:ind w:firstLine="0"/>
              <w:rPr>
                <w:rFonts w:eastAsia="Calibri"/>
                <w:sz w:val="26"/>
                <w:szCs w:val="26"/>
              </w:rPr>
            </w:pPr>
            <w:r w:rsidRPr="00E00D72">
              <w:rPr>
                <w:rFonts w:eastAsia="Calibri"/>
                <w:sz w:val="26"/>
                <w:szCs w:val="26"/>
              </w:rPr>
              <w:t>Pennsylvania Public Utility Commission</w:t>
            </w:r>
          </w:p>
          <w:p w14:paraId="139A38B5" w14:textId="77777777" w:rsidR="00E00D72" w:rsidRPr="00E00D72" w:rsidRDefault="00E00D72" w:rsidP="00E00D72">
            <w:pPr>
              <w:ind w:firstLine="0"/>
              <w:rPr>
                <w:rFonts w:eastAsia="Calibri"/>
                <w:sz w:val="26"/>
                <w:szCs w:val="26"/>
              </w:rPr>
            </w:pPr>
          </w:p>
          <w:p w14:paraId="1E7E2E74" w14:textId="77777777" w:rsidR="00E00D72" w:rsidRPr="00E00D72" w:rsidRDefault="00E00D72" w:rsidP="00AA0820">
            <w:pPr>
              <w:ind w:left="720" w:hanging="14"/>
              <w:rPr>
                <w:rFonts w:eastAsia="Calibri"/>
                <w:sz w:val="26"/>
                <w:szCs w:val="26"/>
              </w:rPr>
            </w:pPr>
            <w:r w:rsidRPr="00E00D72">
              <w:rPr>
                <w:rFonts w:eastAsia="Calibri"/>
                <w:sz w:val="26"/>
                <w:szCs w:val="26"/>
              </w:rPr>
              <w:t>v.</w:t>
            </w:r>
          </w:p>
          <w:p w14:paraId="69C8E28B" w14:textId="77777777" w:rsidR="00E00D72" w:rsidRPr="00E00D72" w:rsidRDefault="00E00D72" w:rsidP="00E00D72">
            <w:pPr>
              <w:ind w:firstLine="0"/>
              <w:rPr>
                <w:rFonts w:eastAsia="Calibri"/>
                <w:sz w:val="26"/>
                <w:szCs w:val="26"/>
              </w:rPr>
            </w:pPr>
          </w:p>
          <w:p w14:paraId="5AA7D67F" w14:textId="77777777" w:rsidR="00EE6739" w:rsidRPr="00276B2B" w:rsidRDefault="000647C0" w:rsidP="00E00D72">
            <w:pPr>
              <w:spacing w:after="160" w:line="259" w:lineRule="auto"/>
              <w:ind w:firstLine="0"/>
              <w:rPr>
                <w:rFonts w:ascii="Calibri" w:eastAsia="Calibri" w:hAnsi="Calibri"/>
                <w:sz w:val="26"/>
                <w:szCs w:val="26"/>
              </w:rPr>
            </w:pPr>
            <w:r>
              <w:rPr>
                <w:rFonts w:eastAsia="Calibri"/>
                <w:sz w:val="26"/>
                <w:szCs w:val="26"/>
              </w:rPr>
              <w:t>Pennsylvania-American Water Company</w:t>
            </w:r>
          </w:p>
        </w:tc>
        <w:tc>
          <w:tcPr>
            <w:tcW w:w="4631" w:type="dxa"/>
            <w:hideMark/>
          </w:tcPr>
          <w:p w14:paraId="73DCA478" w14:textId="77777777" w:rsidR="00EE6739" w:rsidRPr="00276B2B" w:rsidRDefault="00424B73" w:rsidP="003C2BD8">
            <w:pPr>
              <w:ind w:firstLine="0"/>
              <w:jc w:val="right"/>
              <w:rPr>
                <w:sz w:val="26"/>
                <w:szCs w:val="26"/>
              </w:rPr>
            </w:pPr>
            <w:r w:rsidRPr="00276B2B">
              <w:rPr>
                <w:sz w:val="26"/>
                <w:szCs w:val="26"/>
              </w:rPr>
              <w:t>R-2020-301</w:t>
            </w:r>
            <w:r w:rsidR="004D2FA2">
              <w:rPr>
                <w:sz w:val="26"/>
                <w:szCs w:val="26"/>
              </w:rPr>
              <w:t>9369</w:t>
            </w:r>
          </w:p>
          <w:p w14:paraId="729E83BB" w14:textId="77777777" w:rsidR="008C4FC9" w:rsidRPr="00276B2B" w:rsidRDefault="004D2FA2" w:rsidP="003C2BD8">
            <w:pPr>
              <w:ind w:firstLine="0"/>
              <w:jc w:val="right"/>
              <w:rPr>
                <w:sz w:val="26"/>
                <w:szCs w:val="26"/>
              </w:rPr>
            </w:pPr>
            <w:r>
              <w:rPr>
                <w:sz w:val="26"/>
                <w:szCs w:val="26"/>
              </w:rPr>
              <w:t>R-2020-3019371</w:t>
            </w:r>
          </w:p>
          <w:p w14:paraId="46308BC1" w14:textId="77777777" w:rsidR="008C4FC9" w:rsidRPr="00276B2B" w:rsidRDefault="008C4FC9" w:rsidP="00590FE7">
            <w:pPr>
              <w:ind w:firstLine="0"/>
              <w:rPr>
                <w:sz w:val="26"/>
                <w:szCs w:val="26"/>
              </w:rPr>
            </w:pPr>
          </w:p>
        </w:tc>
      </w:tr>
      <w:tr w:rsidR="00EE6739" w:rsidRPr="00276B2B" w14:paraId="7CA6CFDD" w14:textId="77777777" w:rsidTr="00C555CB">
        <w:trPr>
          <w:jc w:val="center"/>
        </w:trPr>
        <w:tc>
          <w:tcPr>
            <w:tcW w:w="4819" w:type="dxa"/>
          </w:tcPr>
          <w:p w14:paraId="5252AD97" w14:textId="77777777" w:rsidR="00085B91" w:rsidRPr="00276B2B" w:rsidRDefault="00085B91" w:rsidP="00590FE7">
            <w:pPr>
              <w:ind w:firstLine="0"/>
              <w:rPr>
                <w:sz w:val="26"/>
                <w:szCs w:val="26"/>
              </w:rPr>
            </w:pPr>
          </w:p>
        </w:tc>
        <w:tc>
          <w:tcPr>
            <w:tcW w:w="4631" w:type="dxa"/>
          </w:tcPr>
          <w:p w14:paraId="48DA6022" w14:textId="77777777" w:rsidR="00EE6739" w:rsidRPr="00276B2B" w:rsidRDefault="00EE6739" w:rsidP="00590FE7">
            <w:pPr>
              <w:ind w:firstLine="0"/>
              <w:rPr>
                <w:sz w:val="26"/>
                <w:szCs w:val="26"/>
              </w:rPr>
            </w:pPr>
          </w:p>
        </w:tc>
      </w:tr>
    </w:tbl>
    <w:p w14:paraId="2681577C" w14:textId="77777777" w:rsidR="00755765" w:rsidRDefault="00F14E4C" w:rsidP="00276B2B">
      <w:pPr>
        <w:ind w:firstLine="0"/>
        <w:jc w:val="center"/>
        <w:rPr>
          <w:b/>
          <w:sz w:val="26"/>
          <w:szCs w:val="26"/>
        </w:rPr>
      </w:pPr>
      <w:r w:rsidRPr="00276B2B">
        <w:rPr>
          <w:b/>
          <w:sz w:val="26"/>
          <w:szCs w:val="26"/>
        </w:rPr>
        <w:t>OPINION AND ORDER</w:t>
      </w:r>
    </w:p>
    <w:p w14:paraId="4B05EFCF" w14:textId="77777777" w:rsidR="00276B2B" w:rsidRPr="0055259C" w:rsidRDefault="00276B2B" w:rsidP="00276B2B">
      <w:pPr>
        <w:ind w:firstLine="0"/>
        <w:jc w:val="center"/>
        <w:rPr>
          <w:b/>
          <w:sz w:val="26"/>
          <w:szCs w:val="26"/>
        </w:rPr>
      </w:pPr>
    </w:p>
    <w:p w14:paraId="3DCDC824" w14:textId="77777777" w:rsidR="00F14E4C" w:rsidRPr="0055259C" w:rsidRDefault="00F14E4C" w:rsidP="00590FE7">
      <w:pPr>
        <w:ind w:firstLine="0"/>
        <w:rPr>
          <w:b/>
          <w:sz w:val="26"/>
        </w:rPr>
      </w:pPr>
      <w:r w:rsidRPr="0055259C">
        <w:rPr>
          <w:b/>
          <w:sz w:val="26"/>
        </w:rPr>
        <w:t>BY THE COMMISSION:</w:t>
      </w:r>
    </w:p>
    <w:p w14:paraId="1A83F528" w14:textId="77777777" w:rsidR="00F14E4C" w:rsidRPr="0055259C" w:rsidRDefault="00F14E4C" w:rsidP="00590FE7">
      <w:pPr>
        <w:ind w:firstLine="0"/>
        <w:rPr>
          <w:b/>
          <w:sz w:val="26"/>
        </w:rPr>
      </w:pPr>
    </w:p>
    <w:p w14:paraId="5360BE78" w14:textId="089F5430" w:rsidR="00A940C0" w:rsidRDefault="00F14E4C" w:rsidP="00662DD9">
      <w:pPr>
        <w:rPr>
          <w:color w:val="000000"/>
          <w:sz w:val="26"/>
          <w:szCs w:val="26"/>
        </w:rPr>
      </w:pPr>
      <w:r w:rsidRPr="00012B5F">
        <w:rPr>
          <w:sz w:val="26"/>
          <w:szCs w:val="26"/>
        </w:rPr>
        <w:t xml:space="preserve">Before the Pennsylvania Public Utility Commission (Commission) for consideration and disposition is </w:t>
      </w:r>
      <w:r w:rsidR="0065771F" w:rsidRPr="00012B5F">
        <w:rPr>
          <w:color w:val="000000"/>
          <w:sz w:val="26"/>
          <w:szCs w:val="26"/>
        </w:rPr>
        <w:t xml:space="preserve">a Petition </w:t>
      </w:r>
      <w:r w:rsidR="009E6959">
        <w:rPr>
          <w:color w:val="000000"/>
          <w:sz w:val="26"/>
          <w:szCs w:val="26"/>
        </w:rPr>
        <w:t>for Reconsideration of Staff Action</w:t>
      </w:r>
      <w:r w:rsidR="000647C0">
        <w:rPr>
          <w:color w:val="000000"/>
          <w:sz w:val="26"/>
          <w:szCs w:val="26"/>
        </w:rPr>
        <w:t xml:space="preserve"> </w:t>
      </w:r>
      <w:r w:rsidR="0065771F" w:rsidRPr="00012B5F">
        <w:rPr>
          <w:color w:val="000000"/>
          <w:sz w:val="26"/>
          <w:szCs w:val="26"/>
        </w:rPr>
        <w:t xml:space="preserve">filed on </w:t>
      </w:r>
      <w:r w:rsidR="00F46204" w:rsidRPr="00012B5F">
        <w:rPr>
          <w:color w:val="000000"/>
          <w:sz w:val="26"/>
          <w:szCs w:val="26"/>
        </w:rPr>
        <w:t>June 2</w:t>
      </w:r>
      <w:r w:rsidR="000647C0">
        <w:rPr>
          <w:color w:val="000000"/>
          <w:sz w:val="26"/>
          <w:szCs w:val="26"/>
        </w:rPr>
        <w:t>4</w:t>
      </w:r>
      <w:r w:rsidR="00F46204" w:rsidRPr="00012B5F">
        <w:rPr>
          <w:color w:val="000000"/>
          <w:sz w:val="26"/>
          <w:szCs w:val="26"/>
        </w:rPr>
        <w:t>, 2020</w:t>
      </w:r>
      <w:r w:rsidR="0065771F" w:rsidRPr="00012B5F">
        <w:rPr>
          <w:color w:val="000000"/>
          <w:sz w:val="26"/>
          <w:szCs w:val="26"/>
        </w:rPr>
        <w:t xml:space="preserve">, by </w:t>
      </w:r>
      <w:r w:rsidR="000647C0">
        <w:rPr>
          <w:color w:val="000000"/>
          <w:sz w:val="26"/>
          <w:szCs w:val="26"/>
        </w:rPr>
        <w:t xml:space="preserve">Pennsylvania-American Water Company (PAWC or </w:t>
      </w:r>
      <w:r w:rsidR="00743911">
        <w:rPr>
          <w:color w:val="000000"/>
          <w:sz w:val="26"/>
          <w:szCs w:val="26"/>
        </w:rPr>
        <w:t>Company</w:t>
      </w:r>
      <w:r w:rsidR="0065771F" w:rsidRPr="00012B5F">
        <w:rPr>
          <w:color w:val="000000"/>
          <w:sz w:val="26"/>
          <w:szCs w:val="26"/>
        </w:rPr>
        <w:t>)</w:t>
      </w:r>
      <w:r w:rsidR="000647C0">
        <w:rPr>
          <w:color w:val="000000"/>
          <w:sz w:val="26"/>
          <w:szCs w:val="26"/>
        </w:rPr>
        <w:t xml:space="preserve"> </w:t>
      </w:r>
      <w:r w:rsidR="0065771F" w:rsidRPr="00012B5F">
        <w:rPr>
          <w:color w:val="000000"/>
          <w:sz w:val="26"/>
          <w:szCs w:val="26"/>
        </w:rPr>
        <w:t>in the above-captioned proceedings</w:t>
      </w:r>
      <w:r w:rsidR="00394E54">
        <w:rPr>
          <w:color w:val="000000"/>
          <w:sz w:val="26"/>
          <w:szCs w:val="26"/>
        </w:rPr>
        <w:t xml:space="preserve">, </w:t>
      </w:r>
      <w:r w:rsidR="009E6959">
        <w:rPr>
          <w:color w:val="000000"/>
          <w:sz w:val="26"/>
          <w:szCs w:val="26"/>
        </w:rPr>
        <w:t>seeking reversal of</w:t>
      </w:r>
      <w:r w:rsidR="00DF210C">
        <w:rPr>
          <w:color w:val="000000"/>
          <w:sz w:val="26"/>
          <w:szCs w:val="26"/>
        </w:rPr>
        <w:t xml:space="preserve"> the June </w:t>
      </w:r>
      <w:r w:rsidR="00D458C4">
        <w:rPr>
          <w:color w:val="000000"/>
          <w:sz w:val="26"/>
          <w:szCs w:val="26"/>
        </w:rPr>
        <w:t>4</w:t>
      </w:r>
      <w:r w:rsidR="00DF210C">
        <w:rPr>
          <w:color w:val="000000"/>
          <w:sz w:val="26"/>
          <w:szCs w:val="26"/>
        </w:rPr>
        <w:t xml:space="preserve">, 2020 Order </w:t>
      </w:r>
      <w:r w:rsidR="0083695C">
        <w:rPr>
          <w:color w:val="000000"/>
          <w:sz w:val="26"/>
          <w:szCs w:val="26"/>
        </w:rPr>
        <w:t>(</w:t>
      </w:r>
      <w:r w:rsidR="0083695C" w:rsidRPr="00C96F46">
        <w:rPr>
          <w:i/>
          <w:iCs/>
          <w:color w:val="000000"/>
          <w:sz w:val="26"/>
          <w:szCs w:val="26"/>
        </w:rPr>
        <w:t>Extension Order</w:t>
      </w:r>
      <w:r w:rsidR="0083695C">
        <w:rPr>
          <w:color w:val="000000"/>
          <w:sz w:val="26"/>
          <w:szCs w:val="26"/>
        </w:rPr>
        <w:t>)</w:t>
      </w:r>
      <w:r w:rsidR="00CF68B2">
        <w:rPr>
          <w:color w:val="000000"/>
          <w:sz w:val="26"/>
          <w:szCs w:val="26"/>
        </w:rPr>
        <w:t xml:space="preserve"> of</w:t>
      </w:r>
      <w:r w:rsidR="002457DE">
        <w:rPr>
          <w:color w:val="000000"/>
          <w:sz w:val="26"/>
          <w:szCs w:val="26"/>
        </w:rPr>
        <w:t xml:space="preserve"> </w:t>
      </w:r>
      <w:r w:rsidR="0083695C">
        <w:rPr>
          <w:color w:val="000000"/>
          <w:sz w:val="26"/>
          <w:szCs w:val="26"/>
        </w:rPr>
        <w:t xml:space="preserve">Chief Administrative Law Judge </w:t>
      </w:r>
      <w:r w:rsidR="00CF68B2">
        <w:rPr>
          <w:color w:val="000000"/>
          <w:sz w:val="26"/>
          <w:szCs w:val="26"/>
        </w:rPr>
        <w:t>Charles E. Rainey, Jr.</w:t>
      </w:r>
      <w:r w:rsidR="002457DE">
        <w:rPr>
          <w:color w:val="000000"/>
          <w:sz w:val="26"/>
          <w:szCs w:val="26"/>
        </w:rPr>
        <w:t xml:space="preserve"> </w:t>
      </w:r>
      <w:r w:rsidR="0083695C">
        <w:rPr>
          <w:color w:val="000000"/>
          <w:sz w:val="26"/>
          <w:szCs w:val="26"/>
        </w:rPr>
        <w:t>(</w:t>
      </w:r>
      <w:r w:rsidR="00880B42">
        <w:rPr>
          <w:color w:val="000000"/>
          <w:sz w:val="26"/>
          <w:szCs w:val="26"/>
        </w:rPr>
        <w:t>CALJ</w:t>
      </w:r>
      <w:r w:rsidR="0083695C">
        <w:rPr>
          <w:color w:val="000000"/>
          <w:sz w:val="26"/>
          <w:szCs w:val="26"/>
        </w:rPr>
        <w:t xml:space="preserve">), </w:t>
      </w:r>
      <w:r w:rsidR="00E16E87">
        <w:rPr>
          <w:color w:val="000000"/>
          <w:sz w:val="26"/>
          <w:szCs w:val="26"/>
        </w:rPr>
        <w:t xml:space="preserve">in </w:t>
      </w:r>
      <w:r w:rsidR="00941F71">
        <w:rPr>
          <w:color w:val="000000"/>
          <w:sz w:val="26"/>
          <w:szCs w:val="26"/>
        </w:rPr>
        <w:t xml:space="preserve">which </w:t>
      </w:r>
      <w:r w:rsidR="00E16E87">
        <w:rPr>
          <w:color w:val="000000"/>
          <w:sz w:val="26"/>
          <w:szCs w:val="26"/>
        </w:rPr>
        <w:t xml:space="preserve">he </w:t>
      </w:r>
      <w:r w:rsidR="00941F71">
        <w:rPr>
          <w:color w:val="000000"/>
          <w:sz w:val="26"/>
          <w:szCs w:val="26"/>
        </w:rPr>
        <w:t>granted the</w:t>
      </w:r>
      <w:r w:rsidR="00C96F46">
        <w:rPr>
          <w:color w:val="000000"/>
          <w:sz w:val="26"/>
          <w:szCs w:val="26"/>
        </w:rPr>
        <w:t xml:space="preserve"> </w:t>
      </w:r>
      <w:r w:rsidR="00C01D09">
        <w:rPr>
          <w:color w:val="000000"/>
          <w:sz w:val="26"/>
          <w:szCs w:val="26"/>
        </w:rPr>
        <w:t xml:space="preserve">Expedited </w:t>
      </w:r>
      <w:r w:rsidR="00C96F46">
        <w:rPr>
          <w:color w:val="000000"/>
          <w:sz w:val="26"/>
          <w:szCs w:val="26"/>
        </w:rPr>
        <w:t>Motion of the</w:t>
      </w:r>
      <w:r w:rsidR="00941F71">
        <w:rPr>
          <w:color w:val="000000"/>
          <w:sz w:val="26"/>
          <w:szCs w:val="26"/>
        </w:rPr>
        <w:t xml:space="preserve"> </w:t>
      </w:r>
      <w:r w:rsidR="00D458C4">
        <w:rPr>
          <w:color w:val="000000"/>
          <w:sz w:val="26"/>
          <w:szCs w:val="26"/>
        </w:rPr>
        <w:t>Office of Consumer Advocate</w:t>
      </w:r>
      <w:r w:rsidR="00941F71">
        <w:rPr>
          <w:color w:val="000000"/>
          <w:sz w:val="26"/>
          <w:szCs w:val="26"/>
        </w:rPr>
        <w:t xml:space="preserve"> (</w:t>
      </w:r>
      <w:r w:rsidR="00D458C4">
        <w:rPr>
          <w:color w:val="000000"/>
          <w:sz w:val="26"/>
          <w:szCs w:val="26"/>
        </w:rPr>
        <w:t>OCA</w:t>
      </w:r>
      <w:r w:rsidR="00941F71">
        <w:rPr>
          <w:color w:val="000000"/>
          <w:sz w:val="26"/>
          <w:szCs w:val="26"/>
        </w:rPr>
        <w:t xml:space="preserve">) </w:t>
      </w:r>
      <w:r w:rsidR="0025671C">
        <w:rPr>
          <w:color w:val="000000"/>
          <w:sz w:val="26"/>
          <w:szCs w:val="26"/>
        </w:rPr>
        <w:t>filed on May</w:t>
      </w:r>
      <w:r w:rsidR="00967B68">
        <w:rPr>
          <w:color w:val="000000"/>
          <w:sz w:val="26"/>
          <w:szCs w:val="26"/>
        </w:rPr>
        <w:t> </w:t>
      </w:r>
      <w:r w:rsidR="0025671C">
        <w:rPr>
          <w:color w:val="000000"/>
          <w:sz w:val="26"/>
          <w:szCs w:val="26"/>
        </w:rPr>
        <w:t>2</w:t>
      </w:r>
      <w:r w:rsidR="00D458C4">
        <w:rPr>
          <w:color w:val="000000"/>
          <w:sz w:val="26"/>
          <w:szCs w:val="26"/>
        </w:rPr>
        <w:t>8</w:t>
      </w:r>
      <w:r w:rsidR="0025671C">
        <w:rPr>
          <w:color w:val="000000"/>
          <w:sz w:val="26"/>
          <w:szCs w:val="26"/>
        </w:rPr>
        <w:t>, 2020</w:t>
      </w:r>
      <w:r w:rsidR="002457DE">
        <w:rPr>
          <w:color w:val="000000"/>
          <w:sz w:val="26"/>
          <w:szCs w:val="26"/>
        </w:rPr>
        <w:t xml:space="preserve"> </w:t>
      </w:r>
      <w:r w:rsidR="0025671C">
        <w:rPr>
          <w:color w:val="000000"/>
          <w:sz w:val="26"/>
          <w:szCs w:val="26"/>
        </w:rPr>
        <w:t>(Expedited Motion)</w:t>
      </w:r>
      <w:r w:rsidR="00E16E87">
        <w:rPr>
          <w:color w:val="000000"/>
          <w:sz w:val="26"/>
          <w:szCs w:val="26"/>
        </w:rPr>
        <w:t>,</w:t>
      </w:r>
      <w:r w:rsidR="00C87AC8">
        <w:rPr>
          <w:color w:val="000000"/>
          <w:sz w:val="26"/>
          <w:szCs w:val="26"/>
        </w:rPr>
        <w:t xml:space="preserve"> and the Answers filed by OCA</w:t>
      </w:r>
      <w:r w:rsidR="009B6B7A">
        <w:rPr>
          <w:color w:val="000000"/>
          <w:sz w:val="26"/>
          <w:szCs w:val="26"/>
        </w:rPr>
        <w:t>,</w:t>
      </w:r>
      <w:r w:rsidR="00C87AC8">
        <w:rPr>
          <w:color w:val="000000"/>
          <w:sz w:val="26"/>
          <w:szCs w:val="26"/>
        </w:rPr>
        <w:t xml:space="preserve"> </w:t>
      </w:r>
      <w:r w:rsidR="00C87AC8" w:rsidRPr="00C87AC8">
        <w:rPr>
          <w:color w:val="000000"/>
          <w:sz w:val="26"/>
          <w:szCs w:val="26"/>
        </w:rPr>
        <w:t>the Bureau of Investigation &amp; Enforcement (I&amp;E), the Coalition for Affordable Utility Services and Energy Efficiency in Pennsylvania (CAUSE-PA)</w:t>
      </w:r>
      <w:r w:rsidR="002457DE">
        <w:rPr>
          <w:color w:val="000000"/>
          <w:sz w:val="26"/>
          <w:szCs w:val="26"/>
        </w:rPr>
        <w:t>,</w:t>
      </w:r>
      <w:r w:rsidR="00C87AC8" w:rsidRPr="00C87AC8">
        <w:rPr>
          <w:color w:val="000000"/>
          <w:sz w:val="26"/>
          <w:szCs w:val="26"/>
        </w:rPr>
        <w:t xml:space="preserve"> and the Office of Small Business Advocate (OSBA).</w:t>
      </w:r>
      <w:r w:rsidR="00B236EC">
        <w:rPr>
          <w:color w:val="000000"/>
          <w:sz w:val="26"/>
          <w:szCs w:val="26"/>
        </w:rPr>
        <w:t xml:space="preserve">  </w:t>
      </w:r>
    </w:p>
    <w:p w14:paraId="4177F19D" w14:textId="6881DAC7" w:rsidR="007A6ADB" w:rsidRDefault="00B236EC" w:rsidP="00662DD9">
      <w:pPr>
        <w:rPr>
          <w:color w:val="000000"/>
          <w:sz w:val="26"/>
          <w:szCs w:val="26"/>
        </w:rPr>
      </w:pPr>
      <w:r>
        <w:rPr>
          <w:color w:val="000000"/>
          <w:sz w:val="26"/>
          <w:szCs w:val="26"/>
        </w:rPr>
        <w:lastRenderedPageBreak/>
        <w:t xml:space="preserve">By granting the Expedited Motion, </w:t>
      </w:r>
      <w:r w:rsidR="008E48AB">
        <w:rPr>
          <w:color w:val="000000"/>
          <w:sz w:val="26"/>
          <w:szCs w:val="26"/>
        </w:rPr>
        <w:t xml:space="preserve">the </w:t>
      </w:r>
      <w:r w:rsidR="00880B42">
        <w:rPr>
          <w:color w:val="000000"/>
          <w:sz w:val="26"/>
          <w:szCs w:val="26"/>
        </w:rPr>
        <w:t>CALJ</w:t>
      </w:r>
      <w:r w:rsidR="00EA4237">
        <w:rPr>
          <w:color w:val="000000"/>
          <w:sz w:val="26"/>
          <w:szCs w:val="26"/>
        </w:rPr>
        <w:t xml:space="preserve"> extend</w:t>
      </w:r>
      <w:r w:rsidR="00CF68B2">
        <w:rPr>
          <w:color w:val="000000"/>
          <w:sz w:val="26"/>
          <w:szCs w:val="26"/>
        </w:rPr>
        <w:t>ed</w:t>
      </w:r>
      <w:r w:rsidR="00941F71">
        <w:rPr>
          <w:color w:val="000000"/>
          <w:sz w:val="26"/>
          <w:szCs w:val="26"/>
        </w:rPr>
        <w:t xml:space="preserve"> </w:t>
      </w:r>
      <w:r w:rsidR="00D80A8F">
        <w:rPr>
          <w:color w:val="000000"/>
          <w:sz w:val="26"/>
          <w:szCs w:val="26"/>
        </w:rPr>
        <w:t>the</w:t>
      </w:r>
      <w:r w:rsidR="000A18E1">
        <w:rPr>
          <w:color w:val="000000"/>
          <w:sz w:val="26"/>
          <w:szCs w:val="26"/>
        </w:rPr>
        <w:t xml:space="preserve"> </w:t>
      </w:r>
      <w:r w:rsidR="00C87AC8">
        <w:rPr>
          <w:color w:val="000000"/>
          <w:sz w:val="26"/>
          <w:szCs w:val="26"/>
        </w:rPr>
        <w:t xml:space="preserve">established </w:t>
      </w:r>
      <w:r w:rsidR="00901712">
        <w:rPr>
          <w:color w:val="000000"/>
          <w:sz w:val="26"/>
          <w:szCs w:val="26"/>
        </w:rPr>
        <w:t>rate</w:t>
      </w:r>
      <w:r w:rsidR="00941F71">
        <w:rPr>
          <w:color w:val="000000"/>
          <w:sz w:val="26"/>
          <w:szCs w:val="26"/>
        </w:rPr>
        <w:t xml:space="preserve"> suspension period </w:t>
      </w:r>
      <w:r w:rsidR="00734200">
        <w:rPr>
          <w:color w:val="000000"/>
          <w:sz w:val="26"/>
          <w:szCs w:val="26"/>
        </w:rPr>
        <w:t xml:space="preserve">by </w:t>
      </w:r>
      <w:r w:rsidR="00D458C4">
        <w:rPr>
          <w:color w:val="000000"/>
          <w:sz w:val="26"/>
          <w:szCs w:val="26"/>
        </w:rPr>
        <w:t>forty-five</w:t>
      </w:r>
      <w:r w:rsidR="00734200">
        <w:rPr>
          <w:color w:val="000000"/>
          <w:sz w:val="26"/>
          <w:szCs w:val="26"/>
        </w:rPr>
        <w:t xml:space="preserve"> (</w:t>
      </w:r>
      <w:r w:rsidR="00D458C4">
        <w:rPr>
          <w:color w:val="000000"/>
          <w:sz w:val="26"/>
          <w:szCs w:val="26"/>
        </w:rPr>
        <w:t>45</w:t>
      </w:r>
      <w:r w:rsidR="00734200">
        <w:rPr>
          <w:color w:val="000000"/>
          <w:sz w:val="26"/>
          <w:szCs w:val="26"/>
        </w:rPr>
        <w:t xml:space="preserve">) days, </w:t>
      </w:r>
      <w:r w:rsidR="00CF68B2">
        <w:rPr>
          <w:color w:val="000000"/>
          <w:sz w:val="26"/>
          <w:szCs w:val="26"/>
        </w:rPr>
        <w:t xml:space="preserve">or </w:t>
      </w:r>
      <w:r w:rsidR="00E52855">
        <w:rPr>
          <w:color w:val="000000"/>
          <w:sz w:val="26"/>
          <w:szCs w:val="26"/>
        </w:rPr>
        <w:t xml:space="preserve">from </w:t>
      </w:r>
      <w:r>
        <w:rPr>
          <w:color w:val="000000"/>
          <w:sz w:val="26"/>
          <w:szCs w:val="26"/>
        </w:rPr>
        <w:t>January 2</w:t>
      </w:r>
      <w:r w:rsidR="00D458C4">
        <w:rPr>
          <w:color w:val="000000"/>
          <w:sz w:val="26"/>
          <w:szCs w:val="26"/>
        </w:rPr>
        <w:t>8</w:t>
      </w:r>
      <w:r>
        <w:rPr>
          <w:color w:val="000000"/>
          <w:sz w:val="26"/>
          <w:szCs w:val="26"/>
        </w:rPr>
        <w:t>, 2021</w:t>
      </w:r>
      <w:r w:rsidR="00734200">
        <w:rPr>
          <w:color w:val="000000"/>
          <w:sz w:val="26"/>
          <w:szCs w:val="26"/>
        </w:rPr>
        <w:t>,</w:t>
      </w:r>
      <w:r>
        <w:rPr>
          <w:color w:val="000000"/>
          <w:sz w:val="26"/>
          <w:szCs w:val="26"/>
        </w:rPr>
        <w:t xml:space="preserve"> to </w:t>
      </w:r>
      <w:r w:rsidR="00D458C4">
        <w:rPr>
          <w:color w:val="000000"/>
          <w:sz w:val="26"/>
          <w:szCs w:val="26"/>
        </w:rPr>
        <w:t>March 15</w:t>
      </w:r>
      <w:r>
        <w:rPr>
          <w:color w:val="000000"/>
          <w:sz w:val="26"/>
          <w:szCs w:val="26"/>
        </w:rPr>
        <w:t>, 2021,</w:t>
      </w:r>
      <w:r w:rsidR="00C33FDC">
        <w:rPr>
          <w:rStyle w:val="FootnoteReference"/>
          <w:b/>
          <w:bCs/>
          <w:szCs w:val="26"/>
        </w:rPr>
        <w:footnoteReference w:id="2"/>
      </w:r>
      <w:r w:rsidR="00C33FDC">
        <w:rPr>
          <w:color w:val="000000"/>
          <w:sz w:val="26"/>
          <w:szCs w:val="26"/>
        </w:rPr>
        <w:t xml:space="preserve"> </w:t>
      </w:r>
      <w:r w:rsidR="002474EE" w:rsidRPr="000E2FCD">
        <w:rPr>
          <w:sz w:val="26"/>
          <w:szCs w:val="26"/>
        </w:rPr>
        <w:t>for the purpose of establishing a reasonable procedural schedule in this proceeding</w:t>
      </w:r>
      <w:r w:rsidR="002474EE" w:rsidRPr="000E2FCD">
        <w:rPr>
          <w:color w:val="000000"/>
          <w:sz w:val="26"/>
          <w:szCs w:val="26"/>
        </w:rPr>
        <w:t xml:space="preserve">.  </w:t>
      </w:r>
    </w:p>
    <w:p w14:paraId="317CDCB8" w14:textId="77777777" w:rsidR="007A6ADB" w:rsidRDefault="007A6ADB" w:rsidP="000B4C13">
      <w:pPr>
        <w:rPr>
          <w:color w:val="000000"/>
          <w:sz w:val="26"/>
          <w:szCs w:val="26"/>
        </w:rPr>
      </w:pPr>
    </w:p>
    <w:p w14:paraId="1E2C39AA" w14:textId="1533673D" w:rsidR="00F23A50" w:rsidRDefault="0083695C" w:rsidP="007425E3">
      <w:pPr>
        <w:rPr>
          <w:sz w:val="26"/>
          <w:szCs w:val="26"/>
        </w:rPr>
      </w:pPr>
      <w:bookmarkStart w:id="0" w:name="_Hlk46212678"/>
      <w:r>
        <w:rPr>
          <w:sz w:val="26"/>
          <w:szCs w:val="26"/>
        </w:rPr>
        <w:t>After full consideration of the Petition</w:t>
      </w:r>
      <w:r w:rsidR="00055DCB">
        <w:rPr>
          <w:sz w:val="26"/>
          <w:szCs w:val="26"/>
        </w:rPr>
        <w:t xml:space="preserve">, the </w:t>
      </w:r>
      <w:r>
        <w:rPr>
          <w:sz w:val="26"/>
          <w:szCs w:val="26"/>
        </w:rPr>
        <w:t>Answers,</w:t>
      </w:r>
      <w:r w:rsidR="00055DCB" w:rsidRPr="00055DCB">
        <w:rPr>
          <w:sz w:val="26"/>
          <w:szCs w:val="26"/>
        </w:rPr>
        <w:t xml:space="preserve"> </w:t>
      </w:r>
      <w:r w:rsidR="00055DCB">
        <w:rPr>
          <w:sz w:val="26"/>
          <w:szCs w:val="26"/>
        </w:rPr>
        <w:t xml:space="preserve">the </w:t>
      </w:r>
      <w:r w:rsidR="00055DCB" w:rsidRPr="00860A22">
        <w:rPr>
          <w:i/>
          <w:iCs/>
          <w:sz w:val="26"/>
          <w:szCs w:val="26"/>
        </w:rPr>
        <w:t>Extension Order</w:t>
      </w:r>
      <w:r w:rsidR="00055DCB">
        <w:rPr>
          <w:sz w:val="26"/>
          <w:szCs w:val="26"/>
        </w:rPr>
        <w:t>,</w:t>
      </w:r>
      <w:r>
        <w:rPr>
          <w:sz w:val="26"/>
          <w:szCs w:val="26"/>
        </w:rPr>
        <w:t xml:space="preserve"> and the procedural schedule in this matter, </w:t>
      </w:r>
      <w:r w:rsidR="00F41BF0">
        <w:rPr>
          <w:sz w:val="26"/>
          <w:szCs w:val="26"/>
        </w:rPr>
        <w:t xml:space="preserve">for the reasons discussed more fully below, </w:t>
      </w:r>
      <w:r w:rsidR="007425E3">
        <w:rPr>
          <w:sz w:val="26"/>
          <w:szCs w:val="26"/>
        </w:rPr>
        <w:t>we shall grant</w:t>
      </w:r>
      <w:r w:rsidR="00E16E87">
        <w:rPr>
          <w:sz w:val="26"/>
          <w:szCs w:val="26"/>
        </w:rPr>
        <w:t>, in part</w:t>
      </w:r>
      <w:r w:rsidR="007425E3">
        <w:rPr>
          <w:sz w:val="26"/>
          <w:szCs w:val="26"/>
        </w:rPr>
        <w:t xml:space="preserve"> and deny, in part, </w:t>
      </w:r>
      <w:r>
        <w:rPr>
          <w:sz w:val="26"/>
          <w:szCs w:val="26"/>
        </w:rPr>
        <w:t>the</w:t>
      </w:r>
      <w:r w:rsidR="007425E3">
        <w:rPr>
          <w:sz w:val="26"/>
          <w:szCs w:val="26"/>
        </w:rPr>
        <w:t xml:space="preserve"> Petition, affirm the </w:t>
      </w:r>
      <w:r w:rsidR="00880B42">
        <w:rPr>
          <w:sz w:val="26"/>
          <w:szCs w:val="26"/>
        </w:rPr>
        <w:t>CALJ</w:t>
      </w:r>
      <w:r w:rsidR="007425E3">
        <w:rPr>
          <w:sz w:val="26"/>
          <w:szCs w:val="26"/>
        </w:rPr>
        <w:t xml:space="preserve">’s </w:t>
      </w:r>
      <w:r w:rsidR="007425E3" w:rsidRPr="006A32F2">
        <w:rPr>
          <w:i/>
          <w:iCs/>
          <w:sz w:val="26"/>
          <w:szCs w:val="26"/>
        </w:rPr>
        <w:t xml:space="preserve">Extension </w:t>
      </w:r>
      <w:r w:rsidR="007425E3" w:rsidRPr="000E2FCD">
        <w:rPr>
          <w:i/>
          <w:iCs/>
          <w:sz w:val="26"/>
          <w:szCs w:val="26"/>
        </w:rPr>
        <w:t>Order</w:t>
      </w:r>
      <w:r w:rsidR="007425E3" w:rsidRPr="000E2FCD">
        <w:rPr>
          <w:sz w:val="26"/>
          <w:szCs w:val="26"/>
        </w:rPr>
        <w:t xml:space="preserve">, and </w:t>
      </w:r>
      <w:r w:rsidR="005331FA" w:rsidRPr="002457DE">
        <w:rPr>
          <w:sz w:val="26"/>
          <w:szCs w:val="26"/>
        </w:rPr>
        <w:t xml:space="preserve">direct the Office of Administrative Law Judge </w:t>
      </w:r>
      <w:r w:rsidR="0049415F" w:rsidRPr="002457DE">
        <w:rPr>
          <w:sz w:val="26"/>
          <w:szCs w:val="26"/>
        </w:rPr>
        <w:t xml:space="preserve">(OALJ) </w:t>
      </w:r>
      <w:r w:rsidR="005331FA" w:rsidRPr="002457DE">
        <w:rPr>
          <w:sz w:val="26"/>
          <w:szCs w:val="26"/>
        </w:rPr>
        <w:t xml:space="preserve">to </w:t>
      </w:r>
      <w:r w:rsidR="007425E3" w:rsidRPr="000E2FCD">
        <w:rPr>
          <w:sz w:val="26"/>
          <w:szCs w:val="26"/>
        </w:rPr>
        <w:t>modify</w:t>
      </w:r>
      <w:r w:rsidR="005331FA" w:rsidRPr="002457DE">
        <w:rPr>
          <w:sz w:val="26"/>
          <w:szCs w:val="26"/>
        </w:rPr>
        <w:t>, if necessary,</w:t>
      </w:r>
      <w:r w:rsidR="007425E3" w:rsidRPr="000E2FCD">
        <w:rPr>
          <w:sz w:val="26"/>
          <w:szCs w:val="26"/>
        </w:rPr>
        <w:t xml:space="preserve"> the </w:t>
      </w:r>
      <w:r w:rsidR="00F41BF0" w:rsidRPr="000E2FCD">
        <w:rPr>
          <w:sz w:val="26"/>
          <w:szCs w:val="26"/>
        </w:rPr>
        <w:t>litigation schedule appearing in the</w:t>
      </w:r>
      <w:bookmarkEnd w:id="0"/>
      <w:r w:rsidR="00F41BF0" w:rsidRPr="000E2FCD">
        <w:rPr>
          <w:sz w:val="26"/>
          <w:szCs w:val="26"/>
        </w:rPr>
        <w:t xml:space="preserve"> </w:t>
      </w:r>
      <w:r w:rsidR="007425E3" w:rsidRPr="000E2FCD">
        <w:rPr>
          <w:sz w:val="26"/>
          <w:szCs w:val="26"/>
        </w:rPr>
        <w:t xml:space="preserve">Prehearing Order issued by </w:t>
      </w:r>
      <w:bookmarkStart w:id="1" w:name="_Hlk46212436"/>
      <w:r w:rsidRPr="000E2FCD">
        <w:rPr>
          <w:sz w:val="26"/>
          <w:szCs w:val="26"/>
        </w:rPr>
        <w:t>Administrative Law Judge (ALJ)</w:t>
      </w:r>
      <w:r w:rsidR="007425E3" w:rsidRPr="000E2FCD">
        <w:rPr>
          <w:sz w:val="26"/>
          <w:szCs w:val="26"/>
        </w:rPr>
        <w:t xml:space="preserve"> </w:t>
      </w:r>
      <w:bookmarkEnd w:id="1"/>
      <w:r w:rsidR="007425E3" w:rsidRPr="000E2FCD">
        <w:rPr>
          <w:sz w:val="26"/>
          <w:szCs w:val="26"/>
        </w:rPr>
        <w:t>Conrad A. Johnson on June 15, 2020</w:t>
      </w:r>
      <w:r w:rsidR="00F41BF0" w:rsidRPr="000E2FCD">
        <w:rPr>
          <w:sz w:val="26"/>
          <w:szCs w:val="26"/>
        </w:rPr>
        <w:t>, in this proceeding</w:t>
      </w:r>
      <w:r w:rsidR="00F41BF0" w:rsidRPr="000E2FCD">
        <w:rPr>
          <w:i/>
          <w:iCs/>
          <w:sz w:val="26"/>
          <w:szCs w:val="26"/>
        </w:rPr>
        <w:t xml:space="preserve"> </w:t>
      </w:r>
      <w:r w:rsidR="001A3290" w:rsidRPr="000E2FCD">
        <w:rPr>
          <w:sz w:val="26"/>
          <w:szCs w:val="26"/>
        </w:rPr>
        <w:t>(</w:t>
      </w:r>
      <w:r w:rsidR="001A3290" w:rsidRPr="000E2FCD">
        <w:rPr>
          <w:i/>
          <w:iCs/>
          <w:sz w:val="26"/>
          <w:szCs w:val="26"/>
        </w:rPr>
        <w:t>Prehearing Order</w:t>
      </w:r>
      <w:r w:rsidR="001A3290" w:rsidRPr="000E2FCD">
        <w:rPr>
          <w:sz w:val="26"/>
          <w:szCs w:val="26"/>
        </w:rPr>
        <w:t>)</w:t>
      </w:r>
      <w:r w:rsidR="005331FA" w:rsidRPr="002457DE">
        <w:rPr>
          <w:sz w:val="26"/>
          <w:szCs w:val="26"/>
        </w:rPr>
        <w:t xml:space="preserve"> consistent with this Opinion and Order.</w:t>
      </w:r>
      <w:r w:rsidR="007425E3">
        <w:rPr>
          <w:sz w:val="26"/>
          <w:szCs w:val="26"/>
        </w:rPr>
        <w:t xml:space="preserve">  </w:t>
      </w:r>
    </w:p>
    <w:p w14:paraId="21ACF8CA" w14:textId="77777777" w:rsidR="007425E3" w:rsidRPr="007425E3" w:rsidRDefault="007425E3" w:rsidP="007425E3">
      <w:pPr>
        <w:rPr>
          <w:sz w:val="26"/>
          <w:szCs w:val="26"/>
        </w:rPr>
      </w:pPr>
    </w:p>
    <w:p w14:paraId="03D1228C" w14:textId="77777777" w:rsidR="006F648C" w:rsidRPr="00A940C0" w:rsidRDefault="00A17CC8" w:rsidP="00A940C0">
      <w:pPr>
        <w:keepNext/>
        <w:keepLines/>
        <w:tabs>
          <w:tab w:val="left" w:pos="-720"/>
        </w:tabs>
        <w:ind w:firstLine="0"/>
        <w:jc w:val="center"/>
        <w:rPr>
          <w:b/>
          <w:sz w:val="26"/>
          <w:szCs w:val="20"/>
        </w:rPr>
      </w:pPr>
      <w:r>
        <w:rPr>
          <w:b/>
          <w:sz w:val="26"/>
          <w:szCs w:val="20"/>
        </w:rPr>
        <w:t>Background</w:t>
      </w:r>
    </w:p>
    <w:p w14:paraId="0926FB14" w14:textId="77777777" w:rsidR="006F648C" w:rsidRDefault="006F648C" w:rsidP="00E56266">
      <w:pPr>
        <w:rPr>
          <w:bCs/>
          <w:sz w:val="26"/>
          <w:szCs w:val="26"/>
        </w:rPr>
      </w:pPr>
    </w:p>
    <w:p w14:paraId="377AD3CE" w14:textId="77777777" w:rsidR="000E78EB" w:rsidRDefault="00556115" w:rsidP="002457DE">
      <w:pPr>
        <w:rPr>
          <w:color w:val="000000"/>
          <w:sz w:val="26"/>
          <w:szCs w:val="26"/>
        </w:rPr>
      </w:pPr>
      <w:r w:rsidRPr="00E56266">
        <w:rPr>
          <w:bCs/>
          <w:sz w:val="26"/>
          <w:szCs w:val="26"/>
        </w:rPr>
        <w:t xml:space="preserve">On March 6, 2020, </w:t>
      </w:r>
      <w:r w:rsidR="000A265E">
        <w:rPr>
          <w:bCs/>
          <w:sz w:val="26"/>
          <w:szCs w:val="26"/>
        </w:rPr>
        <w:t xml:space="preserve">the </w:t>
      </w:r>
      <w:r w:rsidR="000A265E" w:rsidRPr="00E56266">
        <w:rPr>
          <w:bCs/>
          <w:sz w:val="26"/>
          <w:szCs w:val="26"/>
        </w:rPr>
        <w:t>Governor</w:t>
      </w:r>
      <w:r w:rsidR="000A265E">
        <w:rPr>
          <w:bCs/>
          <w:sz w:val="26"/>
          <w:szCs w:val="26"/>
        </w:rPr>
        <w:t xml:space="preserve"> of the Commonwealth of Pennsylvania,</w:t>
      </w:r>
      <w:r w:rsidR="000A265E" w:rsidRPr="00E56266">
        <w:rPr>
          <w:bCs/>
          <w:sz w:val="26"/>
          <w:szCs w:val="26"/>
        </w:rPr>
        <w:t xml:space="preserve"> Tom Wolf</w:t>
      </w:r>
      <w:r w:rsidR="000A265E">
        <w:rPr>
          <w:bCs/>
          <w:sz w:val="26"/>
          <w:szCs w:val="26"/>
        </w:rPr>
        <w:t>,</w:t>
      </w:r>
      <w:r w:rsidR="000A265E" w:rsidRPr="00E56266">
        <w:rPr>
          <w:bCs/>
          <w:sz w:val="26"/>
          <w:szCs w:val="26"/>
        </w:rPr>
        <w:t xml:space="preserve"> </w:t>
      </w:r>
      <w:r w:rsidR="00194BBA" w:rsidRPr="00E56266">
        <w:rPr>
          <w:bCs/>
          <w:sz w:val="26"/>
          <w:szCs w:val="26"/>
        </w:rPr>
        <w:t>issue</w:t>
      </w:r>
      <w:r w:rsidR="00B546F9">
        <w:rPr>
          <w:bCs/>
          <w:sz w:val="26"/>
          <w:szCs w:val="26"/>
        </w:rPr>
        <w:t>d</w:t>
      </w:r>
      <w:r w:rsidR="00194BBA" w:rsidRPr="00E56266">
        <w:rPr>
          <w:bCs/>
          <w:sz w:val="26"/>
          <w:szCs w:val="26"/>
        </w:rPr>
        <w:t xml:space="preserve"> </w:t>
      </w:r>
      <w:r w:rsidR="00194BBA" w:rsidRPr="00E56266">
        <w:rPr>
          <w:color w:val="000000"/>
          <w:sz w:val="26"/>
          <w:szCs w:val="26"/>
        </w:rPr>
        <w:t xml:space="preserve">the Proclamation of Disaster Emergency pursuant to Section 7301(c) of the Emergency </w:t>
      </w:r>
      <w:r w:rsidR="00194BBA" w:rsidRPr="00194BBA">
        <w:rPr>
          <w:color w:val="000000"/>
          <w:sz w:val="26"/>
          <w:szCs w:val="26"/>
        </w:rPr>
        <w:t>Management Services Code, 35 Pa.</w:t>
      </w:r>
      <w:r w:rsidR="00825DE6">
        <w:rPr>
          <w:color w:val="000000"/>
          <w:sz w:val="26"/>
          <w:szCs w:val="26"/>
        </w:rPr>
        <w:t xml:space="preserve"> </w:t>
      </w:r>
      <w:r w:rsidR="00194BBA" w:rsidRPr="00194BBA">
        <w:rPr>
          <w:color w:val="000000"/>
          <w:sz w:val="26"/>
          <w:szCs w:val="26"/>
        </w:rPr>
        <w:t xml:space="preserve">C.S. §§ 7101, </w:t>
      </w:r>
      <w:r w:rsidR="00194BBA" w:rsidRPr="00194BBA">
        <w:rPr>
          <w:i/>
          <w:color w:val="000000"/>
          <w:sz w:val="26"/>
          <w:szCs w:val="26"/>
        </w:rPr>
        <w:t>et seq</w:t>
      </w:r>
      <w:r w:rsidR="00194BBA" w:rsidRPr="00194BBA">
        <w:rPr>
          <w:color w:val="000000"/>
          <w:sz w:val="26"/>
          <w:szCs w:val="26"/>
        </w:rPr>
        <w:t>. (</w:t>
      </w:r>
      <w:r w:rsidR="00194BBA" w:rsidRPr="002D4DCE">
        <w:rPr>
          <w:i/>
          <w:iCs/>
          <w:color w:val="000000"/>
          <w:sz w:val="26"/>
          <w:szCs w:val="26"/>
        </w:rPr>
        <w:t>Executive Order</w:t>
      </w:r>
      <w:r w:rsidR="00194BBA" w:rsidRPr="00194BBA">
        <w:rPr>
          <w:color w:val="000000"/>
          <w:sz w:val="26"/>
          <w:szCs w:val="26"/>
        </w:rPr>
        <w:t>)</w:t>
      </w:r>
      <w:r w:rsidR="00194BBA" w:rsidRPr="00E56266">
        <w:rPr>
          <w:color w:val="000000"/>
          <w:sz w:val="26"/>
          <w:szCs w:val="26"/>
        </w:rPr>
        <w:t xml:space="preserve"> to address the exigencies created by the COVID-19</w:t>
      </w:r>
      <w:r w:rsidR="00DD4C0E">
        <w:rPr>
          <w:color w:val="000000"/>
          <w:sz w:val="26"/>
          <w:szCs w:val="26"/>
        </w:rPr>
        <w:t xml:space="preserve"> global</w:t>
      </w:r>
      <w:r w:rsidR="00194BBA" w:rsidRPr="00E56266">
        <w:rPr>
          <w:color w:val="000000"/>
          <w:sz w:val="26"/>
          <w:szCs w:val="26"/>
        </w:rPr>
        <w:t xml:space="preserve"> pandemic</w:t>
      </w:r>
      <w:r w:rsidR="00B12514" w:rsidRPr="00526506">
        <w:rPr>
          <w:color w:val="000000"/>
          <w:sz w:val="26"/>
          <w:szCs w:val="26"/>
        </w:rPr>
        <w:t>.</w:t>
      </w:r>
      <w:r w:rsidR="00A35C0D" w:rsidRPr="00526506">
        <w:rPr>
          <w:color w:val="000000"/>
          <w:sz w:val="26"/>
          <w:szCs w:val="26"/>
        </w:rPr>
        <w:t xml:space="preserve"> </w:t>
      </w:r>
      <w:bookmarkStart w:id="2" w:name="_Hlk45894620"/>
    </w:p>
    <w:bookmarkEnd w:id="2"/>
    <w:p w14:paraId="7E1C5FBF" w14:textId="77777777" w:rsidR="000E78EB" w:rsidRPr="00E56266" w:rsidRDefault="000E78EB" w:rsidP="000E78EB">
      <w:pPr>
        <w:ind w:right="1339" w:firstLine="0"/>
        <w:rPr>
          <w:color w:val="000000"/>
          <w:sz w:val="26"/>
          <w:szCs w:val="26"/>
        </w:rPr>
      </w:pPr>
    </w:p>
    <w:p w14:paraId="21922164" w14:textId="47CFA11C" w:rsidR="00715A69" w:rsidRDefault="003C45EA" w:rsidP="001005E4">
      <w:pPr>
        <w:rPr>
          <w:color w:val="000000"/>
          <w:sz w:val="26"/>
          <w:szCs w:val="26"/>
        </w:rPr>
      </w:pPr>
      <w:r w:rsidRPr="002D4DCE">
        <w:rPr>
          <w:color w:val="000000"/>
          <w:sz w:val="26"/>
          <w:szCs w:val="26"/>
        </w:rPr>
        <w:t xml:space="preserve">On March 15, 2020, </w:t>
      </w:r>
      <w:r w:rsidR="00D06B2A">
        <w:rPr>
          <w:color w:val="000000"/>
          <w:sz w:val="26"/>
          <w:szCs w:val="26"/>
        </w:rPr>
        <w:t xml:space="preserve">the Commonwealth of </w:t>
      </w:r>
      <w:r w:rsidRPr="002D4DCE">
        <w:rPr>
          <w:color w:val="000000"/>
          <w:sz w:val="26"/>
          <w:szCs w:val="26"/>
        </w:rPr>
        <w:t>Pennsylvania’s Deputy Secretary for Human Resources and Management issued an Executive Order implementing protocols for remote telework for state offices in Dauphin County and the Capital Complex, including the Commission’s offices</w:t>
      </w:r>
      <w:r w:rsidR="000F5A4D">
        <w:rPr>
          <w:color w:val="000000"/>
          <w:sz w:val="26"/>
          <w:szCs w:val="26"/>
        </w:rPr>
        <w:t xml:space="preserve">, </w:t>
      </w:r>
      <w:bookmarkStart w:id="3" w:name="_Hlk46134191"/>
      <w:r w:rsidR="000F5A4D">
        <w:rPr>
          <w:color w:val="000000"/>
          <w:sz w:val="26"/>
          <w:szCs w:val="26"/>
        </w:rPr>
        <w:t xml:space="preserve">as amended, </w:t>
      </w:r>
      <w:r w:rsidRPr="002D4DCE">
        <w:rPr>
          <w:color w:val="000000"/>
          <w:sz w:val="26"/>
          <w:szCs w:val="26"/>
        </w:rPr>
        <w:t>beginning March</w:t>
      </w:r>
      <w:r w:rsidR="00967B68">
        <w:rPr>
          <w:color w:val="000000"/>
          <w:sz w:val="26"/>
          <w:szCs w:val="26"/>
        </w:rPr>
        <w:t> </w:t>
      </w:r>
      <w:r w:rsidRPr="002D4DCE">
        <w:rPr>
          <w:color w:val="000000"/>
          <w:sz w:val="26"/>
          <w:szCs w:val="26"/>
        </w:rPr>
        <w:t>16,</w:t>
      </w:r>
      <w:r w:rsidR="00967B68">
        <w:rPr>
          <w:color w:val="000000"/>
          <w:sz w:val="26"/>
          <w:szCs w:val="26"/>
        </w:rPr>
        <w:t> </w:t>
      </w:r>
      <w:r w:rsidRPr="002D4DCE">
        <w:rPr>
          <w:color w:val="000000"/>
          <w:sz w:val="26"/>
          <w:szCs w:val="26"/>
        </w:rPr>
        <w:t>2020</w:t>
      </w:r>
      <w:r w:rsidR="000F5A4D">
        <w:rPr>
          <w:color w:val="000000"/>
          <w:sz w:val="26"/>
          <w:szCs w:val="26"/>
        </w:rPr>
        <w:t xml:space="preserve">, </w:t>
      </w:r>
      <w:bookmarkEnd w:id="3"/>
      <w:r w:rsidR="000F5A4D">
        <w:rPr>
          <w:color w:val="000000"/>
          <w:sz w:val="26"/>
          <w:szCs w:val="26"/>
        </w:rPr>
        <w:t xml:space="preserve">and </w:t>
      </w:r>
      <w:r w:rsidR="000F5A4D" w:rsidRPr="000E2FCD">
        <w:rPr>
          <w:color w:val="000000"/>
          <w:sz w:val="26"/>
          <w:szCs w:val="26"/>
        </w:rPr>
        <w:t>extending</w:t>
      </w:r>
      <w:r w:rsidR="00526506" w:rsidRPr="002457DE">
        <w:rPr>
          <w:color w:val="000000"/>
          <w:sz w:val="26"/>
          <w:szCs w:val="26"/>
        </w:rPr>
        <w:t xml:space="preserve"> at least </w:t>
      </w:r>
      <w:r w:rsidR="000F5A4D" w:rsidRPr="000E2FCD">
        <w:rPr>
          <w:color w:val="000000"/>
          <w:sz w:val="26"/>
          <w:szCs w:val="26"/>
        </w:rPr>
        <w:t>through a period effective as of the entry date of this Opinion and Order.</w:t>
      </w:r>
    </w:p>
    <w:p w14:paraId="7260720D" w14:textId="77777777" w:rsidR="000A1693" w:rsidRPr="002D4DCE" w:rsidRDefault="003C45EA" w:rsidP="001005E4">
      <w:pPr>
        <w:rPr>
          <w:color w:val="000000"/>
          <w:sz w:val="26"/>
          <w:szCs w:val="26"/>
        </w:rPr>
      </w:pPr>
      <w:r w:rsidRPr="002D4DCE">
        <w:rPr>
          <w:color w:val="000000"/>
          <w:sz w:val="26"/>
          <w:szCs w:val="26"/>
        </w:rPr>
        <w:lastRenderedPageBreak/>
        <w:t>On March 1</w:t>
      </w:r>
      <w:r w:rsidR="009D75DB">
        <w:rPr>
          <w:color w:val="000000"/>
          <w:sz w:val="26"/>
          <w:szCs w:val="26"/>
        </w:rPr>
        <w:t>9</w:t>
      </w:r>
      <w:r w:rsidRPr="002D4DCE">
        <w:rPr>
          <w:color w:val="000000"/>
          <w:sz w:val="26"/>
          <w:szCs w:val="26"/>
        </w:rPr>
        <w:t xml:space="preserve">, 2020, the Governor’s </w:t>
      </w:r>
      <w:r w:rsidR="00D06B2A">
        <w:rPr>
          <w:color w:val="000000"/>
          <w:sz w:val="26"/>
          <w:szCs w:val="26"/>
        </w:rPr>
        <w:t>O</w:t>
      </w:r>
      <w:r w:rsidRPr="002D4DCE">
        <w:rPr>
          <w:color w:val="000000"/>
          <w:sz w:val="26"/>
          <w:szCs w:val="26"/>
        </w:rPr>
        <w:t xml:space="preserve">ffice issued an order closing all businesses that </w:t>
      </w:r>
      <w:r w:rsidR="00CF68B2">
        <w:rPr>
          <w:color w:val="000000"/>
          <w:sz w:val="26"/>
          <w:szCs w:val="26"/>
        </w:rPr>
        <w:t>were</w:t>
      </w:r>
      <w:r w:rsidRPr="002D4DCE">
        <w:rPr>
          <w:color w:val="000000"/>
          <w:sz w:val="26"/>
          <w:szCs w:val="26"/>
        </w:rPr>
        <w:t xml:space="preserve"> not life sustaining.</w:t>
      </w:r>
      <w:r w:rsidR="00E70583">
        <w:rPr>
          <w:rStyle w:val="FootnoteReference"/>
          <w:color w:val="000000"/>
          <w:szCs w:val="26"/>
        </w:rPr>
        <w:footnoteReference w:id="3"/>
      </w:r>
      <w:r w:rsidR="00E06304">
        <w:rPr>
          <w:color w:val="000000"/>
          <w:sz w:val="26"/>
          <w:szCs w:val="26"/>
        </w:rPr>
        <w:t xml:space="preserve">  </w:t>
      </w:r>
    </w:p>
    <w:p w14:paraId="79044758" w14:textId="77777777" w:rsidR="001005E4" w:rsidRPr="002D4DCE" w:rsidRDefault="001005E4" w:rsidP="001005E4">
      <w:pPr>
        <w:rPr>
          <w:color w:val="000000"/>
          <w:sz w:val="26"/>
          <w:szCs w:val="26"/>
        </w:rPr>
      </w:pPr>
    </w:p>
    <w:p w14:paraId="3431E717" w14:textId="77777777" w:rsidR="00250A27" w:rsidRDefault="000A1693" w:rsidP="00E73509">
      <w:pPr>
        <w:rPr>
          <w:color w:val="000000"/>
          <w:sz w:val="26"/>
          <w:szCs w:val="26"/>
        </w:rPr>
      </w:pPr>
      <w:bookmarkStart w:id="4" w:name="_Hlk46923905"/>
      <w:r w:rsidRPr="002D4DCE">
        <w:rPr>
          <w:color w:val="000000"/>
          <w:sz w:val="26"/>
          <w:szCs w:val="26"/>
        </w:rPr>
        <w:t xml:space="preserve">On March 20, 2020, the Commission issued </w:t>
      </w:r>
      <w:r w:rsidR="006F32B2" w:rsidRPr="002D4DCE">
        <w:rPr>
          <w:color w:val="000000"/>
          <w:sz w:val="26"/>
          <w:szCs w:val="26"/>
        </w:rPr>
        <w:t xml:space="preserve">the </w:t>
      </w:r>
      <w:r w:rsidR="006F32B2" w:rsidRPr="008E48AB">
        <w:rPr>
          <w:i/>
          <w:iCs/>
          <w:color w:val="000000"/>
          <w:sz w:val="26"/>
          <w:szCs w:val="26"/>
        </w:rPr>
        <w:t>Emergency Order Re Suspension of Regulatory and Statutory Deadlines; Modification to Filing and Service Requirements</w:t>
      </w:r>
      <w:r w:rsidR="006F32B2" w:rsidRPr="002D4DCE">
        <w:rPr>
          <w:color w:val="000000"/>
          <w:sz w:val="26"/>
          <w:szCs w:val="26"/>
        </w:rPr>
        <w:t xml:space="preserve">, Docket No. </w:t>
      </w:r>
      <w:bookmarkStart w:id="5" w:name="_Hlk44509876"/>
      <w:r w:rsidR="006F32B2" w:rsidRPr="002D4DCE">
        <w:rPr>
          <w:color w:val="000000"/>
          <w:sz w:val="26"/>
          <w:szCs w:val="26"/>
        </w:rPr>
        <w:t xml:space="preserve">M-2020-3019262 </w:t>
      </w:r>
      <w:bookmarkEnd w:id="5"/>
      <w:r w:rsidR="006F32B2" w:rsidRPr="002D4DCE">
        <w:rPr>
          <w:color w:val="000000"/>
          <w:sz w:val="26"/>
          <w:szCs w:val="26"/>
        </w:rPr>
        <w:t>(</w:t>
      </w:r>
      <w:r w:rsidR="006F32B2" w:rsidRPr="002D4DCE">
        <w:rPr>
          <w:i/>
          <w:iCs/>
          <w:color w:val="000000"/>
          <w:sz w:val="26"/>
          <w:szCs w:val="26"/>
        </w:rPr>
        <w:t>Emergency Order</w:t>
      </w:r>
      <w:r w:rsidR="006F32B2" w:rsidRPr="002D4DCE">
        <w:rPr>
          <w:color w:val="000000"/>
          <w:sz w:val="26"/>
          <w:szCs w:val="26"/>
        </w:rPr>
        <w:t>)</w:t>
      </w:r>
      <w:r w:rsidR="002E43EB" w:rsidRPr="002D4DCE">
        <w:rPr>
          <w:color w:val="000000"/>
          <w:sz w:val="26"/>
          <w:szCs w:val="26"/>
        </w:rPr>
        <w:t xml:space="preserve">, </w:t>
      </w:r>
      <w:r w:rsidRPr="002D4DCE">
        <w:rPr>
          <w:color w:val="000000"/>
          <w:sz w:val="26"/>
          <w:szCs w:val="26"/>
        </w:rPr>
        <w:t xml:space="preserve">to furnish guidance on the conduct of Commission proceedings during the pendency of the COVID-19 </w:t>
      </w:r>
      <w:r w:rsidR="00DD4C0E">
        <w:rPr>
          <w:color w:val="000000"/>
          <w:sz w:val="26"/>
          <w:szCs w:val="26"/>
        </w:rPr>
        <w:t xml:space="preserve">disaster </w:t>
      </w:r>
      <w:r w:rsidRPr="002D4DCE">
        <w:rPr>
          <w:color w:val="000000"/>
          <w:sz w:val="26"/>
          <w:szCs w:val="26"/>
        </w:rPr>
        <w:t xml:space="preserve">emergency.  </w:t>
      </w:r>
      <w:r w:rsidR="00312244" w:rsidRPr="002D4DCE">
        <w:rPr>
          <w:color w:val="000000"/>
          <w:sz w:val="26"/>
          <w:szCs w:val="26"/>
        </w:rPr>
        <w:t xml:space="preserve">Specifically, the </w:t>
      </w:r>
      <w:r w:rsidR="00312244" w:rsidRPr="002D4DCE">
        <w:rPr>
          <w:i/>
          <w:iCs/>
          <w:color w:val="000000"/>
          <w:sz w:val="26"/>
          <w:szCs w:val="26"/>
        </w:rPr>
        <w:t>Emergency Order</w:t>
      </w:r>
      <w:r w:rsidR="00312244" w:rsidRPr="002D4DCE">
        <w:rPr>
          <w:color w:val="000000"/>
          <w:sz w:val="26"/>
          <w:szCs w:val="26"/>
        </w:rPr>
        <w:t xml:space="preserve"> directs, in part, that</w:t>
      </w:r>
      <w:r w:rsidR="00B962E1">
        <w:rPr>
          <w:color w:val="000000"/>
          <w:sz w:val="26"/>
          <w:szCs w:val="26"/>
        </w:rPr>
        <w:t>:</w:t>
      </w:r>
    </w:p>
    <w:p w14:paraId="797B3B63" w14:textId="77777777" w:rsidR="00250A27" w:rsidRDefault="00250A27" w:rsidP="00E73509">
      <w:pPr>
        <w:rPr>
          <w:color w:val="000000"/>
          <w:sz w:val="26"/>
          <w:szCs w:val="26"/>
        </w:rPr>
      </w:pPr>
    </w:p>
    <w:p w14:paraId="07A24399" w14:textId="77777777" w:rsidR="00250A27" w:rsidRDefault="00B962E1" w:rsidP="00E06304">
      <w:pPr>
        <w:spacing w:line="240" w:lineRule="auto"/>
        <w:ind w:left="1440" w:right="1440" w:firstLine="0"/>
        <w:rPr>
          <w:color w:val="000000"/>
          <w:sz w:val="26"/>
          <w:szCs w:val="26"/>
        </w:rPr>
      </w:pPr>
      <w:r>
        <w:rPr>
          <w:color w:val="000000"/>
          <w:sz w:val="26"/>
          <w:szCs w:val="26"/>
        </w:rPr>
        <w:t>P</w:t>
      </w:r>
      <w:r w:rsidR="00312244" w:rsidRPr="002D4DCE">
        <w:rPr>
          <w:color w:val="000000"/>
          <w:sz w:val="26"/>
          <w:szCs w:val="26"/>
        </w:rPr>
        <w:t xml:space="preserve">arties to proceedings before the Commission are encouraged to cooperate regarding the suspension, extension, waiver or change of any regulatory, statutory or procedural deadlines in connection </w:t>
      </w:r>
      <w:r w:rsidR="008E650A" w:rsidRPr="002D4DCE">
        <w:rPr>
          <w:color w:val="000000"/>
          <w:sz w:val="26"/>
          <w:szCs w:val="26"/>
        </w:rPr>
        <w:t>with the performance of any obligation prescribed by the Public Utility Code or other applicable law.</w:t>
      </w:r>
    </w:p>
    <w:p w14:paraId="7707F728" w14:textId="77777777" w:rsidR="00250A27" w:rsidRDefault="00250A27" w:rsidP="002457DE">
      <w:pPr>
        <w:ind w:firstLine="0"/>
        <w:rPr>
          <w:color w:val="000000"/>
          <w:sz w:val="26"/>
          <w:szCs w:val="26"/>
        </w:rPr>
      </w:pPr>
    </w:p>
    <w:p w14:paraId="07A1AAAD" w14:textId="77777777" w:rsidR="00250A27" w:rsidRDefault="008E650A" w:rsidP="002457DE">
      <w:pPr>
        <w:ind w:firstLine="0"/>
        <w:rPr>
          <w:color w:val="000000"/>
          <w:sz w:val="26"/>
          <w:szCs w:val="26"/>
        </w:rPr>
      </w:pPr>
      <w:r w:rsidRPr="002D4DCE">
        <w:rPr>
          <w:i/>
          <w:iCs/>
          <w:color w:val="000000"/>
          <w:sz w:val="26"/>
          <w:szCs w:val="26"/>
        </w:rPr>
        <w:t>Emergency Order</w:t>
      </w:r>
      <w:r w:rsidRPr="002D4DCE">
        <w:rPr>
          <w:color w:val="000000"/>
          <w:sz w:val="26"/>
          <w:szCs w:val="26"/>
        </w:rPr>
        <w:t xml:space="preserve"> at 4.  The </w:t>
      </w:r>
      <w:r w:rsidRPr="002D4DCE">
        <w:rPr>
          <w:i/>
          <w:iCs/>
          <w:color w:val="000000"/>
          <w:sz w:val="26"/>
          <w:szCs w:val="26"/>
        </w:rPr>
        <w:t>Emergency Order</w:t>
      </w:r>
      <w:r w:rsidRPr="002D4DCE">
        <w:rPr>
          <w:color w:val="000000"/>
          <w:sz w:val="26"/>
          <w:szCs w:val="26"/>
        </w:rPr>
        <w:t xml:space="preserve"> further provides</w:t>
      </w:r>
      <w:r w:rsidR="00250A27">
        <w:rPr>
          <w:color w:val="000000"/>
          <w:sz w:val="26"/>
          <w:szCs w:val="26"/>
        </w:rPr>
        <w:t xml:space="preserve"> that</w:t>
      </w:r>
      <w:r w:rsidR="00B962E1">
        <w:rPr>
          <w:color w:val="000000"/>
          <w:sz w:val="26"/>
          <w:szCs w:val="26"/>
        </w:rPr>
        <w:t>:</w:t>
      </w:r>
    </w:p>
    <w:p w14:paraId="601D6D1D" w14:textId="77777777" w:rsidR="00250A27" w:rsidRDefault="00250A27" w:rsidP="002457DE">
      <w:pPr>
        <w:ind w:firstLine="0"/>
        <w:rPr>
          <w:color w:val="000000"/>
          <w:sz w:val="26"/>
          <w:szCs w:val="26"/>
        </w:rPr>
      </w:pPr>
    </w:p>
    <w:p w14:paraId="63EFC933" w14:textId="77777777" w:rsidR="00250A27" w:rsidRDefault="00B962E1" w:rsidP="00E06304">
      <w:pPr>
        <w:spacing w:line="240" w:lineRule="auto"/>
        <w:ind w:left="1440" w:right="1440" w:firstLine="0"/>
        <w:rPr>
          <w:color w:val="000000"/>
          <w:sz w:val="26"/>
          <w:szCs w:val="26"/>
        </w:rPr>
      </w:pPr>
      <w:r>
        <w:rPr>
          <w:color w:val="000000"/>
          <w:sz w:val="26"/>
          <w:szCs w:val="26"/>
        </w:rPr>
        <w:t>[I]</w:t>
      </w:r>
      <w:r w:rsidR="008E650A" w:rsidRPr="002D4DCE">
        <w:rPr>
          <w:color w:val="000000"/>
          <w:sz w:val="26"/>
          <w:szCs w:val="26"/>
        </w:rPr>
        <w:t xml:space="preserve">n pending rate case litigation, the Chief ALJ is authorized to establish reasonable deadlines under the circumstances after consideration of the positions of the </w:t>
      </w:r>
      <w:r w:rsidR="008E650A" w:rsidRPr="00966662">
        <w:rPr>
          <w:color w:val="000000"/>
          <w:sz w:val="26"/>
          <w:szCs w:val="26"/>
        </w:rPr>
        <w:t xml:space="preserve">parties and the presiding Administrative </w:t>
      </w:r>
      <w:r w:rsidR="008E650A" w:rsidRPr="008E650A">
        <w:rPr>
          <w:color w:val="000000"/>
          <w:sz w:val="26"/>
          <w:szCs w:val="26"/>
        </w:rPr>
        <w:t>Law Judge.  The Chief ALJ’s decision would then be subject to review by the Commission.</w:t>
      </w:r>
    </w:p>
    <w:p w14:paraId="0106974D" w14:textId="77777777" w:rsidR="00250A27" w:rsidRDefault="00250A27" w:rsidP="002457DE">
      <w:pPr>
        <w:ind w:left="1440" w:firstLine="0"/>
        <w:rPr>
          <w:color w:val="000000"/>
          <w:sz w:val="26"/>
          <w:szCs w:val="26"/>
        </w:rPr>
      </w:pPr>
    </w:p>
    <w:p w14:paraId="74E71C6B" w14:textId="77777777" w:rsidR="00E73509" w:rsidRPr="00966662" w:rsidRDefault="008E650A" w:rsidP="002457DE">
      <w:pPr>
        <w:ind w:firstLine="0"/>
        <w:rPr>
          <w:color w:val="000000"/>
          <w:sz w:val="26"/>
          <w:szCs w:val="26"/>
        </w:rPr>
      </w:pPr>
      <w:r w:rsidRPr="008E650A">
        <w:rPr>
          <w:i/>
          <w:iCs/>
          <w:color w:val="000000"/>
          <w:sz w:val="26"/>
          <w:szCs w:val="26"/>
        </w:rPr>
        <w:t>Emergency Order</w:t>
      </w:r>
      <w:r w:rsidR="002D4DCE" w:rsidRPr="00966662">
        <w:rPr>
          <w:color w:val="000000"/>
          <w:sz w:val="26"/>
          <w:szCs w:val="26"/>
        </w:rPr>
        <w:t xml:space="preserve"> at</w:t>
      </w:r>
      <w:r w:rsidRPr="008E650A">
        <w:rPr>
          <w:color w:val="000000"/>
          <w:sz w:val="26"/>
          <w:szCs w:val="26"/>
        </w:rPr>
        <w:t xml:space="preserve"> 2. </w:t>
      </w:r>
      <w:r w:rsidR="002D4DCE" w:rsidRPr="00966662">
        <w:rPr>
          <w:color w:val="000000"/>
          <w:sz w:val="26"/>
          <w:szCs w:val="26"/>
        </w:rPr>
        <w:t xml:space="preserve"> Additionally, in </w:t>
      </w:r>
      <w:r w:rsidRPr="008E650A">
        <w:rPr>
          <w:color w:val="000000"/>
          <w:sz w:val="26"/>
          <w:szCs w:val="26"/>
        </w:rPr>
        <w:t xml:space="preserve">response to the </w:t>
      </w:r>
      <w:r w:rsidRPr="008E650A">
        <w:rPr>
          <w:i/>
          <w:iCs/>
          <w:color w:val="000000"/>
          <w:sz w:val="26"/>
          <w:szCs w:val="26"/>
        </w:rPr>
        <w:t>Executive Order</w:t>
      </w:r>
      <w:r w:rsidRPr="008E650A">
        <w:rPr>
          <w:color w:val="000000"/>
          <w:sz w:val="26"/>
          <w:szCs w:val="26"/>
        </w:rPr>
        <w:t>, the</w:t>
      </w:r>
      <w:r w:rsidR="002D4DCE" w:rsidRPr="00966662">
        <w:rPr>
          <w:color w:val="000000"/>
          <w:sz w:val="26"/>
          <w:szCs w:val="26"/>
        </w:rPr>
        <w:t xml:space="preserve"> </w:t>
      </w:r>
      <w:r w:rsidRPr="008E650A">
        <w:rPr>
          <w:color w:val="000000"/>
          <w:sz w:val="26"/>
          <w:szCs w:val="26"/>
        </w:rPr>
        <w:t xml:space="preserve">Commission </w:t>
      </w:r>
      <w:r w:rsidR="002D4DCE" w:rsidRPr="00966662">
        <w:rPr>
          <w:color w:val="000000"/>
          <w:sz w:val="26"/>
          <w:szCs w:val="26"/>
        </w:rPr>
        <w:t>a</w:t>
      </w:r>
      <w:r w:rsidRPr="008E650A">
        <w:rPr>
          <w:color w:val="000000"/>
          <w:sz w:val="26"/>
          <w:szCs w:val="26"/>
        </w:rPr>
        <w:t>dopted broader electronic filing practices, ceased paper service on and by the Commission for the duration of the emergency, and has encouraged other flexible procedures to allow the Commission to continue to operate through the emergency.</w:t>
      </w:r>
    </w:p>
    <w:bookmarkEnd w:id="4"/>
    <w:p w14:paraId="0DB49DFD" w14:textId="77777777" w:rsidR="00513D93" w:rsidRDefault="00513D93" w:rsidP="00513D93">
      <w:pPr>
        <w:rPr>
          <w:sz w:val="26"/>
          <w:szCs w:val="26"/>
        </w:rPr>
      </w:pPr>
      <w:r>
        <w:rPr>
          <w:sz w:val="26"/>
          <w:szCs w:val="26"/>
        </w:rPr>
        <w:lastRenderedPageBreak/>
        <w:t xml:space="preserve">On April 13, 2020, </w:t>
      </w:r>
      <w:r w:rsidR="000F5A4D">
        <w:rPr>
          <w:sz w:val="26"/>
          <w:szCs w:val="26"/>
        </w:rPr>
        <w:t xml:space="preserve">the </w:t>
      </w:r>
      <w:r>
        <w:rPr>
          <w:sz w:val="26"/>
          <w:szCs w:val="26"/>
        </w:rPr>
        <w:t xml:space="preserve">Pennsylvania Supreme Court ruled that the Governor’s </w:t>
      </w:r>
      <w:r w:rsidRPr="005E4400">
        <w:rPr>
          <w:i/>
          <w:iCs/>
          <w:sz w:val="26"/>
          <w:szCs w:val="26"/>
        </w:rPr>
        <w:t>Executive Order</w:t>
      </w:r>
      <w:r>
        <w:rPr>
          <w:sz w:val="26"/>
          <w:szCs w:val="26"/>
        </w:rPr>
        <w:t xml:space="preserve"> is a legal exercise of authority granted to the Governor under the </w:t>
      </w:r>
      <w:r w:rsidRPr="00E56266">
        <w:rPr>
          <w:color w:val="000000"/>
          <w:sz w:val="26"/>
          <w:szCs w:val="26"/>
        </w:rPr>
        <w:t xml:space="preserve">Emergency </w:t>
      </w:r>
      <w:r w:rsidRPr="00194BBA">
        <w:rPr>
          <w:color w:val="000000"/>
          <w:sz w:val="26"/>
          <w:szCs w:val="26"/>
        </w:rPr>
        <w:t>Management Services Code</w:t>
      </w:r>
      <w:r>
        <w:rPr>
          <w:sz w:val="26"/>
          <w:szCs w:val="26"/>
        </w:rPr>
        <w:t>.</w:t>
      </w:r>
      <w:r w:rsidR="00ED142F">
        <w:rPr>
          <w:sz w:val="26"/>
          <w:szCs w:val="26"/>
        </w:rPr>
        <w:t xml:space="preserve">  </w:t>
      </w:r>
      <w:r w:rsidRPr="003F1364">
        <w:rPr>
          <w:i/>
          <w:iCs/>
          <w:sz w:val="26"/>
          <w:szCs w:val="26"/>
        </w:rPr>
        <w:t>See</w:t>
      </w:r>
      <w:r>
        <w:rPr>
          <w:sz w:val="26"/>
          <w:szCs w:val="26"/>
        </w:rPr>
        <w:t xml:space="preserve"> </w:t>
      </w:r>
      <w:r w:rsidRPr="001D2681">
        <w:rPr>
          <w:i/>
          <w:iCs/>
          <w:sz w:val="26"/>
          <w:szCs w:val="26"/>
        </w:rPr>
        <w:t>Friends of Danny DeVito et al. v. Tom Wolf, Governor, et al</w:t>
      </w:r>
      <w:r>
        <w:rPr>
          <w:sz w:val="26"/>
          <w:szCs w:val="26"/>
        </w:rPr>
        <w:t>., 227 A.3d 872 (Pa. 2020), 2020 Pa. LEXIS 1987</w:t>
      </w:r>
      <w:r w:rsidR="00EF41D9">
        <w:rPr>
          <w:sz w:val="26"/>
          <w:szCs w:val="26"/>
        </w:rPr>
        <w:t xml:space="preserve"> (</w:t>
      </w:r>
      <w:r w:rsidR="00757E83" w:rsidRPr="001D2681">
        <w:rPr>
          <w:i/>
          <w:iCs/>
          <w:sz w:val="26"/>
          <w:szCs w:val="26"/>
        </w:rPr>
        <w:t>DeVito</w:t>
      </w:r>
      <w:r w:rsidR="00757E83">
        <w:rPr>
          <w:i/>
          <w:iCs/>
          <w:sz w:val="26"/>
          <w:szCs w:val="26"/>
        </w:rPr>
        <w:t>)</w:t>
      </w:r>
      <w:r>
        <w:rPr>
          <w:sz w:val="26"/>
          <w:szCs w:val="26"/>
        </w:rPr>
        <w:t>, *25 (citing 35 Pa.</w:t>
      </w:r>
      <w:r w:rsidR="00C87AC8">
        <w:rPr>
          <w:sz w:val="26"/>
          <w:szCs w:val="26"/>
        </w:rPr>
        <w:t xml:space="preserve"> </w:t>
      </w:r>
      <w:r>
        <w:rPr>
          <w:sz w:val="26"/>
          <w:szCs w:val="26"/>
        </w:rPr>
        <w:t>C.S. § 7301(f)).</w:t>
      </w:r>
    </w:p>
    <w:p w14:paraId="651DB48C" w14:textId="77777777" w:rsidR="00513D93" w:rsidRDefault="00513D93" w:rsidP="00724984">
      <w:pPr>
        <w:rPr>
          <w:color w:val="000000"/>
          <w:sz w:val="26"/>
          <w:szCs w:val="26"/>
        </w:rPr>
      </w:pPr>
    </w:p>
    <w:p w14:paraId="3FA43D32" w14:textId="77777777" w:rsidR="007227A6" w:rsidRDefault="00724984" w:rsidP="00724984">
      <w:pPr>
        <w:rPr>
          <w:color w:val="000000"/>
          <w:sz w:val="26"/>
          <w:szCs w:val="26"/>
        </w:rPr>
      </w:pPr>
      <w:r>
        <w:rPr>
          <w:color w:val="000000"/>
          <w:sz w:val="26"/>
          <w:szCs w:val="26"/>
        </w:rPr>
        <w:t>Beginning in late</w:t>
      </w:r>
      <w:r w:rsidR="000F5A4D">
        <w:rPr>
          <w:color w:val="000000"/>
          <w:sz w:val="26"/>
          <w:szCs w:val="26"/>
        </w:rPr>
        <w:t xml:space="preserve"> </w:t>
      </w:r>
      <w:r>
        <w:rPr>
          <w:color w:val="000000"/>
          <w:sz w:val="26"/>
          <w:szCs w:val="26"/>
        </w:rPr>
        <w:t xml:space="preserve">May 2020, the </w:t>
      </w:r>
      <w:r w:rsidRPr="00966662">
        <w:rPr>
          <w:color w:val="000000"/>
          <w:sz w:val="26"/>
          <w:szCs w:val="26"/>
        </w:rPr>
        <w:t>reopening phase</w:t>
      </w:r>
      <w:r>
        <w:rPr>
          <w:color w:val="000000"/>
          <w:sz w:val="26"/>
          <w:szCs w:val="26"/>
        </w:rPr>
        <w:t xml:space="preserve"> began</w:t>
      </w:r>
      <w:r w:rsidRPr="00966662">
        <w:rPr>
          <w:color w:val="000000"/>
          <w:sz w:val="26"/>
          <w:szCs w:val="26"/>
        </w:rPr>
        <w:t xml:space="preserve"> under Governor Wolf’s program that has allowed </w:t>
      </w:r>
      <w:r>
        <w:rPr>
          <w:color w:val="000000"/>
          <w:sz w:val="26"/>
          <w:szCs w:val="26"/>
        </w:rPr>
        <w:t>C</w:t>
      </w:r>
      <w:r w:rsidRPr="00966662">
        <w:rPr>
          <w:color w:val="000000"/>
          <w:sz w:val="26"/>
          <w:szCs w:val="26"/>
        </w:rPr>
        <w:t>ounties to move towards reopening business</w:t>
      </w:r>
      <w:r w:rsidR="00C87AC8">
        <w:rPr>
          <w:color w:val="000000"/>
          <w:sz w:val="26"/>
          <w:szCs w:val="26"/>
        </w:rPr>
        <w:t>es</w:t>
      </w:r>
      <w:r w:rsidRPr="00966662">
        <w:rPr>
          <w:color w:val="000000"/>
          <w:sz w:val="26"/>
          <w:szCs w:val="26"/>
        </w:rPr>
        <w:t xml:space="preserve"> and government locations through a series of progressively less-restrictive reopening protocols under the Governor’s Red-Yellow-Green designations. </w:t>
      </w:r>
    </w:p>
    <w:p w14:paraId="1ACC74F1" w14:textId="77777777" w:rsidR="007227A6" w:rsidRDefault="007227A6" w:rsidP="00724984">
      <w:pPr>
        <w:rPr>
          <w:color w:val="000000"/>
          <w:sz w:val="26"/>
          <w:szCs w:val="26"/>
        </w:rPr>
      </w:pPr>
    </w:p>
    <w:p w14:paraId="30AF09DC" w14:textId="77777777" w:rsidR="007227A6" w:rsidRDefault="007227A6" w:rsidP="007227A6">
      <w:pPr>
        <w:rPr>
          <w:sz w:val="26"/>
          <w:szCs w:val="26"/>
        </w:rPr>
      </w:pPr>
      <w:r>
        <w:rPr>
          <w:rFonts w:eastAsia="Calibri"/>
          <w:sz w:val="26"/>
          <w:szCs w:val="26"/>
        </w:rPr>
        <w:t xml:space="preserve">On June 3, 2020, Governor </w:t>
      </w:r>
      <w:r w:rsidR="0023104B">
        <w:rPr>
          <w:rFonts w:eastAsia="Calibri"/>
          <w:sz w:val="26"/>
          <w:szCs w:val="26"/>
        </w:rPr>
        <w:t xml:space="preserve">Wolf </w:t>
      </w:r>
      <w:r>
        <w:rPr>
          <w:rFonts w:eastAsia="Calibri"/>
          <w:sz w:val="26"/>
          <w:szCs w:val="26"/>
        </w:rPr>
        <w:t xml:space="preserve">renewed </w:t>
      </w:r>
      <w:r w:rsidR="00513D93">
        <w:rPr>
          <w:rFonts w:eastAsia="Calibri"/>
          <w:sz w:val="26"/>
          <w:szCs w:val="26"/>
        </w:rPr>
        <w:t>the</w:t>
      </w:r>
      <w:r w:rsidRPr="008909F1">
        <w:rPr>
          <w:rFonts w:eastAsia="Calibri"/>
          <w:i/>
          <w:iCs/>
          <w:sz w:val="26"/>
          <w:szCs w:val="26"/>
        </w:rPr>
        <w:t xml:space="preserve"> </w:t>
      </w:r>
      <w:r w:rsidRPr="007F7AFC">
        <w:rPr>
          <w:rFonts w:eastAsia="Calibri"/>
          <w:i/>
          <w:iCs/>
          <w:sz w:val="26"/>
          <w:szCs w:val="26"/>
        </w:rPr>
        <w:t>Executive Order</w:t>
      </w:r>
      <w:r>
        <w:rPr>
          <w:rFonts w:eastAsia="Calibri"/>
          <w:sz w:val="26"/>
          <w:szCs w:val="26"/>
        </w:rPr>
        <w:t xml:space="preserve"> for </w:t>
      </w:r>
      <w:r w:rsidR="00C87AC8">
        <w:rPr>
          <w:rFonts w:eastAsia="Calibri"/>
          <w:sz w:val="26"/>
          <w:szCs w:val="26"/>
        </w:rPr>
        <w:t xml:space="preserve">an additional </w:t>
      </w:r>
      <w:r>
        <w:rPr>
          <w:rFonts w:eastAsia="Calibri"/>
          <w:sz w:val="26"/>
          <w:szCs w:val="26"/>
        </w:rPr>
        <w:t>ninety days.</w:t>
      </w:r>
      <w:r>
        <w:rPr>
          <w:rStyle w:val="FootnoteReference"/>
          <w:rFonts w:eastAsia="Calibri"/>
          <w:szCs w:val="26"/>
        </w:rPr>
        <w:footnoteReference w:id="4"/>
      </w:r>
      <w:r>
        <w:rPr>
          <w:rFonts w:eastAsia="Calibri"/>
          <w:sz w:val="26"/>
          <w:szCs w:val="26"/>
        </w:rPr>
        <w:t xml:space="preserve">  </w:t>
      </w:r>
    </w:p>
    <w:p w14:paraId="4619FB43" w14:textId="77777777" w:rsidR="00724984" w:rsidRDefault="00724984" w:rsidP="007227A6">
      <w:pPr>
        <w:ind w:firstLine="0"/>
        <w:rPr>
          <w:color w:val="000000"/>
          <w:sz w:val="26"/>
          <w:szCs w:val="26"/>
        </w:rPr>
      </w:pPr>
    </w:p>
    <w:p w14:paraId="6DC917F9" w14:textId="77777777" w:rsidR="0023104B" w:rsidRDefault="00724984" w:rsidP="0023104B">
      <w:pPr>
        <w:rPr>
          <w:color w:val="000000"/>
          <w:sz w:val="26"/>
          <w:szCs w:val="26"/>
        </w:rPr>
      </w:pPr>
      <w:bookmarkStart w:id="6" w:name="_Hlk46132446"/>
      <w:r w:rsidRPr="009110D4">
        <w:rPr>
          <w:color w:val="000000"/>
          <w:sz w:val="26"/>
          <w:szCs w:val="26"/>
        </w:rPr>
        <w:t>On July 1, 2020, the</w:t>
      </w:r>
      <w:r>
        <w:rPr>
          <w:color w:val="000000"/>
          <w:sz w:val="26"/>
          <w:szCs w:val="26"/>
        </w:rPr>
        <w:t xml:space="preserve"> Commonwealth of Pennsylvania’s Secretary of the Department of Health </w:t>
      </w:r>
      <w:r w:rsidR="00235DBE">
        <w:rPr>
          <w:color w:val="000000"/>
          <w:sz w:val="26"/>
          <w:szCs w:val="26"/>
        </w:rPr>
        <w:t>issued an Order</w:t>
      </w:r>
      <w:r w:rsidR="00235DBE">
        <w:rPr>
          <w:rStyle w:val="FootnoteReference"/>
          <w:color w:val="000000"/>
          <w:szCs w:val="26"/>
        </w:rPr>
        <w:footnoteReference w:id="5"/>
      </w:r>
      <w:r w:rsidR="00250A27">
        <w:rPr>
          <w:color w:val="000000"/>
          <w:sz w:val="26"/>
          <w:szCs w:val="26"/>
        </w:rPr>
        <w:t xml:space="preserve"> </w:t>
      </w:r>
      <w:r w:rsidR="00235DBE">
        <w:rPr>
          <w:color w:val="000000"/>
          <w:sz w:val="26"/>
          <w:szCs w:val="26"/>
        </w:rPr>
        <w:t>and on July 15, 2020, the Governor</w:t>
      </w:r>
      <w:r w:rsidR="00235DBE">
        <w:rPr>
          <w:rStyle w:val="FootnoteReference"/>
          <w:color w:val="000000"/>
          <w:szCs w:val="26"/>
        </w:rPr>
        <w:footnoteReference w:id="6"/>
      </w:r>
      <w:r w:rsidR="00235DBE">
        <w:rPr>
          <w:color w:val="000000"/>
          <w:sz w:val="26"/>
          <w:szCs w:val="26"/>
        </w:rPr>
        <w:t xml:space="preserve"> and the Secretary of Health</w:t>
      </w:r>
      <w:r w:rsidR="00235DBE">
        <w:rPr>
          <w:rStyle w:val="FootnoteReference"/>
          <w:color w:val="000000"/>
          <w:szCs w:val="26"/>
        </w:rPr>
        <w:footnoteReference w:id="7"/>
      </w:r>
      <w:r w:rsidR="00235DBE">
        <w:rPr>
          <w:color w:val="000000"/>
          <w:sz w:val="26"/>
          <w:szCs w:val="26"/>
        </w:rPr>
        <w:t xml:space="preserve"> each signed new orders, effective July 16, 2020, for statewide targeted mitigation efforts in response to the recent rise in COVID-19 cases.  These </w:t>
      </w:r>
      <w:r w:rsidR="0015576D">
        <w:rPr>
          <w:color w:val="000000"/>
          <w:sz w:val="26"/>
          <w:szCs w:val="26"/>
        </w:rPr>
        <w:t>O</w:t>
      </w:r>
      <w:r w:rsidR="00235DBE">
        <w:rPr>
          <w:color w:val="000000"/>
          <w:sz w:val="26"/>
          <w:szCs w:val="26"/>
        </w:rPr>
        <w:t xml:space="preserve">rders </w:t>
      </w:r>
      <w:r w:rsidR="00255530">
        <w:rPr>
          <w:color w:val="000000"/>
          <w:sz w:val="26"/>
          <w:szCs w:val="26"/>
        </w:rPr>
        <w:t xml:space="preserve">included, </w:t>
      </w:r>
      <w:r w:rsidR="00235DBE" w:rsidRPr="002457DE">
        <w:rPr>
          <w:i/>
          <w:color w:val="000000"/>
          <w:sz w:val="26"/>
          <w:szCs w:val="26"/>
        </w:rPr>
        <w:t>inter alia</w:t>
      </w:r>
      <w:r w:rsidR="00235DBE">
        <w:rPr>
          <w:color w:val="000000"/>
          <w:sz w:val="26"/>
          <w:szCs w:val="26"/>
        </w:rPr>
        <w:t xml:space="preserve">, </w:t>
      </w:r>
      <w:r>
        <w:rPr>
          <w:color w:val="000000"/>
          <w:sz w:val="26"/>
          <w:szCs w:val="26"/>
        </w:rPr>
        <w:t>mandating the use of universal face coverings in public</w:t>
      </w:r>
      <w:r w:rsidR="007227A6">
        <w:rPr>
          <w:color w:val="000000"/>
          <w:sz w:val="26"/>
          <w:szCs w:val="26"/>
        </w:rPr>
        <w:t>, beginning immediately</w:t>
      </w:r>
      <w:r w:rsidR="003F4BBB">
        <w:rPr>
          <w:color w:val="000000"/>
          <w:sz w:val="26"/>
          <w:szCs w:val="26"/>
        </w:rPr>
        <w:t>,</w:t>
      </w:r>
      <w:r w:rsidR="00255530">
        <w:rPr>
          <w:color w:val="000000"/>
          <w:sz w:val="26"/>
          <w:szCs w:val="26"/>
        </w:rPr>
        <w:t xml:space="preserve"> and </w:t>
      </w:r>
      <w:r w:rsidR="00DD4C0E">
        <w:rPr>
          <w:color w:val="000000"/>
          <w:sz w:val="26"/>
          <w:szCs w:val="26"/>
        </w:rPr>
        <w:t xml:space="preserve">further </w:t>
      </w:r>
      <w:r w:rsidR="0023104B">
        <w:rPr>
          <w:color w:val="000000"/>
          <w:sz w:val="26"/>
          <w:szCs w:val="26"/>
        </w:rPr>
        <w:t xml:space="preserve">directing the continuation of telework </w:t>
      </w:r>
      <w:bookmarkStart w:id="7" w:name="_Hlk46131167"/>
      <w:r w:rsidR="0023104B">
        <w:rPr>
          <w:color w:val="000000"/>
          <w:sz w:val="26"/>
          <w:szCs w:val="26"/>
        </w:rPr>
        <w:t>within the Commonwealth.</w:t>
      </w:r>
      <w:bookmarkEnd w:id="7"/>
    </w:p>
    <w:p w14:paraId="42CA0B25" w14:textId="77777777" w:rsidR="00513D93" w:rsidRPr="00966662" w:rsidRDefault="00513D93" w:rsidP="00724984">
      <w:pPr>
        <w:rPr>
          <w:color w:val="000000"/>
          <w:sz w:val="26"/>
          <w:szCs w:val="26"/>
        </w:rPr>
      </w:pPr>
      <w:bookmarkStart w:id="8" w:name="_Hlk46133167"/>
      <w:r>
        <w:rPr>
          <w:color w:val="000000"/>
          <w:sz w:val="26"/>
          <w:szCs w:val="26"/>
        </w:rPr>
        <w:lastRenderedPageBreak/>
        <w:t>As of the entry date of this Opinion and Order,</w:t>
      </w:r>
      <w:r w:rsidR="00235DBE">
        <w:rPr>
          <w:color w:val="000000"/>
          <w:sz w:val="26"/>
          <w:szCs w:val="26"/>
        </w:rPr>
        <w:t xml:space="preserve"> </w:t>
      </w:r>
      <w:r>
        <w:rPr>
          <w:color w:val="000000"/>
          <w:sz w:val="26"/>
          <w:szCs w:val="26"/>
        </w:rPr>
        <w:t xml:space="preserve">the Commission’s office buildings </w:t>
      </w:r>
      <w:r w:rsidR="00C87AC8">
        <w:rPr>
          <w:color w:val="000000"/>
          <w:sz w:val="26"/>
          <w:szCs w:val="26"/>
        </w:rPr>
        <w:t xml:space="preserve">remain </w:t>
      </w:r>
      <w:r>
        <w:rPr>
          <w:color w:val="000000"/>
          <w:sz w:val="26"/>
          <w:szCs w:val="26"/>
        </w:rPr>
        <w:t>closed</w:t>
      </w:r>
      <w:r w:rsidR="00235DBE" w:rsidRPr="00235DBE">
        <w:rPr>
          <w:color w:val="000000"/>
          <w:sz w:val="26"/>
          <w:szCs w:val="26"/>
        </w:rPr>
        <w:t xml:space="preserve"> </w:t>
      </w:r>
      <w:r w:rsidR="00235DBE">
        <w:rPr>
          <w:color w:val="000000"/>
          <w:sz w:val="26"/>
          <w:szCs w:val="26"/>
        </w:rPr>
        <w:t>due to the COVID-19 disaster emergency,</w:t>
      </w:r>
      <w:r w:rsidR="006E50FE">
        <w:rPr>
          <w:color w:val="000000"/>
          <w:sz w:val="26"/>
          <w:szCs w:val="26"/>
        </w:rPr>
        <w:t xml:space="preserve"> </w:t>
      </w:r>
      <w:r w:rsidR="00C87AC8">
        <w:rPr>
          <w:color w:val="000000"/>
          <w:sz w:val="26"/>
          <w:szCs w:val="26"/>
        </w:rPr>
        <w:t xml:space="preserve">however, </w:t>
      </w:r>
      <w:r w:rsidR="00235DBE">
        <w:rPr>
          <w:color w:val="000000"/>
          <w:sz w:val="26"/>
          <w:szCs w:val="26"/>
        </w:rPr>
        <w:t>t</w:t>
      </w:r>
      <w:r w:rsidR="00DD4C0E">
        <w:rPr>
          <w:color w:val="000000"/>
          <w:sz w:val="26"/>
          <w:szCs w:val="26"/>
        </w:rPr>
        <w:t xml:space="preserve">he Commission remains fully operational </w:t>
      </w:r>
      <w:bookmarkStart w:id="9" w:name="_Hlk46134418"/>
      <w:r w:rsidR="00DD4C0E">
        <w:rPr>
          <w:color w:val="000000"/>
          <w:sz w:val="26"/>
          <w:szCs w:val="26"/>
        </w:rPr>
        <w:t>with its staff teleworking.</w:t>
      </w:r>
      <w:bookmarkEnd w:id="9"/>
    </w:p>
    <w:bookmarkEnd w:id="6"/>
    <w:bookmarkEnd w:id="8"/>
    <w:p w14:paraId="5C1A5837" w14:textId="77777777" w:rsidR="00506ADD" w:rsidRPr="00966662" w:rsidRDefault="00506ADD" w:rsidP="00E06304">
      <w:pPr>
        <w:ind w:firstLine="0"/>
        <w:rPr>
          <w:color w:val="000000"/>
          <w:sz w:val="26"/>
          <w:szCs w:val="26"/>
        </w:rPr>
      </w:pPr>
    </w:p>
    <w:p w14:paraId="79B724A5" w14:textId="77777777" w:rsidR="001E7249" w:rsidRPr="008E165A" w:rsidRDefault="001E7249" w:rsidP="00DD04BF">
      <w:pPr>
        <w:keepNext/>
        <w:keepLines/>
        <w:tabs>
          <w:tab w:val="left" w:pos="-720"/>
        </w:tabs>
        <w:ind w:firstLine="0"/>
        <w:jc w:val="center"/>
        <w:rPr>
          <w:b/>
          <w:sz w:val="26"/>
          <w:szCs w:val="20"/>
        </w:rPr>
      </w:pPr>
      <w:r w:rsidRPr="008E165A">
        <w:rPr>
          <w:b/>
          <w:sz w:val="26"/>
          <w:szCs w:val="20"/>
        </w:rPr>
        <w:t>History of the Proceeding</w:t>
      </w:r>
    </w:p>
    <w:p w14:paraId="0205D903" w14:textId="77777777" w:rsidR="001E7249" w:rsidRPr="008E165A" w:rsidRDefault="001E7249" w:rsidP="0038649D">
      <w:pPr>
        <w:keepNext/>
        <w:keepLines/>
        <w:tabs>
          <w:tab w:val="left" w:pos="-720"/>
        </w:tabs>
        <w:ind w:firstLine="0"/>
        <w:rPr>
          <w:bCs/>
          <w:sz w:val="26"/>
          <w:szCs w:val="26"/>
        </w:rPr>
      </w:pPr>
    </w:p>
    <w:p w14:paraId="3563005D" w14:textId="77777777" w:rsidR="00C44731" w:rsidRDefault="00C44731" w:rsidP="00C44731">
      <w:pPr>
        <w:tabs>
          <w:tab w:val="left" w:pos="-720"/>
        </w:tabs>
        <w:rPr>
          <w:bCs/>
          <w:sz w:val="26"/>
          <w:szCs w:val="26"/>
        </w:rPr>
      </w:pPr>
      <w:r w:rsidRPr="00C44731">
        <w:rPr>
          <w:bCs/>
          <w:sz w:val="26"/>
          <w:szCs w:val="26"/>
        </w:rPr>
        <w:t xml:space="preserve">On March 30, 2020, PAWC filed with the Commission its Notice of Intent </w:t>
      </w:r>
      <w:r w:rsidR="00A5058E" w:rsidRPr="008E165A">
        <w:rPr>
          <w:bCs/>
          <w:sz w:val="26"/>
          <w:szCs w:val="26"/>
        </w:rPr>
        <w:t xml:space="preserve">to file </w:t>
      </w:r>
      <w:r w:rsidR="00A5058E" w:rsidRPr="004B3EBB">
        <w:rPr>
          <w:bCs/>
          <w:sz w:val="26"/>
          <w:szCs w:val="26"/>
        </w:rPr>
        <w:t>data</w:t>
      </w:r>
      <w:r w:rsidR="002474EE" w:rsidRPr="002474EE">
        <w:rPr>
          <w:bCs/>
          <w:sz w:val="26"/>
          <w:szCs w:val="26"/>
        </w:rPr>
        <w:t xml:space="preserve"> </w:t>
      </w:r>
      <w:r w:rsidR="002474EE">
        <w:rPr>
          <w:bCs/>
          <w:sz w:val="26"/>
          <w:szCs w:val="26"/>
        </w:rPr>
        <w:t>and testimony</w:t>
      </w:r>
      <w:r w:rsidR="00A5058E" w:rsidRPr="004B3EBB">
        <w:rPr>
          <w:bCs/>
          <w:sz w:val="26"/>
          <w:szCs w:val="26"/>
        </w:rPr>
        <w:t xml:space="preserve"> in support of </w:t>
      </w:r>
      <w:r w:rsidR="00A5058E">
        <w:rPr>
          <w:bCs/>
          <w:sz w:val="26"/>
          <w:szCs w:val="26"/>
        </w:rPr>
        <w:t>its</w:t>
      </w:r>
      <w:r w:rsidR="00A5058E" w:rsidRPr="004B3EBB">
        <w:rPr>
          <w:bCs/>
          <w:sz w:val="26"/>
          <w:szCs w:val="26"/>
        </w:rPr>
        <w:t xml:space="preserve"> proposed </w:t>
      </w:r>
      <w:r w:rsidR="00A5058E">
        <w:rPr>
          <w:bCs/>
          <w:sz w:val="26"/>
          <w:szCs w:val="26"/>
        </w:rPr>
        <w:t>genera</w:t>
      </w:r>
      <w:r w:rsidR="00871B77">
        <w:rPr>
          <w:bCs/>
          <w:sz w:val="26"/>
          <w:szCs w:val="26"/>
        </w:rPr>
        <w:t>l</w:t>
      </w:r>
      <w:r w:rsidR="00A5058E">
        <w:rPr>
          <w:bCs/>
          <w:sz w:val="26"/>
          <w:szCs w:val="26"/>
        </w:rPr>
        <w:t xml:space="preserve"> base rate </w:t>
      </w:r>
      <w:r w:rsidR="00A5058E" w:rsidRPr="004B3EBB">
        <w:rPr>
          <w:bCs/>
          <w:sz w:val="26"/>
          <w:szCs w:val="26"/>
        </w:rPr>
        <w:t>increase</w:t>
      </w:r>
      <w:r w:rsidR="00A5058E">
        <w:rPr>
          <w:bCs/>
          <w:sz w:val="26"/>
          <w:szCs w:val="26"/>
        </w:rPr>
        <w:t xml:space="preserve"> on or before </w:t>
      </w:r>
      <w:r w:rsidRPr="00C44731">
        <w:rPr>
          <w:bCs/>
          <w:sz w:val="26"/>
          <w:szCs w:val="26"/>
        </w:rPr>
        <w:t xml:space="preserve">April 29, 2020.  </w:t>
      </w:r>
    </w:p>
    <w:p w14:paraId="3211B313" w14:textId="77777777" w:rsidR="00C44731" w:rsidRDefault="00C44731" w:rsidP="00C44731">
      <w:pPr>
        <w:tabs>
          <w:tab w:val="left" w:pos="-720"/>
        </w:tabs>
        <w:rPr>
          <w:bCs/>
          <w:sz w:val="26"/>
          <w:szCs w:val="26"/>
        </w:rPr>
      </w:pPr>
    </w:p>
    <w:p w14:paraId="6C0FAEB9" w14:textId="566A5DA7" w:rsidR="00C44731" w:rsidRDefault="00C44731" w:rsidP="00C44731">
      <w:pPr>
        <w:tabs>
          <w:tab w:val="left" w:pos="-720"/>
        </w:tabs>
        <w:rPr>
          <w:bCs/>
          <w:sz w:val="26"/>
          <w:szCs w:val="26"/>
        </w:rPr>
      </w:pPr>
      <w:r w:rsidRPr="00C44731">
        <w:rPr>
          <w:bCs/>
          <w:sz w:val="26"/>
          <w:szCs w:val="26"/>
        </w:rPr>
        <w:t>On April 29, 2020, the Company filed Supplement No. 19 to Original Tariff Water – Pa. P.U.C. No. 5 and Supplement No. 19 to Original Tariff Wastewater – Pa. P.U.C. No. 16</w:t>
      </w:r>
      <w:r w:rsidR="002474EE">
        <w:rPr>
          <w:bCs/>
          <w:sz w:val="26"/>
          <w:szCs w:val="26"/>
        </w:rPr>
        <w:t>,</w:t>
      </w:r>
      <w:r w:rsidRPr="00C44731">
        <w:rPr>
          <w:bCs/>
          <w:sz w:val="26"/>
          <w:szCs w:val="26"/>
        </w:rPr>
        <w:t xml:space="preserve"> </w:t>
      </w:r>
      <w:r w:rsidR="00566BA4" w:rsidRPr="00706CDA">
        <w:rPr>
          <w:sz w:val="26"/>
          <w:szCs w:val="26"/>
        </w:rPr>
        <w:t xml:space="preserve">issued to be effective for service rendered on </w:t>
      </w:r>
      <w:r w:rsidR="00566BA4">
        <w:rPr>
          <w:sz w:val="26"/>
          <w:szCs w:val="26"/>
        </w:rPr>
        <w:t xml:space="preserve">and </w:t>
      </w:r>
      <w:r w:rsidR="00566BA4" w:rsidRPr="00706CDA">
        <w:rPr>
          <w:sz w:val="26"/>
          <w:szCs w:val="26"/>
        </w:rPr>
        <w:t>after</w:t>
      </w:r>
      <w:r w:rsidR="00566BA4" w:rsidRPr="00C44731">
        <w:rPr>
          <w:bCs/>
          <w:sz w:val="26"/>
          <w:szCs w:val="26"/>
        </w:rPr>
        <w:t xml:space="preserve"> </w:t>
      </w:r>
      <w:r w:rsidRPr="00C44731">
        <w:rPr>
          <w:bCs/>
          <w:sz w:val="26"/>
          <w:szCs w:val="26"/>
        </w:rPr>
        <w:t xml:space="preserve">June 28, 2020.  </w:t>
      </w:r>
      <w:r w:rsidR="00B01EEA">
        <w:rPr>
          <w:bCs/>
          <w:sz w:val="26"/>
          <w:szCs w:val="26"/>
        </w:rPr>
        <w:t>T</w:t>
      </w:r>
      <w:r w:rsidRPr="00C44731">
        <w:rPr>
          <w:bCs/>
          <w:sz w:val="26"/>
          <w:szCs w:val="26"/>
        </w:rPr>
        <w:t>he</w:t>
      </w:r>
      <w:r w:rsidR="00341B9E" w:rsidRPr="00341B9E">
        <w:rPr>
          <w:sz w:val="26"/>
          <w:szCs w:val="26"/>
        </w:rPr>
        <w:t xml:space="preserve"> </w:t>
      </w:r>
      <w:r w:rsidR="00341B9E">
        <w:rPr>
          <w:sz w:val="26"/>
          <w:szCs w:val="26"/>
        </w:rPr>
        <w:t>filing</w:t>
      </w:r>
      <w:r w:rsidR="00341B9E" w:rsidRPr="00706CDA">
        <w:rPr>
          <w:sz w:val="26"/>
          <w:szCs w:val="26"/>
        </w:rPr>
        <w:t xml:space="preserve"> proposed changes to </w:t>
      </w:r>
      <w:r w:rsidR="00341B9E">
        <w:rPr>
          <w:sz w:val="26"/>
          <w:szCs w:val="26"/>
        </w:rPr>
        <w:t>PAWC</w:t>
      </w:r>
      <w:r w:rsidR="00341B9E" w:rsidRPr="00706CDA">
        <w:rPr>
          <w:sz w:val="26"/>
          <w:szCs w:val="26"/>
        </w:rPr>
        <w:t>’s base rates designed to produce an</w:t>
      </w:r>
      <w:r w:rsidR="00341B9E">
        <w:rPr>
          <w:sz w:val="26"/>
          <w:szCs w:val="26"/>
        </w:rPr>
        <w:t xml:space="preserve"> </w:t>
      </w:r>
      <w:r w:rsidR="00341B9E" w:rsidRPr="00C55507">
        <w:rPr>
          <w:sz w:val="26"/>
          <w:szCs w:val="26"/>
        </w:rPr>
        <w:t xml:space="preserve">increase in annual </w:t>
      </w:r>
      <w:r w:rsidR="00566BA4">
        <w:rPr>
          <w:sz w:val="26"/>
          <w:szCs w:val="26"/>
        </w:rPr>
        <w:t xml:space="preserve">water and wastewater </w:t>
      </w:r>
      <w:r w:rsidR="00341B9E" w:rsidRPr="00C55507">
        <w:rPr>
          <w:sz w:val="26"/>
          <w:szCs w:val="26"/>
        </w:rPr>
        <w:t xml:space="preserve">revenues </w:t>
      </w:r>
      <w:r w:rsidRPr="00C44731">
        <w:rPr>
          <w:bCs/>
          <w:sz w:val="26"/>
          <w:szCs w:val="26"/>
        </w:rPr>
        <w:t>totaling $138.6 million over two years:  $92.4</w:t>
      </w:r>
      <w:r w:rsidR="00967B68">
        <w:rPr>
          <w:bCs/>
          <w:sz w:val="26"/>
          <w:szCs w:val="26"/>
        </w:rPr>
        <w:t> </w:t>
      </w:r>
      <w:r w:rsidRPr="00C44731">
        <w:rPr>
          <w:bCs/>
          <w:sz w:val="26"/>
          <w:szCs w:val="26"/>
        </w:rPr>
        <w:t xml:space="preserve">million, annualized over the entire year 2021, and $46.2 million in 2022. </w:t>
      </w:r>
    </w:p>
    <w:p w14:paraId="30AEF2B5" w14:textId="77777777" w:rsidR="00C44731" w:rsidRDefault="00C44731" w:rsidP="00C44731">
      <w:pPr>
        <w:tabs>
          <w:tab w:val="left" w:pos="-720"/>
        </w:tabs>
        <w:rPr>
          <w:bCs/>
          <w:sz w:val="26"/>
          <w:szCs w:val="26"/>
        </w:rPr>
      </w:pPr>
    </w:p>
    <w:p w14:paraId="42A1DB33" w14:textId="77777777" w:rsidR="00743911" w:rsidRDefault="00743911" w:rsidP="00743911">
      <w:pPr>
        <w:tabs>
          <w:tab w:val="left" w:pos="-720"/>
        </w:tabs>
        <w:rPr>
          <w:bCs/>
          <w:sz w:val="26"/>
          <w:szCs w:val="26"/>
        </w:rPr>
      </w:pPr>
      <w:r w:rsidRPr="00C44731">
        <w:rPr>
          <w:bCs/>
          <w:sz w:val="26"/>
          <w:szCs w:val="26"/>
        </w:rPr>
        <w:t>Beginning on April 29, 2020</w:t>
      </w:r>
      <w:r>
        <w:rPr>
          <w:bCs/>
          <w:sz w:val="26"/>
          <w:szCs w:val="26"/>
        </w:rPr>
        <w:t>,</w:t>
      </w:r>
      <w:r w:rsidRPr="00C44731">
        <w:rPr>
          <w:bCs/>
          <w:sz w:val="26"/>
          <w:szCs w:val="26"/>
        </w:rPr>
        <w:t xml:space="preserve"> Complaints and Petitions to Intervene were filed by various parties includin</w:t>
      </w:r>
      <w:r>
        <w:rPr>
          <w:bCs/>
          <w:sz w:val="26"/>
          <w:szCs w:val="26"/>
        </w:rPr>
        <w:t xml:space="preserve">g </w:t>
      </w:r>
      <w:r w:rsidRPr="00C44731">
        <w:rPr>
          <w:bCs/>
          <w:sz w:val="26"/>
          <w:szCs w:val="26"/>
        </w:rPr>
        <w:t xml:space="preserve">the OCA and the </w:t>
      </w:r>
      <w:r>
        <w:rPr>
          <w:bCs/>
          <w:sz w:val="26"/>
          <w:szCs w:val="26"/>
        </w:rPr>
        <w:t>OSBA</w:t>
      </w:r>
      <w:r w:rsidRPr="00C44731">
        <w:rPr>
          <w:bCs/>
          <w:sz w:val="26"/>
          <w:szCs w:val="26"/>
        </w:rPr>
        <w:t>, a</w:t>
      </w:r>
      <w:r>
        <w:rPr>
          <w:bCs/>
          <w:sz w:val="26"/>
          <w:szCs w:val="26"/>
        </w:rPr>
        <w:t>nd I</w:t>
      </w:r>
      <w:r w:rsidRPr="00C44731">
        <w:rPr>
          <w:bCs/>
          <w:sz w:val="26"/>
          <w:szCs w:val="26"/>
        </w:rPr>
        <w:t xml:space="preserve">&amp;E filed a Notice of Appearance.  A list of the parties that filed pleadings in this case is set forth in the Prehearing Order issued by the ALJ on June 15, 2020. </w:t>
      </w:r>
    </w:p>
    <w:p w14:paraId="56631E60" w14:textId="77777777" w:rsidR="00743911" w:rsidRDefault="00743911" w:rsidP="00C44731">
      <w:pPr>
        <w:tabs>
          <w:tab w:val="left" w:pos="-720"/>
        </w:tabs>
        <w:rPr>
          <w:bCs/>
          <w:sz w:val="26"/>
          <w:szCs w:val="26"/>
        </w:rPr>
      </w:pPr>
    </w:p>
    <w:p w14:paraId="33912377" w14:textId="381FA4E9" w:rsidR="00C44731" w:rsidRDefault="00C44731" w:rsidP="00C44731">
      <w:pPr>
        <w:tabs>
          <w:tab w:val="left" w:pos="-720"/>
        </w:tabs>
        <w:rPr>
          <w:bCs/>
          <w:sz w:val="26"/>
          <w:szCs w:val="26"/>
        </w:rPr>
      </w:pPr>
      <w:r w:rsidRPr="00C44731">
        <w:rPr>
          <w:bCs/>
          <w:sz w:val="26"/>
          <w:szCs w:val="26"/>
        </w:rPr>
        <w:t>By Order entered May 21, 2020</w:t>
      </w:r>
      <w:r w:rsidR="00B01EEA" w:rsidRPr="00DB777C">
        <w:rPr>
          <w:sz w:val="26"/>
          <w:szCs w:val="26"/>
        </w:rPr>
        <w:t xml:space="preserve"> pursuant to 66 Pa. C.S. §</w:t>
      </w:r>
      <w:r w:rsidR="00813090">
        <w:rPr>
          <w:sz w:val="26"/>
          <w:szCs w:val="26"/>
        </w:rPr>
        <w:t xml:space="preserve"> </w:t>
      </w:r>
      <w:r w:rsidR="00B01EEA" w:rsidRPr="00DB777C">
        <w:rPr>
          <w:sz w:val="26"/>
          <w:szCs w:val="26"/>
        </w:rPr>
        <w:t xml:space="preserve">1308(d), </w:t>
      </w:r>
      <w:r w:rsidR="002474EE">
        <w:rPr>
          <w:sz w:val="26"/>
          <w:szCs w:val="26"/>
        </w:rPr>
        <w:t xml:space="preserve">the Commission </w:t>
      </w:r>
      <w:r w:rsidR="00B01EEA" w:rsidRPr="00DB777C">
        <w:rPr>
          <w:sz w:val="26"/>
          <w:szCs w:val="26"/>
        </w:rPr>
        <w:t>suspend</w:t>
      </w:r>
      <w:r w:rsidR="002474EE">
        <w:rPr>
          <w:sz w:val="26"/>
          <w:szCs w:val="26"/>
        </w:rPr>
        <w:t>ed</w:t>
      </w:r>
      <w:r w:rsidR="00B01EEA" w:rsidRPr="00DB777C">
        <w:rPr>
          <w:sz w:val="26"/>
          <w:szCs w:val="26"/>
        </w:rPr>
        <w:t xml:space="preserve"> </w:t>
      </w:r>
      <w:r w:rsidR="00B01EEA">
        <w:rPr>
          <w:sz w:val="26"/>
          <w:szCs w:val="26"/>
        </w:rPr>
        <w:t xml:space="preserve">PAWC’s general base rate increase </w:t>
      </w:r>
      <w:r w:rsidR="00B01EEA" w:rsidRPr="00DB777C">
        <w:rPr>
          <w:sz w:val="26"/>
          <w:szCs w:val="26"/>
        </w:rPr>
        <w:t>filing by operation of law until January 2</w:t>
      </w:r>
      <w:r w:rsidR="00B01EEA">
        <w:rPr>
          <w:sz w:val="26"/>
          <w:szCs w:val="26"/>
        </w:rPr>
        <w:t>8</w:t>
      </w:r>
      <w:r w:rsidR="00B01EEA" w:rsidRPr="00DB777C">
        <w:rPr>
          <w:sz w:val="26"/>
          <w:szCs w:val="26"/>
        </w:rPr>
        <w:t>, 2021 (Suspension Order)</w:t>
      </w:r>
      <w:r w:rsidR="00B01EEA" w:rsidRPr="009B0E06">
        <w:rPr>
          <w:bCs/>
          <w:sz w:val="26"/>
          <w:szCs w:val="26"/>
        </w:rPr>
        <w:t xml:space="preserve"> </w:t>
      </w:r>
      <w:r w:rsidR="00B01EEA">
        <w:rPr>
          <w:bCs/>
          <w:sz w:val="26"/>
          <w:szCs w:val="26"/>
        </w:rPr>
        <w:t>and institut</w:t>
      </w:r>
      <w:r w:rsidR="002474EE">
        <w:rPr>
          <w:bCs/>
          <w:sz w:val="26"/>
          <w:szCs w:val="26"/>
        </w:rPr>
        <w:t>ed</w:t>
      </w:r>
      <w:r w:rsidR="00B01EEA">
        <w:rPr>
          <w:bCs/>
          <w:sz w:val="26"/>
          <w:szCs w:val="26"/>
        </w:rPr>
        <w:t xml:space="preserve"> an investigation </w:t>
      </w:r>
      <w:r w:rsidR="00B01EEA" w:rsidRPr="00C44731">
        <w:rPr>
          <w:bCs/>
          <w:sz w:val="26"/>
          <w:szCs w:val="26"/>
        </w:rPr>
        <w:t>to determine the lawfulness, justness and reasonableness of the Company’s existing and proposed rates, rules and regulations</w:t>
      </w:r>
      <w:r w:rsidR="00B01EEA">
        <w:rPr>
          <w:bCs/>
          <w:sz w:val="26"/>
          <w:szCs w:val="26"/>
        </w:rPr>
        <w:t>.</w:t>
      </w:r>
      <w:r w:rsidR="00066FCE">
        <w:rPr>
          <w:bCs/>
          <w:sz w:val="26"/>
          <w:szCs w:val="26"/>
        </w:rPr>
        <w:t xml:space="preserve">  </w:t>
      </w:r>
      <w:r w:rsidR="00066FCE">
        <w:rPr>
          <w:sz w:val="26"/>
          <w:szCs w:val="26"/>
        </w:rPr>
        <w:t>I</w:t>
      </w:r>
      <w:r w:rsidR="00066FCE" w:rsidRPr="00DB777C">
        <w:rPr>
          <w:sz w:val="26"/>
          <w:szCs w:val="26"/>
        </w:rPr>
        <w:t xml:space="preserve">n </w:t>
      </w:r>
      <w:r w:rsidR="00066FCE">
        <w:rPr>
          <w:sz w:val="26"/>
          <w:szCs w:val="26"/>
        </w:rPr>
        <w:t>compliance</w:t>
      </w:r>
      <w:r w:rsidR="00066FCE" w:rsidRPr="00DB777C">
        <w:rPr>
          <w:sz w:val="26"/>
          <w:szCs w:val="26"/>
        </w:rPr>
        <w:t xml:space="preserve"> with the Commission’s Suspension Order</w:t>
      </w:r>
      <w:r w:rsidR="00066FCE">
        <w:rPr>
          <w:sz w:val="26"/>
          <w:szCs w:val="26"/>
        </w:rPr>
        <w:t>,</w:t>
      </w:r>
      <w:r w:rsidR="00066FCE" w:rsidRPr="00DB777C">
        <w:rPr>
          <w:sz w:val="26"/>
          <w:szCs w:val="26"/>
        </w:rPr>
        <w:t xml:space="preserve"> </w:t>
      </w:r>
      <w:r w:rsidR="00066FCE">
        <w:rPr>
          <w:sz w:val="26"/>
          <w:szCs w:val="26"/>
        </w:rPr>
        <w:t>o</w:t>
      </w:r>
      <w:r w:rsidR="00066FCE" w:rsidRPr="00DB777C">
        <w:rPr>
          <w:sz w:val="26"/>
          <w:szCs w:val="26"/>
        </w:rPr>
        <w:t>n May 2</w:t>
      </w:r>
      <w:r w:rsidR="00066FCE">
        <w:rPr>
          <w:sz w:val="26"/>
          <w:szCs w:val="26"/>
        </w:rPr>
        <w:t>7</w:t>
      </w:r>
      <w:r w:rsidR="00066FCE" w:rsidRPr="00DB777C">
        <w:rPr>
          <w:sz w:val="26"/>
          <w:szCs w:val="26"/>
        </w:rPr>
        <w:t xml:space="preserve">, 2020, </w:t>
      </w:r>
      <w:r w:rsidR="00066FCE">
        <w:rPr>
          <w:sz w:val="26"/>
          <w:szCs w:val="26"/>
        </w:rPr>
        <w:t xml:space="preserve">PAWC </w:t>
      </w:r>
      <w:r w:rsidR="00066FCE" w:rsidRPr="00DB777C">
        <w:rPr>
          <w:sz w:val="26"/>
          <w:szCs w:val="26"/>
        </w:rPr>
        <w:t xml:space="preserve">filed Tariff Supplement No. </w:t>
      </w:r>
      <w:r w:rsidR="00066FCE">
        <w:rPr>
          <w:sz w:val="26"/>
          <w:szCs w:val="26"/>
        </w:rPr>
        <w:t>20</w:t>
      </w:r>
      <w:r w:rsidR="00066FCE" w:rsidRPr="00066FCE">
        <w:rPr>
          <w:bCs/>
          <w:sz w:val="26"/>
          <w:szCs w:val="26"/>
        </w:rPr>
        <w:t xml:space="preserve"> </w:t>
      </w:r>
      <w:r w:rsidR="00066FCE" w:rsidRPr="00C44731">
        <w:rPr>
          <w:bCs/>
          <w:sz w:val="26"/>
          <w:szCs w:val="26"/>
        </w:rPr>
        <w:t xml:space="preserve">to Original Tariff Water – </w:t>
      </w:r>
      <w:r w:rsidR="00066FCE" w:rsidRPr="00C44731">
        <w:rPr>
          <w:bCs/>
          <w:sz w:val="26"/>
          <w:szCs w:val="26"/>
        </w:rPr>
        <w:lastRenderedPageBreak/>
        <w:t>Pa.</w:t>
      </w:r>
      <w:r w:rsidR="00967B68">
        <w:rPr>
          <w:bCs/>
          <w:sz w:val="26"/>
          <w:szCs w:val="26"/>
        </w:rPr>
        <w:t> </w:t>
      </w:r>
      <w:r w:rsidR="00066FCE" w:rsidRPr="00C44731">
        <w:rPr>
          <w:bCs/>
          <w:sz w:val="26"/>
          <w:szCs w:val="26"/>
        </w:rPr>
        <w:t>P.U.C. No. 5</w:t>
      </w:r>
      <w:r w:rsidR="00066FCE" w:rsidRPr="00066FCE">
        <w:rPr>
          <w:bCs/>
          <w:sz w:val="26"/>
          <w:szCs w:val="26"/>
        </w:rPr>
        <w:t xml:space="preserve"> </w:t>
      </w:r>
      <w:r w:rsidR="00066FCE">
        <w:rPr>
          <w:bCs/>
          <w:sz w:val="26"/>
          <w:szCs w:val="26"/>
        </w:rPr>
        <w:t>and S</w:t>
      </w:r>
      <w:r w:rsidR="00066FCE" w:rsidRPr="00C44731">
        <w:rPr>
          <w:bCs/>
          <w:sz w:val="26"/>
          <w:szCs w:val="26"/>
        </w:rPr>
        <w:t xml:space="preserve">upplement No. </w:t>
      </w:r>
      <w:r w:rsidR="00066FCE">
        <w:rPr>
          <w:bCs/>
          <w:sz w:val="26"/>
          <w:szCs w:val="26"/>
        </w:rPr>
        <w:t>20</w:t>
      </w:r>
      <w:r w:rsidR="00066FCE" w:rsidRPr="00C44731">
        <w:rPr>
          <w:bCs/>
          <w:sz w:val="26"/>
          <w:szCs w:val="26"/>
        </w:rPr>
        <w:t xml:space="preserve"> to Original Tariff Wastewater – Pa. P.U.C. No.</w:t>
      </w:r>
      <w:r w:rsidR="00967B68">
        <w:rPr>
          <w:bCs/>
          <w:sz w:val="26"/>
          <w:szCs w:val="26"/>
        </w:rPr>
        <w:t> </w:t>
      </w:r>
      <w:r w:rsidR="00066FCE" w:rsidRPr="00C44731">
        <w:rPr>
          <w:bCs/>
          <w:sz w:val="26"/>
          <w:szCs w:val="26"/>
        </w:rPr>
        <w:t>16</w:t>
      </w:r>
      <w:r w:rsidR="00066FCE">
        <w:rPr>
          <w:sz w:val="26"/>
          <w:szCs w:val="26"/>
        </w:rPr>
        <w:t>, reflecting the suspension until January 28, 2021</w:t>
      </w:r>
      <w:r w:rsidR="00066FCE" w:rsidRPr="00DB777C">
        <w:rPr>
          <w:sz w:val="26"/>
          <w:szCs w:val="26"/>
        </w:rPr>
        <w:t xml:space="preserve">.  </w:t>
      </w:r>
    </w:p>
    <w:p w14:paraId="620A56DB" w14:textId="77777777" w:rsidR="00C44731" w:rsidRDefault="00C44731" w:rsidP="00C44731">
      <w:pPr>
        <w:tabs>
          <w:tab w:val="left" w:pos="-720"/>
        </w:tabs>
        <w:rPr>
          <w:bCs/>
          <w:sz w:val="26"/>
          <w:szCs w:val="26"/>
        </w:rPr>
      </w:pPr>
    </w:p>
    <w:p w14:paraId="41B30C77" w14:textId="77777777" w:rsidR="00B70356" w:rsidRDefault="00C44731" w:rsidP="00C44731">
      <w:pPr>
        <w:tabs>
          <w:tab w:val="left" w:pos="-720"/>
        </w:tabs>
        <w:rPr>
          <w:bCs/>
          <w:sz w:val="26"/>
          <w:szCs w:val="26"/>
        </w:rPr>
      </w:pPr>
      <w:r w:rsidRPr="00C44731">
        <w:rPr>
          <w:bCs/>
          <w:sz w:val="26"/>
          <w:szCs w:val="26"/>
        </w:rPr>
        <w:t xml:space="preserve">On May 28, 2020, the OCA filed </w:t>
      </w:r>
      <w:r w:rsidR="00B70356">
        <w:rPr>
          <w:bCs/>
          <w:sz w:val="26"/>
          <w:szCs w:val="26"/>
        </w:rPr>
        <w:t>its</w:t>
      </w:r>
      <w:r w:rsidRPr="00C44731">
        <w:rPr>
          <w:bCs/>
          <w:sz w:val="26"/>
          <w:szCs w:val="26"/>
        </w:rPr>
        <w:t xml:space="preserve"> </w:t>
      </w:r>
      <w:r>
        <w:rPr>
          <w:bCs/>
          <w:sz w:val="26"/>
          <w:szCs w:val="26"/>
        </w:rPr>
        <w:t>Expedited</w:t>
      </w:r>
      <w:r w:rsidRPr="00C44731">
        <w:rPr>
          <w:bCs/>
          <w:sz w:val="26"/>
          <w:szCs w:val="26"/>
        </w:rPr>
        <w:t xml:space="preserve"> Motion</w:t>
      </w:r>
      <w:r w:rsidR="00B70356">
        <w:rPr>
          <w:bCs/>
          <w:sz w:val="26"/>
          <w:szCs w:val="26"/>
        </w:rPr>
        <w:t xml:space="preserve">, requesting </w:t>
      </w:r>
      <w:r w:rsidR="00B70356" w:rsidRPr="00A90556">
        <w:rPr>
          <w:sz w:val="26"/>
          <w:szCs w:val="26"/>
        </w:rPr>
        <w:t>that the Commission extend the statutory suspension period</w:t>
      </w:r>
      <w:r w:rsidR="00B70356">
        <w:rPr>
          <w:sz w:val="26"/>
          <w:szCs w:val="26"/>
        </w:rPr>
        <w:t xml:space="preserve"> by forty-five-days</w:t>
      </w:r>
      <w:r w:rsidR="00B70356" w:rsidRPr="00A90556">
        <w:rPr>
          <w:sz w:val="26"/>
          <w:szCs w:val="26"/>
        </w:rPr>
        <w:t xml:space="preserve">. </w:t>
      </w:r>
      <w:r w:rsidRPr="00C44731">
        <w:rPr>
          <w:bCs/>
          <w:sz w:val="26"/>
          <w:szCs w:val="26"/>
        </w:rPr>
        <w:t xml:space="preserve"> The OCA invoked the </w:t>
      </w:r>
      <w:r w:rsidRPr="00C44731">
        <w:rPr>
          <w:bCs/>
          <w:i/>
          <w:iCs/>
          <w:sz w:val="26"/>
          <w:szCs w:val="26"/>
        </w:rPr>
        <w:t>Executive Order</w:t>
      </w:r>
      <w:r w:rsidRPr="00C44731">
        <w:rPr>
          <w:bCs/>
          <w:sz w:val="26"/>
          <w:szCs w:val="26"/>
        </w:rPr>
        <w:t xml:space="preserve"> and the </w:t>
      </w:r>
      <w:r w:rsidRPr="00C44731">
        <w:rPr>
          <w:bCs/>
          <w:i/>
          <w:iCs/>
          <w:sz w:val="26"/>
          <w:szCs w:val="26"/>
        </w:rPr>
        <w:t>Emergency Order</w:t>
      </w:r>
      <w:r w:rsidRPr="00C44731">
        <w:rPr>
          <w:bCs/>
          <w:sz w:val="26"/>
          <w:szCs w:val="26"/>
        </w:rPr>
        <w:t xml:space="preserve"> as the basis for seeking a </w:t>
      </w:r>
      <w:r w:rsidR="00B70356">
        <w:rPr>
          <w:bCs/>
          <w:sz w:val="26"/>
          <w:szCs w:val="26"/>
        </w:rPr>
        <w:t>forty-five</w:t>
      </w:r>
      <w:r w:rsidRPr="00C44731">
        <w:rPr>
          <w:bCs/>
          <w:sz w:val="26"/>
          <w:szCs w:val="26"/>
        </w:rPr>
        <w:t>-day extension of the suspension period</w:t>
      </w:r>
      <w:r w:rsidR="00B70356">
        <w:rPr>
          <w:bCs/>
          <w:sz w:val="26"/>
          <w:szCs w:val="26"/>
        </w:rPr>
        <w:t>.</w:t>
      </w:r>
      <w:r w:rsidRPr="00C44731">
        <w:rPr>
          <w:bCs/>
          <w:sz w:val="26"/>
          <w:szCs w:val="26"/>
        </w:rPr>
        <w:t xml:space="preserve">  </w:t>
      </w:r>
      <w:r w:rsidR="00B70356" w:rsidRPr="00A90556">
        <w:rPr>
          <w:sz w:val="26"/>
          <w:szCs w:val="26"/>
        </w:rPr>
        <w:t xml:space="preserve">In support of its </w:t>
      </w:r>
      <w:r w:rsidR="00B70356">
        <w:rPr>
          <w:sz w:val="26"/>
          <w:szCs w:val="26"/>
        </w:rPr>
        <w:t xml:space="preserve">Expedited </w:t>
      </w:r>
      <w:r w:rsidR="00B70356" w:rsidRPr="00A90556">
        <w:rPr>
          <w:sz w:val="26"/>
          <w:szCs w:val="26"/>
        </w:rPr>
        <w:t xml:space="preserve">Motion, </w:t>
      </w:r>
      <w:r w:rsidR="00B70356">
        <w:rPr>
          <w:sz w:val="26"/>
          <w:szCs w:val="26"/>
        </w:rPr>
        <w:t>the OCA</w:t>
      </w:r>
      <w:r w:rsidR="00B70356" w:rsidRPr="00A90556">
        <w:rPr>
          <w:sz w:val="26"/>
          <w:szCs w:val="26"/>
        </w:rPr>
        <w:t xml:space="preserve"> stated that additional time is needed to review the rate filing and present </w:t>
      </w:r>
      <w:r w:rsidR="00B70356">
        <w:rPr>
          <w:sz w:val="26"/>
          <w:szCs w:val="26"/>
        </w:rPr>
        <w:t>the OCA’s</w:t>
      </w:r>
      <w:r w:rsidR="00B70356" w:rsidRPr="00A90556">
        <w:rPr>
          <w:sz w:val="26"/>
          <w:szCs w:val="26"/>
        </w:rPr>
        <w:t xml:space="preserve"> case given that </w:t>
      </w:r>
      <w:r w:rsidR="00B70356">
        <w:rPr>
          <w:sz w:val="26"/>
          <w:szCs w:val="26"/>
        </w:rPr>
        <w:t>the OCA’s</w:t>
      </w:r>
      <w:r w:rsidR="00B70356" w:rsidRPr="00A90556">
        <w:rPr>
          <w:sz w:val="26"/>
          <w:szCs w:val="26"/>
        </w:rPr>
        <w:t xml:space="preserve"> staff members are currently working </w:t>
      </w:r>
      <w:r w:rsidR="00B70356">
        <w:rPr>
          <w:sz w:val="26"/>
          <w:szCs w:val="26"/>
        </w:rPr>
        <w:t>remotely due to</w:t>
      </w:r>
      <w:r w:rsidR="0049631E">
        <w:rPr>
          <w:sz w:val="26"/>
          <w:szCs w:val="26"/>
        </w:rPr>
        <w:t xml:space="preserve"> the</w:t>
      </w:r>
      <w:r w:rsidR="00B70356">
        <w:rPr>
          <w:sz w:val="26"/>
          <w:szCs w:val="26"/>
        </w:rPr>
        <w:t xml:space="preserve"> COVID-19 </w:t>
      </w:r>
      <w:bookmarkStart w:id="10" w:name="_Hlk46134777"/>
      <w:r w:rsidR="0049631E">
        <w:rPr>
          <w:sz w:val="26"/>
          <w:szCs w:val="26"/>
        </w:rPr>
        <w:t xml:space="preserve">pandemic, </w:t>
      </w:r>
      <w:r w:rsidR="00B70356">
        <w:rPr>
          <w:sz w:val="26"/>
          <w:szCs w:val="26"/>
        </w:rPr>
        <w:t xml:space="preserve">and, thus, lack access to full office resources.  Additionally, the OCA submitted that </w:t>
      </w:r>
      <w:bookmarkEnd w:id="10"/>
      <w:r w:rsidR="00B70356" w:rsidRPr="001A3290">
        <w:rPr>
          <w:sz w:val="26"/>
          <w:szCs w:val="26"/>
        </w:rPr>
        <w:t xml:space="preserve">additional review time is needed because this rate case is particularly complex.  </w:t>
      </w:r>
      <w:r w:rsidR="00B70356" w:rsidRPr="001A3290">
        <w:rPr>
          <w:bCs/>
          <w:sz w:val="26"/>
          <w:szCs w:val="26"/>
        </w:rPr>
        <w:t xml:space="preserve">Expedited Motion at </w:t>
      </w:r>
      <w:r w:rsidR="001A3290" w:rsidRPr="001A3290">
        <w:rPr>
          <w:bCs/>
          <w:sz w:val="26"/>
          <w:szCs w:val="26"/>
        </w:rPr>
        <w:t>6-7</w:t>
      </w:r>
      <w:r w:rsidR="00B70356" w:rsidRPr="001A3290">
        <w:rPr>
          <w:bCs/>
          <w:sz w:val="26"/>
          <w:szCs w:val="26"/>
        </w:rPr>
        <w:t>.</w:t>
      </w:r>
    </w:p>
    <w:p w14:paraId="0CF20335" w14:textId="77777777" w:rsidR="00B70356" w:rsidRDefault="00B70356" w:rsidP="00C44731">
      <w:pPr>
        <w:tabs>
          <w:tab w:val="left" w:pos="-720"/>
        </w:tabs>
        <w:rPr>
          <w:bCs/>
          <w:sz w:val="26"/>
          <w:szCs w:val="26"/>
        </w:rPr>
      </w:pPr>
    </w:p>
    <w:p w14:paraId="3B71B0CA" w14:textId="77777777" w:rsidR="00C44731" w:rsidRPr="00C44731" w:rsidRDefault="00C44731" w:rsidP="00C44731">
      <w:pPr>
        <w:tabs>
          <w:tab w:val="left" w:pos="-720"/>
        </w:tabs>
        <w:rPr>
          <w:bCs/>
          <w:sz w:val="26"/>
          <w:szCs w:val="26"/>
        </w:rPr>
      </w:pPr>
      <w:r w:rsidRPr="00C44731">
        <w:rPr>
          <w:bCs/>
          <w:sz w:val="26"/>
          <w:szCs w:val="26"/>
        </w:rPr>
        <w:t xml:space="preserve">ALJ </w:t>
      </w:r>
      <w:r w:rsidR="00066FCE">
        <w:rPr>
          <w:bCs/>
          <w:sz w:val="26"/>
          <w:szCs w:val="26"/>
        </w:rPr>
        <w:t xml:space="preserve">Johnson </w:t>
      </w:r>
      <w:r w:rsidRPr="00C44731">
        <w:rPr>
          <w:bCs/>
          <w:sz w:val="26"/>
          <w:szCs w:val="26"/>
        </w:rPr>
        <w:t xml:space="preserve">advised the </w:t>
      </w:r>
      <w:r w:rsidR="00462187">
        <w:rPr>
          <w:bCs/>
          <w:sz w:val="26"/>
          <w:szCs w:val="26"/>
        </w:rPr>
        <w:t>P</w:t>
      </w:r>
      <w:r w:rsidRPr="00C44731">
        <w:rPr>
          <w:bCs/>
          <w:sz w:val="26"/>
          <w:szCs w:val="26"/>
        </w:rPr>
        <w:t xml:space="preserve">arties that the </w:t>
      </w:r>
      <w:r>
        <w:rPr>
          <w:bCs/>
          <w:sz w:val="26"/>
          <w:szCs w:val="26"/>
        </w:rPr>
        <w:t xml:space="preserve">Expedited </w:t>
      </w:r>
      <w:r w:rsidRPr="00C44731">
        <w:rPr>
          <w:bCs/>
          <w:sz w:val="26"/>
          <w:szCs w:val="26"/>
        </w:rPr>
        <w:t xml:space="preserve">Motion would be addressed at the Prehearing Conference.  </w:t>
      </w:r>
      <w:r w:rsidR="00066FCE">
        <w:rPr>
          <w:bCs/>
          <w:sz w:val="26"/>
          <w:szCs w:val="26"/>
        </w:rPr>
        <w:t xml:space="preserve">PAWC filed an Answer in Opposition to the OCA’s Motion and </w:t>
      </w:r>
      <w:r w:rsidR="00A92D23">
        <w:rPr>
          <w:bCs/>
          <w:sz w:val="26"/>
          <w:szCs w:val="26"/>
        </w:rPr>
        <w:t xml:space="preserve">I&amp;E and CAUSE-PA filed </w:t>
      </w:r>
      <w:r w:rsidRPr="00C44731">
        <w:rPr>
          <w:bCs/>
          <w:sz w:val="26"/>
          <w:szCs w:val="26"/>
        </w:rPr>
        <w:t>Answers supporting the OCA’s Motion</w:t>
      </w:r>
      <w:r w:rsidR="00A92D23">
        <w:rPr>
          <w:bCs/>
          <w:sz w:val="26"/>
          <w:szCs w:val="26"/>
        </w:rPr>
        <w:t>.</w:t>
      </w:r>
      <w:r w:rsidRPr="00C44731">
        <w:rPr>
          <w:bCs/>
          <w:sz w:val="26"/>
          <w:szCs w:val="26"/>
        </w:rPr>
        <w:t xml:space="preserve"> </w:t>
      </w:r>
    </w:p>
    <w:p w14:paraId="1398197D" w14:textId="77777777" w:rsidR="00C44731" w:rsidRDefault="00C44731" w:rsidP="00C44731">
      <w:pPr>
        <w:tabs>
          <w:tab w:val="left" w:pos="-720"/>
        </w:tabs>
        <w:rPr>
          <w:bCs/>
          <w:sz w:val="26"/>
          <w:szCs w:val="26"/>
        </w:rPr>
      </w:pPr>
    </w:p>
    <w:p w14:paraId="4D169DA9" w14:textId="09F3E220" w:rsidR="00C44731" w:rsidRPr="00C44731" w:rsidRDefault="006A15DC" w:rsidP="00C44731">
      <w:pPr>
        <w:tabs>
          <w:tab w:val="left" w:pos="-720"/>
        </w:tabs>
        <w:rPr>
          <w:bCs/>
          <w:sz w:val="26"/>
          <w:szCs w:val="26"/>
        </w:rPr>
      </w:pPr>
      <w:r>
        <w:rPr>
          <w:bCs/>
          <w:sz w:val="26"/>
          <w:szCs w:val="26"/>
        </w:rPr>
        <w:t>On June 4, 2020, t</w:t>
      </w:r>
      <w:r w:rsidR="00C44731" w:rsidRPr="00C44731">
        <w:rPr>
          <w:bCs/>
          <w:sz w:val="26"/>
          <w:szCs w:val="26"/>
        </w:rPr>
        <w:t>he Prehearing Conference was held</w:t>
      </w:r>
      <w:r w:rsidR="005E22A5">
        <w:rPr>
          <w:bCs/>
          <w:sz w:val="26"/>
          <w:szCs w:val="26"/>
        </w:rPr>
        <w:t xml:space="preserve"> </w:t>
      </w:r>
      <w:r w:rsidR="00066FCE">
        <w:rPr>
          <w:bCs/>
          <w:sz w:val="26"/>
          <w:szCs w:val="26"/>
        </w:rPr>
        <w:t>with</w:t>
      </w:r>
      <w:r w:rsidR="005E22A5">
        <w:rPr>
          <w:bCs/>
          <w:sz w:val="26"/>
          <w:szCs w:val="26"/>
        </w:rPr>
        <w:t xml:space="preserve"> ALJ Johnson</w:t>
      </w:r>
      <w:r w:rsidR="00066FCE">
        <w:rPr>
          <w:bCs/>
          <w:sz w:val="26"/>
          <w:szCs w:val="26"/>
        </w:rPr>
        <w:t xml:space="preserve"> presiding and</w:t>
      </w:r>
      <w:r>
        <w:rPr>
          <w:bCs/>
          <w:sz w:val="26"/>
          <w:szCs w:val="26"/>
        </w:rPr>
        <w:t xml:space="preserve"> the </w:t>
      </w:r>
      <w:r w:rsidR="00880B42">
        <w:rPr>
          <w:bCs/>
          <w:sz w:val="26"/>
          <w:szCs w:val="26"/>
        </w:rPr>
        <w:t>CALJ</w:t>
      </w:r>
      <w:r>
        <w:rPr>
          <w:bCs/>
          <w:sz w:val="26"/>
          <w:szCs w:val="26"/>
        </w:rPr>
        <w:t xml:space="preserve"> participating</w:t>
      </w:r>
      <w:r w:rsidR="00066FCE">
        <w:rPr>
          <w:bCs/>
          <w:sz w:val="26"/>
          <w:szCs w:val="26"/>
        </w:rPr>
        <w:t>.</w:t>
      </w:r>
      <w:r w:rsidR="00C44731" w:rsidRPr="00C44731">
        <w:rPr>
          <w:bCs/>
          <w:sz w:val="26"/>
          <w:szCs w:val="26"/>
        </w:rPr>
        <w:t xml:space="preserve"> </w:t>
      </w:r>
      <w:r w:rsidR="00066FCE">
        <w:rPr>
          <w:bCs/>
          <w:sz w:val="26"/>
          <w:szCs w:val="26"/>
        </w:rPr>
        <w:t xml:space="preserve"> </w:t>
      </w:r>
      <w:r w:rsidR="00C44731" w:rsidRPr="00C44731">
        <w:rPr>
          <w:bCs/>
          <w:sz w:val="26"/>
          <w:szCs w:val="26"/>
        </w:rPr>
        <w:t xml:space="preserve">Following presentations by the OCA, PAWC and other </w:t>
      </w:r>
      <w:r w:rsidR="00A92D23">
        <w:rPr>
          <w:bCs/>
          <w:sz w:val="26"/>
          <w:szCs w:val="26"/>
        </w:rPr>
        <w:t>P</w:t>
      </w:r>
      <w:r w:rsidR="00C44731" w:rsidRPr="00C44731">
        <w:rPr>
          <w:bCs/>
          <w:sz w:val="26"/>
          <w:szCs w:val="26"/>
        </w:rPr>
        <w:t xml:space="preserve">arties, the </w:t>
      </w:r>
      <w:r w:rsidR="00880B42">
        <w:rPr>
          <w:bCs/>
          <w:sz w:val="26"/>
          <w:szCs w:val="26"/>
        </w:rPr>
        <w:t>CALJ</w:t>
      </w:r>
      <w:r w:rsidR="00C44731" w:rsidRPr="00C44731">
        <w:rPr>
          <w:bCs/>
          <w:sz w:val="26"/>
          <w:szCs w:val="26"/>
        </w:rPr>
        <w:t xml:space="preserve">, after </w:t>
      </w:r>
      <w:r w:rsidR="00066FCE">
        <w:rPr>
          <w:bCs/>
          <w:sz w:val="26"/>
          <w:szCs w:val="26"/>
        </w:rPr>
        <w:t>deliberation</w:t>
      </w:r>
      <w:r w:rsidR="00C44731" w:rsidRPr="00C44731">
        <w:rPr>
          <w:bCs/>
          <w:sz w:val="26"/>
          <w:szCs w:val="26"/>
        </w:rPr>
        <w:t xml:space="preserve"> with</w:t>
      </w:r>
      <w:r w:rsidR="00066FCE">
        <w:rPr>
          <w:bCs/>
          <w:sz w:val="26"/>
          <w:szCs w:val="26"/>
        </w:rPr>
        <w:t xml:space="preserve"> </w:t>
      </w:r>
      <w:r w:rsidR="00C44731" w:rsidRPr="00C44731">
        <w:rPr>
          <w:bCs/>
          <w:sz w:val="26"/>
          <w:szCs w:val="26"/>
        </w:rPr>
        <w:t>ALJ</w:t>
      </w:r>
      <w:r w:rsidR="00066FCE">
        <w:rPr>
          <w:bCs/>
          <w:sz w:val="26"/>
          <w:szCs w:val="26"/>
        </w:rPr>
        <w:t xml:space="preserve"> Johnson</w:t>
      </w:r>
      <w:r w:rsidR="00C44731" w:rsidRPr="00C44731">
        <w:rPr>
          <w:bCs/>
          <w:sz w:val="26"/>
          <w:szCs w:val="26"/>
        </w:rPr>
        <w:t xml:space="preserve">, </w:t>
      </w:r>
      <w:r w:rsidR="00066FCE">
        <w:rPr>
          <w:bCs/>
          <w:sz w:val="26"/>
          <w:szCs w:val="26"/>
        </w:rPr>
        <w:t>delivered his ruling granting</w:t>
      </w:r>
      <w:r w:rsidR="00C44731" w:rsidRPr="00C44731">
        <w:rPr>
          <w:bCs/>
          <w:sz w:val="26"/>
          <w:szCs w:val="26"/>
        </w:rPr>
        <w:t xml:space="preserve"> the OCA</w:t>
      </w:r>
      <w:r w:rsidR="00C44731">
        <w:rPr>
          <w:bCs/>
          <w:sz w:val="26"/>
          <w:szCs w:val="26"/>
        </w:rPr>
        <w:t xml:space="preserve">’s Expedited </w:t>
      </w:r>
      <w:r w:rsidR="00C44731" w:rsidRPr="00C44731">
        <w:rPr>
          <w:bCs/>
          <w:sz w:val="26"/>
          <w:szCs w:val="26"/>
        </w:rPr>
        <w:t xml:space="preserve">Motion and indicated a written order would follow.  </w:t>
      </w:r>
    </w:p>
    <w:p w14:paraId="77AB40A5" w14:textId="77777777" w:rsidR="00414DE5" w:rsidRDefault="00414DE5" w:rsidP="00A464FD">
      <w:pPr>
        <w:tabs>
          <w:tab w:val="left" w:pos="-720"/>
        </w:tabs>
        <w:rPr>
          <w:sz w:val="26"/>
          <w:szCs w:val="26"/>
        </w:rPr>
      </w:pPr>
    </w:p>
    <w:p w14:paraId="7FDBFB7D" w14:textId="1565BB60" w:rsidR="00171051" w:rsidRDefault="005E22A5" w:rsidP="00A464FD">
      <w:pPr>
        <w:tabs>
          <w:tab w:val="left" w:pos="-720"/>
        </w:tabs>
        <w:rPr>
          <w:sz w:val="26"/>
          <w:szCs w:val="26"/>
        </w:rPr>
      </w:pPr>
      <w:r>
        <w:rPr>
          <w:sz w:val="26"/>
          <w:szCs w:val="26"/>
        </w:rPr>
        <w:t>O</w:t>
      </w:r>
      <w:r w:rsidR="00414DE5" w:rsidRPr="00414DE5">
        <w:rPr>
          <w:sz w:val="26"/>
          <w:szCs w:val="26"/>
        </w:rPr>
        <w:t xml:space="preserve">n June </w:t>
      </w:r>
      <w:r w:rsidR="00C44731">
        <w:rPr>
          <w:sz w:val="26"/>
          <w:szCs w:val="26"/>
        </w:rPr>
        <w:t>4</w:t>
      </w:r>
      <w:r w:rsidR="00414DE5" w:rsidRPr="00414DE5">
        <w:rPr>
          <w:sz w:val="26"/>
          <w:szCs w:val="26"/>
        </w:rPr>
        <w:t xml:space="preserve">, 2020, the </w:t>
      </w:r>
      <w:r w:rsidR="00880B42">
        <w:rPr>
          <w:sz w:val="26"/>
          <w:szCs w:val="26"/>
        </w:rPr>
        <w:t>CALJ</w:t>
      </w:r>
      <w:r w:rsidR="00414DE5" w:rsidRPr="00414DE5">
        <w:rPr>
          <w:sz w:val="26"/>
          <w:szCs w:val="26"/>
        </w:rPr>
        <w:t xml:space="preserve"> issued the </w:t>
      </w:r>
      <w:r w:rsidR="00414DE5" w:rsidRPr="0025671C">
        <w:rPr>
          <w:i/>
          <w:iCs/>
          <w:sz w:val="26"/>
          <w:szCs w:val="26"/>
        </w:rPr>
        <w:t>Extension Order</w:t>
      </w:r>
      <w:r w:rsidR="00414DE5" w:rsidRPr="00414DE5">
        <w:rPr>
          <w:sz w:val="26"/>
          <w:szCs w:val="26"/>
        </w:rPr>
        <w:t xml:space="preserve"> granting </w:t>
      </w:r>
      <w:r w:rsidR="00C44731">
        <w:rPr>
          <w:sz w:val="26"/>
          <w:szCs w:val="26"/>
        </w:rPr>
        <w:t>the OCA’s Expedited</w:t>
      </w:r>
      <w:r w:rsidR="00414DE5" w:rsidRPr="00414DE5">
        <w:rPr>
          <w:sz w:val="26"/>
          <w:szCs w:val="26"/>
        </w:rPr>
        <w:t xml:space="preserve"> Motion and extending the </w:t>
      </w:r>
      <w:r w:rsidR="00965FC6">
        <w:rPr>
          <w:sz w:val="26"/>
          <w:szCs w:val="26"/>
        </w:rPr>
        <w:t>Section 1308(d)</w:t>
      </w:r>
      <w:r w:rsidR="00414DE5" w:rsidRPr="00414DE5">
        <w:rPr>
          <w:sz w:val="26"/>
          <w:szCs w:val="26"/>
        </w:rPr>
        <w:t xml:space="preserve"> suspension period</w:t>
      </w:r>
      <w:r w:rsidR="00C44731">
        <w:rPr>
          <w:sz w:val="26"/>
          <w:szCs w:val="26"/>
        </w:rPr>
        <w:t xml:space="preserve"> by forty-five days,</w:t>
      </w:r>
      <w:r w:rsidR="00414DE5" w:rsidRPr="00414DE5">
        <w:rPr>
          <w:sz w:val="26"/>
          <w:szCs w:val="26"/>
        </w:rPr>
        <w:t xml:space="preserve"> until </w:t>
      </w:r>
      <w:r w:rsidR="00C44731">
        <w:rPr>
          <w:sz w:val="26"/>
          <w:szCs w:val="26"/>
        </w:rPr>
        <w:t>March 15</w:t>
      </w:r>
      <w:r w:rsidR="00414DE5" w:rsidRPr="00414DE5">
        <w:rPr>
          <w:sz w:val="26"/>
          <w:szCs w:val="26"/>
        </w:rPr>
        <w:t xml:space="preserve">, 2021.  The </w:t>
      </w:r>
      <w:r w:rsidR="00414DE5" w:rsidRPr="0025671C">
        <w:rPr>
          <w:i/>
          <w:iCs/>
          <w:sz w:val="26"/>
          <w:szCs w:val="26"/>
        </w:rPr>
        <w:t>Extension Order</w:t>
      </w:r>
      <w:r w:rsidR="00414DE5" w:rsidRPr="00414DE5">
        <w:rPr>
          <w:sz w:val="26"/>
          <w:szCs w:val="26"/>
        </w:rPr>
        <w:t xml:space="preserve"> made no reference to </w:t>
      </w:r>
      <w:r w:rsidR="00C44731">
        <w:rPr>
          <w:sz w:val="26"/>
          <w:szCs w:val="26"/>
        </w:rPr>
        <w:t>PAWC</w:t>
      </w:r>
      <w:r w:rsidR="00414DE5" w:rsidRPr="00414DE5">
        <w:rPr>
          <w:sz w:val="26"/>
          <w:szCs w:val="26"/>
        </w:rPr>
        <w:t>’s alternative proposal</w:t>
      </w:r>
      <w:r w:rsidR="00C44731">
        <w:rPr>
          <w:sz w:val="26"/>
          <w:szCs w:val="26"/>
        </w:rPr>
        <w:t xml:space="preserve">s presented at the prehearing stages.  </w:t>
      </w:r>
      <w:r w:rsidR="00965FC6">
        <w:rPr>
          <w:sz w:val="26"/>
          <w:szCs w:val="26"/>
        </w:rPr>
        <w:t>In t</w:t>
      </w:r>
      <w:r w:rsidR="00414DE5" w:rsidRPr="00414DE5">
        <w:rPr>
          <w:sz w:val="26"/>
          <w:szCs w:val="26"/>
        </w:rPr>
        <w:t xml:space="preserve">he </w:t>
      </w:r>
      <w:r w:rsidR="00414DE5" w:rsidRPr="0025671C">
        <w:rPr>
          <w:i/>
          <w:iCs/>
          <w:sz w:val="26"/>
          <w:szCs w:val="26"/>
        </w:rPr>
        <w:t>Extension Order</w:t>
      </w:r>
      <w:r w:rsidR="00965FC6">
        <w:rPr>
          <w:sz w:val="26"/>
          <w:szCs w:val="26"/>
        </w:rPr>
        <w:t xml:space="preserve">, the </w:t>
      </w:r>
      <w:r w:rsidR="00880B42">
        <w:rPr>
          <w:sz w:val="26"/>
          <w:szCs w:val="26"/>
        </w:rPr>
        <w:t>CALJ</w:t>
      </w:r>
      <w:r w:rsidR="00965FC6">
        <w:rPr>
          <w:sz w:val="26"/>
          <w:szCs w:val="26"/>
        </w:rPr>
        <w:t xml:space="preserve"> directed</w:t>
      </w:r>
      <w:r w:rsidR="00414DE5" w:rsidRPr="00414DE5">
        <w:rPr>
          <w:sz w:val="26"/>
          <w:szCs w:val="26"/>
        </w:rPr>
        <w:t xml:space="preserve"> any party seeking to challenge the</w:t>
      </w:r>
      <w:r w:rsidR="00965FC6">
        <w:rPr>
          <w:sz w:val="26"/>
          <w:szCs w:val="26"/>
        </w:rPr>
        <w:t xml:space="preserve"> ruling to </w:t>
      </w:r>
      <w:r w:rsidR="00414DE5" w:rsidRPr="00414DE5">
        <w:rPr>
          <w:sz w:val="26"/>
          <w:szCs w:val="26"/>
        </w:rPr>
        <w:t xml:space="preserve">file </w:t>
      </w:r>
      <w:r w:rsidR="00171051" w:rsidRPr="00171051">
        <w:rPr>
          <w:sz w:val="26"/>
          <w:szCs w:val="26"/>
        </w:rPr>
        <w:t xml:space="preserve">a Petition for Reconsideration from Staff Action pursuant to Section 5.44 of the Commission’s </w:t>
      </w:r>
      <w:r w:rsidR="00A11F7F">
        <w:rPr>
          <w:sz w:val="26"/>
          <w:szCs w:val="26"/>
        </w:rPr>
        <w:t>R</w:t>
      </w:r>
      <w:r w:rsidR="00171051" w:rsidRPr="00171051">
        <w:rPr>
          <w:sz w:val="26"/>
          <w:szCs w:val="26"/>
        </w:rPr>
        <w:t xml:space="preserve">egulations within twenty days. </w:t>
      </w:r>
    </w:p>
    <w:p w14:paraId="3CCA96E7" w14:textId="7AD220D9" w:rsidR="00066FCE" w:rsidRDefault="006E2F67" w:rsidP="00164504">
      <w:pPr>
        <w:rPr>
          <w:sz w:val="26"/>
          <w:szCs w:val="26"/>
        </w:rPr>
      </w:pPr>
      <w:r w:rsidRPr="00005C20">
        <w:rPr>
          <w:sz w:val="26"/>
          <w:szCs w:val="26"/>
        </w:rPr>
        <w:lastRenderedPageBreak/>
        <w:t xml:space="preserve">On June 15, 2020, ALJ </w:t>
      </w:r>
      <w:r>
        <w:rPr>
          <w:sz w:val="26"/>
          <w:szCs w:val="26"/>
        </w:rPr>
        <w:t>Johnson</w:t>
      </w:r>
      <w:r w:rsidRPr="00005C20">
        <w:rPr>
          <w:sz w:val="26"/>
          <w:szCs w:val="26"/>
        </w:rPr>
        <w:t xml:space="preserve"> issued </w:t>
      </w:r>
      <w:r w:rsidR="001A3290">
        <w:rPr>
          <w:sz w:val="26"/>
          <w:szCs w:val="26"/>
        </w:rPr>
        <w:t>the</w:t>
      </w:r>
      <w:r w:rsidRPr="00005C20">
        <w:rPr>
          <w:sz w:val="26"/>
          <w:szCs w:val="26"/>
        </w:rPr>
        <w:t xml:space="preserve"> </w:t>
      </w:r>
      <w:r w:rsidRPr="001A3290">
        <w:rPr>
          <w:i/>
          <w:iCs/>
          <w:sz w:val="26"/>
          <w:szCs w:val="26"/>
        </w:rPr>
        <w:t>Prehearing Order</w:t>
      </w:r>
      <w:r w:rsidRPr="00005C20">
        <w:rPr>
          <w:sz w:val="26"/>
          <w:szCs w:val="26"/>
        </w:rPr>
        <w:t xml:space="preserve"> </w:t>
      </w:r>
      <w:r>
        <w:rPr>
          <w:sz w:val="26"/>
          <w:szCs w:val="26"/>
        </w:rPr>
        <w:t xml:space="preserve">establishing </w:t>
      </w:r>
      <w:r w:rsidRPr="00005C20">
        <w:rPr>
          <w:sz w:val="26"/>
          <w:szCs w:val="26"/>
        </w:rPr>
        <w:t>the litigation schedule</w:t>
      </w:r>
      <w:r>
        <w:rPr>
          <w:sz w:val="26"/>
          <w:szCs w:val="26"/>
        </w:rPr>
        <w:t xml:space="preserve"> </w:t>
      </w:r>
      <w:r w:rsidR="00066FCE">
        <w:rPr>
          <w:sz w:val="26"/>
          <w:szCs w:val="26"/>
        </w:rPr>
        <w:t xml:space="preserve">as </w:t>
      </w:r>
      <w:r w:rsidR="00066FCE" w:rsidRPr="00005C20">
        <w:rPr>
          <w:sz w:val="26"/>
          <w:szCs w:val="26"/>
        </w:rPr>
        <w:t xml:space="preserve">agreed to </w:t>
      </w:r>
      <w:r w:rsidR="00066FCE">
        <w:rPr>
          <w:sz w:val="26"/>
          <w:szCs w:val="26"/>
        </w:rPr>
        <w:t>by the Parties at the Prehearing Conference</w:t>
      </w:r>
      <w:r w:rsidR="006E50FE">
        <w:rPr>
          <w:sz w:val="26"/>
          <w:szCs w:val="26"/>
        </w:rPr>
        <w:t xml:space="preserve"> and</w:t>
      </w:r>
      <w:r w:rsidR="00066FCE">
        <w:rPr>
          <w:sz w:val="26"/>
          <w:szCs w:val="26"/>
        </w:rPr>
        <w:t xml:space="preserve"> consistent with the </w:t>
      </w:r>
      <w:r w:rsidR="00880B42">
        <w:rPr>
          <w:sz w:val="26"/>
          <w:szCs w:val="26"/>
        </w:rPr>
        <w:t>CALJ</w:t>
      </w:r>
      <w:r w:rsidR="00066FCE">
        <w:rPr>
          <w:sz w:val="26"/>
          <w:szCs w:val="26"/>
        </w:rPr>
        <w:t>’s decision to grant additional procedural time in this proceeding</w:t>
      </w:r>
      <w:r w:rsidR="00A92D23">
        <w:rPr>
          <w:sz w:val="26"/>
          <w:szCs w:val="26"/>
        </w:rPr>
        <w:t>.</w:t>
      </w:r>
    </w:p>
    <w:p w14:paraId="430BF3BC" w14:textId="77777777" w:rsidR="00171051" w:rsidRDefault="00171051" w:rsidP="00DD04BF">
      <w:pPr>
        <w:tabs>
          <w:tab w:val="left" w:pos="-720"/>
        </w:tabs>
        <w:ind w:firstLine="0"/>
        <w:rPr>
          <w:sz w:val="26"/>
          <w:szCs w:val="26"/>
        </w:rPr>
      </w:pPr>
    </w:p>
    <w:p w14:paraId="3C9248A4" w14:textId="77777777" w:rsidR="002A55DC" w:rsidRDefault="004D59EA" w:rsidP="00F50021">
      <w:pPr>
        <w:tabs>
          <w:tab w:val="left" w:pos="-720"/>
        </w:tabs>
        <w:rPr>
          <w:color w:val="000000"/>
          <w:sz w:val="26"/>
          <w:szCs w:val="26"/>
        </w:rPr>
      </w:pPr>
      <w:r>
        <w:rPr>
          <w:sz w:val="26"/>
          <w:szCs w:val="26"/>
        </w:rPr>
        <w:t>As noted above, o</w:t>
      </w:r>
      <w:r w:rsidR="00171051">
        <w:rPr>
          <w:sz w:val="26"/>
          <w:szCs w:val="26"/>
        </w:rPr>
        <w:t xml:space="preserve">n June </w:t>
      </w:r>
      <w:r w:rsidR="00401553">
        <w:rPr>
          <w:sz w:val="26"/>
          <w:szCs w:val="26"/>
        </w:rPr>
        <w:t>2</w:t>
      </w:r>
      <w:r w:rsidR="00C44731">
        <w:rPr>
          <w:sz w:val="26"/>
          <w:szCs w:val="26"/>
        </w:rPr>
        <w:t>4</w:t>
      </w:r>
      <w:r w:rsidR="00401553">
        <w:rPr>
          <w:sz w:val="26"/>
          <w:szCs w:val="26"/>
        </w:rPr>
        <w:t xml:space="preserve">, 2020, </w:t>
      </w:r>
      <w:r w:rsidR="00C44731">
        <w:rPr>
          <w:sz w:val="26"/>
          <w:szCs w:val="26"/>
        </w:rPr>
        <w:t>PAWC</w:t>
      </w:r>
      <w:r w:rsidR="00401553">
        <w:rPr>
          <w:sz w:val="26"/>
          <w:szCs w:val="26"/>
        </w:rPr>
        <w:t xml:space="preserve"> filed the Petition</w:t>
      </w:r>
      <w:r w:rsidR="00164504">
        <w:rPr>
          <w:sz w:val="26"/>
          <w:szCs w:val="26"/>
        </w:rPr>
        <w:t xml:space="preserve"> currently before us</w:t>
      </w:r>
      <w:r w:rsidR="00401553">
        <w:rPr>
          <w:sz w:val="26"/>
          <w:szCs w:val="26"/>
        </w:rPr>
        <w:t>.</w:t>
      </w:r>
      <w:r w:rsidR="00F50021">
        <w:rPr>
          <w:sz w:val="26"/>
          <w:szCs w:val="26"/>
        </w:rPr>
        <w:t xml:space="preserve"> </w:t>
      </w:r>
      <w:r w:rsidR="00662DD9">
        <w:rPr>
          <w:sz w:val="26"/>
          <w:szCs w:val="26"/>
        </w:rPr>
        <w:t xml:space="preserve"> On July 6, 2020, the OCA and I&amp;E </w:t>
      </w:r>
      <w:r w:rsidR="00A46BBF">
        <w:rPr>
          <w:sz w:val="26"/>
          <w:szCs w:val="26"/>
        </w:rPr>
        <w:t xml:space="preserve">each </w:t>
      </w:r>
      <w:r w:rsidR="00662DD9">
        <w:rPr>
          <w:sz w:val="26"/>
          <w:szCs w:val="26"/>
        </w:rPr>
        <w:t xml:space="preserve">filed </w:t>
      </w:r>
      <w:r w:rsidR="00A46BBF">
        <w:rPr>
          <w:sz w:val="26"/>
          <w:szCs w:val="26"/>
        </w:rPr>
        <w:t xml:space="preserve">an </w:t>
      </w:r>
      <w:r w:rsidR="00662DD9">
        <w:rPr>
          <w:sz w:val="26"/>
          <w:szCs w:val="26"/>
        </w:rPr>
        <w:t>Answer to</w:t>
      </w:r>
      <w:r w:rsidR="00A46BBF">
        <w:rPr>
          <w:sz w:val="26"/>
          <w:szCs w:val="26"/>
        </w:rPr>
        <w:t xml:space="preserve"> the</w:t>
      </w:r>
      <w:r w:rsidR="00662DD9">
        <w:rPr>
          <w:sz w:val="26"/>
          <w:szCs w:val="26"/>
        </w:rPr>
        <w:t xml:space="preserve"> Petition.  </w:t>
      </w:r>
      <w:r w:rsidR="00662DD9">
        <w:rPr>
          <w:color w:val="000000"/>
          <w:sz w:val="26"/>
          <w:szCs w:val="26"/>
        </w:rPr>
        <w:t>On July 8, 2020, CAUSE-PA</w:t>
      </w:r>
      <w:r w:rsidR="00662DD9" w:rsidRPr="00BB3BD4">
        <w:rPr>
          <w:color w:val="000000"/>
          <w:sz w:val="26"/>
        </w:rPr>
        <w:t xml:space="preserve"> filed an Answer to</w:t>
      </w:r>
      <w:r>
        <w:rPr>
          <w:color w:val="000000"/>
          <w:sz w:val="26"/>
        </w:rPr>
        <w:t xml:space="preserve"> the </w:t>
      </w:r>
      <w:r w:rsidR="00662DD9" w:rsidRPr="00BB3BD4">
        <w:rPr>
          <w:color w:val="000000"/>
          <w:sz w:val="26"/>
        </w:rPr>
        <w:t>Petition.</w:t>
      </w:r>
      <w:r w:rsidR="00662DD9">
        <w:rPr>
          <w:color w:val="000000"/>
          <w:sz w:val="26"/>
          <w:szCs w:val="26"/>
        </w:rPr>
        <w:t xml:space="preserve"> </w:t>
      </w:r>
      <w:r>
        <w:rPr>
          <w:color w:val="000000"/>
          <w:sz w:val="26"/>
          <w:szCs w:val="26"/>
        </w:rPr>
        <w:t xml:space="preserve"> On July 14, 2020, </w:t>
      </w:r>
      <w:r w:rsidRPr="004D59EA">
        <w:rPr>
          <w:color w:val="000000"/>
          <w:sz w:val="26"/>
          <w:szCs w:val="26"/>
        </w:rPr>
        <w:t xml:space="preserve">the </w:t>
      </w:r>
      <w:r>
        <w:rPr>
          <w:color w:val="000000"/>
          <w:sz w:val="26"/>
          <w:szCs w:val="26"/>
        </w:rPr>
        <w:t xml:space="preserve">OSBA filed an Answer to the Petition. </w:t>
      </w:r>
    </w:p>
    <w:p w14:paraId="52F99125" w14:textId="77777777" w:rsidR="00164504" w:rsidRDefault="00164504" w:rsidP="00F50021">
      <w:pPr>
        <w:tabs>
          <w:tab w:val="left" w:pos="-720"/>
        </w:tabs>
        <w:rPr>
          <w:color w:val="000000"/>
          <w:sz w:val="26"/>
          <w:szCs w:val="26"/>
        </w:rPr>
      </w:pPr>
    </w:p>
    <w:p w14:paraId="4B4222EA" w14:textId="77777777" w:rsidR="00164504" w:rsidRPr="00164504" w:rsidRDefault="00164504" w:rsidP="00164504">
      <w:pPr>
        <w:tabs>
          <w:tab w:val="left" w:pos="-720"/>
        </w:tabs>
        <w:rPr>
          <w:sz w:val="26"/>
          <w:szCs w:val="26"/>
        </w:rPr>
      </w:pPr>
      <w:r>
        <w:rPr>
          <w:color w:val="000000"/>
          <w:sz w:val="26"/>
          <w:szCs w:val="26"/>
        </w:rPr>
        <w:t xml:space="preserve">The Petition and Answers are now ripe for decision. </w:t>
      </w:r>
    </w:p>
    <w:p w14:paraId="4342491E" w14:textId="77777777" w:rsidR="002A55DC" w:rsidRPr="0055259C" w:rsidRDefault="002A55DC" w:rsidP="00164504">
      <w:pPr>
        <w:tabs>
          <w:tab w:val="left" w:pos="1584"/>
        </w:tabs>
        <w:ind w:right="144" w:firstLine="0"/>
        <w:textAlignment w:val="baseline"/>
        <w:rPr>
          <w:sz w:val="26"/>
          <w:szCs w:val="26"/>
        </w:rPr>
      </w:pPr>
    </w:p>
    <w:p w14:paraId="60FBE321" w14:textId="77777777" w:rsidR="00BC53F0" w:rsidRPr="0055259C" w:rsidRDefault="00BC53F0" w:rsidP="00103846">
      <w:pPr>
        <w:keepNext/>
        <w:keepLines/>
        <w:tabs>
          <w:tab w:val="left" w:pos="-720"/>
        </w:tabs>
        <w:ind w:firstLine="0"/>
        <w:jc w:val="center"/>
        <w:rPr>
          <w:b/>
          <w:sz w:val="26"/>
          <w:szCs w:val="20"/>
        </w:rPr>
      </w:pPr>
      <w:r w:rsidRPr="0055259C">
        <w:rPr>
          <w:b/>
          <w:sz w:val="26"/>
          <w:szCs w:val="20"/>
        </w:rPr>
        <w:t>Discussion</w:t>
      </w:r>
    </w:p>
    <w:p w14:paraId="3A456405" w14:textId="77777777" w:rsidR="00BC53F0" w:rsidRPr="0055259C" w:rsidRDefault="00BC53F0" w:rsidP="002C64DB">
      <w:pPr>
        <w:keepNext/>
        <w:keepLines/>
        <w:tabs>
          <w:tab w:val="left" w:pos="-720"/>
        </w:tabs>
        <w:ind w:firstLine="0"/>
        <w:rPr>
          <w:sz w:val="26"/>
          <w:szCs w:val="20"/>
        </w:rPr>
      </w:pPr>
    </w:p>
    <w:p w14:paraId="131AF766" w14:textId="77777777" w:rsidR="00723092" w:rsidRPr="002509A0" w:rsidRDefault="00723092" w:rsidP="002C64DB">
      <w:pPr>
        <w:keepNext/>
        <w:keepLines/>
        <w:ind w:firstLine="0"/>
        <w:rPr>
          <w:rFonts w:eastAsiaTheme="minorHAnsi"/>
          <w:b/>
          <w:sz w:val="26"/>
          <w:szCs w:val="26"/>
        </w:rPr>
      </w:pPr>
      <w:r w:rsidRPr="002509A0">
        <w:rPr>
          <w:rFonts w:eastAsiaTheme="minorHAnsi"/>
          <w:b/>
          <w:sz w:val="26"/>
          <w:szCs w:val="26"/>
        </w:rPr>
        <w:t>A.</w:t>
      </w:r>
      <w:r w:rsidRPr="002509A0">
        <w:rPr>
          <w:rFonts w:eastAsiaTheme="minorHAnsi"/>
          <w:b/>
          <w:sz w:val="26"/>
          <w:szCs w:val="26"/>
        </w:rPr>
        <w:tab/>
      </w:r>
      <w:r w:rsidR="0004507E" w:rsidRPr="002509A0">
        <w:rPr>
          <w:rFonts w:eastAsiaTheme="minorHAnsi"/>
          <w:b/>
          <w:sz w:val="26"/>
          <w:szCs w:val="26"/>
        </w:rPr>
        <w:t xml:space="preserve">Legal </w:t>
      </w:r>
      <w:r w:rsidRPr="002509A0">
        <w:rPr>
          <w:rFonts w:eastAsiaTheme="minorHAnsi"/>
          <w:b/>
          <w:sz w:val="26"/>
          <w:szCs w:val="26"/>
        </w:rPr>
        <w:t xml:space="preserve">Standards </w:t>
      </w:r>
    </w:p>
    <w:p w14:paraId="0C91C6E5" w14:textId="77777777" w:rsidR="000C2447" w:rsidRPr="002509A0" w:rsidRDefault="000C2447" w:rsidP="002C64DB">
      <w:pPr>
        <w:keepNext/>
        <w:keepLines/>
        <w:autoSpaceDE w:val="0"/>
        <w:autoSpaceDN w:val="0"/>
        <w:adjustRightInd w:val="0"/>
        <w:ind w:firstLine="0"/>
        <w:jc w:val="both"/>
        <w:rPr>
          <w:color w:val="000000"/>
          <w:sz w:val="26"/>
          <w:szCs w:val="26"/>
        </w:rPr>
      </w:pPr>
    </w:p>
    <w:p w14:paraId="4F87F391" w14:textId="77777777" w:rsidR="009B4274" w:rsidRDefault="009B4274" w:rsidP="009B4274">
      <w:pPr>
        <w:widowControl w:val="0"/>
        <w:autoSpaceDE w:val="0"/>
        <w:autoSpaceDN w:val="0"/>
        <w:adjustRightInd w:val="0"/>
        <w:rPr>
          <w:color w:val="000000"/>
          <w:sz w:val="26"/>
          <w:szCs w:val="26"/>
        </w:rPr>
      </w:pPr>
      <w:bookmarkStart w:id="11" w:name="_Hlk46215567"/>
      <w:r>
        <w:rPr>
          <w:color w:val="000000"/>
          <w:sz w:val="26"/>
          <w:szCs w:val="26"/>
        </w:rPr>
        <w:t xml:space="preserve">In the </w:t>
      </w:r>
      <w:r w:rsidRPr="00995112">
        <w:rPr>
          <w:i/>
          <w:iCs/>
          <w:color w:val="000000"/>
          <w:sz w:val="26"/>
          <w:szCs w:val="26"/>
        </w:rPr>
        <w:t>Emergency Order</w:t>
      </w:r>
      <w:r>
        <w:rPr>
          <w:color w:val="000000"/>
          <w:sz w:val="26"/>
          <w:szCs w:val="26"/>
        </w:rPr>
        <w:t xml:space="preserve">, in pertinent part, we declared that while the </w:t>
      </w:r>
      <w:r w:rsidRPr="0094128E">
        <w:rPr>
          <w:i/>
          <w:iCs/>
          <w:color w:val="000000"/>
          <w:sz w:val="26"/>
          <w:szCs w:val="26"/>
        </w:rPr>
        <w:t>Emergency Order</w:t>
      </w:r>
      <w:r>
        <w:rPr>
          <w:color w:val="000000"/>
          <w:sz w:val="26"/>
          <w:szCs w:val="26"/>
        </w:rPr>
        <w:t xml:space="preserve"> is in effect, </w:t>
      </w:r>
      <w:r w:rsidRPr="00FE43BD">
        <w:rPr>
          <w:color w:val="000000"/>
          <w:sz w:val="26"/>
          <w:szCs w:val="26"/>
        </w:rPr>
        <w:t xml:space="preserve">any decision by a Commission Bureau Director, including the </w:t>
      </w:r>
      <w:r>
        <w:rPr>
          <w:color w:val="000000"/>
          <w:sz w:val="26"/>
          <w:szCs w:val="26"/>
        </w:rPr>
        <w:t>CALJ</w:t>
      </w:r>
      <w:r w:rsidRPr="00FE43BD">
        <w:rPr>
          <w:color w:val="000000"/>
          <w:sz w:val="26"/>
          <w:szCs w:val="26"/>
        </w:rPr>
        <w:t>, to suspend, extend, waive or change “any regulatory, statutory or procedural deadline,” is reviewable by the Commission pursuant to Section 5.44</w:t>
      </w:r>
      <w:r>
        <w:rPr>
          <w:color w:val="000000"/>
          <w:sz w:val="26"/>
          <w:szCs w:val="26"/>
        </w:rPr>
        <w:t xml:space="preserve"> </w:t>
      </w:r>
      <w:r w:rsidRPr="00FE43BD">
        <w:rPr>
          <w:color w:val="000000"/>
          <w:sz w:val="26"/>
          <w:szCs w:val="26"/>
        </w:rPr>
        <w:t>of the Commission’s Regulations</w:t>
      </w:r>
      <w:r>
        <w:rPr>
          <w:sz w:val="26"/>
          <w:szCs w:val="26"/>
        </w:rPr>
        <w:t xml:space="preserve"> </w:t>
      </w:r>
      <w:r w:rsidRPr="00FE43BD">
        <w:rPr>
          <w:color w:val="000000"/>
          <w:sz w:val="26"/>
          <w:szCs w:val="26"/>
        </w:rPr>
        <w:t xml:space="preserve">upon the filing of a petition for reconsideration of staff action </w:t>
      </w:r>
      <w:bookmarkStart w:id="12" w:name="_Hlk48035702"/>
      <w:r w:rsidRPr="00FE43BD">
        <w:rPr>
          <w:color w:val="000000"/>
          <w:sz w:val="26"/>
          <w:szCs w:val="26"/>
        </w:rPr>
        <w:t>by an affected party.</w:t>
      </w:r>
      <w:r w:rsidRPr="00FE43BD">
        <w:rPr>
          <w:rStyle w:val="FootnoteReference"/>
          <w:color w:val="000000"/>
          <w:szCs w:val="26"/>
        </w:rPr>
        <w:footnoteReference w:id="8"/>
      </w:r>
      <w:r w:rsidRPr="00FE43BD">
        <w:rPr>
          <w:color w:val="000000"/>
          <w:sz w:val="26"/>
          <w:szCs w:val="26"/>
        </w:rPr>
        <w:t xml:space="preserve">  </w:t>
      </w:r>
      <w:r w:rsidRPr="00FE43BD">
        <w:rPr>
          <w:i/>
          <w:iCs/>
          <w:color w:val="000000"/>
          <w:sz w:val="26"/>
          <w:szCs w:val="26"/>
        </w:rPr>
        <w:t>Emergency Order</w:t>
      </w:r>
      <w:r w:rsidRPr="00FE43BD">
        <w:rPr>
          <w:color w:val="000000"/>
          <w:sz w:val="26"/>
          <w:szCs w:val="26"/>
        </w:rPr>
        <w:t xml:space="preserve"> at 2, 4, OP No. 6. </w:t>
      </w:r>
      <w:r>
        <w:rPr>
          <w:color w:val="000000"/>
          <w:sz w:val="26"/>
          <w:szCs w:val="26"/>
        </w:rPr>
        <w:t xml:space="preserve"> </w:t>
      </w:r>
    </w:p>
    <w:p w14:paraId="2D97DA3E" w14:textId="77777777" w:rsidR="009B4274" w:rsidRPr="00483AEF" w:rsidRDefault="009B4274" w:rsidP="00483AEF">
      <w:pPr>
        <w:widowControl w:val="0"/>
        <w:autoSpaceDE w:val="0"/>
        <w:autoSpaceDN w:val="0"/>
        <w:adjustRightInd w:val="0"/>
        <w:rPr>
          <w:color w:val="000000"/>
          <w:sz w:val="26"/>
        </w:rPr>
      </w:pPr>
    </w:p>
    <w:p w14:paraId="359C4AD3" w14:textId="77777777" w:rsidR="009B4274" w:rsidRPr="009B4274" w:rsidRDefault="009B4274" w:rsidP="009B4274">
      <w:pPr>
        <w:rPr>
          <w:sz w:val="26"/>
          <w:szCs w:val="26"/>
        </w:rPr>
      </w:pPr>
      <w:r w:rsidRPr="00C54C53">
        <w:rPr>
          <w:sz w:val="26"/>
          <w:szCs w:val="26"/>
        </w:rPr>
        <w:lastRenderedPageBreak/>
        <w:t xml:space="preserve">When evaluating appeals from </w:t>
      </w:r>
      <w:r>
        <w:rPr>
          <w:sz w:val="26"/>
          <w:szCs w:val="26"/>
        </w:rPr>
        <w:t xml:space="preserve">a </w:t>
      </w:r>
      <w:r w:rsidRPr="00C54C53">
        <w:rPr>
          <w:sz w:val="26"/>
          <w:szCs w:val="26"/>
        </w:rPr>
        <w:t xml:space="preserve">Commission staff action under 52 Pa. Code § 5.44, the </w:t>
      </w:r>
      <w:r>
        <w:rPr>
          <w:sz w:val="26"/>
          <w:szCs w:val="26"/>
        </w:rPr>
        <w:t>applicable legal standard is</w:t>
      </w:r>
      <w:r w:rsidRPr="00C54C53">
        <w:rPr>
          <w:sz w:val="26"/>
          <w:szCs w:val="26"/>
        </w:rPr>
        <w:t xml:space="preserve"> that the moving party has the burden of proof</w:t>
      </w:r>
      <w:r>
        <w:rPr>
          <w:sz w:val="26"/>
          <w:szCs w:val="26"/>
        </w:rPr>
        <w:t>.</w:t>
      </w:r>
      <w:r>
        <w:rPr>
          <w:rStyle w:val="FootnoteReference"/>
          <w:szCs w:val="26"/>
        </w:rPr>
        <w:footnoteReference w:id="9"/>
      </w:r>
      <w:r w:rsidRPr="00483AEF">
        <w:rPr>
          <w:color w:val="000000"/>
          <w:sz w:val="26"/>
        </w:rPr>
        <w:t xml:space="preserve">  </w:t>
      </w:r>
      <w:r w:rsidRPr="00930489">
        <w:rPr>
          <w:i/>
          <w:sz w:val="26"/>
          <w:szCs w:val="26"/>
        </w:rPr>
        <w:t xml:space="preserve">See, e.g., Application of </w:t>
      </w:r>
      <w:proofErr w:type="spellStart"/>
      <w:r w:rsidRPr="00930489">
        <w:rPr>
          <w:i/>
          <w:sz w:val="26"/>
          <w:szCs w:val="26"/>
        </w:rPr>
        <w:t>Airquest</w:t>
      </w:r>
      <w:proofErr w:type="spellEnd"/>
      <w:r w:rsidRPr="00930489">
        <w:rPr>
          <w:sz w:val="26"/>
          <w:szCs w:val="26"/>
        </w:rPr>
        <w:t xml:space="preserve">, Docket No. A-2015-2493073 (Order entered December 8, 2016) (request for reconsideration of secretarial letter denying application for failure to comply with conditions); </w:t>
      </w:r>
      <w:r w:rsidRPr="00930489">
        <w:rPr>
          <w:i/>
          <w:sz w:val="26"/>
          <w:szCs w:val="26"/>
        </w:rPr>
        <w:t xml:space="preserve">Application of Dep’t of Transportation (Norfolk), </w:t>
      </w:r>
      <w:r w:rsidRPr="00930489">
        <w:rPr>
          <w:sz w:val="26"/>
          <w:szCs w:val="26"/>
        </w:rPr>
        <w:t>Docket No. A-2018-3003795 (November 19, 2019) (request for reconsideration of secretarial letter approving application with conditions).</w:t>
      </w:r>
    </w:p>
    <w:bookmarkEnd w:id="12"/>
    <w:p w14:paraId="47EF535F" w14:textId="77777777" w:rsidR="009B4274" w:rsidRDefault="009B4274" w:rsidP="00B67E1B">
      <w:pPr>
        <w:widowControl w:val="0"/>
        <w:autoSpaceDE w:val="0"/>
        <w:autoSpaceDN w:val="0"/>
        <w:adjustRightInd w:val="0"/>
        <w:rPr>
          <w:color w:val="000000"/>
          <w:sz w:val="26"/>
          <w:szCs w:val="26"/>
        </w:rPr>
      </w:pPr>
    </w:p>
    <w:p w14:paraId="435E51BB" w14:textId="1D0D0D7D" w:rsidR="00F13E06" w:rsidRPr="00B67E1B" w:rsidRDefault="0046531B" w:rsidP="00B67E1B">
      <w:pPr>
        <w:widowControl w:val="0"/>
        <w:autoSpaceDE w:val="0"/>
        <w:autoSpaceDN w:val="0"/>
        <w:adjustRightInd w:val="0"/>
        <w:rPr>
          <w:sz w:val="26"/>
          <w:szCs w:val="26"/>
        </w:rPr>
      </w:pPr>
      <w:r>
        <w:rPr>
          <w:color w:val="000000"/>
          <w:sz w:val="26"/>
          <w:szCs w:val="26"/>
        </w:rPr>
        <w:t>I</w:t>
      </w:r>
      <w:r w:rsidR="00F13E06" w:rsidRPr="00377502">
        <w:rPr>
          <w:bCs/>
          <w:sz w:val="26"/>
          <w:szCs w:val="26"/>
        </w:rPr>
        <w:t xml:space="preserve">n the </w:t>
      </w:r>
      <w:r w:rsidR="00F13E06" w:rsidRPr="00995629">
        <w:rPr>
          <w:bCs/>
          <w:i/>
          <w:iCs/>
          <w:sz w:val="26"/>
          <w:szCs w:val="26"/>
        </w:rPr>
        <w:t>Emergency Order</w:t>
      </w:r>
      <w:r w:rsidR="00F13E06" w:rsidRPr="00377502">
        <w:rPr>
          <w:bCs/>
          <w:sz w:val="26"/>
          <w:szCs w:val="26"/>
        </w:rPr>
        <w:t xml:space="preserve">, </w:t>
      </w:r>
      <w:r w:rsidR="00255530">
        <w:rPr>
          <w:bCs/>
          <w:sz w:val="26"/>
          <w:szCs w:val="26"/>
        </w:rPr>
        <w:t xml:space="preserve">the Commission </w:t>
      </w:r>
      <w:r>
        <w:rPr>
          <w:bCs/>
          <w:sz w:val="26"/>
          <w:szCs w:val="26"/>
        </w:rPr>
        <w:t xml:space="preserve">delegated authority to Bureau Directors, including the </w:t>
      </w:r>
      <w:r w:rsidR="00880B42">
        <w:rPr>
          <w:bCs/>
          <w:sz w:val="26"/>
          <w:szCs w:val="26"/>
        </w:rPr>
        <w:t>CALJ</w:t>
      </w:r>
      <w:r>
        <w:rPr>
          <w:bCs/>
          <w:sz w:val="26"/>
          <w:szCs w:val="26"/>
        </w:rPr>
        <w:t>, to suspend, extend, waive</w:t>
      </w:r>
      <w:r w:rsidR="00BA10CC">
        <w:rPr>
          <w:bCs/>
          <w:sz w:val="26"/>
          <w:szCs w:val="26"/>
        </w:rPr>
        <w:t>,</w:t>
      </w:r>
      <w:r>
        <w:rPr>
          <w:bCs/>
          <w:sz w:val="26"/>
          <w:szCs w:val="26"/>
        </w:rPr>
        <w:t xml:space="preserve"> or change any statutory or </w:t>
      </w:r>
      <w:r w:rsidR="00BA10CC">
        <w:rPr>
          <w:bCs/>
          <w:sz w:val="26"/>
          <w:szCs w:val="26"/>
        </w:rPr>
        <w:t>regulatory</w:t>
      </w:r>
      <w:r>
        <w:rPr>
          <w:bCs/>
          <w:sz w:val="26"/>
          <w:szCs w:val="26"/>
        </w:rPr>
        <w:t xml:space="preserve"> deadline which may hinder, rather than further, the mission of the Commissio</w:t>
      </w:r>
      <w:r w:rsidR="002C64DB">
        <w:rPr>
          <w:bCs/>
          <w:sz w:val="26"/>
          <w:szCs w:val="26"/>
        </w:rPr>
        <w:t>n.</w:t>
      </w:r>
      <w:r>
        <w:rPr>
          <w:bCs/>
          <w:sz w:val="26"/>
          <w:szCs w:val="26"/>
        </w:rPr>
        <w:t xml:space="preserve"> </w:t>
      </w:r>
      <w:r w:rsidR="002C64DB">
        <w:rPr>
          <w:bCs/>
          <w:sz w:val="26"/>
          <w:szCs w:val="26"/>
        </w:rPr>
        <w:t xml:space="preserve"> </w:t>
      </w:r>
      <w:r>
        <w:rPr>
          <w:bCs/>
          <w:sz w:val="26"/>
          <w:szCs w:val="26"/>
        </w:rPr>
        <w:t>Specifically, we stated as follows</w:t>
      </w:r>
      <w:r w:rsidR="00F13E06" w:rsidRPr="00377502">
        <w:rPr>
          <w:bCs/>
          <w:sz w:val="26"/>
          <w:szCs w:val="26"/>
        </w:rPr>
        <w:t xml:space="preserve">: </w:t>
      </w:r>
    </w:p>
    <w:p w14:paraId="14725432" w14:textId="77777777" w:rsidR="00F13E06" w:rsidRDefault="00F13E06" w:rsidP="00967B68">
      <w:pPr>
        <w:pStyle w:val="NoSpacing"/>
        <w:keepNext/>
        <w:keepLines/>
        <w:rPr>
          <w:rFonts w:ascii="Times New Roman" w:hAnsi="Times New Roman"/>
          <w:bCs/>
          <w:sz w:val="26"/>
          <w:szCs w:val="26"/>
          <w:highlight w:val="yellow"/>
        </w:rPr>
      </w:pPr>
    </w:p>
    <w:p w14:paraId="0114ACCD" w14:textId="77777777" w:rsidR="00F13E06" w:rsidRPr="002C64DB" w:rsidRDefault="00F13E06" w:rsidP="002C64DB">
      <w:pPr>
        <w:pStyle w:val="NoSpacing"/>
        <w:ind w:left="1440" w:right="1440"/>
        <w:rPr>
          <w:rFonts w:ascii="Times New Roman" w:hAnsi="Times New Roman"/>
          <w:bCs/>
          <w:sz w:val="26"/>
          <w:szCs w:val="26"/>
        </w:rPr>
      </w:pPr>
      <w:r w:rsidRPr="00377502">
        <w:rPr>
          <w:rFonts w:ascii="Times New Roman" w:hAnsi="Times New Roman"/>
          <w:bCs/>
          <w:sz w:val="26"/>
          <w:szCs w:val="26"/>
        </w:rPr>
        <w:t xml:space="preserve">Similar to other actions where we have delegated various duties to Commission bureaus, we now delegate the authority to determine </w:t>
      </w:r>
      <w:r w:rsidRPr="00377502">
        <w:rPr>
          <w:rFonts w:ascii="Times New Roman" w:hAnsi="Times New Roman"/>
          <w:color w:val="000000"/>
          <w:sz w:val="26"/>
          <w:szCs w:val="26"/>
        </w:rPr>
        <w:t xml:space="preserve">the </w:t>
      </w:r>
      <w:bookmarkStart w:id="13" w:name="_Hlk35577746"/>
      <w:r w:rsidRPr="00377502">
        <w:rPr>
          <w:rFonts w:ascii="Times New Roman" w:hAnsi="Times New Roman"/>
          <w:color w:val="000000"/>
          <w:sz w:val="26"/>
          <w:szCs w:val="26"/>
        </w:rPr>
        <w:t>suspension, extension, waiver or change of any regulatory, statutory or procedural deadlines</w:t>
      </w:r>
      <w:bookmarkEnd w:id="13"/>
      <w:r w:rsidRPr="00377502">
        <w:rPr>
          <w:rFonts w:ascii="Times New Roman" w:hAnsi="Times New Roman"/>
          <w:color w:val="000000"/>
          <w:sz w:val="26"/>
          <w:szCs w:val="26"/>
        </w:rPr>
        <w:t xml:space="preserve"> </w:t>
      </w:r>
      <w:r w:rsidRPr="00377502">
        <w:rPr>
          <w:rFonts w:ascii="Times New Roman" w:hAnsi="Times New Roman"/>
          <w:bCs/>
          <w:sz w:val="26"/>
          <w:szCs w:val="26"/>
        </w:rPr>
        <w:t xml:space="preserve">to individual Commission Bureau Directors whose bureaus are tasked with matters before the Commission.  Each Bureau Director will make decisions regarding the necessity of modifying such deadlines.  Modifications may result from a request by a party or the tribunal/bureau staff itself.  </w:t>
      </w:r>
    </w:p>
    <w:p w14:paraId="1135F583" w14:textId="77777777" w:rsidR="002C64DB" w:rsidRDefault="002C64DB" w:rsidP="0046531B">
      <w:pPr>
        <w:pStyle w:val="NoSpacing"/>
        <w:rPr>
          <w:rFonts w:ascii="Times New Roman" w:hAnsi="Times New Roman"/>
          <w:bCs/>
          <w:sz w:val="26"/>
          <w:szCs w:val="26"/>
        </w:rPr>
      </w:pPr>
    </w:p>
    <w:p w14:paraId="5E186F8A" w14:textId="77777777" w:rsidR="0046531B" w:rsidRPr="00950543" w:rsidRDefault="0046531B" w:rsidP="00967B68">
      <w:pPr>
        <w:pStyle w:val="NoSpacing"/>
        <w:keepNext/>
        <w:ind w:left="1440" w:right="1440"/>
        <w:rPr>
          <w:rFonts w:ascii="Times New Roman" w:hAnsi="Times New Roman"/>
          <w:bCs/>
          <w:sz w:val="26"/>
          <w:szCs w:val="26"/>
        </w:rPr>
      </w:pPr>
      <w:r w:rsidRPr="00950543">
        <w:rPr>
          <w:rFonts w:ascii="Times New Roman" w:hAnsi="Times New Roman"/>
          <w:bCs/>
          <w:sz w:val="26"/>
          <w:szCs w:val="26"/>
        </w:rPr>
        <w:t>All Bureau Directors are hereby delegated the authority to s</w:t>
      </w:r>
      <w:r w:rsidRPr="00950543">
        <w:rPr>
          <w:rFonts w:ascii="Times New Roman" w:hAnsi="Times New Roman"/>
          <w:color w:val="000000"/>
          <w:sz w:val="26"/>
          <w:szCs w:val="26"/>
        </w:rPr>
        <w:t>uspend, extend, waive or change a</w:t>
      </w:r>
      <w:r w:rsidRPr="00950543">
        <w:rPr>
          <w:rFonts w:ascii="Times New Roman" w:hAnsi="Times New Roman"/>
          <w:bCs/>
          <w:sz w:val="26"/>
          <w:szCs w:val="26"/>
        </w:rPr>
        <w:t xml:space="preserve"> statutory or regulatory deadline </w:t>
      </w:r>
      <w:r w:rsidRPr="0046531B">
        <w:rPr>
          <w:rFonts w:ascii="Times New Roman" w:hAnsi="Times New Roman"/>
          <w:bCs/>
          <w:i/>
          <w:iCs/>
          <w:sz w:val="26"/>
          <w:szCs w:val="26"/>
        </w:rPr>
        <w:t xml:space="preserve">which may hinder, rather than further, the mission of </w:t>
      </w:r>
      <w:r w:rsidRPr="0046531B">
        <w:rPr>
          <w:rFonts w:ascii="Times New Roman" w:hAnsi="Times New Roman"/>
          <w:bCs/>
          <w:i/>
          <w:iCs/>
          <w:sz w:val="26"/>
          <w:szCs w:val="26"/>
        </w:rPr>
        <w:lastRenderedPageBreak/>
        <w:t>the Commission</w:t>
      </w:r>
      <w:r w:rsidRPr="00950543">
        <w:rPr>
          <w:rFonts w:ascii="Times New Roman" w:hAnsi="Times New Roman"/>
          <w:bCs/>
          <w:sz w:val="26"/>
          <w:szCs w:val="26"/>
        </w:rPr>
        <w:t xml:space="preserve">, after consultation with all interested parties, as deemed necessary and appropriate.  </w:t>
      </w:r>
    </w:p>
    <w:p w14:paraId="6A7BFB60" w14:textId="77777777" w:rsidR="0046531B" w:rsidRDefault="0046531B" w:rsidP="00967B68">
      <w:pPr>
        <w:keepNext/>
        <w:ind w:firstLine="0"/>
        <w:rPr>
          <w:sz w:val="26"/>
          <w:szCs w:val="26"/>
        </w:rPr>
      </w:pPr>
    </w:p>
    <w:p w14:paraId="31678C29" w14:textId="77777777" w:rsidR="0046531B" w:rsidRPr="002C64DB" w:rsidRDefault="002C64DB" w:rsidP="00967B68">
      <w:pPr>
        <w:keepNext/>
        <w:ind w:firstLine="0"/>
        <w:rPr>
          <w:rFonts w:eastAsiaTheme="minorHAnsi"/>
          <w:sz w:val="26"/>
          <w:szCs w:val="26"/>
        </w:rPr>
      </w:pPr>
      <w:r w:rsidRPr="00950531">
        <w:rPr>
          <w:rFonts w:eastAsiaTheme="minorHAnsi"/>
          <w:i/>
          <w:iCs/>
          <w:sz w:val="26"/>
          <w:szCs w:val="26"/>
        </w:rPr>
        <w:t>Emergency Order</w:t>
      </w:r>
      <w:r>
        <w:rPr>
          <w:rFonts w:eastAsiaTheme="minorHAnsi"/>
          <w:sz w:val="26"/>
          <w:szCs w:val="26"/>
        </w:rPr>
        <w:t xml:space="preserve"> at 2, </w:t>
      </w:r>
      <w:r w:rsidR="0046531B">
        <w:rPr>
          <w:sz w:val="26"/>
          <w:szCs w:val="26"/>
        </w:rPr>
        <w:t>4, O</w:t>
      </w:r>
      <w:r>
        <w:rPr>
          <w:sz w:val="26"/>
          <w:szCs w:val="26"/>
        </w:rPr>
        <w:t>rdering Paragraph (O</w:t>
      </w:r>
      <w:r w:rsidR="0046531B">
        <w:rPr>
          <w:sz w:val="26"/>
          <w:szCs w:val="26"/>
        </w:rPr>
        <w:t>P</w:t>
      </w:r>
      <w:r>
        <w:rPr>
          <w:sz w:val="26"/>
          <w:szCs w:val="26"/>
        </w:rPr>
        <w:t>)</w:t>
      </w:r>
      <w:r w:rsidR="0046531B">
        <w:rPr>
          <w:sz w:val="26"/>
          <w:szCs w:val="26"/>
        </w:rPr>
        <w:t xml:space="preserve"> No. 4 (emphasis added).</w:t>
      </w:r>
    </w:p>
    <w:p w14:paraId="6C78C527" w14:textId="77777777" w:rsidR="0046531B" w:rsidRDefault="0046531B" w:rsidP="0046531B">
      <w:pPr>
        <w:pStyle w:val="NoSpacing"/>
        <w:rPr>
          <w:rFonts w:ascii="Times New Roman" w:hAnsi="Times New Roman"/>
          <w:bCs/>
          <w:sz w:val="26"/>
          <w:szCs w:val="26"/>
        </w:rPr>
      </w:pPr>
    </w:p>
    <w:p w14:paraId="70305536" w14:textId="18CB3C32" w:rsidR="002C64DB" w:rsidRDefault="009B4274" w:rsidP="002C64DB">
      <w:pPr>
        <w:pStyle w:val="NoSpacing"/>
        <w:spacing w:line="360" w:lineRule="auto"/>
        <w:ind w:firstLine="1440"/>
        <w:rPr>
          <w:rFonts w:ascii="Times New Roman" w:hAnsi="Times New Roman"/>
          <w:bCs/>
          <w:sz w:val="26"/>
          <w:szCs w:val="26"/>
        </w:rPr>
      </w:pPr>
      <w:r>
        <w:rPr>
          <w:rFonts w:ascii="Times New Roman" w:hAnsi="Times New Roman"/>
          <w:bCs/>
          <w:sz w:val="26"/>
          <w:szCs w:val="26"/>
        </w:rPr>
        <w:t>In applying</w:t>
      </w:r>
      <w:r w:rsidRPr="00FE43BD">
        <w:rPr>
          <w:rFonts w:ascii="Times New Roman" w:hAnsi="Times New Roman"/>
          <w:bCs/>
          <w:sz w:val="26"/>
          <w:szCs w:val="26"/>
        </w:rPr>
        <w:t xml:space="preserve"> </w:t>
      </w:r>
      <w:r>
        <w:rPr>
          <w:rFonts w:ascii="Times New Roman" w:hAnsi="Times New Roman"/>
          <w:bCs/>
          <w:sz w:val="26"/>
          <w:szCs w:val="26"/>
        </w:rPr>
        <w:t>such</w:t>
      </w:r>
      <w:r w:rsidRPr="00FE43BD">
        <w:rPr>
          <w:rFonts w:ascii="Times New Roman" w:hAnsi="Times New Roman"/>
          <w:bCs/>
          <w:sz w:val="26"/>
          <w:szCs w:val="26"/>
        </w:rPr>
        <w:t xml:space="preserve"> delegated </w:t>
      </w:r>
      <w:r w:rsidR="002C64DB">
        <w:rPr>
          <w:rFonts w:ascii="Times New Roman" w:hAnsi="Times New Roman"/>
          <w:bCs/>
          <w:sz w:val="26"/>
          <w:szCs w:val="26"/>
        </w:rPr>
        <w:t xml:space="preserve">authority in general base rate cases, we stated as follows: </w:t>
      </w:r>
    </w:p>
    <w:p w14:paraId="0941F620" w14:textId="77777777" w:rsidR="002C64DB" w:rsidRDefault="002C64DB" w:rsidP="0046531B">
      <w:pPr>
        <w:pStyle w:val="NoSpacing"/>
        <w:ind w:left="1440"/>
        <w:rPr>
          <w:rFonts w:ascii="Times New Roman" w:hAnsi="Times New Roman"/>
          <w:bCs/>
          <w:sz w:val="26"/>
          <w:szCs w:val="26"/>
        </w:rPr>
      </w:pPr>
    </w:p>
    <w:p w14:paraId="428BE6B1" w14:textId="77777777" w:rsidR="009B4274" w:rsidRPr="00FE43BD" w:rsidRDefault="009B4274" w:rsidP="009B4274">
      <w:pPr>
        <w:pStyle w:val="NoSpacing"/>
        <w:ind w:left="1440" w:right="1440"/>
        <w:rPr>
          <w:rFonts w:ascii="Times New Roman" w:hAnsi="Times New Roman"/>
          <w:bCs/>
          <w:sz w:val="26"/>
          <w:szCs w:val="26"/>
        </w:rPr>
      </w:pPr>
      <w:r w:rsidRPr="00FE43BD">
        <w:rPr>
          <w:rFonts w:ascii="Times New Roman" w:hAnsi="Times New Roman"/>
          <w:bCs/>
          <w:sz w:val="26"/>
          <w:szCs w:val="26"/>
        </w:rPr>
        <w:t xml:space="preserve">[I]n pending rate case litigation, the </w:t>
      </w:r>
      <w:r w:rsidR="002C64DB" w:rsidRPr="00995629">
        <w:rPr>
          <w:rFonts w:ascii="Times New Roman" w:hAnsi="Times New Roman"/>
          <w:bCs/>
          <w:sz w:val="26"/>
          <w:szCs w:val="26"/>
        </w:rPr>
        <w:t>Chief Administrative Law Judge</w:t>
      </w:r>
      <w:r w:rsidRPr="00FE43BD">
        <w:rPr>
          <w:rFonts w:ascii="Times New Roman" w:hAnsi="Times New Roman"/>
          <w:bCs/>
          <w:sz w:val="26"/>
          <w:szCs w:val="26"/>
        </w:rPr>
        <w:t xml:space="preserve"> is authorized to establish reasonable deadlines under the circumstances after consideration of the positions of the parties and the presiding </w:t>
      </w:r>
      <w:r w:rsidR="002C64DB" w:rsidRPr="00995629">
        <w:rPr>
          <w:rFonts w:ascii="Times New Roman" w:hAnsi="Times New Roman"/>
          <w:bCs/>
          <w:sz w:val="26"/>
          <w:szCs w:val="26"/>
        </w:rPr>
        <w:t>Administrative Law Judge.  The Chief Administrative Law Judge’s</w:t>
      </w:r>
      <w:r w:rsidRPr="00FE43BD">
        <w:rPr>
          <w:rFonts w:ascii="Times New Roman" w:hAnsi="Times New Roman"/>
          <w:bCs/>
          <w:sz w:val="26"/>
          <w:szCs w:val="26"/>
        </w:rPr>
        <w:t xml:space="preserve"> decision would then be </w:t>
      </w:r>
      <w:bookmarkStart w:id="14" w:name="_Hlk35577038"/>
      <w:r w:rsidRPr="00FE43BD">
        <w:rPr>
          <w:rFonts w:ascii="Times New Roman" w:hAnsi="Times New Roman"/>
          <w:bCs/>
          <w:sz w:val="26"/>
          <w:szCs w:val="26"/>
        </w:rPr>
        <w:t>subject to review by the Commission</w:t>
      </w:r>
      <w:bookmarkEnd w:id="14"/>
      <w:r w:rsidRPr="00FE43BD">
        <w:rPr>
          <w:rFonts w:ascii="Times New Roman" w:hAnsi="Times New Roman"/>
          <w:bCs/>
          <w:sz w:val="26"/>
          <w:szCs w:val="26"/>
        </w:rPr>
        <w:t xml:space="preserve">.  </w:t>
      </w:r>
    </w:p>
    <w:p w14:paraId="0C1DEF91" w14:textId="77777777" w:rsidR="00E31981" w:rsidRDefault="00E31981" w:rsidP="00967B68">
      <w:pPr>
        <w:ind w:firstLine="0"/>
        <w:rPr>
          <w:rFonts w:eastAsiaTheme="minorHAnsi"/>
          <w:i/>
          <w:iCs/>
          <w:sz w:val="26"/>
          <w:szCs w:val="26"/>
        </w:rPr>
      </w:pPr>
    </w:p>
    <w:p w14:paraId="737C4A4A" w14:textId="77777777" w:rsidR="002C64DB" w:rsidRPr="006C21A4" w:rsidRDefault="002C64DB" w:rsidP="00967B68">
      <w:pPr>
        <w:ind w:firstLine="0"/>
        <w:rPr>
          <w:rFonts w:eastAsiaTheme="minorHAnsi"/>
          <w:sz w:val="26"/>
          <w:szCs w:val="26"/>
        </w:rPr>
      </w:pPr>
      <w:r w:rsidRPr="00950531">
        <w:rPr>
          <w:rFonts w:eastAsiaTheme="minorHAnsi"/>
          <w:i/>
          <w:iCs/>
          <w:sz w:val="26"/>
          <w:szCs w:val="26"/>
        </w:rPr>
        <w:t>Emergency Order</w:t>
      </w:r>
      <w:r>
        <w:rPr>
          <w:rFonts w:eastAsiaTheme="minorHAnsi"/>
          <w:sz w:val="26"/>
          <w:szCs w:val="26"/>
        </w:rPr>
        <w:t xml:space="preserve"> at 2. </w:t>
      </w:r>
      <w:r w:rsidRPr="00830414">
        <w:rPr>
          <w:color w:val="000000"/>
          <w:sz w:val="26"/>
          <w:szCs w:val="26"/>
        </w:rPr>
        <w:t> </w:t>
      </w:r>
    </w:p>
    <w:p w14:paraId="023AF711" w14:textId="77777777" w:rsidR="002C64DB" w:rsidRDefault="002C64DB" w:rsidP="00967B68">
      <w:pPr>
        <w:pStyle w:val="NoSpacing"/>
        <w:spacing w:line="360" w:lineRule="auto"/>
        <w:rPr>
          <w:rFonts w:ascii="Times New Roman" w:hAnsi="Times New Roman"/>
          <w:bCs/>
          <w:sz w:val="26"/>
          <w:szCs w:val="26"/>
        </w:rPr>
      </w:pPr>
    </w:p>
    <w:p w14:paraId="2B24F628" w14:textId="47D0FE17" w:rsidR="002C64DB" w:rsidRDefault="00065542" w:rsidP="00967B68">
      <w:pPr>
        <w:pStyle w:val="NoSpacing"/>
        <w:spacing w:line="360" w:lineRule="auto"/>
        <w:ind w:firstLine="1440"/>
        <w:rPr>
          <w:rFonts w:ascii="Times New Roman" w:hAnsi="Times New Roman"/>
          <w:bCs/>
          <w:sz w:val="26"/>
          <w:szCs w:val="26"/>
        </w:rPr>
      </w:pPr>
      <w:bookmarkStart w:id="15" w:name="_Hlk46215674"/>
      <w:r>
        <w:rPr>
          <w:rFonts w:ascii="Times New Roman" w:hAnsi="Times New Roman"/>
          <w:bCs/>
          <w:sz w:val="26"/>
          <w:szCs w:val="26"/>
        </w:rPr>
        <w:t>We</w:t>
      </w:r>
      <w:r w:rsidR="002C64DB">
        <w:rPr>
          <w:rFonts w:ascii="Times New Roman" w:hAnsi="Times New Roman"/>
          <w:bCs/>
          <w:sz w:val="26"/>
          <w:szCs w:val="26"/>
        </w:rPr>
        <w:t xml:space="preserve"> encouraged parties </w:t>
      </w:r>
      <w:r w:rsidR="00BA10CC">
        <w:rPr>
          <w:rFonts w:ascii="Times New Roman" w:hAnsi="Times New Roman"/>
          <w:bCs/>
          <w:sz w:val="26"/>
          <w:szCs w:val="26"/>
        </w:rPr>
        <w:t xml:space="preserve">appearing before us in </w:t>
      </w:r>
      <w:r w:rsidR="002C64DB">
        <w:rPr>
          <w:rFonts w:ascii="Times New Roman" w:hAnsi="Times New Roman"/>
          <w:bCs/>
          <w:sz w:val="26"/>
          <w:szCs w:val="26"/>
        </w:rPr>
        <w:t xml:space="preserve">proceedings to cooperate regarding procedural extensions, stating as follows: </w:t>
      </w:r>
      <w:bookmarkEnd w:id="15"/>
    </w:p>
    <w:p w14:paraId="4404321A" w14:textId="77777777" w:rsidR="002C64DB" w:rsidRDefault="002C64DB" w:rsidP="0046531B">
      <w:pPr>
        <w:pStyle w:val="NoSpacing"/>
        <w:ind w:left="1440"/>
        <w:rPr>
          <w:rFonts w:ascii="Times New Roman" w:hAnsi="Times New Roman"/>
          <w:bCs/>
          <w:sz w:val="26"/>
          <w:szCs w:val="26"/>
        </w:rPr>
      </w:pPr>
    </w:p>
    <w:p w14:paraId="7002EA8E" w14:textId="77777777" w:rsidR="0046531B" w:rsidRPr="00950543" w:rsidRDefault="0046531B" w:rsidP="002C64DB">
      <w:pPr>
        <w:pStyle w:val="NoSpacing"/>
        <w:ind w:left="1440" w:right="1440"/>
        <w:rPr>
          <w:rFonts w:ascii="Times New Roman" w:hAnsi="Times New Roman"/>
          <w:bCs/>
          <w:sz w:val="26"/>
          <w:szCs w:val="26"/>
        </w:rPr>
      </w:pPr>
      <w:r w:rsidRPr="00950543">
        <w:rPr>
          <w:rFonts w:ascii="Times New Roman" w:hAnsi="Times New Roman"/>
          <w:bCs/>
          <w:sz w:val="26"/>
          <w:szCs w:val="26"/>
        </w:rPr>
        <w:t xml:space="preserve">Parties to proceedings before the Commission are encouraged to cooperate regarding </w:t>
      </w:r>
      <w:r w:rsidRPr="00950543">
        <w:rPr>
          <w:rFonts w:ascii="Times New Roman" w:hAnsi="Times New Roman"/>
          <w:color w:val="000000"/>
          <w:sz w:val="26"/>
          <w:szCs w:val="26"/>
        </w:rPr>
        <w:t>the suspension, extension, waiver or change of any regulatory, statutory or procedural deadlines in connection with the performance of any obligation prescribed by the Public Utility Code or other applicable law.</w:t>
      </w:r>
    </w:p>
    <w:p w14:paraId="3AED44FE" w14:textId="77777777" w:rsidR="00E31981" w:rsidRDefault="00E31981" w:rsidP="002C64DB">
      <w:pPr>
        <w:ind w:firstLine="0"/>
        <w:rPr>
          <w:i/>
          <w:iCs/>
          <w:sz w:val="26"/>
          <w:szCs w:val="26"/>
        </w:rPr>
      </w:pPr>
    </w:p>
    <w:p w14:paraId="3B7CA468" w14:textId="77777777" w:rsidR="002C64DB" w:rsidRDefault="002C64DB" w:rsidP="002C64DB">
      <w:pPr>
        <w:ind w:firstLine="0"/>
        <w:rPr>
          <w:sz w:val="26"/>
          <w:szCs w:val="26"/>
        </w:rPr>
      </w:pPr>
      <w:r w:rsidRPr="0046531B">
        <w:rPr>
          <w:i/>
          <w:iCs/>
          <w:sz w:val="26"/>
          <w:szCs w:val="26"/>
        </w:rPr>
        <w:t>Emergency Order</w:t>
      </w:r>
      <w:r>
        <w:rPr>
          <w:sz w:val="26"/>
          <w:szCs w:val="26"/>
        </w:rPr>
        <w:t xml:space="preserve"> at 4, OP No. 1 (emphasis added).</w:t>
      </w:r>
    </w:p>
    <w:p w14:paraId="0A1B95FF" w14:textId="14B8A567" w:rsidR="00930489" w:rsidRDefault="00930489" w:rsidP="00483AEF">
      <w:pPr>
        <w:ind w:firstLine="0"/>
        <w:rPr>
          <w:sz w:val="26"/>
          <w:szCs w:val="26"/>
        </w:rPr>
      </w:pPr>
    </w:p>
    <w:p w14:paraId="5F56160D" w14:textId="77777777" w:rsidR="00797415" w:rsidRDefault="00BA10CC" w:rsidP="00930489">
      <w:pPr>
        <w:rPr>
          <w:sz w:val="26"/>
          <w:szCs w:val="26"/>
        </w:rPr>
      </w:pPr>
      <w:r>
        <w:rPr>
          <w:rFonts w:eastAsia="Calibri"/>
          <w:sz w:val="26"/>
          <w:szCs w:val="26"/>
        </w:rPr>
        <w:t>Finally</w:t>
      </w:r>
      <w:r w:rsidR="00CC19B5">
        <w:rPr>
          <w:rFonts w:eastAsia="Calibri"/>
          <w:sz w:val="26"/>
          <w:szCs w:val="26"/>
        </w:rPr>
        <w:t>, it</w:t>
      </w:r>
      <w:r w:rsidR="00635C44" w:rsidRPr="00830414">
        <w:rPr>
          <w:rFonts w:eastAsia="Calibri"/>
          <w:sz w:val="26"/>
          <w:szCs w:val="26"/>
        </w:rPr>
        <w:t xml:space="preserve"> is well settled that we are not required</w:t>
      </w:r>
      <w:r w:rsidR="00635C44" w:rsidRPr="0055259C">
        <w:rPr>
          <w:rFonts w:eastAsia="Calibri"/>
          <w:sz w:val="26"/>
          <w:szCs w:val="26"/>
        </w:rPr>
        <w:t xml:space="preserve"> to consider expressly or at length each contention or argument raised by the parties.  </w:t>
      </w:r>
      <w:hyperlink r:id="rId11" w:history="1">
        <w:r w:rsidR="00635C44" w:rsidRPr="0055259C">
          <w:rPr>
            <w:rFonts w:eastAsia="Calibri"/>
            <w:i/>
            <w:iCs/>
            <w:sz w:val="26"/>
            <w:szCs w:val="26"/>
          </w:rPr>
          <w:t>Consolidated Rail Corporation v. Pa. PUC</w:t>
        </w:r>
        <w:r w:rsidR="00635C44" w:rsidRPr="00967B68">
          <w:rPr>
            <w:rFonts w:eastAsia="Calibri"/>
            <w:sz w:val="26"/>
            <w:szCs w:val="26"/>
          </w:rPr>
          <w:t xml:space="preserve">, </w:t>
        </w:r>
        <w:r w:rsidR="00635C44" w:rsidRPr="0055259C">
          <w:rPr>
            <w:rFonts w:eastAsia="Calibri"/>
            <w:sz w:val="26"/>
            <w:szCs w:val="26"/>
          </w:rPr>
          <w:t>625 A.2d 741 (Pa. Cmwlth. 1993);</w:t>
        </w:r>
      </w:hyperlink>
      <w:r w:rsidR="00635C44" w:rsidRPr="0055259C">
        <w:rPr>
          <w:rFonts w:eastAsia="Calibri"/>
          <w:sz w:val="26"/>
          <w:szCs w:val="26"/>
        </w:rPr>
        <w:t xml:space="preserve"> </w:t>
      </w:r>
      <w:r w:rsidR="00635C44" w:rsidRPr="0055259C">
        <w:rPr>
          <w:rFonts w:eastAsia="Calibri"/>
          <w:i/>
          <w:sz w:val="26"/>
          <w:szCs w:val="26"/>
        </w:rPr>
        <w:t xml:space="preserve">also </w:t>
      </w:r>
      <w:r w:rsidR="00635C44" w:rsidRPr="0055259C">
        <w:rPr>
          <w:rFonts w:eastAsia="Calibri"/>
          <w:i/>
          <w:iCs/>
          <w:sz w:val="26"/>
          <w:szCs w:val="26"/>
        </w:rPr>
        <w:t xml:space="preserve">see, generally, </w:t>
      </w:r>
      <w:hyperlink r:id="rId12" w:history="1">
        <w:r w:rsidR="00635C44" w:rsidRPr="0055259C">
          <w:rPr>
            <w:rFonts w:eastAsia="Calibri"/>
            <w:i/>
            <w:iCs/>
            <w:sz w:val="26"/>
            <w:szCs w:val="26"/>
          </w:rPr>
          <w:t>University of Pennsylvania v. Pa. PUC</w:t>
        </w:r>
        <w:r w:rsidR="00635C44" w:rsidRPr="0055259C">
          <w:rPr>
            <w:rFonts w:eastAsia="Calibri"/>
            <w:sz w:val="26"/>
            <w:szCs w:val="26"/>
          </w:rPr>
          <w:t>, 485 A.2d 1217 (Pa. Cmwlth. 1984).</w:t>
        </w:r>
      </w:hyperlink>
      <w:r w:rsidR="00635C44" w:rsidRPr="0055259C">
        <w:rPr>
          <w:rFonts w:eastAsia="Calibri"/>
          <w:sz w:val="26"/>
          <w:szCs w:val="26"/>
        </w:rPr>
        <w:t xml:space="preserve">  </w:t>
      </w:r>
      <w:r w:rsidR="00635C44" w:rsidRPr="0055259C">
        <w:rPr>
          <w:sz w:val="26"/>
          <w:szCs w:val="26"/>
        </w:rPr>
        <w:t>Thus, any argument in the Petition that we do not specifically address shall be deemed to have been duly considered and denied without further discussion.</w:t>
      </w:r>
    </w:p>
    <w:bookmarkEnd w:id="11"/>
    <w:p w14:paraId="766313AD" w14:textId="77777777" w:rsidR="00283BF6" w:rsidRPr="0055259C" w:rsidRDefault="00D30CBB" w:rsidP="007425E3">
      <w:pPr>
        <w:keepNext/>
        <w:keepLines/>
        <w:ind w:firstLine="0"/>
        <w:rPr>
          <w:rFonts w:eastAsiaTheme="minorHAnsi"/>
          <w:b/>
          <w:i/>
          <w:iCs/>
          <w:sz w:val="26"/>
          <w:szCs w:val="26"/>
        </w:rPr>
      </w:pPr>
      <w:r w:rsidRPr="001C3556">
        <w:rPr>
          <w:rFonts w:eastAsiaTheme="minorHAnsi"/>
          <w:b/>
          <w:sz w:val="26"/>
          <w:szCs w:val="26"/>
        </w:rPr>
        <w:lastRenderedPageBreak/>
        <w:t>B.</w:t>
      </w:r>
      <w:r w:rsidR="00283BF6" w:rsidRPr="001C3556">
        <w:rPr>
          <w:rFonts w:eastAsiaTheme="minorHAnsi"/>
          <w:b/>
          <w:sz w:val="26"/>
          <w:szCs w:val="26"/>
        </w:rPr>
        <w:t xml:space="preserve"> </w:t>
      </w:r>
      <w:r w:rsidR="00AD7403" w:rsidRPr="001C3556">
        <w:rPr>
          <w:rFonts w:eastAsiaTheme="minorHAnsi"/>
          <w:b/>
          <w:sz w:val="26"/>
          <w:szCs w:val="26"/>
        </w:rPr>
        <w:tab/>
      </w:r>
      <w:r w:rsidR="00D57D21" w:rsidRPr="00930489">
        <w:rPr>
          <w:rFonts w:eastAsiaTheme="minorHAnsi"/>
          <w:b/>
          <w:sz w:val="26"/>
          <w:szCs w:val="26"/>
        </w:rPr>
        <w:t>Petition</w:t>
      </w:r>
      <w:r w:rsidR="005E65AC">
        <w:rPr>
          <w:rFonts w:eastAsiaTheme="minorHAnsi"/>
          <w:b/>
          <w:sz w:val="26"/>
          <w:szCs w:val="26"/>
        </w:rPr>
        <w:t xml:space="preserve"> and Answers</w:t>
      </w:r>
    </w:p>
    <w:p w14:paraId="51F6D8C5" w14:textId="77777777" w:rsidR="0014186E" w:rsidRDefault="0014186E" w:rsidP="007425E3">
      <w:pPr>
        <w:keepNext/>
        <w:keepLines/>
        <w:ind w:firstLine="0"/>
        <w:rPr>
          <w:rFonts w:eastAsia="Calibri"/>
          <w:spacing w:val="-3"/>
          <w:sz w:val="26"/>
          <w:szCs w:val="26"/>
          <w:u w:color="000000"/>
        </w:rPr>
      </w:pPr>
    </w:p>
    <w:p w14:paraId="05E6E067" w14:textId="42B04D09" w:rsidR="00EC3B27" w:rsidRPr="00967B68" w:rsidRDefault="00EC3B27" w:rsidP="00967B68">
      <w:pPr>
        <w:pStyle w:val="ListParagraph"/>
        <w:keepNext/>
        <w:keepLines/>
        <w:numPr>
          <w:ilvl w:val="0"/>
          <w:numId w:val="26"/>
        </w:numPr>
        <w:ind w:left="1440" w:hanging="720"/>
        <w:rPr>
          <w:rFonts w:eastAsia="Calibri"/>
          <w:b/>
          <w:bCs/>
          <w:spacing w:val="-3"/>
          <w:sz w:val="26"/>
          <w:szCs w:val="26"/>
          <w:u w:color="000000"/>
        </w:rPr>
      </w:pPr>
      <w:r w:rsidRPr="00967B68">
        <w:rPr>
          <w:rFonts w:eastAsia="Calibri"/>
          <w:b/>
          <w:bCs/>
          <w:spacing w:val="-3"/>
          <w:sz w:val="26"/>
          <w:szCs w:val="26"/>
          <w:u w:color="000000"/>
        </w:rPr>
        <w:t>PAWC</w:t>
      </w:r>
    </w:p>
    <w:p w14:paraId="053B72F0" w14:textId="77777777" w:rsidR="00EC3B27" w:rsidRDefault="00EC3B27" w:rsidP="007425E3">
      <w:pPr>
        <w:keepNext/>
        <w:keepLines/>
        <w:ind w:firstLine="0"/>
        <w:rPr>
          <w:rFonts w:eastAsia="Calibri"/>
          <w:spacing w:val="-3"/>
          <w:sz w:val="26"/>
          <w:szCs w:val="26"/>
          <w:u w:color="000000"/>
        </w:rPr>
      </w:pPr>
    </w:p>
    <w:p w14:paraId="54B51869" w14:textId="77777777" w:rsidR="00E12576" w:rsidRDefault="006A6F13" w:rsidP="00F6255A">
      <w:pPr>
        <w:rPr>
          <w:sz w:val="26"/>
          <w:szCs w:val="26"/>
        </w:rPr>
      </w:pPr>
      <w:r>
        <w:rPr>
          <w:kern w:val="24"/>
          <w:sz w:val="26"/>
          <w:szCs w:val="26"/>
        </w:rPr>
        <w:t>In</w:t>
      </w:r>
      <w:r w:rsidR="00182697">
        <w:rPr>
          <w:kern w:val="24"/>
          <w:sz w:val="26"/>
          <w:szCs w:val="26"/>
        </w:rPr>
        <w:t xml:space="preserve"> the Petition, </w:t>
      </w:r>
      <w:r w:rsidR="001C4EC3">
        <w:rPr>
          <w:kern w:val="24"/>
          <w:sz w:val="26"/>
          <w:szCs w:val="26"/>
        </w:rPr>
        <w:t>PAWC</w:t>
      </w:r>
      <w:r w:rsidR="00255530">
        <w:rPr>
          <w:kern w:val="24"/>
          <w:sz w:val="26"/>
          <w:szCs w:val="26"/>
        </w:rPr>
        <w:t xml:space="preserve"> contends</w:t>
      </w:r>
      <w:r w:rsidR="00182697">
        <w:rPr>
          <w:kern w:val="24"/>
          <w:sz w:val="26"/>
          <w:szCs w:val="26"/>
        </w:rPr>
        <w:t xml:space="preserve"> that the </w:t>
      </w:r>
      <w:r w:rsidR="00182697" w:rsidRPr="002C40F3">
        <w:rPr>
          <w:i/>
          <w:iCs/>
          <w:kern w:val="24"/>
          <w:sz w:val="26"/>
          <w:szCs w:val="26"/>
        </w:rPr>
        <w:t>Extension Order</w:t>
      </w:r>
      <w:r w:rsidR="00182697">
        <w:rPr>
          <w:kern w:val="24"/>
          <w:sz w:val="26"/>
          <w:szCs w:val="26"/>
        </w:rPr>
        <w:t xml:space="preserve"> is contrary to the Code, appellate case law, and the Commission’s own precedent, and </w:t>
      </w:r>
      <w:r w:rsidRPr="006A6F13">
        <w:rPr>
          <w:kern w:val="24"/>
          <w:sz w:val="26"/>
          <w:szCs w:val="26"/>
        </w:rPr>
        <w:t xml:space="preserve">exceeds the scope of Governor’s </w:t>
      </w:r>
      <w:r w:rsidRPr="006A6F13">
        <w:rPr>
          <w:i/>
          <w:iCs/>
          <w:kern w:val="24"/>
          <w:sz w:val="26"/>
          <w:szCs w:val="26"/>
        </w:rPr>
        <w:t>Executive Order</w:t>
      </w:r>
      <w:r w:rsidRPr="006A6F13">
        <w:rPr>
          <w:kern w:val="24"/>
          <w:sz w:val="26"/>
          <w:szCs w:val="26"/>
        </w:rPr>
        <w:t xml:space="preserve"> </w:t>
      </w:r>
      <w:r w:rsidR="009A3030">
        <w:rPr>
          <w:kern w:val="24"/>
          <w:sz w:val="26"/>
          <w:szCs w:val="26"/>
        </w:rPr>
        <w:t xml:space="preserve">and the </w:t>
      </w:r>
      <w:r w:rsidR="009A3030" w:rsidRPr="006A6F13">
        <w:rPr>
          <w:kern w:val="24"/>
          <w:sz w:val="26"/>
          <w:szCs w:val="26"/>
        </w:rPr>
        <w:t xml:space="preserve">Commission’s </w:t>
      </w:r>
      <w:r w:rsidR="009A3030" w:rsidRPr="006A6F13">
        <w:rPr>
          <w:i/>
          <w:iCs/>
          <w:kern w:val="24"/>
          <w:sz w:val="26"/>
          <w:szCs w:val="26"/>
        </w:rPr>
        <w:t>Emergency Order</w:t>
      </w:r>
      <w:r w:rsidR="009A3030" w:rsidRPr="006A6F13">
        <w:rPr>
          <w:kern w:val="24"/>
          <w:sz w:val="26"/>
          <w:szCs w:val="26"/>
        </w:rPr>
        <w:t xml:space="preserve"> </w:t>
      </w:r>
      <w:r w:rsidRPr="006A6F13">
        <w:rPr>
          <w:kern w:val="24"/>
          <w:sz w:val="26"/>
          <w:szCs w:val="26"/>
        </w:rPr>
        <w:t>by impermissibly waiving</w:t>
      </w:r>
      <w:r w:rsidR="00527FF2">
        <w:rPr>
          <w:kern w:val="24"/>
          <w:sz w:val="26"/>
          <w:szCs w:val="26"/>
        </w:rPr>
        <w:t>,</w:t>
      </w:r>
      <w:r w:rsidRPr="006A6F13">
        <w:rPr>
          <w:kern w:val="24"/>
          <w:sz w:val="26"/>
          <w:szCs w:val="26"/>
        </w:rPr>
        <w:t xml:space="preserve"> </w:t>
      </w:r>
      <w:r w:rsidR="00527FF2">
        <w:rPr>
          <w:kern w:val="24"/>
          <w:sz w:val="26"/>
          <w:szCs w:val="26"/>
        </w:rPr>
        <w:t xml:space="preserve">or modifying the operation of, </w:t>
      </w:r>
      <w:r w:rsidRPr="006A6F13">
        <w:rPr>
          <w:kern w:val="24"/>
          <w:sz w:val="26"/>
          <w:szCs w:val="26"/>
        </w:rPr>
        <w:t>Section 1308(d) of the Code</w:t>
      </w:r>
      <w:r w:rsidR="00E06960">
        <w:rPr>
          <w:kern w:val="24"/>
          <w:sz w:val="26"/>
          <w:szCs w:val="26"/>
        </w:rPr>
        <w:t>,</w:t>
      </w:r>
      <w:r w:rsidR="00E06960" w:rsidRPr="00E06960">
        <w:rPr>
          <w:kern w:val="24"/>
          <w:sz w:val="26"/>
          <w:szCs w:val="26"/>
        </w:rPr>
        <w:t xml:space="preserve"> </w:t>
      </w:r>
      <w:r w:rsidR="00E06960">
        <w:rPr>
          <w:kern w:val="24"/>
          <w:sz w:val="26"/>
          <w:szCs w:val="26"/>
        </w:rPr>
        <w:t xml:space="preserve">for the purpose of appropriate rate recovery.  </w:t>
      </w:r>
      <w:r w:rsidR="00970367">
        <w:rPr>
          <w:kern w:val="24"/>
          <w:sz w:val="26"/>
          <w:szCs w:val="26"/>
        </w:rPr>
        <w:t xml:space="preserve">Petition at </w:t>
      </w:r>
      <w:r w:rsidR="001C4EC3">
        <w:rPr>
          <w:kern w:val="24"/>
          <w:sz w:val="26"/>
          <w:szCs w:val="26"/>
        </w:rPr>
        <w:t>2-3</w:t>
      </w:r>
      <w:r w:rsidR="00970367">
        <w:rPr>
          <w:kern w:val="24"/>
          <w:sz w:val="26"/>
          <w:szCs w:val="26"/>
        </w:rPr>
        <w:t xml:space="preserve">, </w:t>
      </w:r>
      <w:r w:rsidR="00A5138B">
        <w:rPr>
          <w:kern w:val="24"/>
          <w:sz w:val="26"/>
          <w:szCs w:val="26"/>
        </w:rPr>
        <w:t>6</w:t>
      </w:r>
      <w:r w:rsidR="00840BAE">
        <w:rPr>
          <w:kern w:val="24"/>
          <w:sz w:val="26"/>
          <w:szCs w:val="26"/>
        </w:rPr>
        <w:t>-</w:t>
      </w:r>
      <w:r w:rsidR="001C4EC3">
        <w:rPr>
          <w:kern w:val="24"/>
          <w:sz w:val="26"/>
          <w:szCs w:val="26"/>
        </w:rPr>
        <w:t>14</w:t>
      </w:r>
      <w:r w:rsidR="00A5138B">
        <w:rPr>
          <w:kern w:val="24"/>
          <w:sz w:val="26"/>
          <w:szCs w:val="26"/>
        </w:rPr>
        <w:t>.</w:t>
      </w:r>
      <w:r w:rsidR="008C3B68">
        <w:rPr>
          <w:kern w:val="24"/>
          <w:sz w:val="26"/>
          <w:szCs w:val="26"/>
        </w:rPr>
        <w:t xml:space="preserve">  </w:t>
      </w:r>
      <w:r w:rsidR="001C4EC3">
        <w:rPr>
          <w:kern w:val="24"/>
          <w:sz w:val="26"/>
          <w:szCs w:val="26"/>
        </w:rPr>
        <w:t>PAWC</w:t>
      </w:r>
      <w:r w:rsidR="00A75B69">
        <w:rPr>
          <w:kern w:val="24"/>
          <w:sz w:val="26"/>
          <w:szCs w:val="26"/>
        </w:rPr>
        <w:t xml:space="preserve"> argues that, b</w:t>
      </w:r>
      <w:r w:rsidRPr="006A6F13">
        <w:rPr>
          <w:kern w:val="24"/>
          <w:sz w:val="26"/>
          <w:szCs w:val="26"/>
        </w:rPr>
        <w:t xml:space="preserve">y its operation, Section 1308(d) </w:t>
      </w:r>
      <w:r w:rsidR="00A75B69">
        <w:rPr>
          <w:kern w:val="24"/>
          <w:sz w:val="26"/>
          <w:szCs w:val="26"/>
        </w:rPr>
        <w:t>is a substantive statu</w:t>
      </w:r>
      <w:r w:rsidR="00255530">
        <w:rPr>
          <w:kern w:val="24"/>
          <w:sz w:val="26"/>
          <w:szCs w:val="26"/>
        </w:rPr>
        <w:t>t</w:t>
      </w:r>
      <w:r w:rsidR="00A75B69">
        <w:rPr>
          <w:kern w:val="24"/>
          <w:sz w:val="26"/>
          <w:szCs w:val="26"/>
        </w:rPr>
        <w:t>e addressing an</w:t>
      </w:r>
      <w:r w:rsidR="00FB66AB">
        <w:rPr>
          <w:kern w:val="24"/>
          <w:sz w:val="26"/>
          <w:szCs w:val="26"/>
        </w:rPr>
        <w:t xml:space="preserve"> </w:t>
      </w:r>
      <w:r w:rsidR="008C4673">
        <w:rPr>
          <w:kern w:val="24"/>
          <w:sz w:val="26"/>
          <w:szCs w:val="26"/>
        </w:rPr>
        <w:t xml:space="preserve">affected utility’s </w:t>
      </w:r>
      <w:r w:rsidR="00F94C71">
        <w:rPr>
          <w:kern w:val="24"/>
          <w:sz w:val="26"/>
          <w:szCs w:val="26"/>
        </w:rPr>
        <w:t xml:space="preserve">substantial property </w:t>
      </w:r>
      <w:r w:rsidR="00FB66AB">
        <w:rPr>
          <w:kern w:val="24"/>
          <w:sz w:val="26"/>
          <w:szCs w:val="26"/>
        </w:rPr>
        <w:t>right</w:t>
      </w:r>
      <w:r w:rsidR="00F94C71">
        <w:rPr>
          <w:kern w:val="24"/>
          <w:sz w:val="26"/>
          <w:szCs w:val="26"/>
        </w:rPr>
        <w:t xml:space="preserve"> – </w:t>
      </w:r>
      <w:r w:rsidR="00E12576">
        <w:rPr>
          <w:kern w:val="24"/>
          <w:sz w:val="26"/>
          <w:szCs w:val="26"/>
        </w:rPr>
        <w:t>in relevant part,</w:t>
      </w:r>
      <w:r w:rsidR="00F94C71">
        <w:rPr>
          <w:kern w:val="24"/>
          <w:sz w:val="26"/>
          <w:szCs w:val="26"/>
        </w:rPr>
        <w:t xml:space="preserve"> the right</w:t>
      </w:r>
      <w:r w:rsidR="00FB66AB">
        <w:rPr>
          <w:kern w:val="24"/>
          <w:sz w:val="26"/>
          <w:szCs w:val="26"/>
        </w:rPr>
        <w:t xml:space="preserve"> to rate relief</w:t>
      </w:r>
      <w:r w:rsidR="002E0E6C">
        <w:rPr>
          <w:kern w:val="24"/>
          <w:sz w:val="26"/>
          <w:szCs w:val="26"/>
        </w:rPr>
        <w:t xml:space="preserve"> in the event </w:t>
      </w:r>
      <w:r w:rsidR="008C4673">
        <w:rPr>
          <w:kern w:val="24"/>
          <w:sz w:val="26"/>
          <w:szCs w:val="26"/>
        </w:rPr>
        <w:t xml:space="preserve">a final order from the Commission in a </w:t>
      </w:r>
      <w:r w:rsidR="002E0E6C" w:rsidRPr="009554F1">
        <w:rPr>
          <w:kern w:val="24"/>
          <w:sz w:val="26"/>
          <w:szCs w:val="26"/>
        </w:rPr>
        <w:t>general base rate increase proceeding</w:t>
      </w:r>
      <w:r w:rsidRPr="006A6F13">
        <w:rPr>
          <w:kern w:val="24"/>
          <w:sz w:val="26"/>
          <w:szCs w:val="26"/>
        </w:rPr>
        <w:t xml:space="preserve"> </w:t>
      </w:r>
      <w:r w:rsidR="003C1558">
        <w:rPr>
          <w:kern w:val="24"/>
          <w:sz w:val="26"/>
          <w:szCs w:val="26"/>
        </w:rPr>
        <w:t xml:space="preserve">takes effect </w:t>
      </w:r>
      <w:r w:rsidR="0014093A">
        <w:rPr>
          <w:kern w:val="24"/>
          <w:sz w:val="26"/>
          <w:szCs w:val="26"/>
        </w:rPr>
        <w:t>after</w:t>
      </w:r>
      <w:r w:rsidR="00FB66AB" w:rsidRPr="009554F1">
        <w:rPr>
          <w:kern w:val="24"/>
          <w:sz w:val="26"/>
          <w:szCs w:val="26"/>
        </w:rPr>
        <w:t xml:space="preserve"> the</w:t>
      </w:r>
      <w:r w:rsidR="003C1558">
        <w:rPr>
          <w:kern w:val="24"/>
          <w:sz w:val="26"/>
          <w:szCs w:val="26"/>
        </w:rPr>
        <w:t xml:space="preserve"> </w:t>
      </w:r>
      <w:r w:rsidR="001762CB">
        <w:rPr>
          <w:kern w:val="24"/>
          <w:sz w:val="26"/>
          <w:szCs w:val="26"/>
        </w:rPr>
        <w:t>end date of the statutorily-mandated,</w:t>
      </w:r>
      <w:r w:rsidR="00FB66AB" w:rsidRPr="009554F1">
        <w:rPr>
          <w:kern w:val="24"/>
          <w:sz w:val="26"/>
          <w:szCs w:val="26"/>
        </w:rPr>
        <w:t xml:space="preserve"> </w:t>
      </w:r>
      <w:r w:rsidR="00A75B69">
        <w:rPr>
          <w:kern w:val="24"/>
          <w:sz w:val="26"/>
          <w:szCs w:val="26"/>
        </w:rPr>
        <w:t xml:space="preserve">seven-month </w:t>
      </w:r>
      <w:r w:rsidR="00FB66AB" w:rsidRPr="009554F1">
        <w:rPr>
          <w:kern w:val="24"/>
          <w:sz w:val="26"/>
          <w:szCs w:val="26"/>
        </w:rPr>
        <w:t>rate suspension period</w:t>
      </w:r>
      <w:r w:rsidR="00F94C71" w:rsidRPr="009554F1">
        <w:rPr>
          <w:kern w:val="24"/>
          <w:sz w:val="26"/>
          <w:szCs w:val="26"/>
        </w:rPr>
        <w:t xml:space="preserve">.  </w:t>
      </w:r>
      <w:r w:rsidR="009554F1" w:rsidRPr="009554F1">
        <w:rPr>
          <w:kern w:val="24"/>
          <w:sz w:val="26"/>
          <w:szCs w:val="26"/>
        </w:rPr>
        <w:t>Petition at</w:t>
      </w:r>
      <w:r w:rsidR="00B26414">
        <w:rPr>
          <w:kern w:val="24"/>
          <w:sz w:val="26"/>
          <w:szCs w:val="26"/>
        </w:rPr>
        <w:t> </w:t>
      </w:r>
      <w:r w:rsidR="001C4EC3">
        <w:rPr>
          <w:kern w:val="24"/>
          <w:sz w:val="26"/>
          <w:szCs w:val="26"/>
        </w:rPr>
        <w:t>6-14.</w:t>
      </w:r>
    </w:p>
    <w:p w14:paraId="427648F7" w14:textId="77777777" w:rsidR="00E12576" w:rsidRDefault="00E12576" w:rsidP="00F6255A">
      <w:pPr>
        <w:rPr>
          <w:sz w:val="26"/>
          <w:szCs w:val="26"/>
        </w:rPr>
      </w:pPr>
    </w:p>
    <w:p w14:paraId="4ED9F6E2" w14:textId="77777777" w:rsidR="00E12576" w:rsidRDefault="005879A1" w:rsidP="00F6255A">
      <w:pPr>
        <w:rPr>
          <w:sz w:val="26"/>
          <w:szCs w:val="26"/>
        </w:rPr>
      </w:pPr>
      <w:r>
        <w:rPr>
          <w:kern w:val="24"/>
          <w:sz w:val="26"/>
          <w:szCs w:val="26"/>
        </w:rPr>
        <w:t>PAWC</w:t>
      </w:r>
      <w:r w:rsidR="00F94C71">
        <w:rPr>
          <w:kern w:val="24"/>
          <w:sz w:val="26"/>
          <w:szCs w:val="26"/>
        </w:rPr>
        <w:t xml:space="preserve"> submits that </w:t>
      </w:r>
      <w:r w:rsidR="00FB66AB">
        <w:rPr>
          <w:kern w:val="24"/>
          <w:sz w:val="26"/>
          <w:szCs w:val="26"/>
        </w:rPr>
        <w:t xml:space="preserve">the </w:t>
      </w:r>
      <w:r>
        <w:rPr>
          <w:kern w:val="24"/>
          <w:sz w:val="26"/>
          <w:szCs w:val="26"/>
        </w:rPr>
        <w:t>appellate courts</w:t>
      </w:r>
      <w:r w:rsidR="00FB66AB">
        <w:rPr>
          <w:kern w:val="24"/>
          <w:sz w:val="26"/>
          <w:szCs w:val="26"/>
        </w:rPr>
        <w:t xml:space="preserve"> ha</w:t>
      </w:r>
      <w:r>
        <w:rPr>
          <w:kern w:val="24"/>
          <w:sz w:val="26"/>
          <w:szCs w:val="26"/>
        </w:rPr>
        <w:t>ve</w:t>
      </w:r>
      <w:r w:rsidR="00FB66AB">
        <w:rPr>
          <w:kern w:val="24"/>
          <w:sz w:val="26"/>
          <w:szCs w:val="26"/>
        </w:rPr>
        <w:t xml:space="preserve"> </w:t>
      </w:r>
      <w:r w:rsidR="00FE5C5D">
        <w:rPr>
          <w:kern w:val="24"/>
          <w:sz w:val="26"/>
          <w:szCs w:val="26"/>
        </w:rPr>
        <w:t>affirmed th</w:t>
      </w:r>
      <w:r w:rsidR="008C4673">
        <w:rPr>
          <w:kern w:val="24"/>
          <w:sz w:val="26"/>
          <w:szCs w:val="26"/>
        </w:rPr>
        <w:t xml:space="preserve">at the Commission does not have the power to extend the </w:t>
      </w:r>
      <w:r w:rsidR="00370062">
        <w:rPr>
          <w:kern w:val="24"/>
          <w:sz w:val="26"/>
          <w:szCs w:val="26"/>
        </w:rPr>
        <w:t xml:space="preserve">effective date of rates beyond the suspension period provided in Section 1308(d).  Petition at </w:t>
      </w:r>
      <w:r w:rsidR="00E7235F">
        <w:rPr>
          <w:kern w:val="24"/>
          <w:sz w:val="26"/>
          <w:szCs w:val="26"/>
        </w:rPr>
        <w:t>6-11</w:t>
      </w:r>
      <w:r w:rsidR="00370062" w:rsidRPr="00040FD5">
        <w:rPr>
          <w:kern w:val="24"/>
          <w:sz w:val="26"/>
          <w:szCs w:val="26"/>
        </w:rPr>
        <w:t xml:space="preserve"> (citing</w:t>
      </w:r>
      <w:r w:rsidR="00E7235F">
        <w:rPr>
          <w:kern w:val="24"/>
          <w:sz w:val="26"/>
          <w:szCs w:val="26"/>
        </w:rPr>
        <w:t xml:space="preserve"> </w:t>
      </w:r>
      <w:r w:rsidR="00040FD5" w:rsidRPr="00040FD5">
        <w:rPr>
          <w:i/>
          <w:sz w:val="26"/>
          <w:szCs w:val="26"/>
        </w:rPr>
        <w:t>Bell Telephone Co. of Pa. v. Pa. PUC</w:t>
      </w:r>
      <w:r w:rsidR="00040FD5" w:rsidRPr="00040FD5">
        <w:rPr>
          <w:sz w:val="26"/>
          <w:szCs w:val="26"/>
        </w:rPr>
        <w:t xml:space="preserve">, 452 A.2d 86 (Pa. 1982), </w:t>
      </w:r>
      <w:r w:rsidR="00040FD5" w:rsidRPr="00040FD5">
        <w:rPr>
          <w:i/>
          <w:sz w:val="26"/>
          <w:szCs w:val="26"/>
        </w:rPr>
        <w:t>aff</w:t>
      </w:r>
      <w:r w:rsidR="006D6F48">
        <w:rPr>
          <w:i/>
          <w:sz w:val="26"/>
          <w:szCs w:val="26"/>
        </w:rPr>
        <w:t>’</w:t>
      </w:r>
      <w:r w:rsidR="00040FD5" w:rsidRPr="00040FD5">
        <w:rPr>
          <w:i/>
          <w:sz w:val="26"/>
          <w:szCs w:val="26"/>
        </w:rPr>
        <w:t xml:space="preserve">d per </w:t>
      </w:r>
      <w:proofErr w:type="spellStart"/>
      <w:r w:rsidR="00040FD5" w:rsidRPr="00040FD5">
        <w:rPr>
          <w:i/>
          <w:sz w:val="26"/>
          <w:szCs w:val="26"/>
        </w:rPr>
        <w:t>curiam</w:t>
      </w:r>
      <w:proofErr w:type="spellEnd"/>
      <w:r w:rsidR="00040FD5" w:rsidRPr="00040FD5">
        <w:rPr>
          <w:sz w:val="26"/>
          <w:szCs w:val="26"/>
        </w:rPr>
        <w:t>, 482 A.2</w:t>
      </w:r>
      <w:r w:rsidR="001C4EC3">
        <w:rPr>
          <w:sz w:val="26"/>
          <w:szCs w:val="26"/>
        </w:rPr>
        <w:t>d</w:t>
      </w:r>
      <w:r w:rsidR="00040FD5" w:rsidRPr="00040FD5">
        <w:rPr>
          <w:sz w:val="26"/>
          <w:szCs w:val="26"/>
        </w:rPr>
        <w:t xml:space="preserve"> 1272 (Pa. 1984)</w:t>
      </w:r>
      <w:r w:rsidR="00707FE8">
        <w:rPr>
          <w:sz w:val="26"/>
          <w:szCs w:val="26"/>
        </w:rPr>
        <w:t xml:space="preserve"> (</w:t>
      </w:r>
      <w:r w:rsidR="00707FE8" w:rsidRPr="00707FE8">
        <w:rPr>
          <w:i/>
          <w:iCs/>
          <w:sz w:val="26"/>
          <w:szCs w:val="26"/>
        </w:rPr>
        <w:t>Bell Tel. Co</w:t>
      </w:r>
      <w:r w:rsidR="00707FE8">
        <w:rPr>
          <w:sz w:val="26"/>
          <w:szCs w:val="26"/>
        </w:rPr>
        <w:t>.)</w:t>
      </w:r>
      <w:r w:rsidR="00BB6F8A" w:rsidRPr="00BB6F8A">
        <w:t xml:space="preserve"> </w:t>
      </w:r>
      <w:r w:rsidR="00BB6F8A" w:rsidRPr="00BB6F8A">
        <w:rPr>
          <w:sz w:val="26"/>
          <w:szCs w:val="26"/>
        </w:rPr>
        <w:t>(rejecting a Commission Order that prevented the application of newly authorized base rates until the approval of a compliance filing after the end of the statutory suspension period)</w:t>
      </w:r>
      <w:r w:rsidR="00707FE8" w:rsidRPr="00BB6F8A">
        <w:rPr>
          <w:sz w:val="26"/>
          <w:szCs w:val="26"/>
        </w:rPr>
        <w:t>;</w:t>
      </w:r>
      <w:r w:rsidR="00707FE8">
        <w:rPr>
          <w:sz w:val="26"/>
          <w:szCs w:val="26"/>
        </w:rPr>
        <w:t xml:space="preserve"> </w:t>
      </w:r>
      <w:r w:rsidR="00AC0495" w:rsidRPr="00AC0495">
        <w:rPr>
          <w:i/>
          <w:sz w:val="26"/>
          <w:szCs w:val="26"/>
        </w:rPr>
        <w:t>Joseph Horne Co. v. Pa. PUC</w:t>
      </w:r>
      <w:r w:rsidR="00AC0495" w:rsidRPr="00AC0495">
        <w:rPr>
          <w:i/>
          <w:iCs/>
          <w:sz w:val="26"/>
          <w:szCs w:val="26"/>
        </w:rPr>
        <w:t xml:space="preserve">, </w:t>
      </w:r>
      <w:r w:rsidR="00AC0495" w:rsidRPr="00BB3BD4">
        <w:rPr>
          <w:iCs/>
          <w:sz w:val="26"/>
          <w:szCs w:val="26"/>
        </w:rPr>
        <w:t>485 A.2d 1105, 1111 n. 9 (Pa. 1984)</w:t>
      </w:r>
      <w:r w:rsidR="00AC0495" w:rsidRPr="00AC0495">
        <w:rPr>
          <w:i/>
          <w:sz w:val="26"/>
          <w:szCs w:val="26"/>
        </w:rPr>
        <w:t xml:space="preserve"> (</w:t>
      </w:r>
      <w:r w:rsidR="00AC0495" w:rsidRPr="00AC0495">
        <w:rPr>
          <w:i/>
          <w:iCs/>
          <w:sz w:val="26"/>
          <w:szCs w:val="26"/>
        </w:rPr>
        <w:t>Joseph Horne Co</w:t>
      </w:r>
      <w:r w:rsidR="00AC0495" w:rsidRPr="00AC0495">
        <w:rPr>
          <w:i/>
          <w:sz w:val="26"/>
          <w:szCs w:val="26"/>
        </w:rPr>
        <w:t>.)</w:t>
      </w:r>
      <w:r w:rsidR="00AC0495" w:rsidRPr="00AC0495">
        <w:rPr>
          <w:color w:val="000000"/>
          <w:szCs w:val="22"/>
        </w:rPr>
        <w:t xml:space="preserve"> </w:t>
      </w:r>
      <w:r w:rsidR="00AC0495" w:rsidRPr="00E7235F">
        <w:rPr>
          <w:color w:val="000000"/>
          <w:szCs w:val="22"/>
        </w:rPr>
        <w:t>(</w:t>
      </w:r>
      <w:r w:rsidR="00AC0495" w:rsidRPr="00E7235F">
        <w:rPr>
          <w:sz w:val="26"/>
          <w:szCs w:val="26"/>
        </w:rPr>
        <w:t xml:space="preserve">affirming the Commonwealth Court’s holding in </w:t>
      </w:r>
      <w:r w:rsidR="00AC0495" w:rsidRPr="009B0E14">
        <w:rPr>
          <w:i/>
          <w:iCs/>
          <w:sz w:val="26"/>
          <w:szCs w:val="26"/>
        </w:rPr>
        <w:t>Bell</w:t>
      </w:r>
      <w:r w:rsidR="00AC0495" w:rsidRPr="00BB3BD4">
        <w:rPr>
          <w:i/>
          <w:sz w:val="26"/>
        </w:rPr>
        <w:t xml:space="preserve"> Tel. Co</w:t>
      </w:r>
      <w:r w:rsidR="00AC0495" w:rsidRPr="00E7235F">
        <w:rPr>
          <w:sz w:val="26"/>
          <w:szCs w:val="26"/>
        </w:rPr>
        <w:t>. that under Section 1308(d) the PUC may not suspend the effective date of filing of the revised tariffs when the effective date would thereby be more than nine months after the initial general rate increase filing).</w:t>
      </w:r>
      <w:r w:rsidR="00AC0495" w:rsidRPr="00AC0495">
        <w:rPr>
          <w:i/>
          <w:sz w:val="26"/>
          <w:szCs w:val="26"/>
        </w:rPr>
        <w:t xml:space="preserve">  </w:t>
      </w:r>
    </w:p>
    <w:p w14:paraId="1AE11D10" w14:textId="77777777" w:rsidR="00E12576" w:rsidRDefault="00E12576" w:rsidP="00F6255A">
      <w:pPr>
        <w:rPr>
          <w:sz w:val="26"/>
          <w:szCs w:val="26"/>
        </w:rPr>
      </w:pPr>
    </w:p>
    <w:p w14:paraId="4924A3F0" w14:textId="59DB5215" w:rsidR="00616F58" w:rsidRDefault="00E7235F" w:rsidP="00616F58">
      <w:pPr>
        <w:rPr>
          <w:kern w:val="24"/>
          <w:sz w:val="26"/>
          <w:szCs w:val="26"/>
        </w:rPr>
      </w:pPr>
      <w:r>
        <w:rPr>
          <w:kern w:val="24"/>
          <w:sz w:val="26"/>
          <w:szCs w:val="26"/>
        </w:rPr>
        <w:t>PAWC</w:t>
      </w:r>
      <w:r w:rsidR="00A75B69">
        <w:rPr>
          <w:kern w:val="24"/>
          <w:sz w:val="26"/>
          <w:szCs w:val="26"/>
        </w:rPr>
        <w:t xml:space="preserve"> argues that</w:t>
      </w:r>
      <w:r w:rsidR="00526506">
        <w:rPr>
          <w:kern w:val="24"/>
          <w:sz w:val="26"/>
          <w:szCs w:val="26"/>
        </w:rPr>
        <w:t xml:space="preserve">: (1) </w:t>
      </w:r>
      <w:r w:rsidR="00A75B69">
        <w:rPr>
          <w:kern w:val="24"/>
          <w:sz w:val="26"/>
          <w:szCs w:val="26"/>
        </w:rPr>
        <w:t>b</w:t>
      </w:r>
      <w:r w:rsidR="00A75B69" w:rsidRPr="006A6F13">
        <w:rPr>
          <w:kern w:val="24"/>
          <w:sz w:val="26"/>
          <w:szCs w:val="26"/>
        </w:rPr>
        <w:t xml:space="preserve">y </w:t>
      </w:r>
      <w:r w:rsidR="00A75B69">
        <w:rPr>
          <w:kern w:val="24"/>
          <w:sz w:val="26"/>
          <w:szCs w:val="26"/>
        </w:rPr>
        <w:t xml:space="preserve">the </w:t>
      </w:r>
      <w:r w:rsidR="00A75B69" w:rsidRPr="006A6F13">
        <w:rPr>
          <w:kern w:val="24"/>
          <w:sz w:val="26"/>
          <w:szCs w:val="26"/>
        </w:rPr>
        <w:t>terms of</w:t>
      </w:r>
      <w:r w:rsidR="00A75B69">
        <w:rPr>
          <w:kern w:val="24"/>
          <w:sz w:val="26"/>
          <w:szCs w:val="26"/>
        </w:rPr>
        <w:t xml:space="preserve"> the</w:t>
      </w:r>
      <w:r w:rsidR="007E7752">
        <w:rPr>
          <w:kern w:val="24"/>
          <w:sz w:val="26"/>
          <w:szCs w:val="26"/>
        </w:rPr>
        <w:t xml:space="preserve"> Governor’s</w:t>
      </w:r>
      <w:r w:rsidR="00A75B69">
        <w:rPr>
          <w:kern w:val="24"/>
          <w:sz w:val="26"/>
          <w:szCs w:val="26"/>
        </w:rPr>
        <w:t xml:space="preserve"> </w:t>
      </w:r>
      <w:r w:rsidR="00A75B69" w:rsidRPr="00196274">
        <w:rPr>
          <w:i/>
          <w:iCs/>
          <w:kern w:val="24"/>
          <w:sz w:val="26"/>
          <w:szCs w:val="26"/>
        </w:rPr>
        <w:t>Executive Order</w:t>
      </w:r>
      <w:r w:rsidR="00A75B69">
        <w:rPr>
          <w:kern w:val="24"/>
          <w:sz w:val="26"/>
          <w:szCs w:val="26"/>
        </w:rPr>
        <w:t xml:space="preserve"> and the</w:t>
      </w:r>
      <w:r w:rsidR="00A75B69" w:rsidRPr="006A6F13">
        <w:rPr>
          <w:kern w:val="24"/>
          <w:sz w:val="26"/>
          <w:szCs w:val="26"/>
        </w:rPr>
        <w:t xml:space="preserve"> </w:t>
      </w:r>
      <w:r w:rsidR="007E7752">
        <w:rPr>
          <w:kern w:val="24"/>
          <w:sz w:val="26"/>
          <w:szCs w:val="26"/>
        </w:rPr>
        <w:t xml:space="preserve">Commission’s </w:t>
      </w:r>
      <w:r w:rsidR="00A75B69" w:rsidRPr="006A6F13">
        <w:rPr>
          <w:i/>
          <w:iCs/>
          <w:kern w:val="24"/>
          <w:sz w:val="26"/>
          <w:szCs w:val="26"/>
        </w:rPr>
        <w:t>Emergency Order</w:t>
      </w:r>
      <w:r w:rsidR="00A75B69" w:rsidRPr="006A6F13">
        <w:rPr>
          <w:kern w:val="24"/>
          <w:sz w:val="26"/>
          <w:szCs w:val="26"/>
        </w:rPr>
        <w:t xml:space="preserve">, </w:t>
      </w:r>
      <w:r w:rsidR="00A75B69">
        <w:rPr>
          <w:kern w:val="24"/>
          <w:sz w:val="26"/>
          <w:szCs w:val="26"/>
        </w:rPr>
        <w:t>neither</w:t>
      </w:r>
      <w:r w:rsidR="007E7752">
        <w:rPr>
          <w:kern w:val="24"/>
          <w:sz w:val="26"/>
          <w:szCs w:val="26"/>
        </w:rPr>
        <w:t xml:space="preserve"> document</w:t>
      </w:r>
      <w:r w:rsidR="00A75B69" w:rsidRPr="006A6F13">
        <w:rPr>
          <w:kern w:val="24"/>
          <w:sz w:val="26"/>
          <w:szCs w:val="26"/>
        </w:rPr>
        <w:t xml:space="preserve"> </w:t>
      </w:r>
      <w:r w:rsidR="00A75B69">
        <w:rPr>
          <w:kern w:val="24"/>
          <w:sz w:val="26"/>
          <w:szCs w:val="26"/>
        </w:rPr>
        <w:t>permit</w:t>
      </w:r>
      <w:r w:rsidR="007E7752">
        <w:rPr>
          <w:kern w:val="24"/>
          <w:sz w:val="26"/>
          <w:szCs w:val="26"/>
        </w:rPr>
        <w:t>s</w:t>
      </w:r>
      <w:r w:rsidR="00A75B69" w:rsidRPr="006A6F13">
        <w:rPr>
          <w:kern w:val="24"/>
          <w:sz w:val="26"/>
          <w:szCs w:val="26"/>
        </w:rPr>
        <w:t xml:space="preserve"> or authorize</w:t>
      </w:r>
      <w:r w:rsidR="007E7752">
        <w:rPr>
          <w:kern w:val="24"/>
          <w:sz w:val="26"/>
          <w:szCs w:val="26"/>
        </w:rPr>
        <w:t>s</w:t>
      </w:r>
      <w:r w:rsidR="00A75B69" w:rsidRPr="006A6F13">
        <w:rPr>
          <w:kern w:val="24"/>
          <w:sz w:val="26"/>
          <w:szCs w:val="26"/>
        </w:rPr>
        <w:t xml:space="preserve"> </w:t>
      </w:r>
      <w:r w:rsidR="001763FE">
        <w:rPr>
          <w:kern w:val="24"/>
          <w:sz w:val="26"/>
          <w:szCs w:val="26"/>
        </w:rPr>
        <w:t>an administrative agency’s</w:t>
      </w:r>
      <w:r w:rsidR="00A75B69" w:rsidRPr="006A6F13">
        <w:rPr>
          <w:kern w:val="24"/>
          <w:sz w:val="26"/>
          <w:szCs w:val="26"/>
        </w:rPr>
        <w:t xml:space="preserve"> waiver or modification of</w:t>
      </w:r>
      <w:r w:rsidR="00A75B69">
        <w:rPr>
          <w:kern w:val="24"/>
          <w:sz w:val="26"/>
          <w:szCs w:val="26"/>
        </w:rPr>
        <w:t xml:space="preserve"> substantive statutes, like</w:t>
      </w:r>
      <w:r w:rsidR="00A75B69" w:rsidRPr="006A6F13">
        <w:rPr>
          <w:kern w:val="24"/>
          <w:sz w:val="26"/>
          <w:szCs w:val="26"/>
        </w:rPr>
        <w:t xml:space="preserve"> </w:t>
      </w:r>
      <w:r w:rsidR="00A75B69" w:rsidRPr="006A6F13">
        <w:rPr>
          <w:kern w:val="24"/>
          <w:sz w:val="26"/>
          <w:szCs w:val="26"/>
        </w:rPr>
        <w:lastRenderedPageBreak/>
        <w:t>Section</w:t>
      </w:r>
      <w:r w:rsidR="00967B68">
        <w:rPr>
          <w:kern w:val="24"/>
          <w:sz w:val="26"/>
          <w:szCs w:val="26"/>
        </w:rPr>
        <w:t> </w:t>
      </w:r>
      <w:r w:rsidR="00A75B69" w:rsidRPr="006A6F13">
        <w:rPr>
          <w:kern w:val="24"/>
          <w:sz w:val="26"/>
          <w:szCs w:val="26"/>
        </w:rPr>
        <w:t>1308(d)</w:t>
      </w:r>
      <w:r w:rsidR="00526506">
        <w:rPr>
          <w:kern w:val="24"/>
          <w:sz w:val="26"/>
          <w:szCs w:val="26"/>
        </w:rPr>
        <w:t xml:space="preserve"> but rather </w:t>
      </w:r>
      <w:r w:rsidR="009E37CA">
        <w:rPr>
          <w:kern w:val="24"/>
          <w:sz w:val="26"/>
          <w:szCs w:val="26"/>
        </w:rPr>
        <w:t>b</w:t>
      </w:r>
      <w:r w:rsidR="00A75B69">
        <w:rPr>
          <w:kern w:val="24"/>
          <w:sz w:val="26"/>
          <w:szCs w:val="26"/>
        </w:rPr>
        <w:t>oth</w:t>
      </w:r>
      <w:r w:rsidR="007E7752">
        <w:rPr>
          <w:kern w:val="24"/>
          <w:sz w:val="26"/>
          <w:szCs w:val="26"/>
        </w:rPr>
        <w:t xml:space="preserve"> documents</w:t>
      </w:r>
      <w:r w:rsidR="00A75B69">
        <w:rPr>
          <w:kern w:val="24"/>
          <w:sz w:val="26"/>
          <w:szCs w:val="26"/>
        </w:rPr>
        <w:t xml:space="preserve"> only</w:t>
      </w:r>
      <w:r w:rsidR="00A75B69" w:rsidRPr="006A6F13">
        <w:rPr>
          <w:kern w:val="24"/>
          <w:sz w:val="26"/>
          <w:szCs w:val="26"/>
        </w:rPr>
        <w:t xml:space="preserve"> address</w:t>
      </w:r>
      <w:r w:rsidR="00A75B69">
        <w:rPr>
          <w:kern w:val="24"/>
          <w:sz w:val="26"/>
          <w:szCs w:val="26"/>
        </w:rPr>
        <w:t xml:space="preserve"> </w:t>
      </w:r>
      <w:r w:rsidR="00A75B69" w:rsidRPr="006A6F13">
        <w:rPr>
          <w:kern w:val="24"/>
          <w:sz w:val="26"/>
          <w:szCs w:val="26"/>
        </w:rPr>
        <w:t>procedural statutes</w:t>
      </w:r>
      <w:r w:rsidR="00A75B69">
        <w:rPr>
          <w:kern w:val="24"/>
          <w:sz w:val="26"/>
          <w:szCs w:val="26"/>
        </w:rPr>
        <w:t xml:space="preserve"> and regulations</w:t>
      </w:r>
      <w:r w:rsidR="00526506">
        <w:rPr>
          <w:kern w:val="24"/>
          <w:sz w:val="26"/>
          <w:szCs w:val="26"/>
        </w:rPr>
        <w:t>; (2)</w:t>
      </w:r>
      <w:r w:rsidR="002457DE">
        <w:rPr>
          <w:kern w:val="24"/>
          <w:sz w:val="26"/>
          <w:szCs w:val="26"/>
        </w:rPr>
        <w:t xml:space="preserve"> </w:t>
      </w:r>
      <w:r w:rsidR="00A75B69">
        <w:rPr>
          <w:kern w:val="24"/>
          <w:sz w:val="26"/>
          <w:szCs w:val="26"/>
        </w:rPr>
        <w:t xml:space="preserve">adhering to </w:t>
      </w:r>
      <w:r w:rsidR="004A2897">
        <w:rPr>
          <w:kern w:val="24"/>
          <w:sz w:val="26"/>
          <w:szCs w:val="26"/>
        </w:rPr>
        <w:t>Section 1308(d)’s</w:t>
      </w:r>
      <w:r w:rsidR="00A75B69">
        <w:rPr>
          <w:kern w:val="24"/>
          <w:sz w:val="26"/>
          <w:szCs w:val="26"/>
        </w:rPr>
        <w:t xml:space="preserve"> rate </w:t>
      </w:r>
      <w:r w:rsidR="00A75B69" w:rsidRPr="006A6F13">
        <w:rPr>
          <w:kern w:val="24"/>
          <w:sz w:val="26"/>
          <w:szCs w:val="26"/>
        </w:rPr>
        <w:t>suspension period would not</w:t>
      </w:r>
      <w:r>
        <w:rPr>
          <w:kern w:val="24"/>
          <w:sz w:val="26"/>
          <w:szCs w:val="26"/>
        </w:rPr>
        <w:t xml:space="preserve"> interfere with “</w:t>
      </w:r>
      <w:r w:rsidR="00A75B69" w:rsidRPr="006A6F13">
        <w:rPr>
          <w:kern w:val="24"/>
          <w:sz w:val="26"/>
          <w:szCs w:val="26"/>
        </w:rPr>
        <w:t xml:space="preserve">necessary action in coping with </w:t>
      </w:r>
      <w:r>
        <w:rPr>
          <w:kern w:val="24"/>
          <w:sz w:val="26"/>
          <w:szCs w:val="26"/>
        </w:rPr>
        <w:t>this</w:t>
      </w:r>
      <w:r w:rsidR="00A75B69" w:rsidRPr="006A6F13">
        <w:rPr>
          <w:kern w:val="24"/>
          <w:sz w:val="26"/>
          <w:szCs w:val="26"/>
        </w:rPr>
        <w:t xml:space="preserve"> emergency</w:t>
      </w:r>
      <w:r>
        <w:rPr>
          <w:kern w:val="24"/>
          <w:sz w:val="26"/>
          <w:szCs w:val="26"/>
        </w:rPr>
        <w:t>,</w:t>
      </w:r>
      <w:r w:rsidR="00A75B69" w:rsidRPr="006A6F13">
        <w:rPr>
          <w:kern w:val="24"/>
          <w:sz w:val="26"/>
          <w:szCs w:val="26"/>
        </w:rPr>
        <w:t>”</w:t>
      </w:r>
      <w:r>
        <w:rPr>
          <w:kern w:val="24"/>
          <w:sz w:val="26"/>
          <w:szCs w:val="26"/>
        </w:rPr>
        <w:t xml:space="preserve"> as required by the </w:t>
      </w:r>
      <w:r w:rsidRPr="00E7235F">
        <w:rPr>
          <w:i/>
          <w:iCs/>
          <w:kern w:val="24"/>
          <w:sz w:val="26"/>
          <w:szCs w:val="26"/>
        </w:rPr>
        <w:t>Executive Order</w:t>
      </w:r>
      <w:r w:rsidR="00526506" w:rsidRPr="00967B68">
        <w:rPr>
          <w:kern w:val="24"/>
          <w:sz w:val="26"/>
          <w:szCs w:val="26"/>
        </w:rPr>
        <w:t>;</w:t>
      </w:r>
      <w:r w:rsidR="00526506">
        <w:rPr>
          <w:i/>
          <w:iCs/>
          <w:kern w:val="24"/>
          <w:sz w:val="26"/>
          <w:szCs w:val="26"/>
        </w:rPr>
        <w:t xml:space="preserve"> </w:t>
      </w:r>
      <w:r w:rsidR="00526506" w:rsidRPr="002457DE">
        <w:rPr>
          <w:iCs/>
          <w:kern w:val="24"/>
          <w:sz w:val="26"/>
          <w:szCs w:val="26"/>
        </w:rPr>
        <w:t>and (3)</w:t>
      </w:r>
      <w:r w:rsidR="004A2897">
        <w:rPr>
          <w:kern w:val="24"/>
          <w:sz w:val="26"/>
          <w:szCs w:val="26"/>
        </w:rPr>
        <w:t xml:space="preserve"> </w:t>
      </w:r>
      <w:r w:rsidR="00463D77">
        <w:rPr>
          <w:kern w:val="24"/>
          <w:sz w:val="26"/>
          <w:szCs w:val="26"/>
        </w:rPr>
        <w:t xml:space="preserve">the </w:t>
      </w:r>
      <w:r>
        <w:rPr>
          <w:kern w:val="24"/>
          <w:sz w:val="26"/>
          <w:szCs w:val="26"/>
        </w:rPr>
        <w:t xml:space="preserve">Commission’s </w:t>
      </w:r>
      <w:r w:rsidRPr="00E7235F">
        <w:rPr>
          <w:i/>
          <w:iCs/>
          <w:kern w:val="24"/>
          <w:sz w:val="26"/>
          <w:szCs w:val="26"/>
        </w:rPr>
        <w:t>Emergency Order</w:t>
      </w:r>
      <w:r>
        <w:rPr>
          <w:kern w:val="24"/>
          <w:sz w:val="26"/>
          <w:szCs w:val="26"/>
        </w:rPr>
        <w:t xml:space="preserve"> cannot provide authority to suspend the operation of Section 1308(d), a substantive statute, because the authority to issue the </w:t>
      </w:r>
      <w:r w:rsidRPr="00E7235F">
        <w:rPr>
          <w:i/>
          <w:iCs/>
          <w:kern w:val="24"/>
          <w:sz w:val="26"/>
          <w:szCs w:val="26"/>
        </w:rPr>
        <w:t xml:space="preserve">Emergency </w:t>
      </w:r>
      <w:r>
        <w:rPr>
          <w:i/>
          <w:iCs/>
          <w:kern w:val="24"/>
          <w:sz w:val="26"/>
          <w:szCs w:val="26"/>
        </w:rPr>
        <w:t>Order</w:t>
      </w:r>
      <w:r w:rsidR="00526506">
        <w:rPr>
          <w:i/>
          <w:iCs/>
          <w:kern w:val="24"/>
          <w:sz w:val="26"/>
          <w:szCs w:val="26"/>
        </w:rPr>
        <w:t xml:space="preserve">, </w:t>
      </w:r>
      <w:r w:rsidR="00526506" w:rsidRPr="002457DE">
        <w:rPr>
          <w:iCs/>
          <w:kern w:val="24"/>
          <w:sz w:val="26"/>
          <w:szCs w:val="26"/>
        </w:rPr>
        <w:t xml:space="preserve">is </w:t>
      </w:r>
      <w:r>
        <w:rPr>
          <w:kern w:val="24"/>
          <w:sz w:val="26"/>
          <w:szCs w:val="26"/>
        </w:rPr>
        <w:t xml:space="preserve">derived from the authority conferred by the </w:t>
      </w:r>
      <w:r w:rsidRPr="00E7235F">
        <w:rPr>
          <w:i/>
          <w:iCs/>
          <w:kern w:val="24"/>
          <w:sz w:val="26"/>
          <w:szCs w:val="26"/>
        </w:rPr>
        <w:t>Executive Order</w:t>
      </w:r>
      <w:r w:rsidR="00387A08">
        <w:rPr>
          <w:kern w:val="24"/>
          <w:sz w:val="26"/>
          <w:szCs w:val="26"/>
        </w:rPr>
        <w:t>, which,</w:t>
      </w:r>
      <w:r>
        <w:rPr>
          <w:kern w:val="24"/>
          <w:sz w:val="26"/>
          <w:szCs w:val="26"/>
        </w:rPr>
        <w:t xml:space="preserve"> does not authorize the waiver or modification of substantive statutes, </w:t>
      </w:r>
      <w:r w:rsidR="00D9521C">
        <w:rPr>
          <w:kern w:val="24"/>
          <w:sz w:val="26"/>
          <w:szCs w:val="26"/>
        </w:rPr>
        <w:t xml:space="preserve">but </w:t>
      </w:r>
      <w:r>
        <w:rPr>
          <w:kern w:val="24"/>
          <w:sz w:val="26"/>
          <w:szCs w:val="26"/>
        </w:rPr>
        <w:t xml:space="preserve">only procedural ones.  Petition at 11-14.  </w:t>
      </w:r>
    </w:p>
    <w:p w14:paraId="1DB1FFB6" w14:textId="77777777" w:rsidR="00616F58" w:rsidRDefault="00616F58" w:rsidP="00616F58">
      <w:pPr>
        <w:rPr>
          <w:kern w:val="24"/>
          <w:sz w:val="26"/>
          <w:szCs w:val="26"/>
        </w:rPr>
      </w:pPr>
    </w:p>
    <w:p w14:paraId="50ABB492" w14:textId="77777777" w:rsidR="00EC3B27" w:rsidRDefault="00616F58" w:rsidP="007A05ED">
      <w:pPr>
        <w:rPr>
          <w:kern w:val="24"/>
          <w:sz w:val="26"/>
          <w:szCs w:val="26"/>
        </w:rPr>
      </w:pPr>
      <w:r>
        <w:rPr>
          <w:kern w:val="24"/>
          <w:sz w:val="26"/>
          <w:szCs w:val="26"/>
        </w:rPr>
        <w:t xml:space="preserve">Additionally, </w:t>
      </w:r>
      <w:r w:rsidR="005879A1">
        <w:rPr>
          <w:kern w:val="24"/>
          <w:sz w:val="26"/>
          <w:szCs w:val="26"/>
        </w:rPr>
        <w:t>PAWC</w:t>
      </w:r>
      <w:r>
        <w:rPr>
          <w:kern w:val="24"/>
          <w:sz w:val="26"/>
          <w:szCs w:val="26"/>
        </w:rPr>
        <w:t xml:space="preserve"> </w:t>
      </w:r>
      <w:r w:rsidR="00E31981">
        <w:rPr>
          <w:kern w:val="24"/>
          <w:sz w:val="26"/>
          <w:szCs w:val="26"/>
        </w:rPr>
        <w:t>contends</w:t>
      </w:r>
      <w:r>
        <w:rPr>
          <w:kern w:val="24"/>
          <w:sz w:val="26"/>
          <w:szCs w:val="26"/>
        </w:rPr>
        <w:t xml:space="preserve"> that t</w:t>
      </w:r>
      <w:r w:rsidR="006A6F13" w:rsidRPr="006A6F13">
        <w:rPr>
          <w:kern w:val="24"/>
          <w:sz w:val="26"/>
          <w:szCs w:val="26"/>
        </w:rPr>
        <w:t xml:space="preserve">he </w:t>
      </w:r>
      <w:r w:rsidR="006A6F13" w:rsidRPr="006A6F13">
        <w:rPr>
          <w:i/>
          <w:iCs/>
          <w:kern w:val="24"/>
          <w:sz w:val="26"/>
          <w:szCs w:val="26"/>
        </w:rPr>
        <w:t xml:space="preserve">Extension Order </w:t>
      </w:r>
      <w:r w:rsidR="00E12576">
        <w:rPr>
          <w:kern w:val="24"/>
          <w:sz w:val="26"/>
          <w:szCs w:val="26"/>
        </w:rPr>
        <w:t xml:space="preserve">unreasonably </w:t>
      </w:r>
      <w:r w:rsidR="006A6F13" w:rsidRPr="006A6F13">
        <w:rPr>
          <w:kern w:val="24"/>
          <w:sz w:val="26"/>
          <w:szCs w:val="26"/>
        </w:rPr>
        <w:t xml:space="preserve">fails to address </w:t>
      </w:r>
      <w:r w:rsidR="008E70AC">
        <w:rPr>
          <w:kern w:val="24"/>
          <w:sz w:val="26"/>
          <w:szCs w:val="26"/>
        </w:rPr>
        <w:t>PAWC’s</w:t>
      </w:r>
      <w:r w:rsidR="006A6F13" w:rsidRPr="006A6F13">
        <w:rPr>
          <w:kern w:val="24"/>
          <w:sz w:val="26"/>
          <w:szCs w:val="26"/>
        </w:rPr>
        <w:t xml:space="preserve"> alternative proposal</w:t>
      </w:r>
      <w:r w:rsidR="008E70AC">
        <w:rPr>
          <w:kern w:val="24"/>
          <w:sz w:val="26"/>
          <w:szCs w:val="26"/>
        </w:rPr>
        <w:t>s</w:t>
      </w:r>
      <w:r>
        <w:rPr>
          <w:kern w:val="24"/>
          <w:sz w:val="26"/>
          <w:szCs w:val="26"/>
        </w:rPr>
        <w:t xml:space="preserve"> presented in this proceeding. </w:t>
      </w:r>
      <w:r w:rsidR="007F6E87">
        <w:rPr>
          <w:kern w:val="24"/>
          <w:sz w:val="26"/>
          <w:szCs w:val="26"/>
        </w:rPr>
        <w:t xml:space="preserve"> </w:t>
      </w:r>
      <w:r w:rsidR="00514AF3">
        <w:rPr>
          <w:kern w:val="24"/>
          <w:sz w:val="26"/>
          <w:szCs w:val="26"/>
        </w:rPr>
        <w:t xml:space="preserve">Petition at 2, </w:t>
      </w:r>
      <w:r w:rsidR="008E70AC">
        <w:rPr>
          <w:kern w:val="24"/>
          <w:sz w:val="26"/>
          <w:szCs w:val="26"/>
        </w:rPr>
        <w:t>14</w:t>
      </w:r>
      <w:r w:rsidR="00E06304">
        <w:rPr>
          <w:kern w:val="24"/>
          <w:sz w:val="26"/>
          <w:szCs w:val="26"/>
        </w:rPr>
        <w:noBreakHyphen/>
      </w:r>
      <w:r w:rsidR="008E70AC">
        <w:rPr>
          <w:kern w:val="24"/>
          <w:sz w:val="26"/>
          <w:szCs w:val="26"/>
        </w:rPr>
        <w:t>20</w:t>
      </w:r>
      <w:r w:rsidR="00514AF3">
        <w:rPr>
          <w:kern w:val="24"/>
          <w:sz w:val="26"/>
          <w:szCs w:val="26"/>
        </w:rPr>
        <w:t xml:space="preserve">.  </w:t>
      </w:r>
      <w:r w:rsidR="00E31981">
        <w:rPr>
          <w:kern w:val="24"/>
          <w:sz w:val="26"/>
          <w:szCs w:val="26"/>
        </w:rPr>
        <w:t xml:space="preserve">PAWC notes that at </w:t>
      </w:r>
      <w:r w:rsidR="007A05ED" w:rsidRPr="007A05ED">
        <w:rPr>
          <w:kern w:val="24"/>
          <w:sz w:val="26"/>
          <w:szCs w:val="26"/>
        </w:rPr>
        <w:t>the Prehearing Conference</w:t>
      </w:r>
      <w:r w:rsidR="00E31981">
        <w:rPr>
          <w:kern w:val="24"/>
          <w:sz w:val="26"/>
          <w:szCs w:val="26"/>
        </w:rPr>
        <w:t xml:space="preserve"> it:</w:t>
      </w:r>
      <w:r w:rsidR="007A05ED" w:rsidRPr="007A05ED">
        <w:rPr>
          <w:kern w:val="24"/>
          <w:sz w:val="26"/>
          <w:szCs w:val="26"/>
        </w:rPr>
        <w:t xml:space="preserve"> (</w:t>
      </w:r>
      <w:r w:rsidR="00EC3B27">
        <w:rPr>
          <w:kern w:val="24"/>
          <w:sz w:val="26"/>
          <w:szCs w:val="26"/>
        </w:rPr>
        <w:t>1</w:t>
      </w:r>
      <w:r w:rsidR="007A05ED" w:rsidRPr="007A05ED">
        <w:rPr>
          <w:kern w:val="24"/>
          <w:sz w:val="26"/>
          <w:szCs w:val="26"/>
        </w:rPr>
        <w:t>) offered an alternative that would add three weeks to the litigation schedule by voluntarily extending the suspension period from January 28 to February 4, 2021, provided that, if a settlement w</w:t>
      </w:r>
      <w:r w:rsidR="00E31981">
        <w:rPr>
          <w:kern w:val="24"/>
          <w:sz w:val="26"/>
          <w:szCs w:val="26"/>
        </w:rPr>
        <w:t>as</w:t>
      </w:r>
      <w:r w:rsidR="007A05ED" w:rsidRPr="007A05ED">
        <w:rPr>
          <w:kern w:val="24"/>
          <w:sz w:val="26"/>
          <w:szCs w:val="26"/>
        </w:rPr>
        <w:t xml:space="preserve"> achieved, the settlement rates could become effective before February 4, 2021</w:t>
      </w:r>
      <w:r w:rsidR="008D377E">
        <w:rPr>
          <w:kern w:val="24"/>
          <w:sz w:val="26"/>
          <w:szCs w:val="26"/>
        </w:rPr>
        <w:t>;</w:t>
      </w:r>
      <w:r w:rsidR="007A05ED">
        <w:rPr>
          <w:rStyle w:val="FootnoteReference"/>
          <w:kern w:val="24"/>
          <w:szCs w:val="26"/>
        </w:rPr>
        <w:footnoteReference w:id="10"/>
      </w:r>
      <w:r w:rsidR="007A05ED" w:rsidRPr="007A05ED">
        <w:rPr>
          <w:kern w:val="24"/>
          <w:sz w:val="26"/>
          <w:szCs w:val="26"/>
        </w:rPr>
        <w:t xml:space="preserve"> and (</w:t>
      </w:r>
      <w:r w:rsidR="00EC3B27">
        <w:rPr>
          <w:kern w:val="24"/>
          <w:sz w:val="26"/>
          <w:szCs w:val="26"/>
        </w:rPr>
        <w:t>2</w:t>
      </w:r>
      <w:r w:rsidR="007A05ED" w:rsidRPr="007A05ED">
        <w:rPr>
          <w:kern w:val="24"/>
          <w:sz w:val="26"/>
          <w:szCs w:val="26"/>
        </w:rPr>
        <w:t xml:space="preserve">) explained that, if an extension beyond February 4, 2021 were granted, the rates finally approved by the Commission must be effective as of the end of the suspension period and the portion of the revenue increase not billed from the effective date through the end of the extended suspension period should be recovered by a recoupment surcharge.  </w:t>
      </w:r>
    </w:p>
    <w:p w14:paraId="663B1B81" w14:textId="77777777" w:rsidR="00EC3B27" w:rsidRDefault="00EC3B27" w:rsidP="007A05ED">
      <w:pPr>
        <w:rPr>
          <w:kern w:val="24"/>
          <w:sz w:val="26"/>
          <w:szCs w:val="26"/>
        </w:rPr>
      </w:pPr>
    </w:p>
    <w:p w14:paraId="049B153C" w14:textId="77777777" w:rsidR="00EC3B27" w:rsidRDefault="00EC3B27" w:rsidP="007A05ED">
      <w:pPr>
        <w:rPr>
          <w:kern w:val="24"/>
          <w:sz w:val="26"/>
          <w:szCs w:val="26"/>
        </w:rPr>
      </w:pPr>
      <w:r>
        <w:rPr>
          <w:kern w:val="24"/>
          <w:sz w:val="26"/>
          <w:szCs w:val="26"/>
        </w:rPr>
        <w:t>PAWC requests that we acknowledge its alternative procedural proposals and make a ruling upon them in this Opinion and Order.  Petition at 2, 14-20.</w:t>
      </w:r>
    </w:p>
    <w:p w14:paraId="4C8A4B74" w14:textId="77777777" w:rsidR="00EC3B27" w:rsidRDefault="00EC3B27" w:rsidP="007A05ED">
      <w:pPr>
        <w:rPr>
          <w:kern w:val="24"/>
          <w:sz w:val="26"/>
          <w:szCs w:val="26"/>
        </w:rPr>
      </w:pPr>
    </w:p>
    <w:p w14:paraId="707D84DE" w14:textId="45151FAF" w:rsidR="005E65AC" w:rsidRPr="00967B68" w:rsidRDefault="00EC3B27" w:rsidP="00967B68">
      <w:pPr>
        <w:pStyle w:val="ListParagraph"/>
        <w:keepNext/>
        <w:keepLines/>
        <w:numPr>
          <w:ilvl w:val="0"/>
          <w:numId w:val="26"/>
        </w:numPr>
        <w:ind w:left="1440" w:hanging="720"/>
        <w:rPr>
          <w:b/>
          <w:bCs/>
          <w:kern w:val="24"/>
          <w:sz w:val="26"/>
          <w:szCs w:val="26"/>
        </w:rPr>
      </w:pPr>
      <w:r w:rsidRPr="00967B68">
        <w:rPr>
          <w:b/>
          <w:bCs/>
          <w:kern w:val="24"/>
          <w:sz w:val="26"/>
          <w:szCs w:val="26"/>
        </w:rPr>
        <w:lastRenderedPageBreak/>
        <w:t>I&amp;E</w:t>
      </w:r>
    </w:p>
    <w:p w14:paraId="1A5F2FC9" w14:textId="77777777" w:rsidR="00EC3B27" w:rsidRDefault="00EC3B27" w:rsidP="00483AEF">
      <w:pPr>
        <w:keepNext/>
        <w:keepLines/>
        <w:ind w:firstLine="720"/>
        <w:rPr>
          <w:kern w:val="24"/>
          <w:sz w:val="26"/>
          <w:szCs w:val="26"/>
        </w:rPr>
      </w:pPr>
    </w:p>
    <w:p w14:paraId="50B904AA" w14:textId="3D101868" w:rsidR="005E65AC" w:rsidRPr="005D456D" w:rsidRDefault="005E65AC" w:rsidP="00483AEF">
      <w:pPr>
        <w:rPr>
          <w:kern w:val="24"/>
          <w:sz w:val="26"/>
          <w:szCs w:val="26"/>
        </w:rPr>
      </w:pPr>
      <w:r w:rsidRPr="005D456D">
        <w:rPr>
          <w:kern w:val="24"/>
          <w:sz w:val="26"/>
          <w:szCs w:val="26"/>
        </w:rPr>
        <w:t xml:space="preserve">In its Answer, I&amp;E requests the Commission deny </w:t>
      </w:r>
      <w:r w:rsidR="00397E65" w:rsidRPr="005D456D">
        <w:rPr>
          <w:kern w:val="24"/>
          <w:sz w:val="26"/>
          <w:szCs w:val="26"/>
        </w:rPr>
        <w:t>PAWC</w:t>
      </w:r>
      <w:r w:rsidRPr="005D456D">
        <w:rPr>
          <w:kern w:val="24"/>
          <w:sz w:val="26"/>
          <w:szCs w:val="26"/>
        </w:rPr>
        <w:t xml:space="preserve">’s Petition and </w:t>
      </w:r>
      <w:r w:rsidR="00AB03B9">
        <w:rPr>
          <w:kern w:val="24"/>
          <w:sz w:val="26"/>
          <w:szCs w:val="26"/>
        </w:rPr>
        <w:t>notes</w:t>
      </w:r>
      <w:r w:rsidR="00E766BB">
        <w:rPr>
          <w:kern w:val="24"/>
          <w:sz w:val="26"/>
          <w:szCs w:val="26"/>
        </w:rPr>
        <w:t xml:space="preserve"> </w:t>
      </w:r>
      <w:r w:rsidRPr="005D456D">
        <w:rPr>
          <w:kern w:val="24"/>
          <w:sz w:val="26"/>
          <w:szCs w:val="26"/>
        </w:rPr>
        <w:t xml:space="preserve">that </w:t>
      </w:r>
      <w:r w:rsidR="00D9521C">
        <w:rPr>
          <w:kern w:val="24"/>
          <w:sz w:val="26"/>
          <w:szCs w:val="26"/>
        </w:rPr>
        <w:t xml:space="preserve">while </w:t>
      </w:r>
      <w:r w:rsidR="00AB03B9">
        <w:rPr>
          <w:kern w:val="24"/>
          <w:sz w:val="26"/>
          <w:szCs w:val="26"/>
        </w:rPr>
        <w:t>under</w:t>
      </w:r>
      <w:r w:rsidRPr="005D456D">
        <w:rPr>
          <w:kern w:val="24"/>
          <w:sz w:val="26"/>
          <w:szCs w:val="26"/>
        </w:rPr>
        <w:t xml:space="preserve"> normal circumstances, a utility’s proposed rates would take effect at the end of the seven-month suspension period under Section 1308(d)</w:t>
      </w:r>
      <w:r w:rsidR="002457DE">
        <w:rPr>
          <w:kern w:val="24"/>
          <w:sz w:val="26"/>
          <w:szCs w:val="26"/>
        </w:rPr>
        <w:t>,</w:t>
      </w:r>
      <w:r w:rsidRPr="005D456D">
        <w:rPr>
          <w:kern w:val="24"/>
          <w:sz w:val="26"/>
          <w:szCs w:val="26"/>
        </w:rPr>
        <w:t xml:space="preserve"> the Parties to this base rate proceeding are not working under normal circumstances </w:t>
      </w:r>
      <w:r w:rsidR="00AB03B9">
        <w:rPr>
          <w:kern w:val="24"/>
          <w:sz w:val="26"/>
          <w:szCs w:val="26"/>
        </w:rPr>
        <w:t xml:space="preserve">due to </w:t>
      </w:r>
      <w:r w:rsidRPr="005D456D">
        <w:rPr>
          <w:kern w:val="24"/>
          <w:sz w:val="26"/>
          <w:szCs w:val="26"/>
        </w:rPr>
        <w:t xml:space="preserve">the COVID-19 pandemic and the Commission’s </w:t>
      </w:r>
      <w:r w:rsidRPr="005D456D">
        <w:rPr>
          <w:i/>
          <w:iCs/>
          <w:kern w:val="24"/>
          <w:sz w:val="26"/>
          <w:szCs w:val="26"/>
        </w:rPr>
        <w:t>Emergency Order</w:t>
      </w:r>
      <w:r w:rsidRPr="005D456D">
        <w:rPr>
          <w:kern w:val="24"/>
          <w:sz w:val="26"/>
          <w:szCs w:val="26"/>
        </w:rPr>
        <w:t>.  I&amp;E argues that</w:t>
      </w:r>
      <w:r w:rsidR="00D9521C">
        <w:rPr>
          <w:kern w:val="24"/>
          <w:sz w:val="26"/>
          <w:szCs w:val="26"/>
        </w:rPr>
        <w:t>: (1)</w:t>
      </w:r>
      <w:r w:rsidRPr="005D456D">
        <w:rPr>
          <w:kern w:val="24"/>
          <w:sz w:val="26"/>
          <w:szCs w:val="26"/>
        </w:rPr>
        <w:t xml:space="preserve"> the Commission’s </w:t>
      </w:r>
      <w:r w:rsidRPr="005D456D">
        <w:rPr>
          <w:i/>
          <w:iCs/>
          <w:kern w:val="24"/>
          <w:sz w:val="26"/>
          <w:szCs w:val="26"/>
        </w:rPr>
        <w:t>Emergency Order</w:t>
      </w:r>
      <w:r w:rsidRPr="005D456D">
        <w:rPr>
          <w:kern w:val="24"/>
          <w:sz w:val="26"/>
          <w:szCs w:val="26"/>
        </w:rPr>
        <w:t xml:space="preserve"> provides the Commission </w:t>
      </w:r>
      <w:r w:rsidR="00AB03B9">
        <w:rPr>
          <w:kern w:val="24"/>
          <w:sz w:val="26"/>
          <w:szCs w:val="26"/>
        </w:rPr>
        <w:t xml:space="preserve">with </w:t>
      </w:r>
      <w:r w:rsidRPr="005D456D">
        <w:rPr>
          <w:kern w:val="24"/>
          <w:sz w:val="26"/>
          <w:szCs w:val="26"/>
        </w:rPr>
        <w:t xml:space="preserve">the authority to suspend, extend, waive, or change any regulatory, statutory or procedural deadlines prescribed in the Code or the Commission’s Regulations, as a result of the Governor’s </w:t>
      </w:r>
      <w:r w:rsidRPr="005D456D">
        <w:rPr>
          <w:i/>
          <w:iCs/>
          <w:kern w:val="24"/>
          <w:sz w:val="26"/>
          <w:szCs w:val="26"/>
        </w:rPr>
        <w:t>Executive Order</w:t>
      </w:r>
      <w:r w:rsidR="00F11F02">
        <w:rPr>
          <w:kern w:val="24"/>
          <w:sz w:val="26"/>
          <w:szCs w:val="26"/>
        </w:rPr>
        <w:t xml:space="preserve">; </w:t>
      </w:r>
      <w:r w:rsidR="00D9521C">
        <w:rPr>
          <w:kern w:val="24"/>
          <w:sz w:val="26"/>
          <w:szCs w:val="26"/>
        </w:rPr>
        <w:t>and (2)</w:t>
      </w:r>
      <w:r w:rsidR="00397E65" w:rsidRPr="005D456D">
        <w:rPr>
          <w:kern w:val="24"/>
          <w:sz w:val="26"/>
          <w:szCs w:val="26"/>
        </w:rPr>
        <w:t xml:space="preserve"> PAWC’s base rate case is complex and the forty-five day extension of the procedural schedule is required to give the Parties sufficient time to thoroughly investigate and analyze the various issues given the challenges faced by the Parties during this </w:t>
      </w:r>
      <w:r w:rsidR="00DE328B" w:rsidRPr="005D456D">
        <w:rPr>
          <w:kern w:val="24"/>
          <w:sz w:val="26"/>
          <w:szCs w:val="26"/>
        </w:rPr>
        <w:t>unique</w:t>
      </w:r>
      <w:r w:rsidR="00397E65" w:rsidRPr="005D456D">
        <w:rPr>
          <w:kern w:val="24"/>
          <w:sz w:val="26"/>
          <w:szCs w:val="26"/>
        </w:rPr>
        <w:t xml:space="preserve"> COVID-19 pandemic emergency. </w:t>
      </w:r>
      <w:r w:rsidR="00AB03B9">
        <w:rPr>
          <w:kern w:val="24"/>
          <w:sz w:val="26"/>
          <w:szCs w:val="26"/>
        </w:rPr>
        <w:t xml:space="preserve"> </w:t>
      </w:r>
      <w:r w:rsidRPr="005D456D">
        <w:rPr>
          <w:kern w:val="24"/>
          <w:sz w:val="26"/>
          <w:szCs w:val="26"/>
        </w:rPr>
        <w:t xml:space="preserve">I&amp;E Answer at </w:t>
      </w:r>
      <w:r w:rsidR="00397E65" w:rsidRPr="005D456D">
        <w:rPr>
          <w:kern w:val="24"/>
          <w:sz w:val="26"/>
          <w:szCs w:val="26"/>
        </w:rPr>
        <w:t>4-16</w:t>
      </w:r>
      <w:r w:rsidRPr="005D456D">
        <w:rPr>
          <w:kern w:val="24"/>
          <w:sz w:val="26"/>
          <w:szCs w:val="26"/>
        </w:rPr>
        <w:t>.</w:t>
      </w:r>
    </w:p>
    <w:p w14:paraId="64F4D502" w14:textId="77777777" w:rsidR="005E65AC" w:rsidRDefault="005E65AC" w:rsidP="006765B6">
      <w:pPr>
        <w:ind w:firstLine="0"/>
        <w:rPr>
          <w:kern w:val="24"/>
          <w:sz w:val="26"/>
          <w:szCs w:val="26"/>
        </w:rPr>
      </w:pPr>
    </w:p>
    <w:p w14:paraId="1F9C931B" w14:textId="60A908F7" w:rsidR="00EC3B27" w:rsidRPr="00967B68" w:rsidRDefault="00EC3B27" w:rsidP="00967B68">
      <w:pPr>
        <w:pStyle w:val="ListParagraph"/>
        <w:numPr>
          <w:ilvl w:val="0"/>
          <w:numId w:val="26"/>
        </w:numPr>
        <w:ind w:left="1440" w:hanging="720"/>
        <w:rPr>
          <w:b/>
          <w:bCs/>
          <w:kern w:val="24"/>
          <w:sz w:val="26"/>
          <w:szCs w:val="26"/>
        </w:rPr>
      </w:pPr>
      <w:r w:rsidRPr="00967B68">
        <w:rPr>
          <w:b/>
          <w:bCs/>
          <w:kern w:val="24"/>
          <w:sz w:val="26"/>
          <w:szCs w:val="26"/>
        </w:rPr>
        <w:t>OCA</w:t>
      </w:r>
    </w:p>
    <w:p w14:paraId="54C4436E" w14:textId="77777777" w:rsidR="00EC3B27" w:rsidRPr="005D456D" w:rsidRDefault="00EC3B27" w:rsidP="006765B6">
      <w:pPr>
        <w:ind w:firstLine="0"/>
        <w:rPr>
          <w:kern w:val="24"/>
          <w:sz w:val="26"/>
          <w:szCs w:val="26"/>
        </w:rPr>
      </w:pPr>
    </w:p>
    <w:p w14:paraId="085BBDE3" w14:textId="0C49851C" w:rsidR="00DE328B" w:rsidRDefault="005E65AC" w:rsidP="006765B6">
      <w:pPr>
        <w:rPr>
          <w:rFonts w:eastAsia="Calibri"/>
          <w:sz w:val="26"/>
          <w:szCs w:val="26"/>
        </w:rPr>
      </w:pPr>
      <w:r w:rsidRPr="005D456D">
        <w:rPr>
          <w:kern w:val="24"/>
          <w:sz w:val="26"/>
          <w:szCs w:val="26"/>
        </w:rPr>
        <w:t xml:space="preserve">In its Answer, the OCA requests </w:t>
      </w:r>
      <w:r w:rsidR="00EC3B27">
        <w:rPr>
          <w:kern w:val="24"/>
          <w:sz w:val="26"/>
          <w:szCs w:val="26"/>
        </w:rPr>
        <w:t xml:space="preserve">that </w:t>
      </w:r>
      <w:r w:rsidRPr="005D456D">
        <w:rPr>
          <w:kern w:val="24"/>
          <w:sz w:val="26"/>
          <w:szCs w:val="26"/>
        </w:rPr>
        <w:t xml:space="preserve">the Commission deny </w:t>
      </w:r>
      <w:r w:rsidR="007425E3">
        <w:rPr>
          <w:kern w:val="24"/>
          <w:sz w:val="26"/>
          <w:szCs w:val="26"/>
        </w:rPr>
        <w:t>PAWC</w:t>
      </w:r>
      <w:r w:rsidRPr="005D456D">
        <w:rPr>
          <w:kern w:val="24"/>
          <w:sz w:val="26"/>
          <w:szCs w:val="26"/>
        </w:rPr>
        <w:t xml:space="preserve">’s Petition and </w:t>
      </w:r>
      <w:r w:rsidR="00EC3B27">
        <w:rPr>
          <w:kern w:val="24"/>
          <w:sz w:val="26"/>
          <w:szCs w:val="26"/>
        </w:rPr>
        <w:t xml:space="preserve">contends </w:t>
      </w:r>
      <w:r w:rsidRPr="005D456D">
        <w:rPr>
          <w:kern w:val="24"/>
          <w:sz w:val="26"/>
          <w:szCs w:val="26"/>
        </w:rPr>
        <w:t xml:space="preserve">that the </w:t>
      </w:r>
      <w:r w:rsidR="00880B42">
        <w:rPr>
          <w:kern w:val="24"/>
          <w:sz w:val="26"/>
          <w:szCs w:val="26"/>
        </w:rPr>
        <w:t>CALJ</w:t>
      </w:r>
      <w:r w:rsidRPr="005D456D">
        <w:rPr>
          <w:kern w:val="24"/>
          <w:sz w:val="26"/>
          <w:szCs w:val="26"/>
        </w:rPr>
        <w:t xml:space="preserve"> acted within his authority according to the Governor’s </w:t>
      </w:r>
      <w:r w:rsidRPr="005D456D">
        <w:rPr>
          <w:i/>
          <w:iCs/>
          <w:kern w:val="24"/>
          <w:sz w:val="26"/>
          <w:szCs w:val="26"/>
        </w:rPr>
        <w:t>Executive Order</w:t>
      </w:r>
      <w:r w:rsidRPr="005D456D">
        <w:rPr>
          <w:kern w:val="24"/>
          <w:sz w:val="26"/>
          <w:szCs w:val="26"/>
        </w:rPr>
        <w:t xml:space="preserve"> and the Commission’s </w:t>
      </w:r>
      <w:r w:rsidRPr="005D456D">
        <w:rPr>
          <w:i/>
          <w:iCs/>
          <w:kern w:val="24"/>
          <w:sz w:val="26"/>
          <w:szCs w:val="26"/>
        </w:rPr>
        <w:t>Emergency Order</w:t>
      </w:r>
      <w:r w:rsidRPr="005D456D">
        <w:rPr>
          <w:kern w:val="24"/>
          <w:sz w:val="26"/>
          <w:szCs w:val="26"/>
        </w:rPr>
        <w:t xml:space="preserve"> when he decided to extend the suspension period in Section 1308(d) of the Code.  The OCA argues that</w:t>
      </w:r>
      <w:r w:rsidR="00D9521C">
        <w:rPr>
          <w:kern w:val="24"/>
          <w:sz w:val="26"/>
          <w:szCs w:val="26"/>
        </w:rPr>
        <w:t>: (1)</w:t>
      </w:r>
      <w:r w:rsidR="00967B68">
        <w:rPr>
          <w:kern w:val="24"/>
          <w:sz w:val="26"/>
          <w:szCs w:val="26"/>
        </w:rPr>
        <w:t> </w:t>
      </w:r>
      <w:r w:rsidR="007425E3">
        <w:rPr>
          <w:kern w:val="24"/>
          <w:sz w:val="26"/>
          <w:szCs w:val="26"/>
        </w:rPr>
        <w:t>PAWC</w:t>
      </w:r>
      <w:r w:rsidRPr="005D456D">
        <w:rPr>
          <w:kern w:val="24"/>
          <w:sz w:val="26"/>
          <w:szCs w:val="26"/>
        </w:rPr>
        <w:t>’s reading of these documents is too narrow, as both documents clearly apply to regulatory statutes, not just procedural deadlines</w:t>
      </w:r>
      <w:r w:rsidR="00D9521C">
        <w:rPr>
          <w:kern w:val="24"/>
          <w:sz w:val="26"/>
          <w:szCs w:val="26"/>
        </w:rPr>
        <w:t xml:space="preserve"> and </w:t>
      </w:r>
      <w:r w:rsidRPr="005D456D">
        <w:rPr>
          <w:kern w:val="24"/>
          <w:sz w:val="26"/>
          <w:szCs w:val="26"/>
        </w:rPr>
        <w:t xml:space="preserve">submits that the Commission’s </w:t>
      </w:r>
      <w:r w:rsidRPr="005D456D">
        <w:rPr>
          <w:i/>
          <w:iCs/>
          <w:kern w:val="24"/>
          <w:sz w:val="26"/>
          <w:szCs w:val="26"/>
        </w:rPr>
        <w:t>Emergency Order</w:t>
      </w:r>
      <w:r w:rsidRPr="005D456D">
        <w:rPr>
          <w:kern w:val="24"/>
          <w:sz w:val="26"/>
          <w:szCs w:val="26"/>
        </w:rPr>
        <w:t xml:space="preserve"> even references rate cases and the deadlines associated with rate cases</w:t>
      </w:r>
      <w:r w:rsidR="00D9521C">
        <w:rPr>
          <w:kern w:val="24"/>
          <w:sz w:val="26"/>
          <w:szCs w:val="26"/>
        </w:rPr>
        <w:t xml:space="preserve">; (2) </w:t>
      </w:r>
      <w:r w:rsidRPr="005D456D">
        <w:rPr>
          <w:kern w:val="24"/>
          <w:sz w:val="26"/>
          <w:szCs w:val="26"/>
        </w:rPr>
        <w:t>the statutory suspension period is a deadline that drives the rate case schedules</w:t>
      </w:r>
      <w:r w:rsidR="00E766BB">
        <w:rPr>
          <w:kern w:val="24"/>
          <w:sz w:val="26"/>
          <w:szCs w:val="26"/>
        </w:rPr>
        <w:t>,</w:t>
      </w:r>
      <w:r w:rsidRPr="005D456D">
        <w:rPr>
          <w:kern w:val="24"/>
          <w:sz w:val="26"/>
          <w:szCs w:val="26"/>
        </w:rPr>
        <w:t xml:space="preserve"> OCA Answer </w:t>
      </w:r>
      <w:r w:rsidR="006D6F48">
        <w:rPr>
          <w:kern w:val="24"/>
          <w:sz w:val="26"/>
          <w:szCs w:val="26"/>
        </w:rPr>
        <w:t xml:space="preserve">at </w:t>
      </w:r>
      <w:r w:rsidRPr="005D456D">
        <w:rPr>
          <w:kern w:val="24"/>
          <w:sz w:val="26"/>
          <w:szCs w:val="26"/>
        </w:rPr>
        <w:t>6-8</w:t>
      </w:r>
      <w:r w:rsidR="00D9521C">
        <w:rPr>
          <w:kern w:val="24"/>
          <w:sz w:val="26"/>
          <w:szCs w:val="26"/>
        </w:rPr>
        <w:t>; and (3)</w:t>
      </w:r>
      <w:r w:rsidRPr="005D456D">
        <w:rPr>
          <w:kern w:val="24"/>
          <w:sz w:val="26"/>
          <w:szCs w:val="26"/>
        </w:rPr>
        <w:t xml:space="preserve"> </w:t>
      </w:r>
      <w:r w:rsidRPr="00952CDC">
        <w:rPr>
          <w:kern w:val="24"/>
          <w:sz w:val="26"/>
          <w:szCs w:val="26"/>
        </w:rPr>
        <w:t xml:space="preserve">the cases cited by </w:t>
      </w:r>
      <w:r w:rsidR="00397E65" w:rsidRPr="00952CDC">
        <w:rPr>
          <w:kern w:val="24"/>
          <w:sz w:val="26"/>
          <w:szCs w:val="26"/>
        </w:rPr>
        <w:t>PAWC</w:t>
      </w:r>
      <w:r w:rsidRPr="00952CDC">
        <w:rPr>
          <w:kern w:val="24"/>
          <w:sz w:val="26"/>
          <w:szCs w:val="26"/>
        </w:rPr>
        <w:t xml:space="preserve"> in its Petition</w:t>
      </w:r>
      <w:r w:rsidR="00397E65" w:rsidRPr="00952CDC">
        <w:rPr>
          <w:kern w:val="24"/>
          <w:sz w:val="26"/>
          <w:szCs w:val="26"/>
        </w:rPr>
        <w:t>,</w:t>
      </w:r>
      <w:r w:rsidR="00295460" w:rsidRPr="00952CDC">
        <w:rPr>
          <w:kern w:val="24"/>
          <w:sz w:val="26"/>
          <w:szCs w:val="26"/>
        </w:rPr>
        <w:t xml:space="preserve"> including, among others,</w:t>
      </w:r>
      <w:r w:rsidR="00397E65" w:rsidRPr="00952CDC">
        <w:rPr>
          <w:kern w:val="24"/>
          <w:sz w:val="26"/>
          <w:szCs w:val="26"/>
        </w:rPr>
        <w:t xml:space="preserve"> </w:t>
      </w:r>
      <w:r w:rsidR="00397E65" w:rsidRPr="00952CDC">
        <w:rPr>
          <w:i/>
          <w:iCs/>
          <w:kern w:val="24"/>
          <w:sz w:val="26"/>
          <w:szCs w:val="26"/>
        </w:rPr>
        <w:t>Bell Tel. Co</w:t>
      </w:r>
      <w:r w:rsidR="00397E65" w:rsidRPr="00952CDC">
        <w:rPr>
          <w:kern w:val="24"/>
          <w:sz w:val="26"/>
          <w:szCs w:val="26"/>
        </w:rPr>
        <w:t xml:space="preserve">., </w:t>
      </w:r>
      <w:r w:rsidR="006D6F48">
        <w:rPr>
          <w:kern w:val="24"/>
          <w:sz w:val="26"/>
          <w:szCs w:val="26"/>
        </w:rPr>
        <w:t xml:space="preserve">and </w:t>
      </w:r>
      <w:r w:rsidR="00397E65" w:rsidRPr="00952CDC">
        <w:rPr>
          <w:i/>
          <w:iCs/>
          <w:kern w:val="24"/>
          <w:sz w:val="26"/>
          <w:szCs w:val="26"/>
        </w:rPr>
        <w:t>Joseph Horne Co</w:t>
      </w:r>
      <w:r w:rsidR="00397E65" w:rsidRPr="00952CDC">
        <w:rPr>
          <w:kern w:val="24"/>
          <w:sz w:val="26"/>
          <w:szCs w:val="26"/>
        </w:rPr>
        <w:t>.,</w:t>
      </w:r>
      <w:r w:rsidRPr="00952CDC">
        <w:rPr>
          <w:kern w:val="24"/>
          <w:sz w:val="26"/>
          <w:szCs w:val="26"/>
        </w:rPr>
        <w:t xml:space="preserve"> are unpersuasive</w:t>
      </w:r>
      <w:r w:rsidR="006D6F48">
        <w:rPr>
          <w:kern w:val="24"/>
          <w:sz w:val="26"/>
          <w:szCs w:val="26"/>
        </w:rPr>
        <w:t>,</w:t>
      </w:r>
      <w:r w:rsidRPr="00952CDC">
        <w:rPr>
          <w:kern w:val="24"/>
          <w:sz w:val="26"/>
          <w:szCs w:val="26"/>
        </w:rPr>
        <w:t xml:space="preserve"> as these cases were determined at times when the Commonwealth was not in the midst of a global pandemic or while the Commission’s </w:t>
      </w:r>
      <w:r w:rsidRPr="00952CDC">
        <w:rPr>
          <w:i/>
          <w:iCs/>
          <w:kern w:val="24"/>
          <w:sz w:val="26"/>
          <w:szCs w:val="26"/>
        </w:rPr>
        <w:t>Emergency Order</w:t>
      </w:r>
      <w:r w:rsidRPr="00952CDC">
        <w:rPr>
          <w:kern w:val="24"/>
          <w:sz w:val="26"/>
          <w:szCs w:val="26"/>
        </w:rPr>
        <w:t xml:space="preserve"> was in place.  OCA Answer at 9-10.  </w:t>
      </w:r>
      <w:r w:rsidR="00D9521C">
        <w:rPr>
          <w:kern w:val="24"/>
          <w:sz w:val="26"/>
          <w:szCs w:val="26"/>
        </w:rPr>
        <w:t xml:space="preserve">Specifically, </w:t>
      </w:r>
      <w:r w:rsidRPr="00952CDC">
        <w:rPr>
          <w:kern w:val="24"/>
          <w:sz w:val="26"/>
          <w:szCs w:val="26"/>
        </w:rPr>
        <w:t xml:space="preserve">this </w:t>
      </w:r>
      <w:r w:rsidR="00F261B3">
        <w:rPr>
          <w:kern w:val="24"/>
          <w:sz w:val="26"/>
          <w:szCs w:val="26"/>
        </w:rPr>
        <w:lastRenderedPageBreak/>
        <w:t>proceeding</w:t>
      </w:r>
      <w:r w:rsidR="00F261B3" w:rsidRPr="00952CDC">
        <w:rPr>
          <w:kern w:val="24"/>
          <w:sz w:val="26"/>
          <w:szCs w:val="26"/>
        </w:rPr>
        <w:t xml:space="preserve"> </w:t>
      </w:r>
      <w:r w:rsidRPr="00952CDC">
        <w:rPr>
          <w:kern w:val="24"/>
          <w:sz w:val="26"/>
          <w:szCs w:val="26"/>
        </w:rPr>
        <w:t xml:space="preserve">is distinguishable from </w:t>
      </w:r>
      <w:r w:rsidRPr="00952CDC">
        <w:rPr>
          <w:i/>
          <w:iCs/>
          <w:kern w:val="24"/>
          <w:sz w:val="26"/>
          <w:szCs w:val="26"/>
        </w:rPr>
        <w:t>Bell Tel. Co</w:t>
      </w:r>
      <w:r w:rsidRPr="00952CDC">
        <w:rPr>
          <w:kern w:val="24"/>
          <w:sz w:val="26"/>
          <w:szCs w:val="26"/>
        </w:rPr>
        <w:t xml:space="preserve">. because </w:t>
      </w:r>
      <w:r w:rsidR="00397E65" w:rsidRPr="00952CDC">
        <w:rPr>
          <w:kern w:val="24"/>
          <w:sz w:val="26"/>
          <w:szCs w:val="26"/>
        </w:rPr>
        <w:t>“</w:t>
      </w:r>
      <w:r w:rsidR="006D6F48">
        <w:rPr>
          <w:kern w:val="24"/>
          <w:sz w:val="26"/>
          <w:szCs w:val="26"/>
        </w:rPr>
        <w:t>[n]</w:t>
      </w:r>
      <w:proofErr w:type="spellStart"/>
      <w:r w:rsidR="00397E65" w:rsidRPr="00952CDC">
        <w:rPr>
          <w:kern w:val="24"/>
          <w:sz w:val="26"/>
          <w:szCs w:val="26"/>
        </w:rPr>
        <w:t>ew</w:t>
      </w:r>
      <w:proofErr w:type="spellEnd"/>
      <w:r w:rsidR="00397E65" w:rsidRPr="00952CDC">
        <w:rPr>
          <w:kern w:val="24"/>
          <w:sz w:val="26"/>
          <w:szCs w:val="26"/>
        </w:rPr>
        <w:t xml:space="preserve"> rates will still </w:t>
      </w:r>
      <w:r w:rsidRPr="00952CDC">
        <w:rPr>
          <w:kern w:val="24"/>
          <w:sz w:val="26"/>
          <w:szCs w:val="26"/>
        </w:rPr>
        <w:t>go into effect at the end of the suspension period</w:t>
      </w:r>
      <w:r w:rsidR="00397E65" w:rsidRPr="00952CDC">
        <w:rPr>
          <w:kern w:val="24"/>
          <w:sz w:val="26"/>
          <w:szCs w:val="26"/>
        </w:rPr>
        <w:t>”</w:t>
      </w:r>
      <w:r w:rsidRPr="00952CDC">
        <w:rPr>
          <w:kern w:val="24"/>
          <w:sz w:val="26"/>
          <w:szCs w:val="26"/>
        </w:rPr>
        <w:t xml:space="preserve"> established by the </w:t>
      </w:r>
      <w:r w:rsidR="00880B42">
        <w:rPr>
          <w:kern w:val="24"/>
          <w:sz w:val="26"/>
          <w:szCs w:val="26"/>
        </w:rPr>
        <w:t>CALJ</w:t>
      </w:r>
      <w:r w:rsidRPr="00952CDC">
        <w:rPr>
          <w:kern w:val="24"/>
          <w:sz w:val="26"/>
          <w:szCs w:val="26"/>
        </w:rPr>
        <w:t xml:space="preserve">.  OCA Answer at 9.  </w:t>
      </w:r>
      <w:r w:rsidR="00397E65" w:rsidRPr="00952CDC">
        <w:rPr>
          <w:kern w:val="24"/>
          <w:sz w:val="26"/>
          <w:szCs w:val="26"/>
        </w:rPr>
        <w:t xml:space="preserve">Regarding </w:t>
      </w:r>
      <w:r w:rsidR="00397E65" w:rsidRPr="00DE328B">
        <w:rPr>
          <w:i/>
          <w:iCs/>
          <w:kern w:val="24"/>
          <w:sz w:val="26"/>
          <w:szCs w:val="26"/>
        </w:rPr>
        <w:t>Joseph Horne Co</w:t>
      </w:r>
      <w:r w:rsidR="00397E65" w:rsidRPr="00952CDC">
        <w:rPr>
          <w:kern w:val="24"/>
          <w:sz w:val="26"/>
          <w:szCs w:val="26"/>
        </w:rPr>
        <w:t>., the OCA</w:t>
      </w:r>
      <w:r w:rsidR="00397E65" w:rsidRPr="00952CDC">
        <w:rPr>
          <w:rFonts w:eastAsia="Calibri"/>
          <w:sz w:val="26"/>
          <w:szCs w:val="26"/>
        </w:rPr>
        <w:t xml:space="preserve"> argues the Commission’s </w:t>
      </w:r>
      <w:r w:rsidR="00397E65" w:rsidRPr="00952CDC">
        <w:rPr>
          <w:rFonts w:eastAsia="Calibri"/>
          <w:i/>
          <w:iCs/>
          <w:sz w:val="26"/>
          <w:szCs w:val="26"/>
        </w:rPr>
        <w:t xml:space="preserve">Emergency Order </w:t>
      </w:r>
      <w:r w:rsidR="00397E65" w:rsidRPr="00952CDC">
        <w:rPr>
          <w:rFonts w:eastAsia="Calibri"/>
          <w:sz w:val="26"/>
          <w:szCs w:val="26"/>
        </w:rPr>
        <w:t xml:space="preserve">fairly balances the need </w:t>
      </w:r>
      <w:r w:rsidR="00450877">
        <w:rPr>
          <w:rFonts w:eastAsia="Calibri"/>
          <w:sz w:val="26"/>
          <w:szCs w:val="26"/>
        </w:rPr>
        <w:t>for</w:t>
      </w:r>
      <w:r w:rsidR="00397E65" w:rsidRPr="00952CDC">
        <w:rPr>
          <w:rFonts w:eastAsia="Calibri"/>
          <w:sz w:val="26"/>
          <w:szCs w:val="26"/>
        </w:rPr>
        <w:t xml:space="preserve"> protection of ratepayers through meaningful Commission review of their concerns against the needs of utilities, immediate or otherwise, by allowing specific, limited extensions </w:t>
      </w:r>
      <w:r w:rsidR="006D6F48">
        <w:rPr>
          <w:rFonts w:eastAsia="Calibri"/>
          <w:sz w:val="26"/>
          <w:szCs w:val="26"/>
        </w:rPr>
        <w:t>of</w:t>
      </w:r>
      <w:r w:rsidR="00397E65" w:rsidRPr="00952CDC">
        <w:rPr>
          <w:rFonts w:eastAsia="Calibri"/>
          <w:sz w:val="26"/>
          <w:szCs w:val="26"/>
        </w:rPr>
        <w:t xml:space="preserve"> statutory deadlines due to the current extraordinary circumstances.  </w:t>
      </w:r>
      <w:r w:rsidR="00295460" w:rsidRPr="00952CDC">
        <w:rPr>
          <w:rFonts w:eastAsia="Calibri"/>
          <w:sz w:val="26"/>
          <w:szCs w:val="26"/>
        </w:rPr>
        <w:t xml:space="preserve">OCA Answer at 10.  </w:t>
      </w:r>
    </w:p>
    <w:p w14:paraId="429068A9" w14:textId="77777777" w:rsidR="00DE328B" w:rsidRDefault="00DE328B" w:rsidP="006765B6">
      <w:pPr>
        <w:rPr>
          <w:rFonts w:eastAsia="Calibri"/>
          <w:sz w:val="26"/>
          <w:szCs w:val="26"/>
        </w:rPr>
      </w:pPr>
    </w:p>
    <w:p w14:paraId="390BE1E7" w14:textId="19EF9F7C" w:rsidR="005E65AC" w:rsidRDefault="005E65AC" w:rsidP="006765B6">
      <w:pPr>
        <w:rPr>
          <w:kern w:val="24"/>
          <w:sz w:val="26"/>
          <w:szCs w:val="26"/>
        </w:rPr>
      </w:pPr>
      <w:r w:rsidRPr="00952CDC">
        <w:rPr>
          <w:kern w:val="24"/>
          <w:sz w:val="26"/>
          <w:szCs w:val="26"/>
        </w:rPr>
        <w:t>Furthermore, the OCA notes that the Parties in support of the extension are facing limitations brought on by</w:t>
      </w:r>
      <w:r w:rsidR="00295460" w:rsidRPr="00952CDC">
        <w:rPr>
          <w:kern w:val="24"/>
          <w:sz w:val="26"/>
          <w:szCs w:val="26"/>
        </w:rPr>
        <w:t xml:space="preserve"> office closings due to the</w:t>
      </w:r>
      <w:r w:rsidRPr="00952CDC">
        <w:rPr>
          <w:kern w:val="24"/>
          <w:sz w:val="26"/>
          <w:szCs w:val="26"/>
        </w:rPr>
        <w:t xml:space="preserve"> COVID-19</w:t>
      </w:r>
      <w:r w:rsidR="00295460" w:rsidRPr="00952CDC">
        <w:rPr>
          <w:kern w:val="24"/>
          <w:sz w:val="26"/>
          <w:szCs w:val="26"/>
        </w:rPr>
        <w:t xml:space="preserve"> pandemic and the Governor’s </w:t>
      </w:r>
      <w:r w:rsidR="00295460" w:rsidRPr="00952CDC">
        <w:rPr>
          <w:i/>
          <w:iCs/>
          <w:kern w:val="24"/>
          <w:sz w:val="26"/>
          <w:szCs w:val="26"/>
        </w:rPr>
        <w:t>Executive Order</w:t>
      </w:r>
      <w:r w:rsidRPr="00952CDC">
        <w:rPr>
          <w:kern w:val="24"/>
          <w:sz w:val="26"/>
          <w:szCs w:val="26"/>
        </w:rPr>
        <w:t>,</w:t>
      </w:r>
      <w:r w:rsidR="00295460" w:rsidRPr="00952CDC">
        <w:rPr>
          <w:kern w:val="24"/>
          <w:sz w:val="26"/>
          <w:szCs w:val="26"/>
        </w:rPr>
        <w:t xml:space="preserve"> in addition </w:t>
      </w:r>
      <w:r w:rsidR="006D6F48">
        <w:rPr>
          <w:kern w:val="24"/>
          <w:sz w:val="26"/>
          <w:szCs w:val="26"/>
        </w:rPr>
        <w:t xml:space="preserve">to </w:t>
      </w:r>
      <w:r w:rsidR="00AB03B9">
        <w:rPr>
          <w:kern w:val="24"/>
          <w:sz w:val="26"/>
          <w:szCs w:val="26"/>
        </w:rPr>
        <w:t xml:space="preserve">the </w:t>
      </w:r>
      <w:r w:rsidR="00295460" w:rsidRPr="00952CDC">
        <w:rPr>
          <w:kern w:val="24"/>
          <w:sz w:val="26"/>
          <w:szCs w:val="26"/>
        </w:rPr>
        <w:t>analysis of a new set of novel issues</w:t>
      </w:r>
      <w:r w:rsidR="00AB03B9">
        <w:rPr>
          <w:kern w:val="24"/>
          <w:sz w:val="26"/>
          <w:szCs w:val="26"/>
        </w:rPr>
        <w:t xml:space="preserve"> in the case</w:t>
      </w:r>
      <w:r w:rsidR="00295460" w:rsidRPr="00952CDC">
        <w:rPr>
          <w:kern w:val="24"/>
          <w:sz w:val="26"/>
          <w:szCs w:val="26"/>
        </w:rPr>
        <w:t>.</w:t>
      </w:r>
      <w:r w:rsidR="00E06304">
        <w:rPr>
          <w:kern w:val="24"/>
          <w:sz w:val="26"/>
          <w:szCs w:val="26"/>
        </w:rPr>
        <w:t xml:space="preserve">  </w:t>
      </w:r>
      <w:r w:rsidR="009A5EE4" w:rsidRPr="00952CDC">
        <w:rPr>
          <w:kern w:val="24"/>
          <w:sz w:val="26"/>
          <w:szCs w:val="26"/>
        </w:rPr>
        <w:t xml:space="preserve">OCA Answer at 11-12.  </w:t>
      </w:r>
      <w:r w:rsidRPr="00952CDC">
        <w:rPr>
          <w:kern w:val="24"/>
          <w:sz w:val="26"/>
          <w:szCs w:val="26"/>
        </w:rPr>
        <w:t xml:space="preserve">The OCA argues that </w:t>
      </w:r>
      <w:r w:rsidR="009A5EE4" w:rsidRPr="00952CDC">
        <w:rPr>
          <w:kern w:val="24"/>
          <w:sz w:val="26"/>
          <w:szCs w:val="26"/>
        </w:rPr>
        <w:t xml:space="preserve">the </w:t>
      </w:r>
      <w:r w:rsidR="009A5EE4" w:rsidRPr="00213416">
        <w:rPr>
          <w:i/>
          <w:iCs/>
          <w:kern w:val="24"/>
          <w:sz w:val="26"/>
          <w:szCs w:val="26"/>
        </w:rPr>
        <w:t>Emergency Order</w:t>
      </w:r>
      <w:r w:rsidR="009A5EE4" w:rsidRPr="00952CDC">
        <w:rPr>
          <w:kern w:val="24"/>
          <w:sz w:val="26"/>
          <w:szCs w:val="26"/>
        </w:rPr>
        <w:t xml:space="preserve"> permits the </w:t>
      </w:r>
      <w:r w:rsidR="00880B42">
        <w:rPr>
          <w:kern w:val="24"/>
          <w:sz w:val="26"/>
          <w:szCs w:val="26"/>
        </w:rPr>
        <w:t>CALJ</w:t>
      </w:r>
      <w:r w:rsidR="009A5EE4" w:rsidRPr="00952CDC">
        <w:rPr>
          <w:kern w:val="24"/>
          <w:sz w:val="26"/>
          <w:szCs w:val="26"/>
        </w:rPr>
        <w:t xml:space="preserve"> to allow an extension of statutory deadlines of up to ninety days</w:t>
      </w:r>
      <w:r w:rsidR="00952CDC" w:rsidRPr="00952CDC">
        <w:rPr>
          <w:kern w:val="24"/>
          <w:sz w:val="26"/>
          <w:szCs w:val="26"/>
        </w:rPr>
        <w:t>, and in this case, he was well within his authority to grant the forty-five day extension requested by the OCA</w:t>
      </w:r>
      <w:r w:rsidR="00952CDC">
        <w:rPr>
          <w:kern w:val="24"/>
          <w:sz w:val="26"/>
          <w:szCs w:val="26"/>
        </w:rPr>
        <w:t xml:space="preserve"> and supported by the other Parties to the proceeding</w:t>
      </w:r>
      <w:r w:rsidR="009A5EE4" w:rsidRPr="00952CDC">
        <w:rPr>
          <w:kern w:val="24"/>
          <w:sz w:val="26"/>
          <w:szCs w:val="26"/>
        </w:rPr>
        <w:t>.  OCA</w:t>
      </w:r>
      <w:r w:rsidR="005D456D" w:rsidRPr="00952CDC">
        <w:rPr>
          <w:kern w:val="24"/>
          <w:sz w:val="26"/>
          <w:szCs w:val="26"/>
        </w:rPr>
        <w:t xml:space="preserve"> Answer at 12-13 (citing </w:t>
      </w:r>
      <w:r w:rsidR="005D456D" w:rsidRPr="00952CDC">
        <w:rPr>
          <w:i/>
          <w:iCs/>
          <w:kern w:val="24"/>
          <w:sz w:val="26"/>
          <w:szCs w:val="26"/>
        </w:rPr>
        <w:t>Emergency Order</w:t>
      </w:r>
      <w:r w:rsidR="005D456D" w:rsidRPr="00952CDC">
        <w:rPr>
          <w:kern w:val="24"/>
          <w:sz w:val="26"/>
          <w:szCs w:val="26"/>
        </w:rPr>
        <w:t xml:space="preserve"> at 4).</w:t>
      </w:r>
      <w:r w:rsidR="009A5EE4" w:rsidRPr="005D456D">
        <w:rPr>
          <w:kern w:val="24"/>
          <w:sz w:val="26"/>
          <w:szCs w:val="26"/>
        </w:rPr>
        <w:t xml:space="preserve"> </w:t>
      </w:r>
    </w:p>
    <w:p w14:paraId="17E631D6" w14:textId="77777777" w:rsidR="00EC3B27" w:rsidRDefault="00EC3B27" w:rsidP="006765B6">
      <w:pPr>
        <w:rPr>
          <w:kern w:val="24"/>
          <w:sz w:val="26"/>
          <w:szCs w:val="26"/>
        </w:rPr>
      </w:pPr>
    </w:p>
    <w:p w14:paraId="7512AD30" w14:textId="6074D9CF" w:rsidR="00EC3B27" w:rsidRPr="005D456D" w:rsidRDefault="00EC3B27" w:rsidP="006765B6">
      <w:pPr>
        <w:rPr>
          <w:kern w:val="24"/>
          <w:sz w:val="26"/>
          <w:szCs w:val="26"/>
        </w:rPr>
      </w:pPr>
      <w:r>
        <w:rPr>
          <w:kern w:val="24"/>
          <w:sz w:val="26"/>
          <w:szCs w:val="26"/>
        </w:rPr>
        <w:t>Regarding PAWC’s alternative proposals, t</w:t>
      </w:r>
      <w:r w:rsidRPr="007A05ED">
        <w:rPr>
          <w:kern w:val="24"/>
          <w:sz w:val="26"/>
          <w:szCs w:val="26"/>
        </w:rPr>
        <w:t>he OCA</w:t>
      </w:r>
      <w:r w:rsidR="00D9521C">
        <w:rPr>
          <w:kern w:val="24"/>
          <w:sz w:val="26"/>
          <w:szCs w:val="26"/>
        </w:rPr>
        <w:t>: (1)</w:t>
      </w:r>
      <w:r w:rsidRPr="007A05ED">
        <w:rPr>
          <w:kern w:val="24"/>
          <w:sz w:val="26"/>
          <w:szCs w:val="26"/>
        </w:rPr>
        <w:t xml:space="preserve"> reject</w:t>
      </w:r>
      <w:r w:rsidR="004E7B4E">
        <w:rPr>
          <w:kern w:val="24"/>
          <w:sz w:val="26"/>
          <w:szCs w:val="26"/>
        </w:rPr>
        <w:t>s</w:t>
      </w:r>
      <w:r w:rsidRPr="007A05ED">
        <w:rPr>
          <w:kern w:val="24"/>
          <w:sz w:val="26"/>
          <w:szCs w:val="26"/>
        </w:rPr>
        <w:t xml:space="preserve"> the Company’s offer to voluntarily extend the suspension period to February 4, 2021</w:t>
      </w:r>
      <w:r>
        <w:rPr>
          <w:kern w:val="24"/>
          <w:sz w:val="26"/>
          <w:szCs w:val="26"/>
        </w:rPr>
        <w:t>;</w:t>
      </w:r>
      <w:r w:rsidRPr="007A05ED">
        <w:rPr>
          <w:kern w:val="24"/>
          <w:sz w:val="26"/>
          <w:szCs w:val="26"/>
        </w:rPr>
        <w:t xml:space="preserve"> </w:t>
      </w:r>
      <w:r w:rsidR="00D9521C">
        <w:rPr>
          <w:kern w:val="24"/>
          <w:sz w:val="26"/>
          <w:szCs w:val="26"/>
        </w:rPr>
        <w:t xml:space="preserve">(2) </w:t>
      </w:r>
      <w:r w:rsidRPr="007A05ED">
        <w:rPr>
          <w:kern w:val="24"/>
          <w:sz w:val="26"/>
          <w:szCs w:val="26"/>
        </w:rPr>
        <w:t>insist</w:t>
      </w:r>
      <w:r w:rsidR="004E7B4E">
        <w:rPr>
          <w:kern w:val="24"/>
          <w:sz w:val="26"/>
          <w:szCs w:val="26"/>
        </w:rPr>
        <w:t>s</w:t>
      </w:r>
      <w:r w:rsidRPr="007A05ED">
        <w:rPr>
          <w:kern w:val="24"/>
          <w:sz w:val="26"/>
          <w:szCs w:val="26"/>
        </w:rPr>
        <w:t xml:space="preserve"> that a minimum </w:t>
      </w:r>
      <w:r>
        <w:rPr>
          <w:kern w:val="24"/>
          <w:sz w:val="26"/>
          <w:szCs w:val="26"/>
        </w:rPr>
        <w:t>forty-five</w:t>
      </w:r>
      <w:r w:rsidRPr="007A05ED">
        <w:rPr>
          <w:kern w:val="24"/>
          <w:sz w:val="26"/>
          <w:szCs w:val="26"/>
        </w:rPr>
        <w:t>-day schedule extension was needed</w:t>
      </w:r>
      <w:r>
        <w:rPr>
          <w:kern w:val="24"/>
          <w:sz w:val="26"/>
          <w:szCs w:val="26"/>
        </w:rPr>
        <w:t>;</w:t>
      </w:r>
      <w:r w:rsidRPr="007A05ED">
        <w:rPr>
          <w:kern w:val="24"/>
          <w:sz w:val="26"/>
          <w:szCs w:val="26"/>
        </w:rPr>
        <w:t xml:space="preserve"> and </w:t>
      </w:r>
      <w:r w:rsidR="00D9521C">
        <w:rPr>
          <w:kern w:val="24"/>
          <w:sz w:val="26"/>
          <w:szCs w:val="26"/>
        </w:rPr>
        <w:t xml:space="preserve">(3) </w:t>
      </w:r>
      <w:r w:rsidRPr="007A05ED">
        <w:rPr>
          <w:kern w:val="24"/>
          <w:sz w:val="26"/>
          <w:szCs w:val="26"/>
        </w:rPr>
        <w:t>argue</w:t>
      </w:r>
      <w:r w:rsidR="004E7B4E">
        <w:rPr>
          <w:kern w:val="24"/>
          <w:sz w:val="26"/>
          <w:szCs w:val="26"/>
        </w:rPr>
        <w:t>s</w:t>
      </w:r>
      <w:r w:rsidRPr="007A05ED">
        <w:rPr>
          <w:kern w:val="24"/>
          <w:sz w:val="26"/>
          <w:szCs w:val="26"/>
        </w:rPr>
        <w:t xml:space="preserve"> that the Commission was empowered to unilaterally waive the statutory mandate of Section 1308(d) and </w:t>
      </w:r>
      <w:r>
        <w:rPr>
          <w:kern w:val="24"/>
          <w:sz w:val="26"/>
          <w:szCs w:val="26"/>
        </w:rPr>
        <w:t xml:space="preserve">to </w:t>
      </w:r>
      <w:r w:rsidRPr="007A05ED">
        <w:rPr>
          <w:kern w:val="24"/>
          <w:sz w:val="26"/>
          <w:szCs w:val="26"/>
        </w:rPr>
        <w:t xml:space="preserve">refuse to permit finally-adjudicated rates to be effective as of the end of the suspension period. </w:t>
      </w:r>
      <w:r>
        <w:rPr>
          <w:kern w:val="24"/>
          <w:sz w:val="26"/>
          <w:szCs w:val="26"/>
        </w:rPr>
        <w:t xml:space="preserve"> </w:t>
      </w:r>
      <w:r w:rsidR="00F261B3">
        <w:rPr>
          <w:kern w:val="24"/>
          <w:sz w:val="26"/>
          <w:szCs w:val="26"/>
        </w:rPr>
        <w:t xml:space="preserve">OCA Answer at 14-18.  </w:t>
      </w:r>
    </w:p>
    <w:p w14:paraId="688B1175" w14:textId="77777777" w:rsidR="002457DE" w:rsidRDefault="002457DE" w:rsidP="006765B6">
      <w:pPr>
        <w:ind w:firstLine="0"/>
        <w:rPr>
          <w:kern w:val="24"/>
          <w:sz w:val="26"/>
          <w:szCs w:val="26"/>
        </w:rPr>
      </w:pPr>
    </w:p>
    <w:p w14:paraId="3A299BA2" w14:textId="68430479" w:rsidR="00CA27CC" w:rsidRPr="00967B68" w:rsidRDefault="00CA27CC" w:rsidP="00967B68">
      <w:pPr>
        <w:pStyle w:val="ListParagraph"/>
        <w:keepNext/>
        <w:keepLines/>
        <w:numPr>
          <w:ilvl w:val="0"/>
          <w:numId w:val="26"/>
        </w:numPr>
        <w:ind w:left="1440" w:hanging="720"/>
        <w:rPr>
          <w:b/>
          <w:bCs/>
          <w:kern w:val="24"/>
          <w:sz w:val="26"/>
          <w:szCs w:val="26"/>
        </w:rPr>
      </w:pPr>
      <w:r w:rsidRPr="00967B68">
        <w:rPr>
          <w:b/>
          <w:bCs/>
          <w:kern w:val="24"/>
          <w:sz w:val="26"/>
          <w:szCs w:val="26"/>
        </w:rPr>
        <w:t>CAUSE-PA</w:t>
      </w:r>
    </w:p>
    <w:p w14:paraId="69445F6E" w14:textId="77777777" w:rsidR="00CA27CC" w:rsidRDefault="00CA27CC" w:rsidP="004F28D2">
      <w:pPr>
        <w:keepNext/>
        <w:keepLines/>
        <w:rPr>
          <w:kern w:val="24"/>
          <w:sz w:val="26"/>
          <w:szCs w:val="26"/>
        </w:rPr>
      </w:pPr>
    </w:p>
    <w:p w14:paraId="7F0DE708" w14:textId="7F86BB46" w:rsidR="005E65AC" w:rsidRDefault="005E65AC" w:rsidP="006765B6">
      <w:pPr>
        <w:rPr>
          <w:kern w:val="24"/>
          <w:sz w:val="26"/>
          <w:szCs w:val="26"/>
        </w:rPr>
      </w:pPr>
      <w:r w:rsidRPr="00952CDC">
        <w:rPr>
          <w:kern w:val="24"/>
          <w:sz w:val="26"/>
          <w:szCs w:val="26"/>
        </w:rPr>
        <w:t>In its Answer, CAUSE-P</w:t>
      </w:r>
      <w:r w:rsidR="00911A14">
        <w:rPr>
          <w:kern w:val="24"/>
          <w:sz w:val="26"/>
          <w:szCs w:val="26"/>
        </w:rPr>
        <w:t xml:space="preserve">A requests that the Commission deny </w:t>
      </w:r>
      <w:r w:rsidR="007425E3">
        <w:rPr>
          <w:kern w:val="24"/>
          <w:sz w:val="26"/>
          <w:szCs w:val="26"/>
        </w:rPr>
        <w:t>PAWC</w:t>
      </w:r>
      <w:r w:rsidR="00911A14">
        <w:rPr>
          <w:kern w:val="24"/>
          <w:sz w:val="26"/>
          <w:szCs w:val="26"/>
        </w:rPr>
        <w:t xml:space="preserve">’s Petition because the </w:t>
      </w:r>
      <w:r w:rsidR="00880B42">
        <w:rPr>
          <w:kern w:val="24"/>
          <w:sz w:val="26"/>
          <w:szCs w:val="26"/>
        </w:rPr>
        <w:t>CALJ</w:t>
      </w:r>
      <w:r w:rsidR="00911A14">
        <w:rPr>
          <w:kern w:val="24"/>
          <w:sz w:val="26"/>
          <w:szCs w:val="26"/>
        </w:rPr>
        <w:t xml:space="preserve"> was within his authority to grant the OCA’s Expedited Motion for a forty-five day extension of the statutory suspension period in this matter pursuant to </w:t>
      </w:r>
      <w:r w:rsidR="00911A14">
        <w:rPr>
          <w:kern w:val="24"/>
          <w:sz w:val="26"/>
          <w:szCs w:val="26"/>
        </w:rPr>
        <w:lastRenderedPageBreak/>
        <w:t xml:space="preserve">the Commission’s </w:t>
      </w:r>
      <w:r w:rsidR="00911A14" w:rsidRPr="00911A14">
        <w:rPr>
          <w:i/>
          <w:iCs/>
          <w:kern w:val="24"/>
          <w:sz w:val="26"/>
          <w:szCs w:val="26"/>
        </w:rPr>
        <w:t>Emergency Order</w:t>
      </w:r>
      <w:r w:rsidR="00911A14">
        <w:rPr>
          <w:kern w:val="24"/>
          <w:sz w:val="26"/>
          <w:szCs w:val="26"/>
        </w:rPr>
        <w:t>.  C</w:t>
      </w:r>
      <w:r w:rsidR="00911A14" w:rsidRPr="00911A14">
        <w:rPr>
          <w:kern w:val="24"/>
          <w:sz w:val="26"/>
          <w:szCs w:val="26"/>
        </w:rPr>
        <w:t>AUSE-PA contends</w:t>
      </w:r>
      <w:r w:rsidR="00291B5E">
        <w:rPr>
          <w:kern w:val="24"/>
          <w:sz w:val="26"/>
          <w:szCs w:val="26"/>
        </w:rPr>
        <w:t>: (1)</w:t>
      </w:r>
      <w:r w:rsidR="00911A14" w:rsidRPr="00911A14">
        <w:rPr>
          <w:kern w:val="24"/>
          <w:sz w:val="26"/>
          <w:szCs w:val="26"/>
        </w:rPr>
        <w:t xml:space="preserve"> that the language of Section 1308(d) cannot be taken in isolation, but instead must be considered in</w:t>
      </w:r>
      <w:r w:rsidR="00911A14">
        <w:rPr>
          <w:kern w:val="24"/>
          <w:sz w:val="26"/>
          <w:szCs w:val="26"/>
        </w:rPr>
        <w:t xml:space="preserve"> </w:t>
      </w:r>
      <w:r w:rsidR="00911A14" w:rsidRPr="00911A14">
        <w:rPr>
          <w:kern w:val="24"/>
          <w:sz w:val="26"/>
          <w:szCs w:val="26"/>
        </w:rPr>
        <w:t>conjunction with the</w:t>
      </w:r>
      <w:r w:rsidR="00911A14">
        <w:rPr>
          <w:kern w:val="24"/>
          <w:sz w:val="26"/>
          <w:szCs w:val="26"/>
        </w:rPr>
        <w:t xml:space="preserve"> unprecedented circumstances and the</w:t>
      </w:r>
      <w:r w:rsidR="00911A14" w:rsidRPr="00911A14">
        <w:rPr>
          <w:kern w:val="24"/>
          <w:sz w:val="26"/>
          <w:szCs w:val="26"/>
        </w:rPr>
        <w:t xml:space="preserve"> Commission’s </w:t>
      </w:r>
      <w:r w:rsidR="00911A14" w:rsidRPr="00911A14">
        <w:rPr>
          <w:i/>
          <w:iCs/>
          <w:kern w:val="24"/>
          <w:sz w:val="26"/>
          <w:szCs w:val="26"/>
        </w:rPr>
        <w:t xml:space="preserve">Emergency Order </w:t>
      </w:r>
      <w:r w:rsidR="00911A14" w:rsidRPr="00911A14">
        <w:rPr>
          <w:kern w:val="24"/>
          <w:sz w:val="26"/>
          <w:szCs w:val="26"/>
        </w:rPr>
        <w:t xml:space="preserve">and the </w:t>
      </w:r>
      <w:r w:rsidR="00911A14">
        <w:rPr>
          <w:kern w:val="24"/>
          <w:sz w:val="26"/>
          <w:szCs w:val="26"/>
        </w:rPr>
        <w:t>Governor’s</w:t>
      </w:r>
      <w:r w:rsidR="00911A14" w:rsidRPr="00911A14">
        <w:rPr>
          <w:kern w:val="24"/>
          <w:sz w:val="26"/>
          <w:szCs w:val="26"/>
        </w:rPr>
        <w:t xml:space="preserve"> </w:t>
      </w:r>
      <w:r w:rsidR="00911A14" w:rsidRPr="00911A14">
        <w:rPr>
          <w:i/>
          <w:iCs/>
          <w:kern w:val="24"/>
          <w:sz w:val="26"/>
          <w:szCs w:val="26"/>
        </w:rPr>
        <w:t>Executive Order</w:t>
      </w:r>
      <w:r w:rsidR="00E766BB">
        <w:rPr>
          <w:i/>
          <w:iCs/>
          <w:kern w:val="24"/>
          <w:sz w:val="26"/>
          <w:szCs w:val="26"/>
        </w:rPr>
        <w:t>,</w:t>
      </w:r>
      <w:r w:rsidR="00291B5E">
        <w:rPr>
          <w:i/>
          <w:iCs/>
          <w:kern w:val="24"/>
          <w:sz w:val="26"/>
          <w:szCs w:val="26"/>
        </w:rPr>
        <w:t xml:space="preserve"> </w:t>
      </w:r>
      <w:r w:rsidR="00911A14">
        <w:rPr>
          <w:kern w:val="24"/>
          <w:sz w:val="26"/>
          <w:szCs w:val="26"/>
        </w:rPr>
        <w:t>CAUSE-PA Answer at 7-8</w:t>
      </w:r>
      <w:r w:rsidR="00E767F6">
        <w:rPr>
          <w:kern w:val="24"/>
          <w:sz w:val="26"/>
          <w:szCs w:val="26"/>
        </w:rPr>
        <w:t>;</w:t>
      </w:r>
      <w:r w:rsidR="00291B5E">
        <w:rPr>
          <w:kern w:val="24"/>
          <w:sz w:val="26"/>
          <w:szCs w:val="26"/>
        </w:rPr>
        <w:t xml:space="preserve"> and (2)</w:t>
      </w:r>
      <w:r w:rsidR="00BD7972">
        <w:rPr>
          <w:kern w:val="24"/>
          <w:sz w:val="26"/>
          <w:szCs w:val="26"/>
        </w:rPr>
        <w:t xml:space="preserve"> </w:t>
      </w:r>
      <w:r w:rsidR="00291B5E">
        <w:rPr>
          <w:kern w:val="24"/>
          <w:sz w:val="26"/>
          <w:szCs w:val="26"/>
        </w:rPr>
        <w:t>that</w:t>
      </w:r>
      <w:r w:rsidR="00FA0775">
        <w:rPr>
          <w:kern w:val="24"/>
          <w:sz w:val="26"/>
          <w:szCs w:val="26"/>
        </w:rPr>
        <w:t xml:space="preserve"> the </w:t>
      </w:r>
      <w:r w:rsidR="00880B42">
        <w:rPr>
          <w:kern w:val="24"/>
          <w:sz w:val="26"/>
          <w:szCs w:val="26"/>
        </w:rPr>
        <w:t>CALJ</w:t>
      </w:r>
      <w:r w:rsidR="00291B5E">
        <w:rPr>
          <w:kern w:val="24"/>
          <w:sz w:val="26"/>
          <w:szCs w:val="26"/>
        </w:rPr>
        <w:t xml:space="preserve"> properly granted </w:t>
      </w:r>
      <w:r w:rsidR="001D1AC1">
        <w:rPr>
          <w:kern w:val="24"/>
          <w:sz w:val="26"/>
          <w:szCs w:val="26"/>
        </w:rPr>
        <w:t xml:space="preserve">the </w:t>
      </w:r>
      <w:r w:rsidR="00291B5E">
        <w:rPr>
          <w:kern w:val="24"/>
          <w:sz w:val="26"/>
          <w:szCs w:val="26"/>
        </w:rPr>
        <w:t xml:space="preserve">OCA’s Expedited Motion after the Prehearing Conference where </w:t>
      </w:r>
      <w:r w:rsidR="00911A14">
        <w:rPr>
          <w:kern w:val="24"/>
          <w:sz w:val="26"/>
          <w:szCs w:val="26"/>
        </w:rPr>
        <w:t xml:space="preserve">the </w:t>
      </w:r>
      <w:r w:rsidR="00911A14" w:rsidRPr="00911A14">
        <w:rPr>
          <w:kern w:val="24"/>
          <w:sz w:val="26"/>
          <w:szCs w:val="26"/>
        </w:rPr>
        <w:t xml:space="preserve">OCA, CAUSE-PA, and the other </w:t>
      </w:r>
      <w:r w:rsidR="00291B5E">
        <w:rPr>
          <w:kern w:val="24"/>
          <w:sz w:val="26"/>
          <w:szCs w:val="26"/>
        </w:rPr>
        <w:t>P</w:t>
      </w:r>
      <w:r w:rsidR="00911A14" w:rsidRPr="00911A14">
        <w:rPr>
          <w:kern w:val="24"/>
          <w:sz w:val="26"/>
          <w:szCs w:val="26"/>
        </w:rPr>
        <w:t xml:space="preserve">arties argued that extending the suspension period by </w:t>
      </w:r>
      <w:r w:rsidR="00911A14">
        <w:rPr>
          <w:kern w:val="24"/>
          <w:sz w:val="26"/>
          <w:szCs w:val="26"/>
        </w:rPr>
        <w:t>forty-five</w:t>
      </w:r>
      <w:r w:rsidR="00911A14" w:rsidRPr="00911A14">
        <w:rPr>
          <w:kern w:val="24"/>
          <w:sz w:val="26"/>
          <w:szCs w:val="26"/>
        </w:rPr>
        <w:t xml:space="preserve"> days was necessary in light of the vast challenges consumers faced as a result of </w:t>
      </w:r>
      <w:r w:rsidR="0080278D">
        <w:rPr>
          <w:kern w:val="24"/>
          <w:sz w:val="26"/>
          <w:szCs w:val="26"/>
        </w:rPr>
        <w:t xml:space="preserve">the </w:t>
      </w:r>
      <w:r w:rsidR="00911A14" w:rsidRPr="00911A14">
        <w:rPr>
          <w:kern w:val="24"/>
          <w:sz w:val="26"/>
          <w:szCs w:val="26"/>
        </w:rPr>
        <w:t>COVID-19</w:t>
      </w:r>
      <w:r w:rsidR="0080278D">
        <w:rPr>
          <w:kern w:val="24"/>
          <w:sz w:val="26"/>
          <w:szCs w:val="26"/>
        </w:rPr>
        <w:t xml:space="preserve"> pandemic</w:t>
      </w:r>
      <w:r w:rsidR="006D6F48">
        <w:rPr>
          <w:kern w:val="24"/>
          <w:sz w:val="26"/>
          <w:szCs w:val="26"/>
        </w:rPr>
        <w:t>,</w:t>
      </w:r>
      <w:r w:rsidR="00911A14" w:rsidRPr="00911A14">
        <w:rPr>
          <w:kern w:val="24"/>
          <w:sz w:val="26"/>
          <w:szCs w:val="26"/>
        </w:rPr>
        <w:t xml:space="preserve"> as well as the practical challenges associated with litigation of a complex rate case without full access to office resources.</w:t>
      </w:r>
      <w:r w:rsidR="00911A14">
        <w:rPr>
          <w:kern w:val="24"/>
          <w:sz w:val="26"/>
          <w:szCs w:val="26"/>
        </w:rPr>
        <w:t xml:space="preserve">  </w:t>
      </w:r>
      <w:r w:rsidR="00DE328B">
        <w:rPr>
          <w:kern w:val="24"/>
          <w:sz w:val="26"/>
          <w:szCs w:val="26"/>
        </w:rPr>
        <w:t xml:space="preserve">CAUSE-PA Answer </w:t>
      </w:r>
      <w:r w:rsidR="00911A14">
        <w:rPr>
          <w:kern w:val="24"/>
          <w:sz w:val="26"/>
          <w:szCs w:val="26"/>
        </w:rPr>
        <w:t xml:space="preserve">at 8.  </w:t>
      </w:r>
      <w:r w:rsidR="00291B5E">
        <w:rPr>
          <w:kern w:val="24"/>
          <w:sz w:val="26"/>
          <w:szCs w:val="26"/>
        </w:rPr>
        <w:t xml:space="preserve">In addition, </w:t>
      </w:r>
      <w:r w:rsidR="00911A14">
        <w:rPr>
          <w:kern w:val="24"/>
          <w:sz w:val="26"/>
          <w:szCs w:val="26"/>
        </w:rPr>
        <w:t>CAUSE-PA</w:t>
      </w:r>
      <w:r w:rsidR="00291B5E">
        <w:rPr>
          <w:kern w:val="24"/>
          <w:sz w:val="26"/>
          <w:szCs w:val="26"/>
        </w:rPr>
        <w:t xml:space="preserve">, like the OCA, </w:t>
      </w:r>
      <w:r w:rsidR="00911A14">
        <w:rPr>
          <w:kern w:val="24"/>
          <w:sz w:val="26"/>
          <w:szCs w:val="26"/>
        </w:rPr>
        <w:t>argues</w:t>
      </w:r>
      <w:r w:rsidR="00291B5E">
        <w:rPr>
          <w:kern w:val="24"/>
          <w:sz w:val="26"/>
          <w:szCs w:val="26"/>
        </w:rPr>
        <w:t>: (1)</w:t>
      </w:r>
      <w:r w:rsidR="00911A14">
        <w:rPr>
          <w:kern w:val="24"/>
          <w:sz w:val="26"/>
          <w:szCs w:val="26"/>
        </w:rPr>
        <w:t xml:space="preserve"> that </w:t>
      </w:r>
      <w:r w:rsidR="00911A14" w:rsidRPr="00911A14">
        <w:rPr>
          <w:i/>
          <w:iCs/>
          <w:kern w:val="24"/>
          <w:sz w:val="26"/>
          <w:szCs w:val="26"/>
        </w:rPr>
        <w:t>Bell Tel. Co</w:t>
      </w:r>
      <w:r w:rsidR="00911A14">
        <w:rPr>
          <w:kern w:val="24"/>
          <w:sz w:val="26"/>
          <w:szCs w:val="26"/>
        </w:rPr>
        <w:t xml:space="preserve">. is not controlling precedent here and is distinguishable from the present matter because </w:t>
      </w:r>
      <w:r w:rsidR="00911A14" w:rsidRPr="00911A14">
        <w:rPr>
          <w:i/>
          <w:iCs/>
          <w:kern w:val="24"/>
          <w:sz w:val="26"/>
          <w:szCs w:val="26"/>
        </w:rPr>
        <w:t>Bell Tel. Co</w:t>
      </w:r>
      <w:r w:rsidR="00911A14">
        <w:rPr>
          <w:kern w:val="24"/>
          <w:sz w:val="26"/>
          <w:szCs w:val="26"/>
        </w:rPr>
        <w:t xml:space="preserve">. does not analyze the effect of an emergency order on statutory suspension periods and was decided years before under circumstances not comparable to the current unprecedented emergency which continues to unfold.  </w:t>
      </w:r>
      <w:r w:rsidR="00DE328B">
        <w:rPr>
          <w:kern w:val="24"/>
          <w:sz w:val="26"/>
          <w:szCs w:val="26"/>
        </w:rPr>
        <w:t xml:space="preserve">CAUSE-PA Answer </w:t>
      </w:r>
      <w:r w:rsidR="00911A14">
        <w:rPr>
          <w:kern w:val="24"/>
          <w:sz w:val="26"/>
          <w:szCs w:val="26"/>
        </w:rPr>
        <w:t>at 8-9</w:t>
      </w:r>
      <w:r w:rsidR="00291B5E">
        <w:rPr>
          <w:kern w:val="24"/>
          <w:sz w:val="26"/>
          <w:szCs w:val="26"/>
        </w:rPr>
        <w:t>; and (2)</w:t>
      </w:r>
      <w:r w:rsidR="00967B68">
        <w:rPr>
          <w:kern w:val="24"/>
          <w:sz w:val="26"/>
          <w:szCs w:val="26"/>
        </w:rPr>
        <w:t> </w:t>
      </w:r>
      <w:r w:rsidR="00291B5E">
        <w:rPr>
          <w:kern w:val="24"/>
          <w:sz w:val="26"/>
          <w:szCs w:val="26"/>
        </w:rPr>
        <w:t>that</w:t>
      </w:r>
      <w:r w:rsidR="00911A14">
        <w:rPr>
          <w:kern w:val="24"/>
          <w:sz w:val="26"/>
          <w:szCs w:val="26"/>
        </w:rPr>
        <w:t xml:space="preserve"> </w:t>
      </w:r>
      <w:r w:rsidR="00911A14" w:rsidRPr="006C3AA8">
        <w:rPr>
          <w:i/>
          <w:iCs/>
          <w:kern w:val="24"/>
          <w:sz w:val="26"/>
          <w:szCs w:val="26"/>
        </w:rPr>
        <w:t>Joseph Horne Co</w:t>
      </w:r>
      <w:r w:rsidR="00911A14">
        <w:rPr>
          <w:kern w:val="24"/>
          <w:sz w:val="26"/>
          <w:szCs w:val="26"/>
        </w:rPr>
        <w:t xml:space="preserve">. also was decided without taking into consideration the effect of any emergency or modifying Order on Section 1308(d), let alone the Commission’s </w:t>
      </w:r>
      <w:r w:rsidR="00911A14" w:rsidRPr="006C3AA8">
        <w:rPr>
          <w:i/>
          <w:iCs/>
          <w:kern w:val="24"/>
          <w:sz w:val="26"/>
          <w:szCs w:val="26"/>
        </w:rPr>
        <w:t>Emergency Order</w:t>
      </w:r>
      <w:r w:rsidR="00911A14">
        <w:rPr>
          <w:kern w:val="24"/>
          <w:sz w:val="26"/>
          <w:szCs w:val="26"/>
        </w:rPr>
        <w:t>, which CAUSE-PA argues del</w:t>
      </w:r>
      <w:r w:rsidR="006D6F48">
        <w:rPr>
          <w:kern w:val="24"/>
          <w:sz w:val="26"/>
          <w:szCs w:val="26"/>
        </w:rPr>
        <w:t>egates</w:t>
      </w:r>
      <w:r w:rsidR="00911A14">
        <w:rPr>
          <w:kern w:val="24"/>
          <w:sz w:val="26"/>
          <w:szCs w:val="26"/>
        </w:rPr>
        <w:t xml:space="preserve"> clear authority to the </w:t>
      </w:r>
      <w:r w:rsidR="00880B42">
        <w:rPr>
          <w:kern w:val="24"/>
          <w:sz w:val="26"/>
          <w:szCs w:val="26"/>
        </w:rPr>
        <w:t>CALJ</w:t>
      </w:r>
      <w:r w:rsidR="00911A14">
        <w:rPr>
          <w:kern w:val="24"/>
          <w:sz w:val="26"/>
          <w:szCs w:val="26"/>
        </w:rPr>
        <w:t xml:space="preserve"> to establish reasonable deadlines in light of the COVID-19 pandemic.  </w:t>
      </w:r>
      <w:r w:rsidR="00DE328B">
        <w:rPr>
          <w:kern w:val="24"/>
          <w:sz w:val="26"/>
          <w:szCs w:val="26"/>
        </w:rPr>
        <w:t xml:space="preserve">CAUSE-PA Answer </w:t>
      </w:r>
      <w:r w:rsidR="00911A14">
        <w:rPr>
          <w:kern w:val="24"/>
          <w:sz w:val="26"/>
          <w:szCs w:val="26"/>
        </w:rPr>
        <w:t xml:space="preserve">at 9. </w:t>
      </w:r>
    </w:p>
    <w:p w14:paraId="53652992" w14:textId="77777777" w:rsidR="00DE328B" w:rsidRDefault="00DE328B" w:rsidP="00911A14">
      <w:pPr>
        <w:rPr>
          <w:kern w:val="24"/>
          <w:sz w:val="26"/>
          <w:szCs w:val="26"/>
        </w:rPr>
      </w:pPr>
    </w:p>
    <w:p w14:paraId="6AF8B60E" w14:textId="09BABB24" w:rsidR="00BF1706" w:rsidRDefault="00DE328B" w:rsidP="00DE328B">
      <w:pPr>
        <w:rPr>
          <w:kern w:val="24"/>
          <w:sz w:val="26"/>
          <w:szCs w:val="26"/>
        </w:rPr>
      </w:pPr>
      <w:r>
        <w:rPr>
          <w:kern w:val="24"/>
          <w:sz w:val="26"/>
          <w:szCs w:val="26"/>
        </w:rPr>
        <w:t xml:space="preserve">CAUSE-PA asserts that strict compliance with Section 1308(d) </w:t>
      </w:r>
      <w:r w:rsidRPr="006C3AA8">
        <w:rPr>
          <w:i/>
          <w:iCs/>
          <w:kern w:val="24"/>
          <w:sz w:val="26"/>
          <w:szCs w:val="26"/>
        </w:rPr>
        <w:t>w</w:t>
      </w:r>
      <w:r w:rsidR="006C3AA8" w:rsidRPr="006C3AA8">
        <w:rPr>
          <w:i/>
          <w:iCs/>
          <w:kern w:val="24"/>
          <w:sz w:val="26"/>
          <w:szCs w:val="26"/>
        </w:rPr>
        <w:t xml:space="preserve">ill </w:t>
      </w:r>
      <w:r>
        <w:rPr>
          <w:kern w:val="24"/>
          <w:sz w:val="26"/>
          <w:szCs w:val="26"/>
        </w:rPr>
        <w:t xml:space="preserve">prevent, </w:t>
      </w:r>
      <w:proofErr w:type="gramStart"/>
      <w:r>
        <w:rPr>
          <w:kern w:val="24"/>
          <w:sz w:val="26"/>
          <w:szCs w:val="26"/>
        </w:rPr>
        <w:t>hinder</w:t>
      </w:r>
      <w:proofErr w:type="gramEnd"/>
      <w:r>
        <w:rPr>
          <w:kern w:val="24"/>
          <w:sz w:val="26"/>
          <w:szCs w:val="26"/>
        </w:rPr>
        <w:t xml:space="preserve"> and delay necessary action in coping with the pandemic.  CAUSE-PA Answer at</w:t>
      </w:r>
      <w:r w:rsidR="00967B68">
        <w:rPr>
          <w:kern w:val="24"/>
          <w:sz w:val="26"/>
          <w:szCs w:val="26"/>
        </w:rPr>
        <w:t> </w:t>
      </w:r>
      <w:r>
        <w:rPr>
          <w:kern w:val="24"/>
          <w:sz w:val="26"/>
          <w:szCs w:val="26"/>
        </w:rPr>
        <w:t xml:space="preserve">12.  </w:t>
      </w:r>
      <w:r w:rsidR="006C3AA8">
        <w:rPr>
          <w:kern w:val="24"/>
          <w:sz w:val="26"/>
          <w:szCs w:val="26"/>
        </w:rPr>
        <w:t xml:space="preserve">More specifically, </w:t>
      </w:r>
      <w:r>
        <w:rPr>
          <w:kern w:val="24"/>
          <w:sz w:val="26"/>
          <w:szCs w:val="26"/>
        </w:rPr>
        <w:t xml:space="preserve">CAUSE-PA contends that PAWC fails to adequately grasp the profound economic impact of the pandemic on consumers and that a critical component to determine whether proposed rates are just and reasonable is an examination </w:t>
      </w:r>
      <w:r w:rsidR="00832059">
        <w:rPr>
          <w:kern w:val="24"/>
          <w:sz w:val="26"/>
          <w:szCs w:val="26"/>
        </w:rPr>
        <w:t xml:space="preserve">of </w:t>
      </w:r>
      <w:r>
        <w:rPr>
          <w:kern w:val="24"/>
          <w:sz w:val="26"/>
          <w:szCs w:val="26"/>
        </w:rPr>
        <w:t>whether the rates charged to customer</w:t>
      </w:r>
      <w:r w:rsidR="00FA0775">
        <w:rPr>
          <w:kern w:val="24"/>
          <w:sz w:val="26"/>
          <w:szCs w:val="26"/>
        </w:rPr>
        <w:t>s</w:t>
      </w:r>
      <w:r>
        <w:rPr>
          <w:kern w:val="24"/>
          <w:sz w:val="26"/>
          <w:szCs w:val="26"/>
        </w:rPr>
        <w:t xml:space="preserve"> are affordable for </w:t>
      </w:r>
      <w:r w:rsidR="004B57EB">
        <w:rPr>
          <w:kern w:val="24"/>
          <w:sz w:val="26"/>
          <w:szCs w:val="26"/>
        </w:rPr>
        <w:t xml:space="preserve">the </w:t>
      </w:r>
      <w:r>
        <w:rPr>
          <w:kern w:val="24"/>
          <w:sz w:val="26"/>
          <w:szCs w:val="26"/>
        </w:rPr>
        <w:t xml:space="preserve">consumers in </w:t>
      </w:r>
      <w:r w:rsidR="002E66CF">
        <w:rPr>
          <w:kern w:val="24"/>
          <w:sz w:val="26"/>
          <w:szCs w:val="26"/>
        </w:rPr>
        <w:t xml:space="preserve">the Company’s </w:t>
      </w:r>
      <w:r>
        <w:rPr>
          <w:kern w:val="24"/>
          <w:sz w:val="26"/>
          <w:szCs w:val="26"/>
        </w:rPr>
        <w:t xml:space="preserve">service territories.  </w:t>
      </w:r>
      <w:r w:rsidR="00291B5E">
        <w:rPr>
          <w:kern w:val="24"/>
          <w:sz w:val="26"/>
          <w:szCs w:val="26"/>
        </w:rPr>
        <w:t>Therefore, the</w:t>
      </w:r>
      <w:r>
        <w:rPr>
          <w:kern w:val="24"/>
          <w:sz w:val="26"/>
          <w:szCs w:val="26"/>
        </w:rPr>
        <w:t xml:space="preserve"> extension of the statutory rate suspension period is necessary to properly evaluate the effects of the pandemic on the long-term economic health of PAWC’s service territory and without the forty-five day extension, the Parties will not be </w:t>
      </w:r>
      <w:r>
        <w:rPr>
          <w:kern w:val="24"/>
          <w:sz w:val="26"/>
          <w:szCs w:val="26"/>
        </w:rPr>
        <w:lastRenderedPageBreak/>
        <w:t xml:space="preserve">able to adequately investigate whether PAWC’s proposed rate increases are just and reasonable given the continued effects of the pandemic.  CAUSE-PA Answer at 12-13.  </w:t>
      </w:r>
    </w:p>
    <w:p w14:paraId="626D2621" w14:textId="77777777" w:rsidR="00BF1706" w:rsidRDefault="00BF1706" w:rsidP="00DE328B">
      <w:pPr>
        <w:rPr>
          <w:kern w:val="24"/>
          <w:sz w:val="26"/>
          <w:szCs w:val="26"/>
        </w:rPr>
      </w:pPr>
    </w:p>
    <w:p w14:paraId="105CA153" w14:textId="77777777" w:rsidR="00DE328B" w:rsidRDefault="00DE328B" w:rsidP="00DE328B">
      <w:pPr>
        <w:rPr>
          <w:kern w:val="24"/>
          <w:sz w:val="26"/>
          <w:szCs w:val="26"/>
        </w:rPr>
      </w:pPr>
      <w:r>
        <w:rPr>
          <w:kern w:val="24"/>
          <w:sz w:val="26"/>
          <w:szCs w:val="26"/>
        </w:rPr>
        <w:t xml:space="preserve">Finally, as for PAWC’s </w:t>
      </w:r>
      <w:r w:rsidR="008F5FDC">
        <w:rPr>
          <w:kern w:val="24"/>
          <w:sz w:val="26"/>
          <w:szCs w:val="26"/>
        </w:rPr>
        <w:t xml:space="preserve">alternative proposal </w:t>
      </w:r>
      <w:r w:rsidRPr="00DE328B">
        <w:rPr>
          <w:kern w:val="24"/>
          <w:sz w:val="26"/>
          <w:szCs w:val="26"/>
        </w:rPr>
        <w:t xml:space="preserve">to </w:t>
      </w:r>
      <w:r>
        <w:rPr>
          <w:kern w:val="24"/>
          <w:sz w:val="26"/>
          <w:szCs w:val="26"/>
        </w:rPr>
        <w:t>v</w:t>
      </w:r>
      <w:r w:rsidRPr="00DE328B">
        <w:rPr>
          <w:kern w:val="24"/>
          <w:sz w:val="26"/>
          <w:szCs w:val="26"/>
        </w:rPr>
        <w:t xml:space="preserve">oluntarily </w:t>
      </w:r>
      <w:r>
        <w:rPr>
          <w:kern w:val="24"/>
          <w:sz w:val="26"/>
          <w:szCs w:val="26"/>
        </w:rPr>
        <w:t>e</w:t>
      </w:r>
      <w:r w:rsidRPr="00DE328B">
        <w:rPr>
          <w:kern w:val="24"/>
          <w:sz w:val="26"/>
          <w:szCs w:val="26"/>
        </w:rPr>
        <w:t xml:space="preserve">xtend the </w:t>
      </w:r>
      <w:r>
        <w:rPr>
          <w:kern w:val="24"/>
          <w:sz w:val="26"/>
          <w:szCs w:val="26"/>
        </w:rPr>
        <w:t>s</w:t>
      </w:r>
      <w:r w:rsidRPr="00DE328B">
        <w:rPr>
          <w:kern w:val="24"/>
          <w:sz w:val="26"/>
          <w:szCs w:val="26"/>
        </w:rPr>
        <w:t xml:space="preserve">uspension </w:t>
      </w:r>
      <w:r>
        <w:rPr>
          <w:kern w:val="24"/>
          <w:sz w:val="26"/>
          <w:szCs w:val="26"/>
        </w:rPr>
        <w:t>p</w:t>
      </w:r>
      <w:r w:rsidRPr="00DE328B">
        <w:rPr>
          <w:kern w:val="24"/>
          <w:sz w:val="26"/>
          <w:szCs w:val="26"/>
        </w:rPr>
        <w:t>eriod to February 4, 2021</w:t>
      </w:r>
      <w:r>
        <w:rPr>
          <w:kern w:val="24"/>
          <w:sz w:val="26"/>
          <w:szCs w:val="26"/>
        </w:rPr>
        <w:t xml:space="preserve">, CAUSE-PA argues </w:t>
      </w:r>
      <w:r w:rsidR="008F5FDC">
        <w:rPr>
          <w:kern w:val="24"/>
          <w:sz w:val="26"/>
          <w:szCs w:val="26"/>
        </w:rPr>
        <w:t xml:space="preserve">that </w:t>
      </w:r>
      <w:r>
        <w:rPr>
          <w:kern w:val="24"/>
          <w:sz w:val="26"/>
          <w:szCs w:val="26"/>
        </w:rPr>
        <w:t xml:space="preserve">such </w:t>
      </w:r>
      <w:r w:rsidR="008F5FDC">
        <w:rPr>
          <w:kern w:val="24"/>
          <w:sz w:val="26"/>
          <w:szCs w:val="26"/>
        </w:rPr>
        <w:t xml:space="preserve">an </w:t>
      </w:r>
      <w:r>
        <w:rPr>
          <w:kern w:val="24"/>
          <w:sz w:val="26"/>
          <w:szCs w:val="26"/>
        </w:rPr>
        <w:t>extension</w:t>
      </w:r>
      <w:r w:rsidRPr="00DE328B">
        <w:rPr>
          <w:kern w:val="24"/>
          <w:sz w:val="26"/>
          <w:szCs w:val="26"/>
        </w:rPr>
        <w:t xml:space="preserve"> does not provide sufficient time to address the issues in this case and properly create a developed record for review.</w:t>
      </w:r>
      <w:r>
        <w:rPr>
          <w:kern w:val="24"/>
          <w:sz w:val="26"/>
          <w:szCs w:val="26"/>
        </w:rPr>
        <w:t xml:space="preserve">  CAUSE-PA Answer at 15-17.  If the Commission determines that the procedural schedule should be extended beyond February 4, 202</w:t>
      </w:r>
      <w:r w:rsidR="00850C82">
        <w:rPr>
          <w:kern w:val="24"/>
          <w:sz w:val="26"/>
          <w:szCs w:val="26"/>
        </w:rPr>
        <w:t>1</w:t>
      </w:r>
      <w:r>
        <w:rPr>
          <w:kern w:val="24"/>
          <w:sz w:val="26"/>
          <w:szCs w:val="26"/>
        </w:rPr>
        <w:t>, CAUSE-PA argues that PAWC should not be entitled to charge rates established in the present tariff filings as of the Section 1308(d) suspension period.  CAUSE-PA Answer at</w:t>
      </w:r>
      <w:r w:rsidR="00B26414">
        <w:rPr>
          <w:kern w:val="24"/>
          <w:sz w:val="26"/>
          <w:szCs w:val="26"/>
        </w:rPr>
        <w:t> </w:t>
      </w:r>
      <w:r>
        <w:rPr>
          <w:kern w:val="24"/>
          <w:sz w:val="26"/>
          <w:szCs w:val="26"/>
        </w:rPr>
        <w:t>17-21.</w:t>
      </w:r>
    </w:p>
    <w:p w14:paraId="4CA59EC1" w14:textId="77777777" w:rsidR="000A5E1E" w:rsidRDefault="000A5E1E" w:rsidP="00DE328B">
      <w:pPr>
        <w:rPr>
          <w:kern w:val="24"/>
          <w:sz w:val="26"/>
          <w:szCs w:val="26"/>
        </w:rPr>
      </w:pPr>
    </w:p>
    <w:p w14:paraId="08C83566" w14:textId="0E75C470" w:rsidR="00FA0775" w:rsidRPr="00967B68" w:rsidRDefault="00FA0775" w:rsidP="00967B68">
      <w:pPr>
        <w:pStyle w:val="ListParagraph"/>
        <w:numPr>
          <w:ilvl w:val="0"/>
          <w:numId w:val="26"/>
        </w:numPr>
        <w:ind w:left="1440" w:hanging="720"/>
        <w:rPr>
          <w:b/>
          <w:bCs/>
          <w:kern w:val="24"/>
          <w:sz w:val="26"/>
          <w:szCs w:val="26"/>
        </w:rPr>
      </w:pPr>
      <w:r w:rsidRPr="00967B68">
        <w:rPr>
          <w:b/>
          <w:bCs/>
          <w:kern w:val="24"/>
          <w:sz w:val="26"/>
          <w:szCs w:val="26"/>
        </w:rPr>
        <w:t>OSBA</w:t>
      </w:r>
    </w:p>
    <w:p w14:paraId="03B53105" w14:textId="77777777" w:rsidR="00FA0775" w:rsidRDefault="00FA0775" w:rsidP="00FA0775">
      <w:pPr>
        <w:ind w:firstLine="720"/>
        <w:rPr>
          <w:kern w:val="24"/>
          <w:sz w:val="26"/>
          <w:szCs w:val="26"/>
        </w:rPr>
      </w:pPr>
    </w:p>
    <w:p w14:paraId="592651AD" w14:textId="77777777" w:rsidR="000E78EB" w:rsidRDefault="007425E3" w:rsidP="007425E3">
      <w:pPr>
        <w:rPr>
          <w:rFonts w:eastAsia="Calibri"/>
          <w:sz w:val="26"/>
          <w:szCs w:val="26"/>
        </w:rPr>
      </w:pPr>
      <w:r w:rsidRPr="000D311C">
        <w:rPr>
          <w:rFonts w:eastAsia="Calibri"/>
          <w:sz w:val="26"/>
          <w:szCs w:val="26"/>
        </w:rPr>
        <w:t xml:space="preserve">In its Answer, the OSBA argues that the Pennsylvania Supreme Court has ruled that the Governor’s </w:t>
      </w:r>
      <w:r w:rsidRPr="000D311C">
        <w:rPr>
          <w:rFonts w:eastAsia="Calibri"/>
          <w:i/>
          <w:iCs/>
          <w:sz w:val="26"/>
          <w:szCs w:val="26"/>
        </w:rPr>
        <w:t>Executive</w:t>
      </w:r>
      <w:r w:rsidRPr="000B272E">
        <w:rPr>
          <w:rFonts w:eastAsia="Calibri"/>
          <w:i/>
          <w:iCs/>
          <w:sz w:val="26"/>
          <w:szCs w:val="26"/>
        </w:rPr>
        <w:t xml:space="preserve"> Order</w:t>
      </w:r>
      <w:r>
        <w:rPr>
          <w:rFonts w:eastAsia="Calibri"/>
          <w:sz w:val="26"/>
          <w:szCs w:val="26"/>
        </w:rPr>
        <w:t xml:space="preserve"> is a legal, valid exercise of authority granted to the Governor and has also ruled that</w:t>
      </w:r>
      <w:r w:rsidR="008330B4">
        <w:rPr>
          <w:rFonts w:eastAsia="Calibri"/>
          <w:sz w:val="26"/>
          <w:szCs w:val="26"/>
        </w:rPr>
        <w:t xml:space="preserve"> “any regulatory</w:t>
      </w:r>
      <w:r>
        <w:rPr>
          <w:rFonts w:eastAsia="Calibri"/>
          <w:sz w:val="26"/>
          <w:szCs w:val="26"/>
        </w:rPr>
        <w:t xml:space="preserve"> statute</w:t>
      </w:r>
      <w:r w:rsidR="008330B4">
        <w:rPr>
          <w:rFonts w:eastAsia="Calibri"/>
          <w:sz w:val="26"/>
          <w:szCs w:val="26"/>
        </w:rPr>
        <w:t xml:space="preserve"> </w:t>
      </w:r>
      <w:r>
        <w:rPr>
          <w:rFonts w:eastAsia="Calibri"/>
          <w:sz w:val="26"/>
          <w:szCs w:val="26"/>
        </w:rPr>
        <w:t xml:space="preserve">prescribing the procedures of the conduct of Commonwealth business,” as well as the Commission’s “orders, rules or regulations” may be suspended while the Governor’s </w:t>
      </w:r>
      <w:r w:rsidRPr="007F7AFC">
        <w:rPr>
          <w:rFonts w:eastAsia="Calibri"/>
          <w:i/>
          <w:iCs/>
          <w:sz w:val="26"/>
          <w:szCs w:val="26"/>
        </w:rPr>
        <w:t>Executive Order</w:t>
      </w:r>
      <w:r>
        <w:rPr>
          <w:rFonts w:eastAsia="Calibri"/>
          <w:sz w:val="26"/>
          <w:szCs w:val="26"/>
        </w:rPr>
        <w:t xml:space="preserve"> is in effect.</w:t>
      </w:r>
      <w:r w:rsidRPr="008909F1">
        <w:rPr>
          <w:rFonts w:eastAsia="Calibri"/>
          <w:sz w:val="26"/>
          <w:szCs w:val="26"/>
        </w:rPr>
        <w:t xml:space="preserve"> </w:t>
      </w:r>
      <w:r w:rsidR="00701ADC">
        <w:rPr>
          <w:rFonts w:eastAsia="Calibri"/>
          <w:sz w:val="26"/>
          <w:szCs w:val="26"/>
        </w:rPr>
        <w:t xml:space="preserve"> </w:t>
      </w:r>
      <w:r>
        <w:rPr>
          <w:rFonts w:eastAsia="Calibri"/>
          <w:sz w:val="26"/>
          <w:szCs w:val="26"/>
        </w:rPr>
        <w:t xml:space="preserve">OSBA Answer at 3 (citing </w:t>
      </w:r>
      <w:r w:rsidRPr="001D2681">
        <w:rPr>
          <w:i/>
          <w:iCs/>
          <w:sz w:val="26"/>
          <w:szCs w:val="26"/>
        </w:rPr>
        <w:t xml:space="preserve">DeVito </w:t>
      </w:r>
      <w:r w:rsidR="00213416">
        <w:rPr>
          <w:sz w:val="26"/>
          <w:szCs w:val="26"/>
        </w:rPr>
        <w:t xml:space="preserve">at </w:t>
      </w:r>
      <w:r>
        <w:rPr>
          <w:sz w:val="26"/>
          <w:szCs w:val="26"/>
        </w:rPr>
        <w:t>*25).</w:t>
      </w:r>
      <w:r>
        <w:rPr>
          <w:rFonts w:eastAsia="Calibri"/>
          <w:sz w:val="26"/>
          <w:szCs w:val="26"/>
        </w:rPr>
        <w:t xml:space="preserve">  </w:t>
      </w:r>
      <w:r w:rsidR="000E78EB">
        <w:rPr>
          <w:rFonts w:eastAsia="Calibri"/>
          <w:sz w:val="26"/>
          <w:szCs w:val="26"/>
        </w:rPr>
        <w:t xml:space="preserve">The OSBA further highlights that the </w:t>
      </w:r>
      <w:r w:rsidR="000E78EB" w:rsidRPr="00213416">
        <w:rPr>
          <w:rFonts w:eastAsia="Calibri"/>
          <w:i/>
          <w:iCs/>
          <w:sz w:val="26"/>
          <w:szCs w:val="26"/>
        </w:rPr>
        <w:t>Executive Order</w:t>
      </w:r>
      <w:r w:rsidR="000E78EB">
        <w:rPr>
          <w:rFonts w:eastAsia="Calibri"/>
          <w:sz w:val="26"/>
          <w:szCs w:val="26"/>
        </w:rPr>
        <w:t xml:space="preserve"> additionally states as follows:  </w:t>
      </w:r>
    </w:p>
    <w:p w14:paraId="2E1830EA" w14:textId="77777777" w:rsidR="00774B08" w:rsidRDefault="00774B08" w:rsidP="00774B08">
      <w:pPr>
        <w:spacing w:line="240" w:lineRule="auto"/>
        <w:ind w:left="1440" w:right="1440" w:firstLine="0"/>
        <w:rPr>
          <w:color w:val="000000"/>
          <w:sz w:val="26"/>
          <w:szCs w:val="26"/>
        </w:rPr>
      </w:pPr>
    </w:p>
    <w:p w14:paraId="71195D64" w14:textId="77777777" w:rsidR="000E78EB" w:rsidRDefault="000E78EB" w:rsidP="00774B08">
      <w:pPr>
        <w:spacing w:line="240" w:lineRule="auto"/>
        <w:ind w:left="1440" w:right="1440" w:firstLine="0"/>
        <w:rPr>
          <w:color w:val="000000"/>
          <w:sz w:val="26"/>
          <w:szCs w:val="26"/>
        </w:rPr>
      </w:pPr>
      <w:r w:rsidRPr="00A35C0D">
        <w:rPr>
          <w:color w:val="000000"/>
          <w:sz w:val="26"/>
          <w:szCs w:val="26"/>
        </w:rPr>
        <w:t>Commonwealth agencies may implement emergency assignments without regard to procedures required by other laws, except mandatory constitutional requirements, pertaining to performance of public work, entering into contracts, incurring of obligations, employment of temporary workers, rental of equipment, purchase of supplies and materials, and expenditures of public funds.</w:t>
      </w:r>
    </w:p>
    <w:p w14:paraId="7520C41B" w14:textId="77777777" w:rsidR="00774B08" w:rsidRDefault="00774B08" w:rsidP="00774B08">
      <w:pPr>
        <w:ind w:firstLine="0"/>
        <w:rPr>
          <w:color w:val="000000"/>
          <w:sz w:val="26"/>
          <w:szCs w:val="26"/>
        </w:rPr>
      </w:pPr>
    </w:p>
    <w:p w14:paraId="0510268A" w14:textId="5EDF2248" w:rsidR="000E78EB" w:rsidRPr="00774B08" w:rsidRDefault="00774B08" w:rsidP="00774B08">
      <w:pPr>
        <w:ind w:firstLine="0"/>
        <w:rPr>
          <w:rFonts w:eastAsia="Calibri"/>
          <w:sz w:val="26"/>
          <w:szCs w:val="26"/>
        </w:rPr>
      </w:pPr>
      <w:r>
        <w:rPr>
          <w:color w:val="000000"/>
          <w:sz w:val="26"/>
          <w:szCs w:val="26"/>
        </w:rPr>
        <w:lastRenderedPageBreak/>
        <w:t xml:space="preserve">OSBA Answer at 4 (citing </w:t>
      </w:r>
      <w:r w:rsidRPr="00774B08">
        <w:rPr>
          <w:i/>
          <w:iCs/>
          <w:color w:val="000000"/>
          <w:sz w:val="26"/>
          <w:szCs w:val="26"/>
        </w:rPr>
        <w:t>Executive Oder</w:t>
      </w:r>
      <w:r>
        <w:rPr>
          <w:color w:val="000000"/>
          <w:sz w:val="26"/>
          <w:szCs w:val="26"/>
        </w:rPr>
        <w:t xml:space="preserve"> at 2).</w:t>
      </w:r>
      <w:r>
        <w:rPr>
          <w:rFonts w:eastAsia="Calibri"/>
          <w:sz w:val="26"/>
          <w:szCs w:val="26"/>
        </w:rPr>
        <w:t xml:space="preserve">  </w:t>
      </w:r>
      <w:r w:rsidR="00FA0775">
        <w:rPr>
          <w:rFonts w:eastAsia="Calibri"/>
          <w:sz w:val="26"/>
          <w:szCs w:val="26"/>
        </w:rPr>
        <w:t>The OSBA asserts that</w:t>
      </w:r>
      <w:r w:rsidR="00D9521C">
        <w:rPr>
          <w:rFonts w:eastAsia="Calibri"/>
          <w:sz w:val="26"/>
          <w:szCs w:val="26"/>
        </w:rPr>
        <w:t xml:space="preserve">: (1) </w:t>
      </w:r>
      <w:r w:rsidR="008330B4">
        <w:rPr>
          <w:rFonts w:eastAsia="Calibri"/>
          <w:sz w:val="26"/>
          <w:szCs w:val="26"/>
        </w:rPr>
        <w:t>Title 66 undoubtedly is a “regulatory statute” that prescribes “the conduct of Commonwealth business” – specifically, “the regulation of public utilities…”  OSBA Answer at 4</w:t>
      </w:r>
      <w:r w:rsidR="00D9521C">
        <w:rPr>
          <w:rFonts w:eastAsia="Calibri"/>
          <w:sz w:val="26"/>
          <w:szCs w:val="26"/>
        </w:rPr>
        <w:t>; (2)</w:t>
      </w:r>
      <w:r w:rsidR="00967B68">
        <w:rPr>
          <w:rFonts w:eastAsia="Calibri"/>
          <w:sz w:val="26"/>
          <w:szCs w:val="26"/>
        </w:rPr>
        <w:t> </w:t>
      </w:r>
      <w:r w:rsidR="008330B4">
        <w:rPr>
          <w:rFonts w:eastAsia="Calibri"/>
          <w:sz w:val="26"/>
          <w:szCs w:val="26"/>
        </w:rPr>
        <w:t xml:space="preserve">both the </w:t>
      </w:r>
      <w:r w:rsidR="008330B4" w:rsidRPr="000E78EB">
        <w:rPr>
          <w:rFonts w:eastAsia="Calibri"/>
          <w:i/>
          <w:iCs/>
          <w:sz w:val="26"/>
          <w:szCs w:val="26"/>
        </w:rPr>
        <w:t>Executive Order</w:t>
      </w:r>
      <w:r w:rsidR="008330B4">
        <w:rPr>
          <w:rFonts w:eastAsia="Calibri"/>
          <w:sz w:val="26"/>
          <w:szCs w:val="26"/>
        </w:rPr>
        <w:t xml:space="preserve"> and the </w:t>
      </w:r>
      <w:r w:rsidR="008330B4" w:rsidRPr="00213416">
        <w:rPr>
          <w:rFonts w:eastAsia="Calibri"/>
          <w:i/>
          <w:iCs/>
          <w:sz w:val="26"/>
          <w:szCs w:val="26"/>
        </w:rPr>
        <w:t>Emergency Order</w:t>
      </w:r>
      <w:r w:rsidR="008330B4">
        <w:rPr>
          <w:rFonts w:eastAsia="Calibri"/>
          <w:sz w:val="26"/>
          <w:szCs w:val="26"/>
        </w:rPr>
        <w:t xml:space="preserve"> allow for the extension of the statutory suspension period of PAWC’s base rate proceedings by forty-five days.  </w:t>
      </w:r>
      <w:r w:rsidR="004D7F87">
        <w:rPr>
          <w:rFonts w:eastAsia="Calibri"/>
          <w:sz w:val="26"/>
          <w:szCs w:val="26"/>
        </w:rPr>
        <w:t>OSBA Answer at 5</w:t>
      </w:r>
      <w:r w:rsidR="0058277B">
        <w:rPr>
          <w:rFonts w:eastAsia="Calibri"/>
          <w:sz w:val="26"/>
          <w:szCs w:val="26"/>
        </w:rPr>
        <w:t>; and (3)</w:t>
      </w:r>
      <w:r w:rsidR="007425E3">
        <w:rPr>
          <w:sz w:val="26"/>
          <w:szCs w:val="26"/>
        </w:rPr>
        <w:t xml:space="preserve"> PAWC’s citations to </w:t>
      </w:r>
      <w:r w:rsidR="007425E3" w:rsidRPr="007F7AFC">
        <w:rPr>
          <w:i/>
          <w:iCs/>
          <w:sz w:val="26"/>
          <w:szCs w:val="26"/>
        </w:rPr>
        <w:t>Bell Tel. Co</w:t>
      </w:r>
      <w:r w:rsidR="007425E3">
        <w:rPr>
          <w:sz w:val="26"/>
          <w:szCs w:val="26"/>
        </w:rPr>
        <w:t xml:space="preserve">. and other appellate cases do not, in any way, overturn </w:t>
      </w:r>
      <w:r w:rsidR="007425E3" w:rsidRPr="000B272E">
        <w:rPr>
          <w:i/>
          <w:iCs/>
          <w:sz w:val="26"/>
          <w:szCs w:val="26"/>
        </w:rPr>
        <w:t xml:space="preserve">DeVito </w:t>
      </w:r>
      <w:r w:rsidR="007425E3">
        <w:rPr>
          <w:sz w:val="26"/>
          <w:szCs w:val="26"/>
        </w:rPr>
        <w:t xml:space="preserve">nor do they support PAWC’s argument that the Commission </w:t>
      </w:r>
      <w:bookmarkStart w:id="16" w:name="_Hlk46137608"/>
      <w:r w:rsidR="007425E3">
        <w:rPr>
          <w:sz w:val="26"/>
          <w:szCs w:val="26"/>
        </w:rPr>
        <w:t>lacks the authority to suspend</w:t>
      </w:r>
      <w:r w:rsidR="00213416">
        <w:rPr>
          <w:sz w:val="26"/>
          <w:szCs w:val="26"/>
        </w:rPr>
        <w:t xml:space="preserve"> Section 1308(d), a “regulatory</w:t>
      </w:r>
      <w:r w:rsidR="007425E3">
        <w:rPr>
          <w:sz w:val="26"/>
          <w:szCs w:val="26"/>
        </w:rPr>
        <w:t xml:space="preserve"> </w:t>
      </w:r>
      <w:r w:rsidR="007425E3" w:rsidRPr="00B151B5">
        <w:rPr>
          <w:sz w:val="26"/>
          <w:szCs w:val="26"/>
        </w:rPr>
        <w:t>statute</w:t>
      </w:r>
      <w:r w:rsidR="00701ADC">
        <w:rPr>
          <w:sz w:val="26"/>
          <w:szCs w:val="26"/>
        </w:rPr>
        <w:t>,</w:t>
      </w:r>
      <w:r w:rsidR="00213416">
        <w:rPr>
          <w:sz w:val="26"/>
          <w:szCs w:val="26"/>
        </w:rPr>
        <w:t>”</w:t>
      </w:r>
      <w:r w:rsidR="004D7F87">
        <w:rPr>
          <w:sz w:val="26"/>
          <w:szCs w:val="26"/>
        </w:rPr>
        <w:t xml:space="preserve"> because none of the cited cases were decided during an ongoing disaster emergency or global pandemic.</w:t>
      </w:r>
      <w:r w:rsidR="007425E3">
        <w:rPr>
          <w:sz w:val="26"/>
          <w:szCs w:val="26"/>
        </w:rPr>
        <w:t xml:space="preserve">  </w:t>
      </w:r>
      <w:bookmarkEnd w:id="16"/>
      <w:r w:rsidR="007425E3">
        <w:rPr>
          <w:sz w:val="26"/>
          <w:szCs w:val="26"/>
        </w:rPr>
        <w:t xml:space="preserve">OSBA Answer at </w:t>
      </w:r>
      <w:r w:rsidR="004D7F87">
        <w:rPr>
          <w:sz w:val="26"/>
          <w:szCs w:val="26"/>
        </w:rPr>
        <w:t>5-6</w:t>
      </w:r>
      <w:r w:rsidR="007425E3">
        <w:rPr>
          <w:sz w:val="26"/>
          <w:szCs w:val="26"/>
        </w:rPr>
        <w:t xml:space="preserve">.  </w:t>
      </w:r>
    </w:p>
    <w:p w14:paraId="57A330CE" w14:textId="77777777" w:rsidR="000E78EB" w:rsidRDefault="000E78EB" w:rsidP="007425E3">
      <w:pPr>
        <w:rPr>
          <w:sz w:val="26"/>
          <w:szCs w:val="26"/>
        </w:rPr>
      </w:pPr>
    </w:p>
    <w:p w14:paraId="2A944347" w14:textId="77777777" w:rsidR="007425E3" w:rsidRDefault="007425E3" w:rsidP="007425E3">
      <w:pPr>
        <w:rPr>
          <w:sz w:val="26"/>
          <w:szCs w:val="26"/>
        </w:rPr>
      </w:pPr>
      <w:r>
        <w:rPr>
          <w:sz w:val="26"/>
          <w:szCs w:val="26"/>
        </w:rPr>
        <w:t>As for PAWC’s alternative proposal</w:t>
      </w:r>
      <w:r w:rsidR="004D7F87">
        <w:rPr>
          <w:sz w:val="26"/>
          <w:szCs w:val="26"/>
        </w:rPr>
        <w:t xml:space="preserve"> for a recoupment surcharge, t</w:t>
      </w:r>
      <w:r>
        <w:rPr>
          <w:sz w:val="26"/>
          <w:szCs w:val="26"/>
        </w:rPr>
        <w:t xml:space="preserve">he OSBA submits that the issue of “making public utilities whole” </w:t>
      </w:r>
      <w:r w:rsidR="00774B08">
        <w:rPr>
          <w:sz w:val="26"/>
          <w:szCs w:val="26"/>
        </w:rPr>
        <w:t xml:space="preserve">in light of a disaster proclamation </w:t>
      </w:r>
      <w:r>
        <w:rPr>
          <w:sz w:val="26"/>
          <w:szCs w:val="26"/>
        </w:rPr>
        <w:t xml:space="preserve">is not before the Commission at this time and it would be inappropriate for the Commission to decide the issue of </w:t>
      </w:r>
      <w:r w:rsidR="004D7F87">
        <w:rPr>
          <w:sz w:val="26"/>
          <w:szCs w:val="26"/>
        </w:rPr>
        <w:t>a recoupment surcharge</w:t>
      </w:r>
      <w:r>
        <w:rPr>
          <w:sz w:val="26"/>
          <w:szCs w:val="26"/>
        </w:rPr>
        <w:t xml:space="preserve"> in the context of a scheduling dispute.  </w:t>
      </w:r>
      <w:r w:rsidR="004D7F87" w:rsidRPr="004D7F87">
        <w:rPr>
          <w:sz w:val="26"/>
          <w:szCs w:val="26"/>
        </w:rPr>
        <w:t>OSBA Answer at 7-8</w:t>
      </w:r>
      <w:r w:rsidR="00774B08">
        <w:rPr>
          <w:sz w:val="26"/>
          <w:szCs w:val="26"/>
        </w:rPr>
        <w:t xml:space="preserve">. </w:t>
      </w:r>
      <w:r w:rsidR="004D7F87">
        <w:rPr>
          <w:sz w:val="26"/>
          <w:szCs w:val="26"/>
        </w:rPr>
        <w:t xml:space="preserve"> </w:t>
      </w:r>
      <w:bookmarkStart w:id="17" w:name="_Hlk45895062"/>
      <w:r>
        <w:rPr>
          <w:sz w:val="26"/>
          <w:szCs w:val="26"/>
        </w:rPr>
        <w:t>The OSBA submits that</w:t>
      </w:r>
      <w:r w:rsidR="00774B08">
        <w:rPr>
          <w:sz w:val="26"/>
          <w:szCs w:val="26"/>
        </w:rPr>
        <w:t xml:space="preserve"> PAWC had full control over when to file its base rate case and it should have been aware of the risk that the rate relief it seeks could be delayed.</w:t>
      </w:r>
      <w:r w:rsidR="00D31192">
        <w:rPr>
          <w:sz w:val="26"/>
          <w:szCs w:val="26"/>
        </w:rPr>
        <w:t xml:space="preserve">  </w:t>
      </w:r>
      <w:r w:rsidR="00774B08" w:rsidRPr="00774B08">
        <w:rPr>
          <w:i/>
          <w:iCs/>
          <w:sz w:val="26"/>
          <w:szCs w:val="26"/>
        </w:rPr>
        <w:t>Id</w:t>
      </w:r>
      <w:r w:rsidR="00774B08">
        <w:rPr>
          <w:sz w:val="26"/>
          <w:szCs w:val="26"/>
        </w:rPr>
        <w:t xml:space="preserve">. </w:t>
      </w:r>
      <w:bookmarkEnd w:id="17"/>
      <w:r w:rsidR="00774B08">
        <w:rPr>
          <w:sz w:val="26"/>
          <w:szCs w:val="26"/>
        </w:rPr>
        <w:t xml:space="preserve"> I</w:t>
      </w:r>
      <w:r>
        <w:rPr>
          <w:sz w:val="26"/>
          <w:szCs w:val="26"/>
        </w:rPr>
        <w:t xml:space="preserve">f and when the issue of retroactive billing adjustments is ripe for adjudication, the OSBA will fully respond at that time.  </w:t>
      </w:r>
      <w:r w:rsidRPr="00A6527D">
        <w:rPr>
          <w:i/>
          <w:iCs/>
          <w:sz w:val="26"/>
          <w:szCs w:val="26"/>
        </w:rPr>
        <w:t>Id</w:t>
      </w:r>
      <w:r>
        <w:rPr>
          <w:sz w:val="26"/>
          <w:szCs w:val="26"/>
        </w:rPr>
        <w:t xml:space="preserve">. at </w:t>
      </w:r>
      <w:r w:rsidR="004D7F87">
        <w:rPr>
          <w:sz w:val="26"/>
          <w:szCs w:val="26"/>
        </w:rPr>
        <w:t>8</w:t>
      </w:r>
      <w:r>
        <w:rPr>
          <w:sz w:val="26"/>
          <w:szCs w:val="26"/>
        </w:rPr>
        <w:t>.</w:t>
      </w:r>
    </w:p>
    <w:p w14:paraId="14E5B89D" w14:textId="77777777" w:rsidR="002457DE" w:rsidRPr="00F02CEE" w:rsidRDefault="002457DE" w:rsidP="007425E3">
      <w:pPr>
        <w:rPr>
          <w:rFonts w:eastAsia="Calibri"/>
          <w:sz w:val="26"/>
          <w:szCs w:val="26"/>
        </w:rPr>
      </w:pPr>
    </w:p>
    <w:p w14:paraId="4BE80CE4" w14:textId="77777777" w:rsidR="00723092" w:rsidRPr="00801131" w:rsidRDefault="00D57D21" w:rsidP="007425E3">
      <w:pPr>
        <w:keepNext/>
        <w:keepLines/>
        <w:ind w:firstLine="0"/>
        <w:rPr>
          <w:rFonts w:eastAsiaTheme="minorHAnsi"/>
          <w:b/>
          <w:sz w:val="26"/>
          <w:szCs w:val="26"/>
        </w:rPr>
      </w:pPr>
      <w:r>
        <w:rPr>
          <w:rFonts w:eastAsiaTheme="minorHAnsi"/>
          <w:b/>
          <w:sz w:val="26"/>
          <w:szCs w:val="26"/>
        </w:rPr>
        <w:t>C</w:t>
      </w:r>
      <w:r w:rsidR="00283BF6" w:rsidRPr="00801131">
        <w:rPr>
          <w:rFonts w:eastAsiaTheme="minorHAnsi"/>
          <w:b/>
          <w:sz w:val="26"/>
          <w:szCs w:val="26"/>
        </w:rPr>
        <w:t xml:space="preserve">. </w:t>
      </w:r>
      <w:r w:rsidR="00AD7403" w:rsidRPr="00801131">
        <w:rPr>
          <w:rFonts w:eastAsiaTheme="minorHAnsi"/>
          <w:b/>
          <w:sz w:val="26"/>
          <w:szCs w:val="26"/>
        </w:rPr>
        <w:tab/>
      </w:r>
      <w:r w:rsidR="003A224D" w:rsidRPr="00801131">
        <w:rPr>
          <w:rFonts w:eastAsiaTheme="minorHAnsi"/>
          <w:b/>
          <w:sz w:val="26"/>
          <w:szCs w:val="26"/>
        </w:rPr>
        <w:t>Disposition</w:t>
      </w:r>
      <w:r w:rsidR="00283BF6" w:rsidRPr="00801131">
        <w:rPr>
          <w:rFonts w:eastAsiaTheme="minorHAnsi"/>
          <w:b/>
          <w:sz w:val="26"/>
          <w:szCs w:val="26"/>
        </w:rPr>
        <w:t xml:space="preserve"> </w:t>
      </w:r>
    </w:p>
    <w:p w14:paraId="204366F7" w14:textId="77777777" w:rsidR="006520B2" w:rsidRDefault="006520B2" w:rsidP="007425E3">
      <w:pPr>
        <w:keepNext/>
        <w:keepLines/>
        <w:ind w:firstLine="0"/>
        <w:rPr>
          <w:sz w:val="26"/>
          <w:szCs w:val="26"/>
        </w:rPr>
      </w:pPr>
    </w:p>
    <w:p w14:paraId="54D1C6EE" w14:textId="79B93A5A" w:rsidR="0056162B" w:rsidRDefault="007425E3" w:rsidP="007425E3">
      <w:pPr>
        <w:rPr>
          <w:sz w:val="26"/>
          <w:szCs w:val="26"/>
        </w:rPr>
      </w:pPr>
      <w:bookmarkStart w:id="18" w:name="_Hlk45616260"/>
      <w:r>
        <w:rPr>
          <w:sz w:val="26"/>
          <w:szCs w:val="26"/>
        </w:rPr>
        <w:t>In</w:t>
      </w:r>
      <w:r w:rsidRPr="00EE570F">
        <w:rPr>
          <w:sz w:val="26"/>
          <w:szCs w:val="26"/>
        </w:rPr>
        <w:t xml:space="preserve"> </w:t>
      </w:r>
      <w:r w:rsidRPr="004F4E0C">
        <w:rPr>
          <w:sz w:val="26"/>
          <w:szCs w:val="26"/>
        </w:rPr>
        <w:t>the</w:t>
      </w:r>
      <w:r>
        <w:rPr>
          <w:sz w:val="26"/>
          <w:szCs w:val="26"/>
        </w:rPr>
        <w:t xml:space="preserve"> Commission’s</w:t>
      </w:r>
      <w:r w:rsidRPr="004F4E0C">
        <w:rPr>
          <w:sz w:val="26"/>
          <w:szCs w:val="26"/>
        </w:rPr>
        <w:t xml:space="preserve"> </w:t>
      </w:r>
      <w:r w:rsidRPr="004F4E0C">
        <w:rPr>
          <w:i/>
          <w:iCs/>
          <w:sz w:val="26"/>
          <w:szCs w:val="26"/>
        </w:rPr>
        <w:t>Emergency Order</w:t>
      </w:r>
      <w:r>
        <w:rPr>
          <w:sz w:val="26"/>
          <w:szCs w:val="26"/>
        </w:rPr>
        <w:t>, we stated</w:t>
      </w:r>
      <w:r w:rsidRPr="004F4E0C">
        <w:rPr>
          <w:sz w:val="26"/>
          <w:szCs w:val="26"/>
        </w:rPr>
        <w:t xml:space="preserve"> that “in pending rate case litigation” the </w:t>
      </w:r>
      <w:r w:rsidR="00880B42">
        <w:rPr>
          <w:sz w:val="26"/>
          <w:szCs w:val="26"/>
        </w:rPr>
        <w:t>CALJ</w:t>
      </w:r>
      <w:r w:rsidRPr="004F4E0C">
        <w:rPr>
          <w:sz w:val="26"/>
          <w:szCs w:val="26"/>
        </w:rPr>
        <w:t xml:space="preserve"> has delegated authority to “establish reasonable deadlines under the circumstances.”</w:t>
      </w:r>
      <w:r>
        <w:rPr>
          <w:sz w:val="26"/>
          <w:szCs w:val="26"/>
        </w:rPr>
        <w:t xml:space="preserve">  </w:t>
      </w:r>
      <w:r w:rsidRPr="00EE570F">
        <w:rPr>
          <w:i/>
          <w:iCs/>
          <w:sz w:val="26"/>
          <w:szCs w:val="26"/>
        </w:rPr>
        <w:t>Emergency Order</w:t>
      </w:r>
      <w:r>
        <w:rPr>
          <w:sz w:val="26"/>
          <w:szCs w:val="26"/>
        </w:rPr>
        <w:t xml:space="preserve"> at 2.  </w:t>
      </w:r>
      <w:r w:rsidR="00A944C6">
        <w:rPr>
          <w:sz w:val="26"/>
          <w:szCs w:val="26"/>
        </w:rPr>
        <w:t xml:space="preserve">We delegated the authority to the </w:t>
      </w:r>
      <w:r w:rsidR="00880B42">
        <w:rPr>
          <w:sz w:val="26"/>
          <w:szCs w:val="26"/>
        </w:rPr>
        <w:t>CALJ</w:t>
      </w:r>
      <w:r w:rsidR="00A944C6">
        <w:rPr>
          <w:sz w:val="26"/>
          <w:szCs w:val="26"/>
        </w:rPr>
        <w:t xml:space="preserve"> to </w:t>
      </w:r>
      <w:r w:rsidR="004961CD">
        <w:rPr>
          <w:sz w:val="26"/>
          <w:szCs w:val="26"/>
        </w:rPr>
        <w:t xml:space="preserve">“suspend, waive or change a statutory or regulatory deadline which may hinder, rather than further, the mission of the </w:t>
      </w:r>
      <w:r w:rsidR="00A944C6">
        <w:rPr>
          <w:sz w:val="26"/>
          <w:szCs w:val="26"/>
        </w:rPr>
        <w:t>Commission, after consultation with all interested parties, as deemed necessary and appropriate.”</w:t>
      </w:r>
      <w:r w:rsidR="00A944C6" w:rsidRPr="00921FBF">
        <w:rPr>
          <w:sz w:val="26"/>
          <w:szCs w:val="26"/>
        </w:rPr>
        <w:t xml:space="preserve">  </w:t>
      </w:r>
      <w:r w:rsidR="00A944C6" w:rsidRPr="00215BAF">
        <w:rPr>
          <w:i/>
          <w:iCs/>
          <w:sz w:val="26"/>
          <w:szCs w:val="26"/>
        </w:rPr>
        <w:t>Emergency Order</w:t>
      </w:r>
      <w:r w:rsidR="00A944C6">
        <w:rPr>
          <w:sz w:val="26"/>
          <w:szCs w:val="26"/>
        </w:rPr>
        <w:t xml:space="preserve"> at 4.  </w:t>
      </w:r>
    </w:p>
    <w:p w14:paraId="0EC970F4" w14:textId="77777777" w:rsidR="0056162B" w:rsidRDefault="0056162B" w:rsidP="007425E3">
      <w:pPr>
        <w:rPr>
          <w:sz w:val="26"/>
          <w:szCs w:val="26"/>
        </w:rPr>
      </w:pPr>
    </w:p>
    <w:p w14:paraId="60FF07F8" w14:textId="52008EF9" w:rsidR="007425E3" w:rsidRDefault="007425E3" w:rsidP="007425E3">
      <w:pPr>
        <w:rPr>
          <w:sz w:val="26"/>
          <w:szCs w:val="26"/>
        </w:rPr>
      </w:pPr>
      <w:r>
        <w:rPr>
          <w:sz w:val="26"/>
          <w:szCs w:val="26"/>
        </w:rPr>
        <w:lastRenderedPageBreak/>
        <w:t>Here, in its Expedited Motion</w:t>
      </w:r>
      <w:r w:rsidR="00875519">
        <w:rPr>
          <w:sz w:val="26"/>
          <w:szCs w:val="26"/>
        </w:rPr>
        <w:t xml:space="preserve"> as stated above</w:t>
      </w:r>
      <w:r>
        <w:rPr>
          <w:sz w:val="26"/>
          <w:szCs w:val="26"/>
        </w:rPr>
        <w:t xml:space="preserve">, the OCA set forth </w:t>
      </w:r>
      <w:r w:rsidR="0056162B">
        <w:rPr>
          <w:sz w:val="26"/>
          <w:szCs w:val="26"/>
        </w:rPr>
        <w:t xml:space="preserve">its reasoning, </w:t>
      </w:r>
      <w:r w:rsidR="0056162B" w:rsidRPr="002457DE">
        <w:rPr>
          <w:i/>
          <w:sz w:val="26"/>
          <w:szCs w:val="26"/>
        </w:rPr>
        <w:t>inter alia</w:t>
      </w:r>
      <w:r w:rsidR="0056162B" w:rsidRPr="00967B68">
        <w:rPr>
          <w:iCs/>
          <w:sz w:val="26"/>
          <w:szCs w:val="26"/>
        </w:rPr>
        <w:t>,</w:t>
      </w:r>
      <w:r w:rsidR="0056162B">
        <w:rPr>
          <w:sz w:val="26"/>
          <w:szCs w:val="26"/>
        </w:rPr>
        <w:t xml:space="preserve"> </w:t>
      </w:r>
      <w:r>
        <w:rPr>
          <w:sz w:val="26"/>
          <w:szCs w:val="26"/>
        </w:rPr>
        <w:t>as to why its lack of access to full office resources due to</w:t>
      </w:r>
      <w:r w:rsidR="00833FBC">
        <w:rPr>
          <w:sz w:val="26"/>
          <w:szCs w:val="26"/>
        </w:rPr>
        <w:t xml:space="preserve"> the </w:t>
      </w:r>
      <w:r>
        <w:rPr>
          <w:sz w:val="26"/>
          <w:szCs w:val="26"/>
        </w:rPr>
        <w:t xml:space="preserve">COVID-19 </w:t>
      </w:r>
      <w:r w:rsidR="00833FBC">
        <w:rPr>
          <w:sz w:val="26"/>
          <w:szCs w:val="26"/>
        </w:rPr>
        <w:t xml:space="preserve">pandemic </w:t>
      </w:r>
      <w:r>
        <w:rPr>
          <w:sz w:val="26"/>
          <w:szCs w:val="26"/>
        </w:rPr>
        <w:t xml:space="preserve">created the need for additional time in the procedural schedule for it to fully review, consider, and develop adequately supported positions in this proceeding.  </w:t>
      </w:r>
      <w:r w:rsidR="0056162B">
        <w:rPr>
          <w:sz w:val="26"/>
          <w:szCs w:val="26"/>
        </w:rPr>
        <w:t xml:space="preserve">Furthermore, I&amp;E, CAUSE-PA and </w:t>
      </w:r>
      <w:r w:rsidR="004413A7">
        <w:rPr>
          <w:sz w:val="26"/>
          <w:szCs w:val="26"/>
        </w:rPr>
        <w:t xml:space="preserve">the </w:t>
      </w:r>
      <w:r w:rsidR="0056162B">
        <w:rPr>
          <w:sz w:val="26"/>
          <w:szCs w:val="26"/>
        </w:rPr>
        <w:t>OSBA also offered supporting reasons as set forth above.  Based on the Parties</w:t>
      </w:r>
      <w:r w:rsidR="00875519">
        <w:rPr>
          <w:sz w:val="26"/>
          <w:szCs w:val="26"/>
        </w:rPr>
        <w:t>’</w:t>
      </w:r>
      <w:r w:rsidR="0056162B">
        <w:rPr>
          <w:sz w:val="26"/>
          <w:szCs w:val="26"/>
        </w:rPr>
        <w:t xml:space="preserve"> positions</w:t>
      </w:r>
      <w:r w:rsidR="00C968E4">
        <w:rPr>
          <w:sz w:val="26"/>
          <w:szCs w:val="26"/>
        </w:rPr>
        <w:t>,</w:t>
      </w:r>
      <w:r w:rsidR="0056162B">
        <w:rPr>
          <w:sz w:val="26"/>
          <w:szCs w:val="26"/>
        </w:rPr>
        <w:t xml:space="preserve"> t</w:t>
      </w:r>
      <w:r>
        <w:rPr>
          <w:sz w:val="26"/>
          <w:szCs w:val="26"/>
        </w:rPr>
        <w:t xml:space="preserve">he </w:t>
      </w:r>
      <w:r w:rsidR="00880B42">
        <w:rPr>
          <w:sz w:val="26"/>
          <w:szCs w:val="26"/>
        </w:rPr>
        <w:t>CALJ</w:t>
      </w:r>
      <w:r>
        <w:rPr>
          <w:sz w:val="26"/>
          <w:szCs w:val="26"/>
        </w:rPr>
        <w:t xml:space="preserve"> found it appropriate in his </w:t>
      </w:r>
      <w:r w:rsidRPr="00FA5DF1">
        <w:rPr>
          <w:i/>
          <w:iCs/>
          <w:sz w:val="26"/>
          <w:szCs w:val="26"/>
        </w:rPr>
        <w:t>Extension Order</w:t>
      </w:r>
      <w:r>
        <w:rPr>
          <w:sz w:val="26"/>
          <w:szCs w:val="26"/>
        </w:rPr>
        <w:t xml:space="preserve"> to grant the OCA’s request to extend the statutory rate suspension period by forty-five days </w:t>
      </w:r>
      <w:r w:rsidRPr="00106323">
        <w:rPr>
          <w:i/>
          <w:iCs/>
          <w:sz w:val="26"/>
          <w:szCs w:val="26"/>
        </w:rPr>
        <w:t>for the purpose of establishing a reasonable procedural schedule in this proceeding</w:t>
      </w:r>
      <w:r>
        <w:rPr>
          <w:sz w:val="26"/>
          <w:szCs w:val="26"/>
        </w:rPr>
        <w:t xml:space="preserve">.  </w:t>
      </w:r>
    </w:p>
    <w:p w14:paraId="32E1B24D" w14:textId="77777777" w:rsidR="007425E3" w:rsidRPr="00EA1693" w:rsidRDefault="007425E3" w:rsidP="007425E3">
      <w:pPr>
        <w:rPr>
          <w:color w:val="000000"/>
          <w:sz w:val="26"/>
          <w:szCs w:val="26"/>
        </w:rPr>
      </w:pPr>
    </w:p>
    <w:p w14:paraId="1781FB75" w14:textId="112C38ED" w:rsidR="007425E3" w:rsidRDefault="00A5435F" w:rsidP="002457DE">
      <w:pPr>
        <w:rPr>
          <w:sz w:val="26"/>
          <w:szCs w:val="26"/>
        </w:rPr>
      </w:pPr>
      <w:r>
        <w:rPr>
          <w:sz w:val="26"/>
          <w:szCs w:val="26"/>
        </w:rPr>
        <w:t>W</w:t>
      </w:r>
      <w:r w:rsidR="007425E3">
        <w:rPr>
          <w:sz w:val="26"/>
          <w:szCs w:val="26"/>
        </w:rPr>
        <w:t xml:space="preserve">e view the </w:t>
      </w:r>
      <w:r w:rsidR="00880B42">
        <w:rPr>
          <w:sz w:val="26"/>
          <w:szCs w:val="26"/>
        </w:rPr>
        <w:t>CALJ</w:t>
      </w:r>
      <w:r w:rsidR="007425E3">
        <w:rPr>
          <w:sz w:val="26"/>
          <w:szCs w:val="26"/>
        </w:rPr>
        <w:t xml:space="preserve">’s decision in the </w:t>
      </w:r>
      <w:r w:rsidR="007425E3" w:rsidRPr="00D523EB">
        <w:rPr>
          <w:i/>
          <w:iCs/>
          <w:sz w:val="26"/>
          <w:szCs w:val="26"/>
        </w:rPr>
        <w:t>Extension Order</w:t>
      </w:r>
      <w:r w:rsidR="007425E3">
        <w:rPr>
          <w:sz w:val="26"/>
          <w:szCs w:val="26"/>
        </w:rPr>
        <w:t xml:space="preserve"> as an authorized departure from the Commission’s </w:t>
      </w:r>
      <w:r>
        <w:rPr>
          <w:sz w:val="26"/>
          <w:szCs w:val="26"/>
        </w:rPr>
        <w:t xml:space="preserve">traditional </w:t>
      </w:r>
      <w:r w:rsidR="007425E3">
        <w:rPr>
          <w:sz w:val="26"/>
          <w:szCs w:val="26"/>
        </w:rPr>
        <w:t xml:space="preserve">procedural practice to </w:t>
      </w:r>
      <w:r>
        <w:rPr>
          <w:sz w:val="26"/>
          <w:szCs w:val="26"/>
        </w:rPr>
        <w:t xml:space="preserve">use </w:t>
      </w:r>
      <w:r w:rsidR="00C96CC0">
        <w:rPr>
          <w:sz w:val="26"/>
          <w:szCs w:val="26"/>
        </w:rPr>
        <w:t>the Section</w:t>
      </w:r>
      <w:r w:rsidR="00967B68">
        <w:rPr>
          <w:sz w:val="26"/>
          <w:szCs w:val="26"/>
        </w:rPr>
        <w:t> </w:t>
      </w:r>
      <w:r w:rsidR="00C96CC0">
        <w:rPr>
          <w:sz w:val="26"/>
          <w:szCs w:val="26"/>
        </w:rPr>
        <w:t>1308(d)</w:t>
      </w:r>
      <w:r w:rsidR="007425E3">
        <w:rPr>
          <w:sz w:val="26"/>
          <w:szCs w:val="26"/>
        </w:rPr>
        <w:t xml:space="preserve"> seven-month rate suspension period</w:t>
      </w:r>
      <w:r w:rsidR="0085751E">
        <w:rPr>
          <w:sz w:val="26"/>
          <w:szCs w:val="26"/>
        </w:rPr>
        <w:t xml:space="preserve"> </w:t>
      </w:r>
      <w:r w:rsidR="007425E3">
        <w:rPr>
          <w:sz w:val="26"/>
          <w:szCs w:val="26"/>
        </w:rPr>
        <w:t xml:space="preserve">for </w:t>
      </w:r>
      <w:r w:rsidR="00C96CC0">
        <w:rPr>
          <w:sz w:val="26"/>
          <w:szCs w:val="26"/>
        </w:rPr>
        <w:t xml:space="preserve">a </w:t>
      </w:r>
      <w:r w:rsidR="007425E3">
        <w:rPr>
          <w:sz w:val="26"/>
          <w:szCs w:val="26"/>
        </w:rPr>
        <w:t>final</w:t>
      </w:r>
      <w:r w:rsidR="00C96CC0">
        <w:rPr>
          <w:sz w:val="26"/>
          <w:szCs w:val="26"/>
        </w:rPr>
        <w:t xml:space="preserve"> Commission </w:t>
      </w:r>
      <w:r w:rsidR="007425E3">
        <w:rPr>
          <w:sz w:val="26"/>
          <w:szCs w:val="26"/>
        </w:rPr>
        <w:t xml:space="preserve">action. </w:t>
      </w:r>
      <w:r w:rsidR="00E06304">
        <w:rPr>
          <w:sz w:val="26"/>
          <w:szCs w:val="26"/>
        </w:rPr>
        <w:t xml:space="preserve"> </w:t>
      </w:r>
      <w:r w:rsidR="007425E3">
        <w:rPr>
          <w:sz w:val="26"/>
          <w:szCs w:val="26"/>
        </w:rPr>
        <w:t xml:space="preserve">Traditionally, this longstanding </w:t>
      </w:r>
      <w:r w:rsidR="00C96CC0">
        <w:rPr>
          <w:sz w:val="26"/>
          <w:szCs w:val="26"/>
        </w:rPr>
        <w:t xml:space="preserve">scheduling </w:t>
      </w:r>
      <w:r w:rsidR="007425E3">
        <w:rPr>
          <w:sz w:val="26"/>
          <w:szCs w:val="26"/>
        </w:rPr>
        <w:t xml:space="preserve">practice has been observed by the Commission and the </w:t>
      </w:r>
      <w:r>
        <w:rPr>
          <w:sz w:val="26"/>
          <w:szCs w:val="26"/>
        </w:rPr>
        <w:t>P</w:t>
      </w:r>
      <w:r w:rsidR="007425E3">
        <w:rPr>
          <w:sz w:val="26"/>
          <w:szCs w:val="26"/>
        </w:rPr>
        <w:t xml:space="preserve">arties </w:t>
      </w:r>
      <w:r w:rsidR="00C96CC0">
        <w:rPr>
          <w:sz w:val="26"/>
          <w:szCs w:val="26"/>
        </w:rPr>
        <w:t>in general</w:t>
      </w:r>
      <w:r w:rsidR="007425E3">
        <w:rPr>
          <w:sz w:val="26"/>
          <w:szCs w:val="26"/>
        </w:rPr>
        <w:t xml:space="preserve"> base rate</w:t>
      </w:r>
      <w:r w:rsidR="00C96CC0">
        <w:rPr>
          <w:sz w:val="26"/>
          <w:szCs w:val="26"/>
        </w:rPr>
        <w:t xml:space="preserve"> increase</w:t>
      </w:r>
      <w:r w:rsidR="007425E3">
        <w:rPr>
          <w:sz w:val="26"/>
          <w:szCs w:val="26"/>
        </w:rPr>
        <w:t xml:space="preserve"> cases in pursuit of serving the public interest by ensuring the timely implementation of new</w:t>
      </w:r>
      <w:r w:rsidR="00BD7972">
        <w:rPr>
          <w:sz w:val="26"/>
          <w:szCs w:val="26"/>
        </w:rPr>
        <w:t>,</w:t>
      </w:r>
      <w:r w:rsidR="007425E3">
        <w:rPr>
          <w:sz w:val="26"/>
          <w:szCs w:val="26"/>
        </w:rPr>
        <w:t xml:space="preserve"> just</w:t>
      </w:r>
      <w:r w:rsidR="00BD7972">
        <w:rPr>
          <w:sz w:val="26"/>
          <w:szCs w:val="26"/>
        </w:rPr>
        <w:t>,</w:t>
      </w:r>
      <w:r w:rsidR="007425E3">
        <w:rPr>
          <w:sz w:val="26"/>
          <w:szCs w:val="26"/>
        </w:rPr>
        <w:t xml:space="preserve"> and reasonable rates</w:t>
      </w:r>
      <w:r w:rsidR="00C96CC0">
        <w:rPr>
          <w:sz w:val="26"/>
          <w:szCs w:val="26"/>
        </w:rPr>
        <w:t xml:space="preserve"> on customer bills </w:t>
      </w:r>
      <w:bookmarkStart w:id="19" w:name="_Hlk46141732"/>
      <w:r w:rsidR="00C96CC0">
        <w:rPr>
          <w:sz w:val="26"/>
          <w:szCs w:val="26"/>
        </w:rPr>
        <w:t>and avoiding the burden of subsequent rate adjustments through refunds</w:t>
      </w:r>
      <w:r w:rsidR="007425E3">
        <w:rPr>
          <w:sz w:val="26"/>
          <w:szCs w:val="26"/>
        </w:rPr>
        <w:t xml:space="preserve">.  </w:t>
      </w:r>
      <w:bookmarkEnd w:id="19"/>
      <w:r w:rsidR="007425E3">
        <w:rPr>
          <w:sz w:val="26"/>
          <w:szCs w:val="26"/>
        </w:rPr>
        <w:t xml:space="preserve">Pursuant to this longstanding practice, the presiding officer and the parties typically will establish a procedural schedule for the litigation of a rate case by working backwards from the </w:t>
      </w:r>
      <w:r w:rsidR="00370892">
        <w:rPr>
          <w:sz w:val="26"/>
          <w:szCs w:val="26"/>
        </w:rPr>
        <w:t xml:space="preserve">appropriate </w:t>
      </w:r>
      <w:r w:rsidR="007425E3">
        <w:rPr>
          <w:sz w:val="26"/>
          <w:szCs w:val="26"/>
        </w:rPr>
        <w:t>Public Meeting occurring before the end of the suspension period</w:t>
      </w:r>
      <w:r w:rsidR="00370892">
        <w:rPr>
          <w:sz w:val="26"/>
          <w:szCs w:val="26"/>
        </w:rPr>
        <w:t xml:space="preserve"> that ensures sufficient time for the litigation process and the Commission’s review</w:t>
      </w:r>
      <w:r w:rsidR="007425E3">
        <w:rPr>
          <w:sz w:val="26"/>
          <w:szCs w:val="26"/>
        </w:rPr>
        <w:t xml:space="preserve"> to take final action at that Public Meeting.</w:t>
      </w:r>
    </w:p>
    <w:p w14:paraId="709875EB" w14:textId="77777777" w:rsidR="007425E3" w:rsidRDefault="007425E3" w:rsidP="007425E3">
      <w:pPr>
        <w:ind w:firstLine="0"/>
        <w:rPr>
          <w:sz w:val="26"/>
          <w:szCs w:val="26"/>
        </w:rPr>
      </w:pPr>
    </w:p>
    <w:p w14:paraId="23F09DFA" w14:textId="0DC101FD" w:rsidR="007425E3" w:rsidRDefault="007425E3" w:rsidP="007425E3">
      <w:pPr>
        <w:rPr>
          <w:sz w:val="26"/>
          <w:szCs w:val="26"/>
        </w:rPr>
      </w:pPr>
      <w:bookmarkStart w:id="20" w:name="_Hlk45617302"/>
      <w:r>
        <w:rPr>
          <w:sz w:val="26"/>
          <w:szCs w:val="26"/>
        </w:rPr>
        <w:t xml:space="preserve">In the Petition and Answers, the Parties have </w:t>
      </w:r>
      <w:r w:rsidR="00F50D9A">
        <w:rPr>
          <w:sz w:val="26"/>
          <w:szCs w:val="26"/>
        </w:rPr>
        <w:t>raise</w:t>
      </w:r>
      <w:r w:rsidR="00D01926">
        <w:rPr>
          <w:sz w:val="26"/>
          <w:szCs w:val="26"/>
        </w:rPr>
        <w:t>d</w:t>
      </w:r>
      <w:r w:rsidR="00F50D9A">
        <w:rPr>
          <w:sz w:val="26"/>
          <w:szCs w:val="26"/>
        </w:rPr>
        <w:t xml:space="preserve"> arguments to </w:t>
      </w:r>
      <w:r w:rsidR="00370892">
        <w:rPr>
          <w:sz w:val="26"/>
          <w:szCs w:val="26"/>
        </w:rPr>
        <w:t xml:space="preserve">either </w:t>
      </w:r>
      <w:r w:rsidR="00F50D9A">
        <w:rPr>
          <w:sz w:val="26"/>
          <w:szCs w:val="26"/>
        </w:rPr>
        <w:t xml:space="preserve">support or reject the issue of whether or not the Commission has the authority to waive or amend the statutory suspension period </w:t>
      </w:r>
      <w:r w:rsidR="00F50D9A" w:rsidRPr="000E2FCD">
        <w:rPr>
          <w:sz w:val="26"/>
          <w:szCs w:val="26"/>
        </w:rPr>
        <w:t xml:space="preserve">for the </w:t>
      </w:r>
      <w:r w:rsidR="00F50D9A" w:rsidRPr="002457DE">
        <w:rPr>
          <w:sz w:val="26"/>
          <w:szCs w:val="26"/>
        </w:rPr>
        <w:t>purpose of delaying PAWC’s right to appropriate rate recovery as of the end of the suspension period in this case</w:t>
      </w:r>
      <w:r w:rsidR="00F50D9A" w:rsidRPr="000E2FCD">
        <w:rPr>
          <w:sz w:val="26"/>
          <w:szCs w:val="26"/>
        </w:rPr>
        <w:t>, or January</w:t>
      </w:r>
      <w:r w:rsidR="00967B68">
        <w:rPr>
          <w:sz w:val="26"/>
          <w:szCs w:val="26"/>
        </w:rPr>
        <w:t> </w:t>
      </w:r>
      <w:r w:rsidR="00F50D9A" w:rsidRPr="000E2FCD">
        <w:rPr>
          <w:sz w:val="26"/>
          <w:szCs w:val="26"/>
        </w:rPr>
        <w:t xml:space="preserve">28, 2021 via the </w:t>
      </w:r>
      <w:r w:rsidR="00F50D9A" w:rsidRPr="000E2FCD">
        <w:rPr>
          <w:i/>
          <w:iCs/>
          <w:sz w:val="26"/>
          <w:szCs w:val="26"/>
        </w:rPr>
        <w:t>Extension Order</w:t>
      </w:r>
      <w:r w:rsidR="00370892" w:rsidRPr="000E2FCD">
        <w:rPr>
          <w:i/>
          <w:iCs/>
          <w:sz w:val="26"/>
          <w:szCs w:val="26"/>
        </w:rPr>
        <w:t>.</w:t>
      </w:r>
      <w:r w:rsidRPr="000E2FCD">
        <w:rPr>
          <w:sz w:val="26"/>
          <w:szCs w:val="26"/>
        </w:rPr>
        <w:t xml:space="preserve"> </w:t>
      </w:r>
      <w:r w:rsidR="002457DE">
        <w:rPr>
          <w:sz w:val="26"/>
          <w:szCs w:val="26"/>
        </w:rPr>
        <w:t xml:space="preserve"> </w:t>
      </w:r>
      <w:r w:rsidR="00F50D9A">
        <w:rPr>
          <w:sz w:val="26"/>
          <w:szCs w:val="26"/>
        </w:rPr>
        <w:t xml:space="preserve">Specifically, </w:t>
      </w:r>
      <w:r>
        <w:rPr>
          <w:sz w:val="26"/>
          <w:szCs w:val="26"/>
        </w:rPr>
        <w:t xml:space="preserve">PAWC argues the Commission does not have the authority to waive or modify its right to rate relief as of the end of the </w:t>
      </w:r>
      <w:r>
        <w:rPr>
          <w:sz w:val="26"/>
          <w:szCs w:val="26"/>
        </w:rPr>
        <w:lastRenderedPageBreak/>
        <w:t xml:space="preserve">statutory suspension period.  </w:t>
      </w:r>
      <w:r w:rsidR="00F50D9A">
        <w:rPr>
          <w:sz w:val="26"/>
          <w:szCs w:val="26"/>
        </w:rPr>
        <w:t>However,</w:t>
      </w:r>
      <w:r>
        <w:rPr>
          <w:sz w:val="26"/>
          <w:szCs w:val="26"/>
        </w:rPr>
        <w:t xml:space="preserve"> the other Parties argue that we do have such authority pursuant to the Governor’s </w:t>
      </w:r>
      <w:r w:rsidRPr="00EA7393">
        <w:rPr>
          <w:i/>
          <w:iCs/>
          <w:sz w:val="26"/>
          <w:szCs w:val="26"/>
        </w:rPr>
        <w:t>Executive Order</w:t>
      </w:r>
      <w:r>
        <w:rPr>
          <w:sz w:val="26"/>
          <w:szCs w:val="26"/>
        </w:rPr>
        <w:t xml:space="preserve"> and the Commission’s </w:t>
      </w:r>
      <w:r w:rsidRPr="00EA7393">
        <w:rPr>
          <w:i/>
          <w:iCs/>
          <w:sz w:val="26"/>
          <w:szCs w:val="26"/>
        </w:rPr>
        <w:t>Emergency Order</w:t>
      </w:r>
      <w:r>
        <w:rPr>
          <w:sz w:val="26"/>
          <w:szCs w:val="26"/>
        </w:rPr>
        <w:t>, so long as PAWC is permitted to implement the finally approved rates as of the end of the modified suspension period</w:t>
      </w:r>
      <w:r w:rsidR="0049277A">
        <w:rPr>
          <w:sz w:val="26"/>
          <w:szCs w:val="26"/>
        </w:rPr>
        <w:t>, or March 15, 2021</w:t>
      </w:r>
      <w:r>
        <w:rPr>
          <w:sz w:val="26"/>
          <w:szCs w:val="26"/>
        </w:rPr>
        <w:t xml:space="preserve">.  </w:t>
      </w:r>
      <w:bookmarkEnd w:id="20"/>
    </w:p>
    <w:p w14:paraId="60E93EFC" w14:textId="77777777" w:rsidR="007425E3" w:rsidRDefault="007425E3" w:rsidP="007425E3">
      <w:pPr>
        <w:ind w:firstLine="0"/>
        <w:rPr>
          <w:color w:val="000000"/>
          <w:sz w:val="26"/>
          <w:szCs w:val="26"/>
        </w:rPr>
      </w:pPr>
    </w:p>
    <w:p w14:paraId="6F22281B" w14:textId="77777777" w:rsidR="007425E3" w:rsidRDefault="00601176" w:rsidP="007425E3">
      <w:pPr>
        <w:rPr>
          <w:color w:val="000000"/>
          <w:sz w:val="26"/>
          <w:szCs w:val="26"/>
        </w:rPr>
      </w:pPr>
      <w:bookmarkStart w:id="21" w:name="_Hlk46216190"/>
      <w:r>
        <w:rPr>
          <w:sz w:val="26"/>
          <w:szCs w:val="26"/>
        </w:rPr>
        <w:t xml:space="preserve">To decide the issue, we must first acknowledge that </w:t>
      </w:r>
      <w:bookmarkEnd w:id="21"/>
      <w:r>
        <w:rPr>
          <w:sz w:val="26"/>
          <w:szCs w:val="26"/>
        </w:rPr>
        <w:t xml:space="preserve">our </w:t>
      </w:r>
      <w:r w:rsidR="007425E3">
        <w:rPr>
          <w:sz w:val="26"/>
          <w:szCs w:val="26"/>
        </w:rPr>
        <w:t xml:space="preserve">authority under </w:t>
      </w:r>
      <w:r>
        <w:rPr>
          <w:sz w:val="26"/>
          <w:szCs w:val="26"/>
        </w:rPr>
        <w:t>the</w:t>
      </w:r>
      <w:r w:rsidR="007425E3">
        <w:rPr>
          <w:sz w:val="26"/>
          <w:szCs w:val="26"/>
        </w:rPr>
        <w:t xml:space="preserve"> </w:t>
      </w:r>
      <w:r w:rsidR="007425E3" w:rsidRPr="004F4E0C">
        <w:rPr>
          <w:i/>
          <w:iCs/>
          <w:sz w:val="26"/>
          <w:szCs w:val="26"/>
        </w:rPr>
        <w:t>Emergency Order</w:t>
      </w:r>
      <w:r w:rsidR="007425E3" w:rsidRPr="004F4E0C">
        <w:rPr>
          <w:sz w:val="26"/>
          <w:szCs w:val="26"/>
        </w:rPr>
        <w:t xml:space="preserve"> </w:t>
      </w:r>
      <w:r w:rsidR="007425E3">
        <w:rPr>
          <w:sz w:val="26"/>
          <w:szCs w:val="26"/>
        </w:rPr>
        <w:t xml:space="preserve">is </w:t>
      </w:r>
      <w:r w:rsidR="007425E3" w:rsidRPr="004F4E0C">
        <w:rPr>
          <w:sz w:val="26"/>
          <w:szCs w:val="26"/>
        </w:rPr>
        <w:t>derive</w:t>
      </w:r>
      <w:r w:rsidR="007425E3">
        <w:rPr>
          <w:sz w:val="26"/>
          <w:szCs w:val="26"/>
        </w:rPr>
        <w:t>d</w:t>
      </w:r>
      <w:r w:rsidR="007425E3" w:rsidRPr="004F4E0C">
        <w:rPr>
          <w:sz w:val="26"/>
          <w:szCs w:val="26"/>
        </w:rPr>
        <w:t xml:space="preserve"> from the authority conferred by the</w:t>
      </w:r>
      <w:r w:rsidR="007425E3">
        <w:rPr>
          <w:sz w:val="26"/>
          <w:szCs w:val="26"/>
        </w:rPr>
        <w:t xml:space="preserve"> Governor’s</w:t>
      </w:r>
      <w:r w:rsidR="007425E3" w:rsidRPr="004F4E0C">
        <w:rPr>
          <w:sz w:val="26"/>
          <w:szCs w:val="26"/>
        </w:rPr>
        <w:t xml:space="preserve"> </w:t>
      </w:r>
      <w:r w:rsidR="007425E3" w:rsidRPr="004F4E0C">
        <w:rPr>
          <w:i/>
          <w:iCs/>
          <w:sz w:val="26"/>
          <w:szCs w:val="26"/>
        </w:rPr>
        <w:t>Executive Order</w:t>
      </w:r>
      <w:r w:rsidR="007425E3" w:rsidRPr="004F4E0C">
        <w:rPr>
          <w:sz w:val="26"/>
          <w:szCs w:val="26"/>
        </w:rPr>
        <w:t>.</w:t>
      </w:r>
      <w:r w:rsidR="007425E3">
        <w:rPr>
          <w:sz w:val="26"/>
          <w:szCs w:val="26"/>
        </w:rPr>
        <w:t xml:space="preserve">  </w:t>
      </w:r>
      <w:r w:rsidR="007425E3" w:rsidRPr="00BF6D01">
        <w:rPr>
          <w:color w:val="000000"/>
          <w:sz w:val="26"/>
          <w:szCs w:val="26"/>
        </w:rPr>
        <w:t>The</w:t>
      </w:r>
      <w:r w:rsidR="007425E3">
        <w:rPr>
          <w:color w:val="000000"/>
          <w:sz w:val="26"/>
          <w:szCs w:val="26"/>
        </w:rPr>
        <w:t xml:space="preserve"> Governor’s</w:t>
      </w:r>
      <w:r w:rsidR="007425E3" w:rsidRPr="00BF6D01">
        <w:rPr>
          <w:color w:val="000000"/>
          <w:sz w:val="26"/>
          <w:szCs w:val="26"/>
        </w:rPr>
        <w:t xml:space="preserve"> </w:t>
      </w:r>
      <w:r w:rsidR="007425E3" w:rsidRPr="002A04D1">
        <w:rPr>
          <w:i/>
          <w:iCs/>
          <w:color w:val="000000"/>
          <w:sz w:val="26"/>
          <w:szCs w:val="26"/>
        </w:rPr>
        <w:t>Executive Order</w:t>
      </w:r>
      <w:r w:rsidR="007425E3" w:rsidRPr="00BF6D01">
        <w:rPr>
          <w:color w:val="000000"/>
          <w:sz w:val="26"/>
          <w:szCs w:val="26"/>
        </w:rPr>
        <w:t xml:space="preserve"> was issued pursuant to the Emergency Management Services Code, 35 Pa.</w:t>
      </w:r>
      <w:r w:rsidR="00F50D9A">
        <w:rPr>
          <w:color w:val="000000"/>
          <w:sz w:val="26"/>
          <w:szCs w:val="26"/>
        </w:rPr>
        <w:t xml:space="preserve"> </w:t>
      </w:r>
      <w:r w:rsidR="007425E3" w:rsidRPr="00BF6D01">
        <w:rPr>
          <w:color w:val="000000"/>
          <w:sz w:val="26"/>
          <w:szCs w:val="26"/>
        </w:rPr>
        <w:t xml:space="preserve">C.S. § 7101.  </w:t>
      </w:r>
    </w:p>
    <w:p w14:paraId="0C69767E" w14:textId="77777777" w:rsidR="002457DE" w:rsidRDefault="002457DE" w:rsidP="007425E3">
      <w:pPr>
        <w:rPr>
          <w:sz w:val="26"/>
          <w:szCs w:val="26"/>
        </w:rPr>
      </w:pPr>
    </w:p>
    <w:p w14:paraId="44F37BCB" w14:textId="77777777" w:rsidR="00DA3ECF" w:rsidRPr="00526506" w:rsidRDefault="00DA3ECF" w:rsidP="00DA3ECF">
      <w:pPr>
        <w:rPr>
          <w:color w:val="000000"/>
          <w:sz w:val="26"/>
          <w:szCs w:val="26"/>
        </w:rPr>
      </w:pPr>
      <w:r>
        <w:rPr>
          <w:sz w:val="26"/>
          <w:szCs w:val="26"/>
        </w:rPr>
        <w:t xml:space="preserve">Governor Wolf’s </w:t>
      </w:r>
      <w:r w:rsidRPr="00A940C0">
        <w:rPr>
          <w:i/>
          <w:iCs/>
          <w:sz w:val="26"/>
          <w:szCs w:val="26"/>
        </w:rPr>
        <w:t>Executive Order</w:t>
      </w:r>
      <w:r>
        <w:rPr>
          <w:sz w:val="26"/>
          <w:szCs w:val="26"/>
        </w:rPr>
        <w:t xml:space="preserve"> in part provides</w:t>
      </w:r>
      <w:r w:rsidRPr="00526506">
        <w:rPr>
          <w:color w:val="000000"/>
          <w:sz w:val="26"/>
          <w:szCs w:val="26"/>
        </w:rPr>
        <w:t>, in pertinent part:</w:t>
      </w:r>
    </w:p>
    <w:p w14:paraId="4BE0E12E" w14:textId="77777777" w:rsidR="00DA3ECF" w:rsidRPr="0058277B" w:rsidRDefault="00DA3ECF" w:rsidP="00967B68">
      <w:pPr>
        <w:spacing w:line="240" w:lineRule="auto"/>
        <w:rPr>
          <w:color w:val="000000"/>
          <w:sz w:val="26"/>
          <w:szCs w:val="26"/>
        </w:rPr>
      </w:pPr>
    </w:p>
    <w:p w14:paraId="0D2B71AA" w14:textId="77777777" w:rsidR="00DA3ECF" w:rsidRPr="00607B89" w:rsidRDefault="00DA3ECF" w:rsidP="00DA3ECF">
      <w:pPr>
        <w:spacing w:line="240" w:lineRule="auto"/>
        <w:ind w:left="1440" w:right="1440" w:firstLine="14"/>
        <w:rPr>
          <w:color w:val="000000"/>
          <w:sz w:val="26"/>
          <w:szCs w:val="26"/>
        </w:rPr>
      </w:pPr>
      <w:r w:rsidRPr="0058277B">
        <w:rPr>
          <w:color w:val="000000"/>
          <w:sz w:val="26"/>
          <w:szCs w:val="26"/>
        </w:rPr>
        <w:t>FURTHER, I hereby suspend the provis</w:t>
      </w:r>
      <w:r w:rsidRPr="00D01926">
        <w:rPr>
          <w:color w:val="000000"/>
          <w:sz w:val="26"/>
          <w:szCs w:val="26"/>
        </w:rPr>
        <w:t xml:space="preserve">ions of any regulatory statute prescribing the procedures for conduct of Commonwealth business, or the orders, rules or regulations of any Commonwealth agency, if strict compliance with the provisions of any statute, order, rule or regulation would in any </w:t>
      </w:r>
      <w:r w:rsidRPr="00DA3ECF">
        <w:rPr>
          <w:color w:val="000000"/>
          <w:sz w:val="26"/>
          <w:szCs w:val="26"/>
        </w:rPr>
        <w:t>way prevent, hinder, or delay necessary action in coping with this emergency.  Commonwealth agencies may implement emergency assignments without regard to procedures required by other laws, except mandatory constitutional requirements, pertaining to perfor</w:t>
      </w:r>
      <w:r w:rsidRPr="00607B89">
        <w:rPr>
          <w:color w:val="000000"/>
          <w:sz w:val="26"/>
          <w:szCs w:val="26"/>
        </w:rPr>
        <w:t xml:space="preserve">mance of public work, entering into contracts, incurring of obligations, employment of temporary workers, rental of equipment, purchase of supplies and materials, and expenditures of public funds. </w:t>
      </w:r>
    </w:p>
    <w:p w14:paraId="56B432F7" w14:textId="77777777" w:rsidR="00DA3ECF" w:rsidRPr="00607B89" w:rsidRDefault="00DA3ECF" w:rsidP="00967B68">
      <w:pPr>
        <w:ind w:right="1339" w:firstLine="0"/>
        <w:rPr>
          <w:color w:val="000000"/>
          <w:sz w:val="26"/>
          <w:szCs w:val="26"/>
        </w:rPr>
      </w:pPr>
    </w:p>
    <w:p w14:paraId="5A140E03" w14:textId="77777777" w:rsidR="00DA3ECF" w:rsidRDefault="00DA3ECF" w:rsidP="00967B68">
      <w:pPr>
        <w:ind w:right="1339" w:firstLine="0"/>
        <w:rPr>
          <w:color w:val="000000"/>
          <w:sz w:val="26"/>
          <w:szCs w:val="26"/>
        </w:rPr>
      </w:pPr>
      <w:r w:rsidRPr="00607B89">
        <w:rPr>
          <w:i/>
          <w:iCs/>
          <w:color w:val="000000"/>
          <w:sz w:val="26"/>
          <w:szCs w:val="26"/>
        </w:rPr>
        <w:t>Executive Order</w:t>
      </w:r>
      <w:r w:rsidRPr="00607B89">
        <w:rPr>
          <w:color w:val="000000"/>
          <w:sz w:val="26"/>
          <w:szCs w:val="26"/>
        </w:rPr>
        <w:t xml:space="preserve"> at 2. </w:t>
      </w:r>
    </w:p>
    <w:p w14:paraId="4E6A7297" w14:textId="77777777" w:rsidR="00DA3ECF" w:rsidRDefault="00DA3ECF" w:rsidP="00967B68">
      <w:pPr>
        <w:rPr>
          <w:sz w:val="26"/>
          <w:szCs w:val="26"/>
        </w:rPr>
      </w:pPr>
    </w:p>
    <w:bookmarkEnd w:id="18"/>
    <w:p w14:paraId="64BADB1A" w14:textId="77777777" w:rsidR="00A56D06" w:rsidRDefault="00DA3ECF" w:rsidP="00A56D06">
      <w:pPr>
        <w:rPr>
          <w:rFonts w:eastAsia="Calibri"/>
          <w:sz w:val="26"/>
          <w:szCs w:val="26"/>
        </w:rPr>
      </w:pPr>
      <w:r>
        <w:rPr>
          <w:sz w:val="26"/>
          <w:szCs w:val="26"/>
        </w:rPr>
        <w:t xml:space="preserve">As the Pennsylvania Supreme Court stated in </w:t>
      </w:r>
      <w:proofErr w:type="spellStart"/>
      <w:r w:rsidR="00A56D06" w:rsidRPr="005D467F">
        <w:rPr>
          <w:i/>
          <w:iCs/>
          <w:sz w:val="26"/>
          <w:szCs w:val="26"/>
        </w:rPr>
        <w:t>Devito</w:t>
      </w:r>
      <w:proofErr w:type="spellEnd"/>
      <w:r w:rsidR="00A56D06">
        <w:rPr>
          <w:sz w:val="26"/>
          <w:szCs w:val="26"/>
        </w:rPr>
        <w:t xml:space="preserve">, </w:t>
      </w:r>
      <w:r w:rsidR="00A56D06" w:rsidRPr="004E5A8F">
        <w:rPr>
          <w:i/>
          <w:iCs/>
          <w:sz w:val="26"/>
          <w:szCs w:val="26"/>
        </w:rPr>
        <w:t>supra</w:t>
      </w:r>
      <w:r w:rsidR="00A56D06">
        <w:rPr>
          <w:sz w:val="26"/>
          <w:szCs w:val="26"/>
        </w:rPr>
        <w:t xml:space="preserve">, regulatory </w:t>
      </w:r>
      <w:r w:rsidR="00A56D06">
        <w:rPr>
          <w:rFonts w:eastAsia="Calibri"/>
          <w:sz w:val="26"/>
          <w:szCs w:val="26"/>
        </w:rPr>
        <w:t>statutes “prescribing the procedures of the conduct of Comm</w:t>
      </w:r>
      <w:r w:rsidR="008B46B1">
        <w:rPr>
          <w:rFonts w:eastAsia="Calibri"/>
          <w:sz w:val="26"/>
          <w:szCs w:val="26"/>
        </w:rPr>
        <w:t xml:space="preserve">onwealth business,” as well as </w:t>
      </w:r>
      <w:r w:rsidR="00A56D06">
        <w:rPr>
          <w:rFonts w:eastAsia="Calibri"/>
          <w:sz w:val="26"/>
          <w:szCs w:val="26"/>
        </w:rPr>
        <w:t>“orders, rules or regulation</w:t>
      </w:r>
      <w:r w:rsidR="00DC0ABB">
        <w:rPr>
          <w:rFonts w:eastAsia="Calibri"/>
          <w:sz w:val="26"/>
          <w:szCs w:val="26"/>
        </w:rPr>
        <w:t xml:space="preserve"> of any Commonwealth agency</w:t>
      </w:r>
      <w:r w:rsidR="00A56D06" w:rsidRPr="00DC0ABB">
        <w:rPr>
          <w:rFonts w:eastAsia="Calibri"/>
          <w:sz w:val="26"/>
          <w:szCs w:val="26"/>
        </w:rPr>
        <w:t>”</w:t>
      </w:r>
      <w:r w:rsidR="00A56D06">
        <w:rPr>
          <w:rFonts w:eastAsia="Calibri"/>
          <w:sz w:val="26"/>
          <w:szCs w:val="26"/>
        </w:rPr>
        <w:t xml:space="preserve"> may be suspended while the Governor’s </w:t>
      </w:r>
      <w:r w:rsidR="00A56D06" w:rsidRPr="007F7AFC">
        <w:rPr>
          <w:rFonts w:eastAsia="Calibri"/>
          <w:i/>
          <w:iCs/>
          <w:sz w:val="26"/>
          <w:szCs w:val="26"/>
        </w:rPr>
        <w:t>Executive Order</w:t>
      </w:r>
      <w:r w:rsidR="00A56D06">
        <w:rPr>
          <w:rFonts w:eastAsia="Calibri"/>
          <w:sz w:val="26"/>
          <w:szCs w:val="26"/>
        </w:rPr>
        <w:t xml:space="preserve"> is in effect </w:t>
      </w:r>
      <w:r w:rsidR="00A56D06" w:rsidRPr="005D467F">
        <w:rPr>
          <w:rFonts w:eastAsia="Calibri"/>
          <w:sz w:val="26"/>
          <w:szCs w:val="26"/>
        </w:rPr>
        <w:t>“</w:t>
      </w:r>
      <w:r w:rsidR="00A56D06" w:rsidRPr="005D467F">
        <w:rPr>
          <w:sz w:val="26"/>
          <w:szCs w:val="26"/>
        </w:rPr>
        <w:t xml:space="preserve">if strict compliance with the provisions of </w:t>
      </w:r>
      <w:r w:rsidR="00A56D06" w:rsidRPr="005D467F">
        <w:rPr>
          <w:sz w:val="26"/>
          <w:szCs w:val="26"/>
        </w:rPr>
        <w:lastRenderedPageBreak/>
        <w:t>any statute, order, rule or regulation would in any way prevent, hinder or delay necessary action in coping with the emergency</w:t>
      </w:r>
      <w:r w:rsidR="008B46B1">
        <w:rPr>
          <w:rFonts w:eastAsia="Calibri"/>
          <w:sz w:val="26"/>
          <w:szCs w:val="26"/>
        </w:rPr>
        <w:t>.”</w:t>
      </w:r>
      <w:r w:rsidR="00A56D06" w:rsidRPr="005D467F">
        <w:rPr>
          <w:rFonts w:eastAsia="Calibri"/>
          <w:sz w:val="26"/>
          <w:szCs w:val="26"/>
        </w:rPr>
        <w:t xml:space="preserve">  </w:t>
      </w:r>
      <w:r w:rsidR="00A56D06" w:rsidRPr="001D2681">
        <w:rPr>
          <w:i/>
          <w:iCs/>
          <w:sz w:val="26"/>
          <w:szCs w:val="26"/>
        </w:rPr>
        <w:t>DeVito</w:t>
      </w:r>
      <w:r w:rsidR="00A56D06">
        <w:rPr>
          <w:sz w:val="26"/>
          <w:szCs w:val="26"/>
        </w:rPr>
        <w:t xml:space="preserve"> at *25 (citing 35 Pa.</w:t>
      </w:r>
      <w:r>
        <w:rPr>
          <w:sz w:val="26"/>
          <w:szCs w:val="26"/>
        </w:rPr>
        <w:t xml:space="preserve"> </w:t>
      </w:r>
      <w:r w:rsidR="00A56D06">
        <w:rPr>
          <w:sz w:val="26"/>
          <w:szCs w:val="26"/>
        </w:rPr>
        <w:t>C.S. § 7301(f)).</w:t>
      </w:r>
    </w:p>
    <w:p w14:paraId="6F7462E3" w14:textId="77777777" w:rsidR="007425E3" w:rsidRDefault="007425E3" w:rsidP="007425E3">
      <w:pPr>
        <w:ind w:firstLine="0"/>
        <w:rPr>
          <w:sz w:val="26"/>
          <w:szCs w:val="26"/>
        </w:rPr>
      </w:pPr>
    </w:p>
    <w:p w14:paraId="5F0294A0" w14:textId="77777777" w:rsidR="007425E3" w:rsidRDefault="00A56D06" w:rsidP="00215BAF">
      <w:pPr>
        <w:rPr>
          <w:sz w:val="26"/>
          <w:szCs w:val="26"/>
        </w:rPr>
      </w:pPr>
      <w:r>
        <w:rPr>
          <w:sz w:val="26"/>
          <w:szCs w:val="26"/>
        </w:rPr>
        <w:t xml:space="preserve">We acknowledge that the </w:t>
      </w:r>
      <w:r w:rsidR="00D7700D" w:rsidRPr="004E5A8F">
        <w:rPr>
          <w:i/>
          <w:iCs/>
          <w:sz w:val="26"/>
          <w:szCs w:val="26"/>
        </w:rPr>
        <w:t>Executive Order</w:t>
      </w:r>
      <w:r w:rsidR="00D7700D">
        <w:rPr>
          <w:sz w:val="26"/>
          <w:szCs w:val="26"/>
        </w:rPr>
        <w:t xml:space="preserve"> applies to regulatory statutes and that the suspension authority conferred by the </w:t>
      </w:r>
      <w:r w:rsidR="00D7700D" w:rsidRPr="002457DE">
        <w:rPr>
          <w:i/>
          <w:iCs/>
          <w:sz w:val="26"/>
          <w:szCs w:val="26"/>
        </w:rPr>
        <w:t>Executive Order</w:t>
      </w:r>
      <w:r w:rsidR="00D7700D">
        <w:rPr>
          <w:sz w:val="26"/>
          <w:szCs w:val="26"/>
        </w:rPr>
        <w:t xml:space="preserve"> applies if: (1</w:t>
      </w:r>
      <w:r w:rsidR="00D7700D" w:rsidRPr="000E2FCD">
        <w:rPr>
          <w:sz w:val="26"/>
          <w:szCs w:val="26"/>
        </w:rPr>
        <w:t>)</w:t>
      </w:r>
      <w:r w:rsidR="00D7700D" w:rsidRPr="002457DE">
        <w:rPr>
          <w:sz w:val="26"/>
          <w:szCs w:val="26"/>
        </w:rPr>
        <w:t xml:space="preserve"> </w:t>
      </w:r>
      <w:r w:rsidR="00D7700D" w:rsidRPr="000E2FCD">
        <w:rPr>
          <w:sz w:val="26"/>
          <w:szCs w:val="26"/>
        </w:rPr>
        <w:t xml:space="preserve">the regulatory statute that </w:t>
      </w:r>
      <w:r w:rsidR="00614584" w:rsidRPr="000E2FCD">
        <w:rPr>
          <w:sz w:val="26"/>
          <w:szCs w:val="26"/>
        </w:rPr>
        <w:t>is</w:t>
      </w:r>
      <w:r w:rsidR="00D7700D" w:rsidRPr="000E2FCD">
        <w:rPr>
          <w:sz w:val="26"/>
          <w:szCs w:val="26"/>
        </w:rPr>
        <w:t xml:space="preserve"> subject to suspension </w:t>
      </w:r>
      <w:r w:rsidR="00614584" w:rsidRPr="000E2FCD">
        <w:rPr>
          <w:sz w:val="26"/>
          <w:szCs w:val="26"/>
        </w:rPr>
        <w:t>is one</w:t>
      </w:r>
      <w:r w:rsidR="00D7700D" w:rsidRPr="000E2FCD">
        <w:rPr>
          <w:sz w:val="26"/>
          <w:szCs w:val="26"/>
        </w:rPr>
        <w:t xml:space="preserve"> “prescribing the </w:t>
      </w:r>
      <w:r w:rsidR="00D7700D" w:rsidRPr="002457DE">
        <w:rPr>
          <w:sz w:val="26"/>
          <w:szCs w:val="26"/>
        </w:rPr>
        <w:t>procedures</w:t>
      </w:r>
      <w:r w:rsidR="00D7700D" w:rsidRPr="000E2FCD">
        <w:rPr>
          <w:sz w:val="26"/>
          <w:szCs w:val="26"/>
        </w:rPr>
        <w:t xml:space="preserve"> for the conduct of Commonwealth business….” and (2)</w:t>
      </w:r>
      <w:r w:rsidR="00614584" w:rsidRPr="000E2FCD">
        <w:rPr>
          <w:sz w:val="26"/>
          <w:szCs w:val="26"/>
        </w:rPr>
        <w:t xml:space="preserve"> </w:t>
      </w:r>
      <w:r w:rsidR="00D7700D" w:rsidRPr="000E2FCD">
        <w:rPr>
          <w:sz w:val="26"/>
          <w:szCs w:val="26"/>
        </w:rPr>
        <w:t xml:space="preserve">only if “strict compliance” </w:t>
      </w:r>
      <w:r w:rsidR="00C87694" w:rsidRPr="000E2FCD">
        <w:rPr>
          <w:sz w:val="26"/>
          <w:szCs w:val="26"/>
        </w:rPr>
        <w:t xml:space="preserve">with the statute </w:t>
      </w:r>
      <w:r w:rsidR="00D7700D" w:rsidRPr="000E2FCD">
        <w:rPr>
          <w:sz w:val="26"/>
          <w:szCs w:val="26"/>
        </w:rPr>
        <w:t>would “in any way prevent, hinder, or delay necessary action in coping with this emergency</w:t>
      </w:r>
      <w:r w:rsidR="00614584" w:rsidRPr="000E2FCD">
        <w:rPr>
          <w:sz w:val="26"/>
          <w:szCs w:val="26"/>
        </w:rPr>
        <w:t>.</w:t>
      </w:r>
      <w:r w:rsidR="006862A4">
        <w:rPr>
          <w:sz w:val="26"/>
          <w:szCs w:val="26"/>
        </w:rPr>
        <w:t>”</w:t>
      </w:r>
      <w:r w:rsidR="00614584" w:rsidRPr="000E2FCD">
        <w:rPr>
          <w:sz w:val="26"/>
          <w:szCs w:val="26"/>
        </w:rPr>
        <w:t xml:space="preserve">  </w:t>
      </w:r>
      <w:r w:rsidR="00614584" w:rsidRPr="000E2FCD">
        <w:rPr>
          <w:i/>
          <w:iCs/>
          <w:sz w:val="26"/>
          <w:szCs w:val="26"/>
        </w:rPr>
        <w:t>Executive Order</w:t>
      </w:r>
      <w:r w:rsidR="00614584" w:rsidRPr="000E2FCD">
        <w:rPr>
          <w:sz w:val="26"/>
          <w:szCs w:val="26"/>
        </w:rPr>
        <w:t xml:space="preserve"> at 2</w:t>
      </w:r>
      <w:r w:rsidR="00520BE4" w:rsidRPr="000E2FCD">
        <w:rPr>
          <w:sz w:val="26"/>
          <w:szCs w:val="26"/>
        </w:rPr>
        <w:t>.</w:t>
      </w:r>
      <w:r w:rsidR="00E06304">
        <w:rPr>
          <w:sz w:val="26"/>
          <w:szCs w:val="26"/>
        </w:rPr>
        <w:t xml:space="preserve">  </w:t>
      </w:r>
      <w:r w:rsidR="00FD527C">
        <w:rPr>
          <w:sz w:val="26"/>
          <w:szCs w:val="26"/>
        </w:rPr>
        <w:t>The Commission</w:t>
      </w:r>
      <w:r w:rsidR="00C87694">
        <w:rPr>
          <w:sz w:val="26"/>
          <w:szCs w:val="26"/>
        </w:rPr>
        <w:t>,</w:t>
      </w:r>
      <w:r w:rsidR="00FD527C">
        <w:rPr>
          <w:sz w:val="26"/>
          <w:szCs w:val="26"/>
        </w:rPr>
        <w:t xml:space="preserve"> in its </w:t>
      </w:r>
      <w:r w:rsidR="000B169C" w:rsidRPr="00215BAF">
        <w:rPr>
          <w:i/>
          <w:iCs/>
          <w:sz w:val="26"/>
          <w:szCs w:val="26"/>
        </w:rPr>
        <w:t>Emergency Order</w:t>
      </w:r>
      <w:r w:rsidR="00C87694">
        <w:rPr>
          <w:sz w:val="26"/>
          <w:szCs w:val="26"/>
        </w:rPr>
        <w:t xml:space="preserve">, </w:t>
      </w:r>
      <w:r w:rsidR="00614584">
        <w:rPr>
          <w:sz w:val="26"/>
          <w:szCs w:val="26"/>
        </w:rPr>
        <w:t xml:space="preserve">expounded on those criteria by noting </w:t>
      </w:r>
      <w:r w:rsidR="000139FA">
        <w:rPr>
          <w:sz w:val="26"/>
          <w:szCs w:val="26"/>
        </w:rPr>
        <w:t>that</w:t>
      </w:r>
      <w:r w:rsidR="00614584">
        <w:rPr>
          <w:sz w:val="26"/>
          <w:szCs w:val="26"/>
        </w:rPr>
        <w:t xml:space="preserve"> suspension of deadlines would be appropriate </w:t>
      </w:r>
      <w:r w:rsidR="000B169C">
        <w:rPr>
          <w:sz w:val="26"/>
          <w:szCs w:val="26"/>
        </w:rPr>
        <w:t xml:space="preserve">if adhering to the deadline would “hinder, rather than further, the mission of the Commission, after consultation with all interested parties, as deemed necessary and appropriate.”  </w:t>
      </w:r>
      <w:r w:rsidR="000B169C" w:rsidRPr="00215BAF">
        <w:rPr>
          <w:i/>
          <w:iCs/>
          <w:sz w:val="26"/>
          <w:szCs w:val="26"/>
        </w:rPr>
        <w:t>Emergency Order</w:t>
      </w:r>
      <w:r w:rsidR="000B169C">
        <w:rPr>
          <w:sz w:val="26"/>
          <w:szCs w:val="26"/>
        </w:rPr>
        <w:t xml:space="preserve"> at 4.  </w:t>
      </w:r>
    </w:p>
    <w:p w14:paraId="010CA934" w14:textId="77777777" w:rsidR="00921FBF" w:rsidRDefault="00921FBF" w:rsidP="00921FBF">
      <w:pPr>
        <w:ind w:firstLine="0"/>
        <w:rPr>
          <w:sz w:val="26"/>
          <w:szCs w:val="26"/>
        </w:rPr>
      </w:pPr>
    </w:p>
    <w:p w14:paraId="5DC3D2A8" w14:textId="77777777" w:rsidR="00BC401D" w:rsidRDefault="00614584" w:rsidP="00921FBF">
      <w:pPr>
        <w:ind w:firstLine="0"/>
        <w:rPr>
          <w:sz w:val="26"/>
          <w:szCs w:val="26"/>
        </w:rPr>
      </w:pPr>
      <w:r>
        <w:rPr>
          <w:sz w:val="26"/>
          <w:szCs w:val="26"/>
        </w:rPr>
        <w:tab/>
      </w:r>
      <w:r>
        <w:rPr>
          <w:sz w:val="26"/>
          <w:szCs w:val="26"/>
        </w:rPr>
        <w:tab/>
        <w:t xml:space="preserve">Initially, we note that the provisions of the </w:t>
      </w:r>
      <w:r w:rsidRPr="002457DE">
        <w:rPr>
          <w:i/>
          <w:sz w:val="26"/>
          <w:szCs w:val="26"/>
        </w:rPr>
        <w:t>Executive Order</w:t>
      </w:r>
      <w:r>
        <w:rPr>
          <w:sz w:val="26"/>
          <w:szCs w:val="26"/>
        </w:rPr>
        <w:t xml:space="preserve"> are applicable to the </w:t>
      </w:r>
      <w:r w:rsidR="008F5614">
        <w:rPr>
          <w:sz w:val="26"/>
          <w:szCs w:val="26"/>
        </w:rPr>
        <w:t xml:space="preserve">Code </w:t>
      </w:r>
      <w:r>
        <w:rPr>
          <w:sz w:val="26"/>
          <w:szCs w:val="26"/>
        </w:rPr>
        <w:t xml:space="preserve">since </w:t>
      </w:r>
      <w:r w:rsidR="00BC401D">
        <w:rPr>
          <w:sz w:val="26"/>
          <w:szCs w:val="26"/>
        </w:rPr>
        <w:t xml:space="preserve">it </w:t>
      </w:r>
      <w:r>
        <w:rPr>
          <w:sz w:val="26"/>
          <w:szCs w:val="26"/>
        </w:rPr>
        <w:t>is a regulatory statute</w:t>
      </w:r>
      <w:r w:rsidR="00BC401D">
        <w:rPr>
          <w:sz w:val="26"/>
          <w:szCs w:val="26"/>
        </w:rPr>
        <w:t xml:space="preserve">. </w:t>
      </w:r>
      <w:r w:rsidR="00C87694">
        <w:rPr>
          <w:sz w:val="26"/>
          <w:szCs w:val="26"/>
        </w:rPr>
        <w:t xml:space="preserve"> </w:t>
      </w:r>
      <w:r w:rsidR="00BC401D">
        <w:rPr>
          <w:sz w:val="26"/>
          <w:szCs w:val="26"/>
        </w:rPr>
        <w:t>T</w:t>
      </w:r>
      <w:r>
        <w:rPr>
          <w:sz w:val="26"/>
          <w:szCs w:val="26"/>
        </w:rPr>
        <w:t>herefore</w:t>
      </w:r>
      <w:r w:rsidR="00BC401D">
        <w:rPr>
          <w:sz w:val="26"/>
          <w:szCs w:val="26"/>
        </w:rPr>
        <w:t>,</w:t>
      </w:r>
      <w:r>
        <w:rPr>
          <w:sz w:val="26"/>
          <w:szCs w:val="26"/>
        </w:rPr>
        <w:t xml:space="preserve"> the </w:t>
      </w:r>
      <w:r w:rsidR="00E6451E">
        <w:rPr>
          <w:sz w:val="26"/>
          <w:szCs w:val="26"/>
        </w:rPr>
        <w:t>Commission</w:t>
      </w:r>
      <w:r w:rsidR="00BC401D">
        <w:rPr>
          <w:sz w:val="26"/>
          <w:szCs w:val="26"/>
        </w:rPr>
        <w:t>,</w:t>
      </w:r>
      <w:r w:rsidR="00E6451E">
        <w:rPr>
          <w:sz w:val="26"/>
          <w:szCs w:val="26"/>
        </w:rPr>
        <w:t xml:space="preserve"> as the agency with the oversight and enforcement of the Code</w:t>
      </w:r>
      <w:r w:rsidR="00BC401D">
        <w:rPr>
          <w:sz w:val="26"/>
          <w:szCs w:val="26"/>
        </w:rPr>
        <w:t>,</w:t>
      </w:r>
      <w:r w:rsidR="00E6451E">
        <w:rPr>
          <w:sz w:val="26"/>
          <w:szCs w:val="26"/>
        </w:rPr>
        <w:t xml:space="preserve"> may exercise the </w:t>
      </w:r>
      <w:r>
        <w:rPr>
          <w:sz w:val="26"/>
          <w:szCs w:val="26"/>
        </w:rPr>
        <w:t xml:space="preserve">authority conferred </w:t>
      </w:r>
      <w:r w:rsidR="00E6451E">
        <w:rPr>
          <w:sz w:val="26"/>
          <w:szCs w:val="26"/>
        </w:rPr>
        <w:t xml:space="preserve">by </w:t>
      </w:r>
      <w:r>
        <w:rPr>
          <w:sz w:val="26"/>
          <w:szCs w:val="26"/>
        </w:rPr>
        <w:t xml:space="preserve">the </w:t>
      </w:r>
      <w:r w:rsidRPr="002457DE">
        <w:rPr>
          <w:i/>
          <w:sz w:val="26"/>
          <w:szCs w:val="26"/>
        </w:rPr>
        <w:t>Executive Order</w:t>
      </w:r>
      <w:r w:rsidR="00E6451E">
        <w:rPr>
          <w:sz w:val="26"/>
          <w:szCs w:val="26"/>
        </w:rPr>
        <w:t>.</w:t>
      </w:r>
      <w:r>
        <w:rPr>
          <w:sz w:val="26"/>
          <w:szCs w:val="26"/>
        </w:rPr>
        <w:t xml:space="preserve">  </w:t>
      </w:r>
      <w:r w:rsidR="00E6451E">
        <w:rPr>
          <w:sz w:val="26"/>
          <w:szCs w:val="26"/>
        </w:rPr>
        <w:t>Our</w:t>
      </w:r>
      <w:r>
        <w:rPr>
          <w:sz w:val="26"/>
          <w:szCs w:val="26"/>
        </w:rPr>
        <w:t xml:space="preserve"> </w:t>
      </w:r>
      <w:r w:rsidRPr="002457DE">
        <w:rPr>
          <w:i/>
          <w:sz w:val="26"/>
          <w:szCs w:val="26"/>
        </w:rPr>
        <w:t>Emergency Order</w:t>
      </w:r>
      <w:r>
        <w:rPr>
          <w:sz w:val="26"/>
          <w:szCs w:val="26"/>
        </w:rPr>
        <w:t xml:space="preserve"> </w:t>
      </w:r>
      <w:r w:rsidR="00BC401D">
        <w:rPr>
          <w:sz w:val="26"/>
          <w:szCs w:val="26"/>
        </w:rPr>
        <w:t>stated</w:t>
      </w:r>
      <w:r w:rsidR="0056705C">
        <w:rPr>
          <w:sz w:val="26"/>
          <w:szCs w:val="26"/>
        </w:rPr>
        <w:t>,</w:t>
      </w:r>
    </w:p>
    <w:p w14:paraId="3C755BA9" w14:textId="77777777" w:rsidR="0056705C" w:rsidRDefault="0056705C" w:rsidP="003638F8">
      <w:pPr>
        <w:spacing w:line="240" w:lineRule="auto"/>
        <w:ind w:firstLine="0"/>
        <w:rPr>
          <w:sz w:val="26"/>
          <w:szCs w:val="26"/>
        </w:rPr>
      </w:pPr>
    </w:p>
    <w:p w14:paraId="7D4A4585" w14:textId="77777777" w:rsidR="0056705C" w:rsidRDefault="0056705C" w:rsidP="002457DE">
      <w:pPr>
        <w:spacing w:line="240" w:lineRule="auto"/>
        <w:ind w:left="1350" w:firstLine="90"/>
        <w:rPr>
          <w:color w:val="000000"/>
          <w:sz w:val="26"/>
          <w:szCs w:val="26"/>
        </w:rPr>
      </w:pPr>
      <w:r w:rsidRPr="00950543">
        <w:rPr>
          <w:bCs/>
          <w:sz w:val="26"/>
          <w:szCs w:val="26"/>
        </w:rPr>
        <w:t>All Bureau Directors are hereby delegated the authority to s</w:t>
      </w:r>
      <w:r w:rsidRPr="00950543">
        <w:rPr>
          <w:color w:val="000000"/>
          <w:sz w:val="26"/>
          <w:szCs w:val="26"/>
        </w:rPr>
        <w:t xml:space="preserve">uspend, </w:t>
      </w:r>
    </w:p>
    <w:p w14:paraId="255A0B6F" w14:textId="77777777" w:rsidR="0056705C" w:rsidRDefault="0056705C" w:rsidP="002457DE">
      <w:pPr>
        <w:spacing w:line="240" w:lineRule="auto"/>
        <w:ind w:left="1440" w:firstLine="0"/>
        <w:rPr>
          <w:sz w:val="26"/>
          <w:szCs w:val="26"/>
        </w:rPr>
      </w:pPr>
      <w:r w:rsidRPr="00950543">
        <w:rPr>
          <w:color w:val="000000"/>
          <w:sz w:val="26"/>
          <w:szCs w:val="26"/>
        </w:rPr>
        <w:t xml:space="preserve">extend, </w:t>
      </w:r>
      <w:proofErr w:type="gramStart"/>
      <w:r w:rsidRPr="00950543">
        <w:rPr>
          <w:color w:val="000000"/>
          <w:sz w:val="26"/>
          <w:szCs w:val="26"/>
        </w:rPr>
        <w:t>waive</w:t>
      </w:r>
      <w:proofErr w:type="gramEnd"/>
      <w:r w:rsidRPr="00950543">
        <w:rPr>
          <w:color w:val="000000"/>
          <w:sz w:val="26"/>
          <w:szCs w:val="26"/>
        </w:rPr>
        <w:t xml:space="preserve"> or change a</w:t>
      </w:r>
      <w:r w:rsidRPr="00950543">
        <w:rPr>
          <w:bCs/>
          <w:sz w:val="26"/>
          <w:szCs w:val="26"/>
        </w:rPr>
        <w:t xml:space="preserve"> statutory or regulatory deadline </w:t>
      </w:r>
      <w:r w:rsidRPr="0046531B">
        <w:rPr>
          <w:bCs/>
          <w:i/>
          <w:iCs/>
          <w:sz w:val="26"/>
          <w:szCs w:val="26"/>
        </w:rPr>
        <w:t>which may hinder, rather than further, the mission of the Commission</w:t>
      </w:r>
      <w:r w:rsidRPr="00950543">
        <w:rPr>
          <w:bCs/>
          <w:sz w:val="26"/>
          <w:szCs w:val="26"/>
        </w:rPr>
        <w:t>, after consultation with all interested parties, as deemed necessary and appropriate</w:t>
      </w:r>
    </w:p>
    <w:p w14:paraId="0A756E94" w14:textId="77777777" w:rsidR="0056705C" w:rsidRDefault="0056705C" w:rsidP="003638F8">
      <w:pPr>
        <w:ind w:firstLine="0"/>
        <w:rPr>
          <w:sz w:val="26"/>
          <w:szCs w:val="26"/>
        </w:rPr>
      </w:pPr>
    </w:p>
    <w:p w14:paraId="561FE1A8" w14:textId="77777777" w:rsidR="0056705C" w:rsidRPr="002C64DB" w:rsidRDefault="0056705C" w:rsidP="003638F8">
      <w:pPr>
        <w:ind w:firstLine="0"/>
        <w:rPr>
          <w:rFonts w:eastAsiaTheme="minorHAnsi"/>
          <w:sz w:val="26"/>
          <w:szCs w:val="26"/>
        </w:rPr>
      </w:pPr>
      <w:r w:rsidRPr="00950531">
        <w:rPr>
          <w:rFonts w:eastAsiaTheme="minorHAnsi"/>
          <w:i/>
          <w:iCs/>
          <w:sz w:val="26"/>
          <w:szCs w:val="26"/>
        </w:rPr>
        <w:t>Emergency Order</w:t>
      </w:r>
      <w:r>
        <w:rPr>
          <w:rFonts w:eastAsiaTheme="minorHAnsi"/>
          <w:sz w:val="26"/>
          <w:szCs w:val="26"/>
        </w:rPr>
        <w:t xml:space="preserve"> at 2, </w:t>
      </w:r>
      <w:r>
        <w:rPr>
          <w:sz w:val="26"/>
          <w:szCs w:val="26"/>
        </w:rPr>
        <w:t>4, Ordering Paragraph (OP) No. 4 (emphasis added).</w:t>
      </w:r>
    </w:p>
    <w:p w14:paraId="2020C539" w14:textId="77777777" w:rsidR="0056705C" w:rsidRDefault="0056705C" w:rsidP="003638F8">
      <w:pPr>
        <w:pStyle w:val="NoSpacing"/>
        <w:spacing w:line="360" w:lineRule="auto"/>
        <w:rPr>
          <w:rFonts w:ascii="Times New Roman" w:hAnsi="Times New Roman"/>
          <w:bCs/>
          <w:sz w:val="26"/>
          <w:szCs w:val="26"/>
        </w:rPr>
      </w:pPr>
    </w:p>
    <w:p w14:paraId="243AD15C" w14:textId="77777777" w:rsidR="0056705C" w:rsidRDefault="0056705C" w:rsidP="003638F8">
      <w:pPr>
        <w:pStyle w:val="NoSpacing"/>
        <w:keepNext/>
        <w:keepLines/>
        <w:spacing w:line="360" w:lineRule="auto"/>
        <w:ind w:firstLine="1440"/>
        <w:rPr>
          <w:rFonts w:ascii="Times New Roman" w:hAnsi="Times New Roman"/>
          <w:bCs/>
          <w:sz w:val="26"/>
          <w:szCs w:val="26"/>
        </w:rPr>
      </w:pPr>
      <w:r>
        <w:rPr>
          <w:rFonts w:ascii="Times New Roman" w:hAnsi="Times New Roman"/>
          <w:bCs/>
          <w:sz w:val="26"/>
          <w:szCs w:val="26"/>
        </w:rPr>
        <w:lastRenderedPageBreak/>
        <w:t xml:space="preserve">With respect to the application of this delegated authority in general base rate cases, we stated as follows: </w:t>
      </w:r>
    </w:p>
    <w:p w14:paraId="7F7E6BFE" w14:textId="77777777" w:rsidR="0056705C" w:rsidRDefault="0056705C" w:rsidP="003638F8">
      <w:pPr>
        <w:pStyle w:val="NoSpacing"/>
        <w:keepNext/>
        <w:keepLines/>
        <w:ind w:left="1440"/>
        <w:rPr>
          <w:rFonts w:ascii="Times New Roman" w:hAnsi="Times New Roman"/>
          <w:bCs/>
          <w:sz w:val="26"/>
          <w:szCs w:val="26"/>
        </w:rPr>
      </w:pPr>
    </w:p>
    <w:p w14:paraId="3001EA9B" w14:textId="77777777" w:rsidR="0056705C" w:rsidRPr="004D6092" w:rsidRDefault="0056705C" w:rsidP="003638F8">
      <w:pPr>
        <w:pStyle w:val="NoSpacing"/>
        <w:keepNext/>
        <w:keepLines/>
        <w:ind w:left="1440" w:right="1440"/>
        <w:rPr>
          <w:rFonts w:ascii="Times New Roman" w:hAnsi="Times New Roman"/>
          <w:bCs/>
          <w:sz w:val="26"/>
          <w:szCs w:val="26"/>
        </w:rPr>
      </w:pPr>
      <w:r>
        <w:rPr>
          <w:rFonts w:ascii="Times New Roman" w:hAnsi="Times New Roman"/>
          <w:bCs/>
          <w:sz w:val="26"/>
          <w:szCs w:val="26"/>
        </w:rPr>
        <w:t>[I]</w:t>
      </w:r>
      <w:r w:rsidRPr="00995629">
        <w:rPr>
          <w:rFonts w:ascii="Times New Roman" w:hAnsi="Times New Roman"/>
          <w:bCs/>
          <w:sz w:val="26"/>
          <w:szCs w:val="26"/>
        </w:rPr>
        <w:t>n pending rate case litigation, the Chief Administrative Law Judge is authorized to establish reasonable deadlines under the circumstances after consideration of the positions of the parties and the presiding Administrative Law Judge.  The Chief Administrative Law Judge’s decision would then be subject to review by the Commission.</w:t>
      </w:r>
      <w:r w:rsidRPr="004D6092">
        <w:rPr>
          <w:rFonts w:ascii="Times New Roman" w:hAnsi="Times New Roman"/>
          <w:bCs/>
          <w:sz w:val="26"/>
          <w:szCs w:val="26"/>
        </w:rPr>
        <w:t xml:space="preserve">  </w:t>
      </w:r>
    </w:p>
    <w:p w14:paraId="5492158C" w14:textId="77777777" w:rsidR="0056705C" w:rsidRDefault="0056705C" w:rsidP="0056705C">
      <w:pPr>
        <w:ind w:firstLine="0"/>
        <w:rPr>
          <w:rFonts w:eastAsiaTheme="minorHAnsi"/>
          <w:i/>
          <w:iCs/>
          <w:sz w:val="26"/>
          <w:szCs w:val="26"/>
        </w:rPr>
      </w:pPr>
    </w:p>
    <w:p w14:paraId="03518284" w14:textId="77777777" w:rsidR="0056705C" w:rsidRPr="006C21A4" w:rsidRDefault="0056705C" w:rsidP="0056705C">
      <w:pPr>
        <w:ind w:firstLine="0"/>
        <w:rPr>
          <w:rFonts w:eastAsiaTheme="minorHAnsi"/>
          <w:sz w:val="26"/>
          <w:szCs w:val="26"/>
        </w:rPr>
      </w:pPr>
      <w:r w:rsidRPr="00950531">
        <w:rPr>
          <w:rFonts w:eastAsiaTheme="minorHAnsi"/>
          <w:i/>
          <w:iCs/>
          <w:sz w:val="26"/>
          <w:szCs w:val="26"/>
        </w:rPr>
        <w:t>Emergency Order</w:t>
      </w:r>
      <w:r>
        <w:rPr>
          <w:rFonts w:eastAsiaTheme="minorHAnsi"/>
          <w:sz w:val="26"/>
          <w:szCs w:val="26"/>
        </w:rPr>
        <w:t xml:space="preserve"> at 2. </w:t>
      </w:r>
      <w:r w:rsidRPr="00830414">
        <w:rPr>
          <w:color w:val="000000"/>
          <w:sz w:val="26"/>
          <w:szCs w:val="26"/>
        </w:rPr>
        <w:t> </w:t>
      </w:r>
    </w:p>
    <w:p w14:paraId="6908AF95" w14:textId="77777777" w:rsidR="007425E3" w:rsidRDefault="007425E3" w:rsidP="007425E3">
      <w:pPr>
        <w:rPr>
          <w:kern w:val="24"/>
          <w:sz w:val="26"/>
          <w:szCs w:val="26"/>
        </w:rPr>
      </w:pPr>
      <w:bookmarkStart w:id="22" w:name="_Hlk45619181"/>
    </w:p>
    <w:p w14:paraId="0D44D8BA" w14:textId="65EDC013" w:rsidR="007425E3" w:rsidRDefault="00CD6F40" w:rsidP="00E27769">
      <w:pPr>
        <w:rPr>
          <w:sz w:val="26"/>
          <w:szCs w:val="26"/>
        </w:rPr>
      </w:pPr>
      <w:r>
        <w:rPr>
          <w:bCs/>
          <w:sz w:val="26"/>
          <w:szCs w:val="26"/>
        </w:rPr>
        <w:t>In particular</w:t>
      </w:r>
      <w:r w:rsidR="007F4960">
        <w:rPr>
          <w:bCs/>
          <w:sz w:val="26"/>
          <w:szCs w:val="26"/>
        </w:rPr>
        <w:t>,</w:t>
      </w:r>
      <w:r>
        <w:rPr>
          <w:bCs/>
          <w:sz w:val="26"/>
          <w:szCs w:val="26"/>
        </w:rPr>
        <w:t xml:space="preserve"> we note that the </w:t>
      </w:r>
      <w:r w:rsidRPr="002457DE">
        <w:rPr>
          <w:bCs/>
          <w:i/>
          <w:iCs/>
          <w:sz w:val="26"/>
          <w:szCs w:val="26"/>
        </w:rPr>
        <w:t>Emergency Order</w:t>
      </w:r>
      <w:r>
        <w:rPr>
          <w:bCs/>
          <w:sz w:val="26"/>
          <w:szCs w:val="26"/>
        </w:rPr>
        <w:t xml:space="preserve"> </w:t>
      </w:r>
      <w:r w:rsidR="009E0A15">
        <w:rPr>
          <w:bCs/>
          <w:sz w:val="26"/>
          <w:szCs w:val="26"/>
        </w:rPr>
        <w:t xml:space="preserve">grants the </w:t>
      </w:r>
      <w:r w:rsidR="00880B42">
        <w:rPr>
          <w:bCs/>
          <w:sz w:val="26"/>
          <w:szCs w:val="26"/>
        </w:rPr>
        <w:t>CALJ</w:t>
      </w:r>
      <w:r>
        <w:rPr>
          <w:bCs/>
          <w:sz w:val="26"/>
          <w:szCs w:val="26"/>
        </w:rPr>
        <w:t xml:space="preserve"> </w:t>
      </w:r>
      <w:r w:rsidRPr="00950543">
        <w:rPr>
          <w:bCs/>
          <w:sz w:val="26"/>
          <w:szCs w:val="26"/>
        </w:rPr>
        <w:t>the authority to s</w:t>
      </w:r>
      <w:r w:rsidRPr="00950543">
        <w:rPr>
          <w:color w:val="000000"/>
          <w:sz w:val="26"/>
          <w:szCs w:val="26"/>
        </w:rPr>
        <w:t>uspend, extend, waive or change a</w:t>
      </w:r>
      <w:r w:rsidRPr="00950543">
        <w:rPr>
          <w:bCs/>
          <w:sz w:val="26"/>
          <w:szCs w:val="26"/>
        </w:rPr>
        <w:t xml:space="preserve"> statutory or regulatory deadline </w:t>
      </w:r>
      <w:r w:rsidRPr="0046531B">
        <w:rPr>
          <w:bCs/>
          <w:i/>
          <w:iCs/>
          <w:sz w:val="26"/>
          <w:szCs w:val="26"/>
        </w:rPr>
        <w:t>which may hinder, rather than further, the mission of the Commission</w:t>
      </w:r>
      <w:r w:rsidRPr="00950543">
        <w:rPr>
          <w:bCs/>
          <w:sz w:val="26"/>
          <w:szCs w:val="26"/>
        </w:rPr>
        <w:t>, after consultation with all interested parties, as deemed necessary and appropriate</w:t>
      </w:r>
      <w:r>
        <w:rPr>
          <w:bCs/>
          <w:sz w:val="26"/>
          <w:szCs w:val="26"/>
        </w:rPr>
        <w:t xml:space="preserve">.  </w:t>
      </w:r>
      <w:r w:rsidR="007425E3">
        <w:rPr>
          <w:sz w:val="26"/>
          <w:szCs w:val="26"/>
        </w:rPr>
        <w:t xml:space="preserve">We conclude that the </w:t>
      </w:r>
      <w:r w:rsidR="00880B42">
        <w:rPr>
          <w:sz w:val="26"/>
          <w:szCs w:val="26"/>
        </w:rPr>
        <w:t>CALJ</w:t>
      </w:r>
      <w:r w:rsidR="007425E3">
        <w:rPr>
          <w:sz w:val="26"/>
          <w:szCs w:val="26"/>
        </w:rPr>
        <w:t xml:space="preserve"> properly considered the basis presented by the moving party, the OCA, regarding the vast challenges facing the Parties</w:t>
      </w:r>
      <w:r w:rsidR="0056705C">
        <w:rPr>
          <w:sz w:val="26"/>
          <w:szCs w:val="26"/>
        </w:rPr>
        <w:t>, and the potential impact to the public</w:t>
      </w:r>
      <w:r w:rsidR="007425E3">
        <w:rPr>
          <w:sz w:val="26"/>
          <w:szCs w:val="26"/>
        </w:rPr>
        <w:t>, due to the COVID-19 emergency</w:t>
      </w:r>
      <w:r w:rsidR="0056705C">
        <w:rPr>
          <w:sz w:val="26"/>
          <w:szCs w:val="26"/>
        </w:rPr>
        <w:t xml:space="preserve"> and the litigation in this matter.  </w:t>
      </w:r>
      <w:r>
        <w:rPr>
          <w:sz w:val="26"/>
          <w:szCs w:val="26"/>
        </w:rPr>
        <w:t xml:space="preserve">Governor Wolf and this Commission recognize that we have been and continue to be in unprecedented and challenging circumstances in the Commonwealth, the </w:t>
      </w:r>
      <w:r w:rsidR="00DD04BF">
        <w:rPr>
          <w:sz w:val="26"/>
          <w:szCs w:val="26"/>
        </w:rPr>
        <w:t>nation,</w:t>
      </w:r>
      <w:r>
        <w:rPr>
          <w:sz w:val="26"/>
          <w:szCs w:val="26"/>
        </w:rPr>
        <w:t xml:space="preserve"> </w:t>
      </w:r>
      <w:r w:rsidR="002457DE">
        <w:rPr>
          <w:sz w:val="26"/>
          <w:szCs w:val="26"/>
        </w:rPr>
        <w:t>and</w:t>
      </w:r>
      <w:r>
        <w:rPr>
          <w:sz w:val="26"/>
          <w:szCs w:val="26"/>
        </w:rPr>
        <w:t xml:space="preserve"> the globe.  </w:t>
      </w:r>
      <w:r w:rsidR="00E27769">
        <w:rPr>
          <w:sz w:val="26"/>
          <w:szCs w:val="26"/>
        </w:rPr>
        <w:t>Consequently</w:t>
      </w:r>
      <w:r>
        <w:rPr>
          <w:sz w:val="26"/>
          <w:szCs w:val="26"/>
        </w:rPr>
        <w:t>, litigating a base rate case withou</w:t>
      </w:r>
      <w:r w:rsidRPr="00827B43">
        <w:rPr>
          <w:iCs/>
          <w:sz w:val="26"/>
          <w:szCs w:val="26"/>
        </w:rPr>
        <w:t>t</w:t>
      </w:r>
      <w:r w:rsidR="00E27769" w:rsidRPr="002457DE">
        <w:rPr>
          <w:i/>
          <w:sz w:val="26"/>
          <w:szCs w:val="26"/>
        </w:rPr>
        <w:t>, inter alia</w:t>
      </w:r>
      <w:r w:rsidR="00E27769">
        <w:rPr>
          <w:sz w:val="26"/>
          <w:szCs w:val="26"/>
        </w:rPr>
        <w:t>, office resources, an in-person hearing, etc</w:t>
      </w:r>
      <w:r w:rsidR="00C87694">
        <w:rPr>
          <w:sz w:val="26"/>
          <w:szCs w:val="26"/>
        </w:rPr>
        <w:t>.</w:t>
      </w:r>
      <w:r w:rsidR="00E27769">
        <w:rPr>
          <w:sz w:val="26"/>
          <w:szCs w:val="26"/>
        </w:rPr>
        <w:t xml:space="preserve"> may be challenging.  As a result</w:t>
      </w:r>
      <w:r w:rsidR="008F5614">
        <w:rPr>
          <w:sz w:val="26"/>
          <w:szCs w:val="26"/>
        </w:rPr>
        <w:t>,</w:t>
      </w:r>
      <w:r w:rsidR="00E27769">
        <w:rPr>
          <w:sz w:val="26"/>
          <w:szCs w:val="26"/>
        </w:rPr>
        <w:t xml:space="preserve"> </w:t>
      </w:r>
      <w:r>
        <w:rPr>
          <w:sz w:val="26"/>
          <w:szCs w:val="26"/>
        </w:rPr>
        <w:t>the current circumstances may hinder the mission of the Commission concerning this matter and the public interest</w:t>
      </w:r>
      <w:r w:rsidR="00E27769">
        <w:rPr>
          <w:sz w:val="26"/>
          <w:szCs w:val="26"/>
        </w:rPr>
        <w:t>.</w:t>
      </w:r>
      <w:r w:rsidR="007425E3">
        <w:rPr>
          <w:sz w:val="26"/>
          <w:szCs w:val="26"/>
        </w:rPr>
        <w:t xml:space="preserve">  </w:t>
      </w:r>
      <w:r w:rsidR="00E27769">
        <w:rPr>
          <w:sz w:val="26"/>
          <w:szCs w:val="26"/>
        </w:rPr>
        <w:t xml:space="preserve">Therefore, </w:t>
      </w:r>
      <w:r w:rsidR="007425E3">
        <w:rPr>
          <w:sz w:val="26"/>
          <w:szCs w:val="26"/>
        </w:rPr>
        <w:t xml:space="preserve">the </w:t>
      </w:r>
      <w:r w:rsidR="00880B42">
        <w:rPr>
          <w:sz w:val="26"/>
          <w:szCs w:val="26"/>
        </w:rPr>
        <w:t>CALJ</w:t>
      </w:r>
      <w:r w:rsidR="007425E3">
        <w:rPr>
          <w:sz w:val="26"/>
          <w:szCs w:val="26"/>
        </w:rPr>
        <w:t xml:space="preserve">’s decision to extend the procedural schedule reflects a proper exercise of his authority pursuant to both Section 1308(d) of the Code and the </w:t>
      </w:r>
      <w:r w:rsidR="007425E3" w:rsidRPr="00DC4B04">
        <w:rPr>
          <w:i/>
          <w:iCs/>
          <w:sz w:val="26"/>
          <w:szCs w:val="26"/>
        </w:rPr>
        <w:t>Emergency Order</w:t>
      </w:r>
      <w:r w:rsidR="007425E3">
        <w:rPr>
          <w:sz w:val="26"/>
          <w:szCs w:val="26"/>
        </w:rPr>
        <w:t xml:space="preserve"> </w:t>
      </w:r>
      <w:r w:rsidR="007425E3" w:rsidRPr="004F4E0C">
        <w:rPr>
          <w:sz w:val="26"/>
          <w:szCs w:val="26"/>
        </w:rPr>
        <w:t xml:space="preserve">to provide more time </w:t>
      </w:r>
      <w:r w:rsidR="007425E3">
        <w:rPr>
          <w:sz w:val="26"/>
          <w:szCs w:val="26"/>
        </w:rPr>
        <w:t>for the Parties</w:t>
      </w:r>
      <w:r w:rsidR="007425E3" w:rsidRPr="004F4E0C">
        <w:rPr>
          <w:sz w:val="26"/>
          <w:szCs w:val="26"/>
        </w:rPr>
        <w:t xml:space="preserve"> </w:t>
      </w:r>
      <w:r w:rsidR="007425E3">
        <w:rPr>
          <w:sz w:val="26"/>
          <w:szCs w:val="26"/>
        </w:rPr>
        <w:t xml:space="preserve">to </w:t>
      </w:r>
      <w:r w:rsidR="007425E3" w:rsidRPr="004F4E0C">
        <w:rPr>
          <w:sz w:val="26"/>
          <w:szCs w:val="26"/>
        </w:rPr>
        <w:t>review</w:t>
      </w:r>
      <w:r w:rsidR="007425E3">
        <w:rPr>
          <w:sz w:val="26"/>
          <w:szCs w:val="26"/>
        </w:rPr>
        <w:t xml:space="preserve">, analyze, and prepare adequately-supported positions in this proceeding.  </w:t>
      </w:r>
      <w:bookmarkEnd w:id="22"/>
    </w:p>
    <w:p w14:paraId="253B09C6" w14:textId="77777777" w:rsidR="007425E3" w:rsidRDefault="007425E3" w:rsidP="007425E3">
      <w:pPr>
        <w:rPr>
          <w:sz w:val="26"/>
          <w:szCs w:val="26"/>
        </w:rPr>
      </w:pPr>
    </w:p>
    <w:p w14:paraId="64F2BF3A" w14:textId="1FF8A89F" w:rsidR="00825DE6" w:rsidRDefault="007425E3" w:rsidP="007425E3">
      <w:pPr>
        <w:rPr>
          <w:sz w:val="26"/>
          <w:szCs w:val="26"/>
        </w:rPr>
      </w:pPr>
      <w:r>
        <w:rPr>
          <w:sz w:val="26"/>
          <w:szCs w:val="26"/>
        </w:rPr>
        <w:t xml:space="preserve">Based on the foregoing analysis, </w:t>
      </w:r>
      <w:bookmarkStart w:id="23" w:name="_Hlk45702599"/>
      <w:r>
        <w:rPr>
          <w:sz w:val="26"/>
          <w:szCs w:val="26"/>
        </w:rPr>
        <w:t xml:space="preserve">we shall affirm the </w:t>
      </w:r>
      <w:r w:rsidR="00880B42">
        <w:rPr>
          <w:sz w:val="26"/>
          <w:szCs w:val="26"/>
        </w:rPr>
        <w:t>CALJ</w:t>
      </w:r>
      <w:r>
        <w:rPr>
          <w:sz w:val="26"/>
          <w:szCs w:val="26"/>
        </w:rPr>
        <w:t xml:space="preserve">’s decision in the </w:t>
      </w:r>
      <w:r w:rsidRPr="00C560E0">
        <w:rPr>
          <w:i/>
          <w:iCs/>
          <w:sz w:val="26"/>
          <w:szCs w:val="26"/>
        </w:rPr>
        <w:t>Extension Order</w:t>
      </w:r>
      <w:r>
        <w:rPr>
          <w:sz w:val="26"/>
          <w:szCs w:val="26"/>
        </w:rPr>
        <w:t xml:space="preserve"> to grant </w:t>
      </w:r>
      <w:r w:rsidR="00375AB3">
        <w:rPr>
          <w:sz w:val="26"/>
          <w:szCs w:val="26"/>
        </w:rPr>
        <w:t xml:space="preserve">the </w:t>
      </w:r>
      <w:r w:rsidR="00E55C50">
        <w:rPr>
          <w:sz w:val="26"/>
          <w:szCs w:val="26"/>
        </w:rPr>
        <w:t>OCA’s</w:t>
      </w:r>
      <w:r>
        <w:rPr>
          <w:sz w:val="26"/>
          <w:szCs w:val="26"/>
        </w:rPr>
        <w:t xml:space="preserve"> request for an additional </w:t>
      </w:r>
      <w:r w:rsidR="00E27769">
        <w:rPr>
          <w:sz w:val="26"/>
          <w:szCs w:val="26"/>
        </w:rPr>
        <w:t xml:space="preserve">forty-five </w:t>
      </w:r>
      <w:r>
        <w:rPr>
          <w:sz w:val="26"/>
          <w:szCs w:val="26"/>
        </w:rPr>
        <w:t xml:space="preserve">days in the </w:t>
      </w:r>
      <w:r>
        <w:rPr>
          <w:sz w:val="26"/>
          <w:szCs w:val="26"/>
        </w:rPr>
        <w:lastRenderedPageBreak/>
        <w:t xml:space="preserve">procedural schedule.  </w:t>
      </w:r>
      <w:bookmarkStart w:id="24" w:name="_Hlk45704136"/>
      <w:bookmarkEnd w:id="23"/>
      <w:r w:rsidR="00E27769">
        <w:rPr>
          <w:sz w:val="26"/>
          <w:szCs w:val="26"/>
        </w:rPr>
        <w:t xml:space="preserve">Therefore, the presiding ALJ shall modify, if necessary, the procedural schedule consistent with this Opinion and Order.  </w:t>
      </w:r>
    </w:p>
    <w:p w14:paraId="4F9F0D27" w14:textId="77777777" w:rsidR="00825DE6" w:rsidRDefault="00825DE6" w:rsidP="007425E3">
      <w:pPr>
        <w:rPr>
          <w:sz w:val="26"/>
          <w:szCs w:val="26"/>
        </w:rPr>
      </w:pPr>
    </w:p>
    <w:p w14:paraId="23C87F64" w14:textId="6B74D423" w:rsidR="006E2F67" w:rsidRDefault="000E2FCD" w:rsidP="003638F8">
      <w:pPr>
        <w:rPr>
          <w:sz w:val="26"/>
          <w:szCs w:val="26"/>
        </w:rPr>
      </w:pPr>
      <w:r w:rsidRPr="00A940C0">
        <w:rPr>
          <w:bCs/>
          <w:sz w:val="26"/>
          <w:szCs w:val="26"/>
        </w:rPr>
        <w:t xml:space="preserve">Because we are only authorizing the extension or suspension of </w:t>
      </w:r>
      <w:r w:rsidRPr="00A940C0">
        <w:rPr>
          <w:bCs/>
          <w:i/>
          <w:iCs/>
          <w:sz w:val="26"/>
          <w:szCs w:val="26"/>
        </w:rPr>
        <w:t>deadlines</w:t>
      </w:r>
      <w:r w:rsidRPr="00A940C0">
        <w:rPr>
          <w:bCs/>
          <w:sz w:val="26"/>
          <w:szCs w:val="26"/>
        </w:rPr>
        <w:t xml:space="preserve"> and not of substantive rights, f</w:t>
      </w:r>
      <w:r w:rsidRPr="002457DE">
        <w:rPr>
          <w:sz w:val="26"/>
          <w:szCs w:val="26"/>
        </w:rPr>
        <w:t xml:space="preserve">ailure to meet the seven-month deadline </w:t>
      </w:r>
      <w:r w:rsidRPr="00A940C0">
        <w:rPr>
          <w:bCs/>
          <w:sz w:val="26"/>
          <w:szCs w:val="26"/>
        </w:rPr>
        <w:t xml:space="preserve">would </w:t>
      </w:r>
      <w:r w:rsidRPr="002457DE">
        <w:rPr>
          <w:sz w:val="26"/>
          <w:szCs w:val="26"/>
        </w:rPr>
        <w:t xml:space="preserve">result </w:t>
      </w:r>
      <w:r w:rsidRPr="00F21092">
        <w:rPr>
          <w:sz w:val="26"/>
          <w:szCs w:val="26"/>
        </w:rPr>
        <w:t>in the proposed</w:t>
      </w:r>
      <w:r>
        <w:rPr>
          <w:sz w:val="26"/>
          <w:szCs w:val="26"/>
        </w:rPr>
        <w:t xml:space="preserve"> rates going into effect by operation of law.  </w:t>
      </w:r>
      <w:r w:rsidR="008B46B1">
        <w:rPr>
          <w:sz w:val="26"/>
          <w:szCs w:val="26"/>
        </w:rPr>
        <w:t xml:space="preserve"> </w:t>
      </w:r>
      <w:r w:rsidRPr="002A76CC">
        <w:rPr>
          <w:sz w:val="26"/>
          <w:szCs w:val="26"/>
        </w:rPr>
        <w:t xml:space="preserve">Therefore, we find that </w:t>
      </w:r>
      <w:r w:rsidR="006862A4">
        <w:rPr>
          <w:sz w:val="26"/>
          <w:szCs w:val="26"/>
        </w:rPr>
        <w:t>PAWC</w:t>
      </w:r>
      <w:r w:rsidR="006862A4" w:rsidRPr="002A76CC">
        <w:rPr>
          <w:sz w:val="26"/>
          <w:szCs w:val="26"/>
        </w:rPr>
        <w:t xml:space="preserve"> </w:t>
      </w:r>
      <w:r w:rsidRPr="002A76CC">
        <w:rPr>
          <w:sz w:val="26"/>
          <w:szCs w:val="26"/>
        </w:rPr>
        <w:t>is entitled to the appropriate rate relief in accordance with Section 1308(d) of the Code immediately following the end of the original statutory rate suspension period</w:t>
      </w:r>
      <w:r w:rsidR="002B1249">
        <w:rPr>
          <w:sz w:val="26"/>
          <w:szCs w:val="26"/>
        </w:rPr>
        <w:t>,</w:t>
      </w:r>
      <w:r>
        <w:rPr>
          <w:sz w:val="26"/>
          <w:szCs w:val="26"/>
        </w:rPr>
        <w:t xml:space="preserve"> which, in this case, is January 2</w:t>
      </w:r>
      <w:r w:rsidR="0072261A">
        <w:rPr>
          <w:sz w:val="26"/>
          <w:szCs w:val="26"/>
        </w:rPr>
        <w:t>8</w:t>
      </w:r>
      <w:r>
        <w:rPr>
          <w:sz w:val="26"/>
          <w:szCs w:val="26"/>
        </w:rPr>
        <w:t xml:space="preserve">, 2021.  </w:t>
      </w:r>
      <w:bookmarkEnd w:id="24"/>
    </w:p>
    <w:p w14:paraId="5DCBDA38" w14:textId="77777777" w:rsidR="0072261A" w:rsidRPr="0072261A" w:rsidRDefault="0072261A" w:rsidP="003638F8">
      <w:pPr>
        <w:rPr>
          <w:sz w:val="26"/>
          <w:szCs w:val="26"/>
        </w:rPr>
      </w:pPr>
    </w:p>
    <w:p w14:paraId="707F8DB4" w14:textId="0CE72A7C" w:rsidR="0072261A" w:rsidRPr="0072261A" w:rsidRDefault="0072261A" w:rsidP="003638F8">
      <w:pPr>
        <w:rPr>
          <w:sz w:val="26"/>
          <w:szCs w:val="26"/>
        </w:rPr>
      </w:pPr>
      <w:r w:rsidRPr="0072261A">
        <w:rPr>
          <w:sz w:val="26"/>
          <w:szCs w:val="26"/>
        </w:rPr>
        <w:t xml:space="preserve">We note, however, that the Recommended </w:t>
      </w:r>
      <w:r w:rsidR="008B46B1" w:rsidRPr="00483AEF">
        <w:rPr>
          <w:sz w:val="26"/>
          <w:szCs w:val="26"/>
        </w:rPr>
        <w:t>D</w:t>
      </w:r>
      <w:r w:rsidRPr="00483AEF">
        <w:rPr>
          <w:sz w:val="26"/>
          <w:szCs w:val="26"/>
        </w:rPr>
        <w:t>e</w:t>
      </w:r>
      <w:r w:rsidRPr="0072261A">
        <w:rPr>
          <w:sz w:val="26"/>
          <w:szCs w:val="26"/>
        </w:rPr>
        <w:t>cision is due in a case with a statutory deadline 60 days before the last reasonable public meeting prior to the expiration of the suspension date.</w:t>
      </w:r>
      <w:r w:rsidRPr="0072261A">
        <w:rPr>
          <w:rStyle w:val="FootnoteReference"/>
          <w:rFonts w:eastAsia="SimSun"/>
          <w:szCs w:val="26"/>
        </w:rPr>
        <w:footnoteReference w:id="11"/>
      </w:r>
      <w:r w:rsidRPr="0072261A">
        <w:rPr>
          <w:sz w:val="26"/>
          <w:szCs w:val="26"/>
        </w:rPr>
        <w:t xml:space="preserve">  As the Commission may alter the staff recommendation at a public meeting by motion, there must be sufficient time for staff to prepare and enter a revised Commission Opinion and Order.  In this situation, the date of the suspension expiration is </w:t>
      </w:r>
      <w:r w:rsidR="002B1249">
        <w:rPr>
          <w:sz w:val="26"/>
          <w:szCs w:val="26"/>
        </w:rPr>
        <w:t>March 15</w:t>
      </w:r>
      <w:r w:rsidRPr="0072261A">
        <w:rPr>
          <w:sz w:val="26"/>
          <w:szCs w:val="26"/>
        </w:rPr>
        <w:t xml:space="preserve">, 2021, and that means that the last reasonable public meeting at which the Commission may consider the staff recommendation is the public meeting of February 25, 2021.  Accordingly, deadline for the issuance and filing of the Recommended Decision of the presiding ALJ is </w:t>
      </w:r>
      <w:r w:rsidR="00545720" w:rsidRPr="00483AEF">
        <w:rPr>
          <w:sz w:val="26"/>
          <w:szCs w:val="26"/>
        </w:rPr>
        <w:t>on or before</w:t>
      </w:r>
      <w:r w:rsidR="00545720">
        <w:rPr>
          <w:sz w:val="26"/>
          <w:szCs w:val="26"/>
        </w:rPr>
        <w:t xml:space="preserve"> </w:t>
      </w:r>
      <w:r w:rsidRPr="0072261A">
        <w:rPr>
          <w:sz w:val="26"/>
          <w:szCs w:val="26"/>
        </w:rPr>
        <w:t>Thursday, December</w:t>
      </w:r>
      <w:r w:rsidR="00967B68">
        <w:rPr>
          <w:sz w:val="26"/>
          <w:szCs w:val="26"/>
        </w:rPr>
        <w:t> </w:t>
      </w:r>
      <w:r w:rsidRPr="0072261A">
        <w:rPr>
          <w:sz w:val="26"/>
          <w:szCs w:val="26"/>
        </w:rPr>
        <w:t>24, 2020.</w:t>
      </w:r>
      <w:r w:rsidR="00791BDB" w:rsidRPr="00791BDB">
        <w:rPr>
          <w:rStyle w:val="FootnoteReference"/>
          <w:b/>
          <w:bCs/>
          <w:szCs w:val="26"/>
        </w:rPr>
        <w:t xml:space="preserve"> </w:t>
      </w:r>
    </w:p>
    <w:p w14:paraId="686C19CA" w14:textId="77777777" w:rsidR="00B57D56" w:rsidRDefault="00B57D56" w:rsidP="006E2F67">
      <w:pPr>
        <w:ind w:firstLine="0"/>
        <w:rPr>
          <w:sz w:val="26"/>
          <w:szCs w:val="26"/>
        </w:rPr>
      </w:pPr>
    </w:p>
    <w:p w14:paraId="16264DB3" w14:textId="77777777" w:rsidR="007425E3" w:rsidRDefault="007425E3" w:rsidP="007425E3">
      <w:pPr>
        <w:rPr>
          <w:sz w:val="26"/>
          <w:szCs w:val="26"/>
        </w:rPr>
      </w:pPr>
      <w:bookmarkStart w:id="25" w:name="_Hlk45704740"/>
      <w:r>
        <w:rPr>
          <w:sz w:val="26"/>
          <w:szCs w:val="26"/>
        </w:rPr>
        <w:lastRenderedPageBreak/>
        <w:t>Additionally, we shall reserve the following issues to be addressed at the appropriate stages in this proceeding for final adjudication: (1) the appropriate rate recovery immediately following the end of the Section 1308(d) suspension period until the date the final rates are approved in a final Commission order and take effect in the utility’s compliance tariff filing</w:t>
      </w:r>
      <w:r w:rsidR="004C4D7D">
        <w:rPr>
          <w:sz w:val="26"/>
          <w:szCs w:val="26"/>
        </w:rPr>
        <w:t>;</w:t>
      </w:r>
      <w:r>
        <w:rPr>
          <w:sz w:val="26"/>
          <w:szCs w:val="26"/>
        </w:rPr>
        <w:t xml:space="preserve"> and (2) the appropriate mechanism for implementing such rate recovery.  We shall direct the Parties to address the foregoing rate recovery issues at the appropriate stages in this proceeding and direct the OALJ to fully address the issues</w:t>
      </w:r>
      <w:r w:rsidRPr="00E2069B">
        <w:rPr>
          <w:sz w:val="26"/>
          <w:szCs w:val="26"/>
        </w:rPr>
        <w:t xml:space="preserve"> </w:t>
      </w:r>
      <w:r>
        <w:rPr>
          <w:sz w:val="26"/>
          <w:szCs w:val="26"/>
        </w:rPr>
        <w:t xml:space="preserve">and provide a recommended disposition thereof in the Recommended Decision. </w:t>
      </w:r>
    </w:p>
    <w:bookmarkEnd w:id="25"/>
    <w:p w14:paraId="567F9468" w14:textId="77777777" w:rsidR="006E2F67" w:rsidRPr="000056E8" w:rsidRDefault="006E2F67" w:rsidP="006E2F67">
      <w:pPr>
        <w:ind w:firstLine="0"/>
        <w:rPr>
          <w:sz w:val="26"/>
          <w:szCs w:val="26"/>
        </w:rPr>
      </w:pPr>
    </w:p>
    <w:p w14:paraId="776D4573" w14:textId="77777777" w:rsidR="00EC2863" w:rsidRPr="002E0AE7" w:rsidRDefault="00EC2863" w:rsidP="00B002EA">
      <w:pPr>
        <w:keepNext/>
        <w:keepLines/>
        <w:tabs>
          <w:tab w:val="left" w:pos="-720"/>
        </w:tabs>
        <w:ind w:firstLine="0"/>
        <w:jc w:val="center"/>
        <w:rPr>
          <w:rFonts w:eastAsiaTheme="minorHAnsi"/>
          <w:b/>
          <w:sz w:val="26"/>
          <w:szCs w:val="22"/>
        </w:rPr>
      </w:pPr>
      <w:r w:rsidRPr="002E0AE7">
        <w:rPr>
          <w:rFonts w:eastAsiaTheme="minorHAnsi"/>
          <w:b/>
          <w:sz w:val="26"/>
          <w:szCs w:val="22"/>
        </w:rPr>
        <w:t>Conclusion</w:t>
      </w:r>
    </w:p>
    <w:p w14:paraId="360E4DA8" w14:textId="77777777" w:rsidR="00EC2863" w:rsidRPr="0055259C" w:rsidRDefault="00EC2863" w:rsidP="00B002EA">
      <w:pPr>
        <w:keepNext/>
        <w:keepLines/>
        <w:tabs>
          <w:tab w:val="left" w:pos="-720"/>
        </w:tabs>
        <w:ind w:firstLine="720"/>
        <w:rPr>
          <w:rFonts w:eastAsiaTheme="minorHAnsi"/>
          <w:sz w:val="26"/>
          <w:szCs w:val="22"/>
        </w:rPr>
      </w:pPr>
    </w:p>
    <w:p w14:paraId="5DC5E9B1" w14:textId="77777777" w:rsidR="00366209" w:rsidRPr="0055259C" w:rsidRDefault="003512A1" w:rsidP="00590FE7">
      <w:pPr>
        <w:contextualSpacing/>
        <w:rPr>
          <w:b/>
          <w:sz w:val="26"/>
          <w:szCs w:val="26"/>
        </w:rPr>
      </w:pPr>
      <w:r w:rsidRPr="0055259C">
        <w:rPr>
          <w:sz w:val="26"/>
          <w:szCs w:val="26"/>
        </w:rPr>
        <w:t xml:space="preserve">Based upon our review of the </w:t>
      </w:r>
      <w:r>
        <w:rPr>
          <w:sz w:val="26"/>
          <w:szCs w:val="26"/>
        </w:rPr>
        <w:t>Petition, the Answers,</w:t>
      </w:r>
      <w:r w:rsidRPr="00055DCB">
        <w:rPr>
          <w:sz w:val="26"/>
          <w:szCs w:val="26"/>
        </w:rPr>
        <w:t xml:space="preserve"> </w:t>
      </w:r>
      <w:r>
        <w:rPr>
          <w:sz w:val="26"/>
          <w:szCs w:val="26"/>
        </w:rPr>
        <w:t xml:space="preserve">the </w:t>
      </w:r>
      <w:r w:rsidRPr="00860A22">
        <w:rPr>
          <w:i/>
          <w:iCs/>
          <w:sz w:val="26"/>
          <w:szCs w:val="26"/>
        </w:rPr>
        <w:t>Extension Order</w:t>
      </w:r>
      <w:r>
        <w:rPr>
          <w:sz w:val="26"/>
          <w:szCs w:val="26"/>
        </w:rPr>
        <w:t xml:space="preserve">, the procedural schedule in this matter, and applicable law, </w:t>
      </w:r>
      <w:r w:rsidR="0092524D">
        <w:rPr>
          <w:sz w:val="26"/>
          <w:szCs w:val="26"/>
        </w:rPr>
        <w:t>we shall grant, in part, and deny, in part, the Petition</w:t>
      </w:r>
      <w:bookmarkStart w:id="26" w:name="_Hlk45610758"/>
      <w:r w:rsidR="00DD04BF">
        <w:rPr>
          <w:sz w:val="26"/>
          <w:szCs w:val="26"/>
        </w:rPr>
        <w:t xml:space="preserve"> and </w:t>
      </w:r>
      <w:r w:rsidR="003A709A">
        <w:rPr>
          <w:sz w:val="26"/>
          <w:szCs w:val="26"/>
        </w:rPr>
        <w:t xml:space="preserve">affirm the </w:t>
      </w:r>
      <w:r w:rsidR="003A709A" w:rsidRPr="003A709A">
        <w:rPr>
          <w:i/>
          <w:iCs/>
          <w:sz w:val="26"/>
          <w:szCs w:val="26"/>
        </w:rPr>
        <w:t>Extension Order</w:t>
      </w:r>
      <w:bookmarkEnd w:id="26"/>
      <w:r w:rsidR="003638F8">
        <w:rPr>
          <w:sz w:val="26"/>
          <w:szCs w:val="26"/>
        </w:rPr>
        <w:t>,</w:t>
      </w:r>
      <w:r w:rsidR="00C73101">
        <w:rPr>
          <w:sz w:val="26"/>
          <w:szCs w:val="26"/>
        </w:rPr>
        <w:t xml:space="preserve"> </w:t>
      </w:r>
      <w:r w:rsidR="0092524D">
        <w:rPr>
          <w:sz w:val="26"/>
          <w:szCs w:val="26"/>
        </w:rPr>
        <w:t>consistent with this Opinion and Order</w:t>
      </w:r>
      <w:r w:rsidR="00366209" w:rsidRPr="0055259C">
        <w:rPr>
          <w:sz w:val="26"/>
          <w:szCs w:val="26"/>
        </w:rPr>
        <w:t xml:space="preserve">; </w:t>
      </w:r>
      <w:r w:rsidR="00366209" w:rsidRPr="0055259C">
        <w:rPr>
          <w:b/>
          <w:sz w:val="26"/>
          <w:szCs w:val="26"/>
        </w:rPr>
        <w:t>THEREFORE,</w:t>
      </w:r>
    </w:p>
    <w:p w14:paraId="0CA305F8" w14:textId="77777777" w:rsidR="00AB047B" w:rsidRPr="0055259C" w:rsidRDefault="00AB047B" w:rsidP="00590FE7">
      <w:pPr>
        <w:ind w:firstLine="0"/>
        <w:rPr>
          <w:b/>
          <w:sz w:val="26"/>
        </w:rPr>
      </w:pPr>
    </w:p>
    <w:p w14:paraId="6528A653" w14:textId="77777777" w:rsidR="00AB047B" w:rsidRPr="0055259C" w:rsidRDefault="00AB047B" w:rsidP="00E066FC">
      <w:pPr>
        <w:keepNext/>
        <w:keepLines/>
        <w:ind w:firstLine="0"/>
        <w:rPr>
          <w:sz w:val="26"/>
          <w:szCs w:val="20"/>
        </w:rPr>
      </w:pPr>
      <w:r w:rsidRPr="0055259C">
        <w:rPr>
          <w:b/>
          <w:sz w:val="26"/>
          <w:szCs w:val="26"/>
        </w:rPr>
        <w:tab/>
      </w:r>
      <w:r w:rsidRPr="0055259C">
        <w:rPr>
          <w:b/>
          <w:sz w:val="26"/>
          <w:szCs w:val="26"/>
        </w:rPr>
        <w:tab/>
        <w:t>IT IS ORDERED:</w:t>
      </w:r>
    </w:p>
    <w:p w14:paraId="6381B6EF" w14:textId="77777777" w:rsidR="00AB047B" w:rsidRPr="0055259C" w:rsidRDefault="00AB047B" w:rsidP="00E066FC">
      <w:pPr>
        <w:keepNext/>
        <w:keepLines/>
        <w:ind w:firstLine="0"/>
        <w:rPr>
          <w:sz w:val="26"/>
          <w:szCs w:val="20"/>
        </w:rPr>
      </w:pPr>
    </w:p>
    <w:p w14:paraId="0253E78A" w14:textId="4B833106" w:rsidR="00E066FC" w:rsidRPr="00E066FC" w:rsidRDefault="00AC2948" w:rsidP="00E066FC">
      <w:pPr>
        <w:rPr>
          <w:rFonts w:eastAsia="Calibri"/>
          <w:color w:val="000000"/>
          <w:sz w:val="26"/>
          <w:szCs w:val="26"/>
        </w:rPr>
      </w:pPr>
      <w:r w:rsidRPr="0055259C">
        <w:rPr>
          <w:rFonts w:eastAsiaTheme="minorHAnsi"/>
          <w:sz w:val="26"/>
          <w:szCs w:val="26"/>
        </w:rPr>
        <w:t>1.</w:t>
      </w:r>
      <w:r w:rsidRPr="0055259C">
        <w:rPr>
          <w:rFonts w:eastAsiaTheme="minorHAnsi"/>
          <w:sz w:val="26"/>
          <w:szCs w:val="26"/>
        </w:rPr>
        <w:tab/>
      </w:r>
      <w:r w:rsidR="00E066FC" w:rsidRPr="00E066FC">
        <w:rPr>
          <w:rFonts w:eastAsia="Calibri"/>
          <w:color w:val="000000"/>
          <w:sz w:val="26"/>
          <w:szCs w:val="26"/>
        </w:rPr>
        <w:t>That the Petition for Reconsideration of Staff Action filed on June</w:t>
      </w:r>
      <w:r w:rsidR="003638F8">
        <w:rPr>
          <w:rFonts w:eastAsia="Calibri"/>
          <w:color w:val="000000"/>
          <w:sz w:val="26"/>
          <w:szCs w:val="26"/>
        </w:rPr>
        <w:t> </w:t>
      </w:r>
      <w:r w:rsidR="00E066FC" w:rsidRPr="00E066FC">
        <w:rPr>
          <w:rFonts w:eastAsia="Calibri"/>
          <w:color w:val="000000"/>
          <w:sz w:val="26"/>
          <w:szCs w:val="26"/>
        </w:rPr>
        <w:t>2</w:t>
      </w:r>
      <w:r w:rsidR="0063574F">
        <w:rPr>
          <w:rFonts w:eastAsia="Calibri"/>
          <w:color w:val="000000"/>
          <w:sz w:val="26"/>
          <w:szCs w:val="26"/>
        </w:rPr>
        <w:t>4</w:t>
      </w:r>
      <w:r w:rsidR="00E066FC" w:rsidRPr="00E066FC">
        <w:rPr>
          <w:rFonts w:eastAsia="Calibri"/>
          <w:color w:val="000000"/>
          <w:sz w:val="26"/>
          <w:szCs w:val="26"/>
        </w:rPr>
        <w:t xml:space="preserve">, 2020, by </w:t>
      </w:r>
      <w:r w:rsidR="0063574F">
        <w:rPr>
          <w:rFonts w:eastAsia="Calibri"/>
          <w:color w:val="000000"/>
          <w:sz w:val="26"/>
          <w:szCs w:val="26"/>
        </w:rPr>
        <w:t>Pennsylvania-American Water Company</w:t>
      </w:r>
      <w:r w:rsidR="00E066FC" w:rsidRPr="00E066FC">
        <w:rPr>
          <w:rFonts w:eastAsia="Calibri"/>
          <w:color w:val="000000"/>
          <w:sz w:val="26"/>
          <w:szCs w:val="26"/>
        </w:rPr>
        <w:t xml:space="preserve"> in </w:t>
      </w:r>
      <w:r w:rsidR="00E066FC">
        <w:rPr>
          <w:rFonts w:eastAsia="Calibri"/>
          <w:color w:val="000000"/>
          <w:sz w:val="26"/>
          <w:szCs w:val="26"/>
        </w:rPr>
        <w:t xml:space="preserve">the above-captioned proceeding, at </w:t>
      </w:r>
      <w:r w:rsidR="0063574F" w:rsidRPr="00E066FC">
        <w:rPr>
          <w:rFonts w:eastAsia="Calibri"/>
          <w:color w:val="000000"/>
          <w:sz w:val="26"/>
          <w:szCs w:val="26"/>
        </w:rPr>
        <w:t>Docket No</w:t>
      </w:r>
      <w:r w:rsidR="0063574F">
        <w:rPr>
          <w:rFonts w:eastAsia="Calibri"/>
          <w:color w:val="000000"/>
          <w:sz w:val="26"/>
          <w:szCs w:val="26"/>
        </w:rPr>
        <w:t>s</w:t>
      </w:r>
      <w:r w:rsidR="0063574F" w:rsidRPr="00E066FC">
        <w:rPr>
          <w:rFonts w:eastAsia="Calibri"/>
          <w:color w:val="000000"/>
          <w:sz w:val="26"/>
          <w:szCs w:val="26"/>
        </w:rPr>
        <w:t>. R-2020-30</w:t>
      </w:r>
      <w:r w:rsidR="0063574F">
        <w:rPr>
          <w:rFonts w:eastAsia="Calibri"/>
          <w:color w:val="000000"/>
          <w:sz w:val="26"/>
          <w:szCs w:val="26"/>
        </w:rPr>
        <w:t>19369, R-2020-3019371</w:t>
      </w:r>
      <w:r w:rsidR="0063574F" w:rsidRPr="00E066FC">
        <w:rPr>
          <w:rFonts w:eastAsia="Calibri"/>
          <w:color w:val="000000"/>
          <w:sz w:val="26"/>
          <w:szCs w:val="26"/>
        </w:rPr>
        <w:t xml:space="preserve">, </w:t>
      </w:r>
      <w:r w:rsidR="00E066FC" w:rsidRPr="00E066FC">
        <w:rPr>
          <w:rFonts w:eastAsia="Calibri"/>
          <w:color w:val="000000"/>
          <w:sz w:val="26"/>
          <w:szCs w:val="26"/>
        </w:rPr>
        <w:t xml:space="preserve">is </w:t>
      </w:r>
      <w:r w:rsidR="00A655FB">
        <w:rPr>
          <w:rFonts w:eastAsia="Calibri"/>
          <w:color w:val="000000"/>
          <w:sz w:val="26"/>
          <w:szCs w:val="26"/>
        </w:rPr>
        <w:t>denied</w:t>
      </w:r>
      <w:r w:rsidR="002B1249">
        <w:rPr>
          <w:rFonts w:eastAsia="Calibri"/>
          <w:color w:val="000000"/>
          <w:sz w:val="26"/>
          <w:szCs w:val="26"/>
        </w:rPr>
        <w:t xml:space="preserve"> in part and </w:t>
      </w:r>
      <w:r w:rsidR="00A655FB">
        <w:rPr>
          <w:rFonts w:eastAsia="Calibri"/>
          <w:color w:val="000000"/>
          <w:sz w:val="26"/>
          <w:szCs w:val="26"/>
        </w:rPr>
        <w:t xml:space="preserve">granted </w:t>
      </w:r>
      <w:r w:rsidR="00E066FC" w:rsidRPr="00E066FC">
        <w:rPr>
          <w:rFonts w:eastAsia="Calibri"/>
          <w:color w:val="000000"/>
          <w:sz w:val="26"/>
          <w:szCs w:val="26"/>
        </w:rPr>
        <w:t xml:space="preserve">in part, consistent with this Opinion and Order. </w:t>
      </w:r>
    </w:p>
    <w:p w14:paraId="67E63E25" w14:textId="77777777" w:rsidR="00AC2948" w:rsidRPr="0055259C" w:rsidRDefault="00AC2948" w:rsidP="00E066FC">
      <w:pPr>
        <w:ind w:firstLine="0"/>
        <w:rPr>
          <w:rFonts w:eastAsiaTheme="minorHAnsi"/>
          <w:sz w:val="26"/>
          <w:szCs w:val="26"/>
        </w:rPr>
      </w:pPr>
    </w:p>
    <w:p w14:paraId="06EB074F" w14:textId="780EBE88" w:rsidR="00E52ED1" w:rsidRDefault="00AC2948" w:rsidP="00CE0084">
      <w:pPr>
        <w:rPr>
          <w:rFonts w:eastAsia="Calibri"/>
          <w:color w:val="000000"/>
          <w:sz w:val="26"/>
          <w:szCs w:val="26"/>
        </w:rPr>
      </w:pPr>
      <w:r w:rsidRPr="0055259C">
        <w:rPr>
          <w:rFonts w:eastAsiaTheme="minorHAnsi"/>
          <w:sz w:val="26"/>
          <w:szCs w:val="26"/>
        </w:rPr>
        <w:t>2.</w:t>
      </w:r>
      <w:r w:rsidRPr="0055259C">
        <w:rPr>
          <w:rFonts w:eastAsiaTheme="minorHAnsi"/>
          <w:sz w:val="26"/>
          <w:szCs w:val="26"/>
        </w:rPr>
        <w:tab/>
      </w:r>
      <w:r w:rsidR="00E066FC" w:rsidRPr="00E066FC">
        <w:rPr>
          <w:rFonts w:eastAsia="Calibri"/>
          <w:color w:val="000000"/>
          <w:sz w:val="26"/>
          <w:szCs w:val="26"/>
        </w:rPr>
        <w:t xml:space="preserve">That the </w:t>
      </w:r>
      <w:r w:rsidR="00E066FC" w:rsidRPr="00E066FC">
        <w:rPr>
          <w:rFonts w:eastAsia="Calibri"/>
          <w:i/>
          <w:iCs/>
          <w:color w:val="000000"/>
          <w:sz w:val="26"/>
          <w:szCs w:val="26"/>
        </w:rPr>
        <w:t xml:space="preserve">Order Granting the </w:t>
      </w:r>
      <w:r w:rsidR="0063574F">
        <w:rPr>
          <w:rFonts w:eastAsia="Calibri"/>
          <w:i/>
          <w:iCs/>
          <w:color w:val="000000"/>
          <w:sz w:val="26"/>
          <w:szCs w:val="26"/>
        </w:rPr>
        <w:t>Office of Consumer Advocate’s Expedited Motion For An Extension of</w:t>
      </w:r>
      <w:r w:rsidR="00E066FC" w:rsidRPr="00E066FC">
        <w:rPr>
          <w:rFonts w:eastAsia="Calibri"/>
          <w:i/>
          <w:iCs/>
          <w:color w:val="000000"/>
          <w:sz w:val="26"/>
          <w:szCs w:val="26"/>
        </w:rPr>
        <w:t xml:space="preserve"> the Statutory Suspension Period of Pennsylvania</w:t>
      </w:r>
      <w:r w:rsidR="0063574F">
        <w:rPr>
          <w:rFonts w:eastAsia="Calibri"/>
          <w:i/>
          <w:iCs/>
          <w:color w:val="000000"/>
          <w:sz w:val="26"/>
          <w:szCs w:val="26"/>
        </w:rPr>
        <w:t xml:space="preserve"> American Water Company’s Base Rate Proceedings</w:t>
      </w:r>
      <w:r w:rsidR="00E066FC" w:rsidRPr="00E066FC">
        <w:rPr>
          <w:rFonts w:eastAsia="Calibri"/>
          <w:color w:val="000000"/>
          <w:sz w:val="26"/>
          <w:szCs w:val="26"/>
        </w:rPr>
        <w:t xml:space="preserve">, issued on June </w:t>
      </w:r>
      <w:r w:rsidR="0063574F">
        <w:rPr>
          <w:rFonts w:eastAsia="Calibri"/>
          <w:color w:val="000000"/>
          <w:sz w:val="26"/>
          <w:szCs w:val="26"/>
        </w:rPr>
        <w:t>4</w:t>
      </w:r>
      <w:r w:rsidR="00E066FC" w:rsidRPr="00E066FC">
        <w:rPr>
          <w:rFonts w:eastAsia="Calibri"/>
          <w:color w:val="000000"/>
          <w:sz w:val="26"/>
          <w:szCs w:val="26"/>
        </w:rPr>
        <w:t>, 2020, by Chief Administrative Law Judge Charles E. Rainey Jr., in</w:t>
      </w:r>
      <w:r w:rsidR="00E066FC">
        <w:rPr>
          <w:rFonts w:eastAsia="Calibri"/>
          <w:color w:val="000000"/>
          <w:sz w:val="26"/>
          <w:szCs w:val="26"/>
        </w:rPr>
        <w:t xml:space="preserve"> the above-captioned proceeding, at</w:t>
      </w:r>
      <w:r w:rsidR="00E066FC" w:rsidRPr="00E066FC">
        <w:rPr>
          <w:rFonts w:eastAsia="Calibri"/>
          <w:color w:val="000000"/>
          <w:sz w:val="26"/>
          <w:szCs w:val="26"/>
        </w:rPr>
        <w:t xml:space="preserve"> </w:t>
      </w:r>
      <w:bookmarkStart w:id="27" w:name="_Hlk45023408"/>
      <w:r w:rsidR="00E066FC" w:rsidRPr="00E066FC">
        <w:rPr>
          <w:rFonts w:eastAsia="Calibri"/>
          <w:color w:val="000000"/>
          <w:sz w:val="26"/>
          <w:szCs w:val="26"/>
        </w:rPr>
        <w:t>Docket No</w:t>
      </w:r>
      <w:r w:rsidR="0063574F">
        <w:rPr>
          <w:rFonts w:eastAsia="Calibri"/>
          <w:color w:val="000000"/>
          <w:sz w:val="26"/>
          <w:szCs w:val="26"/>
        </w:rPr>
        <w:t>s</w:t>
      </w:r>
      <w:r w:rsidR="00E066FC" w:rsidRPr="00E066FC">
        <w:rPr>
          <w:rFonts w:eastAsia="Calibri"/>
          <w:color w:val="000000"/>
          <w:sz w:val="26"/>
          <w:szCs w:val="26"/>
        </w:rPr>
        <w:t>. R-2020-30</w:t>
      </w:r>
      <w:r w:rsidR="0063574F">
        <w:rPr>
          <w:rFonts w:eastAsia="Calibri"/>
          <w:color w:val="000000"/>
          <w:sz w:val="26"/>
          <w:szCs w:val="26"/>
        </w:rPr>
        <w:t>19369, R-2020-3019371</w:t>
      </w:r>
      <w:r w:rsidR="00E066FC" w:rsidRPr="00E066FC">
        <w:rPr>
          <w:rFonts w:eastAsia="Calibri"/>
          <w:color w:val="000000"/>
          <w:sz w:val="26"/>
          <w:szCs w:val="26"/>
        </w:rPr>
        <w:t xml:space="preserve">, </w:t>
      </w:r>
      <w:bookmarkEnd w:id="27"/>
      <w:r w:rsidR="00E066FC" w:rsidRPr="00E066FC">
        <w:rPr>
          <w:rFonts w:eastAsia="Calibri"/>
          <w:color w:val="000000"/>
          <w:sz w:val="26"/>
          <w:szCs w:val="26"/>
        </w:rPr>
        <w:t xml:space="preserve">is </w:t>
      </w:r>
      <w:r w:rsidR="00241CEC">
        <w:rPr>
          <w:rFonts w:eastAsia="Calibri"/>
          <w:color w:val="000000"/>
          <w:sz w:val="26"/>
          <w:szCs w:val="26"/>
        </w:rPr>
        <w:t>affirmed</w:t>
      </w:r>
      <w:r w:rsidR="002B1249" w:rsidRPr="002B1249">
        <w:rPr>
          <w:rFonts w:eastAsia="Calibri"/>
          <w:color w:val="000000"/>
          <w:sz w:val="26"/>
          <w:szCs w:val="26"/>
        </w:rPr>
        <w:t xml:space="preserve"> </w:t>
      </w:r>
      <w:r w:rsidR="002B1249">
        <w:rPr>
          <w:rFonts w:eastAsia="Calibri"/>
          <w:color w:val="000000"/>
          <w:sz w:val="26"/>
          <w:szCs w:val="26"/>
        </w:rPr>
        <w:t xml:space="preserve">insofar as it grants the </w:t>
      </w:r>
      <w:r w:rsidR="002B1249">
        <w:rPr>
          <w:rFonts w:eastAsia="Calibri"/>
          <w:color w:val="000000"/>
          <w:sz w:val="26"/>
          <w:szCs w:val="26"/>
        </w:rPr>
        <w:lastRenderedPageBreak/>
        <w:t>Motion for Extension filed by the Office of Consumer Advocate</w:t>
      </w:r>
      <w:r w:rsidR="00E066FC" w:rsidRPr="00E066FC">
        <w:rPr>
          <w:rFonts w:eastAsia="Calibri"/>
          <w:color w:val="000000"/>
          <w:sz w:val="26"/>
          <w:szCs w:val="26"/>
        </w:rPr>
        <w:t>, consistent with this Opinion and Order.</w:t>
      </w:r>
    </w:p>
    <w:p w14:paraId="68B06176" w14:textId="77777777" w:rsidR="00483AEF" w:rsidRDefault="00483AEF" w:rsidP="00CE0084">
      <w:pPr>
        <w:rPr>
          <w:rFonts w:eastAsia="Calibri"/>
          <w:color w:val="000000"/>
          <w:sz w:val="26"/>
          <w:szCs w:val="26"/>
        </w:rPr>
      </w:pPr>
    </w:p>
    <w:p w14:paraId="45049BCF" w14:textId="5263B2DA" w:rsidR="00E066FC" w:rsidRPr="00483AEF" w:rsidRDefault="00EA5075" w:rsidP="00EA5075">
      <w:pPr>
        <w:rPr>
          <w:rFonts w:eastAsia="Calibri"/>
          <w:color w:val="000000"/>
          <w:sz w:val="26"/>
          <w:szCs w:val="26"/>
        </w:rPr>
      </w:pPr>
      <w:r w:rsidRPr="00483AEF">
        <w:rPr>
          <w:rFonts w:eastAsia="Calibri"/>
          <w:color w:val="000000"/>
          <w:sz w:val="26"/>
          <w:szCs w:val="26"/>
        </w:rPr>
        <w:t xml:space="preserve">3. </w:t>
      </w:r>
      <w:r w:rsidRPr="00483AEF">
        <w:rPr>
          <w:rFonts w:eastAsia="Calibri"/>
          <w:color w:val="000000"/>
          <w:sz w:val="26"/>
          <w:szCs w:val="26"/>
        </w:rPr>
        <w:tab/>
        <w:t>That</w:t>
      </w:r>
      <w:r w:rsidR="00F97A62">
        <w:rPr>
          <w:rFonts w:eastAsia="Calibri"/>
          <w:color w:val="000000"/>
          <w:sz w:val="26"/>
          <w:szCs w:val="26"/>
        </w:rPr>
        <w:t>,</w:t>
      </w:r>
      <w:r w:rsidR="00F97A62" w:rsidRPr="00F97A62">
        <w:rPr>
          <w:rFonts w:eastAsia="Calibri"/>
          <w:color w:val="000000"/>
          <w:sz w:val="26"/>
          <w:szCs w:val="26"/>
        </w:rPr>
        <w:t xml:space="preserve"> </w:t>
      </w:r>
      <w:r w:rsidR="00F97A62" w:rsidRPr="00483AEF">
        <w:rPr>
          <w:rFonts w:eastAsia="Calibri"/>
          <w:color w:val="000000"/>
          <w:sz w:val="26"/>
          <w:szCs w:val="26"/>
        </w:rPr>
        <w:t>consistent with this Opinion and Order</w:t>
      </w:r>
      <w:r w:rsidR="00F261B3">
        <w:rPr>
          <w:rFonts w:eastAsia="Calibri"/>
          <w:color w:val="000000"/>
          <w:sz w:val="26"/>
          <w:szCs w:val="26"/>
        </w:rPr>
        <w:t>,</w:t>
      </w:r>
      <w:r w:rsidRPr="00483AEF">
        <w:rPr>
          <w:rFonts w:eastAsia="Calibri"/>
          <w:color w:val="000000"/>
          <w:sz w:val="26"/>
          <w:szCs w:val="26"/>
        </w:rPr>
        <w:t xml:space="preserve"> the Petition for Reconsideration of Staff Action filed on June 24, 2020, by Pennsylvania-American Water Company in the above-captioned proceeding, at Docket Nos. R-2020-3019369, R</w:t>
      </w:r>
      <w:r w:rsidR="00967B68">
        <w:rPr>
          <w:rFonts w:eastAsia="Calibri"/>
          <w:color w:val="000000"/>
          <w:sz w:val="26"/>
          <w:szCs w:val="26"/>
        </w:rPr>
        <w:noBreakHyphen/>
      </w:r>
      <w:r w:rsidRPr="00483AEF">
        <w:rPr>
          <w:rFonts w:eastAsia="Calibri"/>
          <w:color w:val="000000"/>
          <w:sz w:val="26"/>
          <w:szCs w:val="26"/>
        </w:rPr>
        <w:t>2020</w:t>
      </w:r>
      <w:r w:rsidR="00967B68">
        <w:rPr>
          <w:rFonts w:eastAsia="Calibri"/>
          <w:color w:val="000000"/>
          <w:sz w:val="26"/>
          <w:szCs w:val="26"/>
        </w:rPr>
        <w:noBreakHyphen/>
      </w:r>
      <w:r w:rsidRPr="00483AEF">
        <w:rPr>
          <w:rFonts w:eastAsia="Calibri"/>
          <w:color w:val="000000"/>
          <w:sz w:val="26"/>
          <w:szCs w:val="26"/>
        </w:rPr>
        <w:t xml:space="preserve">3019371, is </w:t>
      </w:r>
      <w:r w:rsidR="00A655FB" w:rsidRPr="00483AEF">
        <w:rPr>
          <w:rFonts w:eastAsia="Calibri"/>
          <w:color w:val="000000"/>
          <w:sz w:val="26"/>
          <w:szCs w:val="26"/>
        </w:rPr>
        <w:t>granted</w:t>
      </w:r>
      <w:r w:rsidRPr="00483AEF">
        <w:rPr>
          <w:rFonts w:eastAsia="Calibri"/>
          <w:color w:val="000000"/>
          <w:sz w:val="26"/>
          <w:szCs w:val="26"/>
        </w:rPr>
        <w:t xml:space="preserve"> </w:t>
      </w:r>
      <w:r w:rsidR="000E37D6">
        <w:rPr>
          <w:rFonts w:eastAsia="Calibri"/>
          <w:color w:val="000000"/>
          <w:sz w:val="26"/>
          <w:szCs w:val="26"/>
        </w:rPr>
        <w:t xml:space="preserve">insofar </w:t>
      </w:r>
      <w:r w:rsidR="00F97A62">
        <w:rPr>
          <w:rFonts w:eastAsia="Calibri"/>
          <w:color w:val="000000"/>
          <w:sz w:val="26"/>
          <w:szCs w:val="26"/>
        </w:rPr>
        <w:t xml:space="preserve">that </w:t>
      </w:r>
      <w:r w:rsidRPr="00483AEF">
        <w:rPr>
          <w:rFonts w:eastAsia="Calibri"/>
          <w:color w:val="000000"/>
          <w:sz w:val="26"/>
          <w:szCs w:val="26"/>
        </w:rPr>
        <w:t xml:space="preserve">the </w:t>
      </w:r>
      <w:r w:rsidR="000E37D6">
        <w:rPr>
          <w:rFonts w:eastAsia="Calibri"/>
          <w:color w:val="000000"/>
          <w:sz w:val="26"/>
          <w:szCs w:val="26"/>
        </w:rPr>
        <w:t xml:space="preserve">general base </w:t>
      </w:r>
      <w:r w:rsidRPr="00483AEF">
        <w:rPr>
          <w:rFonts w:eastAsia="Calibri"/>
          <w:color w:val="000000"/>
          <w:sz w:val="26"/>
          <w:szCs w:val="26"/>
        </w:rPr>
        <w:t>rates</w:t>
      </w:r>
      <w:r w:rsidR="00F97A62">
        <w:rPr>
          <w:rFonts w:eastAsia="Calibri"/>
          <w:color w:val="000000"/>
          <w:sz w:val="26"/>
          <w:szCs w:val="26"/>
        </w:rPr>
        <w:t xml:space="preserve"> that result from</w:t>
      </w:r>
      <w:r w:rsidRPr="00483AEF">
        <w:rPr>
          <w:rFonts w:eastAsia="Calibri"/>
          <w:color w:val="000000"/>
          <w:sz w:val="26"/>
          <w:szCs w:val="26"/>
        </w:rPr>
        <w:t xml:space="preserve"> this proceeding</w:t>
      </w:r>
      <w:r w:rsidR="000E37D6">
        <w:rPr>
          <w:rFonts w:eastAsia="Calibri"/>
          <w:color w:val="000000"/>
          <w:sz w:val="26"/>
          <w:szCs w:val="26"/>
        </w:rPr>
        <w:t xml:space="preserve"> shall </w:t>
      </w:r>
      <w:r w:rsidR="00F97A62">
        <w:rPr>
          <w:rFonts w:eastAsia="Calibri"/>
          <w:color w:val="000000"/>
          <w:sz w:val="26"/>
          <w:szCs w:val="26"/>
        </w:rPr>
        <w:t xml:space="preserve">be effective as of </w:t>
      </w:r>
      <w:r w:rsidR="000E37D6">
        <w:rPr>
          <w:rFonts w:eastAsia="Calibri"/>
          <w:color w:val="000000"/>
          <w:sz w:val="26"/>
          <w:szCs w:val="26"/>
        </w:rPr>
        <w:t xml:space="preserve">the end </w:t>
      </w:r>
      <w:r w:rsidR="00F97A62">
        <w:rPr>
          <w:rFonts w:eastAsia="Calibri"/>
          <w:color w:val="000000"/>
          <w:sz w:val="26"/>
          <w:szCs w:val="26"/>
        </w:rPr>
        <w:t xml:space="preserve">date </w:t>
      </w:r>
      <w:r w:rsidR="000E37D6">
        <w:rPr>
          <w:rFonts w:eastAsia="Calibri"/>
          <w:color w:val="000000"/>
          <w:sz w:val="26"/>
          <w:szCs w:val="26"/>
        </w:rPr>
        <w:t xml:space="preserve">of the statutory suspension period </w:t>
      </w:r>
      <w:r w:rsidR="00F97A62">
        <w:rPr>
          <w:rFonts w:eastAsia="Calibri"/>
          <w:color w:val="000000"/>
          <w:sz w:val="26"/>
          <w:szCs w:val="26"/>
        </w:rPr>
        <w:t xml:space="preserve">in this proceeding </w:t>
      </w:r>
      <w:r w:rsidR="000E37D6">
        <w:rPr>
          <w:rFonts w:eastAsia="Calibri"/>
          <w:color w:val="000000"/>
          <w:sz w:val="26"/>
          <w:szCs w:val="26"/>
        </w:rPr>
        <w:t>under Section 1308(d) of the Public Utility Code,</w:t>
      </w:r>
      <w:r w:rsidR="00F97A62">
        <w:rPr>
          <w:rFonts w:eastAsia="Calibri"/>
          <w:color w:val="000000"/>
          <w:sz w:val="26"/>
          <w:szCs w:val="26"/>
        </w:rPr>
        <w:t xml:space="preserve"> </w:t>
      </w:r>
      <w:bookmarkStart w:id="28" w:name="_Hlk48307408"/>
      <w:r w:rsidR="00F97A62">
        <w:rPr>
          <w:rFonts w:eastAsia="Calibri"/>
          <w:color w:val="000000"/>
          <w:sz w:val="26"/>
          <w:szCs w:val="26"/>
        </w:rPr>
        <w:t>unless another date is approved by the Commission.</w:t>
      </w:r>
      <w:bookmarkEnd w:id="28"/>
      <w:r w:rsidRPr="00483AEF">
        <w:rPr>
          <w:rFonts w:eastAsia="Calibri"/>
          <w:color w:val="000000"/>
          <w:sz w:val="26"/>
          <w:szCs w:val="26"/>
        </w:rPr>
        <w:t xml:space="preserve"> </w:t>
      </w:r>
    </w:p>
    <w:p w14:paraId="5CDA3C46" w14:textId="77777777" w:rsidR="00EA5075" w:rsidRPr="00483AEF" w:rsidRDefault="00EA5075" w:rsidP="00E52ED1">
      <w:pPr>
        <w:ind w:firstLine="0"/>
        <w:rPr>
          <w:rFonts w:eastAsia="Calibri"/>
          <w:color w:val="000000"/>
          <w:sz w:val="26"/>
          <w:szCs w:val="26"/>
        </w:rPr>
      </w:pPr>
    </w:p>
    <w:p w14:paraId="3B473A33" w14:textId="77777777" w:rsidR="002B1249" w:rsidRPr="00483AEF" w:rsidRDefault="00EA5075" w:rsidP="00103846">
      <w:pPr>
        <w:rPr>
          <w:rFonts w:eastAsia="Calibri"/>
          <w:color w:val="000000"/>
          <w:sz w:val="26"/>
          <w:szCs w:val="26"/>
        </w:rPr>
      </w:pPr>
      <w:r w:rsidRPr="00483AEF">
        <w:rPr>
          <w:rFonts w:eastAsia="Calibri"/>
          <w:color w:val="000000"/>
          <w:sz w:val="26"/>
          <w:szCs w:val="26"/>
        </w:rPr>
        <w:t>4</w:t>
      </w:r>
      <w:r w:rsidR="00E066FC" w:rsidRPr="00483AEF">
        <w:rPr>
          <w:rFonts w:eastAsia="Calibri"/>
          <w:color w:val="000000"/>
          <w:sz w:val="26"/>
          <w:szCs w:val="26"/>
        </w:rPr>
        <w:t>.</w:t>
      </w:r>
      <w:r w:rsidR="00E066FC" w:rsidRPr="00483AEF">
        <w:rPr>
          <w:rFonts w:eastAsia="Calibri"/>
          <w:color w:val="000000"/>
          <w:sz w:val="26"/>
          <w:szCs w:val="26"/>
        </w:rPr>
        <w:tab/>
      </w:r>
      <w:r w:rsidR="002B1249" w:rsidRPr="00483AEF">
        <w:rPr>
          <w:rFonts w:eastAsia="Calibri"/>
          <w:color w:val="000000"/>
          <w:sz w:val="26"/>
          <w:szCs w:val="26"/>
        </w:rPr>
        <w:t>That the effective date of the rates that result from this proceeding shall be January 28, 2021, unless another date is approved by the Commission.</w:t>
      </w:r>
    </w:p>
    <w:p w14:paraId="3690782A" w14:textId="77777777" w:rsidR="002B1249" w:rsidRPr="00483AEF" w:rsidRDefault="002B1249" w:rsidP="00103846">
      <w:pPr>
        <w:rPr>
          <w:rFonts w:eastAsia="Calibri"/>
          <w:color w:val="000000"/>
          <w:sz w:val="26"/>
          <w:szCs w:val="26"/>
        </w:rPr>
      </w:pPr>
    </w:p>
    <w:p w14:paraId="5F5EC197" w14:textId="77777777" w:rsidR="00DD04BF" w:rsidRPr="00483AEF" w:rsidRDefault="00EA5075" w:rsidP="00103846">
      <w:pPr>
        <w:rPr>
          <w:sz w:val="26"/>
          <w:szCs w:val="26"/>
        </w:rPr>
      </w:pPr>
      <w:r w:rsidRPr="00483AEF">
        <w:rPr>
          <w:sz w:val="26"/>
          <w:szCs w:val="26"/>
        </w:rPr>
        <w:t>5</w:t>
      </w:r>
      <w:r w:rsidR="002B1249" w:rsidRPr="00483AEF">
        <w:rPr>
          <w:sz w:val="26"/>
          <w:szCs w:val="26"/>
        </w:rPr>
        <w:t>.</w:t>
      </w:r>
      <w:r w:rsidR="002B1249" w:rsidRPr="00483AEF">
        <w:rPr>
          <w:sz w:val="26"/>
          <w:szCs w:val="26"/>
        </w:rPr>
        <w:tab/>
      </w:r>
      <w:r w:rsidR="00C73101" w:rsidRPr="00483AEF">
        <w:rPr>
          <w:sz w:val="26"/>
          <w:szCs w:val="26"/>
        </w:rPr>
        <w:t xml:space="preserve">That </w:t>
      </w:r>
      <w:r w:rsidR="00C73101" w:rsidRPr="00483AEF">
        <w:rPr>
          <w:rFonts w:eastAsia="Calibri"/>
          <w:color w:val="000000"/>
          <w:sz w:val="26"/>
          <w:szCs w:val="26"/>
        </w:rPr>
        <w:t>Administrative Law Judge</w:t>
      </w:r>
      <w:r w:rsidR="00C73101" w:rsidRPr="00483AEF">
        <w:rPr>
          <w:sz w:val="26"/>
          <w:szCs w:val="26"/>
        </w:rPr>
        <w:t xml:space="preserve"> Conrad A. Johnson </w:t>
      </w:r>
      <w:r w:rsidR="00751A5F" w:rsidRPr="00483AEF">
        <w:rPr>
          <w:sz w:val="26"/>
          <w:szCs w:val="26"/>
        </w:rPr>
        <w:t xml:space="preserve">shall modify the </w:t>
      </w:r>
      <w:r w:rsidR="00751A5F" w:rsidRPr="00483AEF">
        <w:rPr>
          <w:i/>
          <w:iCs/>
          <w:sz w:val="26"/>
          <w:szCs w:val="26"/>
        </w:rPr>
        <w:t>Prehearing Order</w:t>
      </w:r>
      <w:r w:rsidR="00751A5F" w:rsidRPr="00483AEF">
        <w:rPr>
          <w:sz w:val="26"/>
          <w:szCs w:val="26"/>
        </w:rPr>
        <w:t xml:space="preserve"> issued </w:t>
      </w:r>
      <w:r w:rsidR="00C73101" w:rsidRPr="00483AEF">
        <w:rPr>
          <w:sz w:val="26"/>
          <w:szCs w:val="26"/>
        </w:rPr>
        <w:t xml:space="preserve">on June 15, 2020, </w:t>
      </w:r>
      <w:r w:rsidR="00751A5F" w:rsidRPr="00483AEF">
        <w:rPr>
          <w:sz w:val="26"/>
          <w:szCs w:val="26"/>
        </w:rPr>
        <w:t>if necessary</w:t>
      </w:r>
      <w:r w:rsidR="00C73101" w:rsidRPr="00483AEF">
        <w:rPr>
          <w:sz w:val="26"/>
          <w:szCs w:val="26"/>
        </w:rPr>
        <w:t>, consistent with this Opinion and Order</w:t>
      </w:r>
      <w:r w:rsidR="00751A5F" w:rsidRPr="00483AEF">
        <w:rPr>
          <w:sz w:val="26"/>
          <w:szCs w:val="26"/>
        </w:rPr>
        <w:t>.</w:t>
      </w:r>
    </w:p>
    <w:p w14:paraId="5135B1FE" w14:textId="77777777" w:rsidR="002B1249" w:rsidRPr="00483AEF" w:rsidRDefault="002B1249" w:rsidP="00483AEF">
      <w:pPr>
        <w:rPr>
          <w:sz w:val="26"/>
        </w:rPr>
      </w:pPr>
    </w:p>
    <w:p w14:paraId="13FA4BF2" w14:textId="77777777" w:rsidR="002B1249" w:rsidRPr="00483AEF" w:rsidRDefault="00EA5075" w:rsidP="00967B68">
      <w:pPr>
        <w:rPr>
          <w:rFonts w:eastAsia="Calibri"/>
          <w:color w:val="000000"/>
          <w:sz w:val="26"/>
          <w:szCs w:val="26"/>
        </w:rPr>
      </w:pPr>
      <w:r w:rsidRPr="00483AEF">
        <w:rPr>
          <w:rFonts w:eastAsia="Calibri"/>
          <w:color w:val="000000"/>
          <w:sz w:val="26"/>
          <w:szCs w:val="26"/>
        </w:rPr>
        <w:t>6</w:t>
      </w:r>
      <w:r w:rsidR="002B1249" w:rsidRPr="00483AEF">
        <w:rPr>
          <w:rFonts w:eastAsia="Calibri"/>
          <w:color w:val="000000"/>
          <w:sz w:val="26"/>
          <w:szCs w:val="26"/>
        </w:rPr>
        <w:t>.</w:t>
      </w:r>
      <w:r w:rsidR="002B1249" w:rsidRPr="00483AEF">
        <w:rPr>
          <w:rFonts w:eastAsia="Calibri"/>
          <w:color w:val="000000"/>
          <w:sz w:val="26"/>
          <w:szCs w:val="26"/>
        </w:rPr>
        <w:tab/>
        <w:t xml:space="preserve">That the Recommended Decision in this matter </w:t>
      </w:r>
      <w:r w:rsidR="0064715D" w:rsidRPr="00483AEF">
        <w:rPr>
          <w:rFonts w:eastAsia="Calibri"/>
          <w:color w:val="000000"/>
          <w:sz w:val="26"/>
          <w:szCs w:val="26"/>
        </w:rPr>
        <w:t xml:space="preserve">shall </w:t>
      </w:r>
      <w:r w:rsidR="002B1249" w:rsidRPr="00483AEF">
        <w:rPr>
          <w:rFonts w:eastAsia="Calibri"/>
          <w:color w:val="000000"/>
          <w:sz w:val="26"/>
          <w:szCs w:val="26"/>
        </w:rPr>
        <w:t xml:space="preserve">be </w:t>
      </w:r>
      <w:r w:rsidR="0064715D" w:rsidRPr="00483AEF">
        <w:rPr>
          <w:rFonts w:eastAsia="Calibri"/>
          <w:color w:val="000000"/>
          <w:sz w:val="26"/>
          <w:szCs w:val="26"/>
        </w:rPr>
        <w:t xml:space="preserve">issued and filed </w:t>
      </w:r>
      <w:r w:rsidR="00545720" w:rsidRPr="00483AEF">
        <w:rPr>
          <w:rFonts w:eastAsia="Calibri"/>
          <w:color w:val="000000"/>
          <w:sz w:val="26"/>
          <w:szCs w:val="26"/>
        </w:rPr>
        <w:t xml:space="preserve">on or before </w:t>
      </w:r>
      <w:r w:rsidR="002B1249" w:rsidRPr="00483AEF">
        <w:rPr>
          <w:rFonts w:eastAsia="Calibri"/>
          <w:color w:val="000000"/>
          <w:sz w:val="26"/>
          <w:szCs w:val="26"/>
        </w:rPr>
        <w:t>December 24, 2020</w:t>
      </w:r>
      <w:r w:rsidR="00545720" w:rsidRPr="00483AEF">
        <w:rPr>
          <w:rFonts w:eastAsia="Calibri"/>
          <w:color w:val="000000"/>
          <w:sz w:val="26"/>
          <w:szCs w:val="26"/>
        </w:rPr>
        <w:t>.</w:t>
      </w:r>
      <w:r w:rsidR="002B1249" w:rsidRPr="00483AEF">
        <w:rPr>
          <w:rFonts w:eastAsia="Calibri"/>
          <w:color w:val="000000"/>
          <w:sz w:val="26"/>
          <w:szCs w:val="26"/>
        </w:rPr>
        <w:t xml:space="preserve"> </w:t>
      </w:r>
    </w:p>
    <w:p w14:paraId="4F6D9D1B" w14:textId="77777777" w:rsidR="00772BD6" w:rsidRPr="00483AEF" w:rsidRDefault="00772BD6" w:rsidP="00967B68">
      <w:pPr>
        <w:ind w:firstLine="0"/>
        <w:rPr>
          <w:rFonts w:eastAsia="Calibri"/>
          <w:color w:val="000000"/>
          <w:sz w:val="26"/>
          <w:szCs w:val="26"/>
        </w:rPr>
      </w:pPr>
    </w:p>
    <w:p w14:paraId="30143940" w14:textId="3B30E7D4" w:rsidR="006850E7" w:rsidRDefault="00EA5075" w:rsidP="00967B68">
      <w:pPr>
        <w:keepNext/>
        <w:rPr>
          <w:sz w:val="26"/>
          <w:szCs w:val="26"/>
        </w:rPr>
      </w:pPr>
      <w:r w:rsidRPr="00483AEF">
        <w:rPr>
          <w:rFonts w:eastAsia="Calibri"/>
          <w:color w:val="000000"/>
          <w:sz w:val="26"/>
          <w:szCs w:val="26"/>
        </w:rPr>
        <w:t>7</w:t>
      </w:r>
      <w:r w:rsidR="00C73101" w:rsidRPr="00483AEF">
        <w:rPr>
          <w:rFonts w:eastAsia="Calibri"/>
          <w:color w:val="000000"/>
          <w:sz w:val="26"/>
          <w:szCs w:val="26"/>
        </w:rPr>
        <w:t>.</w:t>
      </w:r>
      <w:r w:rsidR="00C73101" w:rsidRPr="00483AEF">
        <w:rPr>
          <w:rFonts w:eastAsia="Calibri"/>
          <w:color w:val="000000"/>
          <w:sz w:val="26"/>
          <w:szCs w:val="26"/>
        </w:rPr>
        <w:tab/>
        <w:t>That, consistent with this Opinion and Order,</w:t>
      </w:r>
      <w:r w:rsidR="00C73101" w:rsidRPr="00483AEF">
        <w:rPr>
          <w:sz w:val="26"/>
          <w:szCs w:val="26"/>
        </w:rPr>
        <w:t xml:space="preserve"> we shall direct the Parties to address at the appropriate stages in this proceeding, and direct the Office of Administrative Law Judge to fully address in the Recommended Decision to be issued in this proceeding, the following i</w:t>
      </w:r>
      <w:r w:rsidRPr="00483AEF">
        <w:rPr>
          <w:sz w:val="26"/>
          <w:szCs w:val="26"/>
        </w:rPr>
        <w:t>ssues related</w:t>
      </w:r>
      <w:r>
        <w:rPr>
          <w:sz w:val="26"/>
          <w:szCs w:val="26"/>
        </w:rPr>
        <w:t xml:space="preserve"> to rate recovery:</w:t>
      </w:r>
      <w:r w:rsidR="00C73101">
        <w:rPr>
          <w:sz w:val="26"/>
          <w:szCs w:val="26"/>
        </w:rPr>
        <w:t xml:space="preserve"> (1) the appropriate amount of rate recovery starting from the end of the Section 1308(d) suspension period, January</w:t>
      </w:r>
      <w:r w:rsidR="003638F8">
        <w:rPr>
          <w:sz w:val="26"/>
          <w:szCs w:val="26"/>
        </w:rPr>
        <w:t> </w:t>
      </w:r>
      <w:r w:rsidR="00C73101">
        <w:rPr>
          <w:sz w:val="26"/>
          <w:szCs w:val="26"/>
        </w:rPr>
        <w:t xml:space="preserve">28, 2021, until the date the final rates are approved in a final Commission order </w:t>
      </w:r>
      <w:r w:rsidR="00C73101">
        <w:rPr>
          <w:sz w:val="26"/>
          <w:szCs w:val="26"/>
        </w:rPr>
        <w:lastRenderedPageBreak/>
        <w:t xml:space="preserve">and take effect in the utility’s compliance tariff filing and (2) the appropriate mechanism for implementing such rate recovery.  </w:t>
      </w:r>
    </w:p>
    <w:p w14:paraId="12E50F8A" w14:textId="77777777" w:rsidR="000172BF" w:rsidRPr="0055259C" w:rsidRDefault="000172BF" w:rsidP="00967B68">
      <w:pPr>
        <w:keepNext/>
        <w:spacing w:line="240" w:lineRule="auto"/>
        <w:ind w:firstLine="0"/>
        <w:rPr>
          <w:sz w:val="26"/>
          <w:szCs w:val="26"/>
        </w:rPr>
      </w:pPr>
    </w:p>
    <w:p w14:paraId="7891D8F4" w14:textId="77777777" w:rsidR="00AB047B" w:rsidRPr="0055259C" w:rsidRDefault="00AB047B" w:rsidP="00967B68">
      <w:pPr>
        <w:keepNext/>
        <w:keepLines/>
        <w:spacing w:line="240" w:lineRule="auto"/>
        <w:ind w:firstLine="0"/>
        <w:rPr>
          <w:b/>
          <w:sz w:val="26"/>
          <w:szCs w:val="26"/>
        </w:rPr>
      </w:pP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b/>
          <w:sz w:val="26"/>
          <w:szCs w:val="26"/>
        </w:rPr>
        <w:t>BY THE COMMISSION,</w:t>
      </w:r>
    </w:p>
    <w:p w14:paraId="0E3CEED9" w14:textId="59E4BBD1" w:rsidR="00AB047B" w:rsidRPr="0055259C" w:rsidRDefault="00082287" w:rsidP="00483AEF">
      <w:pPr>
        <w:keepNext/>
        <w:keepLines/>
        <w:spacing w:line="240" w:lineRule="auto"/>
        <w:ind w:firstLine="0"/>
        <w:rPr>
          <w:b/>
          <w:sz w:val="26"/>
          <w:szCs w:val="26"/>
        </w:rPr>
      </w:pPr>
      <w:r>
        <w:rPr>
          <w:rFonts w:ascii="Arial" w:hAnsi="Arial" w:cs="Arial"/>
          <w:noProof/>
        </w:rPr>
        <w:drawing>
          <wp:anchor distT="0" distB="0" distL="114300" distR="114300" simplePos="0" relativeHeight="251659264" behindDoc="1" locked="0" layoutInCell="1" allowOverlap="1" wp14:anchorId="10B3DF76" wp14:editId="1F613494">
            <wp:simplePos x="0" y="0"/>
            <wp:positionH relativeFrom="column">
              <wp:posOffset>2965450</wp:posOffset>
            </wp:positionH>
            <wp:positionV relativeFrom="paragraph">
              <wp:posOffset>80645</wp:posOffset>
            </wp:positionV>
            <wp:extent cx="1837944" cy="704088"/>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A3A504" w14:textId="2166192D" w:rsidR="00947BEE" w:rsidRPr="0055259C" w:rsidRDefault="00947BEE" w:rsidP="00590FE7">
      <w:pPr>
        <w:spacing w:line="240" w:lineRule="auto"/>
        <w:ind w:firstLine="0"/>
        <w:rPr>
          <w:b/>
          <w:sz w:val="26"/>
          <w:szCs w:val="26"/>
        </w:rPr>
      </w:pPr>
    </w:p>
    <w:p w14:paraId="6AFE6E68" w14:textId="74EA41A1" w:rsidR="00AB047B" w:rsidRPr="0055259C" w:rsidRDefault="00AB047B" w:rsidP="00590FE7">
      <w:pPr>
        <w:spacing w:line="240" w:lineRule="auto"/>
        <w:ind w:firstLine="0"/>
        <w:rPr>
          <w:b/>
          <w:sz w:val="26"/>
          <w:szCs w:val="26"/>
        </w:rPr>
      </w:pPr>
    </w:p>
    <w:p w14:paraId="3DDE7176" w14:textId="77777777" w:rsidR="00AB047B" w:rsidRPr="0055259C" w:rsidRDefault="00AB047B" w:rsidP="00590FE7">
      <w:pPr>
        <w:spacing w:line="240" w:lineRule="auto"/>
        <w:ind w:firstLine="0"/>
        <w:rPr>
          <w:b/>
          <w:sz w:val="26"/>
          <w:szCs w:val="26"/>
        </w:rPr>
      </w:pPr>
    </w:p>
    <w:p w14:paraId="19B38214" w14:textId="77777777" w:rsidR="00AB047B" w:rsidRPr="0055259C" w:rsidRDefault="00AB047B" w:rsidP="00590FE7">
      <w:pPr>
        <w:spacing w:line="240" w:lineRule="auto"/>
        <w:ind w:firstLine="0"/>
        <w:rPr>
          <w:sz w:val="26"/>
          <w:szCs w:val="26"/>
        </w:rPr>
      </w:pP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t>Rosemary Chiavetta</w:t>
      </w:r>
    </w:p>
    <w:p w14:paraId="1691F450" w14:textId="77777777" w:rsidR="00AB047B" w:rsidRPr="0055259C" w:rsidRDefault="00AB047B" w:rsidP="00590FE7">
      <w:pPr>
        <w:spacing w:line="240" w:lineRule="auto"/>
        <w:ind w:firstLine="0"/>
        <w:rPr>
          <w:sz w:val="26"/>
          <w:szCs w:val="26"/>
        </w:rPr>
      </w:pP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r>
      <w:r w:rsidRPr="0055259C">
        <w:rPr>
          <w:sz w:val="26"/>
          <w:szCs w:val="26"/>
        </w:rPr>
        <w:tab/>
        <w:t>Secretary</w:t>
      </w:r>
    </w:p>
    <w:p w14:paraId="785659A1" w14:textId="77777777" w:rsidR="00F85171" w:rsidRPr="0055259C" w:rsidRDefault="00F85171" w:rsidP="00590FE7">
      <w:pPr>
        <w:spacing w:line="240" w:lineRule="auto"/>
        <w:ind w:firstLine="0"/>
        <w:rPr>
          <w:sz w:val="26"/>
          <w:szCs w:val="26"/>
        </w:rPr>
      </w:pPr>
    </w:p>
    <w:p w14:paraId="23B97B03" w14:textId="77777777" w:rsidR="00176E39" w:rsidRPr="0055259C" w:rsidRDefault="00176E39" w:rsidP="00590FE7">
      <w:pPr>
        <w:spacing w:line="240" w:lineRule="auto"/>
        <w:ind w:firstLine="0"/>
        <w:rPr>
          <w:sz w:val="26"/>
          <w:szCs w:val="26"/>
        </w:rPr>
      </w:pPr>
      <w:r w:rsidRPr="0055259C">
        <w:rPr>
          <w:sz w:val="26"/>
          <w:szCs w:val="26"/>
        </w:rPr>
        <w:t>(SEAL)</w:t>
      </w:r>
    </w:p>
    <w:p w14:paraId="1DB0EFF1" w14:textId="77777777" w:rsidR="00176E39" w:rsidRPr="0055259C" w:rsidRDefault="00176E39" w:rsidP="00590FE7">
      <w:pPr>
        <w:spacing w:line="240" w:lineRule="auto"/>
        <w:ind w:firstLine="0"/>
        <w:rPr>
          <w:sz w:val="26"/>
          <w:szCs w:val="26"/>
        </w:rPr>
      </w:pPr>
    </w:p>
    <w:p w14:paraId="27F1BFD4" w14:textId="77777777" w:rsidR="00176E39" w:rsidRPr="0055259C" w:rsidRDefault="00176E39" w:rsidP="00590FE7">
      <w:pPr>
        <w:spacing w:line="240" w:lineRule="auto"/>
        <w:ind w:firstLine="0"/>
        <w:rPr>
          <w:sz w:val="26"/>
          <w:szCs w:val="26"/>
        </w:rPr>
      </w:pPr>
      <w:r w:rsidRPr="0055259C">
        <w:rPr>
          <w:sz w:val="26"/>
          <w:szCs w:val="26"/>
        </w:rPr>
        <w:t xml:space="preserve">ORDER ADOPTED:  </w:t>
      </w:r>
      <w:r w:rsidR="00E415E4">
        <w:rPr>
          <w:sz w:val="26"/>
          <w:szCs w:val="26"/>
        </w:rPr>
        <w:t xml:space="preserve">August </w:t>
      </w:r>
      <w:r w:rsidR="00E71D03">
        <w:rPr>
          <w:sz w:val="26"/>
          <w:szCs w:val="26"/>
        </w:rPr>
        <w:t>6</w:t>
      </w:r>
      <w:r w:rsidR="00947BEE" w:rsidRPr="0055259C">
        <w:rPr>
          <w:sz w:val="26"/>
          <w:szCs w:val="26"/>
        </w:rPr>
        <w:t>, 2020</w:t>
      </w:r>
    </w:p>
    <w:p w14:paraId="0058E23D" w14:textId="77777777" w:rsidR="00176E39" w:rsidRPr="0055259C" w:rsidRDefault="00176E39" w:rsidP="00590FE7">
      <w:pPr>
        <w:spacing w:line="240" w:lineRule="auto"/>
        <w:ind w:firstLine="0"/>
        <w:rPr>
          <w:sz w:val="26"/>
          <w:szCs w:val="26"/>
        </w:rPr>
      </w:pPr>
    </w:p>
    <w:p w14:paraId="6CEBF6CE" w14:textId="0F0A6200" w:rsidR="00892BEC" w:rsidRPr="0055259C" w:rsidRDefault="00176E39" w:rsidP="00590FE7">
      <w:pPr>
        <w:spacing w:line="240" w:lineRule="auto"/>
        <w:ind w:firstLine="0"/>
        <w:rPr>
          <w:sz w:val="26"/>
          <w:szCs w:val="26"/>
        </w:rPr>
      </w:pPr>
      <w:r w:rsidRPr="0055259C">
        <w:rPr>
          <w:sz w:val="26"/>
          <w:szCs w:val="26"/>
        </w:rPr>
        <w:t xml:space="preserve">ORDER ENTERED:  </w:t>
      </w:r>
      <w:r w:rsidR="00082287">
        <w:rPr>
          <w:sz w:val="26"/>
          <w:szCs w:val="26"/>
        </w:rPr>
        <w:t>August 20, 2020</w:t>
      </w:r>
    </w:p>
    <w:sectPr w:rsidR="00892BEC" w:rsidRPr="0055259C" w:rsidSect="00D93D9A">
      <w:headerReference w:type="default" r:id="rId14"/>
      <w:footerReference w:type="defaul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57CA5" w14:textId="77777777" w:rsidR="00FF7578" w:rsidRDefault="00FF7578" w:rsidP="00F14E4C">
      <w:pPr>
        <w:spacing w:line="240" w:lineRule="auto"/>
      </w:pPr>
      <w:r>
        <w:separator/>
      </w:r>
    </w:p>
  </w:endnote>
  <w:endnote w:type="continuationSeparator" w:id="0">
    <w:p w14:paraId="05E8501F" w14:textId="77777777" w:rsidR="00FF7578" w:rsidRDefault="00FF7578" w:rsidP="00F14E4C">
      <w:pPr>
        <w:spacing w:line="240" w:lineRule="auto"/>
      </w:pPr>
      <w:r>
        <w:continuationSeparator/>
      </w:r>
    </w:p>
  </w:endnote>
  <w:endnote w:type="continuationNotice" w:id="1">
    <w:p w14:paraId="595353F6" w14:textId="77777777" w:rsidR="00FF7578" w:rsidRDefault="00FF75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5276154"/>
      <w:docPartObj>
        <w:docPartGallery w:val="Page Numbers (Bottom of Page)"/>
        <w:docPartUnique/>
      </w:docPartObj>
    </w:sdtPr>
    <w:sdtEndPr>
      <w:rPr>
        <w:noProof/>
        <w:sz w:val="26"/>
        <w:szCs w:val="26"/>
      </w:rPr>
    </w:sdtEndPr>
    <w:sdtContent>
      <w:p w14:paraId="0D467721" w14:textId="382EFD37" w:rsidR="00D9521C" w:rsidRPr="00AA0820" w:rsidRDefault="00D9521C" w:rsidP="00AA0820">
        <w:pPr>
          <w:pStyle w:val="Footer"/>
          <w:ind w:firstLine="0"/>
          <w:jc w:val="center"/>
          <w:rPr>
            <w:sz w:val="26"/>
            <w:szCs w:val="26"/>
          </w:rPr>
        </w:pPr>
        <w:r w:rsidRPr="00AA0820">
          <w:rPr>
            <w:sz w:val="26"/>
            <w:szCs w:val="26"/>
          </w:rPr>
          <w:fldChar w:fldCharType="begin"/>
        </w:r>
        <w:r w:rsidRPr="00AA0820">
          <w:rPr>
            <w:sz w:val="26"/>
            <w:szCs w:val="26"/>
          </w:rPr>
          <w:instrText xml:space="preserve"> PAGE   \* MERGEFORMAT </w:instrText>
        </w:r>
        <w:r w:rsidRPr="00AA0820">
          <w:rPr>
            <w:sz w:val="26"/>
            <w:szCs w:val="26"/>
          </w:rPr>
          <w:fldChar w:fldCharType="separate"/>
        </w:r>
        <w:r w:rsidR="0008254F">
          <w:rPr>
            <w:noProof/>
            <w:sz w:val="26"/>
            <w:szCs w:val="26"/>
          </w:rPr>
          <w:t>21</w:t>
        </w:r>
        <w:r w:rsidRPr="00AA0820">
          <w:rPr>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6E09F" w14:textId="77777777" w:rsidR="00D9521C" w:rsidRDefault="00D9521C" w:rsidP="00AA0820">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65FA1" w14:textId="77777777" w:rsidR="00FF7578" w:rsidRDefault="00FF7578" w:rsidP="00176E39">
      <w:pPr>
        <w:spacing w:line="240" w:lineRule="auto"/>
        <w:ind w:firstLine="0"/>
      </w:pPr>
      <w:r>
        <w:separator/>
      </w:r>
    </w:p>
  </w:footnote>
  <w:footnote w:type="continuationSeparator" w:id="0">
    <w:p w14:paraId="3E20B11D" w14:textId="77777777" w:rsidR="00FF7578" w:rsidRDefault="00FF7578" w:rsidP="00F14E4C">
      <w:pPr>
        <w:spacing w:line="240" w:lineRule="auto"/>
      </w:pPr>
      <w:r>
        <w:continuationSeparator/>
      </w:r>
    </w:p>
  </w:footnote>
  <w:footnote w:type="continuationNotice" w:id="1">
    <w:p w14:paraId="791E0086" w14:textId="77777777" w:rsidR="00FF7578" w:rsidRDefault="00FF7578">
      <w:pPr>
        <w:spacing w:line="240" w:lineRule="auto"/>
      </w:pPr>
    </w:p>
  </w:footnote>
  <w:footnote w:id="2">
    <w:p w14:paraId="7B487612" w14:textId="44E01E98" w:rsidR="00D9521C" w:rsidRPr="00F34AEB" w:rsidRDefault="00D9521C" w:rsidP="00C33FDC">
      <w:pPr>
        <w:pStyle w:val="FootnoteText"/>
        <w:spacing w:line="240" w:lineRule="auto"/>
        <w:ind w:left="0" w:firstLine="720"/>
        <w:rPr>
          <w:sz w:val="26"/>
          <w:szCs w:val="26"/>
        </w:rPr>
      </w:pPr>
      <w:r w:rsidRPr="00F34AEB">
        <w:rPr>
          <w:rStyle w:val="FootnoteReference"/>
          <w:szCs w:val="26"/>
        </w:rPr>
        <w:footnoteRef/>
      </w:r>
      <w:r w:rsidRPr="00F34AEB">
        <w:rPr>
          <w:sz w:val="26"/>
          <w:szCs w:val="26"/>
        </w:rPr>
        <w:t xml:space="preserve"> </w:t>
      </w:r>
      <w:r w:rsidRPr="00F34AEB">
        <w:rPr>
          <w:sz w:val="26"/>
          <w:szCs w:val="26"/>
        </w:rPr>
        <w:tab/>
      </w:r>
      <w:r>
        <w:rPr>
          <w:sz w:val="26"/>
          <w:szCs w:val="26"/>
        </w:rPr>
        <w:t xml:space="preserve">The Public Meeting </w:t>
      </w:r>
      <w:r w:rsidRPr="00F34AEB">
        <w:rPr>
          <w:sz w:val="26"/>
          <w:szCs w:val="26"/>
        </w:rPr>
        <w:t xml:space="preserve">dates </w:t>
      </w:r>
      <w:r>
        <w:rPr>
          <w:sz w:val="26"/>
          <w:szCs w:val="26"/>
        </w:rPr>
        <w:t xml:space="preserve">scheduled for </w:t>
      </w:r>
      <w:r w:rsidRPr="00F34AEB">
        <w:rPr>
          <w:sz w:val="26"/>
          <w:szCs w:val="26"/>
        </w:rPr>
        <w:t>March 2021 are Thursday, March</w:t>
      </w:r>
      <w:r w:rsidR="00967B68">
        <w:rPr>
          <w:sz w:val="26"/>
          <w:szCs w:val="26"/>
        </w:rPr>
        <w:t> </w:t>
      </w:r>
      <w:r w:rsidRPr="00F34AEB">
        <w:rPr>
          <w:sz w:val="26"/>
          <w:szCs w:val="26"/>
        </w:rPr>
        <w:t xml:space="preserve">11, 2021 and Thursday, March 25, 2021.  </w:t>
      </w:r>
    </w:p>
  </w:footnote>
  <w:footnote w:id="3">
    <w:p w14:paraId="25E6838E" w14:textId="77777777" w:rsidR="00D9521C" w:rsidRPr="00BB3BD4" w:rsidRDefault="00D9521C" w:rsidP="00E70583">
      <w:pPr>
        <w:pStyle w:val="FootnoteText"/>
        <w:spacing w:line="240" w:lineRule="auto"/>
        <w:ind w:left="0" w:firstLine="720"/>
        <w:rPr>
          <w:sz w:val="26"/>
        </w:rPr>
      </w:pPr>
      <w:r w:rsidRPr="00584ED9">
        <w:rPr>
          <w:rStyle w:val="FootnoteReference"/>
          <w:szCs w:val="26"/>
        </w:rPr>
        <w:footnoteRef/>
      </w:r>
      <w:r w:rsidRPr="00BB3BD4">
        <w:rPr>
          <w:sz w:val="26"/>
        </w:rPr>
        <w:t xml:space="preserve">  </w:t>
      </w:r>
      <w:r>
        <w:rPr>
          <w:sz w:val="26"/>
          <w:szCs w:val="26"/>
        </w:rPr>
        <w:tab/>
      </w:r>
      <w:r w:rsidRPr="00BB3BD4">
        <w:rPr>
          <w:i/>
          <w:sz w:val="26"/>
        </w:rPr>
        <w:t>See Order of the Governor of the Commonwealth of Pennsylvania Regarding the Closure of All Businesses That Are Not Life Sustaining</w:t>
      </w:r>
      <w:r w:rsidRPr="00BB3BD4">
        <w:rPr>
          <w:sz w:val="26"/>
        </w:rPr>
        <w:t>, as amended</w:t>
      </w:r>
      <w:r w:rsidR="000E5AE1">
        <w:rPr>
          <w:sz w:val="26"/>
        </w:rPr>
        <w:t xml:space="preserve">; </w:t>
      </w:r>
      <w:r w:rsidRPr="00BB3BD4">
        <w:rPr>
          <w:i/>
          <w:sz w:val="26"/>
        </w:rPr>
        <w:t>see also Order of the Secretary of the Pennsylvania Department of Health Regarding the Closure of All Businesses That Are Not Life Sustaining</w:t>
      </w:r>
      <w:r w:rsidRPr="00BB3BD4">
        <w:rPr>
          <w:sz w:val="26"/>
        </w:rPr>
        <w:t>, as amended</w:t>
      </w:r>
      <w:r w:rsidR="002457DE">
        <w:rPr>
          <w:sz w:val="26"/>
        </w:rPr>
        <w:t>.</w:t>
      </w:r>
      <w:r w:rsidRPr="00BB3BD4">
        <w:rPr>
          <w:sz w:val="26"/>
        </w:rPr>
        <w:t xml:space="preserve"> </w:t>
      </w:r>
    </w:p>
  </w:footnote>
  <w:footnote w:id="4">
    <w:p w14:paraId="1751B189" w14:textId="77777777" w:rsidR="00D9521C" w:rsidRPr="002457DE" w:rsidRDefault="00D9521C" w:rsidP="002457DE">
      <w:pPr>
        <w:pStyle w:val="FootnoteText"/>
        <w:spacing w:after="120" w:line="240" w:lineRule="auto"/>
        <w:ind w:left="0" w:firstLine="720"/>
        <w:rPr>
          <w:sz w:val="26"/>
          <w:szCs w:val="26"/>
        </w:rPr>
      </w:pPr>
      <w:r w:rsidRPr="0083766B">
        <w:rPr>
          <w:rStyle w:val="FootnoteReference"/>
          <w:szCs w:val="26"/>
        </w:rPr>
        <w:footnoteRef/>
      </w:r>
      <w:r w:rsidRPr="002457DE">
        <w:rPr>
          <w:sz w:val="26"/>
          <w:szCs w:val="26"/>
        </w:rPr>
        <w:t xml:space="preserve"> </w:t>
      </w:r>
      <w:r w:rsidRPr="002457DE">
        <w:rPr>
          <w:sz w:val="26"/>
          <w:szCs w:val="26"/>
        </w:rPr>
        <w:tab/>
      </w:r>
      <w:r w:rsidRPr="002457DE">
        <w:rPr>
          <w:i/>
          <w:iCs/>
          <w:sz w:val="26"/>
          <w:szCs w:val="26"/>
        </w:rPr>
        <w:t>See</w:t>
      </w:r>
      <w:r w:rsidRPr="002457DE">
        <w:rPr>
          <w:sz w:val="26"/>
          <w:szCs w:val="26"/>
        </w:rPr>
        <w:t xml:space="preserve"> </w:t>
      </w:r>
      <w:r w:rsidRPr="002457DE">
        <w:rPr>
          <w:i/>
          <w:iCs/>
          <w:sz w:val="26"/>
          <w:szCs w:val="26"/>
        </w:rPr>
        <w:t>Amendment to Proclamation of Disaster Emergency</w:t>
      </w:r>
      <w:r w:rsidRPr="002457DE">
        <w:rPr>
          <w:sz w:val="26"/>
          <w:szCs w:val="26"/>
        </w:rPr>
        <w:t xml:space="preserve"> renews the Proclamation for an additional ninety (90) days from June 3, 2020.  </w:t>
      </w:r>
    </w:p>
  </w:footnote>
  <w:footnote w:id="5">
    <w:p w14:paraId="34148B2B" w14:textId="77777777" w:rsidR="00D9521C" w:rsidRPr="009110D4" w:rsidRDefault="00D9521C" w:rsidP="00235DBE">
      <w:pPr>
        <w:pStyle w:val="FootnoteText"/>
        <w:spacing w:after="120" w:line="240" w:lineRule="auto"/>
        <w:ind w:left="0" w:firstLine="720"/>
        <w:rPr>
          <w:sz w:val="26"/>
          <w:szCs w:val="26"/>
        </w:rPr>
      </w:pPr>
      <w:r w:rsidRPr="00A37E8B">
        <w:rPr>
          <w:rStyle w:val="FootnoteReference"/>
          <w:szCs w:val="26"/>
        </w:rPr>
        <w:footnoteRef/>
      </w:r>
      <w:r w:rsidRPr="00A37E8B">
        <w:rPr>
          <w:sz w:val="26"/>
          <w:szCs w:val="26"/>
        </w:rPr>
        <w:t xml:space="preserve"> </w:t>
      </w:r>
      <w:r w:rsidRPr="00A37E8B">
        <w:rPr>
          <w:sz w:val="26"/>
          <w:szCs w:val="26"/>
        </w:rPr>
        <w:tab/>
      </w:r>
      <w:r w:rsidRPr="00A37E8B">
        <w:rPr>
          <w:i/>
          <w:iCs/>
          <w:sz w:val="26"/>
          <w:szCs w:val="26"/>
        </w:rPr>
        <w:t xml:space="preserve">See Order of the Secretary of the Pennsylvania Department of Health Requiring </w:t>
      </w:r>
      <w:r w:rsidRPr="009110D4">
        <w:rPr>
          <w:i/>
          <w:iCs/>
          <w:sz w:val="26"/>
          <w:szCs w:val="26"/>
        </w:rPr>
        <w:t>Universal Face Coverings</w:t>
      </w:r>
      <w:r w:rsidRPr="009110D4">
        <w:rPr>
          <w:sz w:val="26"/>
          <w:szCs w:val="26"/>
        </w:rPr>
        <w:t xml:space="preserve">, </w:t>
      </w:r>
      <w:r>
        <w:rPr>
          <w:sz w:val="26"/>
          <w:szCs w:val="26"/>
        </w:rPr>
        <w:t>e</w:t>
      </w:r>
      <w:r w:rsidRPr="009110D4">
        <w:rPr>
          <w:sz w:val="26"/>
          <w:szCs w:val="26"/>
        </w:rPr>
        <w:t>ffective July 1, 2020.</w:t>
      </w:r>
    </w:p>
  </w:footnote>
  <w:footnote w:id="6">
    <w:p w14:paraId="132BC585" w14:textId="77777777" w:rsidR="00D9521C" w:rsidRDefault="00D9521C" w:rsidP="00235DBE">
      <w:pPr>
        <w:pStyle w:val="FootnoteText"/>
        <w:spacing w:after="120" w:line="240" w:lineRule="auto"/>
        <w:ind w:left="0" w:firstLine="720"/>
      </w:pPr>
      <w:r w:rsidRPr="009110D4">
        <w:rPr>
          <w:rStyle w:val="FootnoteReference"/>
          <w:szCs w:val="26"/>
        </w:rPr>
        <w:footnoteRef/>
      </w:r>
      <w:r w:rsidRPr="009110D4">
        <w:rPr>
          <w:sz w:val="26"/>
          <w:szCs w:val="26"/>
        </w:rPr>
        <w:t xml:space="preserve"> </w:t>
      </w:r>
      <w:r w:rsidRPr="009110D4">
        <w:rPr>
          <w:sz w:val="26"/>
          <w:szCs w:val="26"/>
        </w:rPr>
        <w:tab/>
      </w:r>
      <w:r w:rsidRPr="009110D4">
        <w:rPr>
          <w:i/>
          <w:iCs/>
          <w:sz w:val="26"/>
          <w:szCs w:val="26"/>
        </w:rPr>
        <w:t>See Order of the Governor of the Commonwealth of Pennsylvania Directing Targeted Mitigation Measures</w:t>
      </w:r>
      <w:r w:rsidRPr="009110D4">
        <w:rPr>
          <w:sz w:val="26"/>
          <w:szCs w:val="26"/>
        </w:rPr>
        <w:t xml:space="preserve">, </w:t>
      </w:r>
      <w:r>
        <w:rPr>
          <w:sz w:val="26"/>
          <w:szCs w:val="26"/>
        </w:rPr>
        <w:t>e</w:t>
      </w:r>
      <w:r w:rsidRPr="009110D4">
        <w:rPr>
          <w:sz w:val="26"/>
          <w:szCs w:val="26"/>
        </w:rPr>
        <w:t>ffective July 16, 2020</w:t>
      </w:r>
      <w:r>
        <w:rPr>
          <w:sz w:val="26"/>
          <w:szCs w:val="26"/>
        </w:rPr>
        <w:t>.</w:t>
      </w:r>
    </w:p>
  </w:footnote>
  <w:footnote w:id="7">
    <w:p w14:paraId="11452B14" w14:textId="77777777" w:rsidR="00D9521C" w:rsidRDefault="00D9521C" w:rsidP="00235DBE">
      <w:pPr>
        <w:pStyle w:val="FootnoteText"/>
        <w:spacing w:after="120" w:line="240" w:lineRule="auto"/>
        <w:ind w:left="0" w:firstLine="720"/>
      </w:pPr>
      <w:r w:rsidRPr="009110D4">
        <w:rPr>
          <w:rStyle w:val="FootnoteReference"/>
          <w:szCs w:val="26"/>
        </w:rPr>
        <w:footnoteRef/>
      </w:r>
      <w:r w:rsidRPr="009110D4">
        <w:rPr>
          <w:sz w:val="26"/>
          <w:szCs w:val="26"/>
        </w:rPr>
        <w:t xml:space="preserve"> </w:t>
      </w:r>
      <w:r w:rsidRPr="009110D4">
        <w:rPr>
          <w:sz w:val="26"/>
          <w:szCs w:val="26"/>
        </w:rPr>
        <w:tab/>
      </w:r>
      <w:r w:rsidRPr="009110D4">
        <w:rPr>
          <w:i/>
          <w:iCs/>
          <w:sz w:val="26"/>
          <w:szCs w:val="26"/>
        </w:rPr>
        <w:t>See Order of the Secretary of the Pennsylvania Department of Health Directing Mitigation Measures</w:t>
      </w:r>
      <w:r>
        <w:rPr>
          <w:sz w:val="26"/>
          <w:szCs w:val="26"/>
        </w:rPr>
        <w:t>, effective July 16, 2020.</w:t>
      </w:r>
    </w:p>
  </w:footnote>
  <w:footnote w:id="8">
    <w:p w14:paraId="259254BE" w14:textId="59E53115" w:rsidR="009B4274" w:rsidRPr="009A5EE4" w:rsidRDefault="009B4274" w:rsidP="00813090">
      <w:pPr>
        <w:pStyle w:val="FootnoteText"/>
        <w:spacing w:after="120" w:line="240" w:lineRule="auto"/>
        <w:ind w:left="0" w:firstLine="720"/>
        <w:rPr>
          <w:sz w:val="26"/>
          <w:szCs w:val="26"/>
        </w:rPr>
      </w:pPr>
      <w:r w:rsidRPr="00B40198">
        <w:rPr>
          <w:rStyle w:val="FootnoteReference"/>
          <w:szCs w:val="26"/>
        </w:rPr>
        <w:footnoteRef/>
      </w:r>
      <w:r w:rsidRPr="00B40198">
        <w:rPr>
          <w:sz w:val="26"/>
          <w:szCs w:val="26"/>
        </w:rPr>
        <w:t xml:space="preserve"> </w:t>
      </w:r>
      <w:r w:rsidRPr="00B40198">
        <w:rPr>
          <w:sz w:val="26"/>
          <w:szCs w:val="26"/>
        </w:rPr>
        <w:tab/>
      </w:r>
      <w:r>
        <w:rPr>
          <w:sz w:val="26"/>
          <w:szCs w:val="26"/>
        </w:rPr>
        <w:t xml:space="preserve">Under the </w:t>
      </w:r>
      <w:r w:rsidRPr="008A1D6A">
        <w:rPr>
          <w:i/>
          <w:iCs/>
          <w:sz w:val="26"/>
          <w:szCs w:val="26"/>
        </w:rPr>
        <w:t>Emergency Order</w:t>
      </w:r>
      <w:r>
        <w:rPr>
          <w:sz w:val="26"/>
          <w:szCs w:val="26"/>
        </w:rPr>
        <w:t>, review pursuant to Section 5.44 applies for any extension granted up to ninety days.  Beyond ninety days, any</w:t>
      </w:r>
      <w:r w:rsidRPr="00B40198">
        <w:rPr>
          <w:sz w:val="26"/>
          <w:szCs w:val="26"/>
        </w:rPr>
        <w:t xml:space="preserve"> request for a suspension, extension, waiver or change of any regulatory, </w:t>
      </w:r>
      <w:proofErr w:type="gramStart"/>
      <w:r w:rsidRPr="00B40198">
        <w:rPr>
          <w:sz w:val="26"/>
          <w:szCs w:val="26"/>
        </w:rPr>
        <w:t>statutory</w:t>
      </w:r>
      <w:proofErr w:type="gramEnd"/>
      <w:r w:rsidRPr="00B40198">
        <w:rPr>
          <w:sz w:val="26"/>
          <w:szCs w:val="26"/>
        </w:rPr>
        <w:t xml:space="preserve"> or procedural deadlin</w:t>
      </w:r>
      <w:r>
        <w:rPr>
          <w:sz w:val="26"/>
          <w:szCs w:val="26"/>
        </w:rPr>
        <w:t xml:space="preserve">e </w:t>
      </w:r>
      <w:r w:rsidRPr="00B40198">
        <w:rPr>
          <w:sz w:val="26"/>
          <w:szCs w:val="26"/>
        </w:rPr>
        <w:t xml:space="preserve">may only be considered upon expedited certification of the question by the </w:t>
      </w:r>
      <w:r>
        <w:rPr>
          <w:sz w:val="26"/>
          <w:szCs w:val="26"/>
        </w:rPr>
        <w:t>CALJ</w:t>
      </w:r>
      <w:r w:rsidRPr="00B40198">
        <w:rPr>
          <w:sz w:val="26"/>
          <w:szCs w:val="26"/>
        </w:rPr>
        <w:t xml:space="preserve"> or Bureau Director directly to the Commission.</w:t>
      </w:r>
      <w:r>
        <w:rPr>
          <w:sz w:val="26"/>
          <w:szCs w:val="26"/>
        </w:rPr>
        <w:t xml:space="preserve">  </w:t>
      </w:r>
      <w:r w:rsidRPr="00C3718A">
        <w:rPr>
          <w:i/>
          <w:iCs/>
          <w:sz w:val="26"/>
          <w:szCs w:val="26"/>
        </w:rPr>
        <w:t>See Emergency Order</w:t>
      </w:r>
      <w:r>
        <w:rPr>
          <w:sz w:val="26"/>
          <w:szCs w:val="26"/>
        </w:rPr>
        <w:t xml:space="preserve"> at 2, 4, OP</w:t>
      </w:r>
      <w:r w:rsidR="00967B68">
        <w:rPr>
          <w:sz w:val="26"/>
          <w:szCs w:val="26"/>
        </w:rPr>
        <w:t> </w:t>
      </w:r>
      <w:r>
        <w:rPr>
          <w:sz w:val="26"/>
          <w:szCs w:val="26"/>
        </w:rPr>
        <w:t>No. 5.</w:t>
      </w:r>
    </w:p>
  </w:footnote>
  <w:footnote w:id="9">
    <w:p w14:paraId="79C9B285" w14:textId="60C5D316" w:rsidR="009B4274" w:rsidRPr="000631D1" w:rsidRDefault="009B4274" w:rsidP="009B4274">
      <w:pPr>
        <w:spacing w:line="240" w:lineRule="auto"/>
        <w:ind w:firstLine="720"/>
        <w:rPr>
          <w:sz w:val="26"/>
          <w:szCs w:val="26"/>
        </w:rPr>
      </w:pPr>
      <w:r>
        <w:rPr>
          <w:rStyle w:val="FootnoteReference"/>
        </w:rPr>
        <w:footnoteRef/>
      </w:r>
      <w:r>
        <w:t xml:space="preserve"> </w:t>
      </w:r>
      <w:r>
        <w:tab/>
      </w:r>
      <w:r w:rsidRPr="00287601">
        <w:rPr>
          <w:sz w:val="26"/>
          <w:szCs w:val="26"/>
        </w:rPr>
        <w:t xml:space="preserve">The Commission’s </w:t>
      </w:r>
      <w:r w:rsidRPr="00EE039C">
        <w:rPr>
          <w:i/>
          <w:iCs/>
          <w:sz w:val="26"/>
          <w:szCs w:val="26"/>
        </w:rPr>
        <w:t>Emergency Order</w:t>
      </w:r>
      <w:r w:rsidRPr="00287601">
        <w:rPr>
          <w:sz w:val="26"/>
          <w:szCs w:val="26"/>
        </w:rPr>
        <w:t xml:space="preserve"> providing authority to Bureau Directors and the CALJ provides that the decisions of Bureau Directors, which would be issued as Secretarial Letters or as an order, are subject to Commission review under 52</w:t>
      </w:r>
      <w:r w:rsidR="00967B68">
        <w:rPr>
          <w:sz w:val="26"/>
          <w:szCs w:val="26"/>
        </w:rPr>
        <w:t> </w:t>
      </w:r>
      <w:r w:rsidRPr="00287601">
        <w:rPr>
          <w:sz w:val="26"/>
          <w:szCs w:val="26"/>
        </w:rPr>
        <w:t>Pa. Code §</w:t>
      </w:r>
      <w:r>
        <w:rPr>
          <w:sz w:val="26"/>
          <w:szCs w:val="26"/>
        </w:rPr>
        <w:t xml:space="preserve"> </w:t>
      </w:r>
      <w:r w:rsidRPr="00287601">
        <w:rPr>
          <w:sz w:val="26"/>
          <w:szCs w:val="26"/>
        </w:rPr>
        <w:t xml:space="preserve">5.44.  </w:t>
      </w:r>
      <w:r>
        <w:rPr>
          <w:sz w:val="26"/>
          <w:szCs w:val="26"/>
        </w:rPr>
        <w:t xml:space="preserve">While we note that normally orders of </w:t>
      </w:r>
      <w:r w:rsidRPr="00287601">
        <w:rPr>
          <w:sz w:val="26"/>
          <w:szCs w:val="26"/>
        </w:rPr>
        <w:t>the CALJ or any ALJ are subject to interlocutory review under 52 Pa. Code §</w:t>
      </w:r>
      <w:r>
        <w:rPr>
          <w:sz w:val="26"/>
          <w:szCs w:val="26"/>
        </w:rPr>
        <w:t xml:space="preserve"> </w:t>
      </w:r>
      <w:r w:rsidRPr="00287601">
        <w:rPr>
          <w:sz w:val="26"/>
          <w:szCs w:val="26"/>
        </w:rPr>
        <w:t>5.302</w:t>
      </w:r>
      <w:r>
        <w:rPr>
          <w:sz w:val="26"/>
          <w:szCs w:val="26"/>
        </w:rPr>
        <w:t xml:space="preserve">, since both Sections 5.302 and 5.44 ultimately </w:t>
      </w:r>
      <w:r w:rsidRPr="00287601">
        <w:rPr>
          <w:sz w:val="26"/>
          <w:szCs w:val="26"/>
        </w:rPr>
        <w:t>place the burden of proof on the petitioner</w:t>
      </w:r>
      <w:r>
        <w:rPr>
          <w:sz w:val="26"/>
          <w:szCs w:val="26"/>
        </w:rPr>
        <w:t xml:space="preserve">, </w:t>
      </w:r>
      <w:r w:rsidRPr="00287601">
        <w:rPr>
          <w:sz w:val="26"/>
          <w:szCs w:val="26"/>
        </w:rPr>
        <w:t>the outcome</w:t>
      </w:r>
      <w:r>
        <w:rPr>
          <w:sz w:val="26"/>
          <w:szCs w:val="26"/>
        </w:rPr>
        <w:t xml:space="preserve"> would be the same under either standard.  52 Pa. Code §§ 5.302, 5.44.</w:t>
      </w:r>
    </w:p>
  </w:footnote>
  <w:footnote w:id="10">
    <w:p w14:paraId="2D6BCC80" w14:textId="77777777" w:rsidR="00D9521C" w:rsidRPr="007A05ED" w:rsidRDefault="00D9521C" w:rsidP="007A05ED">
      <w:pPr>
        <w:pStyle w:val="FootnoteText"/>
        <w:keepNext/>
        <w:keepLines/>
        <w:spacing w:line="240" w:lineRule="auto"/>
        <w:ind w:left="0" w:firstLine="720"/>
        <w:rPr>
          <w:sz w:val="26"/>
          <w:szCs w:val="26"/>
        </w:rPr>
      </w:pPr>
      <w:r w:rsidRPr="007A05ED">
        <w:rPr>
          <w:rStyle w:val="FootnoteReference"/>
          <w:szCs w:val="26"/>
        </w:rPr>
        <w:footnoteRef/>
      </w:r>
      <w:r>
        <w:rPr>
          <w:sz w:val="26"/>
          <w:szCs w:val="26"/>
        </w:rPr>
        <w:t xml:space="preserve"> </w:t>
      </w:r>
      <w:r>
        <w:rPr>
          <w:sz w:val="26"/>
          <w:szCs w:val="26"/>
        </w:rPr>
        <w:tab/>
      </w:r>
      <w:r w:rsidRPr="007A05ED">
        <w:rPr>
          <w:sz w:val="26"/>
          <w:szCs w:val="26"/>
        </w:rPr>
        <w:t>The Commission’s public meetings are scheduled for January 14 and February 4, 2021.  Under 66 Pa.</w:t>
      </w:r>
      <w:r>
        <w:rPr>
          <w:sz w:val="26"/>
          <w:szCs w:val="26"/>
        </w:rPr>
        <w:t xml:space="preserve"> </w:t>
      </w:r>
      <w:r w:rsidRPr="007A05ED">
        <w:rPr>
          <w:sz w:val="26"/>
          <w:szCs w:val="26"/>
        </w:rPr>
        <w:t>C.S. § 1308(d), the suspension period of the Company’s rate filing ends on January 28, 2021.  The Company’s offer to voluntarily extend the suspension period to February 4, 2021 would extend the procedural schedule by 20 days (January 14 to February 4, 2021).</w:t>
      </w:r>
    </w:p>
  </w:footnote>
  <w:footnote w:id="11">
    <w:p w14:paraId="1B910373" w14:textId="6A805283" w:rsidR="0072261A" w:rsidRPr="002B1249" w:rsidRDefault="0072261A" w:rsidP="002B1249">
      <w:pPr>
        <w:pStyle w:val="FootnoteText"/>
        <w:spacing w:line="240" w:lineRule="auto"/>
        <w:ind w:left="0" w:firstLine="720"/>
        <w:rPr>
          <w:sz w:val="26"/>
          <w:szCs w:val="26"/>
        </w:rPr>
      </w:pPr>
      <w:r w:rsidRPr="002B1249">
        <w:rPr>
          <w:rStyle w:val="FootnoteReference"/>
          <w:rFonts w:eastAsia="SimSun"/>
          <w:szCs w:val="26"/>
        </w:rPr>
        <w:footnoteRef/>
      </w:r>
      <w:r w:rsidRPr="002B1249">
        <w:rPr>
          <w:sz w:val="26"/>
          <w:szCs w:val="26"/>
        </w:rPr>
        <w:t xml:space="preserve"> </w:t>
      </w:r>
      <w:r w:rsidRPr="002B1249">
        <w:rPr>
          <w:sz w:val="26"/>
          <w:szCs w:val="26"/>
        </w:rPr>
        <w:tab/>
      </w:r>
      <w:r w:rsidRPr="000E37D6">
        <w:rPr>
          <w:sz w:val="26"/>
          <w:szCs w:val="26"/>
        </w:rPr>
        <w:t>The 60 days is comprised</w:t>
      </w:r>
      <w:r w:rsidRPr="002B1249">
        <w:rPr>
          <w:sz w:val="26"/>
          <w:szCs w:val="26"/>
        </w:rPr>
        <w:t xml:space="preserve"> of 30 days for </w:t>
      </w:r>
      <w:r w:rsidR="006A7C7A">
        <w:rPr>
          <w:sz w:val="26"/>
          <w:szCs w:val="26"/>
        </w:rPr>
        <w:t>E</w:t>
      </w:r>
      <w:r w:rsidRPr="002B1249">
        <w:rPr>
          <w:sz w:val="26"/>
          <w:szCs w:val="26"/>
        </w:rPr>
        <w:t xml:space="preserve">xceptions and </w:t>
      </w:r>
      <w:r w:rsidR="006A7C7A">
        <w:rPr>
          <w:sz w:val="26"/>
          <w:szCs w:val="26"/>
        </w:rPr>
        <w:t>R</w:t>
      </w:r>
      <w:r w:rsidRPr="002B1249">
        <w:rPr>
          <w:sz w:val="26"/>
          <w:szCs w:val="26"/>
        </w:rPr>
        <w:t xml:space="preserve">eply </w:t>
      </w:r>
      <w:r w:rsidR="006A7C7A">
        <w:rPr>
          <w:sz w:val="26"/>
          <w:szCs w:val="26"/>
        </w:rPr>
        <w:t>E</w:t>
      </w:r>
      <w:r w:rsidRPr="002B1249">
        <w:rPr>
          <w:sz w:val="26"/>
          <w:szCs w:val="26"/>
        </w:rPr>
        <w:t xml:space="preserve">xceptions, 20 days for the Office of Special Assistants to review the record and prepare a recommendation on those </w:t>
      </w:r>
      <w:r w:rsidR="006A7C7A">
        <w:rPr>
          <w:sz w:val="26"/>
          <w:szCs w:val="26"/>
        </w:rPr>
        <w:t>E</w:t>
      </w:r>
      <w:r w:rsidRPr="002B1249">
        <w:rPr>
          <w:sz w:val="26"/>
          <w:szCs w:val="26"/>
        </w:rPr>
        <w:t xml:space="preserve">xceptions, and nine days for the Commissioners’ and their staff to consider the record, </w:t>
      </w:r>
      <w:r w:rsidR="00072085">
        <w:rPr>
          <w:sz w:val="26"/>
          <w:szCs w:val="26"/>
        </w:rPr>
        <w:t>E</w:t>
      </w:r>
      <w:r w:rsidRPr="002B1249">
        <w:rPr>
          <w:sz w:val="26"/>
          <w:szCs w:val="26"/>
        </w:rPr>
        <w:t>xceptions, and recommendation and</w:t>
      </w:r>
      <w:r w:rsidR="000E37D6">
        <w:rPr>
          <w:sz w:val="26"/>
          <w:szCs w:val="26"/>
        </w:rPr>
        <w:t>, if necessary,</w:t>
      </w:r>
      <w:r w:rsidRPr="002B1249">
        <w:rPr>
          <w:sz w:val="26"/>
          <w:szCs w:val="26"/>
        </w:rPr>
        <w:t xml:space="preserve"> prepare a motion on th</w:t>
      </w:r>
      <w:r w:rsidR="00D15504">
        <w:rPr>
          <w:sz w:val="26"/>
          <w:szCs w:val="26"/>
        </w:rPr>
        <w:t xml:space="preserve">e </w:t>
      </w:r>
      <w:r w:rsidR="000E37D6">
        <w:rPr>
          <w:sz w:val="26"/>
          <w:szCs w:val="26"/>
        </w:rPr>
        <w:t xml:space="preserve">OSA </w:t>
      </w:r>
      <w:r w:rsidR="00D15504">
        <w:rPr>
          <w:sz w:val="26"/>
          <w:szCs w:val="26"/>
        </w:rPr>
        <w:t>recommendation</w:t>
      </w:r>
      <w:r w:rsidR="000E37D6">
        <w:rPr>
          <w:sz w:val="26"/>
          <w:szCs w:val="26"/>
        </w:rPr>
        <w:t xml:space="preserve">, all </w:t>
      </w:r>
      <w:r w:rsidR="000E37D6" w:rsidRPr="004F28D2">
        <w:rPr>
          <w:sz w:val="26"/>
          <w:szCs w:val="26"/>
        </w:rPr>
        <w:t xml:space="preserve">while considering </w:t>
      </w:r>
      <w:r w:rsidRPr="004F28D2">
        <w:rPr>
          <w:sz w:val="26"/>
          <w:szCs w:val="26"/>
        </w:rPr>
        <w:t xml:space="preserve">the 30 to 50 </w:t>
      </w:r>
      <w:r w:rsidR="000E37D6" w:rsidRPr="004F28D2">
        <w:rPr>
          <w:sz w:val="26"/>
          <w:szCs w:val="26"/>
        </w:rPr>
        <w:t>other P</w:t>
      </w:r>
      <w:r w:rsidRPr="004F28D2">
        <w:rPr>
          <w:sz w:val="26"/>
          <w:szCs w:val="26"/>
        </w:rPr>
        <w:t xml:space="preserve">ublic </w:t>
      </w:r>
      <w:r w:rsidR="000E37D6" w:rsidRPr="004F28D2">
        <w:rPr>
          <w:sz w:val="26"/>
          <w:szCs w:val="26"/>
        </w:rPr>
        <w:t>M</w:t>
      </w:r>
      <w:r w:rsidRPr="004F28D2">
        <w:rPr>
          <w:sz w:val="26"/>
          <w:szCs w:val="26"/>
        </w:rPr>
        <w:t xml:space="preserve">eeting staff reports appearing on a typical </w:t>
      </w:r>
      <w:r w:rsidR="000E37D6" w:rsidRPr="004F28D2">
        <w:rPr>
          <w:sz w:val="26"/>
          <w:szCs w:val="26"/>
        </w:rPr>
        <w:t>P</w:t>
      </w:r>
      <w:r w:rsidRPr="004F28D2">
        <w:rPr>
          <w:sz w:val="26"/>
          <w:szCs w:val="26"/>
        </w:rPr>
        <w:t xml:space="preserve">ublic </w:t>
      </w:r>
      <w:r w:rsidR="000E37D6" w:rsidRPr="004F28D2">
        <w:rPr>
          <w:sz w:val="26"/>
          <w:szCs w:val="26"/>
        </w:rPr>
        <w:t>M</w:t>
      </w:r>
      <w:r w:rsidRPr="004F28D2">
        <w:rPr>
          <w:sz w:val="26"/>
          <w:szCs w:val="26"/>
        </w:rPr>
        <w:t>eeting</w:t>
      </w:r>
      <w:r w:rsidR="000E37D6" w:rsidRPr="004F28D2">
        <w:rPr>
          <w:sz w:val="26"/>
          <w:szCs w:val="26"/>
        </w:rPr>
        <w:t xml:space="preserve"> agenda</w:t>
      </w:r>
      <w:r w:rsidRPr="004F28D2">
        <w:rPr>
          <w:sz w:val="26"/>
          <w:szCs w:val="26"/>
        </w:rPr>
        <w:t xml:space="preserve">.  A reasonable time for preparation of a rewrite following the </w:t>
      </w:r>
      <w:r w:rsidR="004F28D2" w:rsidRPr="004F28D2">
        <w:rPr>
          <w:sz w:val="26"/>
          <w:szCs w:val="26"/>
        </w:rPr>
        <w:t>p</w:t>
      </w:r>
      <w:r w:rsidRPr="004F28D2">
        <w:rPr>
          <w:sz w:val="26"/>
          <w:szCs w:val="26"/>
        </w:rPr>
        <w:t xml:space="preserve">ublic </w:t>
      </w:r>
      <w:r w:rsidR="004F28D2" w:rsidRPr="004F28D2">
        <w:rPr>
          <w:sz w:val="26"/>
          <w:szCs w:val="26"/>
        </w:rPr>
        <w:t>m</w:t>
      </w:r>
      <w:r w:rsidRPr="004F28D2">
        <w:rPr>
          <w:sz w:val="26"/>
          <w:szCs w:val="26"/>
        </w:rPr>
        <w:t xml:space="preserve">eeting is between 10 and 14 days.  </w:t>
      </w:r>
      <w:r w:rsidR="002B1249" w:rsidRPr="004F28D2">
        <w:rPr>
          <w:sz w:val="26"/>
          <w:szCs w:val="26"/>
        </w:rPr>
        <w:t>We</w:t>
      </w:r>
      <w:r w:rsidRPr="004F28D2">
        <w:rPr>
          <w:sz w:val="26"/>
          <w:szCs w:val="26"/>
        </w:rPr>
        <w:t xml:space="preserve"> assume that all of those involved in the </w:t>
      </w:r>
      <w:r w:rsidR="002B1249" w:rsidRPr="004F28D2">
        <w:rPr>
          <w:sz w:val="26"/>
          <w:szCs w:val="26"/>
        </w:rPr>
        <w:t>Expedited M</w:t>
      </w:r>
      <w:r w:rsidRPr="004F28D2">
        <w:rPr>
          <w:sz w:val="26"/>
          <w:szCs w:val="26"/>
        </w:rPr>
        <w:t xml:space="preserve">otion </w:t>
      </w:r>
      <w:r w:rsidR="002B1249" w:rsidRPr="004F28D2">
        <w:rPr>
          <w:sz w:val="26"/>
          <w:szCs w:val="26"/>
        </w:rPr>
        <w:t>seeking</w:t>
      </w:r>
      <w:r w:rsidR="002B1249">
        <w:rPr>
          <w:sz w:val="26"/>
          <w:szCs w:val="26"/>
        </w:rPr>
        <w:t xml:space="preserve"> </w:t>
      </w:r>
      <w:r w:rsidRPr="002B1249">
        <w:rPr>
          <w:sz w:val="26"/>
          <w:szCs w:val="26"/>
        </w:rPr>
        <w:t>extension of time are aware of this schedule and took the rewrite time into consideration when determining the appropriate number of days for the extension.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CEF8D" w14:textId="77777777" w:rsidR="00191FBF" w:rsidRDefault="00191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0A60"/>
    <w:multiLevelType w:val="multilevel"/>
    <w:tmpl w:val="65DE641E"/>
    <w:lvl w:ilvl="0">
      <w:start w:val="1"/>
      <w:numFmt w:val="decimal"/>
      <w:lvlText w:val="%1."/>
      <w:lvlJc w:val="left"/>
      <w:pPr>
        <w:tabs>
          <w:tab w:val="left" w:pos="720"/>
        </w:tabs>
        <w:ind w:left="720"/>
      </w:pPr>
      <w:rPr>
        <w:rFonts w:ascii="Times New Roman" w:eastAsia="Times New Roman" w:hAnsi="Times New Roman"/>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8804F3"/>
    <w:multiLevelType w:val="hybridMultilevel"/>
    <w:tmpl w:val="000C0D62"/>
    <w:lvl w:ilvl="0" w:tplc="EBDC17EE">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4B73ED"/>
    <w:multiLevelType w:val="hybridMultilevel"/>
    <w:tmpl w:val="16C4C4D6"/>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9C2537D"/>
    <w:multiLevelType w:val="hybridMultilevel"/>
    <w:tmpl w:val="F41A3062"/>
    <w:lvl w:ilvl="0" w:tplc="24C898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3B7373"/>
    <w:multiLevelType w:val="hybridMultilevel"/>
    <w:tmpl w:val="85FEE336"/>
    <w:lvl w:ilvl="0" w:tplc="BE60FF1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387B3F"/>
    <w:multiLevelType w:val="hybridMultilevel"/>
    <w:tmpl w:val="3E2C6FD2"/>
    <w:lvl w:ilvl="0" w:tplc="33DA7D1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31F49"/>
    <w:multiLevelType w:val="hybridMultilevel"/>
    <w:tmpl w:val="F1D2A7A8"/>
    <w:lvl w:ilvl="0" w:tplc="76C623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EB60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C2AB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C6B11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6E7C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A5C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D4C1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EE2D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24FA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1711F3"/>
    <w:multiLevelType w:val="hybridMultilevel"/>
    <w:tmpl w:val="707A9C7C"/>
    <w:lvl w:ilvl="0" w:tplc="B6E4FA32">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470A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9A378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1E7E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EC488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5E12E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CC9A8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AD92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8925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7400C1"/>
    <w:multiLevelType w:val="hybridMultilevel"/>
    <w:tmpl w:val="DC624170"/>
    <w:lvl w:ilvl="0" w:tplc="54CA595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E0823BF"/>
    <w:multiLevelType w:val="multilevel"/>
    <w:tmpl w:val="06646836"/>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80307B"/>
    <w:multiLevelType w:val="hybridMultilevel"/>
    <w:tmpl w:val="4EB61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37590A59"/>
    <w:multiLevelType w:val="hybridMultilevel"/>
    <w:tmpl w:val="8D5EF194"/>
    <w:lvl w:ilvl="0" w:tplc="70969F5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93341F"/>
    <w:multiLevelType w:val="hybridMultilevel"/>
    <w:tmpl w:val="7034128C"/>
    <w:lvl w:ilvl="0" w:tplc="ECE6C8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8674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4C994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C0B1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8210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2EBA5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8075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E4B53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CECDF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EF177B"/>
    <w:multiLevelType w:val="hybridMultilevel"/>
    <w:tmpl w:val="13A62734"/>
    <w:lvl w:ilvl="0" w:tplc="50345BA8">
      <w:start w:val="2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08F806">
      <w:start w:val="3"/>
      <w:numFmt w:val="upperLetter"/>
      <w:lvlRestart w:val="0"/>
      <w:lvlText w:val="%2."/>
      <w:lvlJc w:val="left"/>
      <w:pPr>
        <w:ind w:left="21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BA2EB1C">
      <w:start w:val="1"/>
      <w:numFmt w:val="lowerRoman"/>
      <w:lvlText w:val="%3"/>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D20A94">
      <w:start w:val="1"/>
      <w:numFmt w:val="decimal"/>
      <w:lvlText w:val="%4"/>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D85008">
      <w:start w:val="1"/>
      <w:numFmt w:val="lowerLetter"/>
      <w:lvlText w:val="%5"/>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5C5B5A">
      <w:start w:val="1"/>
      <w:numFmt w:val="lowerRoman"/>
      <w:lvlText w:val="%6"/>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7742FD6">
      <w:start w:val="1"/>
      <w:numFmt w:val="decimal"/>
      <w:lvlText w:val="%7"/>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FB0F100">
      <w:start w:val="1"/>
      <w:numFmt w:val="lowerLetter"/>
      <w:lvlText w:val="%8"/>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130745C">
      <w:start w:val="1"/>
      <w:numFmt w:val="lowerRoman"/>
      <w:lvlText w:val="%9"/>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3B74E3"/>
    <w:multiLevelType w:val="hybridMultilevel"/>
    <w:tmpl w:val="67AED894"/>
    <w:lvl w:ilvl="0" w:tplc="726AA78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AC38CF"/>
    <w:multiLevelType w:val="hybridMultilevel"/>
    <w:tmpl w:val="8A1007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A624CF"/>
    <w:multiLevelType w:val="hybridMultilevel"/>
    <w:tmpl w:val="B52A9A92"/>
    <w:lvl w:ilvl="0" w:tplc="6DBE9F52">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24C2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017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0684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4893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CE7F7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EA71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BA136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C38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416FB8"/>
    <w:multiLevelType w:val="hybridMultilevel"/>
    <w:tmpl w:val="52445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8" w15:restartNumberingAfterBreak="0">
    <w:nsid w:val="4F5A0105"/>
    <w:multiLevelType w:val="hybridMultilevel"/>
    <w:tmpl w:val="8FA4E8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8A35D0"/>
    <w:multiLevelType w:val="hybridMultilevel"/>
    <w:tmpl w:val="436E2BF0"/>
    <w:lvl w:ilvl="0" w:tplc="F0EC2926">
      <w:start w:val="6"/>
      <w:numFmt w:val="decimal"/>
      <w:lvlText w:val="%1"/>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E20DB50">
      <w:start w:val="19"/>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25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425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DA8B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83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8AA9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7EF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E9B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A34B42"/>
    <w:multiLevelType w:val="hybridMultilevel"/>
    <w:tmpl w:val="6A3E6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77792"/>
    <w:multiLevelType w:val="hybridMultilevel"/>
    <w:tmpl w:val="D05292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7581F6A"/>
    <w:multiLevelType w:val="hybridMultilevel"/>
    <w:tmpl w:val="37808260"/>
    <w:lvl w:ilvl="0" w:tplc="B39008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8A0276"/>
    <w:multiLevelType w:val="hybridMultilevel"/>
    <w:tmpl w:val="8C3ECE58"/>
    <w:lvl w:ilvl="0" w:tplc="90FEE67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1DD689C"/>
    <w:multiLevelType w:val="hybridMultilevel"/>
    <w:tmpl w:val="6A3E6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100628"/>
    <w:multiLevelType w:val="hybridMultilevel"/>
    <w:tmpl w:val="A0905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4"/>
  </w:num>
  <w:num w:numId="2">
    <w:abstractNumId w:val="14"/>
  </w:num>
  <w:num w:numId="3">
    <w:abstractNumId w:val="8"/>
  </w:num>
  <w:num w:numId="4">
    <w:abstractNumId w:val="3"/>
  </w:num>
  <w:num w:numId="5">
    <w:abstractNumId w:val="22"/>
  </w:num>
  <w:num w:numId="6">
    <w:abstractNumId w:val="23"/>
  </w:num>
  <w:num w:numId="7">
    <w:abstractNumId w:val="20"/>
  </w:num>
  <w:num w:numId="8">
    <w:abstractNumId w:val="24"/>
  </w:num>
  <w:num w:numId="9">
    <w:abstractNumId w:val="5"/>
  </w:num>
  <w:num w:numId="10">
    <w:abstractNumId w:val="0"/>
  </w:num>
  <w:num w:numId="11">
    <w:abstractNumId w:val="9"/>
  </w:num>
  <w:num w:numId="12">
    <w:abstractNumId w:val="11"/>
  </w:num>
  <w:num w:numId="13">
    <w:abstractNumId w:val="10"/>
  </w:num>
  <w:num w:numId="14">
    <w:abstractNumId w:val="15"/>
  </w:num>
  <w:num w:numId="15">
    <w:abstractNumId w:val="2"/>
  </w:num>
  <w:num w:numId="16">
    <w:abstractNumId w:val="17"/>
  </w:num>
  <w:num w:numId="17">
    <w:abstractNumId w:val="25"/>
  </w:num>
  <w:num w:numId="18">
    <w:abstractNumId w:val="12"/>
  </w:num>
  <w:num w:numId="19">
    <w:abstractNumId w:val="6"/>
  </w:num>
  <w:num w:numId="20">
    <w:abstractNumId w:val="18"/>
  </w:num>
  <w:num w:numId="21">
    <w:abstractNumId w:val="16"/>
  </w:num>
  <w:num w:numId="22">
    <w:abstractNumId w:val="19"/>
  </w:num>
  <w:num w:numId="23">
    <w:abstractNumId w:val="13"/>
  </w:num>
  <w:num w:numId="24">
    <w:abstractNumId w:val="7"/>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C"/>
    <w:rsid w:val="0000168B"/>
    <w:rsid w:val="00001C6E"/>
    <w:rsid w:val="000056E8"/>
    <w:rsid w:val="00012B5F"/>
    <w:rsid w:val="00012F59"/>
    <w:rsid w:val="000139FA"/>
    <w:rsid w:val="00013FBE"/>
    <w:rsid w:val="000151A3"/>
    <w:rsid w:val="00015575"/>
    <w:rsid w:val="000172BF"/>
    <w:rsid w:val="00023EEB"/>
    <w:rsid w:val="000248C3"/>
    <w:rsid w:val="00024A1D"/>
    <w:rsid w:val="00024DC3"/>
    <w:rsid w:val="000278E3"/>
    <w:rsid w:val="000301CB"/>
    <w:rsid w:val="00031FBF"/>
    <w:rsid w:val="00033836"/>
    <w:rsid w:val="00036175"/>
    <w:rsid w:val="000366A3"/>
    <w:rsid w:val="00040FD5"/>
    <w:rsid w:val="0004507E"/>
    <w:rsid w:val="00045A2D"/>
    <w:rsid w:val="00045CB2"/>
    <w:rsid w:val="00045D2D"/>
    <w:rsid w:val="00046A15"/>
    <w:rsid w:val="0004719D"/>
    <w:rsid w:val="00053479"/>
    <w:rsid w:val="0005390B"/>
    <w:rsid w:val="00055DCB"/>
    <w:rsid w:val="00055E2C"/>
    <w:rsid w:val="000572A4"/>
    <w:rsid w:val="00060A56"/>
    <w:rsid w:val="0006162B"/>
    <w:rsid w:val="000647C0"/>
    <w:rsid w:val="00065542"/>
    <w:rsid w:val="00066FCE"/>
    <w:rsid w:val="00067DB3"/>
    <w:rsid w:val="00072085"/>
    <w:rsid w:val="000809C5"/>
    <w:rsid w:val="00082287"/>
    <w:rsid w:val="0008254F"/>
    <w:rsid w:val="00085B91"/>
    <w:rsid w:val="00087F77"/>
    <w:rsid w:val="00091023"/>
    <w:rsid w:val="00091C4A"/>
    <w:rsid w:val="000A1693"/>
    <w:rsid w:val="000A18E1"/>
    <w:rsid w:val="000A1E1E"/>
    <w:rsid w:val="000A23D2"/>
    <w:rsid w:val="000A265E"/>
    <w:rsid w:val="000A565D"/>
    <w:rsid w:val="000A5951"/>
    <w:rsid w:val="000A5E1E"/>
    <w:rsid w:val="000A6E26"/>
    <w:rsid w:val="000A74D7"/>
    <w:rsid w:val="000A7905"/>
    <w:rsid w:val="000B10EB"/>
    <w:rsid w:val="000B169C"/>
    <w:rsid w:val="000B1C18"/>
    <w:rsid w:val="000B1F6E"/>
    <w:rsid w:val="000B41D4"/>
    <w:rsid w:val="000B4C13"/>
    <w:rsid w:val="000C2447"/>
    <w:rsid w:val="000C6837"/>
    <w:rsid w:val="000C71F1"/>
    <w:rsid w:val="000D04CB"/>
    <w:rsid w:val="000D14CB"/>
    <w:rsid w:val="000D311C"/>
    <w:rsid w:val="000D4972"/>
    <w:rsid w:val="000E10A0"/>
    <w:rsid w:val="000E1645"/>
    <w:rsid w:val="000E1F64"/>
    <w:rsid w:val="000E251D"/>
    <w:rsid w:val="000E2FCD"/>
    <w:rsid w:val="000E37D6"/>
    <w:rsid w:val="000E551D"/>
    <w:rsid w:val="000E5A2C"/>
    <w:rsid w:val="000E5AE1"/>
    <w:rsid w:val="000E78EB"/>
    <w:rsid w:val="000F201E"/>
    <w:rsid w:val="000F5A4D"/>
    <w:rsid w:val="001005E4"/>
    <w:rsid w:val="00103846"/>
    <w:rsid w:val="00103D68"/>
    <w:rsid w:val="001062DC"/>
    <w:rsid w:val="00106B76"/>
    <w:rsid w:val="0011016B"/>
    <w:rsid w:val="00121066"/>
    <w:rsid w:val="001229D9"/>
    <w:rsid w:val="0012516D"/>
    <w:rsid w:val="0012562B"/>
    <w:rsid w:val="00127266"/>
    <w:rsid w:val="001279ED"/>
    <w:rsid w:val="00130B9F"/>
    <w:rsid w:val="00130BFA"/>
    <w:rsid w:val="00134A8C"/>
    <w:rsid w:val="0013692D"/>
    <w:rsid w:val="0014093A"/>
    <w:rsid w:val="00140C42"/>
    <w:rsid w:val="0014185A"/>
    <w:rsid w:val="0014186E"/>
    <w:rsid w:val="00141D9B"/>
    <w:rsid w:val="00144720"/>
    <w:rsid w:val="00147478"/>
    <w:rsid w:val="00147E20"/>
    <w:rsid w:val="00151F99"/>
    <w:rsid w:val="00152900"/>
    <w:rsid w:val="0015576D"/>
    <w:rsid w:val="00160C93"/>
    <w:rsid w:val="00164504"/>
    <w:rsid w:val="00165227"/>
    <w:rsid w:val="00166D8E"/>
    <w:rsid w:val="00171051"/>
    <w:rsid w:val="0017461D"/>
    <w:rsid w:val="001762CB"/>
    <w:rsid w:val="001763FE"/>
    <w:rsid w:val="00176E39"/>
    <w:rsid w:val="00181922"/>
    <w:rsid w:val="0018250D"/>
    <w:rsid w:val="00182697"/>
    <w:rsid w:val="0018367E"/>
    <w:rsid w:val="0019057E"/>
    <w:rsid w:val="00191F03"/>
    <w:rsid w:val="00191FBF"/>
    <w:rsid w:val="00194546"/>
    <w:rsid w:val="00194BBA"/>
    <w:rsid w:val="00196274"/>
    <w:rsid w:val="00196E4F"/>
    <w:rsid w:val="00197AD6"/>
    <w:rsid w:val="001A1AD2"/>
    <w:rsid w:val="001A3290"/>
    <w:rsid w:val="001A33A5"/>
    <w:rsid w:val="001A3AA0"/>
    <w:rsid w:val="001A61CD"/>
    <w:rsid w:val="001B0206"/>
    <w:rsid w:val="001B09FC"/>
    <w:rsid w:val="001B3B26"/>
    <w:rsid w:val="001C262E"/>
    <w:rsid w:val="001C300B"/>
    <w:rsid w:val="001C3556"/>
    <w:rsid w:val="001C3AA4"/>
    <w:rsid w:val="001C4EC3"/>
    <w:rsid w:val="001C5D3F"/>
    <w:rsid w:val="001C7560"/>
    <w:rsid w:val="001D1A53"/>
    <w:rsid w:val="001D1AC1"/>
    <w:rsid w:val="001D32BE"/>
    <w:rsid w:val="001D4A23"/>
    <w:rsid w:val="001E10D7"/>
    <w:rsid w:val="001E4BDC"/>
    <w:rsid w:val="001E4DBD"/>
    <w:rsid w:val="001E695E"/>
    <w:rsid w:val="001E71F5"/>
    <w:rsid w:val="001E7249"/>
    <w:rsid w:val="001E76A3"/>
    <w:rsid w:val="001F4426"/>
    <w:rsid w:val="001F6C53"/>
    <w:rsid w:val="001F7523"/>
    <w:rsid w:val="002048D7"/>
    <w:rsid w:val="00204FFF"/>
    <w:rsid w:val="00207C39"/>
    <w:rsid w:val="0021074B"/>
    <w:rsid w:val="002108B3"/>
    <w:rsid w:val="00212F2A"/>
    <w:rsid w:val="00213416"/>
    <w:rsid w:val="00215B72"/>
    <w:rsid w:val="00215BAF"/>
    <w:rsid w:val="00217BCA"/>
    <w:rsid w:val="00225E59"/>
    <w:rsid w:val="0023104B"/>
    <w:rsid w:val="00235DBE"/>
    <w:rsid w:val="002374B7"/>
    <w:rsid w:val="002405F8"/>
    <w:rsid w:val="00241CEC"/>
    <w:rsid w:val="00243539"/>
    <w:rsid w:val="00243BA0"/>
    <w:rsid w:val="002453C9"/>
    <w:rsid w:val="002457DE"/>
    <w:rsid w:val="002468B9"/>
    <w:rsid w:val="002474EE"/>
    <w:rsid w:val="002509A0"/>
    <w:rsid w:val="00250A27"/>
    <w:rsid w:val="002524D4"/>
    <w:rsid w:val="00252ED1"/>
    <w:rsid w:val="0025506B"/>
    <w:rsid w:val="00255530"/>
    <w:rsid w:val="00255621"/>
    <w:rsid w:val="00255852"/>
    <w:rsid w:val="0025671C"/>
    <w:rsid w:val="00256FD1"/>
    <w:rsid w:val="00260722"/>
    <w:rsid w:val="00260972"/>
    <w:rsid w:val="0026249A"/>
    <w:rsid w:val="00262A44"/>
    <w:rsid w:val="00270FE4"/>
    <w:rsid w:val="00271FB0"/>
    <w:rsid w:val="00275F82"/>
    <w:rsid w:val="002768A0"/>
    <w:rsid w:val="00276B2B"/>
    <w:rsid w:val="00283BF6"/>
    <w:rsid w:val="00291B5E"/>
    <w:rsid w:val="00292223"/>
    <w:rsid w:val="00292529"/>
    <w:rsid w:val="00292683"/>
    <w:rsid w:val="00295460"/>
    <w:rsid w:val="002A04D1"/>
    <w:rsid w:val="002A53C7"/>
    <w:rsid w:val="002A55DC"/>
    <w:rsid w:val="002B1249"/>
    <w:rsid w:val="002B140F"/>
    <w:rsid w:val="002B21F8"/>
    <w:rsid w:val="002B3B83"/>
    <w:rsid w:val="002B52BB"/>
    <w:rsid w:val="002B5435"/>
    <w:rsid w:val="002B674C"/>
    <w:rsid w:val="002C1831"/>
    <w:rsid w:val="002C1B9A"/>
    <w:rsid w:val="002C4060"/>
    <w:rsid w:val="002C40F3"/>
    <w:rsid w:val="002C4D7A"/>
    <w:rsid w:val="002C64DB"/>
    <w:rsid w:val="002D1052"/>
    <w:rsid w:val="002D4DCE"/>
    <w:rsid w:val="002E0AE7"/>
    <w:rsid w:val="002E0E6C"/>
    <w:rsid w:val="002E28C2"/>
    <w:rsid w:val="002E43EB"/>
    <w:rsid w:val="002E5042"/>
    <w:rsid w:val="002E66CF"/>
    <w:rsid w:val="002E7221"/>
    <w:rsid w:val="002E760B"/>
    <w:rsid w:val="0030009B"/>
    <w:rsid w:val="003038E7"/>
    <w:rsid w:val="00305EE1"/>
    <w:rsid w:val="003111F9"/>
    <w:rsid w:val="00311EB6"/>
    <w:rsid w:val="00312244"/>
    <w:rsid w:val="00314E70"/>
    <w:rsid w:val="0032532A"/>
    <w:rsid w:val="00326BFE"/>
    <w:rsid w:val="0033097F"/>
    <w:rsid w:val="00330B08"/>
    <w:rsid w:val="00331B61"/>
    <w:rsid w:val="00333DDD"/>
    <w:rsid w:val="00340EF1"/>
    <w:rsid w:val="00341B9E"/>
    <w:rsid w:val="00342283"/>
    <w:rsid w:val="003447CC"/>
    <w:rsid w:val="0034486A"/>
    <w:rsid w:val="00345506"/>
    <w:rsid w:val="00347933"/>
    <w:rsid w:val="003512A1"/>
    <w:rsid w:val="00353175"/>
    <w:rsid w:val="00357127"/>
    <w:rsid w:val="00357912"/>
    <w:rsid w:val="0036270D"/>
    <w:rsid w:val="003638F8"/>
    <w:rsid w:val="00364B6F"/>
    <w:rsid w:val="00366209"/>
    <w:rsid w:val="00370062"/>
    <w:rsid w:val="00370892"/>
    <w:rsid w:val="00370DDE"/>
    <w:rsid w:val="00374EE8"/>
    <w:rsid w:val="00375AB3"/>
    <w:rsid w:val="0037723F"/>
    <w:rsid w:val="00377502"/>
    <w:rsid w:val="00380D75"/>
    <w:rsid w:val="00382F97"/>
    <w:rsid w:val="00385591"/>
    <w:rsid w:val="0038649D"/>
    <w:rsid w:val="00386986"/>
    <w:rsid w:val="00387A08"/>
    <w:rsid w:val="00394206"/>
    <w:rsid w:val="00394E54"/>
    <w:rsid w:val="00395CE1"/>
    <w:rsid w:val="00397E65"/>
    <w:rsid w:val="003A2120"/>
    <w:rsid w:val="003A224D"/>
    <w:rsid w:val="003A22F4"/>
    <w:rsid w:val="003A4F4C"/>
    <w:rsid w:val="003A5C90"/>
    <w:rsid w:val="003A709A"/>
    <w:rsid w:val="003B060D"/>
    <w:rsid w:val="003B4FAA"/>
    <w:rsid w:val="003B542D"/>
    <w:rsid w:val="003C0857"/>
    <w:rsid w:val="003C1558"/>
    <w:rsid w:val="003C2BD8"/>
    <w:rsid w:val="003C45EA"/>
    <w:rsid w:val="003C54BF"/>
    <w:rsid w:val="003D0AC5"/>
    <w:rsid w:val="003D30BF"/>
    <w:rsid w:val="003D699E"/>
    <w:rsid w:val="003E10EE"/>
    <w:rsid w:val="003E4A84"/>
    <w:rsid w:val="003E4F19"/>
    <w:rsid w:val="003F2F5E"/>
    <w:rsid w:val="003F3A36"/>
    <w:rsid w:val="003F4BBB"/>
    <w:rsid w:val="003F7CEA"/>
    <w:rsid w:val="00401553"/>
    <w:rsid w:val="0040424F"/>
    <w:rsid w:val="00411AA7"/>
    <w:rsid w:val="004122DF"/>
    <w:rsid w:val="00412D9C"/>
    <w:rsid w:val="00414DE5"/>
    <w:rsid w:val="00421F05"/>
    <w:rsid w:val="00424B73"/>
    <w:rsid w:val="00433DB6"/>
    <w:rsid w:val="00434915"/>
    <w:rsid w:val="00435362"/>
    <w:rsid w:val="004359EB"/>
    <w:rsid w:val="004413A7"/>
    <w:rsid w:val="00441D77"/>
    <w:rsid w:val="0044300F"/>
    <w:rsid w:val="00444650"/>
    <w:rsid w:val="00444E41"/>
    <w:rsid w:val="00446BC2"/>
    <w:rsid w:val="00450877"/>
    <w:rsid w:val="004532C8"/>
    <w:rsid w:val="004547E5"/>
    <w:rsid w:val="00454DC3"/>
    <w:rsid w:val="00455818"/>
    <w:rsid w:val="0046037E"/>
    <w:rsid w:val="00462187"/>
    <w:rsid w:val="00463D77"/>
    <w:rsid w:val="00463F63"/>
    <w:rsid w:val="0046531B"/>
    <w:rsid w:val="00465671"/>
    <w:rsid w:val="00472A9D"/>
    <w:rsid w:val="00472F1A"/>
    <w:rsid w:val="00476E47"/>
    <w:rsid w:val="00476FE2"/>
    <w:rsid w:val="00477B5D"/>
    <w:rsid w:val="004824EA"/>
    <w:rsid w:val="00482F4E"/>
    <w:rsid w:val="00483560"/>
    <w:rsid w:val="00483AEF"/>
    <w:rsid w:val="004866D8"/>
    <w:rsid w:val="0049277A"/>
    <w:rsid w:val="0049294B"/>
    <w:rsid w:val="0049415F"/>
    <w:rsid w:val="004961CD"/>
    <w:rsid w:val="0049631E"/>
    <w:rsid w:val="00496465"/>
    <w:rsid w:val="004979F8"/>
    <w:rsid w:val="004A1D09"/>
    <w:rsid w:val="004A2897"/>
    <w:rsid w:val="004A2D36"/>
    <w:rsid w:val="004A4C23"/>
    <w:rsid w:val="004A53CA"/>
    <w:rsid w:val="004B248C"/>
    <w:rsid w:val="004B3EBB"/>
    <w:rsid w:val="004B4AD0"/>
    <w:rsid w:val="004B57EB"/>
    <w:rsid w:val="004B7BEB"/>
    <w:rsid w:val="004B7F37"/>
    <w:rsid w:val="004C314B"/>
    <w:rsid w:val="004C4D7D"/>
    <w:rsid w:val="004C6389"/>
    <w:rsid w:val="004C6D86"/>
    <w:rsid w:val="004C7F84"/>
    <w:rsid w:val="004D227F"/>
    <w:rsid w:val="004D2FA2"/>
    <w:rsid w:val="004D4350"/>
    <w:rsid w:val="004D4471"/>
    <w:rsid w:val="004D59EA"/>
    <w:rsid w:val="004D7F87"/>
    <w:rsid w:val="004E21EA"/>
    <w:rsid w:val="004E2E01"/>
    <w:rsid w:val="004E342F"/>
    <w:rsid w:val="004E4DFD"/>
    <w:rsid w:val="004E5D74"/>
    <w:rsid w:val="004E7B4E"/>
    <w:rsid w:val="004F0227"/>
    <w:rsid w:val="004F28D2"/>
    <w:rsid w:val="004F4712"/>
    <w:rsid w:val="004F4E0C"/>
    <w:rsid w:val="004F58BC"/>
    <w:rsid w:val="004F6893"/>
    <w:rsid w:val="005001C4"/>
    <w:rsid w:val="00502070"/>
    <w:rsid w:val="00503001"/>
    <w:rsid w:val="00504700"/>
    <w:rsid w:val="00505552"/>
    <w:rsid w:val="00506268"/>
    <w:rsid w:val="00506ADD"/>
    <w:rsid w:val="00507A51"/>
    <w:rsid w:val="00507E1E"/>
    <w:rsid w:val="00513D93"/>
    <w:rsid w:val="00514AF3"/>
    <w:rsid w:val="00520BE4"/>
    <w:rsid w:val="00520E66"/>
    <w:rsid w:val="00522034"/>
    <w:rsid w:val="0052318A"/>
    <w:rsid w:val="00523974"/>
    <w:rsid w:val="00526506"/>
    <w:rsid w:val="005274E0"/>
    <w:rsid w:val="00527FF2"/>
    <w:rsid w:val="00531DF8"/>
    <w:rsid w:val="00532EB5"/>
    <w:rsid w:val="00532FCE"/>
    <w:rsid w:val="005331FA"/>
    <w:rsid w:val="00533AA5"/>
    <w:rsid w:val="00535D8C"/>
    <w:rsid w:val="00537059"/>
    <w:rsid w:val="005406CC"/>
    <w:rsid w:val="0054305A"/>
    <w:rsid w:val="00545720"/>
    <w:rsid w:val="00546B36"/>
    <w:rsid w:val="00550D1C"/>
    <w:rsid w:val="0055178D"/>
    <w:rsid w:val="0055259C"/>
    <w:rsid w:val="0055322D"/>
    <w:rsid w:val="00554D17"/>
    <w:rsid w:val="00554D88"/>
    <w:rsid w:val="00556115"/>
    <w:rsid w:val="00556F17"/>
    <w:rsid w:val="0056162B"/>
    <w:rsid w:val="00561663"/>
    <w:rsid w:val="00563A55"/>
    <w:rsid w:val="00565B90"/>
    <w:rsid w:val="00566BA4"/>
    <w:rsid w:val="0056705C"/>
    <w:rsid w:val="005725D8"/>
    <w:rsid w:val="00572CC8"/>
    <w:rsid w:val="00576A2D"/>
    <w:rsid w:val="00576CEA"/>
    <w:rsid w:val="0058277B"/>
    <w:rsid w:val="00582ABF"/>
    <w:rsid w:val="00584ED9"/>
    <w:rsid w:val="005879A1"/>
    <w:rsid w:val="00590FE7"/>
    <w:rsid w:val="0059347A"/>
    <w:rsid w:val="00593CF8"/>
    <w:rsid w:val="005A2920"/>
    <w:rsid w:val="005A601D"/>
    <w:rsid w:val="005B1677"/>
    <w:rsid w:val="005B4736"/>
    <w:rsid w:val="005B61C3"/>
    <w:rsid w:val="005B6E5B"/>
    <w:rsid w:val="005C099A"/>
    <w:rsid w:val="005C3FC2"/>
    <w:rsid w:val="005C7489"/>
    <w:rsid w:val="005C7F12"/>
    <w:rsid w:val="005D017D"/>
    <w:rsid w:val="005D1AEC"/>
    <w:rsid w:val="005D2B55"/>
    <w:rsid w:val="005D456D"/>
    <w:rsid w:val="005D656F"/>
    <w:rsid w:val="005D6BBE"/>
    <w:rsid w:val="005E076C"/>
    <w:rsid w:val="005E22A5"/>
    <w:rsid w:val="005E65AC"/>
    <w:rsid w:val="005E6EC5"/>
    <w:rsid w:val="005E70E9"/>
    <w:rsid w:val="005F4D28"/>
    <w:rsid w:val="00601176"/>
    <w:rsid w:val="00601798"/>
    <w:rsid w:val="0060313B"/>
    <w:rsid w:val="00603B82"/>
    <w:rsid w:val="00605597"/>
    <w:rsid w:val="00606FC4"/>
    <w:rsid w:val="00607C96"/>
    <w:rsid w:val="0061113E"/>
    <w:rsid w:val="0061255E"/>
    <w:rsid w:val="00614584"/>
    <w:rsid w:val="00616F58"/>
    <w:rsid w:val="00617F8D"/>
    <w:rsid w:val="00621B2E"/>
    <w:rsid w:val="00623627"/>
    <w:rsid w:val="006264B4"/>
    <w:rsid w:val="00626F31"/>
    <w:rsid w:val="00631909"/>
    <w:rsid w:val="00635632"/>
    <w:rsid w:val="0063574F"/>
    <w:rsid w:val="00635C44"/>
    <w:rsid w:val="00636C95"/>
    <w:rsid w:val="00640FBA"/>
    <w:rsid w:val="006462A6"/>
    <w:rsid w:val="0064715D"/>
    <w:rsid w:val="006520B2"/>
    <w:rsid w:val="00657209"/>
    <w:rsid w:val="0065771F"/>
    <w:rsid w:val="00657CB9"/>
    <w:rsid w:val="00660393"/>
    <w:rsid w:val="00661703"/>
    <w:rsid w:val="00661BCE"/>
    <w:rsid w:val="00662AD2"/>
    <w:rsid w:val="00662DD9"/>
    <w:rsid w:val="00670440"/>
    <w:rsid w:val="00670CBB"/>
    <w:rsid w:val="006765B6"/>
    <w:rsid w:val="00682EE9"/>
    <w:rsid w:val="00683EEA"/>
    <w:rsid w:val="006848B5"/>
    <w:rsid w:val="006850E7"/>
    <w:rsid w:val="006862A4"/>
    <w:rsid w:val="006931AB"/>
    <w:rsid w:val="00694874"/>
    <w:rsid w:val="006970C0"/>
    <w:rsid w:val="006A15DC"/>
    <w:rsid w:val="006A2876"/>
    <w:rsid w:val="006A4207"/>
    <w:rsid w:val="006A5D26"/>
    <w:rsid w:val="006A6F13"/>
    <w:rsid w:val="006A733F"/>
    <w:rsid w:val="006A7C7A"/>
    <w:rsid w:val="006B0190"/>
    <w:rsid w:val="006C1623"/>
    <w:rsid w:val="006C21A4"/>
    <w:rsid w:val="006C2220"/>
    <w:rsid w:val="006C2601"/>
    <w:rsid w:val="006C338A"/>
    <w:rsid w:val="006C3AA8"/>
    <w:rsid w:val="006C3E57"/>
    <w:rsid w:val="006C513A"/>
    <w:rsid w:val="006C5882"/>
    <w:rsid w:val="006C6C50"/>
    <w:rsid w:val="006C798C"/>
    <w:rsid w:val="006D0886"/>
    <w:rsid w:val="006D391D"/>
    <w:rsid w:val="006D6F48"/>
    <w:rsid w:val="006E0DF5"/>
    <w:rsid w:val="006E2F67"/>
    <w:rsid w:val="006E498C"/>
    <w:rsid w:val="006E4BA6"/>
    <w:rsid w:val="006E50FE"/>
    <w:rsid w:val="006E5CA1"/>
    <w:rsid w:val="006E6F57"/>
    <w:rsid w:val="006F0C7E"/>
    <w:rsid w:val="006F1268"/>
    <w:rsid w:val="006F32B2"/>
    <w:rsid w:val="006F648C"/>
    <w:rsid w:val="006F788F"/>
    <w:rsid w:val="00701ADC"/>
    <w:rsid w:val="0070281A"/>
    <w:rsid w:val="00706A36"/>
    <w:rsid w:val="00706CDA"/>
    <w:rsid w:val="00707FE8"/>
    <w:rsid w:val="00713461"/>
    <w:rsid w:val="00715A69"/>
    <w:rsid w:val="00716641"/>
    <w:rsid w:val="0072261A"/>
    <w:rsid w:val="007227A6"/>
    <w:rsid w:val="00723092"/>
    <w:rsid w:val="00723130"/>
    <w:rsid w:val="00724984"/>
    <w:rsid w:val="0073070C"/>
    <w:rsid w:val="00734200"/>
    <w:rsid w:val="00735671"/>
    <w:rsid w:val="00735A70"/>
    <w:rsid w:val="00736E47"/>
    <w:rsid w:val="00740205"/>
    <w:rsid w:val="007425E3"/>
    <w:rsid w:val="007426B2"/>
    <w:rsid w:val="00743911"/>
    <w:rsid w:val="00745144"/>
    <w:rsid w:val="007474D0"/>
    <w:rsid w:val="007515AB"/>
    <w:rsid w:val="00751A5F"/>
    <w:rsid w:val="007532FA"/>
    <w:rsid w:val="00755765"/>
    <w:rsid w:val="00757353"/>
    <w:rsid w:val="00757E83"/>
    <w:rsid w:val="007617B5"/>
    <w:rsid w:val="00764F29"/>
    <w:rsid w:val="007669FC"/>
    <w:rsid w:val="007671EB"/>
    <w:rsid w:val="007720B4"/>
    <w:rsid w:val="00772BD6"/>
    <w:rsid w:val="00773D2B"/>
    <w:rsid w:val="00774B08"/>
    <w:rsid w:val="00782FA8"/>
    <w:rsid w:val="007837AA"/>
    <w:rsid w:val="007845B8"/>
    <w:rsid w:val="00786095"/>
    <w:rsid w:val="00790D69"/>
    <w:rsid w:val="00791BDB"/>
    <w:rsid w:val="0079446F"/>
    <w:rsid w:val="00796625"/>
    <w:rsid w:val="00797415"/>
    <w:rsid w:val="007A05ED"/>
    <w:rsid w:val="007A1A6E"/>
    <w:rsid w:val="007A2F7F"/>
    <w:rsid w:val="007A49E8"/>
    <w:rsid w:val="007A5A58"/>
    <w:rsid w:val="007A6ADB"/>
    <w:rsid w:val="007B0972"/>
    <w:rsid w:val="007B197B"/>
    <w:rsid w:val="007B1F71"/>
    <w:rsid w:val="007B2DE8"/>
    <w:rsid w:val="007B4099"/>
    <w:rsid w:val="007B4993"/>
    <w:rsid w:val="007B6457"/>
    <w:rsid w:val="007B74B7"/>
    <w:rsid w:val="007B7C7F"/>
    <w:rsid w:val="007C12C6"/>
    <w:rsid w:val="007C5462"/>
    <w:rsid w:val="007C754F"/>
    <w:rsid w:val="007D1AED"/>
    <w:rsid w:val="007D1E30"/>
    <w:rsid w:val="007D2EA6"/>
    <w:rsid w:val="007D3820"/>
    <w:rsid w:val="007D421A"/>
    <w:rsid w:val="007D4255"/>
    <w:rsid w:val="007E69D5"/>
    <w:rsid w:val="007E7752"/>
    <w:rsid w:val="007F4811"/>
    <w:rsid w:val="007F4960"/>
    <w:rsid w:val="007F6E87"/>
    <w:rsid w:val="00801131"/>
    <w:rsid w:val="0080278D"/>
    <w:rsid w:val="0080360E"/>
    <w:rsid w:val="00805698"/>
    <w:rsid w:val="00813090"/>
    <w:rsid w:val="00815387"/>
    <w:rsid w:val="008158B0"/>
    <w:rsid w:val="00816DD9"/>
    <w:rsid w:val="008249AC"/>
    <w:rsid w:val="00825DE6"/>
    <w:rsid w:val="00827B43"/>
    <w:rsid w:val="00830414"/>
    <w:rsid w:val="00832059"/>
    <w:rsid w:val="008330B4"/>
    <w:rsid w:val="00833FBC"/>
    <w:rsid w:val="0083695C"/>
    <w:rsid w:val="00836C69"/>
    <w:rsid w:val="0083755F"/>
    <w:rsid w:val="0083766B"/>
    <w:rsid w:val="00840BAE"/>
    <w:rsid w:val="00842DBF"/>
    <w:rsid w:val="0084311B"/>
    <w:rsid w:val="00845C56"/>
    <w:rsid w:val="0084684F"/>
    <w:rsid w:val="00846DF7"/>
    <w:rsid w:val="00847F9A"/>
    <w:rsid w:val="008508D4"/>
    <w:rsid w:val="00850A01"/>
    <w:rsid w:val="00850C82"/>
    <w:rsid w:val="008524D8"/>
    <w:rsid w:val="008529BC"/>
    <w:rsid w:val="00855953"/>
    <w:rsid w:val="008571B0"/>
    <w:rsid w:val="0085751E"/>
    <w:rsid w:val="00860346"/>
    <w:rsid w:val="008622DB"/>
    <w:rsid w:val="0086622B"/>
    <w:rsid w:val="00870BC4"/>
    <w:rsid w:val="00871B77"/>
    <w:rsid w:val="00873AAF"/>
    <w:rsid w:val="00874AC9"/>
    <w:rsid w:val="00875519"/>
    <w:rsid w:val="008766BC"/>
    <w:rsid w:val="00877346"/>
    <w:rsid w:val="00877520"/>
    <w:rsid w:val="00880B42"/>
    <w:rsid w:val="008829A8"/>
    <w:rsid w:val="00883C31"/>
    <w:rsid w:val="00884A56"/>
    <w:rsid w:val="008867A4"/>
    <w:rsid w:val="008878FA"/>
    <w:rsid w:val="00890A67"/>
    <w:rsid w:val="008917E9"/>
    <w:rsid w:val="00892BEC"/>
    <w:rsid w:val="008943FB"/>
    <w:rsid w:val="0089621E"/>
    <w:rsid w:val="008A7465"/>
    <w:rsid w:val="008B2E17"/>
    <w:rsid w:val="008B46B1"/>
    <w:rsid w:val="008B4DBA"/>
    <w:rsid w:val="008B5F22"/>
    <w:rsid w:val="008C21D3"/>
    <w:rsid w:val="008C3B68"/>
    <w:rsid w:val="008C44C1"/>
    <w:rsid w:val="008C4673"/>
    <w:rsid w:val="008C4A2D"/>
    <w:rsid w:val="008C4D47"/>
    <w:rsid w:val="008C4FC9"/>
    <w:rsid w:val="008C5E69"/>
    <w:rsid w:val="008D1FD1"/>
    <w:rsid w:val="008D206C"/>
    <w:rsid w:val="008D2B21"/>
    <w:rsid w:val="008D377E"/>
    <w:rsid w:val="008D40E9"/>
    <w:rsid w:val="008E068E"/>
    <w:rsid w:val="008E165A"/>
    <w:rsid w:val="008E3BE9"/>
    <w:rsid w:val="008E48AB"/>
    <w:rsid w:val="008E650A"/>
    <w:rsid w:val="008E70AC"/>
    <w:rsid w:val="008E758F"/>
    <w:rsid w:val="008F0DBE"/>
    <w:rsid w:val="008F399A"/>
    <w:rsid w:val="008F3A58"/>
    <w:rsid w:val="008F3E10"/>
    <w:rsid w:val="008F5614"/>
    <w:rsid w:val="008F5A65"/>
    <w:rsid w:val="008F5FDC"/>
    <w:rsid w:val="008F7786"/>
    <w:rsid w:val="00901712"/>
    <w:rsid w:val="0090278C"/>
    <w:rsid w:val="009076D6"/>
    <w:rsid w:val="0091000A"/>
    <w:rsid w:val="009119B6"/>
    <w:rsid w:val="00911A14"/>
    <w:rsid w:val="00913CD5"/>
    <w:rsid w:val="00914EA4"/>
    <w:rsid w:val="00914EA6"/>
    <w:rsid w:val="00915418"/>
    <w:rsid w:val="00916DEE"/>
    <w:rsid w:val="00921FBF"/>
    <w:rsid w:val="0092355F"/>
    <w:rsid w:val="0092404A"/>
    <w:rsid w:val="0092524D"/>
    <w:rsid w:val="00927551"/>
    <w:rsid w:val="00930489"/>
    <w:rsid w:val="0093278A"/>
    <w:rsid w:val="00934E48"/>
    <w:rsid w:val="00934F0F"/>
    <w:rsid w:val="00940295"/>
    <w:rsid w:val="0094128E"/>
    <w:rsid w:val="00941ED4"/>
    <w:rsid w:val="00941F71"/>
    <w:rsid w:val="00942B49"/>
    <w:rsid w:val="009430ED"/>
    <w:rsid w:val="00944543"/>
    <w:rsid w:val="009449CC"/>
    <w:rsid w:val="00946F1A"/>
    <w:rsid w:val="00947022"/>
    <w:rsid w:val="00947BEE"/>
    <w:rsid w:val="00950531"/>
    <w:rsid w:val="00950B94"/>
    <w:rsid w:val="00951723"/>
    <w:rsid w:val="00952CDC"/>
    <w:rsid w:val="00953311"/>
    <w:rsid w:val="009554F1"/>
    <w:rsid w:val="00955977"/>
    <w:rsid w:val="009617B6"/>
    <w:rsid w:val="00964B64"/>
    <w:rsid w:val="00965FC6"/>
    <w:rsid w:val="00966403"/>
    <w:rsid w:val="00966662"/>
    <w:rsid w:val="00967B68"/>
    <w:rsid w:val="00970367"/>
    <w:rsid w:val="00973545"/>
    <w:rsid w:val="009754CF"/>
    <w:rsid w:val="0098349C"/>
    <w:rsid w:val="00987CC1"/>
    <w:rsid w:val="0099118B"/>
    <w:rsid w:val="00995112"/>
    <w:rsid w:val="009954F1"/>
    <w:rsid w:val="00995629"/>
    <w:rsid w:val="00996003"/>
    <w:rsid w:val="00997B96"/>
    <w:rsid w:val="00997C07"/>
    <w:rsid w:val="00997C79"/>
    <w:rsid w:val="009A3030"/>
    <w:rsid w:val="009A3AFD"/>
    <w:rsid w:val="009A53B6"/>
    <w:rsid w:val="009A5EE4"/>
    <w:rsid w:val="009A6031"/>
    <w:rsid w:val="009B0E14"/>
    <w:rsid w:val="009B2DD3"/>
    <w:rsid w:val="009B4274"/>
    <w:rsid w:val="009B5F0D"/>
    <w:rsid w:val="009B6B7A"/>
    <w:rsid w:val="009B7A46"/>
    <w:rsid w:val="009C2052"/>
    <w:rsid w:val="009C5825"/>
    <w:rsid w:val="009C6E3D"/>
    <w:rsid w:val="009D0EE8"/>
    <w:rsid w:val="009D2F6A"/>
    <w:rsid w:val="009D3672"/>
    <w:rsid w:val="009D5B60"/>
    <w:rsid w:val="009D75DB"/>
    <w:rsid w:val="009D7B86"/>
    <w:rsid w:val="009E0752"/>
    <w:rsid w:val="009E0A15"/>
    <w:rsid w:val="009E1526"/>
    <w:rsid w:val="009E37CA"/>
    <w:rsid w:val="009E6959"/>
    <w:rsid w:val="009F25F9"/>
    <w:rsid w:val="009F2C62"/>
    <w:rsid w:val="009F3442"/>
    <w:rsid w:val="00A11689"/>
    <w:rsid w:val="00A11B09"/>
    <w:rsid w:val="00A11F7F"/>
    <w:rsid w:val="00A141F6"/>
    <w:rsid w:val="00A14904"/>
    <w:rsid w:val="00A15B7C"/>
    <w:rsid w:val="00A16E29"/>
    <w:rsid w:val="00A17CC8"/>
    <w:rsid w:val="00A20323"/>
    <w:rsid w:val="00A20DE7"/>
    <w:rsid w:val="00A20DF1"/>
    <w:rsid w:val="00A21EB1"/>
    <w:rsid w:val="00A235AC"/>
    <w:rsid w:val="00A30745"/>
    <w:rsid w:val="00A30BB2"/>
    <w:rsid w:val="00A323C0"/>
    <w:rsid w:val="00A35C0D"/>
    <w:rsid w:val="00A427C0"/>
    <w:rsid w:val="00A42C20"/>
    <w:rsid w:val="00A464FD"/>
    <w:rsid w:val="00A46B62"/>
    <w:rsid w:val="00A46BBF"/>
    <w:rsid w:val="00A47C47"/>
    <w:rsid w:val="00A47C64"/>
    <w:rsid w:val="00A5058E"/>
    <w:rsid w:val="00A5138B"/>
    <w:rsid w:val="00A52BCF"/>
    <w:rsid w:val="00A54272"/>
    <w:rsid w:val="00A5435F"/>
    <w:rsid w:val="00A56D06"/>
    <w:rsid w:val="00A57EDB"/>
    <w:rsid w:val="00A607A1"/>
    <w:rsid w:val="00A617F1"/>
    <w:rsid w:val="00A64C60"/>
    <w:rsid w:val="00A655FB"/>
    <w:rsid w:val="00A65E8D"/>
    <w:rsid w:val="00A728C9"/>
    <w:rsid w:val="00A75ACC"/>
    <w:rsid w:val="00A75B69"/>
    <w:rsid w:val="00A76995"/>
    <w:rsid w:val="00A83155"/>
    <w:rsid w:val="00A8348F"/>
    <w:rsid w:val="00A83EF6"/>
    <w:rsid w:val="00A86940"/>
    <w:rsid w:val="00A90556"/>
    <w:rsid w:val="00A92D23"/>
    <w:rsid w:val="00A940C0"/>
    <w:rsid w:val="00A940CA"/>
    <w:rsid w:val="00A94354"/>
    <w:rsid w:val="00A944C6"/>
    <w:rsid w:val="00A94F92"/>
    <w:rsid w:val="00A95FE2"/>
    <w:rsid w:val="00A977BF"/>
    <w:rsid w:val="00AA04A0"/>
    <w:rsid w:val="00AA0820"/>
    <w:rsid w:val="00AA36A4"/>
    <w:rsid w:val="00AA48BA"/>
    <w:rsid w:val="00AA4E68"/>
    <w:rsid w:val="00AA7A4D"/>
    <w:rsid w:val="00AB03B9"/>
    <w:rsid w:val="00AB047B"/>
    <w:rsid w:val="00AB2D11"/>
    <w:rsid w:val="00AB2F4F"/>
    <w:rsid w:val="00AB3C8E"/>
    <w:rsid w:val="00AB4250"/>
    <w:rsid w:val="00AB5E89"/>
    <w:rsid w:val="00AC0495"/>
    <w:rsid w:val="00AC11F7"/>
    <w:rsid w:val="00AC1C11"/>
    <w:rsid w:val="00AC2948"/>
    <w:rsid w:val="00AC7123"/>
    <w:rsid w:val="00AD48AB"/>
    <w:rsid w:val="00AD4D01"/>
    <w:rsid w:val="00AD5633"/>
    <w:rsid w:val="00AD645E"/>
    <w:rsid w:val="00AD7403"/>
    <w:rsid w:val="00AE0B56"/>
    <w:rsid w:val="00AE137D"/>
    <w:rsid w:val="00AE559D"/>
    <w:rsid w:val="00AE667C"/>
    <w:rsid w:val="00AE78F6"/>
    <w:rsid w:val="00AF19F3"/>
    <w:rsid w:val="00AF1EA3"/>
    <w:rsid w:val="00AF2161"/>
    <w:rsid w:val="00AF4966"/>
    <w:rsid w:val="00B002EA"/>
    <w:rsid w:val="00B01EEA"/>
    <w:rsid w:val="00B02848"/>
    <w:rsid w:val="00B05014"/>
    <w:rsid w:val="00B05F7B"/>
    <w:rsid w:val="00B0765A"/>
    <w:rsid w:val="00B12514"/>
    <w:rsid w:val="00B135EE"/>
    <w:rsid w:val="00B14AA1"/>
    <w:rsid w:val="00B20998"/>
    <w:rsid w:val="00B209B0"/>
    <w:rsid w:val="00B236EC"/>
    <w:rsid w:val="00B24A64"/>
    <w:rsid w:val="00B26414"/>
    <w:rsid w:val="00B308E1"/>
    <w:rsid w:val="00B32BE5"/>
    <w:rsid w:val="00B34AC7"/>
    <w:rsid w:val="00B40198"/>
    <w:rsid w:val="00B420D6"/>
    <w:rsid w:val="00B42AEC"/>
    <w:rsid w:val="00B43A9C"/>
    <w:rsid w:val="00B43F5A"/>
    <w:rsid w:val="00B47B8B"/>
    <w:rsid w:val="00B52309"/>
    <w:rsid w:val="00B523A4"/>
    <w:rsid w:val="00B52437"/>
    <w:rsid w:val="00B546F9"/>
    <w:rsid w:val="00B56D10"/>
    <w:rsid w:val="00B57D56"/>
    <w:rsid w:val="00B62A72"/>
    <w:rsid w:val="00B6407A"/>
    <w:rsid w:val="00B66B4D"/>
    <w:rsid w:val="00B67E1B"/>
    <w:rsid w:val="00B70356"/>
    <w:rsid w:val="00B7167A"/>
    <w:rsid w:val="00B73847"/>
    <w:rsid w:val="00B74FDA"/>
    <w:rsid w:val="00B81069"/>
    <w:rsid w:val="00B83110"/>
    <w:rsid w:val="00B853B2"/>
    <w:rsid w:val="00B87F81"/>
    <w:rsid w:val="00B90E0B"/>
    <w:rsid w:val="00B94895"/>
    <w:rsid w:val="00B95913"/>
    <w:rsid w:val="00B95BEE"/>
    <w:rsid w:val="00B95DB3"/>
    <w:rsid w:val="00B962E1"/>
    <w:rsid w:val="00B97C2D"/>
    <w:rsid w:val="00BA10CC"/>
    <w:rsid w:val="00BA26C1"/>
    <w:rsid w:val="00BA32C5"/>
    <w:rsid w:val="00BA391E"/>
    <w:rsid w:val="00BA4E3E"/>
    <w:rsid w:val="00BA5344"/>
    <w:rsid w:val="00BA788B"/>
    <w:rsid w:val="00BA7B71"/>
    <w:rsid w:val="00BB3BD4"/>
    <w:rsid w:val="00BB6F8A"/>
    <w:rsid w:val="00BC401D"/>
    <w:rsid w:val="00BC4C77"/>
    <w:rsid w:val="00BC53F0"/>
    <w:rsid w:val="00BC7FD0"/>
    <w:rsid w:val="00BD2B55"/>
    <w:rsid w:val="00BD361B"/>
    <w:rsid w:val="00BD3B16"/>
    <w:rsid w:val="00BD4B79"/>
    <w:rsid w:val="00BD4EE4"/>
    <w:rsid w:val="00BD7972"/>
    <w:rsid w:val="00BE0708"/>
    <w:rsid w:val="00BE7ACA"/>
    <w:rsid w:val="00BF07DE"/>
    <w:rsid w:val="00BF1706"/>
    <w:rsid w:val="00BF2016"/>
    <w:rsid w:val="00BF459E"/>
    <w:rsid w:val="00BF60A9"/>
    <w:rsid w:val="00BF6D01"/>
    <w:rsid w:val="00C0121F"/>
    <w:rsid w:val="00C01D09"/>
    <w:rsid w:val="00C0261F"/>
    <w:rsid w:val="00C10D5C"/>
    <w:rsid w:val="00C1160C"/>
    <w:rsid w:val="00C12590"/>
    <w:rsid w:val="00C12E9C"/>
    <w:rsid w:val="00C135AA"/>
    <w:rsid w:val="00C200E5"/>
    <w:rsid w:val="00C21AE4"/>
    <w:rsid w:val="00C26ED3"/>
    <w:rsid w:val="00C3088A"/>
    <w:rsid w:val="00C3208E"/>
    <w:rsid w:val="00C33FDC"/>
    <w:rsid w:val="00C378B0"/>
    <w:rsid w:val="00C40911"/>
    <w:rsid w:val="00C44731"/>
    <w:rsid w:val="00C45158"/>
    <w:rsid w:val="00C45947"/>
    <w:rsid w:val="00C47D57"/>
    <w:rsid w:val="00C53523"/>
    <w:rsid w:val="00C547C6"/>
    <w:rsid w:val="00C55507"/>
    <w:rsid w:val="00C555CB"/>
    <w:rsid w:val="00C560E0"/>
    <w:rsid w:val="00C5754A"/>
    <w:rsid w:val="00C57EC3"/>
    <w:rsid w:val="00C64C65"/>
    <w:rsid w:val="00C65504"/>
    <w:rsid w:val="00C665DA"/>
    <w:rsid w:val="00C73101"/>
    <w:rsid w:val="00C745AE"/>
    <w:rsid w:val="00C75D66"/>
    <w:rsid w:val="00C75E38"/>
    <w:rsid w:val="00C773BD"/>
    <w:rsid w:val="00C805D3"/>
    <w:rsid w:val="00C838F5"/>
    <w:rsid w:val="00C87694"/>
    <w:rsid w:val="00C87AC8"/>
    <w:rsid w:val="00C968E4"/>
    <w:rsid w:val="00C96CC0"/>
    <w:rsid w:val="00C96F46"/>
    <w:rsid w:val="00CA1B58"/>
    <w:rsid w:val="00CA27CC"/>
    <w:rsid w:val="00CA31C6"/>
    <w:rsid w:val="00CA3A30"/>
    <w:rsid w:val="00CB0358"/>
    <w:rsid w:val="00CB2C6D"/>
    <w:rsid w:val="00CB4069"/>
    <w:rsid w:val="00CC0BA6"/>
    <w:rsid w:val="00CC19B5"/>
    <w:rsid w:val="00CC1FF5"/>
    <w:rsid w:val="00CC541E"/>
    <w:rsid w:val="00CC66CA"/>
    <w:rsid w:val="00CC7B2A"/>
    <w:rsid w:val="00CC7CEB"/>
    <w:rsid w:val="00CD3BCE"/>
    <w:rsid w:val="00CD6F40"/>
    <w:rsid w:val="00CD70BD"/>
    <w:rsid w:val="00CE0084"/>
    <w:rsid w:val="00CE4212"/>
    <w:rsid w:val="00CE5267"/>
    <w:rsid w:val="00CE5D06"/>
    <w:rsid w:val="00CF0D3D"/>
    <w:rsid w:val="00CF2F55"/>
    <w:rsid w:val="00CF68B2"/>
    <w:rsid w:val="00CF69FE"/>
    <w:rsid w:val="00CF6DDA"/>
    <w:rsid w:val="00CF7FB9"/>
    <w:rsid w:val="00D01009"/>
    <w:rsid w:val="00D01926"/>
    <w:rsid w:val="00D030AE"/>
    <w:rsid w:val="00D036EA"/>
    <w:rsid w:val="00D03728"/>
    <w:rsid w:val="00D04CDD"/>
    <w:rsid w:val="00D06B2A"/>
    <w:rsid w:val="00D122A7"/>
    <w:rsid w:val="00D12EFC"/>
    <w:rsid w:val="00D15504"/>
    <w:rsid w:val="00D16680"/>
    <w:rsid w:val="00D30CBB"/>
    <w:rsid w:val="00D31192"/>
    <w:rsid w:val="00D331A0"/>
    <w:rsid w:val="00D3363D"/>
    <w:rsid w:val="00D34F84"/>
    <w:rsid w:val="00D36C7C"/>
    <w:rsid w:val="00D455CE"/>
    <w:rsid w:val="00D458C4"/>
    <w:rsid w:val="00D51719"/>
    <w:rsid w:val="00D52F37"/>
    <w:rsid w:val="00D536B4"/>
    <w:rsid w:val="00D549D0"/>
    <w:rsid w:val="00D57351"/>
    <w:rsid w:val="00D57D21"/>
    <w:rsid w:val="00D630B4"/>
    <w:rsid w:val="00D65E79"/>
    <w:rsid w:val="00D67C1D"/>
    <w:rsid w:val="00D71278"/>
    <w:rsid w:val="00D762DD"/>
    <w:rsid w:val="00D76956"/>
    <w:rsid w:val="00D7700D"/>
    <w:rsid w:val="00D80A8F"/>
    <w:rsid w:val="00D80D2B"/>
    <w:rsid w:val="00D81597"/>
    <w:rsid w:val="00D84E5B"/>
    <w:rsid w:val="00D85B5A"/>
    <w:rsid w:val="00D85C55"/>
    <w:rsid w:val="00D9210E"/>
    <w:rsid w:val="00D925B7"/>
    <w:rsid w:val="00D934B9"/>
    <w:rsid w:val="00D93D9A"/>
    <w:rsid w:val="00D93FBF"/>
    <w:rsid w:val="00D9521C"/>
    <w:rsid w:val="00D96B70"/>
    <w:rsid w:val="00DA37E7"/>
    <w:rsid w:val="00DA3ECF"/>
    <w:rsid w:val="00DB2DE9"/>
    <w:rsid w:val="00DB777C"/>
    <w:rsid w:val="00DC0ABB"/>
    <w:rsid w:val="00DC3853"/>
    <w:rsid w:val="00DC6397"/>
    <w:rsid w:val="00DD04BF"/>
    <w:rsid w:val="00DD0A39"/>
    <w:rsid w:val="00DD0A4E"/>
    <w:rsid w:val="00DD33F9"/>
    <w:rsid w:val="00DD4C0E"/>
    <w:rsid w:val="00DD524D"/>
    <w:rsid w:val="00DD6623"/>
    <w:rsid w:val="00DD73EE"/>
    <w:rsid w:val="00DD7859"/>
    <w:rsid w:val="00DE0CF0"/>
    <w:rsid w:val="00DE328B"/>
    <w:rsid w:val="00DE5680"/>
    <w:rsid w:val="00DF0EE7"/>
    <w:rsid w:val="00DF210C"/>
    <w:rsid w:val="00DF43C1"/>
    <w:rsid w:val="00DF4513"/>
    <w:rsid w:val="00DF5C40"/>
    <w:rsid w:val="00DF7D68"/>
    <w:rsid w:val="00E00D72"/>
    <w:rsid w:val="00E04497"/>
    <w:rsid w:val="00E0467B"/>
    <w:rsid w:val="00E04CE3"/>
    <w:rsid w:val="00E06304"/>
    <w:rsid w:val="00E066FC"/>
    <w:rsid w:val="00E06960"/>
    <w:rsid w:val="00E101E4"/>
    <w:rsid w:val="00E1043E"/>
    <w:rsid w:val="00E11781"/>
    <w:rsid w:val="00E12576"/>
    <w:rsid w:val="00E16E87"/>
    <w:rsid w:val="00E17AF2"/>
    <w:rsid w:val="00E20F63"/>
    <w:rsid w:val="00E23804"/>
    <w:rsid w:val="00E24AF2"/>
    <w:rsid w:val="00E27769"/>
    <w:rsid w:val="00E31981"/>
    <w:rsid w:val="00E344D0"/>
    <w:rsid w:val="00E400C7"/>
    <w:rsid w:val="00E415E4"/>
    <w:rsid w:val="00E50D79"/>
    <w:rsid w:val="00E51DC6"/>
    <w:rsid w:val="00E52855"/>
    <w:rsid w:val="00E52ED1"/>
    <w:rsid w:val="00E55C50"/>
    <w:rsid w:val="00E56266"/>
    <w:rsid w:val="00E56D46"/>
    <w:rsid w:val="00E57772"/>
    <w:rsid w:val="00E578A0"/>
    <w:rsid w:val="00E61504"/>
    <w:rsid w:val="00E6451E"/>
    <w:rsid w:val="00E65004"/>
    <w:rsid w:val="00E66D5A"/>
    <w:rsid w:val="00E66E26"/>
    <w:rsid w:val="00E70583"/>
    <w:rsid w:val="00E71D03"/>
    <w:rsid w:val="00E7235F"/>
    <w:rsid w:val="00E72E7C"/>
    <w:rsid w:val="00E73509"/>
    <w:rsid w:val="00E738B5"/>
    <w:rsid w:val="00E766BB"/>
    <w:rsid w:val="00E767F6"/>
    <w:rsid w:val="00E76D37"/>
    <w:rsid w:val="00E7708F"/>
    <w:rsid w:val="00E80E7B"/>
    <w:rsid w:val="00E81309"/>
    <w:rsid w:val="00E81D56"/>
    <w:rsid w:val="00E81D6A"/>
    <w:rsid w:val="00E83D57"/>
    <w:rsid w:val="00E85911"/>
    <w:rsid w:val="00E85CB0"/>
    <w:rsid w:val="00E90D77"/>
    <w:rsid w:val="00E91176"/>
    <w:rsid w:val="00E9127E"/>
    <w:rsid w:val="00E914C8"/>
    <w:rsid w:val="00E936E1"/>
    <w:rsid w:val="00E943DD"/>
    <w:rsid w:val="00E94F07"/>
    <w:rsid w:val="00E9565E"/>
    <w:rsid w:val="00EA10D2"/>
    <w:rsid w:val="00EA17BC"/>
    <w:rsid w:val="00EA4237"/>
    <w:rsid w:val="00EA429E"/>
    <w:rsid w:val="00EA5075"/>
    <w:rsid w:val="00EA734F"/>
    <w:rsid w:val="00EB1DEA"/>
    <w:rsid w:val="00EB5929"/>
    <w:rsid w:val="00EC07BD"/>
    <w:rsid w:val="00EC0F44"/>
    <w:rsid w:val="00EC1E0F"/>
    <w:rsid w:val="00EC2863"/>
    <w:rsid w:val="00EC39B9"/>
    <w:rsid w:val="00EC3B27"/>
    <w:rsid w:val="00ED142F"/>
    <w:rsid w:val="00ED1C07"/>
    <w:rsid w:val="00ED4891"/>
    <w:rsid w:val="00ED7033"/>
    <w:rsid w:val="00ED752F"/>
    <w:rsid w:val="00ED7ABE"/>
    <w:rsid w:val="00EE0C2D"/>
    <w:rsid w:val="00EE3D2D"/>
    <w:rsid w:val="00EE47DC"/>
    <w:rsid w:val="00EE6739"/>
    <w:rsid w:val="00EE71B5"/>
    <w:rsid w:val="00EF359D"/>
    <w:rsid w:val="00EF41D9"/>
    <w:rsid w:val="00EF52D2"/>
    <w:rsid w:val="00F00231"/>
    <w:rsid w:val="00F01925"/>
    <w:rsid w:val="00F0239E"/>
    <w:rsid w:val="00F02D71"/>
    <w:rsid w:val="00F04835"/>
    <w:rsid w:val="00F073E5"/>
    <w:rsid w:val="00F10081"/>
    <w:rsid w:val="00F11A77"/>
    <w:rsid w:val="00F11F02"/>
    <w:rsid w:val="00F13C2A"/>
    <w:rsid w:val="00F13E06"/>
    <w:rsid w:val="00F14DED"/>
    <w:rsid w:val="00F14E4C"/>
    <w:rsid w:val="00F1734C"/>
    <w:rsid w:val="00F173F5"/>
    <w:rsid w:val="00F17DE6"/>
    <w:rsid w:val="00F208B8"/>
    <w:rsid w:val="00F2095B"/>
    <w:rsid w:val="00F22761"/>
    <w:rsid w:val="00F23A50"/>
    <w:rsid w:val="00F247B8"/>
    <w:rsid w:val="00F261B3"/>
    <w:rsid w:val="00F26BE3"/>
    <w:rsid w:val="00F31E93"/>
    <w:rsid w:val="00F32BD1"/>
    <w:rsid w:val="00F34213"/>
    <w:rsid w:val="00F34AEB"/>
    <w:rsid w:val="00F41BF0"/>
    <w:rsid w:val="00F450BC"/>
    <w:rsid w:val="00F45ADE"/>
    <w:rsid w:val="00F46204"/>
    <w:rsid w:val="00F4695D"/>
    <w:rsid w:val="00F50021"/>
    <w:rsid w:val="00F50D9A"/>
    <w:rsid w:val="00F5270F"/>
    <w:rsid w:val="00F5671C"/>
    <w:rsid w:val="00F600B3"/>
    <w:rsid w:val="00F60EED"/>
    <w:rsid w:val="00F61397"/>
    <w:rsid w:val="00F617A9"/>
    <w:rsid w:val="00F6255A"/>
    <w:rsid w:val="00F6345B"/>
    <w:rsid w:val="00F63DDE"/>
    <w:rsid w:val="00F76315"/>
    <w:rsid w:val="00F8130B"/>
    <w:rsid w:val="00F82244"/>
    <w:rsid w:val="00F8392C"/>
    <w:rsid w:val="00F85171"/>
    <w:rsid w:val="00F8524D"/>
    <w:rsid w:val="00F86F7F"/>
    <w:rsid w:val="00F90E68"/>
    <w:rsid w:val="00F93C6C"/>
    <w:rsid w:val="00F94C71"/>
    <w:rsid w:val="00F97A62"/>
    <w:rsid w:val="00FA0775"/>
    <w:rsid w:val="00FA20B3"/>
    <w:rsid w:val="00FA46A5"/>
    <w:rsid w:val="00FA5A25"/>
    <w:rsid w:val="00FB11E6"/>
    <w:rsid w:val="00FB2666"/>
    <w:rsid w:val="00FB325F"/>
    <w:rsid w:val="00FB4EF7"/>
    <w:rsid w:val="00FB618C"/>
    <w:rsid w:val="00FB6669"/>
    <w:rsid w:val="00FB66AB"/>
    <w:rsid w:val="00FB6E9D"/>
    <w:rsid w:val="00FC166E"/>
    <w:rsid w:val="00FC672B"/>
    <w:rsid w:val="00FC6E1B"/>
    <w:rsid w:val="00FD0BFD"/>
    <w:rsid w:val="00FD27B0"/>
    <w:rsid w:val="00FD2BCD"/>
    <w:rsid w:val="00FD527C"/>
    <w:rsid w:val="00FD560D"/>
    <w:rsid w:val="00FD7467"/>
    <w:rsid w:val="00FD7575"/>
    <w:rsid w:val="00FD7648"/>
    <w:rsid w:val="00FE081C"/>
    <w:rsid w:val="00FE2039"/>
    <w:rsid w:val="00FE5C5D"/>
    <w:rsid w:val="00FE6774"/>
    <w:rsid w:val="00FF12DC"/>
    <w:rsid w:val="00FF1CDA"/>
    <w:rsid w:val="00FF3FF8"/>
    <w:rsid w:val="00FF65E1"/>
    <w:rsid w:val="00FF7578"/>
    <w:rsid w:val="00FF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6049"/>
  <w15:chartTrackingRefBased/>
  <w15:docId w15:val="{15A0BA0D-7647-490A-B1A8-A4DFE62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n Char2,ALTS FOOTNOTE Char,Footnote Text 2 Char1,Footnote text Char1,FOOTNOTE Char1,fn Char Char1,Car Char,Footnote Text Char2 Char,Footnote Text Char1 Char Char1,Footnote Text Char Char Char Char1"/>
    <w:basedOn w:val="DefaultParagraphFont"/>
    <w:link w:val="FootnoteText"/>
    <w:rsid w:val="00941ED4"/>
  </w:style>
  <w:style w:type="paragraph" w:styleId="FootnoteText">
    <w:name w:val="footnote text"/>
    <w:aliases w:val="fn,ALTS FOOTNOTE,Footnote Text 2,Footnote text,FOOTNOTE,fn Char,Car,Footnote Text Char2,Footnote Text Char1 Char,Footnote Text Char Char Char,Footnote Text Char2 Char Char Char,Footnote Text Char Char1 Char Char Char"/>
    <w:basedOn w:val="Normal"/>
    <w:link w:val="FootnoteTextChar"/>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941ED4"/>
    <w:rPr>
      <w:sz w:val="26"/>
      <w:vertAlign w:val="superscript"/>
    </w:rPr>
  </w:style>
  <w:style w:type="paragraph" w:styleId="ListParagraph">
    <w:name w:val="List Paragraph"/>
    <w:basedOn w:val="Normal"/>
    <w:uiPriority w:val="34"/>
    <w:qFormat/>
    <w:rsid w:val="00BC53F0"/>
    <w:pPr>
      <w:ind w:left="720"/>
    </w:pPr>
  </w:style>
  <w:style w:type="character" w:styleId="Hyperlink">
    <w:name w:val="Hyperlink"/>
    <w:basedOn w:val="DefaultParagraphFont"/>
    <w:uiPriority w:val="99"/>
    <w:semiHidden/>
    <w:unhideWhenUsed/>
    <w:rsid w:val="00472A9D"/>
    <w:rPr>
      <w:color w:val="0077CC"/>
      <w:u w:val="single"/>
    </w:rPr>
  </w:style>
  <w:style w:type="paragraph" w:styleId="BalloonText">
    <w:name w:val="Balloon Text"/>
    <w:basedOn w:val="Normal"/>
    <w:link w:val="BalloonTextChar"/>
    <w:uiPriority w:val="99"/>
    <w:semiHidden/>
    <w:unhideWhenUsed/>
    <w:rsid w:val="001C3A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AA4"/>
    <w:rPr>
      <w:rFonts w:ascii="Segoe UI" w:eastAsia="Times New Roman" w:hAnsi="Segoe UI" w:cs="Segoe UI"/>
      <w:sz w:val="18"/>
      <w:szCs w:val="18"/>
    </w:rPr>
  </w:style>
  <w:style w:type="paragraph" w:styleId="Header">
    <w:name w:val="header"/>
    <w:basedOn w:val="Normal"/>
    <w:link w:val="HeaderChar"/>
    <w:uiPriority w:val="99"/>
    <w:unhideWhenUsed/>
    <w:rsid w:val="00F13C2A"/>
    <w:pPr>
      <w:tabs>
        <w:tab w:val="center" w:pos="4680"/>
        <w:tab w:val="right" w:pos="9360"/>
      </w:tabs>
      <w:spacing w:line="240" w:lineRule="auto"/>
    </w:pPr>
  </w:style>
  <w:style w:type="character" w:customStyle="1" w:styleId="HeaderChar">
    <w:name w:val="Header Char"/>
    <w:basedOn w:val="DefaultParagraphFont"/>
    <w:link w:val="Header"/>
    <w:uiPriority w:val="99"/>
    <w:rsid w:val="00F13C2A"/>
    <w:rPr>
      <w:rFonts w:eastAsia="Times New Roman" w:cs="Times New Roman"/>
      <w:sz w:val="24"/>
      <w:szCs w:val="24"/>
    </w:rPr>
  </w:style>
  <w:style w:type="paragraph" w:styleId="Footer">
    <w:name w:val="footer"/>
    <w:basedOn w:val="Normal"/>
    <w:link w:val="FooterChar"/>
    <w:uiPriority w:val="99"/>
    <w:unhideWhenUsed/>
    <w:rsid w:val="00F13C2A"/>
    <w:pPr>
      <w:tabs>
        <w:tab w:val="center" w:pos="4680"/>
        <w:tab w:val="right" w:pos="9360"/>
      </w:tabs>
      <w:spacing w:line="240" w:lineRule="auto"/>
    </w:pPr>
  </w:style>
  <w:style w:type="character" w:customStyle="1" w:styleId="FooterChar">
    <w:name w:val="Footer Char"/>
    <w:basedOn w:val="DefaultParagraphFont"/>
    <w:link w:val="Footer"/>
    <w:uiPriority w:val="99"/>
    <w:rsid w:val="00F13C2A"/>
    <w:rPr>
      <w:rFonts w:eastAsia="Times New Roman" w:cs="Times New Roman"/>
      <w:sz w:val="24"/>
      <w:szCs w:val="24"/>
    </w:rPr>
  </w:style>
  <w:style w:type="table" w:styleId="TableGrid">
    <w:name w:val="Table Grid"/>
    <w:basedOn w:val="TableNormal"/>
    <w:uiPriority w:val="59"/>
    <w:rsid w:val="00EE6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4D227F"/>
    <w:pPr>
      <w:spacing w:line="254" w:lineRule="auto"/>
      <w:ind w:left="67" w:right="24" w:firstLine="701"/>
      <w:jc w:val="both"/>
    </w:pPr>
    <w:rPr>
      <w:rFonts w:eastAsia="Times New Roman" w:cs="Times New Roman"/>
      <w:color w:val="000000"/>
      <w:sz w:val="20"/>
      <w:szCs w:val="22"/>
    </w:rPr>
  </w:style>
  <w:style w:type="character" w:customStyle="1" w:styleId="footnotedescriptionChar">
    <w:name w:val="footnote description Char"/>
    <w:link w:val="footnotedescription"/>
    <w:rsid w:val="004D227F"/>
    <w:rPr>
      <w:rFonts w:eastAsia="Times New Roman" w:cs="Times New Roman"/>
      <w:color w:val="000000"/>
      <w:sz w:val="20"/>
      <w:szCs w:val="22"/>
    </w:rPr>
  </w:style>
  <w:style w:type="character" w:customStyle="1" w:styleId="footnotemark">
    <w:name w:val="footnote mark"/>
    <w:hidden/>
    <w:rsid w:val="004D227F"/>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70281A"/>
    <w:rPr>
      <w:sz w:val="16"/>
      <w:szCs w:val="16"/>
    </w:rPr>
  </w:style>
  <w:style w:type="paragraph" w:styleId="CommentText">
    <w:name w:val="annotation text"/>
    <w:basedOn w:val="Normal"/>
    <w:link w:val="CommentTextChar"/>
    <w:uiPriority w:val="99"/>
    <w:semiHidden/>
    <w:unhideWhenUsed/>
    <w:rsid w:val="0070281A"/>
    <w:pPr>
      <w:spacing w:line="240" w:lineRule="auto"/>
    </w:pPr>
    <w:rPr>
      <w:sz w:val="20"/>
      <w:szCs w:val="20"/>
    </w:rPr>
  </w:style>
  <w:style w:type="character" w:customStyle="1" w:styleId="CommentTextChar">
    <w:name w:val="Comment Text Char"/>
    <w:basedOn w:val="DefaultParagraphFont"/>
    <w:link w:val="CommentText"/>
    <w:uiPriority w:val="99"/>
    <w:semiHidden/>
    <w:rsid w:val="0070281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81A"/>
    <w:rPr>
      <w:b/>
      <w:bCs/>
    </w:rPr>
  </w:style>
  <w:style w:type="character" w:customStyle="1" w:styleId="CommentSubjectChar">
    <w:name w:val="Comment Subject Char"/>
    <w:basedOn w:val="CommentTextChar"/>
    <w:link w:val="CommentSubject"/>
    <w:uiPriority w:val="99"/>
    <w:semiHidden/>
    <w:rsid w:val="0070281A"/>
    <w:rPr>
      <w:rFonts w:eastAsia="Times New Roman" w:cs="Times New Roman"/>
      <w:b/>
      <w:bCs/>
      <w:sz w:val="20"/>
      <w:szCs w:val="20"/>
    </w:rPr>
  </w:style>
  <w:style w:type="paragraph" w:customStyle="1" w:styleId="p3">
    <w:name w:val="p3"/>
    <w:basedOn w:val="Normal"/>
    <w:rsid w:val="00947022"/>
    <w:pPr>
      <w:widowControl w:val="0"/>
      <w:tabs>
        <w:tab w:val="left" w:pos="204"/>
      </w:tabs>
      <w:autoSpaceDE w:val="0"/>
      <w:autoSpaceDN w:val="0"/>
      <w:adjustRightInd w:val="0"/>
      <w:spacing w:line="240" w:lineRule="auto"/>
      <w:ind w:firstLine="0"/>
    </w:pPr>
  </w:style>
  <w:style w:type="paragraph" w:styleId="NoSpacing">
    <w:name w:val="No Spacing"/>
    <w:uiPriority w:val="1"/>
    <w:qFormat/>
    <w:rsid w:val="00F13E06"/>
    <w:pPr>
      <w:spacing w:line="240" w:lineRule="auto"/>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3945">
      <w:bodyDiv w:val="1"/>
      <w:marLeft w:val="0"/>
      <w:marRight w:val="0"/>
      <w:marTop w:val="0"/>
      <w:marBottom w:val="0"/>
      <w:divBdr>
        <w:top w:val="none" w:sz="0" w:space="0" w:color="auto"/>
        <w:left w:val="none" w:sz="0" w:space="0" w:color="auto"/>
        <w:bottom w:val="none" w:sz="0" w:space="0" w:color="auto"/>
        <w:right w:val="none" w:sz="0" w:space="0" w:color="auto"/>
      </w:divBdr>
      <w:divsChild>
        <w:div w:id="578633065">
          <w:marLeft w:val="0"/>
          <w:marRight w:val="0"/>
          <w:marTop w:val="0"/>
          <w:marBottom w:val="0"/>
          <w:divBdr>
            <w:top w:val="none" w:sz="0" w:space="0" w:color="auto"/>
            <w:left w:val="single" w:sz="6" w:space="0" w:color="BBBBBB"/>
            <w:bottom w:val="single" w:sz="6" w:space="0" w:color="BBBBBB"/>
            <w:right w:val="single" w:sz="6" w:space="0" w:color="BBBBBB"/>
          </w:divBdr>
          <w:divsChild>
            <w:div w:id="1193305690">
              <w:marLeft w:val="0"/>
              <w:marRight w:val="0"/>
              <w:marTop w:val="0"/>
              <w:marBottom w:val="0"/>
              <w:divBdr>
                <w:top w:val="none" w:sz="0" w:space="0" w:color="auto"/>
                <w:left w:val="none" w:sz="0" w:space="0" w:color="auto"/>
                <w:bottom w:val="none" w:sz="0" w:space="0" w:color="auto"/>
                <w:right w:val="none" w:sz="0" w:space="0" w:color="auto"/>
              </w:divBdr>
              <w:divsChild>
                <w:div w:id="481701119">
                  <w:marLeft w:val="0"/>
                  <w:marRight w:val="0"/>
                  <w:marTop w:val="75"/>
                  <w:marBottom w:val="0"/>
                  <w:divBdr>
                    <w:top w:val="none" w:sz="0" w:space="0" w:color="auto"/>
                    <w:left w:val="none" w:sz="0" w:space="0" w:color="auto"/>
                    <w:bottom w:val="none" w:sz="0" w:space="0" w:color="auto"/>
                    <w:right w:val="none" w:sz="0" w:space="0" w:color="auto"/>
                  </w:divBdr>
                  <w:divsChild>
                    <w:div w:id="939876559">
                      <w:marLeft w:val="0"/>
                      <w:marRight w:val="0"/>
                      <w:marTop w:val="0"/>
                      <w:marBottom w:val="0"/>
                      <w:divBdr>
                        <w:top w:val="none" w:sz="0" w:space="0" w:color="auto"/>
                        <w:left w:val="none" w:sz="0" w:space="0" w:color="auto"/>
                        <w:bottom w:val="none" w:sz="0" w:space="0" w:color="auto"/>
                        <w:right w:val="none" w:sz="0" w:space="0" w:color="auto"/>
                      </w:divBdr>
                      <w:divsChild>
                        <w:div w:id="2147090450">
                          <w:marLeft w:val="0"/>
                          <w:marRight w:val="0"/>
                          <w:marTop w:val="0"/>
                          <w:marBottom w:val="0"/>
                          <w:divBdr>
                            <w:top w:val="none" w:sz="0" w:space="0" w:color="auto"/>
                            <w:left w:val="none" w:sz="0" w:space="0" w:color="auto"/>
                            <w:bottom w:val="none" w:sz="0" w:space="0" w:color="auto"/>
                            <w:right w:val="none" w:sz="0" w:space="0" w:color="auto"/>
                          </w:divBdr>
                          <w:divsChild>
                            <w:div w:id="569197322">
                              <w:marLeft w:val="0"/>
                              <w:marRight w:val="0"/>
                              <w:marTop w:val="0"/>
                              <w:marBottom w:val="0"/>
                              <w:divBdr>
                                <w:top w:val="none" w:sz="0" w:space="0" w:color="auto"/>
                                <w:left w:val="none" w:sz="0" w:space="0" w:color="auto"/>
                                <w:bottom w:val="none" w:sz="0" w:space="0" w:color="auto"/>
                                <w:right w:val="none" w:sz="0" w:space="0" w:color="auto"/>
                              </w:divBdr>
                              <w:divsChild>
                                <w:div w:id="523445181">
                                  <w:marLeft w:val="0"/>
                                  <w:marRight w:val="0"/>
                                  <w:marTop w:val="0"/>
                                  <w:marBottom w:val="0"/>
                                  <w:divBdr>
                                    <w:top w:val="none" w:sz="0" w:space="0" w:color="auto"/>
                                    <w:left w:val="none" w:sz="0" w:space="0" w:color="auto"/>
                                    <w:bottom w:val="none" w:sz="0" w:space="0" w:color="auto"/>
                                    <w:right w:val="none" w:sz="0" w:space="0" w:color="auto"/>
                                  </w:divBdr>
                                  <w:divsChild>
                                    <w:div w:id="1700273271">
                                      <w:marLeft w:val="0"/>
                                      <w:marRight w:val="0"/>
                                      <w:marTop w:val="0"/>
                                      <w:marBottom w:val="0"/>
                                      <w:divBdr>
                                        <w:top w:val="none" w:sz="0" w:space="0" w:color="auto"/>
                                        <w:left w:val="none" w:sz="0" w:space="0" w:color="auto"/>
                                        <w:bottom w:val="none" w:sz="0" w:space="0" w:color="auto"/>
                                        <w:right w:val="none" w:sz="0" w:space="0" w:color="auto"/>
                                      </w:divBdr>
                                      <w:divsChild>
                                        <w:div w:id="965087676">
                                          <w:marLeft w:val="1200"/>
                                          <w:marRight w:val="1200"/>
                                          <w:marTop w:val="0"/>
                                          <w:marBottom w:val="0"/>
                                          <w:divBdr>
                                            <w:top w:val="none" w:sz="0" w:space="0" w:color="auto"/>
                                            <w:left w:val="none" w:sz="0" w:space="0" w:color="auto"/>
                                            <w:bottom w:val="none" w:sz="0" w:space="0" w:color="auto"/>
                                            <w:right w:val="none" w:sz="0" w:space="0" w:color="auto"/>
                                          </w:divBdr>
                                          <w:divsChild>
                                            <w:div w:id="1245413133">
                                              <w:marLeft w:val="0"/>
                                              <w:marRight w:val="0"/>
                                              <w:marTop w:val="0"/>
                                              <w:marBottom w:val="0"/>
                                              <w:divBdr>
                                                <w:top w:val="none" w:sz="0" w:space="0" w:color="auto"/>
                                                <w:left w:val="none" w:sz="0" w:space="0" w:color="auto"/>
                                                <w:bottom w:val="none" w:sz="0" w:space="0" w:color="auto"/>
                                                <w:right w:val="none" w:sz="0" w:space="0" w:color="auto"/>
                                              </w:divBdr>
                                              <w:divsChild>
                                                <w:div w:id="77290935">
                                                  <w:marLeft w:val="0"/>
                                                  <w:marRight w:val="0"/>
                                                  <w:marTop w:val="0"/>
                                                  <w:marBottom w:val="0"/>
                                                  <w:divBdr>
                                                    <w:top w:val="none" w:sz="0" w:space="0" w:color="auto"/>
                                                    <w:left w:val="none" w:sz="0" w:space="0" w:color="auto"/>
                                                    <w:bottom w:val="none" w:sz="0" w:space="0" w:color="auto"/>
                                                    <w:right w:val="none" w:sz="0" w:space="0" w:color="auto"/>
                                                  </w:divBdr>
                                                  <w:divsChild>
                                                    <w:div w:id="278684537">
                                                      <w:marLeft w:val="0"/>
                                                      <w:marRight w:val="0"/>
                                                      <w:marTop w:val="0"/>
                                                      <w:marBottom w:val="0"/>
                                                      <w:divBdr>
                                                        <w:top w:val="none" w:sz="0" w:space="0" w:color="auto"/>
                                                        <w:left w:val="none" w:sz="0" w:space="0" w:color="auto"/>
                                                        <w:bottom w:val="none" w:sz="0" w:space="0" w:color="auto"/>
                                                        <w:right w:val="none" w:sz="0" w:space="0" w:color="auto"/>
                                                      </w:divBdr>
                                                      <w:divsChild>
                                                        <w:div w:id="2026511739">
                                                          <w:marLeft w:val="0"/>
                                                          <w:marRight w:val="0"/>
                                                          <w:marTop w:val="0"/>
                                                          <w:marBottom w:val="0"/>
                                                          <w:divBdr>
                                                            <w:top w:val="none" w:sz="0" w:space="0" w:color="auto"/>
                                                            <w:left w:val="none" w:sz="0" w:space="0" w:color="auto"/>
                                                            <w:bottom w:val="none" w:sz="0" w:space="0" w:color="auto"/>
                                                            <w:right w:val="none" w:sz="0" w:space="0" w:color="auto"/>
                                                          </w:divBdr>
                                                        </w:div>
                                                      </w:divsChild>
                                                    </w:div>
                                                    <w:div w:id="360711288">
                                                      <w:marLeft w:val="0"/>
                                                      <w:marRight w:val="0"/>
                                                      <w:marTop w:val="0"/>
                                                      <w:marBottom w:val="0"/>
                                                      <w:divBdr>
                                                        <w:top w:val="none" w:sz="0" w:space="0" w:color="auto"/>
                                                        <w:left w:val="none" w:sz="0" w:space="0" w:color="auto"/>
                                                        <w:bottom w:val="none" w:sz="0" w:space="0" w:color="auto"/>
                                                        <w:right w:val="none" w:sz="0" w:space="0" w:color="auto"/>
                                                      </w:divBdr>
                                                      <w:divsChild>
                                                        <w:div w:id="329255724">
                                                          <w:marLeft w:val="0"/>
                                                          <w:marRight w:val="0"/>
                                                          <w:marTop w:val="0"/>
                                                          <w:marBottom w:val="0"/>
                                                          <w:divBdr>
                                                            <w:top w:val="none" w:sz="0" w:space="0" w:color="auto"/>
                                                            <w:left w:val="none" w:sz="0" w:space="0" w:color="auto"/>
                                                            <w:bottom w:val="none" w:sz="0" w:space="0" w:color="auto"/>
                                                            <w:right w:val="none" w:sz="0" w:space="0" w:color="auto"/>
                                                          </w:divBdr>
                                                          <w:divsChild>
                                                            <w:div w:id="10242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2382206">
      <w:bodyDiv w:val="1"/>
      <w:marLeft w:val="0"/>
      <w:marRight w:val="0"/>
      <w:marTop w:val="0"/>
      <w:marBottom w:val="0"/>
      <w:divBdr>
        <w:top w:val="none" w:sz="0" w:space="0" w:color="auto"/>
        <w:left w:val="none" w:sz="0" w:space="0" w:color="auto"/>
        <w:bottom w:val="none" w:sz="0" w:space="0" w:color="auto"/>
        <w:right w:val="none" w:sz="0" w:space="0" w:color="auto"/>
      </w:divBdr>
      <w:divsChild>
        <w:div w:id="1554345991">
          <w:marLeft w:val="0"/>
          <w:marRight w:val="0"/>
          <w:marTop w:val="0"/>
          <w:marBottom w:val="0"/>
          <w:divBdr>
            <w:top w:val="none" w:sz="0" w:space="0" w:color="auto"/>
            <w:left w:val="single" w:sz="6" w:space="0" w:color="BBBBBB"/>
            <w:bottom w:val="single" w:sz="6" w:space="0" w:color="BBBBBB"/>
            <w:right w:val="single" w:sz="6" w:space="0" w:color="BBBBBB"/>
          </w:divBdr>
          <w:divsChild>
            <w:div w:id="1321229080">
              <w:marLeft w:val="0"/>
              <w:marRight w:val="0"/>
              <w:marTop w:val="0"/>
              <w:marBottom w:val="0"/>
              <w:divBdr>
                <w:top w:val="none" w:sz="0" w:space="0" w:color="auto"/>
                <w:left w:val="none" w:sz="0" w:space="0" w:color="auto"/>
                <w:bottom w:val="none" w:sz="0" w:space="0" w:color="auto"/>
                <w:right w:val="none" w:sz="0" w:space="0" w:color="auto"/>
              </w:divBdr>
              <w:divsChild>
                <w:div w:id="192966532">
                  <w:marLeft w:val="0"/>
                  <w:marRight w:val="0"/>
                  <w:marTop w:val="75"/>
                  <w:marBottom w:val="0"/>
                  <w:divBdr>
                    <w:top w:val="none" w:sz="0" w:space="0" w:color="auto"/>
                    <w:left w:val="none" w:sz="0" w:space="0" w:color="auto"/>
                    <w:bottom w:val="none" w:sz="0" w:space="0" w:color="auto"/>
                    <w:right w:val="none" w:sz="0" w:space="0" w:color="auto"/>
                  </w:divBdr>
                  <w:divsChild>
                    <w:div w:id="122582778">
                      <w:marLeft w:val="0"/>
                      <w:marRight w:val="0"/>
                      <w:marTop w:val="0"/>
                      <w:marBottom w:val="0"/>
                      <w:divBdr>
                        <w:top w:val="none" w:sz="0" w:space="0" w:color="auto"/>
                        <w:left w:val="none" w:sz="0" w:space="0" w:color="auto"/>
                        <w:bottom w:val="none" w:sz="0" w:space="0" w:color="auto"/>
                        <w:right w:val="none" w:sz="0" w:space="0" w:color="auto"/>
                      </w:divBdr>
                      <w:divsChild>
                        <w:div w:id="1930843262">
                          <w:marLeft w:val="0"/>
                          <w:marRight w:val="0"/>
                          <w:marTop w:val="0"/>
                          <w:marBottom w:val="0"/>
                          <w:divBdr>
                            <w:top w:val="none" w:sz="0" w:space="0" w:color="auto"/>
                            <w:left w:val="none" w:sz="0" w:space="0" w:color="auto"/>
                            <w:bottom w:val="none" w:sz="0" w:space="0" w:color="auto"/>
                            <w:right w:val="none" w:sz="0" w:space="0" w:color="auto"/>
                          </w:divBdr>
                          <w:divsChild>
                            <w:div w:id="804547785">
                              <w:marLeft w:val="0"/>
                              <w:marRight w:val="0"/>
                              <w:marTop w:val="0"/>
                              <w:marBottom w:val="0"/>
                              <w:divBdr>
                                <w:top w:val="none" w:sz="0" w:space="0" w:color="auto"/>
                                <w:left w:val="none" w:sz="0" w:space="0" w:color="auto"/>
                                <w:bottom w:val="none" w:sz="0" w:space="0" w:color="auto"/>
                                <w:right w:val="none" w:sz="0" w:space="0" w:color="auto"/>
                              </w:divBdr>
                              <w:divsChild>
                                <w:div w:id="922493765">
                                  <w:marLeft w:val="0"/>
                                  <w:marRight w:val="0"/>
                                  <w:marTop w:val="0"/>
                                  <w:marBottom w:val="0"/>
                                  <w:divBdr>
                                    <w:top w:val="none" w:sz="0" w:space="0" w:color="auto"/>
                                    <w:left w:val="none" w:sz="0" w:space="0" w:color="auto"/>
                                    <w:bottom w:val="none" w:sz="0" w:space="0" w:color="auto"/>
                                    <w:right w:val="none" w:sz="0" w:space="0" w:color="auto"/>
                                  </w:divBdr>
                                  <w:divsChild>
                                    <w:div w:id="1362047288">
                                      <w:marLeft w:val="0"/>
                                      <w:marRight w:val="0"/>
                                      <w:marTop w:val="0"/>
                                      <w:marBottom w:val="0"/>
                                      <w:divBdr>
                                        <w:top w:val="none" w:sz="0" w:space="0" w:color="auto"/>
                                        <w:left w:val="none" w:sz="0" w:space="0" w:color="auto"/>
                                        <w:bottom w:val="none" w:sz="0" w:space="0" w:color="auto"/>
                                        <w:right w:val="none" w:sz="0" w:space="0" w:color="auto"/>
                                      </w:divBdr>
                                      <w:divsChild>
                                        <w:div w:id="177700451">
                                          <w:marLeft w:val="1200"/>
                                          <w:marRight w:val="1200"/>
                                          <w:marTop w:val="0"/>
                                          <w:marBottom w:val="0"/>
                                          <w:divBdr>
                                            <w:top w:val="none" w:sz="0" w:space="0" w:color="auto"/>
                                            <w:left w:val="none" w:sz="0" w:space="0" w:color="auto"/>
                                            <w:bottom w:val="none" w:sz="0" w:space="0" w:color="auto"/>
                                            <w:right w:val="none" w:sz="0" w:space="0" w:color="auto"/>
                                          </w:divBdr>
                                          <w:divsChild>
                                            <w:div w:id="591476483">
                                              <w:marLeft w:val="0"/>
                                              <w:marRight w:val="0"/>
                                              <w:marTop w:val="0"/>
                                              <w:marBottom w:val="0"/>
                                              <w:divBdr>
                                                <w:top w:val="none" w:sz="0" w:space="0" w:color="auto"/>
                                                <w:left w:val="none" w:sz="0" w:space="0" w:color="auto"/>
                                                <w:bottom w:val="none" w:sz="0" w:space="0" w:color="auto"/>
                                                <w:right w:val="none" w:sz="0" w:space="0" w:color="auto"/>
                                              </w:divBdr>
                                              <w:divsChild>
                                                <w:div w:id="1033655930">
                                                  <w:marLeft w:val="0"/>
                                                  <w:marRight w:val="0"/>
                                                  <w:marTop w:val="0"/>
                                                  <w:marBottom w:val="0"/>
                                                  <w:divBdr>
                                                    <w:top w:val="none" w:sz="0" w:space="0" w:color="auto"/>
                                                    <w:left w:val="none" w:sz="0" w:space="0" w:color="auto"/>
                                                    <w:bottom w:val="none" w:sz="0" w:space="0" w:color="auto"/>
                                                    <w:right w:val="none" w:sz="0" w:space="0" w:color="auto"/>
                                                  </w:divBdr>
                                                  <w:divsChild>
                                                    <w:div w:id="37777371">
                                                      <w:marLeft w:val="0"/>
                                                      <w:marRight w:val="0"/>
                                                      <w:marTop w:val="0"/>
                                                      <w:marBottom w:val="0"/>
                                                      <w:divBdr>
                                                        <w:top w:val="none" w:sz="0" w:space="0" w:color="auto"/>
                                                        <w:left w:val="none" w:sz="0" w:space="0" w:color="auto"/>
                                                        <w:bottom w:val="none" w:sz="0" w:space="0" w:color="auto"/>
                                                        <w:right w:val="none" w:sz="0" w:space="0" w:color="auto"/>
                                                      </w:divBdr>
                                                      <w:divsChild>
                                                        <w:div w:id="406923036">
                                                          <w:marLeft w:val="0"/>
                                                          <w:marRight w:val="0"/>
                                                          <w:marTop w:val="0"/>
                                                          <w:marBottom w:val="0"/>
                                                          <w:divBdr>
                                                            <w:top w:val="none" w:sz="0" w:space="0" w:color="auto"/>
                                                            <w:left w:val="none" w:sz="0" w:space="0" w:color="auto"/>
                                                            <w:bottom w:val="none" w:sz="0" w:space="0" w:color="auto"/>
                                                            <w:right w:val="none" w:sz="0" w:space="0" w:color="auto"/>
                                                          </w:divBdr>
                                                          <w:divsChild>
                                                            <w:div w:id="1669283814">
                                                              <w:marLeft w:val="0"/>
                                                              <w:marRight w:val="0"/>
                                                              <w:marTop w:val="0"/>
                                                              <w:marBottom w:val="0"/>
                                                              <w:divBdr>
                                                                <w:top w:val="none" w:sz="0" w:space="0" w:color="auto"/>
                                                                <w:left w:val="none" w:sz="0" w:space="0" w:color="auto"/>
                                                                <w:bottom w:val="none" w:sz="0" w:space="0" w:color="auto"/>
                                                                <w:right w:val="none" w:sz="0" w:space="0" w:color="auto"/>
                                                              </w:divBdr>
                                                              <w:divsChild>
                                                                <w:div w:id="1776825504">
                                                                  <w:marLeft w:val="0"/>
                                                                  <w:marRight w:val="0"/>
                                                                  <w:marTop w:val="0"/>
                                                                  <w:marBottom w:val="0"/>
                                                                  <w:divBdr>
                                                                    <w:top w:val="none" w:sz="0" w:space="0" w:color="auto"/>
                                                                    <w:left w:val="none" w:sz="0" w:space="0" w:color="auto"/>
                                                                    <w:bottom w:val="none" w:sz="0" w:space="0" w:color="auto"/>
                                                                    <w:right w:val="none" w:sz="0" w:space="0" w:color="auto"/>
                                                                  </w:divBdr>
                                                                  <w:divsChild>
                                                                    <w:div w:id="13955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40342">
                                                              <w:marLeft w:val="0"/>
                                                              <w:marRight w:val="0"/>
                                                              <w:marTop w:val="0"/>
                                                              <w:marBottom w:val="0"/>
                                                              <w:divBdr>
                                                                <w:top w:val="none" w:sz="0" w:space="0" w:color="auto"/>
                                                                <w:left w:val="none" w:sz="0" w:space="0" w:color="auto"/>
                                                                <w:bottom w:val="none" w:sz="0" w:space="0" w:color="auto"/>
                                                                <w:right w:val="none" w:sz="0" w:space="0" w:color="auto"/>
                                                              </w:divBdr>
                                                              <w:divsChild>
                                                                <w:div w:id="1727870201">
                                                                  <w:marLeft w:val="0"/>
                                                                  <w:marRight w:val="0"/>
                                                                  <w:marTop w:val="0"/>
                                                                  <w:marBottom w:val="0"/>
                                                                  <w:divBdr>
                                                                    <w:top w:val="none" w:sz="0" w:space="0" w:color="auto"/>
                                                                    <w:left w:val="none" w:sz="0" w:space="0" w:color="auto"/>
                                                                    <w:bottom w:val="none" w:sz="0" w:space="0" w:color="auto"/>
                                                                    <w:right w:val="none" w:sz="0" w:space="0" w:color="auto"/>
                                                                  </w:divBdr>
                                                                  <w:divsChild>
                                                                    <w:div w:id="209546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8569">
                                                              <w:marLeft w:val="0"/>
                                                              <w:marRight w:val="0"/>
                                                              <w:marTop w:val="0"/>
                                                              <w:marBottom w:val="0"/>
                                                              <w:divBdr>
                                                                <w:top w:val="none" w:sz="0" w:space="0" w:color="auto"/>
                                                                <w:left w:val="none" w:sz="0" w:space="0" w:color="auto"/>
                                                                <w:bottom w:val="none" w:sz="0" w:space="0" w:color="auto"/>
                                                                <w:right w:val="none" w:sz="0" w:space="0" w:color="auto"/>
                                                              </w:divBdr>
                                                              <w:divsChild>
                                                                <w:div w:id="1176263177">
                                                                  <w:marLeft w:val="0"/>
                                                                  <w:marRight w:val="0"/>
                                                                  <w:marTop w:val="0"/>
                                                                  <w:marBottom w:val="0"/>
                                                                  <w:divBdr>
                                                                    <w:top w:val="none" w:sz="0" w:space="0" w:color="auto"/>
                                                                    <w:left w:val="none" w:sz="0" w:space="0" w:color="auto"/>
                                                                    <w:bottom w:val="none" w:sz="0" w:space="0" w:color="auto"/>
                                                                    <w:right w:val="none" w:sz="0" w:space="0" w:color="auto"/>
                                                                  </w:divBdr>
                                                                  <w:divsChild>
                                                                    <w:div w:id="2301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CD589-7F52-42C1-9B6A-BC92C4ACE530}">
  <ds:schemaRefs>
    <ds:schemaRef ds:uri="http://schemas.microsoft.com/sharepoint/v3/contenttype/forms"/>
  </ds:schemaRefs>
</ds:datastoreItem>
</file>

<file path=customXml/itemProps2.xml><?xml version="1.0" encoding="utf-8"?>
<ds:datastoreItem xmlns:ds="http://schemas.openxmlformats.org/officeDocument/2006/customXml" ds:itemID="{34057B87-1896-42BE-8437-B5AA03349AD4}">
  <ds:schemaRefs>
    <ds:schemaRef ds:uri="http://schemas.openxmlformats.org/officeDocument/2006/bibliography"/>
  </ds:schemaRefs>
</ds:datastoreItem>
</file>

<file path=customXml/itemProps3.xml><?xml version="1.0" encoding="utf-8"?>
<ds:datastoreItem xmlns:ds="http://schemas.openxmlformats.org/officeDocument/2006/customXml" ds:itemID="{75CE7109-6312-4E6A-A036-E6B3D9B92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4C34C-67B9-472C-8E43-DE9157509D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5944</Words>
  <Characters>33883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Reside, Melissa</cp:lastModifiedBy>
  <cp:revision>5</cp:revision>
  <cp:lastPrinted>2020-02-26T20:07:00Z</cp:lastPrinted>
  <dcterms:created xsi:type="dcterms:W3CDTF">2020-08-14T20:09:00Z</dcterms:created>
  <dcterms:modified xsi:type="dcterms:W3CDTF">2020-08-20T11:35:00Z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