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14:paraId="5FAB4E78" w14:textId="77777777" w:rsidTr="00991607">
        <w:trPr>
          <w:cantSplit/>
          <w:trHeight w:hRule="exact" w:val="1296"/>
          <w:jc w:val="center"/>
        </w:trPr>
        <w:tc>
          <w:tcPr>
            <w:tcW w:w="1610" w:type="dxa"/>
          </w:tcPr>
          <w:p w14:paraId="1C77302E" w14:textId="77777777"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6F1F46AC" wp14:editId="1DE7160B">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23800D49" w14:textId="77777777" w:rsidR="00C9644C" w:rsidRPr="00C9644C" w:rsidRDefault="00C9644C" w:rsidP="00991607">
            <w:pPr>
              <w:suppressAutoHyphens/>
              <w:jc w:val="center"/>
              <w:rPr>
                <w:rFonts w:ascii="Arial" w:hAnsi="Arial"/>
                <w:color w:val="000080"/>
                <w:sz w:val="26"/>
                <w:szCs w:val="26"/>
              </w:rPr>
            </w:pPr>
            <w:r>
              <w:rPr>
                <w:rFonts w:ascii="Arial" w:hAnsi="Arial"/>
                <w:color w:val="000080"/>
                <w:sz w:val="26"/>
                <w:szCs w:val="26"/>
              </w:rPr>
              <w:t>COMMONWEALTH OF PENNSYLVANIA</w:t>
            </w:r>
          </w:p>
          <w:p w14:paraId="028A6252" w14:textId="77777777" w:rsidR="00991607" w:rsidRPr="00C9644C" w:rsidRDefault="00C9644C" w:rsidP="00991607">
            <w:pPr>
              <w:suppressAutoHyphens/>
              <w:jc w:val="center"/>
              <w:rPr>
                <w:rFonts w:ascii="Arial" w:hAnsi="Arial"/>
                <w:color w:val="000080"/>
                <w:sz w:val="26"/>
                <w:szCs w:val="26"/>
              </w:rPr>
            </w:pPr>
            <w:r>
              <w:rPr>
                <w:rFonts w:ascii="Arial" w:hAnsi="Arial"/>
                <w:color w:val="000080"/>
                <w:sz w:val="26"/>
                <w:szCs w:val="26"/>
              </w:rPr>
              <w:t xml:space="preserve">PENNSYLVANIA </w:t>
            </w:r>
            <w:r w:rsidR="00991607" w:rsidRPr="00C9644C">
              <w:rPr>
                <w:rFonts w:ascii="Arial" w:hAnsi="Arial"/>
                <w:color w:val="000080"/>
                <w:sz w:val="26"/>
                <w:szCs w:val="26"/>
              </w:rPr>
              <w:t>P</w:t>
            </w:r>
            <w:r>
              <w:rPr>
                <w:rFonts w:ascii="Arial" w:hAnsi="Arial"/>
                <w:color w:val="000080"/>
                <w:sz w:val="26"/>
                <w:szCs w:val="26"/>
              </w:rPr>
              <w:t>UBLIC UTILITY COMMISSION</w:t>
            </w:r>
          </w:p>
          <w:p w14:paraId="11EA8B21" w14:textId="77777777" w:rsidR="00991607" w:rsidRPr="00C9644C" w:rsidRDefault="00991607" w:rsidP="00991607">
            <w:pPr>
              <w:suppressAutoHyphens/>
              <w:jc w:val="center"/>
              <w:rPr>
                <w:rFonts w:ascii="Arial" w:hAnsi="Arial"/>
                <w:color w:val="000080"/>
                <w:sz w:val="26"/>
                <w:szCs w:val="26"/>
              </w:rPr>
            </w:pPr>
            <w:r w:rsidRPr="00C9644C">
              <w:rPr>
                <w:rFonts w:ascii="Arial" w:hAnsi="Arial"/>
                <w:color w:val="000080"/>
                <w:sz w:val="26"/>
                <w:szCs w:val="26"/>
              </w:rPr>
              <w:t>400 N</w:t>
            </w:r>
            <w:r w:rsidR="00C9644C">
              <w:rPr>
                <w:rFonts w:ascii="Arial" w:hAnsi="Arial"/>
                <w:color w:val="000080"/>
                <w:sz w:val="26"/>
                <w:szCs w:val="26"/>
              </w:rPr>
              <w:t>ORTH STREET, HARRISBURG, PA  17120</w:t>
            </w:r>
          </w:p>
          <w:p w14:paraId="6DE83253" w14:textId="77777777" w:rsidR="000559DC" w:rsidRDefault="000559DC" w:rsidP="00991607">
            <w:pPr>
              <w:jc w:val="center"/>
              <w:rPr>
                <w:rFonts w:ascii="Arial" w:hAnsi="Arial"/>
                <w:sz w:val="12"/>
              </w:rPr>
            </w:pPr>
          </w:p>
        </w:tc>
        <w:tc>
          <w:tcPr>
            <w:tcW w:w="1609" w:type="dxa"/>
            <w:vAlign w:val="center"/>
          </w:tcPr>
          <w:p w14:paraId="7FDF99FA" w14:textId="77777777" w:rsidR="00991607" w:rsidRDefault="00991607" w:rsidP="00991607">
            <w:pPr>
              <w:jc w:val="center"/>
              <w:rPr>
                <w:rFonts w:ascii="Arial" w:hAnsi="Arial"/>
                <w:sz w:val="12"/>
              </w:rPr>
            </w:pPr>
          </w:p>
          <w:p w14:paraId="40230787" w14:textId="77777777" w:rsidR="00991607" w:rsidRDefault="00991607" w:rsidP="00991607">
            <w:pPr>
              <w:jc w:val="center"/>
              <w:rPr>
                <w:rFonts w:ascii="Arial" w:hAnsi="Arial"/>
                <w:sz w:val="12"/>
              </w:rPr>
            </w:pPr>
          </w:p>
          <w:p w14:paraId="1AE49BB0" w14:textId="77777777" w:rsidR="00991607" w:rsidRDefault="00991607" w:rsidP="00991607">
            <w:pPr>
              <w:jc w:val="center"/>
              <w:rPr>
                <w:rFonts w:ascii="Arial" w:hAnsi="Arial"/>
                <w:sz w:val="12"/>
              </w:rPr>
            </w:pPr>
          </w:p>
          <w:p w14:paraId="4F357A04" w14:textId="77777777" w:rsidR="00991607" w:rsidRDefault="00991607" w:rsidP="00991607">
            <w:pPr>
              <w:jc w:val="center"/>
              <w:rPr>
                <w:rFonts w:ascii="Arial" w:hAnsi="Arial"/>
                <w:sz w:val="12"/>
              </w:rPr>
            </w:pPr>
          </w:p>
          <w:p w14:paraId="5196C571" w14:textId="77777777" w:rsidR="00991607" w:rsidRDefault="00991607" w:rsidP="00991607">
            <w:pPr>
              <w:jc w:val="center"/>
              <w:rPr>
                <w:rFonts w:ascii="Arial" w:hAnsi="Arial"/>
                <w:sz w:val="12"/>
              </w:rPr>
            </w:pPr>
          </w:p>
          <w:p w14:paraId="20215FA9" w14:textId="77777777" w:rsidR="00991607" w:rsidRDefault="00991607" w:rsidP="00991607">
            <w:pPr>
              <w:jc w:val="center"/>
              <w:rPr>
                <w:rFonts w:ascii="Arial" w:hAnsi="Arial"/>
                <w:sz w:val="12"/>
              </w:rPr>
            </w:pPr>
          </w:p>
          <w:p w14:paraId="3B5FA78B" w14:textId="77777777"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14:paraId="49EE3CAA" w14:textId="131DE312" w:rsidR="00722527" w:rsidRDefault="00AD702D" w:rsidP="00722527">
      <w:pPr>
        <w:jc w:val="center"/>
        <w:rPr>
          <w:color w:val="000000" w:themeColor="text1"/>
          <w:sz w:val="26"/>
          <w:szCs w:val="26"/>
        </w:rPr>
      </w:pPr>
      <w:r>
        <w:rPr>
          <w:color w:val="000000" w:themeColor="text1"/>
          <w:sz w:val="26"/>
          <w:szCs w:val="26"/>
        </w:rPr>
        <w:t>August 25, 2020</w:t>
      </w:r>
    </w:p>
    <w:p w14:paraId="02D1DABD" w14:textId="77777777" w:rsidR="00DD3AE5" w:rsidRDefault="00DD3AE5" w:rsidP="00B91634">
      <w:pPr>
        <w:jc w:val="right"/>
        <w:rPr>
          <w:color w:val="000000" w:themeColor="text1"/>
          <w:sz w:val="26"/>
          <w:szCs w:val="26"/>
        </w:rPr>
      </w:pPr>
    </w:p>
    <w:p w14:paraId="7F87C256" w14:textId="77777777" w:rsidR="00417A22" w:rsidRPr="00417A22" w:rsidRDefault="00417A22" w:rsidP="00417A22">
      <w:pPr>
        <w:jc w:val="right"/>
        <w:rPr>
          <w:sz w:val="26"/>
          <w:szCs w:val="26"/>
        </w:rPr>
      </w:pPr>
      <w:r w:rsidRPr="00417A22">
        <w:rPr>
          <w:sz w:val="26"/>
          <w:szCs w:val="26"/>
        </w:rPr>
        <w:t>A-2020-3020132; A-2020-3020133; A-2020-3020134</w:t>
      </w:r>
    </w:p>
    <w:p w14:paraId="16375ECC" w14:textId="77777777" w:rsidR="00417A22" w:rsidRPr="00417A22" w:rsidRDefault="00417A22" w:rsidP="00417A22">
      <w:pPr>
        <w:jc w:val="right"/>
        <w:rPr>
          <w:sz w:val="26"/>
          <w:szCs w:val="26"/>
        </w:rPr>
      </w:pPr>
      <w:r w:rsidRPr="00417A22">
        <w:rPr>
          <w:sz w:val="26"/>
          <w:szCs w:val="26"/>
        </w:rPr>
        <w:t>A-2020-3020135; A-2020-3020136; A-2020-3020137</w:t>
      </w:r>
    </w:p>
    <w:p w14:paraId="653C6DD5" w14:textId="77777777" w:rsidR="00417A22" w:rsidRPr="00417A22" w:rsidRDefault="00417A22" w:rsidP="00417A22">
      <w:pPr>
        <w:jc w:val="right"/>
        <w:rPr>
          <w:sz w:val="26"/>
          <w:szCs w:val="26"/>
        </w:rPr>
      </w:pPr>
      <w:r w:rsidRPr="00417A22">
        <w:rPr>
          <w:sz w:val="26"/>
          <w:szCs w:val="26"/>
        </w:rPr>
        <w:t>A-2020-3020138; A-2020-3020139; A-2020-3020140</w:t>
      </w:r>
    </w:p>
    <w:p w14:paraId="5A4E6748" w14:textId="77777777" w:rsidR="00417A22" w:rsidRPr="00417A22" w:rsidRDefault="00417A22" w:rsidP="00417A22">
      <w:pPr>
        <w:jc w:val="right"/>
        <w:rPr>
          <w:sz w:val="26"/>
          <w:szCs w:val="26"/>
        </w:rPr>
      </w:pPr>
      <w:r w:rsidRPr="00417A22">
        <w:rPr>
          <w:sz w:val="26"/>
          <w:szCs w:val="26"/>
        </w:rPr>
        <w:t>A-2020-3020141; A-2020-3020142; A-2020-3020143</w:t>
      </w:r>
    </w:p>
    <w:p w14:paraId="0CDD2C5F" w14:textId="77777777" w:rsidR="00417A22" w:rsidRPr="00417A22" w:rsidRDefault="00417A22" w:rsidP="00417A22">
      <w:pPr>
        <w:jc w:val="right"/>
        <w:rPr>
          <w:sz w:val="26"/>
          <w:szCs w:val="26"/>
        </w:rPr>
      </w:pPr>
      <w:r w:rsidRPr="00417A22">
        <w:rPr>
          <w:sz w:val="26"/>
          <w:szCs w:val="26"/>
        </w:rPr>
        <w:t>A-2020-3020145; A-2020-3020146; A-2020-3020147</w:t>
      </w:r>
    </w:p>
    <w:p w14:paraId="1BFBEB9E" w14:textId="77777777" w:rsidR="00417A22" w:rsidRPr="00417A22" w:rsidRDefault="00417A22" w:rsidP="00417A22">
      <w:pPr>
        <w:jc w:val="right"/>
        <w:rPr>
          <w:sz w:val="26"/>
          <w:szCs w:val="26"/>
        </w:rPr>
      </w:pPr>
      <w:r w:rsidRPr="00417A22">
        <w:rPr>
          <w:sz w:val="26"/>
          <w:szCs w:val="26"/>
        </w:rPr>
        <w:t>A-2020-3020148; A-2020-3020149; A-2020-3020151</w:t>
      </w:r>
    </w:p>
    <w:p w14:paraId="2A8ABB3B" w14:textId="77777777" w:rsidR="00417A22" w:rsidRPr="00417A22" w:rsidRDefault="00417A22" w:rsidP="00417A22">
      <w:pPr>
        <w:jc w:val="right"/>
        <w:rPr>
          <w:sz w:val="26"/>
          <w:szCs w:val="26"/>
        </w:rPr>
      </w:pPr>
      <w:r w:rsidRPr="00417A22">
        <w:rPr>
          <w:sz w:val="26"/>
          <w:szCs w:val="26"/>
        </w:rPr>
        <w:t>A-2020-3020152; A-2020-3020153; A-2020-3020154</w:t>
      </w:r>
    </w:p>
    <w:p w14:paraId="273D8E11" w14:textId="77777777" w:rsidR="00417A22" w:rsidRPr="00417A22" w:rsidRDefault="00417A22" w:rsidP="00417A22">
      <w:pPr>
        <w:jc w:val="right"/>
        <w:rPr>
          <w:sz w:val="26"/>
          <w:szCs w:val="26"/>
        </w:rPr>
      </w:pPr>
      <w:r w:rsidRPr="00417A22">
        <w:rPr>
          <w:sz w:val="26"/>
          <w:szCs w:val="26"/>
        </w:rPr>
        <w:t>A-2020-3020155; A-2020-3020156; A-2020-3020157</w:t>
      </w:r>
    </w:p>
    <w:p w14:paraId="7F7FEE86" w14:textId="77777777" w:rsidR="00417A22" w:rsidRPr="00417A22" w:rsidRDefault="00417A22" w:rsidP="00417A22">
      <w:pPr>
        <w:jc w:val="right"/>
        <w:rPr>
          <w:sz w:val="26"/>
          <w:szCs w:val="26"/>
        </w:rPr>
      </w:pPr>
      <w:r w:rsidRPr="00417A22">
        <w:rPr>
          <w:sz w:val="26"/>
          <w:szCs w:val="26"/>
        </w:rPr>
        <w:t>A-2020-3020158; A-2020-3020159; A-2020-3020160</w:t>
      </w:r>
    </w:p>
    <w:p w14:paraId="69EE8E67" w14:textId="77777777" w:rsidR="00417A22" w:rsidRPr="00417A22" w:rsidRDefault="00417A22" w:rsidP="00417A22">
      <w:pPr>
        <w:tabs>
          <w:tab w:val="left" w:pos="5040"/>
        </w:tabs>
        <w:jc w:val="right"/>
        <w:rPr>
          <w:sz w:val="26"/>
          <w:szCs w:val="26"/>
        </w:rPr>
      </w:pPr>
      <w:r w:rsidRPr="00417A22">
        <w:rPr>
          <w:sz w:val="26"/>
          <w:szCs w:val="26"/>
        </w:rPr>
        <w:t>A-2020-3020161; A-2020-3020162; A-2020-3020164</w:t>
      </w:r>
    </w:p>
    <w:p w14:paraId="095D59C6" w14:textId="77777777" w:rsidR="00D7448C" w:rsidRDefault="00D7448C" w:rsidP="00B91634">
      <w:pPr>
        <w:jc w:val="right"/>
        <w:rPr>
          <w:color w:val="000000" w:themeColor="text1"/>
          <w:sz w:val="26"/>
          <w:szCs w:val="26"/>
        </w:rPr>
      </w:pPr>
    </w:p>
    <w:p w14:paraId="7A641D5C" w14:textId="654C6A15" w:rsidR="00417A22" w:rsidRDefault="00650B04" w:rsidP="000267A0">
      <w:pPr>
        <w:rPr>
          <w:color w:val="000000" w:themeColor="text1"/>
          <w:sz w:val="26"/>
          <w:szCs w:val="26"/>
        </w:rPr>
      </w:pPr>
      <w:r>
        <w:rPr>
          <w:color w:val="000000" w:themeColor="text1"/>
          <w:sz w:val="26"/>
          <w:szCs w:val="26"/>
        </w:rPr>
        <w:t xml:space="preserve">Thomas T. </w:t>
      </w:r>
      <w:proofErr w:type="spellStart"/>
      <w:r>
        <w:rPr>
          <w:color w:val="000000" w:themeColor="text1"/>
          <w:sz w:val="26"/>
          <w:szCs w:val="26"/>
        </w:rPr>
        <w:t>Niesen</w:t>
      </w:r>
      <w:proofErr w:type="spellEnd"/>
      <w:r>
        <w:rPr>
          <w:color w:val="000000" w:themeColor="text1"/>
          <w:sz w:val="26"/>
          <w:szCs w:val="26"/>
        </w:rPr>
        <w:t>, Esquire</w:t>
      </w:r>
    </w:p>
    <w:p w14:paraId="3F8E82AB" w14:textId="7948954E" w:rsidR="00650B04" w:rsidRDefault="00650B04" w:rsidP="000267A0">
      <w:pPr>
        <w:rPr>
          <w:color w:val="000000" w:themeColor="text1"/>
          <w:sz w:val="26"/>
          <w:szCs w:val="26"/>
        </w:rPr>
      </w:pPr>
      <w:r>
        <w:rPr>
          <w:color w:val="000000" w:themeColor="text1"/>
          <w:sz w:val="26"/>
          <w:szCs w:val="26"/>
        </w:rPr>
        <w:t>Charles E. Thomas, Jr., Esquire</w:t>
      </w:r>
    </w:p>
    <w:p w14:paraId="7094BCB5" w14:textId="3E8BF4C1" w:rsidR="00650B04" w:rsidRDefault="00650B04" w:rsidP="000267A0">
      <w:pPr>
        <w:rPr>
          <w:color w:val="000000" w:themeColor="text1"/>
          <w:sz w:val="26"/>
          <w:szCs w:val="26"/>
        </w:rPr>
      </w:pPr>
      <w:r>
        <w:rPr>
          <w:color w:val="000000" w:themeColor="text1"/>
          <w:sz w:val="26"/>
          <w:szCs w:val="26"/>
        </w:rPr>
        <w:t xml:space="preserve">Thomas, </w:t>
      </w:r>
      <w:proofErr w:type="spellStart"/>
      <w:r>
        <w:rPr>
          <w:color w:val="000000" w:themeColor="text1"/>
          <w:sz w:val="26"/>
          <w:szCs w:val="26"/>
        </w:rPr>
        <w:t>Niesen</w:t>
      </w:r>
      <w:proofErr w:type="spellEnd"/>
      <w:r>
        <w:rPr>
          <w:color w:val="000000" w:themeColor="text1"/>
          <w:sz w:val="26"/>
          <w:szCs w:val="26"/>
        </w:rPr>
        <w:t xml:space="preserve"> &amp; Thomas, LLC</w:t>
      </w:r>
    </w:p>
    <w:p w14:paraId="1A397724" w14:textId="3554A4B5" w:rsidR="00650B04" w:rsidRDefault="00650B04" w:rsidP="000267A0">
      <w:pPr>
        <w:rPr>
          <w:color w:val="000000" w:themeColor="text1"/>
          <w:sz w:val="26"/>
          <w:szCs w:val="26"/>
        </w:rPr>
      </w:pPr>
      <w:r>
        <w:rPr>
          <w:color w:val="000000" w:themeColor="text1"/>
          <w:sz w:val="26"/>
          <w:szCs w:val="26"/>
        </w:rPr>
        <w:t>212 Locust Street, Suite 302</w:t>
      </w:r>
    </w:p>
    <w:p w14:paraId="0B3F9085" w14:textId="00AB05B7" w:rsidR="00650B04" w:rsidRDefault="00650B04" w:rsidP="000267A0">
      <w:pPr>
        <w:rPr>
          <w:color w:val="000000" w:themeColor="text1"/>
          <w:sz w:val="26"/>
          <w:szCs w:val="26"/>
        </w:rPr>
      </w:pPr>
      <w:r>
        <w:rPr>
          <w:color w:val="000000" w:themeColor="text1"/>
          <w:sz w:val="26"/>
          <w:szCs w:val="26"/>
        </w:rPr>
        <w:t>Harrisburg, PA  17101</w:t>
      </w:r>
    </w:p>
    <w:p w14:paraId="3C06E651" w14:textId="6FBE8B0A" w:rsidR="00650B04" w:rsidRDefault="00650B04" w:rsidP="000267A0">
      <w:pPr>
        <w:rPr>
          <w:color w:val="000000" w:themeColor="text1"/>
          <w:sz w:val="26"/>
          <w:szCs w:val="26"/>
        </w:rPr>
      </w:pPr>
    </w:p>
    <w:p w14:paraId="1E6039AC" w14:textId="493F5A4E" w:rsidR="00DD3A29" w:rsidRDefault="000267A0" w:rsidP="00DD3A29">
      <w:pPr>
        <w:ind w:left="720" w:hanging="720"/>
        <w:rPr>
          <w:color w:val="000000" w:themeColor="text1"/>
          <w:sz w:val="26"/>
          <w:szCs w:val="26"/>
        </w:rPr>
      </w:pPr>
      <w:r w:rsidRPr="00DD3A29">
        <w:rPr>
          <w:color w:val="000000" w:themeColor="text1"/>
          <w:sz w:val="26"/>
          <w:szCs w:val="26"/>
        </w:rPr>
        <w:t>Re:</w:t>
      </w:r>
      <w:r w:rsidRPr="00DD3A29">
        <w:rPr>
          <w:color w:val="000000" w:themeColor="text1"/>
          <w:sz w:val="26"/>
          <w:szCs w:val="26"/>
        </w:rPr>
        <w:tab/>
      </w:r>
      <w:r w:rsidR="00DD3A29">
        <w:rPr>
          <w:color w:val="000000" w:themeColor="text1"/>
          <w:sz w:val="26"/>
          <w:szCs w:val="26"/>
        </w:rPr>
        <w:t xml:space="preserve">Joint Application of </w:t>
      </w:r>
      <w:r w:rsidR="00431B3B">
        <w:rPr>
          <w:color w:val="000000" w:themeColor="text1"/>
          <w:sz w:val="26"/>
          <w:szCs w:val="26"/>
        </w:rPr>
        <w:t>Windstream Holdings, Inc.; Windstream Services, LLC; Windstream Pennsylvania LLC; Windstream Buffalo Valley, Inc</w:t>
      </w:r>
      <w:r w:rsidR="00904F27">
        <w:rPr>
          <w:color w:val="000000" w:themeColor="text1"/>
          <w:sz w:val="26"/>
          <w:szCs w:val="26"/>
        </w:rPr>
        <w:t>.</w:t>
      </w:r>
      <w:r w:rsidR="00431B3B">
        <w:rPr>
          <w:color w:val="000000" w:themeColor="text1"/>
          <w:sz w:val="26"/>
          <w:szCs w:val="26"/>
        </w:rPr>
        <w:t xml:space="preserve">; Windstream Conestoga, Inc.; Windstream D&amp;E Inc.; Windstream Communications, Inc.; </w:t>
      </w:r>
      <w:r w:rsidR="00904F27">
        <w:rPr>
          <w:color w:val="000000" w:themeColor="text1"/>
          <w:sz w:val="26"/>
          <w:szCs w:val="26"/>
        </w:rPr>
        <w:t xml:space="preserve">Windstream D&amp;E Systems, Inc.; Windstream KDL, Inc.; </w:t>
      </w:r>
      <w:proofErr w:type="spellStart"/>
      <w:r w:rsidR="00904F27">
        <w:rPr>
          <w:color w:val="000000" w:themeColor="text1"/>
          <w:sz w:val="26"/>
          <w:szCs w:val="26"/>
        </w:rPr>
        <w:t>Intellifiber</w:t>
      </w:r>
      <w:proofErr w:type="spellEnd"/>
      <w:r w:rsidR="00904F27">
        <w:rPr>
          <w:color w:val="000000" w:themeColor="text1"/>
          <w:sz w:val="26"/>
          <w:szCs w:val="26"/>
        </w:rPr>
        <w:t xml:space="preserve"> Networks Inc.; US LEC of Pennsylvania, LLC; Talk America, LLC; PAETEC Communications, Inc.; Choice One Communications of Pennsylvania, Inc. d/b/a EarthLink Business; Cavalier Telephone Mid-Atlantic, LLC; CTC Communications Corp. d/b/a EarthLink Business; </w:t>
      </w:r>
      <w:proofErr w:type="spellStart"/>
      <w:r w:rsidR="00904F27">
        <w:rPr>
          <w:color w:val="000000" w:themeColor="text1"/>
          <w:sz w:val="26"/>
          <w:szCs w:val="26"/>
        </w:rPr>
        <w:t>MassComm</w:t>
      </w:r>
      <w:proofErr w:type="spellEnd"/>
      <w:r w:rsidR="00904F27">
        <w:rPr>
          <w:color w:val="000000" w:themeColor="text1"/>
          <w:sz w:val="26"/>
          <w:szCs w:val="26"/>
        </w:rPr>
        <w:t xml:space="preserve">, LLC; Lightship Telecom d/b/a EarthLink Business, LLC; Eureka Telecom, Inc.; Earthlink Business, LLC; ATX  Licensing, Inc.; Broadview NP Acquisition Corp.; Broadview Networks, Inc.; </w:t>
      </w:r>
      <w:proofErr w:type="spellStart"/>
      <w:r w:rsidR="00904F27">
        <w:rPr>
          <w:color w:val="000000" w:themeColor="text1"/>
          <w:sz w:val="26"/>
          <w:szCs w:val="26"/>
        </w:rPr>
        <w:t>BridgeCom</w:t>
      </w:r>
      <w:proofErr w:type="spellEnd"/>
      <w:r w:rsidR="00904F27">
        <w:rPr>
          <w:color w:val="000000" w:themeColor="text1"/>
          <w:sz w:val="26"/>
          <w:szCs w:val="26"/>
        </w:rPr>
        <w:t xml:space="preserve"> International, Inc.; Business Telecom LLC d/b/a EarthLink Business III; American Tele</w:t>
      </w:r>
      <w:r w:rsidR="0080274E">
        <w:rPr>
          <w:color w:val="000000" w:themeColor="text1"/>
          <w:sz w:val="26"/>
          <w:szCs w:val="26"/>
        </w:rPr>
        <w:t>p</w:t>
      </w:r>
      <w:r w:rsidR="00904F27">
        <w:rPr>
          <w:color w:val="000000" w:themeColor="text1"/>
          <w:sz w:val="26"/>
          <w:szCs w:val="26"/>
        </w:rPr>
        <w:t xml:space="preserve">hone Company, LLC; A.R.C. Networks, Inc.; Windstream </w:t>
      </w:r>
      <w:proofErr w:type="spellStart"/>
      <w:r w:rsidR="00904F27">
        <w:rPr>
          <w:color w:val="000000" w:themeColor="text1"/>
          <w:sz w:val="26"/>
          <w:szCs w:val="26"/>
        </w:rPr>
        <w:t>Norlight</w:t>
      </w:r>
      <w:proofErr w:type="spellEnd"/>
      <w:r w:rsidR="00904F27">
        <w:rPr>
          <w:color w:val="000000" w:themeColor="text1"/>
          <w:sz w:val="26"/>
          <w:szCs w:val="26"/>
        </w:rPr>
        <w:t xml:space="preserve">, Inc.; Windstream NTI, Inc.; </w:t>
      </w:r>
      <w:proofErr w:type="spellStart"/>
      <w:r w:rsidR="00904F27">
        <w:rPr>
          <w:color w:val="000000" w:themeColor="text1"/>
          <w:sz w:val="26"/>
          <w:szCs w:val="26"/>
        </w:rPr>
        <w:t>McLeodUSA</w:t>
      </w:r>
      <w:proofErr w:type="spellEnd"/>
      <w:r w:rsidR="00904F27">
        <w:rPr>
          <w:color w:val="000000" w:themeColor="text1"/>
          <w:sz w:val="26"/>
          <w:szCs w:val="26"/>
        </w:rPr>
        <w:t xml:space="preserve"> Telecommunications Services, LLC; LDMI Telecommunications Services, LLC; and </w:t>
      </w:r>
      <w:proofErr w:type="spellStart"/>
      <w:r w:rsidR="00904F27">
        <w:rPr>
          <w:color w:val="000000" w:themeColor="text1"/>
          <w:sz w:val="26"/>
          <w:szCs w:val="26"/>
        </w:rPr>
        <w:t>DeltaCom</w:t>
      </w:r>
      <w:proofErr w:type="spellEnd"/>
      <w:r w:rsidR="00904F27">
        <w:rPr>
          <w:color w:val="000000" w:themeColor="text1"/>
          <w:sz w:val="26"/>
          <w:szCs w:val="26"/>
        </w:rPr>
        <w:t>, LLC for Approval of a General Rule Indirect Transfer of Control</w:t>
      </w:r>
    </w:p>
    <w:p w14:paraId="02C3E9D3" w14:textId="6F0F7400" w:rsidR="00431B3B" w:rsidRDefault="00431B3B" w:rsidP="00DD3A29">
      <w:pPr>
        <w:ind w:left="720" w:hanging="720"/>
        <w:rPr>
          <w:color w:val="000000" w:themeColor="text1"/>
          <w:sz w:val="26"/>
          <w:szCs w:val="26"/>
        </w:rPr>
      </w:pPr>
    </w:p>
    <w:p w14:paraId="31DE594E" w14:textId="5025212E" w:rsidR="00431B3B" w:rsidRPr="00DD3A29" w:rsidRDefault="00C831E0" w:rsidP="00DD3A29">
      <w:pPr>
        <w:ind w:left="720" w:hanging="720"/>
        <w:rPr>
          <w:color w:val="000000" w:themeColor="text1"/>
          <w:sz w:val="26"/>
          <w:szCs w:val="26"/>
        </w:rPr>
      </w:pPr>
      <w:r>
        <w:rPr>
          <w:color w:val="000000" w:themeColor="text1"/>
          <w:sz w:val="26"/>
          <w:szCs w:val="26"/>
        </w:rPr>
        <w:t>Dear Messrs</w:t>
      </w:r>
      <w:r w:rsidR="008552BA">
        <w:rPr>
          <w:color w:val="000000" w:themeColor="text1"/>
          <w:sz w:val="26"/>
          <w:szCs w:val="26"/>
        </w:rPr>
        <w:t>.</w:t>
      </w:r>
      <w:r>
        <w:rPr>
          <w:color w:val="000000" w:themeColor="text1"/>
          <w:sz w:val="26"/>
          <w:szCs w:val="26"/>
        </w:rPr>
        <w:t xml:space="preserve"> </w:t>
      </w:r>
      <w:proofErr w:type="spellStart"/>
      <w:r>
        <w:rPr>
          <w:color w:val="000000" w:themeColor="text1"/>
          <w:sz w:val="26"/>
          <w:szCs w:val="26"/>
        </w:rPr>
        <w:t>Niesen</w:t>
      </w:r>
      <w:proofErr w:type="spellEnd"/>
      <w:r>
        <w:rPr>
          <w:color w:val="000000" w:themeColor="text1"/>
          <w:sz w:val="26"/>
          <w:szCs w:val="26"/>
        </w:rPr>
        <w:t xml:space="preserve"> and Thomas: </w:t>
      </w:r>
    </w:p>
    <w:p w14:paraId="15EE7672" w14:textId="23966CF2" w:rsidR="00105992" w:rsidRDefault="00105992" w:rsidP="00E522D5">
      <w:pPr>
        <w:ind w:left="720"/>
        <w:rPr>
          <w:color w:val="000000" w:themeColor="text1"/>
          <w:sz w:val="26"/>
          <w:szCs w:val="26"/>
        </w:rPr>
      </w:pPr>
    </w:p>
    <w:p w14:paraId="3DD2BE3B" w14:textId="7D305B32" w:rsidR="004802DA" w:rsidRPr="00596AD5" w:rsidRDefault="000267A0" w:rsidP="004802DA">
      <w:pPr>
        <w:ind w:firstLine="720"/>
        <w:rPr>
          <w:sz w:val="26"/>
          <w:szCs w:val="26"/>
        </w:rPr>
      </w:pPr>
      <w:r w:rsidRPr="00DD3A29">
        <w:rPr>
          <w:color w:val="000000" w:themeColor="text1"/>
          <w:sz w:val="26"/>
          <w:szCs w:val="26"/>
        </w:rPr>
        <w:t xml:space="preserve">On </w:t>
      </w:r>
      <w:r w:rsidR="00C831E0">
        <w:rPr>
          <w:color w:val="000000" w:themeColor="text1"/>
          <w:sz w:val="26"/>
          <w:szCs w:val="26"/>
        </w:rPr>
        <w:t>May 21, 2020, Windstream Holdings, Inc.</w:t>
      </w:r>
      <w:r w:rsidR="004E0C73">
        <w:rPr>
          <w:color w:val="000000" w:themeColor="text1"/>
          <w:sz w:val="26"/>
          <w:szCs w:val="26"/>
        </w:rPr>
        <w:t xml:space="preserve"> (“WH</w:t>
      </w:r>
      <w:r w:rsidR="000373A2">
        <w:rPr>
          <w:color w:val="000000" w:themeColor="text1"/>
          <w:sz w:val="26"/>
          <w:szCs w:val="26"/>
        </w:rPr>
        <w:t>I”</w:t>
      </w:r>
      <w:r w:rsidR="004E0C73">
        <w:rPr>
          <w:color w:val="000000" w:themeColor="text1"/>
          <w:sz w:val="26"/>
          <w:szCs w:val="26"/>
        </w:rPr>
        <w:t>)</w:t>
      </w:r>
      <w:r w:rsidR="00E92022">
        <w:rPr>
          <w:color w:val="000000" w:themeColor="text1"/>
          <w:sz w:val="26"/>
          <w:szCs w:val="26"/>
        </w:rPr>
        <w:t xml:space="preserve"> </w:t>
      </w:r>
      <w:r w:rsidR="00C831E0">
        <w:rPr>
          <w:color w:val="000000" w:themeColor="text1"/>
          <w:sz w:val="26"/>
          <w:szCs w:val="26"/>
        </w:rPr>
        <w:t>and Windstream Services, LLC, (</w:t>
      </w:r>
      <w:r w:rsidR="004E0C73">
        <w:rPr>
          <w:color w:val="000000" w:themeColor="text1"/>
          <w:sz w:val="26"/>
          <w:szCs w:val="26"/>
        </w:rPr>
        <w:t xml:space="preserve">“Windstream Services” and, </w:t>
      </w:r>
      <w:r w:rsidR="00C831E0">
        <w:rPr>
          <w:color w:val="000000" w:themeColor="text1"/>
          <w:sz w:val="26"/>
          <w:szCs w:val="26"/>
        </w:rPr>
        <w:t xml:space="preserve">collectively “Windstream”) with Windstream </w:t>
      </w:r>
      <w:r w:rsidR="00C831E0">
        <w:rPr>
          <w:color w:val="000000" w:themeColor="text1"/>
          <w:sz w:val="26"/>
          <w:szCs w:val="26"/>
        </w:rPr>
        <w:lastRenderedPageBreak/>
        <w:t xml:space="preserve">Pennsylvania LLC; Windstream Buffalo Valley, Inc.; Windstream Conestoga, Inc.; Windstream D&amp;E Inc.; Windstream Communications, Inc.; Windstream D&amp;E Systems, Inc.; Windstream KDL, Inc.; </w:t>
      </w:r>
      <w:proofErr w:type="spellStart"/>
      <w:r w:rsidR="00C831E0">
        <w:rPr>
          <w:color w:val="000000" w:themeColor="text1"/>
          <w:sz w:val="26"/>
          <w:szCs w:val="26"/>
        </w:rPr>
        <w:t>Intellifiber</w:t>
      </w:r>
      <w:proofErr w:type="spellEnd"/>
      <w:r w:rsidR="00C831E0">
        <w:rPr>
          <w:color w:val="000000" w:themeColor="text1"/>
          <w:sz w:val="26"/>
          <w:szCs w:val="26"/>
        </w:rPr>
        <w:t xml:space="preserve"> Networks Inc.; US LEC of Pennsylvania, LLC; Talk America, LLC; PAETEC Communications, Inc.; Choice One Communications of Pennsylvania, Inc. d/b/a EarthLink Business; Cavalier Telephone Mid-Atlantic, LLC; CTC Communications Corp. d/b/a EarthLink Business; </w:t>
      </w:r>
      <w:proofErr w:type="spellStart"/>
      <w:r w:rsidR="00C831E0">
        <w:rPr>
          <w:color w:val="000000" w:themeColor="text1"/>
          <w:sz w:val="26"/>
          <w:szCs w:val="26"/>
        </w:rPr>
        <w:t>MassComm</w:t>
      </w:r>
      <w:proofErr w:type="spellEnd"/>
      <w:r w:rsidR="00C831E0">
        <w:rPr>
          <w:color w:val="000000" w:themeColor="text1"/>
          <w:sz w:val="26"/>
          <w:szCs w:val="26"/>
        </w:rPr>
        <w:t xml:space="preserve">, LLC; Lightship Telecom d/b/a EarthLink Business, LLC; Eureka Telecom, Inc.; Earthlink Business, LLC; ATX  Licensing, Inc.; Broadview NP Acquisition Corp.; Broadview Networks, Inc.; </w:t>
      </w:r>
      <w:proofErr w:type="spellStart"/>
      <w:r w:rsidR="00C831E0">
        <w:rPr>
          <w:color w:val="000000" w:themeColor="text1"/>
          <w:sz w:val="26"/>
          <w:szCs w:val="26"/>
        </w:rPr>
        <w:t>BridgeCom</w:t>
      </w:r>
      <w:proofErr w:type="spellEnd"/>
      <w:r w:rsidR="00C831E0">
        <w:rPr>
          <w:color w:val="000000" w:themeColor="text1"/>
          <w:sz w:val="26"/>
          <w:szCs w:val="26"/>
        </w:rPr>
        <w:t xml:space="preserve"> International, Inc.; Business Telecom LLC d/b/a EarthLink Business III; American Telephone Company, LLC; A.R.C. Networks, Inc.; Windstream </w:t>
      </w:r>
      <w:proofErr w:type="spellStart"/>
      <w:r w:rsidR="00C831E0">
        <w:rPr>
          <w:color w:val="000000" w:themeColor="text1"/>
          <w:sz w:val="26"/>
          <w:szCs w:val="26"/>
        </w:rPr>
        <w:t>Norlight</w:t>
      </w:r>
      <w:proofErr w:type="spellEnd"/>
      <w:r w:rsidR="00C831E0">
        <w:rPr>
          <w:color w:val="000000" w:themeColor="text1"/>
          <w:sz w:val="26"/>
          <w:szCs w:val="26"/>
        </w:rPr>
        <w:t xml:space="preserve">, Inc.; Windstream NTI, Inc.; </w:t>
      </w:r>
      <w:proofErr w:type="spellStart"/>
      <w:r w:rsidR="00C831E0">
        <w:rPr>
          <w:color w:val="000000" w:themeColor="text1"/>
          <w:sz w:val="26"/>
          <w:szCs w:val="26"/>
        </w:rPr>
        <w:t>McLeodUSA</w:t>
      </w:r>
      <w:proofErr w:type="spellEnd"/>
      <w:r w:rsidR="00C831E0">
        <w:rPr>
          <w:color w:val="000000" w:themeColor="text1"/>
          <w:sz w:val="26"/>
          <w:szCs w:val="26"/>
        </w:rPr>
        <w:t xml:space="preserve"> Telecommunications Services, LLC; LDMI Telecommunications Services, LLC; and </w:t>
      </w:r>
      <w:proofErr w:type="spellStart"/>
      <w:r w:rsidR="00C831E0">
        <w:rPr>
          <w:color w:val="000000" w:themeColor="text1"/>
          <w:sz w:val="26"/>
          <w:szCs w:val="26"/>
        </w:rPr>
        <w:t>DeltaCom</w:t>
      </w:r>
      <w:proofErr w:type="spellEnd"/>
      <w:r w:rsidR="00C831E0">
        <w:rPr>
          <w:color w:val="000000" w:themeColor="text1"/>
          <w:sz w:val="26"/>
          <w:szCs w:val="26"/>
        </w:rPr>
        <w:t>, LLC</w:t>
      </w:r>
      <w:r w:rsidR="00F60680">
        <w:rPr>
          <w:color w:val="000000" w:themeColor="text1"/>
          <w:sz w:val="26"/>
          <w:szCs w:val="26"/>
        </w:rPr>
        <w:t xml:space="preserve"> (collectively, the </w:t>
      </w:r>
      <w:r w:rsidR="00265E1C">
        <w:rPr>
          <w:color w:val="000000" w:themeColor="text1"/>
          <w:sz w:val="26"/>
          <w:szCs w:val="26"/>
        </w:rPr>
        <w:t>“</w:t>
      </w:r>
      <w:r w:rsidR="00F60680">
        <w:rPr>
          <w:color w:val="000000" w:themeColor="text1"/>
          <w:sz w:val="26"/>
          <w:szCs w:val="26"/>
        </w:rPr>
        <w:t>Windstream PA Utilities” and, together with Windstream, the “Joint Applicants</w:t>
      </w:r>
      <w:r w:rsidR="00265E1C">
        <w:rPr>
          <w:color w:val="000000" w:themeColor="text1"/>
          <w:sz w:val="26"/>
          <w:szCs w:val="26"/>
        </w:rPr>
        <w:t>”)</w:t>
      </w:r>
      <w:r w:rsidR="00F60680">
        <w:rPr>
          <w:color w:val="000000" w:themeColor="text1"/>
          <w:sz w:val="26"/>
          <w:szCs w:val="26"/>
        </w:rPr>
        <w:t xml:space="preserve"> </w:t>
      </w:r>
      <w:r w:rsidR="00E039F4" w:rsidRPr="00DD3A29">
        <w:rPr>
          <w:sz w:val="26"/>
          <w:szCs w:val="26"/>
        </w:rPr>
        <w:t xml:space="preserve">filed </w:t>
      </w:r>
      <w:r w:rsidR="00A37801">
        <w:rPr>
          <w:sz w:val="26"/>
          <w:szCs w:val="26"/>
        </w:rPr>
        <w:t xml:space="preserve">a joint </w:t>
      </w:r>
      <w:r w:rsidRPr="00DD3A29">
        <w:rPr>
          <w:color w:val="000000" w:themeColor="text1"/>
          <w:sz w:val="26"/>
          <w:szCs w:val="26"/>
        </w:rPr>
        <w:t xml:space="preserve">application pursuant to </w:t>
      </w:r>
      <w:r w:rsidR="001A1CA6" w:rsidRPr="00DD3A29">
        <w:rPr>
          <w:color w:val="000000" w:themeColor="text1"/>
          <w:sz w:val="26"/>
          <w:szCs w:val="26"/>
        </w:rPr>
        <w:t xml:space="preserve">Sections 1102(a) and 1103 </w:t>
      </w:r>
      <w:r w:rsidRPr="00DD3A29">
        <w:rPr>
          <w:color w:val="000000" w:themeColor="text1"/>
          <w:sz w:val="26"/>
          <w:szCs w:val="26"/>
        </w:rPr>
        <w:t xml:space="preserve">of the Pennsylvania Public Utility Code, 66 Pa. C.S. §§ 1102(a) and 1103, the Commission’s Statement of Policy </w:t>
      </w:r>
      <w:r w:rsidR="009A5CEE" w:rsidRPr="00DD3A29">
        <w:rPr>
          <w:color w:val="000000" w:themeColor="text1"/>
          <w:sz w:val="26"/>
          <w:szCs w:val="26"/>
        </w:rPr>
        <w:t xml:space="preserve">regarding </w:t>
      </w:r>
      <w:r w:rsidRPr="00DD3A29">
        <w:rPr>
          <w:color w:val="000000" w:themeColor="text1"/>
          <w:sz w:val="26"/>
          <w:szCs w:val="26"/>
        </w:rPr>
        <w:t>Utility Stock Transfers at 52 Pa. Code §</w:t>
      </w:r>
      <w:r w:rsidR="008E19DC" w:rsidRPr="00DD3A29">
        <w:rPr>
          <w:color w:val="000000" w:themeColor="text1"/>
          <w:sz w:val="26"/>
          <w:szCs w:val="26"/>
        </w:rPr>
        <w:t> </w:t>
      </w:r>
      <w:r w:rsidRPr="00DD3A29">
        <w:rPr>
          <w:color w:val="000000" w:themeColor="text1"/>
          <w:sz w:val="26"/>
          <w:szCs w:val="26"/>
        </w:rPr>
        <w:t>69.901, and its Abbreviated Procedures for Review of Transfer of Control of Telecommunications Pub</w:t>
      </w:r>
      <w:r w:rsidR="00A059A1" w:rsidRPr="00DD3A29">
        <w:rPr>
          <w:color w:val="000000" w:themeColor="text1"/>
          <w:sz w:val="26"/>
          <w:szCs w:val="26"/>
        </w:rPr>
        <w:t>lic Utilities at 52 Pa. Code</w:t>
      </w:r>
      <w:r w:rsidR="00FA0EE6" w:rsidRPr="00DD3A29">
        <w:rPr>
          <w:color w:val="000000" w:themeColor="text1"/>
          <w:sz w:val="26"/>
          <w:szCs w:val="26"/>
        </w:rPr>
        <w:t> </w:t>
      </w:r>
      <w:r w:rsidR="00A059A1" w:rsidRPr="00DD3A29">
        <w:rPr>
          <w:color w:val="000000" w:themeColor="text1"/>
          <w:sz w:val="26"/>
          <w:szCs w:val="26"/>
        </w:rPr>
        <w:t>§§ </w:t>
      </w:r>
      <w:r w:rsidRPr="00DD3A29">
        <w:rPr>
          <w:color w:val="000000" w:themeColor="text1"/>
          <w:sz w:val="26"/>
          <w:szCs w:val="26"/>
        </w:rPr>
        <w:t>63.321-63.32</w:t>
      </w:r>
      <w:r w:rsidR="001A1CA6" w:rsidRPr="00DD3A29">
        <w:rPr>
          <w:color w:val="000000" w:themeColor="text1"/>
          <w:sz w:val="26"/>
          <w:szCs w:val="26"/>
        </w:rPr>
        <w:t>5</w:t>
      </w:r>
      <w:r w:rsidRPr="00DD3A29">
        <w:rPr>
          <w:color w:val="000000" w:themeColor="text1"/>
          <w:sz w:val="26"/>
          <w:szCs w:val="26"/>
        </w:rPr>
        <w:t>, seeking Commission approval</w:t>
      </w:r>
      <w:r w:rsidR="00F60680">
        <w:rPr>
          <w:color w:val="000000" w:themeColor="text1"/>
          <w:sz w:val="26"/>
          <w:szCs w:val="26"/>
        </w:rPr>
        <w:t xml:space="preserve"> for </w:t>
      </w:r>
      <w:r w:rsidR="00A4212C">
        <w:rPr>
          <w:color w:val="000000" w:themeColor="text1"/>
          <w:sz w:val="26"/>
          <w:szCs w:val="26"/>
        </w:rPr>
        <w:t xml:space="preserve">a two-step transaction that will result in an indirect change of control </w:t>
      </w:r>
      <w:r w:rsidR="00A4212C" w:rsidRPr="00596AD5">
        <w:rPr>
          <w:sz w:val="26"/>
          <w:szCs w:val="26"/>
        </w:rPr>
        <w:t>of more than 20%</w:t>
      </w:r>
      <w:r w:rsidR="00265E1C" w:rsidRPr="00596AD5">
        <w:rPr>
          <w:sz w:val="26"/>
          <w:szCs w:val="26"/>
        </w:rPr>
        <w:t xml:space="preserve"> of Windstream PA Utilities</w:t>
      </w:r>
      <w:r w:rsidR="00A4044C" w:rsidRPr="00596AD5">
        <w:rPr>
          <w:sz w:val="26"/>
          <w:szCs w:val="26"/>
        </w:rPr>
        <w:t xml:space="preserve"> </w:t>
      </w:r>
      <w:r w:rsidR="004802DA" w:rsidRPr="00596AD5">
        <w:rPr>
          <w:sz w:val="26"/>
          <w:szCs w:val="26"/>
        </w:rPr>
        <w:t xml:space="preserve">(the </w:t>
      </w:r>
      <w:r w:rsidR="00C17041" w:rsidRPr="00596AD5">
        <w:rPr>
          <w:sz w:val="26"/>
          <w:szCs w:val="26"/>
        </w:rPr>
        <w:t>“</w:t>
      </w:r>
      <w:r w:rsidR="004802DA" w:rsidRPr="00596AD5">
        <w:rPr>
          <w:sz w:val="26"/>
          <w:szCs w:val="26"/>
        </w:rPr>
        <w:t>Transaction”)</w:t>
      </w:r>
      <w:r w:rsidR="00A179EF" w:rsidRPr="00596AD5">
        <w:rPr>
          <w:sz w:val="26"/>
          <w:szCs w:val="26"/>
        </w:rPr>
        <w:t>.</w:t>
      </w:r>
      <w:r w:rsidR="00450037" w:rsidRPr="00596AD5">
        <w:rPr>
          <w:rStyle w:val="FootnoteReference"/>
          <w:sz w:val="26"/>
          <w:szCs w:val="26"/>
        </w:rPr>
        <w:footnoteReference w:id="1"/>
      </w:r>
      <w:r w:rsidR="00450037" w:rsidRPr="00596AD5">
        <w:rPr>
          <w:sz w:val="26"/>
          <w:szCs w:val="26"/>
        </w:rPr>
        <w:t xml:space="preserve">  </w:t>
      </w:r>
    </w:p>
    <w:p w14:paraId="1C4F265E" w14:textId="3839F1D4" w:rsidR="00551DC3" w:rsidRDefault="00551DC3" w:rsidP="00551DC3">
      <w:pPr>
        <w:ind w:firstLine="720"/>
        <w:rPr>
          <w:color w:val="000000" w:themeColor="text1"/>
          <w:sz w:val="26"/>
          <w:szCs w:val="26"/>
        </w:rPr>
      </w:pPr>
    </w:p>
    <w:p w14:paraId="1E8230BA" w14:textId="063E0899" w:rsidR="00C974FF" w:rsidRDefault="00893FBA" w:rsidP="000C191F">
      <w:pPr>
        <w:ind w:firstLine="720"/>
        <w:rPr>
          <w:color w:val="000000" w:themeColor="text1"/>
          <w:sz w:val="26"/>
          <w:szCs w:val="26"/>
        </w:rPr>
      </w:pPr>
      <w:bookmarkStart w:id="0" w:name="_Hlk519762903"/>
      <w:r>
        <w:rPr>
          <w:color w:val="000000" w:themeColor="text1"/>
          <w:sz w:val="26"/>
          <w:szCs w:val="26"/>
        </w:rPr>
        <w:t>P</w:t>
      </w:r>
      <w:r w:rsidR="000267A0" w:rsidRPr="009A6845">
        <w:rPr>
          <w:color w:val="000000" w:themeColor="text1"/>
          <w:sz w:val="26"/>
          <w:szCs w:val="26"/>
        </w:rPr>
        <w:t xml:space="preserve">ursuant to 52 Pa. Code § 5.14, relating to applications requiring notice, </w:t>
      </w:r>
      <w:r w:rsidR="00DB2F16" w:rsidRPr="009A6845">
        <w:rPr>
          <w:color w:val="000000" w:themeColor="text1"/>
          <w:sz w:val="26"/>
          <w:szCs w:val="26"/>
        </w:rPr>
        <w:t>the Commission published notice of</w:t>
      </w:r>
      <w:r w:rsidR="000267A0" w:rsidRPr="009A6845">
        <w:rPr>
          <w:color w:val="000000" w:themeColor="text1"/>
          <w:sz w:val="26"/>
          <w:szCs w:val="26"/>
        </w:rPr>
        <w:t xml:space="preserve"> the proposed transfer </w:t>
      </w:r>
      <w:r w:rsidR="00136449" w:rsidRPr="009A6845">
        <w:rPr>
          <w:color w:val="000000" w:themeColor="text1"/>
          <w:sz w:val="26"/>
          <w:szCs w:val="26"/>
        </w:rPr>
        <w:t xml:space="preserve">in the </w:t>
      </w:r>
      <w:r w:rsidR="00136449" w:rsidRPr="009A6845">
        <w:rPr>
          <w:i/>
          <w:color w:val="000000" w:themeColor="text1"/>
          <w:sz w:val="26"/>
          <w:szCs w:val="26"/>
        </w:rPr>
        <w:t xml:space="preserve">Pennsylvania Bulletin </w:t>
      </w:r>
      <w:r w:rsidR="000267A0" w:rsidRPr="009A6845">
        <w:rPr>
          <w:color w:val="000000" w:themeColor="text1"/>
          <w:sz w:val="26"/>
          <w:szCs w:val="26"/>
        </w:rPr>
        <w:t xml:space="preserve">on </w:t>
      </w:r>
      <w:r w:rsidR="00BC3E91" w:rsidRPr="009A6845">
        <w:rPr>
          <w:color w:val="000000" w:themeColor="text1"/>
          <w:sz w:val="26"/>
          <w:szCs w:val="26"/>
        </w:rPr>
        <w:t xml:space="preserve">Saturday, </w:t>
      </w:r>
      <w:r w:rsidR="009A6845" w:rsidRPr="009A6845">
        <w:rPr>
          <w:color w:val="000000" w:themeColor="text1"/>
          <w:sz w:val="26"/>
          <w:szCs w:val="26"/>
        </w:rPr>
        <w:t>June 13</w:t>
      </w:r>
      <w:r w:rsidR="009A6845" w:rsidRPr="00F92CE4">
        <w:rPr>
          <w:color w:val="000000" w:themeColor="text1"/>
          <w:sz w:val="26"/>
          <w:szCs w:val="26"/>
        </w:rPr>
        <w:t xml:space="preserve">, </w:t>
      </w:r>
      <w:r w:rsidR="00CF6646" w:rsidRPr="00F92CE4">
        <w:rPr>
          <w:color w:val="000000" w:themeColor="text1"/>
          <w:sz w:val="26"/>
          <w:szCs w:val="26"/>
        </w:rPr>
        <w:t>20</w:t>
      </w:r>
      <w:r w:rsidR="009A6845" w:rsidRPr="00F92CE4">
        <w:rPr>
          <w:color w:val="000000" w:themeColor="text1"/>
          <w:sz w:val="26"/>
          <w:szCs w:val="26"/>
        </w:rPr>
        <w:t>20</w:t>
      </w:r>
      <w:r w:rsidR="006E3A3E" w:rsidRPr="00F92CE4">
        <w:rPr>
          <w:color w:val="000000" w:themeColor="text1"/>
          <w:sz w:val="26"/>
          <w:szCs w:val="26"/>
        </w:rPr>
        <w:t xml:space="preserve">, </w:t>
      </w:r>
      <w:r w:rsidR="00BC3E91" w:rsidRPr="00F92CE4">
        <w:rPr>
          <w:color w:val="000000" w:themeColor="text1"/>
          <w:sz w:val="26"/>
          <w:szCs w:val="26"/>
        </w:rPr>
        <w:t xml:space="preserve">at </w:t>
      </w:r>
      <w:r w:rsidR="00F92CE4" w:rsidRPr="00F92CE4">
        <w:rPr>
          <w:color w:val="000000" w:themeColor="text1"/>
          <w:sz w:val="26"/>
          <w:szCs w:val="26"/>
        </w:rPr>
        <w:t>50</w:t>
      </w:r>
      <w:r w:rsidR="000267A0" w:rsidRPr="00F92CE4">
        <w:rPr>
          <w:color w:val="000000" w:themeColor="text1"/>
          <w:sz w:val="26"/>
          <w:szCs w:val="26"/>
        </w:rPr>
        <w:t xml:space="preserve"> </w:t>
      </w:r>
      <w:proofErr w:type="spellStart"/>
      <w:r w:rsidR="000267A0" w:rsidRPr="00F92CE4">
        <w:rPr>
          <w:i/>
          <w:color w:val="000000" w:themeColor="text1"/>
          <w:sz w:val="26"/>
          <w:szCs w:val="26"/>
        </w:rPr>
        <w:t>Pa.B</w:t>
      </w:r>
      <w:proofErr w:type="spellEnd"/>
      <w:r w:rsidR="000267A0" w:rsidRPr="00F92CE4">
        <w:rPr>
          <w:i/>
          <w:color w:val="000000" w:themeColor="text1"/>
          <w:sz w:val="26"/>
          <w:szCs w:val="26"/>
        </w:rPr>
        <w:t>.</w:t>
      </w:r>
      <w:r w:rsidR="00136449" w:rsidRPr="00F92CE4">
        <w:rPr>
          <w:color w:val="000000" w:themeColor="text1"/>
          <w:sz w:val="26"/>
          <w:szCs w:val="26"/>
        </w:rPr>
        <w:t xml:space="preserve"> </w:t>
      </w:r>
      <w:r w:rsidR="00F92CE4" w:rsidRPr="00F92CE4">
        <w:rPr>
          <w:color w:val="000000" w:themeColor="text1"/>
          <w:sz w:val="26"/>
          <w:szCs w:val="26"/>
        </w:rPr>
        <w:t>2999</w:t>
      </w:r>
      <w:r w:rsidR="00136449" w:rsidRPr="00F92CE4">
        <w:rPr>
          <w:color w:val="000000" w:themeColor="text1"/>
          <w:sz w:val="26"/>
          <w:szCs w:val="26"/>
        </w:rPr>
        <w:t xml:space="preserve"> </w:t>
      </w:r>
      <w:r w:rsidR="000267A0" w:rsidRPr="00F92CE4">
        <w:rPr>
          <w:color w:val="000000" w:themeColor="text1"/>
          <w:sz w:val="26"/>
          <w:szCs w:val="26"/>
        </w:rPr>
        <w:t>with a protest period</w:t>
      </w:r>
      <w:r w:rsidR="000267A0" w:rsidRPr="009A6845">
        <w:rPr>
          <w:color w:val="000000" w:themeColor="text1"/>
          <w:sz w:val="26"/>
          <w:szCs w:val="26"/>
        </w:rPr>
        <w:t xml:space="preserve"> ending </w:t>
      </w:r>
      <w:r w:rsidR="009A6845" w:rsidRPr="009A6845">
        <w:rPr>
          <w:color w:val="000000" w:themeColor="text1"/>
          <w:sz w:val="26"/>
          <w:szCs w:val="26"/>
        </w:rPr>
        <w:t>Monday, June</w:t>
      </w:r>
      <w:r w:rsidR="009A6845">
        <w:rPr>
          <w:color w:val="000000" w:themeColor="text1"/>
          <w:sz w:val="26"/>
          <w:szCs w:val="26"/>
        </w:rPr>
        <w:t> </w:t>
      </w:r>
      <w:r w:rsidR="009A6845" w:rsidRPr="009A6845">
        <w:rPr>
          <w:color w:val="000000" w:themeColor="text1"/>
          <w:sz w:val="26"/>
          <w:szCs w:val="26"/>
        </w:rPr>
        <w:t xml:space="preserve">29, 2020.  </w:t>
      </w:r>
      <w:r w:rsidR="00C974FF" w:rsidRPr="009A6845">
        <w:rPr>
          <w:color w:val="000000" w:themeColor="text1"/>
          <w:sz w:val="26"/>
          <w:szCs w:val="26"/>
        </w:rPr>
        <w:t xml:space="preserve">Additionally, </w:t>
      </w:r>
      <w:r w:rsidR="0002057C" w:rsidRPr="009A6845">
        <w:rPr>
          <w:color w:val="000000" w:themeColor="text1"/>
          <w:sz w:val="26"/>
          <w:szCs w:val="26"/>
        </w:rPr>
        <w:t>the</w:t>
      </w:r>
      <w:r w:rsidR="0002057C">
        <w:rPr>
          <w:color w:val="000000" w:themeColor="text1"/>
          <w:sz w:val="26"/>
          <w:szCs w:val="26"/>
        </w:rPr>
        <w:t xml:space="preserve"> </w:t>
      </w:r>
      <w:r w:rsidR="0004341E">
        <w:rPr>
          <w:color w:val="000000" w:themeColor="text1"/>
          <w:sz w:val="26"/>
          <w:szCs w:val="26"/>
        </w:rPr>
        <w:t xml:space="preserve">Joint </w:t>
      </w:r>
      <w:r w:rsidR="0002057C">
        <w:rPr>
          <w:color w:val="000000" w:themeColor="text1"/>
          <w:sz w:val="26"/>
          <w:szCs w:val="26"/>
        </w:rPr>
        <w:t>Applicant</w:t>
      </w:r>
      <w:r w:rsidR="0004341E">
        <w:rPr>
          <w:color w:val="000000" w:themeColor="text1"/>
          <w:sz w:val="26"/>
          <w:szCs w:val="26"/>
        </w:rPr>
        <w:t>s</w:t>
      </w:r>
      <w:r w:rsidR="0002057C">
        <w:rPr>
          <w:color w:val="000000" w:themeColor="text1"/>
          <w:sz w:val="26"/>
          <w:szCs w:val="26"/>
        </w:rPr>
        <w:t xml:space="preserve"> served </w:t>
      </w:r>
      <w:r w:rsidR="00C974FF" w:rsidRPr="00DD5F93">
        <w:rPr>
          <w:color w:val="000000" w:themeColor="text1"/>
          <w:sz w:val="26"/>
          <w:szCs w:val="26"/>
        </w:rPr>
        <w:t xml:space="preserve">copies of the </w:t>
      </w:r>
      <w:r w:rsidR="007E47C0">
        <w:rPr>
          <w:color w:val="000000" w:themeColor="text1"/>
          <w:sz w:val="26"/>
          <w:szCs w:val="26"/>
        </w:rPr>
        <w:t xml:space="preserve">joint </w:t>
      </w:r>
      <w:r w:rsidR="00C974FF" w:rsidRPr="00DD5F93">
        <w:rPr>
          <w:color w:val="000000" w:themeColor="text1"/>
          <w:sz w:val="26"/>
          <w:szCs w:val="26"/>
        </w:rPr>
        <w:t>application upon the Office of Small Business Advocate</w:t>
      </w:r>
      <w:r w:rsidR="00C974FF" w:rsidRPr="00C974FF">
        <w:rPr>
          <w:color w:val="000000" w:themeColor="text1"/>
          <w:sz w:val="26"/>
          <w:szCs w:val="26"/>
        </w:rPr>
        <w:t xml:space="preserve">, </w:t>
      </w:r>
      <w:r w:rsidR="002D7A07">
        <w:rPr>
          <w:color w:val="000000" w:themeColor="text1"/>
          <w:sz w:val="26"/>
          <w:szCs w:val="26"/>
        </w:rPr>
        <w:t xml:space="preserve">the </w:t>
      </w:r>
      <w:r w:rsidR="00D556CC">
        <w:rPr>
          <w:color w:val="000000" w:themeColor="text1"/>
          <w:sz w:val="26"/>
          <w:szCs w:val="26"/>
        </w:rPr>
        <w:t xml:space="preserve">Office </w:t>
      </w:r>
      <w:r w:rsidR="002D7A07">
        <w:rPr>
          <w:color w:val="000000" w:themeColor="text1"/>
          <w:sz w:val="26"/>
          <w:szCs w:val="26"/>
        </w:rPr>
        <w:t>of Consumer Advocate</w:t>
      </w:r>
      <w:r w:rsidR="006E3A3E">
        <w:rPr>
          <w:color w:val="000000" w:themeColor="text1"/>
          <w:sz w:val="26"/>
          <w:szCs w:val="26"/>
        </w:rPr>
        <w:t xml:space="preserve">, </w:t>
      </w:r>
      <w:r w:rsidR="00C974FF" w:rsidRPr="00C974FF">
        <w:rPr>
          <w:color w:val="000000" w:themeColor="text1"/>
          <w:sz w:val="26"/>
          <w:szCs w:val="26"/>
        </w:rPr>
        <w:t xml:space="preserve">and the </w:t>
      </w:r>
      <w:r w:rsidR="00136449">
        <w:rPr>
          <w:color w:val="000000" w:themeColor="text1"/>
          <w:sz w:val="26"/>
          <w:szCs w:val="26"/>
        </w:rPr>
        <w:t>Commission’s Bureau of Investigation and Enforcement.</w:t>
      </w:r>
      <w:r w:rsidR="00C974FF" w:rsidRPr="00C974FF">
        <w:rPr>
          <w:color w:val="000000" w:themeColor="text1"/>
          <w:sz w:val="26"/>
          <w:szCs w:val="26"/>
        </w:rPr>
        <w:t xml:space="preserve">  </w:t>
      </w:r>
      <w:r w:rsidR="000267A0" w:rsidRPr="000267A0">
        <w:rPr>
          <w:color w:val="000000" w:themeColor="text1"/>
          <w:sz w:val="26"/>
          <w:szCs w:val="26"/>
        </w:rPr>
        <w:t xml:space="preserve">Further notice was not </w:t>
      </w:r>
      <w:r w:rsidR="00EA44F7" w:rsidRPr="000267A0">
        <w:rPr>
          <w:color w:val="000000" w:themeColor="text1"/>
          <w:sz w:val="26"/>
          <w:szCs w:val="26"/>
        </w:rPr>
        <w:t>req</w:t>
      </w:r>
      <w:r w:rsidR="00A4212C">
        <w:rPr>
          <w:color w:val="000000" w:themeColor="text1"/>
          <w:sz w:val="26"/>
          <w:szCs w:val="26"/>
        </w:rPr>
        <w:t>u</w:t>
      </w:r>
      <w:r w:rsidR="00EA44F7" w:rsidRPr="000267A0">
        <w:rPr>
          <w:color w:val="000000" w:themeColor="text1"/>
          <w:sz w:val="26"/>
          <w:szCs w:val="26"/>
        </w:rPr>
        <w:t>ired,</w:t>
      </w:r>
      <w:r w:rsidR="000267A0" w:rsidRPr="000267A0">
        <w:rPr>
          <w:color w:val="000000" w:themeColor="text1"/>
          <w:sz w:val="26"/>
          <w:szCs w:val="26"/>
        </w:rPr>
        <w:t xml:space="preserve"> and no protests or comments have been received.</w:t>
      </w:r>
      <w:r w:rsidR="00C974FF">
        <w:rPr>
          <w:color w:val="000000" w:themeColor="text1"/>
          <w:sz w:val="26"/>
          <w:szCs w:val="26"/>
        </w:rPr>
        <w:t xml:space="preserve">  </w:t>
      </w:r>
    </w:p>
    <w:p w14:paraId="37A9EA28" w14:textId="78E40854" w:rsidR="003878F3" w:rsidRDefault="003878F3" w:rsidP="000C191F">
      <w:pPr>
        <w:ind w:firstLine="720"/>
        <w:rPr>
          <w:color w:val="000000" w:themeColor="text1"/>
          <w:sz w:val="26"/>
          <w:szCs w:val="26"/>
        </w:rPr>
      </w:pPr>
    </w:p>
    <w:p w14:paraId="5F2068D6" w14:textId="29667013" w:rsidR="00A4212C" w:rsidRDefault="00A4212C" w:rsidP="000C191F">
      <w:pPr>
        <w:ind w:firstLine="720"/>
        <w:rPr>
          <w:color w:val="000000" w:themeColor="text1"/>
          <w:sz w:val="26"/>
          <w:szCs w:val="26"/>
        </w:rPr>
      </w:pPr>
      <w:r>
        <w:rPr>
          <w:color w:val="000000" w:themeColor="text1"/>
          <w:sz w:val="26"/>
          <w:szCs w:val="26"/>
        </w:rPr>
        <w:t>WHI is a Delaware corporation headquartered at 4001 North Rodney Parham Road, Little Rock, Arkansas 72212, with stock traded in the Over the Counter market under the symbol WINMQ.</w:t>
      </w:r>
      <w:r w:rsidR="004306EE">
        <w:rPr>
          <w:color w:val="000000" w:themeColor="text1"/>
          <w:sz w:val="26"/>
          <w:szCs w:val="26"/>
        </w:rPr>
        <w:t xml:space="preserve">  Windstream Services</w:t>
      </w:r>
      <w:r w:rsidR="000373A2">
        <w:rPr>
          <w:color w:val="000000" w:themeColor="text1"/>
          <w:sz w:val="26"/>
          <w:szCs w:val="26"/>
        </w:rPr>
        <w:t>,</w:t>
      </w:r>
      <w:r w:rsidR="004306EE">
        <w:rPr>
          <w:color w:val="000000" w:themeColor="text1"/>
          <w:sz w:val="26"/>
          <w:szCs w:val="26"/>
        </w:rPr>
        <w:t xml:space="preserve"> a Delaware limited liability company, is also headquartered at 4001 North Rodney Parham Road, Little Rock, Arkansas 72212.</w:t>
      </w:r>
      <w:r w:rsidR="004306EE">
        <w:rPr>
          <w:rStyle w:val="FootnoteReference"/>
          <w:color w:val="000000" w:themeColor="text1"/>
          <w:sz w:val="26"/>
          <w:szCs w:val="26"/>
        </w:rPr>
        <w:footnoteReference w:id="2"/>
      </w:r>
      <w:r w:rsidR="00456974">
        <w:rPr>
          <w:color w:val="000000" w:themeColor="text1"/>
          <w:sz w:val="26"/>
          <w:szCs w:val="26"/>
        </w:rPr>
        <w:t xml:space="preserve">  WHI either directly or indirectly owns 100% of Windstream Services and each of the Windstream PA Utilities.</w:t>
      </w:r>
      <w:r w:rsidR="00456974">
        <w:rPr>
          <w:rStyle w:val="FootnoteReference"/>
          <w:color w:val="000000" w:themeColor="text1"/>
          <w:sz w:val="26"/>
          <w:szCs w:val="26"/>
        </w:rPr>
        <w:footnoteReference w:id="3"/>
      </w:r>
    </w:p>
    <w:p w14:paraId="23AC94B1" w14:textId="43514417" w:rsidR="004306EE" w:rsidRDefault="004306EE" w:rsidP="000C191F">
      <w:pPr>
        <w:ind w:firstLine="720"/>
        <w:rPr>
          <w:color w:val="000000" w:themeColor="text1"/>
          <w:sz w:val="26"/>
          <w:szCs w:val="26"/>
        </w:rPr>
      </w:pPr>
    </w:p>
    <w:p w14:paraId="36D230F2" w14:textId="6E0E89F1" w:rsidR="000A1009" w:rsidRDefault="004306EE" w:rsidP="000C191F">
      <w:pPr>
        <w:ind w:firstLine="720"/>
        <w:rPr>
          <w:color w:val="000000" w:themeColor="text1"/>
          <w:sz w:val="26"/>
          <w:szCs w:val="26"/>
        </w:rPr>
      </w:pPr>
      <w:r>
        <w:rPr>
          <w:color w:val="000000" w:themeColor="text1"/>
          <w:sz w:val="26"/>
          <w:szCs w:val="26"/>
        </w:rPr>
        <w:t>Windstream, through its subsidiaries</w:t>
      </w:r>
      <w:r w:rsidR="008C0F0C">
        <w:rPr>
          <w:color w:val="000000" w:themeColor="text1"/>
          <w:sz w:val="26"/>
          <w:szCs w:val="26"/>
        </w:rPr>
        <w:t>, is a provider of advanced network communications and technology that p</w:t>
      </w:r>
      <w:r>
        <w:rPr>
          <w:color w:val="000000" w:themeColor="text1"/>
          <w:sz w:val="26"/>
          <w:szCs w:val="26"/>
        </w:rPr>
        <w:t>rovides voice and data services for consumers, businesses, enterprise organizations, and wholesale customers across the United States.</w:t>
      </w:r>
      <w:r w:rsidR="008C0F0C">
        <w:rPr>
          <w:rStyle w:val="FootnoteReference"/>
          <w:color w:val="000000" w:themeColor="text1"/>
          <w:sz w:val="26"/>
          <w:szCs w:val="26"/>
        </w:rPr>
        <w:footnoteReference w:id="4"/>
      </w:r>
      <w:r w:rsidR="000A1009">
        <w:rPr>
          <w:color w:val="000000" w:themeColor="text1"/>
          <w:sz w:val="26"/>
          <w:szCs w:val="26"/>
        </w:rPr>
        <w:t xml:space="preserve">  </w:t>
      </w:r>
      <w:r w:rsidR="000A1009">
        <w:rPr>
          <w:color w:val="000000" w:themeColor="text1"/>
          <w:sz w:val="26"/>
          <w:szCs w:val="26"/>
        </w:rPr>
        <w:lastRenderedPageBreak/>
        <w:t xml:space="preserve">It provides core transport solutions on a nationwide local and long-haul fiber network currently spanning approximately 150,000 route miles.  Windstream’s consumer and small business segment includes approximately 1.4 million residential and small business customers that receive voice, broadband, entertainment, and security </w:t>
      </w:r>
      <w:r w:rsidR="00A62BD2">
        <w:rPr>
          <w:color w:val="000000" w:themeColor="text1"/>
          <w:sz w:val="26"/>
          <w:szCs w:val="26"/>
        </w:rPr>
        <w:t>services</w:t>
      </w:r>
      <w:r w:rsidR="000A1009">
        <w:rPr>
          <w:color w:val="000000" w:themeColor="text1"/>
          <w:sz w:val="26"/>
          <w:szCs w:val="26"/>
        </w:rPr>
        <w:t>.  Windstream’s enterprise business segment offers services such as software-defined wide area networking and unified communications as a service to businesses across the U.S., as well as solutions to enable businesses to compete more effectively in the digital economy, and a variety of other data services, such as cloud computing.</w:t>
      </w:r>
      <w:r w:rsidR="000A1009">
        <w:rPr>
          <w:rStyle w:val="FootnoteReference"/>
          <w:color w:val="000000" w:themeColor="text1"/>
          <w:sz w:val="26"/>
          <w:szCs w:val="26"/>
        </w:rPr>
        <w:footnoteReference w:id="5"/>
      </w:r>
      <w:r w:rsidR="000A1009">
        <w:rPr>
          <w:color w:val="000000" w:themeColor="text1"/>
          <w:sz w:val="26"/>
          <w:szCs w:val="26"/>
        </w:rPr>
        <w:t xml:space="preserve">  </w:t>
      </w:r>
    </w:p>
    <w:p w14:paraId="4C79B14C" w14:textId="77777777" w:rsidR="000A1009" w:rsidRDefault="000A1009" w:rsidP="000C191F">
      <w:pPr>
        <w:ind w:firstLine="720"/>
        <w:rPr>
          <w:color w:val="000000" w:themeColor="text1"/>
          <w:sz w:val="26"/>
          <w:szCs w:val="26"/>
        </w:rPr>
      </w:pPr>
    </w:p>
    <w:p w14:paraId="6D7130F7" w14:textId="0D531185" w:rsidR="008C0F0C" w:rsidRPr="008C0F0C" w:rsidRDefault="008C0F0C" w:rsidP="008C0F0C">
      <w:pPr>
        <w:rPr>
          <w:color w:val="000000" w:themeColor="text1"/>
          <w:sz w:val="26"/>
          <w:szCs w:val="26"/>
          <w:u w:val="single"/>
        </w:rPr>
      </w:pPr>
      <w:r w:rsidRPr="008C0F0C">
        <w:rPr>
          <w:color w:val="000000" w:themeColor="text1"/>
          <w:sz w:val="26"/>
          <w:szCs w:val="26"/>
          <w:u w:val="single"/>
        </w:rPr>
        <w:t>Windstream</w:t>
      </w:r>
      <w:r w:rsidR="00BB3359">
        <w:rPr>
          <w:color w:val="000000" w:themeColor="text1"/>
          <w:sz w:val="26"/>
          <w:szCs w:val="26"/>
          <w:u w:val="single"/>
        </w:rPr>
        <w:t xml:space="preserve"> PA Utilities</w:t>
      </w:r>
    </w:p>
    <w:p w14:paraId="43B4331D" w14:textId="40583590" w:rsidR="00A4212C" w:rsidRDefault="00A4212C" w:rsidP="000C191F">
      <w:pPr>
        <w:ind w:firstLine="720"/>
        <w:rPr>
          <w:color w:val="000000" w:themeColor="text1"/>
          <w:sz w:val="26"/>
          <w:szCs w:val="26"/>
        </w:rPr>
      </w:pPr>
    </w:p>
    <w:p w14:paraId="130BAC28" w14:textId="43F3A365" w:rsidR="008C0F0C" w:rsidRPr="00596AD5" w:rsidRDefault="008C0F0C" w:rsidP="000C191F">
      <w:pPr>
        <w:ind w:firstLine="720"/>
        <w:rPr>
          <w:sz w:val="26"/>
          <w:szCs w:val="26"/>
        </w:rPr>
      </w:pPr>
      <w:r>
        <w:rPr>
          <w:color w:val="000000" w:themeColor="text1"/>
          <w:sz w:val="26"/>
          <w:szCs w:val="26"/>
        </w:rPr>
        <w:t>American Telephone Company</w:t>
      </w:r>
      <w:r w:rsidR="005B392F">
        <w:rPr>
          <w:color w:val="000000" w:themeColor="text1"/>
          <w:sz w:val="26"/>
          <w:szCs w:val="26"/>
        </w:rPr>
        <w:t>,</w:t>
      </w:r>
      <w:r>
        <w:rPr>
          <w:color w:val="000000" w:themeColor="text1"/>
          <w:sz w:val="26"/>
          <w:szCs w:val="26"/>
        </w:rPr>
        <w:t xml:space="preserve"> LLC</w:t>
      </w:r>
      <w:r w:rsidR="007350E4">
        <w:rPr>
          <w:color w:val="000000" w:themeColor="text1"/>
          <w:sz w:val="26"/>
          <w:szCs w:val="26"/>
        </w:rPr>
        <w:t>, utility code 3110809,</w:t>
      </w:r>
      <w:r w:rsidR="00C90901">
        <w:rPr>
          <w:color w:val="000000" w:themeColor="text1"/>
          <w:sz w:val="26"/>
          <w:szCs w:val="26"/>
        </w:rPr>
        <w:t xml:space="preserve"> </w:t>
      </w:r>
      <w:r>
        <w:rPr>
          <w:color w:val="000000" w:themeColor="text1"/>
          <w:sz w:val="26"/>
          <w:szCs w:val="26"/>
        </w:rPr>
        <w:t>is a New York limited liability company</w:t>
      </w:r>
      <w:r w:rsidR="00844D0A">
        <w:rPr>
          <w:color w:val="000000" w:themeColor="text1"/>
          <w:sz w:val="26"/>
          <w:szCs w:val="26"/>
        </w:rPr>
        <w:t xml:space="preserve"> with its </w:t>
      </w:r>
      <w:r>
        <w:rPr>
          <w:color w:val="000000" w:themeColor="text1"/>
          <w:sz w:val="26"/>
          <w:szCs w:val="26"/>
        </w:rPr>
        <w:t xml:space="preserve">principal address </w:t>
      </w:r>
      <w:r w:rsidR="00844D0A">
        <w:rPr>
          <w:color w:val="000000" w:themeColor="text1"/>
          <w:sz w:val="26"/>
          <w:szCs w:val="26"/>
        </w:rPr>
        <w:t xml:space="preserve">located at </w:t>
      </w:r>
      <w:r>
        <w:rPr>
          <w:color w:val="000000" w:themeColor="text1"/>
          <w:sz w:val="26"/>
          <w:szCs w:val="26"/>
        </w:rPr>
        <w:t xml:space="preserve">4001 North Rodney Parham Road, </w:t>
      </w:r>
      <w:r w:rsidRPr="00596AD5">
        <w:rPr>
          <w:sz w:val="26"/>
          <w:szCs w:val="26"/>
        </w:rPr>
        <w:t>Little Rock, Arkansas 72212</w:t>
      </w:r>
      <w:r w:rsidR="00C21D19" w:rsidRPr="00596AD5">
        <w:rPr>
          <w:sz w:val="26"/>
          <w:szCs w:val="26"/>
        </w:rPr>
        <w:t xml:space="preserve">.  </w:t>
      </w:r>
      <w:r w:rsidR="00685BD1" w:rsidRPr="00596AD5">
        <w:rPr>
          <w:sz w:val="26"/>
          <w:szCs w:val="26"/>
        </w:rPr>
        <w:t xml:space="preserve">In the Commonwealth of Pennsylvania, it is </w:t>
      </w:r>
      <w:r w:rsidR="00B070BC" w:rsidRPr="00596AD5">
        <w:rPr>
          <w:sz w:val="26"/>
          <w:szCs w:val="26"/>
        </w:rPr>
        <w:t xml:space="preserve">authorized </w:t>
      </w:r>
      <w:r w:rsidR="00844D0A" w:rsidRPr="00596AD5">
        <w:rPr>
          <w:sz w:val="26"/>
          <w:szCs w:val="26"/>
        </w:rPr>
        <w:t>to offer, render, furnish</w:t>
      </w:r>
      <w:r w:rsidR="00192E98" w:rsidRPr="00596AD5">
        <w:rPr>
          <w:sz w:val="26"/>
          <w:szCs w:val="26"/>
        </w:rPr>
        <w:t>,</w:t>
      </w:r>
      <w:r w:rsidR="00844D0A" w:rsidRPr="00596AD5">
        <w:rPr>
          <w:sz w:val="26"/>
          <w:szCs w:val="26"/>
        </w:rPr>
        <w:t xml:space="preserve"> or </w:t>
      </w:r>
      <w:r w:rsidR="00192E98" w:rsidRPr="00596AD5">
        <w:rPr>
          <w:sz w:val="26"/>
          <w:szCs w:val="26"/>
        </w:rPr>
        <w:t>provide i</w:t>
      </w:r>
      <w:r w:rsidR="00844D0A" w:rsidRPr="00596AD5">
        <w:rPr>
          <w:sz w:val="26"/>
          <w:szCs w:val="26"/>
        </w:rPr>
        <w:t>nterexchange</w:t>
      </w:r>
      <w:r w:rsidR="00F963D9" w:rsidRPr="00596AD5">
        <w:rPr>
          <w:sz w:val="26"/>
          <w:szCs w:val="26"/>
        </w:rPr>
        <w:t xml:space="preserve"> carrier reseller </w:t>
      </w:r>
      <w:r w:rsidR="00844D0A" w:rsidRPr="00596AD5">
        <w:rPr>
          <w:sz w:val="26"/>
          <w:szCs w:val="26"/>
        </w:rPr>
        <w:t>(IXC</w:t>
      </w:r>
      <w:r w:rsidR="00B070BC" w:rsidRPr="00596AD5">
        <w:rPr>
          <w:sz w:val="26"/>
          <w:szCs w:val="26"/>
        </w:rPr>
        <w:t>-R</w:t>
      </w:r>
      <w:r w:rsidR="00BF5BA9" w:rsidRPr="00596AD5">
        <w:rPr>
          <w:sz w:val="26"/>
          <w:szCs w:val="26"/>
        </w:rPr>
        <w:t>)</w:t>
      </w:r>
      <w:r w:rsidR="00F963D9" w:rsidRPr="00596AD5">
        <w:rPr>
          <w:sz w:val="26"/>
          <w:szCs w:val="26"/>
        </w:rPr>
        <w:t xml:space="preserve"> and competitive local exchange carrier (CLEC) </w:t>
      </w:r>
      <w:r w:rsidR="00B070BC" w:rsidRPr="00596AD5">
        <w:rPr>
          <w:sz w:val="26"/>
          <w:szCs w:val="26"/>
        </w:rPr>
        <w:t>telecommunication</w:t>
      </w:r>
      <w:r w:rsidR="00A62BD2">
        <w:rPr>
          <w:sz w:val="26"/>
          <w:szCs w:val="26"/>
        </w:rPr>
        <w:t>s</w:t>
      </w:r>
      <w:r w:rsidR="00B070BC" w:rsidRPr="00596AD5">
        <w:rPr>
          <w:sz w:val="26"/>
          <w:szCs w:val="26"/>
        </w:rPr>
        <w:t xml:space="preserve"> </w:t>
      </w:r>
      <w:r w:rsidR="00F963D9" w:rsidRPr="00596AD5">
        <w:rPr>
          <w:sz w:val="26"/>
          <w:szCs w:val="26"/>
        </w:rPr>
        <w:t xml:space="preserve">services pursuant to </w:t>
      </w:r>
      <w:r w:rsidR="00252C01" w:rsidRPr="00596AD5">
        <w:rPr>
          <w:sz w:val="26"/>
          <w:szCs w:val="26"/>
        </w:rPr>
        <w:t xml:space="preserve">authority granted by the </w:t>
      </w:r>
      <w:r w:rsidR="00F963D9" w:rsidRPr="00596AD5">
        <w:rPr>
          <w:sz w:val="26"/>
          <w:szCs w:val="26"/>
        </w:rPr>
        <w:t xml:space="preserve">Commission </w:t>
      </w:r>
      <w:r w:rsidR="00252C01" w:rsidRPr="00596AD5">
        <w:rPr>
          <w:sz w:val="26"/>
          <w:szCs w:val="26"/>
        </w:rPr>
        <w:t xml:space="preserve">at </w:t>
      </w:r>
      <w:r w:rsidR="00F963D9" w:rsidRPr="00596AD5">
        <w:rPr>
          <w:sz w:val="26"/>
          <w:szCs w:val="26"/>
        </w:rPr>
        <w:t xml:space="preserve">Docket Nos. </w:t>
      </w:r>
      <w:r w:rsidR="00C21D19" w:rsidRPr="00596AD5">
        <w:rPr>
          <w:sz w:val="26"/>
          <w:szCs w:val="26"/>
        </w:rPr>
        <w:t>A-2009-2093403, A</w:t>
      </w:r>
      <w:r w:rsidR="00C90901" w:rsidRPr="00596AD5">
        <w:rPr>
          <w:sz w:val="26"/>
          <w:szCs w:val="26"/>
        </w:rPr>
        <w:t>-</w:t>
      </w:r>
      <w:r w:rsidR="00C21D19" w:rsidRPr="00596AD5">
        <w:rPr>
          <w:sz w:val="26"/>
          <w:szCs w:val="26"/>
        </w:rPr>
        <w:t>20</w:t>
      </w:r>
      <w:r w:rsidR="00C90901" w:rsidRPr="00596AD5">
        <w:rPr>
          <w:sz w:val="26"/>
          <w:szCs w:val="26"/>
        </w:rPr>
        <w:t>0</w:t>
      </w:r>
      <w:r w:rsidR="00C21D19" w:rsidRPr="00596AD5">
        <w:rPr>
          <w:sz w:val="26"/>
          <w:szCs w:val="26"/>
        </w:rPr>
        <w:t xml:space="preserve">9-2093404, </w:t>
      </w:r>
      <w:r w:rsidR="00C90901" w:rsidRPr="00596AD5">
        <w:rPr>
          <w:sz w:val="26"/>
          <w:szCs w:val="26"/>
        </w:rPr>
        <w:t>and A-2009-2093405</w:t>
      </w:r>
      <w:r w:rsidR="00F963D9" w:rsidRPr="00596AD5">
        <w:rPr>
          <w:sz w:val="26"/>
          <w:szCs w:val="26"/>
        </w:rPr>
        <w:t xml:space="preserve">.  </w:t>
      </w:r>
    </w:p>
    <w:p w14:paraId="69B047E9" w14:textId="204E4EDE" w:rsidR="008C0F0C" w:rsidRPr="00596AD5" w:rsidRDefault="008C0F0C" w:rsidP="000C191F">
      <w:pPr>
        <w:ind w:firstLine="720"/>
        <w:rPr>
          <w:sz w:val="26"/>
          <w:szCs w:val="26"/>
        </w:rPr>
      </w:pPr>
    </w:p>
    <w:p w14:paraId="35A1CD5D" w14:textId="74D03C55" w:rsidR="00F963D9" w:rsidRPr="00596AD5" w:rsidRDefault="00C90901" w:rsidP="000C191F">
      <w:pPr>
        <w:ind w:firstLine="720"/>
        <w:rPr>
          <w:sz w:val="26"/>
          <w:szCs w:val="26"/>
        </w:rPr>
      </w:pPr>
      <w:r w:rsidRPr="00596AD5">
        <w:rPr>
          <w:sz w:val="26"/>
          <w:szCs w:val="26"/>
        </w:rPr>
        <w:t>A.R.C. Networks, Inc.</w:t>
      </w:r>
      <w:r w:rsidR="007350E4" w:rsidRPr="00596AD5">
        <w:rPr>
          <w:sz w:val="26"/>
          <w:szCs w:val="26"/>
        </w:rPr>
        <w:t>, utility code 310448,</w:t>
      </w:r>
      <w:r w:rsidRPr="00596AD5">
        <w:rPr>
          <w:sz w:val="26"/>
          <w:szCs w:val="26"/>
        </w:rPr>
        <w:t xml:space="preserve"> is a New York corporation</w:t>
      </w:r>
      <w:r w:rsidR="00F963D9" w:rsidRPr="00596AD5">
        <w:rPr>
          <w:sz w:val="26"/>
          <w:szCs w:val="26"/>
        </w:rPr>
        <w:t xml:space="preserve"> with its </w:t>
      </w:r>
      <w:r w:rsidRPr="00596AD5">
        <w:rPr>
          <w:sz w:val="26"/>
          <w:szCs w:val="26"/>
        </w:rPr>
        <w:t xml:space="preserve">principal </w:t>
      </w:r>
      <w:r w:rsidR="00F963D9" w:rsidRPr="00596AD5">
        <w:rPr>
          <w:sz w:val="26"/>
          <w:szCs w:val="26"/>
        </w:rPr>
        <w:t xml:space="preserve">address located at </w:t>
      </w:r>
      <w:r w:rsidRPr="00596AD5">
        <w:rPr>
          <w:sz w:val="26"/>
          <w:szCs w:val="26"/>
        </w:rPr>
        <w:t>4001 North Rodney Parham Road, Little Rock, Arkansas 72212</w:t>
      </w:r>
      <w:r w:rsidR="00726501" w:rsidRPr="00596AD5">
        <w:rPr>
          <w:sz w:val="26"/>
          <w:szCs w:val="26"/>
        </w:rPr>
        <w:t xml:space="preserve">.  </w:t>
      </w:r>
      <w:bookmarkStart w:id="1" w:name="_Hlk42761443"/>
      <w:r w:rsidR="00BB3359" w:rsidRPr="00596AD5">
        <w:rPr>
          <w:sz w:val="26"/>
          <w:szCs w:val="26"/>
        </w:rPr>
        <w:t xml:space="preserve">In the Commonwealth of Pennsylvania, it </w:t>
      </w:r>
      <w:r w:rsidR="00F963D9" w:rsidRPr="00596AD5">
        <w:rPr>
          <w:sz w:val="26"/>
          <w:szCs w:val="26"/>
        </w:rPr>
        <w:t>is authorized to offer, render, furnish</w:t>
      </w:r>
      <w:r w:rsidR="00192E98" w:rsidRPr="00596AD5">
        <w:rPr>
          <w:sz w:val="26"/>
          <w:szCs w:val="26"/>
        </w:rPr>
        <w:t>,</w:t>
      </w:r>
      <w:r w:rsidR="00F963D9" w:rsidRPr="00596AD5">
        <w:rPr>
          <w:sz w:val="26"/>
          <w:szCs w:val="26"/>
        </w:rPr>
        <w:t xml:space="preserve"> or </w:t>
      </w:r>
      <w:r w:rsidR="00192E98" w:rsidRPr="00596AD5">
        <w:rPr>
          <w:sz w:val="26"/>
          <w:szCs w:val="26"/>
        </w:rPr>
        <w:t>provide</w:t>
      </w:r>
      <w:r w:rsidR="00F963D9" w:rsidRPr="00596AD5">
        <w:rPr>
          <w:sz w:val="26"/>
          <w:szCs w:val="26"/>
        </w:rPr>
        <w:t xml:space="preserve"> IXC</w:t>
      </w:r>
      <w:r w:rsidR="00B070BC" w:rsidRPr="00596AD5">
        <w:rPr>
          <w:sz w:val="26"/>
          <w:szCs w:val="26"/>
        </w:rPr>
        <w:t>-R</w:t>
      </w:r>
      <w:r w:rsidR="00F963D9" w:rsidRPr="00596AD5">
        <w:rPr>
          <w:sz w:val="26"/>
          <w:szCs w:val="26"/>
        </w:rPr>
        <w:t xml:space="preserve"> and </w:t>
      </w:r>
      <w:r w:rsidR="000373A2">
        <w:rPr>
          <w:sz w:val="26"/>
          <w:szCs w:val="26"/>
        </w:rPr>
        <w:t xml:space="preserve">reseller and facilities-based </w:t>
      </w:r>
      <w:r w:rsidR="00F963D9" w:rsidRPr="00596AD5">
        <w:rPr>
          <w:sz w:val="26"/>
          <w:szCs w:val="26"/>
        </w:rPr>
        <w:t xml:space="preserve">CLEC </w:t>
      </w:r>
      <w:r w:rsidR="00B070BC" w:rsidRPr="00596AD5">
        <w:rPr>
          <w:sz w:val="26"/>
          <w:szCs w:val="26"/>
        </w:rPr>
        <w:t>telecommunication</w:t>
      </w:r>
      <w:r w:rsidR="00A62BD2">
        <w:rPr>
          <w:sz w:val="26"/>
          <w:szCs w:val="26"/>
        </w:rPr>
        <w:t>s</w:t>
      </w:r>
      <w:r w:rsidR="00B070BC" w:rsidRPr="00596AD5">
        <w:rPr>
          <w:sz w:val="26"/>
          <w:szCs w:val="26"/>
        </w:rPr>
        <w:t xml:space="preserve"> </w:t>
      </w:r>
      <w:r w:rsidR="00F963D9" w:rsidRPr="00596AD5">
        <w:rPr>
          <w:sz w:val="26"/>
          <w:szCs w:val="26"/>
        </w:rPr>
        <w:t xml:space="preserve">services </w:t>
      </w:r>
      <w:r w:rsidR="00BB3359" w:rsidRPr="00596AD5">
        <w:rPr>
          <w:sz w:val="26"/>
          <w:szCs w:val="26"/>
        </w:rPr>
        <w:t xml:space="preserve">pursuant to </w:t>
      </w:r>
      <w:r w:rsidR="00252C01" w:rsidRPr="00596AD5">
        <w:rPr>
          <w:sz w:val="26"/>
          <w:szCs w:val="26"/>
        </w:rPr>
        <w:t xml:space="preserve">authority granted by the </w:t>
      </w:r>
      <w:r w:rsidR="00BB3359" w:rsidRPr="00596AD5">
        <w:rPr>
          <w:sz w:val="26"/>
          <w:szCs w:val="26"/>
        </w:rPr>
        <w:t xml:space="preserve">Commission </w:t>
      </w:r>
      <w:r w:rsidR="00F963D9" w:rsidRPr="00596AD5">
        <w:rPr>
          <w:sz w:val="26"/>
          <w:szCs w:val="26"/>
        </w:rPr>
        <w:t xml:space="preserve">at </w:t>
      </w:r>
      <w:r w:rsidR="00726501" w:rsidRPr="00596AD5">
        <w:rPr>
          <w:sz w:val="26"/>
          <w:szCs w:val="26"/>
        </w:rPr>
        <w:t>Docket Nos. A-310448 and A-3104487</w:t>
      </w:r>
      <w:r w:rsidR="002D1B3B" w:rsidRPr="00596AD5">
        <w:rPr>
          <w:sz w:val="26"/>
          <w:szCs w:val="26"/>
        </w:rPr>
        <w:t xml:space="preserve"> </w:t>
      </w:r>
      <w:r w:rsidR="00726501" w:rsidRPr="00596AD5">
        <w:rPr>
          <w:sz w:val="26"/>
          <w:szCs w:val="26"/>
        </w:rPr>
        <w:t>F0003</w:t>
      </w:r>
      <w:r w:rsidR="00F963D9" w:rsidRPr="00596AD5">
        <w:rPr>
          <w:sz w:val="26"/>
          <w:szCs w:val="26"/>
        </w:rPr>
        <w:t>.</w:t>
      </w:r>
    </w:p>
    <w:p w14:paraId="0A960750" w14:textId="77777777" w:rsidR="007D265C" w:rsidRDefault="007D265C" w:rsidP="000C191F">
      <w:pPr>
        <w:ind w:firstLine="720"/>
        <w:rPr>
          <w:color w:val="000000" w:themeColor="text1"/>
          <w:sz w:val="26"/>
          <w:szCs w:val="26"/>
        </w:rPr>
      </w:pPr>
    </w:p>
    <w:bookmarkEnd w:id="1"/>
    <w:p w14:paraId="7B99366A" w14:textId="73A77AEB" w:rsidR="003649A9" w:rsidRDefault="007350E4" w:rsidP="003649A9">
      <w:pPr>
        <w:ind w:firstLine="720"/>
        <w:rPr>
          <w:color w:val="000000" w:themeColor="text1"/>
          <w:sz w:val="26"/>
          <w:szCs w:val="26"/>
        </w:rPr>
      </w:pPr>
      <w:r>
        <w:rPr>
          <w:color w:val="000000" w:themeColor="text1"/>
          <w:sz w:val="26"/>
          <w:szCs w:val="26"/>
        </w:rPr>
        <w:t>ATX Licensing, Inc.</w:t>
      </w:r>
      <w:r w:rsidR="002F59C9">
        <w:rPr>
          <w:color w:val="000000" w:themeColor="text1"/>
          <w:sz w:val="26"/>
          <w:szCs w:val="26"/>
        </w:rPr>
        <w:t xml:space="preserve">, utility code </w:t>
      </w:r>
      <w:r w:rsidR="003649A9">
        <w:rPr>
          <w:color w:val="000000" w:themeColor="text1"/>
          <w:sz w:val="26"/>
          <w:szCs w:val="26"/>
        </w:rPr>
        <w:t>310992</w:t>
      </w:r>
      <w:r w:rsidR="002F59C9">
        <w:rPr>
          <w:color w:val="000000" w:themeColor="text1"/>
          <w:sz w:val="26"/>
          <w:szCs w:val="26"/>
        </w:rPr>
        <w:t>,</w:t>
      </w:r>
      <w:r>
        <w:rPr>
          <w:color w:val="000000" w:themeColor="text1"/>
          <w:sz w:val="26"/>
          <w:szCs w:val="26"/>
        </w:rPr>
        <w:t xml:space="preserve"> is a Delaware corporation</w:t>
      </w:r>
      <w:r w:rsidR="00F963D9">
        <w:rPr>
          <w:color w:val="000000" w:themeColor="text1"/>
          <w:sz w:val="26"/>
          <w:szCs w:val="26"/>
        </w:rPr>
        <w:t xml:space="preserve"> with its </w:t>
      </w:r>
      <w:r>
        <w:rPr>
          <w:color w:val="000000" w:themeColor="text1"/>
          <w:sz w:val="26"/>
          <w:szCs w:val="26"/>
        </w:rPr>
        <w:t xml:space="preserve">principal address </w:t>
      </w:r>
      <w:r w:rsidR="00BB3359">
        <w:rPr>
          <w:color w:val="000000" w:themeColor="text1"/>
          <w:sz w:val="26"/>
          <w:szCs w:val="26"/>
        </w:rPr>
        <w:t>located at</w:t>
      </w:r>
      <w:r>
        <w:rPr>
          <w:color w:val="000000" w:themeColor="text1"/>
          <w:sz w:val="26"/>
          <w:szCs w:val="26"/>
        </w:rPr>
        <w:t xml:space="preserve"> 4001 North Rodney Parham Road, Little Rock, Arkansas 72212.  </w:t>
      </w:r>
      <w:r w:rsidR="00B070BC">
        <w:rPr>
          <w:color w:val="000000" w:themeColor="text1"/>
          <w:sz w:val="26"/>
          <w:szCs w:val="26"/>
        </w:rPr>
        <w:t>In the Commonwealth of Pennsylvania, it is authorized to offer, render, furnish</w:t>
      </w:r>
      <w:r w:rsidR="00192E98">
        <w:rPr>
          <w:color w:val="000000" w:themeColor="text1"/>
          <w:sz w:val="26"/>
          <w:szCs w:val="26"/>
        </w:rPr>
        <w:t>,</w:t>
      </w:r>
      <w:r w:rsidR="00B070BC">
        <w:rPr>
          <w:color w:val="000000" w:themeColor="text1"/>
          <w:sz w:val="26"/>
          <w:szCs w:val="26"/>
        </w:rPr>
        <w:t xml:space="preserve"> or </w:t>
      </w:r>
      <w:r w:rsidR="00192E98">
        <w:rPr>
          <w:color w:val="000000" w:themeColor="text1"/>
          <w:sz w:val="26"/>
          <w:szCs w:val="26"/>
        </w:rPr>
        <w:t>provide</w:t>
      </w:r>
      <w:r w:rsidR="00B070BC">
        <w:rPr>
          <w:color w:val="000000" w:themeColor="text1"/>
          <w:sz w:val="26"/>
          <w:szCs w:val="26"/>
        </w:rPr>
        <w:t xml:space="preserve"> IXC-R and </w:t>
      </w:r>
      <w:bookmarkStart w:id="2" w:name="_Hlk42768455"/>
      <w:r w:rsidR="000373A2">
        <w:rPr>
          <w:color w:val="000000" w:themeColor="text1"/>
          <w:sz w:val="26"/>
          <w:szCs w:val="26"/>
        </w:rPr>
        <w:t xml:space="preserve">reseller and facilities-based </w:t>
      </w:r>
      <w:r w:rsidR="00B070BC">
        <w:rPr>
          <w:color w:val="000000" w:themeColor="text1"/>
          <w:sz w:val="26"/>
          <w:szCs w:val="26"/>
        </w:rPr>
        <w:t>CLEC telecommunication</w:t>
      </w:r>
      <w:r w:rsidR="00A62BD2">
        <w:rPr>
          <w:color w:val="000000" w:themeColor="text1"/>
          <w:sz w:val="26"/>
          <w:szCs w:val="26"/>
        </w:rPr>
        <w:t>s</w:t>
      </w:r>
      <w:r w:rsidR="00B070BC">
        <w:rPr>
          <w:color w:val="000000" w:themeColor="text1"/>
          <w:sz w:val="26"/>
          <w:szCs w:val="26"/>
        </w:rPr>
        <w:t xml:space="preserve"> services pursuant to </w:t>
      </w:r>
      <w:r w:rsidR="00BF29F8">
        <w:rPr>
          <w:color w:val="000000" w:themeColor="text1"/>
          <w:sz w:val="26"/>
          <w:szCs w:val="26"/>
        </w:rPr>
        <w:t xml:space="preserve">authority granted by the </w:t>
      </w:r>
      <w:r w:rsidR="00B070BC">
        <w:rPr>
          <w:color w:val="000000" w:themeColor="text1"/>
          <w:sz w:val="26"/>
          <w:szCs w:val="26"/>
        </w:rPr>
        <w:t xml:space="preserve">Commission at </w:t>
      </w:r>
      <w:bookmarkEnd w:id="2"/>
      <w:r w:rsidR="003649A9">
        <w:rPr>
          <w:color w:val="000000" w:themeColor="text1"/>
          <w:sz w:val="26"/>
          <w:szCs w:val="26"/>
        </w:rPr>
        <w:t>Docket Nos. A-310992 and A-3109927</w:t>
      </w:r>
      <w:r w:rsidR="002D1B3B">
        <w:rPr>
          <w:color w:val="000000" w:themeColor="text1"/>
          <w:sz w:val="26"/>
          <w:szCs w:val="26"/>
        </w:rPr>
        <w:t xml:space="preserve"> </w:t>
      </w:r>
      <w:r w:rsidR="003649A9">
        <w:rPr>
          <w:color w:val="000000" w:themeColor="text1"/>
          <w:sz w:val="26"/>
          <w:szCs w:val="26"/>
        </w:rPr>
        <w:t>F0002</w:t>
      </w:r>
      <w:r w:rsidR="00B070BC">
        <w:rPr>
          <w:color w:val="000000" w:themeColor="text1"/>
          <w:sz w:val="26"/>
          <w:szCs w:val="26"/>
        </w:rPr>
        <w:t xml:space="preserve">.  </w:t>
      </w:r>
    </w:p>
    <w:p w14:paraId="77346460" w14:textId="3FC9843B" w:rsidR="008C0F0C" w:rsidRDefault="008C0F0C" w:rsidP="000C191F">
      <w:pPr>
        <w:ind w:firstLine="720"/>
        <w:rPr>
          <w:color w:val="000000" w:themeColor="text1"/>
          <w:sz w:val="26"/>
          <w:szCs w:val="26"/>
        </w:rPr>
      </w:pPr>
    </w:p>
    <w:p w14:paraId="151FBC6E" w14:textId="7B2374E4" w:rsidR="008C0F0C" w:rsidRDefault="00B7649D" w:rsidP="000C191F">
      <w:pPr>
        <w:ind w:firstLine="720"/>
        <w:rPr>
          <w:color w:val="000000" w:themeColor="text1"/>
          <w:sz w:val="26"/>
          <w:szCs w:val="26"/>
        </w:rPr>
      </w:pPr>
      <w:proofErr w:type="spellStart"/>
      <w:r>
        <w:rPr>
          <w:color w:val="000000" w:themeColor="text1"/>
          <w:sz w:val="26"/>
          <w:szCs w:val="26"/>
        </w:rPr>
        <w:t>BridgeCom</w:t>
      </w:r>
      <w:proofErr w:type="spellEnd"/>
      <w:r>
        <w:rPr>
          <w:color w:val="000000" w:themeColor="text1"/>
          <w:sz w:val="26"/>
          <w:szCs w:val="26"/>
        </w:rPr>
        <w:t xml:space="preserve"> International, Inc.</w:t>
      </w:r>
      <w:r w:rsidR="007939EC">
        <w:rPr>
          <w:color w:val="000000" w:themeColor="text1"/>
          <w:sz w:val="26"/>
          <w:szCs w:val="26"/>
        </w:rPr>
        <w:t>, utility code 311052,</w:t>
      </w:r>
      <w:r>
        <w:rPr>
          <w:color w:val="000000" w:themeColor="text1"/>
          <w:sz w:val="26"/>
          <w:szCs w:val="26"/>
        </w:rPr>
        <w:t xml:space="preserve"> is a Delaware corporation</w:t>
      </w:r>
      <w:r w:rsidR="000A728B">
        <w:rPr>
          <w:color w:val="000000" w:themeColor="text1"/>
          <w:sz w:val="26"/>
          <w:szCs w:val="26"/>
        </w:rPr>
        <w:t xml:space="preserve"> with its </w:t>
      </w:r>
      <w:r>
        <w:rPr>
          <w:color w:val="000000" w:themeColor="text1"/>
          <w:sz w:val="26"/>
          <w:szCs w:val="26"/>
        </w:rPr>
        <w:t>principal address</w:t>
      </w:r>
      <w:r w:rsidR="000A728B">
        <w:rPr>
          <w:color w:val="000000" w:themeColor="text1"/>
          <w:sz w:val="26"/>
          <w:szCs w:val="26"/>
        </w:rPr>
        <w:t xml:space="preserve"> located at </w:t>
      </w:r>
      <w:r>
        <w:rPr>
          <w:color w:val="000000" w:themeColor="text1"/>
          <w:sz w:val="26"/>
          <w:szCs w:val="26"/>
        </w:rPr>
        <w:t>4001 North Rodney Parham Road, Little Rock, A</w:t>
      </w:r>
      <w:r w:rsidR="000A728B">
        <w:rPr>
          <w:color w:val="000000" w:themeColor="text1"/>
          <w:sz w:val="26"/>
          <w:szCs w:val="26"/>
        </w:rPr>
        <w:t>rkansas</w:t>
      </w:r>
      <w:r>
        <w:rPr>
          <w:color w:val="000000" w:themeColor="text1"/>
          <w:sz w:val="26"/>
          <w:szCs w:val="26"/>
        </w:rPr>
        <w:t xml:space="preserve"> 72212.</w:t>
      </w:r>
      <w:r w:rsidR="007939EC">
        <w:rPr>
          <w:color w:val="000000" w:themeColor="text1"/>
          <w:sz w:val="26"/>
          <w:szCs w:val="26"/>
        </w:rPr>
        <w:t xml:space="preserve">  </w:t>
      </w:r>
      <w:r w:rsidR="000A728B">
        <w:rPr>
          <w:color w:val="000000" w:themeColor="text1"/>
          <w:sz w:val="26"/>
          <w:szCs w:val="26"/>
        </w:rPr>
        <w:t>In the Commonwealth of Pennsylvania, it is authorized to offer, render, furnish</w:t>
      </w:r>
      <w:r w:rsidR="00192E98">
        <w:rPr>
          <w:color w:val="000000" w:themeColor="text1"/>
          <w:sz w:val="26"/>
          <w:szCs w:val="26"/>
        </w:rPr>
        <w:t>,</w:t>
      </w:r>
      <w:r w:rsidR="000A728B">
        <w:rPr>
          <w:color w:val="000000" w:themeColor="text1"/>
          <w:sz w:val="26"/>
          <w:szCs w:val="26"/>
        </w:rPr>
        <w:t xml:space="preserve"> or </w:t>
      </w:r>
      <w:r w:rsidR="00192E98">
        <w:rPr>
          <w:color w:val="000000" w:themeColor="text1"/>
          <w:sz w:val="26"/>
          <w:szCs w:val="26"/>
        </w:rPr>
        <w:t xml:space="preserve">provide </w:t>
      </w:r>
      <w:r w:rsidR="000A728B">
        <w:rPr>
          <w:color w:val="000000" w:themeColor="text1"/>
          <w:sz w:val="26"/>
          <w:szCs w:val="26"/>
        </w:rPr>
        <w:t xml:space="preserve">IXC-R and </w:t>
      </w:r>
      <w:r w:rsidR="000373A2">
        <w:rPr>
          <w:color w:val="000000" w:themeColor="text1"/>
          <w:sz w:val="26"/>
          <w:szCs w:val="26"/>
        </w:rPr>
        <w:t xml:space="preserve">reseller and facilities-based </w:t>
      </w:r>
      <w:r w:rsidR="000A728B">
        <w:rPr>
          <w:color w:val="000000" w:themeColor="text1"/>
          <w:sz w:val="26"/>
          <w:szCs w:val="26"/>
        </w:rPr>
        <w:t>CLEC telecommunication</w:t>
      </w:r>
      <w:r w:rsidR="00A62BD2">
        <w:rPr>
          <w:color w:val="000000" w:themeColor="text1"/>
          <w:sz w:val="26"/>
          <w:szCs w:val="26"/>
        </w:rPr>
        <w:t>s</w:t>
      </w:r>
      <w:r w:rsidR="000A728B">
        <w:rPr>
          <w:color w:val="000000" w:themeColor="text1"/>
          <w:sz w:val="26"/>
          <w:szCs w:val="26"/>
        </w:rPr>
        <w:t xml:space="preserve"> services pursuant to </w:t>
      </w:r>
      <w:r w:rsidR="004E42F0">
        <w:rPr>
          <w:color w:val="000000" w:themeColor="text1"/>
          <w:sz w:val="26"/>
          <w:szCs w:val="26"/>
        </w:rPr>
        <w:t xml:space="preserve">authority granted by the </w:t>
      </w:r>
      <w:r w:rsidR="000A728B">
        <w:rPr>
          <w:color w:val="000000" w:themeColor="text1"/>
          <w:sz w:val="26"/>
          <w:szCs w:val="26"/>
        </w:rPr>
        <w:t>Commission a</w:t>
      </w:r>
      <w:r w:rsidR="007939EC">
        <w:rPr>
          <w:color w:val="000000" w:themeColor="text1"/>
          <w:sz w:val="26"/>
          <w:szCs w:val="26"/>
        </w:rPr>
        <w:t>t Docket No</w:t>
      </w:r>
      <w:r w:rsidR="000A728B">
        <w:rPr>
          <w:color w:val="000000" w:themeColor="text1"/>
          <w:sz w:val="26"/>
          <w:szCs w:val="26"/>
        </w:rPr>
        <w:t>s</w:t>
      </w:r>
      <w:r w:rsidR="007939EC">
        <w:rPr>
          <w:color w:val="000000" w:themeColor="text1"/>
          <w:sz w:val="26"/>
          <w:szCs w:val="26"/>
        </w:rPr>
        <w:t>. A-311052</w:t>
      </w:r>
      <w:r w:rsidR="000A728B">
        <w:rPr>
          <w:color w:val="000000" w:themeColor="text1"/>
          <w:sz w:val="26"/>
          <w:szCs w:val="26"/>
        </w:rPr>
        <w:t xml:space="preserve"> and A-311052 F0002.</w:t>
      </w:r>
      <w:r w:rsidR="00BE187D">
        <w:rPr>
          <w:color w:val="000000" w:themeColor="text1"/>
          <w:sz w:val="26"/>
          <w:szCs w:val="26"/>
        </w:rPr>
        <w:t xml:space="preserve"> </w:t>
      </w:r>
    </w:p>
    <w:p w14:paraId="4142F55F" w14:textId="40CC2224" w:rsidR="00BE187D" w:rsidRDefault="00BE187D" w:rsidP="000C191F">
      <w:pPr>
        <w:ind w:firstLine="720"/>
        <w:rPr>
          <w:color w:val="000000" w:themeColor="text1"/>
          <w:sz w:val="26"/>
          <w:szCs w:val="26"/>
        </w:rPr>
      </w:pPr>
    </w:p>
    <w:p w14:paraId="724696BE" w14:textId="1A4841D8" w:rsidR="00BE187D" w:rsidRDefault="00BE187D" w:rsidP="000C191F">
      <w:pPr>
        <w:ind w:firstLine="720"/>
        <w:rPr>
          <w:color w:val="000000" w:themeColor="text1"/>
          <w:sz w:val="26"/>
          <w:szCs w:val="26"/>
        </w:rPr>
      </w:pPr>
      <w:r>
        <w:rPr>
          <w:color w:val="000000" w:themeColor="text1"/>
          <w:sz w:val="26"/>
          <w:szCs w:val="26"/>
        </w:rPr>
        <w:t>Broadview Networks, Inc., utility code 310932, is a New York corporation</w:t>
      </w:r>
      <w:r w:rsidR="00C83DA2">
        <w:rPr>
          <w:color w:val="000000" w:themeColor="text1"/>
          <w:sz w:val="26"/>
          <w:szCs w:val="26"/>
        </w:rPr>
        <w:t xml:space="preserve"> with its </w:t>
      </w:r>
      <w:r>
        <w:rPr>
          <w:color w:val="000000" w:themeColor="text1"/>
          <w:sz w:val="26"/>
          <w:szCs w:val="26"/>
        </w:rPr>
        <w:t xml:space="preserve">principal address </w:t>
      </w:r>
      <w:r w:rsidR="00C83DA2">
        <w:rPr>
          <w:color w:val="000000" w:themeColor="text1"/>
          <w:sz w:val="26"/>
          <w:szCs w:val="26"/>
        </w:rPr>
        <w:t xml:space="preserve">located at </w:t>
      </w:r>
      <w:r>
        <w:rPr>
          <w:color w:val="000000" w:themeColor="text1"/>
          <w:sz w:val="26"/>
          <w:szCs w:val="26"/>
        </w:rPr>
        <w:t xml:space="preserve">4001 North Rodney Parham Road, Little Rock, Arkansas </w:t>
      </w:r>
      <w:r>
        <w:rPr>
          <w:color w:val="000000" w:themeColor="text1"/>
          <w:sz w:val="26"/>
          <w:szCs w:val="26"/>
        </w:rPr>
        <w:lastRenderedPageBreak/>
        <w:t xml:space="preserve">72212.  </w:t>
      </w:r>
      <w:r w:rsidR="00C83DA2">
        <w:rPr>
          <w:color w:val="000000" w:themeColor="text1"/>
          <w:sz w:val="26"/>
          <w:szCs w:val="26"/>
        </w:rPr>
        <w:t xml:space="preserve">In the Commonwealth of Pennsylvania, it is authorized </w:t>
      </w:r>
      <w:r w:rsidR="004064D7">
        <w:rPr>
          <w:color w:val="000000" w:themeColor="text1"/>
          <w:sz w:val="26"/>
          <w:szCs w:val="26"/>
        </w:rPr>
        <w:t>to offer, render, furnish</w:t>
      </w:r>
      <w:r w:rsidR="00192E98">
        <w:rPr>
          <w:color w:val="000000" w:themeColor="text1"/>
          <w:sz w:val="26"/>
          <w:szCs w:val="26"/>
        </w:rPr>
        <w:t>,</w:t>
      </w:r>
      <w:r w:rsidR="004064D7">
        <w:rPr>
          <w:color w:val="000000" w:themeColor="text1"/>
          <w:sz w:val="26"/>
          <w:szCs w:val="26"/>
        </w:rPr>
        <w:t xml:space="preserve"> or </w:t>
      </w:r>
      <w:r w:rsidR="00192E98">
        <w:rPr>
          <w:color w:val="000000" w:themeColor="text1"/>
          <w:sz w:val="26"/>
          <w:szCs w:val="26"/>
        </w:rPr>
        <w:t xml:space="preserve">provide </w:t>
      </w:r>
      <w:r w:rsidR="000373A2">
        <w:rPr>
          <w:color w:val="000000" w:themeColor="text1"/>
          <w:sz w:val="26"/>
          <w:szCs w:val="26"/>
        </w:rPr>
        <w:t xml:space="preserve">facilities-based </w:t>
      </w:r>
      <w:r w:rsidR="004064D7">
        <w:rPr>
          <w:color w:val="000000" w:themeColor="text1"/>
          <w:sz w:val="26"/>
          <w:szCs w:val="26"/>
        </w:rPr>
        <w:t>IXC</w:t>
      </w:r>
      <w:r w:rsidR="00BC6882">
        <w:rPr>
          <w:color w:val="000000" w:themeColor="text1"/>
          <w:sz w:val="26"/>
          <w:szCs w:val="26"/>
        </w:rPr>
        <w:t xml:space="preserve">, </w:t>
      </w:r>
      <w:r w:rsidR="00C83DA2">
        <w:rPr>
          <w:color w:val="000000" w:themeColor="text1"/>
          <w:sz w:val="26"/>
          <w:szCs w:val="26"/>
        </w:rPr>
        <w:t>I</w:t>
      </w:r>
      <w:r w:rsidR="004064D7">
        <w:rPr>
          <w:color w:val="000000" w:themeColor="text1"/>
          <w:sz w:val="26"/>
          <w:szCs w:val="26"/>
        </w:rPr>
        <w:t>XC</w:t>
      </w:r>
      <w:r w:rsidR="00C83DA2">
        <w:rPr>
          <w:color w:val="000000" w:themeColor="text1"/>
          <w:sz w:val="26"/>
          <w:szCs w:val="26"/>
        </w:rPr>
        <w:t>-R</w:t>
      </w:r>
      <w:r w:rsidR="00BC6882">
        <w:rPr>
          <w:color w:val="000000" w:themeColor="text1"/>
          <w:sz w:val="26"/>
          <w:szCs w:val="26"/>
        </w:rPr>
        <w:t xml:space="preserve">, facilities-based </w:t>
      </w:r>
      <w:r w:rsidR="004064D7">
        <w:rPr>
          <w:color w:val="000000" w:themeColor="text1"/>
          <w:sz w:val="26"/>
          <w:szCs w:val="26"/>
        </w:rPr>
        <w:t>CLEC</w:t>
      </w:r>
      <w:r w:rsidR="00BC6882">
        <w:rPr>
          <w:color w:val="000000" w:themeColor="text1"/>
          <w:sz w:val="26"/>
          <w:szCs w:val="26"/>
        </w:rPr>
        <w:t>,</w:t>
      </w:r>
      <w:r w:rsidR="004064D7">
        <w:rPr>
          <w:color w:val="000000" w:themeColor="text1"/>
          <w:sz w:val="26"/>
          <w:szCs w:val="26"/>
        </w:rPr>
        <w:t xml:space="preserve"> and competitive access provider (CAP)</w:t>
      </w:r>
      <w:r w:rsidR="00C83DA2">
        <w:rPr>
          <w:color w:val="000000" w:themeColor="text1"/>
          <w:sz w:val="26"/>
          <w:szCs w:val="26"/>
        </w:rPr>
        <w:t xml:space="preserve"> telecommunication</w:t>
      </w:r>
      <w:r w:rsidR="00A62BD2">
        <w:rPr>
          <w:color w:val="000000" w:themeColor="text1"/>
          <w:sz w:val="26"/>
          <w:szCs w:val="26"/>
        </w:rPr>
        <w:t>s</w:t>
      </w:r>
      <w:r w:rsidR="00C83DA2">
        <w:rPr>
          <w:color w:val="000000" w:themeColor="text1"/>
          <w:sz w:val="26"/>
          <w:szCs w:val="26"/>
        </w:rPr>
        <w:t xml:space="preserve"> services pursuant to </w:t>
      </w:r>
      <w:r w:rsidR="001B7260">
        <w:rPr>
          <w:color w:val="000000" w:themeColor="text1"/>
          <w:sz w:val="26"/>
          <w:szCs w:val="26"/>
        </w:rPr>
        <w:t xml:space="preserve">authority granted by the </w:t>
      </w:r>
      <w:r w:rsidR="00C83DA2">
        <w:rPr>
          <w:color w:val="000000" w:themeColor="text1"/>
          <w:sz w:val="26"/>
          <w:szCs w:val="26"/>
        </w:rPr>
        <w:t>Commission at Docket Nos. A-310932, A-310932 F0002, A-310932 F0003, and A-310932 F0004.</w:t>
      </w:r>
      <w:r w:rsidR="004064D7">
        <w:rPr>
          <w:color w:val="000000" w:themeColor="text1"/>
          <w:sz w:val="26"/>
          <w:szCs w:val="26"/>
        </w:rPr>
        <w:t xml:space="preserve">  </w:t>
      </w:r>
    </w:p>
    <w:p w14:paraId="67D7B093" w14:textId="589DD73C" w:rsidR="009110F5" w:rsidRDefault="009110F5" w:rsidP="000C191F">
      <w:pPr>
        <w:ind w:firstLine="720"/>
        <w:rPr>
          <w:color w:val="000000" w:themeColor="text1"/>
          <w:sz w:val="26"/>
          <w:szCs w:val="26"/>
        </w:rPr>
      </w:pPr>
    </w:p>
    <w:p w14:paraId="3A56FEDA" w14:textId="29859545" w:rsidR="009110F5" w:rsidRDefault="00843CFA" w:rsidP="000C191F">
      <w:pPr>
        <w:ind w:firstLine="720"/>
        <w:rPr>
          <w:color w:val="000000" w:themeColor="text1"/>
          <w:sz w:val="26"/>
          <w:szCs w:val="26"/>
        </w:rPr>
      </w:pPr>
      <w:r>
        <w:rPr>
          <w:color w:val="000000" w:themeColor="text1"/>
          <w:sz w:val="26"/>
          <w:szCs w:val="26"/>
        </w:rPr>
        <w:t>Broadview NP Acquisition Corp.</w:t>
      </w:r>
      <w:r w:rsidR="00E834F8">
        <w:rPr>
          <w:color w:val="000000" w:themeColor="text1"/>
          <w:sz w:val="26"/>
          <w:szCs w:val="26"/>
        </w:rPr>
        <w:t xml:space="preserve"> d/b/a Broadview Net Plus</w:t>
      </w:r>
      <w:r>
        <w:rPr>
          <w:color w:val="000000" w:themeColor="text1"/>
          <w:sz w:val="26"/>
          <w:szCs w:val="26"/>
        </w:rPr>
        <w:t>, utility code 311188, is a Delaware corporation</w:t>
      </w:r>
      <w:r w:rsidR="00954180">
        <w:rPr>
          <w:color w:val="000000" w:themeColor="text1"/>
          <w:sz w:val="26"/>
          <w:szCs w:val="26"/>
        </w:rPr>
        <w:t xml:space="preserve"> with its </w:t>
      </w:r>
      <w:r>
        <w:rPr>
          <w:color w:val="000000" w:themeColor="text1"/>
          <w:sz w:val="26"/>
          <w:szCs w:val="26"/>
        </w:rPr>
        <w:t>principal address</w:t>
      </w:r>
      <w:r w:rsidR="00954180">
        <w:rPr>
          <w:color w:val="000000" w:themeColor="text1"/>
          <w:sz w:val="26"/>
          <w:szCs w:val="26"/>
        </w:rPr>
        <w:t xml:space="preserve"> located at </w:t>
      </w:r>
      <w:r>
        <w:rPr>
          <w:color w:val="000000" w:themeColor="text1"/>
          <w:sz w:val="26"/>
          <w:szCs w:val="26"/>
        </w:rPr>
        <w:t xml:space="preserve">4001 North Rodney Parham Road, Little Rock, Arkansas 72212.  </w:t>
      </w:r>
      <w:r w:rsidR="00954180">
        <w:rPr>
          <w:color w:val="000000" w:themeColor="text1"/>
          <w:sz w:val="26"/>
          <w:szCs w:val="26"/>
        </w:rPr>
        <w:t>In the Commonwealth</w:t>
      </w:r>
      <w:r w:rsidR="00F45E9A">
        <w:rPr>
          <w:color w:val="000000" w:themeColor="text1"/>
          <w:sz w:val="26"/>
          <w:szCs w:val="26"/>
        </w:rPr>
        <w:t xml:space="preserve"> of Pennsylvania</w:t>
      </w:r>
      <w:r w:rsidR="00F15600">
        <w:rPr>
          <w:color w:val="000000" w:themeColor="text1"/>
          <w:sz w:val="26"/>
          <w:szCs w:val="26"/>
        </w:rPr>
        <w:t>, it is authorized to</w:t>
      </w:r>
      <w:r w:rsidR="00954180">
        <w:rPr>
          <w:color w:val="000000" w:themeColor="text1"/>
          <w:sz w:val="26"/>
          <w:szCs w:val="26"/>
        </w:rPr>
        <w:t xml:space="preserve"> </w:t>
      </w:r>
      <w:r>
        <w:rPr>
          <w:color w:val="000000" w:themeColor="text1"/>
          <w:sz w:val="26"/>
          <w:szCs w:val="26"/>
        </w:rPr>
        <w:t>offer, render, furnish</w:t>
      </w:r>
      <w:r w:rsidR="00192E98">
        <w:rPr>
          <w:color w:val="000000" w:themeColor="text1"/>
          <w:sz w:val="26"/>
          <w:szCs w:val="26"/>
        </w:rPr>
        <w:t>,</w:t>
      </w:r>
      <w:r>
        <w:rPr>
          <w:color w:val="000000" w:themeColor="text1"/>
          <w:sz w:val="26"/>
          <w:szCs w:val="26"/>
        </w:rPr>
        <w:t xml:space="preserve"> or </w:t>
      </w:r>
      <w:r w:rsidR="00192E98">
        <w:rPr>
          <w:color w:val="000000" w:themeColor="text1"/>
          <w:sz w:val="26"/>
          <w:szCs w:val="26"/>
        </w:rPr>
        <w:t xml:space="preserve">provide </w:t>
      </w:r>
      <w:r w:rsidR="00E834F8">
        <w:rPr>
          <w:color w:val="000000" w:themeColor="text1"/>
          <w:sz w:val="26"/>
          <w:szCs w:val="26"/>
        </w:rPr>
        <w:t>facilities-based IXC, resell</w:t>
      </w:r>
      <w:r w:rsidR="00A62BD2">
        <w:rPr>
          <w:color w:val="000000" w:themeColor="text1"/>
          <w:sz w:val="26"/>
          <w:szCs w:val="26"/>
        </w:rPr>
        <w:t>er</w:t>
      </w:r>
      <w:r w:rsidR="00E834F8">
        <w:rPr>
          <w:color w:val="000000" w:themeColor="text1"/>
          <w:sz w:val="26"/>
          <w:szCs w:val="26"/>
        </w:rPr>
        <w:t xml:space="preserve"> and facilities-based CLE</w:t>
      </w:r>
      <w:r w:rsidR="00B03818">
        <w:rPr>
          <w:color w:val="000000" w:themeColor="text1"/>
          <w:sz w:val="26"/>
          <w:szCs w:val="26"/>
        </w:rPr>
        <w:t>C</w:t>
      </w:r>
      <w:r w:rsidR="004700F4">
        <w:rPr>
          <w:color w:val="000000" w:themeColor="text1"/>
          <w:sz w:val="26"/>
          <w:szCs w:val="26"/>
        </w:rPr>
        <w:t>,</w:t>
      </w:r>
      <w:r w:rsidR="00E834F8">
        <w:rPr>
          <w:color w:val="000000" w:themeColor="text1"/>
          <w:sz w:val="26"/>
          <w:szCs w:val="26"/>
        </w:rPr>
        <w:t xml:space="preserve"> an</w:t>
      </w:r>
      <w:r w:rsidR="00F15600">
        <w:rPr>
          <w:color w:val="000000" w:themeColor="text1"/>
          <w:sz w:val="26"/>
          <w:szCs w:val="26"/>
        </w:rPr>
        <w:t xml:space="preserve">d </w:t>
      </w:r>
      <w:r w:rsidR="00E834F8">
        <w:rPr>
          <w:color w:val="000000" w:themeColor="text1"/>
          <w:sz w:val="26"/>
          <w:szCs w:val="26"/>
        </w:rPr>
        <w:t>CAP</w:t>
      </w:r>
      <w:r w:rsidR="00F15600">
        <w:rPr>
          <w:color w:val="000000" w:themeColor="text1"/>
          <w:sz w:val="26"/>
          <w:szCs w:val="26"/>
        </w:rPr>
        <w:t xml:space="preserve"> telecommunications services pursuant to </w:t>
      </w:r>
      <w:r w:rsidR="00F45E9A">
        <w:rPr>
          <w:color w:val="000000" w:themeColor="text1"/>
          <w:sz w:val="26"/>
          <w:szCs w:val="26"/>
        </w:rPr>
        <w:t xml:space="preserve">authority granted by the </w:t>
      </w:r>
      <w:r w:rsidR="00F15600">
        <w:rPr>
          <w:color w:val="000000" w:themeColor="text1"/>
          <w:sz w:val="26"/>
          <w:szCs w:val="26"/>
        </w:rPr>
        <w:t>Commission at Docket Nos. A-311188, A-311188 F0002</w:t>
      </w:r>
      <w:r w:rsidR="004700F4">
        <w:rPr>
          <w:color w:val="000000" w:themeColor="text1"/>
          <w:sz w:val="26"/>
          <w:szCs w:val="26"/>
        </w:rPr>
        <w:t>,</w:t>
      </w:r>
      <w:r w:rsidR="00F15600">
        <w:rPr>
          <w:color w:val="000000" w:themeColor="text1"/>
          <w:sz w:val="26"/>
          <w:szCs w:val="26"/>
        </w:rPr>
        <w:t xml:space="preserve"> and A-311188 F0003.</w:t>
      </w:r>
    </w:p>
    <w:p w14:paraId="5ADF6446" w14:textId="68DC4D29" w:rsidR="008C0F0C" w:rsidRPr="00596AD5" w:rsidRDefault="008C0F0C" w:rsidP="000C191F">
      <w:pPr>
        <w:ind w:firstLine="720"/>
        <w:rPr>
          <w:sz w:val="26"/>
          <w:szCs w:val="26"/>
        </w:rPr>
      </w:pPr>
    </w:p>
    <w:p w14:paraId="66890EE2" w14:textId="04BC4CF7" w:rsidR="00C769A3" w:rsidRPr="00596AD5" w:rsidRDefault="00C769A3" w:rsidP="000C191F">
      <w:pPr>
        <w:ind w:firstLine="720"/>
        <w:rPr>
          <w:sz w:val="26"/>
          <w:szCs w:val="26"/>
        </w:rPr>
      </w:pPr>
      <w:r w:rsidRPr="00596AD5">
        <w:rPr>
          <w:sz w:val="26"/>
          <w:szCs w:val="26"/>
        </w:rPr>
        <w:t>Business Telecom, LLC</w:t>
      </w:r>
      <w:r w:rsidR="002362F4" w:rsidRPr="00596AD5">
        <w:rPr>
          <w:sz w:val="26"/>
          <w:szCs w:val="26"/>
        </w:rPr>
        <w:t xml:space="preserve"> d/b/a EarthLink Business III, utility code 310092,</w:t>
      </w:r>
      <w:r w:rsidRPr="00596AD5">
        <w:rPr>
          <w:sz w:val="26"/>
          <w:szCs w:val="26"/>
        </w:rPr>
        <w:t xml:space="preserve"> is a North Carolina limited liability company</w:t>
      </w:r>
      <w:r w:rsidR="00844D0A" w:rsidRPr="00596AD5">
        <w:rPr>
          <w:sz w:val="26"/>
          <w:szCs w:val="26"/>
        </w:rPr>
        <w:t xml:space="preserve"> with its </w:t>
      </w:r>
      <w:r w:rsidRPr="00596AD5">
        <w:rPr>
          <w:sz w:val="26"/>
          <w:szCs w:val="26"/>
        </w:rPr>
        <w:t>principal address</w:t>
      </w:r>
      <w:r w:rsidR="00F45E9A" w:rsidRPr="00596AD5">
        <w:rPr>
          <w:sz w:val="26"/>
          <w:szCs w:val="26"/>
        </w:rPr>
        <w:t xml:space="preserve"> located</w:t>
      </w:r>
      <w:r w:rsidRPr="00596AD5">
        <w:rPr>
          <w:sz w:val="26"/>
          <w:szCs w:val="26"/>
        </w:rPr>
        <w:t xml:space="preserve"> </w:t>
      </w:r>
      <w:r w:rsidR="00844D0A" w:rsidRPr="00596AD5">
        <w:rPr>
          <w:sz w:val="26"/>
          <w:szCs w:val="26"/>
        </w:rPr>
        <w:t>at</w:t>
      </w:r>
      <w:r w:rsidRPr="00596AD5">
        <w:rPr>
          <w:sz w:val="26"/>
          <w:szCs w:val="26"/>
        </w:rPr>
        <w:t xml:space="preserve"> 4001 North Rodney Parham Road, Little Rock, Arkansas 72212. </w:t>
      </w:r>
      <w:r w:rsidR="00F45E9A" w:rsidRPr="00596AD5">
        <w:rPr>
          <w:sz w:val="26"/>
          <w:szCs w:val="26"/>
        </w:rPr>
        <w:t xml:space="preserve"> In the Commonwealth of Pennsylvania, it is </w:t>
      </w:r>
      <w:r w:rsidR="00844D0A" w:rsidRPr="00596AD5">
        <w:rPr>
          <w:sz w:val="26"/>
          <w:szCs w:val="26"/>
        </w:rPr>
        <w:t>authorized to offer, render, furnish</w:t>
      </w:r>
      <w:r w:rsidR="006110D1" w:rsidRPr="00596AD5">
        <w:rPr>
          <w:sz w:val="26"/>
          <w:szCs w:val="26"/>
        </w:rPr>
        <w:t>,</w:t>
      </w:r>
      <w:r w:rsidR="00844D0A" w:rsidRPr="00596AD5">
        <w:rPr>
          <w:sz w:val="26"/>
          <w:szCs w:val="26"/>
        </w:rPr>
        <w:t xml:space="preserve"> or </w:t>
      </w:r>
      <w:r w:rsidR="006110D1" w:rsidRPr="00596AD5">
        <w:rPr>
          <w:sz w:val="26"/>
          <w:szCs w:val="26"/>
        </w:rPr>
        <w:t xml:space="preserve">provide </w:t>
      </w:r>
      <w:r w:rsidR="00844D0A" w:rsidRPr="00596AD5">
        <w:rPr>
          <w:sz w:val="26"/>
          <w:szCs w:val="26"/>
        </w:rPr>
        <w:t>facilities-based IXC, IXC</w:t>
      </w:r>
      <w:r w:rsidR="00F45E9A" w:rsidRPr="00596AD5">
        <w:rPr>
          <w:sz w:val="26"/>
          <w:szCs w:val="26"/>
        </w:rPr>
        <w:t>-R</w:t>
      </w:r>
      <w:r w:rsidR="004700F4" w:rsidRPr="00596AD5">
        <w:rPr>
          <w:sz w:val="26"/>
          <w:szCs w:val="26"/>
        </w:rPr>
        <w:t>,</w:t>
      </w:r>
      <w:r w:rsidR="00844D0A" w:rsidRPr="00596AD5">
        <w:rPr>
          <w:sz w:val="26"/>
          <w:szCs w:val="26"/>
        </w:rPr>
        <w:t xml:space="preserve"> and CLEC </w:t>
      </w:r>
      <w:r w:rsidR="00F45E9A" w:rsidRPr="00596AD5">
        <w:rPr>
          <w:sz w:val="26"/>
          <w:szCs w:val="26"/>
        </w:rPr>
        <w:t>telecommunication</w:t>
      </w:r>
      <w:r w:rsidR="00A62BD2">
        <w:rPr>
          <w:sz w:val="26"/>
          <w:szCs w:val="26"/>
        </w:rPr>
        <w:t>s</w:t>
      </w:r>
      <w:r w:rsidR="00F45E9A" w:rsidRPr="00596AD5">
        <w:rPr>
          <w:sz w:val="26"/>
          <w:szCs w:val="26"/>
        </w:rPr>
        <w:t xml:space="preserve"> services </w:t>
      </w:r>
      <w:r w:rsidR="00844D0A" w:rsidRPr="00596AD5">
        <w:rPr>
          <w:sz w:val="26"/>
          <w:szCs w:val="26"/>
        </w:rPr>
        <w:t xml:space="preserve">pursuant to authority granted by the Commission at </w:t>
      </w:r>
      <w:r w:rsidR="00B03818" w:rsidRPr="00596AD5">
        <w:rPr>
          <w:sz w:val="26"/>
          <w:szCs w:val="26"/>
        </w:rPr>
        <w:t>Docket Nos. A-310092, A-310092</w:t>
      </w:r>
      <w:r w:rsidR="002D1B3B" w:rsidRPr="00596AD5">
        <w:rPr>
          <w:sz w:val="26"/>
          <w:szCs w:val="26"/>
        </w:rPr>
        <w:t xml:space="preserve"> </w:t>
      </w:r>
      <w:r w:rsidR="00B03818" w:rsidRPr="00596AD5">
        <w:rPr>
          <w:sz w:val="26"/>
          <w:szCs w:val="26"/>
        </w:rPr>
        <w:t>F</w:t>
      </w:r>
      <w:r w:rsidR="002D1B3B" w:rsidRPr="00596AD5">
        <w:rPr>
          <w:sz w:val="26"/>
          <w:szCs w:val="26"/>
        </w:rPr>
        <w:t>0</w:t>
      </w:r>
      <w:r w:rsidR="00B03818" w:rsidRPr="00596AD5">
        <w:rPr>
          <w:sz w:val="26"/>
          <w:szCs w:val="26"/>
        </w:rPr>
        <w:t>002</w:t>
      </w:r>
      <w:r w:rsidR="004700F4" w:rsidRPr="00596AD5">
        <w:rPr>
          <w:sz w:val="26"/>
          <w:szCs w:val="26"/>
        </w:rPr>
        <w:t>,</w:t>
      </w:r>
      <w:r w:rsidR="00F45E9A" w:rsidRPr="00596AD5">
        <w:rPr>
          <w:sz w:val="26"/>
          <w:szCs w:val="26"/>
        </w:rPr>
        <w:t xml:space="preserve"> and</w:t>
      </w:r>
      <w:r w:rsidR="00B03818" w:rsidRPr="00596AD5">
        <w:rPr>
          <w:sz w:val="26"/>
          <w:szCs w:val="26"/>
        </w:rPr>
        <w:t xml:space="preserve"> </w:t>
      </w:r>
      <w:r w:rsidR="002362F4" w:rsidRPr="00596AD5">
        <w:rPr>
          <w:sz w:val="26"/>
          <w:szCs w:val="26"/>
        </w:rPr>
        <w:t>A-310092</w:t>
      </w:r>
      <w:r w:rsidR="002D1B3B" w:rsidRPr="00596AD5">
        <w:rPr>
          <w:sz w:val="26"/>
          <w:szCs w:val="26"/>
        </w:rPr>
        <w:t xml:space="preserve"> </w:t>
      </w:r>
      <w:r w:rsidR="002362F4" w:rsidRPr="00596AD5">
        <w:rPr>
          <w:sz w:val="26"/>
          <w:szCs w:val="26"/>
        </w:rPr>
        <w:t>F004</w:t>
      </w:r>
      <w:r w:rsidR="00F45E9A" w:rsidRPr="00596AD5">
        <w:rPr>
          <w:sz w:val="26"/>
          <w:szCs w:val="26"/>
        </w:rPr>
        <w:t xml:space="preserve">.  </w:t>
      </w:r>
    </w:p>
    <w:p w14:paraId="3E0FA36B" w14:textId="0CF1E3D2" w:rsidR="00C769A3" w:rsidRPr="00596AD5" w:rsidRDefault="00C769A3" w:rsidP="000C191F">
      <w:pPr>
        <w:ind w:firstLine="720"/>
        <w:rPr>
          <w:sz w:val="26"/>
          <w:szCs w:val="26"/>
        </w:rPr>
      </w:pPr>
    </w:p>
    <w:p w14:paraId="36BD9521" w14:textId="7DD419A7" w:rsidR="00C769A3" w:rsidRDefault="00A422E2" w:rsidP="000C191F">
      <w:pPr>
        <w:ind w:firstLine="720"/>
        <w:rPr>
          <w:color w:val="000000" w:themeColor="text1"/>
          <w:sz w:val="26"/>
          <w:szCs w:val="26"/>
        </w:rPr>
      </w:pPr>
      <w:r w:rsidRPr="00596AD5">
        <w:rPr>
          <w:sz w:val="26"/>
          <w:szCs w:val="26"/>
        </w:rPr>
        <w:t xml:space="preserve">Cavalier Telephone Mid-Atlantic, LLC, utility code </w:t>
      </w:r>
      <w:r>
        <w:rPr>
          <w:color w:val="000000" w:themeColor="text1"/>
          <w:sz w:val="26"/>
          <w:szCs w:val="26"/>
        </w:rPr>
        <w:t>310838, is a Delaware limited liability company</w:t>
      </w:r>
      <w:r w:rsidR="004700F4">
        <w:rPr>
          <w:color w:val="000000" w:themeColor="text1"/>
          <w:sz w:val="26"/>
          <w:szCs w:val="26"/>
        </w:rPr>
        <w:t xml:space="preserve"> with its </w:t>
      </w:r>
      <w:r>
        <w:rPr>
          <w:color w:val="000000" w:themeColor="text1"/>
          <w:sz w:val="26"/>
          <w:szCs w:val="26"/>
        </w:rPr>
        <w:t xml:space="preserve">principal address </w:t>
      </w:r>
      <w:r w:rsidR="004700F4">
        <w:rPr>
          <w:color w:val="000000" w:themeColor="text1"/>
          <w:sz w:val="26"/>
          <w:szCs w:val="26"/>
        </w:rPr>
        <w:t xml:space="preserve">located at </w:t>
      </w:r>
      <w:r>
        <w:rPr>
          <w:color w:val="000000" w:themeColor="text1"/>
          <w:sz w:val="26"/>
          <w:szCs w:val="26"/>
        </w:rPr>
        <w:t>4001 North Rodney Parham Road, Little Rock, Arkansas 72212</w:t>
      </w:r>
      <w:r w:rsidR="004700F4">
        <w:rPr>
          <w:color w:val="000000" w:themeColor="text1"/>
          <w:sz w:val="26"/>
          <w:szCs w:val="26"/>
        </w:rPr>
        <w:t xml:space="preserve">.  In the Commonwealth of Pennsylvania, it is authorized </w:t>
      </w:r>
      <w:r w:rsidR="007B747C">
        <w:rPr>
          <w:color w:val="000000" w:themeColor="text1"/>
          <w:sz w:val="26"/>
          <w:szCs w:val="26"/>
        </w:rPr>
        <w:t>to offer, render, furnish</w:t>
      </w:r>
      <w:r w:rsidR="004700F4">
        <w:rPr>
          <w:color w:val="000000" w:themeColor="text1"/>
          <w:sz w:val="26"/>
          <w:szCs w:val="26"/>
        </w:rPr>
        <w:t>,</w:t>
      </w:r>
      <w:r w:rsidR="007B747C">
        <w:rPr>
          <w:color w:val="000000" w:themeColor="text1"/>
          <w:sz w:val="26"/>
          <w:szCs w:val="26"/>
        </w:rPr>
        <w:t xml:space="preserve"> or </w:t>
      </w:r>
      <w:r w:rsidR="00D9108F">
        <w:rPr>
          <w:color w:val="000000" w:themeColor="text1"/>
          <w:sz w:val="26"/>
          <w:szCs w:val="26"/>
        </w:rPr>
        <w:t xml:space="preserve">provide </w:t>
      </w:r>
      <w:r w:rsidR="007B747C">
        <w:rPr>
          <w:color w:val="000000" w:themeColor="text1"/>
          <w:sz w:val="26"/>
          <w:szCs w:val="26"/>
        </w:rPr>
        <w:t xml:space="preserve">IXC-R, </w:t>
      </w:r>
      <w:r w:rsidR="000373A2">
        <w:rPr>
          <w:color w:val="000000" w:themeColor="text1"/>
          <w:sz w:val="26"/>
          <w:szCs w:val="26"/>
        </w:rPr>
        <w:t>resell</w:t>
      </w:r>
      <w:r w:rsidR="00A62BD2">
        <w:rPr>
          <w:color w:val="000000" w:themeColor="text1"/>
          <w:sz w:val="26"/>
          <w:szCs w:val="26"/>
        </w:rPr>
        <w:t>er</w:t>
      </w:r>
      <w:r w:rsidR="000373A2">
        <w:rPr>
          <w:color w:val="000000" w:themeColor="text1"/>
          <w:sz w:val="26"/>
          <w:szCs w:val="26"/>
        </w:rPr>
        <w:t xml:space="preserve"> and facilities-based </w:t>
      </w:r>
      <w:r w:rsidR="007B747C">
        <w:rPr>
          <w:color w:val="000000" w:themeColor="text1"/>
          <w:sz w:val="26"/>
          <w:szCs w:val="26"/>
        </w:rPr>
        <w:t>CLEC</w:t>
      </w:r>
      <w:r w:rsidR="004700F4">
        <w:rPr>
          <w:color w:val="000000" w:themeColor="text1"/>
          <w:sz w:val="26"/>
          <w:szCs w:val="26"/>
        </w:rPr>
        <w:t>,</w:t>
      </w:r>
      <w:r w:rsidR="007B747C">
        <w:rPr>
          <w:color w:val="000000" w:themeColor="text1"/>
          <w:sz w:val="26"/>
          <w:szCs w:val="26"/>
        </w:rPr>
        <w:t xml:space="preserve"> and CAP </w:t>
      </w:r>
      <w:r w:rsidR="004700F4">
        <w:rPr>
          <w:color w:val="000000" w:themeColor="text1"/>
          <w:sz w:val="26"/>
          <w:szCs w:val="26"/>
        </w:rPr>
        <w:t>telecommunication</w:t>
      </w:r>
      <w:r w:rsidR="00A62BD2">
        <w:rPr>
          <w:color w:val="000000" w:themeColor="text1"/>
          <w:sz w:val="26"/>
          <w:szCs w:val="26"/>
        </w:rPr>
        <w:t>s</w:t>
      </w:r>
      <w:r w:rsidR="004700F4">
        <w:rPr>
          <w:color w:val="000000" w:themeColor="text1"/>
          <w:sz w:val="26"/>
          <w:szCs w:val="26"/>
        </w:rPr>
        <w:t xml:space="preserve"> services pursuant to authority granted by the Commission at Docket Nos. A-310838, A-310838 F0002, and A310838 F0003.  </w:t>
      </w:r>
    </w:p>
    <w:p w14:paraId="64C8C026" w14:textId="4DC43247" w:rsidR="00C769A3" w:rsidRDefault="00C769A3" w:rsidP="000C191F">
      <w:pPr>
        <w:ind w:firstLine="720"/>
        <w:rPr>
          <w:color w:val="000000" w:themeColor="text1"/>
          <w:sz w:val="26"/>
          <w:szCs w:val="26"/>
        </w:rPr>
      </w:pPr>
    </w:p>
    <w:p w14:paraId="7AC9A2D5" w14:textId="591F332C" w:rsidR="00C769A3" w:rsidRDefault="007C1459" w:rsidP="000C191F">
      <w:pPr>
        <w:ind w:firstLine="720"/>
        <w:rPr>
          <w:color w:val="000000" w:themeColor="text1"/>
          <w:sz w:val="26"/>
          <w:szCs w:val="26"/>
        </w:rPr>
      </w:pPr>
      <w:r>
        <w:rPr>
          <w:color w:val="000000" w:themeColor="text1"/>
          <w:sz w:val="26"/>
          <w:szCs w:val="26"/>
        </w:rPr>
        <w:t>Choice One Communications of Pennsylvania, Inc. d/b/a EarthLink Business, utility code 310781, is a Delaware corporation</w:t>
      </w:r>
      <w:r w:rsidR="00D9108F">
        <w:rPr>
          <w:color w:val="000000" w:themeColor="text1"/>
          <w:sz w:val="26"/>
          <w:szCs w:val="26"/>
        </w:rPr>
        <w:t xml:space="preserve"> with its </w:t>
      </w:r>
      <w:r>
        <w:rPr>
          <w:color w:val="000000" w:themeColor="text1"/>
          <w:sz w:val="26"/>
          <w:szCs w:val="26"/>
        </w:rPr>
        <w:t xml:space="preserve">principal address </w:t>
      </w:r>
      <w:r w:rsidR="00D9108F">
        <w:rPr>
          <w:color w:val="000000" w:themeColor="text1"/>
          <w:sz w:val="26"/>
          <w:szCs w:val="26"/>
        </w:rPr>
        <w:t xml:space="preserve">located at </w:t>
      </w:r>
      <w:r>
        <w:rPr>
          <w:color w:val="000000" w:themeColor="text1"/>
          <w:sz w:val="26"/>
          <w:szCs w:val="26"/>
        </w:rPr>
        <w:t>4001 North Rodney Parham Road, Little Rock, Arkan</w:t>
      </w:r>
      <w:r w:rsidR="002D1B3B">
        <w:rPr>
          <w:color w:val="000000" w:themeColor="text1"/>
          <w:sz w:val="26"/>
          <w:szCs w:val="26"/>
        </w:rPr>
        <w:t xml:space="preserve">sas </w:t>
      </w:r>
      <w:r>
        <w:rPr>
          <w:color w:val="000000" w:themeColor="text1"/>
          <w:sz w:val="26"/>
          <w:szCs w:val="26"/>
        </w:rPr>
        <w:t xml:space="preserve">72212.  </w:t>
      </w:r>
      <w:r w:rsidR="00D9108F">
        <w:rPr>
          <w:color w:val="000000" w:themeColor="text1"/>
          <w:sz w:val="26"/>
          <w:szCs w:val="26"/>
        </w:rPr>
        <w:t xml:space="preserve">In the Commonwealth of Pennsylvania, it is authorized to offer, render, furnish, or provide facilities-based IXC, </w:t>
      </w:r>
      <w:r w:rsidR="00A62BD2">
        <w:rPr>
          <w:color w:val="000000" w:themeColor="text1"/>
          <w:sz w:val="26"/>
          <w:szCs w:val="26"/>
        </w:rPr>
        <w:t xml:space="preserve">IXC-R, </w:t>
      </w:r>
      <w:r w:rsidR="006D436A">
        <w:rPr>
          <w:color w:val="000000" w:themeColor="text1"/>
          <w:sz w:val="26"/>
          <w:szCs w:val="26"/>
        </w:rPr>
        <w:t>resell</w:t>
      </w:r>
      <w:r w:rsidR="00A62BD2">
        <w:rPr>
          <w:color w:val="000000" w:themeColor="text1"/>
          <w:sz w:val="26"/>
          <w:szCs w:val="26"/>
        </w:rPr>
        <w:t>er</w:t>
      </w:r>
      <w:r w:rsidR="006D436A">
        <w:rPr>
          <w:color w:val="000000" w:themeColor="text1"/>
          <w:sz w:val="26"/>
          <w:szCs w:val="26"/>
        </w:rPr>
        <w:t xml:space="preserve"> and facilities-based </w:t>
      </w:r>
      <w:r w:rsidR="00D9108F">
        <w:rPr>
          <w:color w:val="000000" w:themeColor="text1"/>
          <w:sz w:val="26"/>
          <w:szCs w:val="26"/>
        </w:rPr>
        <w:t>CLEC, and CAP telecommunication</w:t>
      </w:r>
      <w:r w:rsidR="00A62BD2">
        <w:rPr>
          <w:color w:val="000000" w:themeColor="text1"/>
          <w:sz w:val="26"/>
          <w:szCs w:val="26"/>
        </w:rPr>
        <w:t>s</w:t>
      </w:r>
      <w:r w:rsidR="00D9108F">
        <w:rPr>
          <w:color w:val="000000" w:themeColor="text1"/>
          <w:sz w:val="26"/>
          <w:szCs w:val="26"/>
        </w:rPr>
        <w:t xml:space="preserve"> services pursuant to authority granted by the Commission at </w:t>
      </w:r>
      <w:r w:rsidR="000A1CA8">
        <w:rPr>
          <w:color w:val="000000" w:themeColor="text1"/>
          <w:sz w:val="26"/>
          <w:szCs w:val="26"/>
        </w:rPr>
        <w:t>Docket Nos. A-31081, A-310781</w:t>
      </w:r>
      <w:r w:rsidR="002D1B3B">
        <w:rPr>
          <w:color w:val="000000" w:themeColor="text1"/>
          <w:sz w:val="26"/>
          <w:szCs w:val="26"/>
        </w:rPr>
        <w:t xml:space="preserve"> </w:t>
      </w:r>
      <w:r w:rsidR="000A1CA8">
        <w:rPr>
          <w:color w:val="000000" w:themeColor="text1"/>
          <w:sz w:val="26"/>
          <w:szCs w:val="26"/>
        </w:rPr>
        <w:t>F0002</w:t>
      </w:r>
      <w:r w:rsidR="002D1B3B">
        <w:rPr>
          <w:color w:val="000000" w:themeColor="text1"/>
          <w:sz w:val="26"/>
          <w:szCs w:val="26"/>
        </w:rPr>
        <w:t xml:space="preserve">, </w:t>
      </w:r>
      <w:r w:rsidR="000A1CA8">
        <w:rPr>
          <w:color w:val="000000" w:themeColor="text1"/>
          <w:sz w:val="26"/>
          <w:szCs w:val="26"/>
        </w:rPr>
        <w:t>A-310295</w:t>
      </w:r>
      <w:r w:rsidR="002D1B3B">
        <w:rPr>
          <w:color w:val="000000" w:themeColor="text1"/>
          <w:sz w:val="26"/>
          <w:szCs w:val="26"/>
        </w:rPr>
        <w:t xml:space="preserve"> </w:t>
      </w:r>
      <w:r w:rsidR="000A1CA8">
        <w:rPr>
          <w:color w:val="000000" w:themeColor="text1"/>
          <w:sz w:val="26"/>
          <w:szCs w:val="26"/>
        </w:rPr>
        <w:t>F0003</w:t>
      </w:r>
      <w:r w:rsidR="00D9108F">
        <w:rPr>
          <w:color w:val="000000" w:themeColor="text1"/>
          <w:sz w:val="26"/>
          <w:szCs w:val="26"/>
        </w:rPr>
        <w:t>,</w:t>
      </w:r>
      <w:r w:rsidR="002D1B3B">
        <w:rPr>
          <w:color w:val="000000" w:themeColor="text1"/>
          <w:sz w:val="26"/>
          <w:szCs w:val="26"/>
        </w:rPr>
        <w:t xml:space="preserve"> and A310295 F0004</w:t>
      </w:r>
      <w:r w:rsidR="00D9108F">
        <w:rPr>
          <w:color w:val="000000" w:themeColor="text1"/>
          <w:sz w:val="26"/>
          <w:szCs w:val="26"/>
        </w:rPr>
        <w:t xml:space="preserve">. </w:t>
      </w:r>
      <w:r w:rsidR="002D1B3B">
        <w:rPr>
          <w:color w:val="000000" w:themeColor="text1"/>
          <w:sz w:val="26"/>
          <w:szCs w:val="26"/>
        </w:rPr>
        <w:t xml:space="preserve"> </w:t>
      </w:r>
    </w:p>
    <w:p w14:paraId="59767B73" w14:textId="62A2F9A6" w:rsidR="00C769A3" w:rsidRDefault="00C769A3" w:rsidP="000C191F">
      <w:pPr>
        <w:ind w:firstLine="720"/>
        <w:rPr>
          <w:color w:val="000000" w:themeColor="text1"/>
          <w:sz w:val="26"/>
          <w:szCs w:val="26"/>
        </w:rPr>
      </w:pPr>
    </w:p>
    <w:p w14:paraId="2150471F" w14:textId="270B937D" w:rsidR="00C769A3" w:rsidRDefault="00E37399" w:rsidP="000C191F">
      <w:pPr>
        <w:ind w:firstLine="720"/>
        <w:rPr>
          <w:color w:val="000000" w:themeColor="text1"/>
          <w:sz w:val="26"/>
          <w:szCs w:val="26"/>
        </w:rPr>
      </w:pPr>
      <w:r>
        <w:rPr>
          <w:color w:val="000000" w:themeColor="text1"/>
          <w:sz w:val="26"/>
          <w:szCs w:val="26"/>
        </w:rPr>
        <w:t>CTC Communications Corp, utility code 310295, is a Massachusetts corporation</w:t>
      </w:r>
      <w:r w:rsidR="00D9108F">
        <w:rPr>
          <w:color w:val="000000" w:themeColor="text1"/>
          <w:sz w:val="26"/>
          <w:szCs w:val="26"/>
        </w:rPr>
        <w:t xml:space="preserve"> with its </w:t>
      </w:r>
      <w:r>
        <w:rPr>
          <w:color w:val="000000" w:themeColor="text1"/>
          <w:sz w:val="26"/>
          <w:szCs w:val="26"/>
        </w:rPr>
        <w:t>principal address</w:t>
      </w:r>
      <w:r w:rsidR="00D9108F">
        <w:rPr>
          <w:color w:val="000000" w:themeColor="text1"/>
          <w:sz w:val="26"/>
          <w:szCs w:val="26"/>
        </w:rPr>
        <w:t xml:space="preserve"> located at </w:t>
      </w:r>
      <w:r>
        <w:rPr>
          <w:color w:val="000000" w:themeColor="text1"/>
          <w:sz w:val="26"/>
          <w:szCs w:val="26"/>
        </w:rPr>
        <w:t xml:space="preserve">4001 North Rodney Parham Road, Little Rock, Arkansas 72212.  </w:t>
      </w:r>
      <w:r w:rsidR="00D9108F">
        <w:rPr>
          <w:color w:val="000000" w:themeColor="text1"/>
          <w:sz w:val="26"/>
          <w:szCs w:val="26"/>
        </w:rPr>
        <w:t xml:space="preserve">In the Commonwealth of Pennsylvania, it is authorized to offer, render, furnish, or provide IXC-R, </w:t>
      </w:r>
      <w:r w:rsidR="00CF6520">
        <w:rPr>
          <w:color w:val="000000" w:themeColor="text1"/>
          <w:sz w:val="26"/>
          <w:szCs w:val="26"/>
        </w:rPr>
        <w:t xml:space="preserve">facilities-based </w:t>
      </w:r>
      <w:r w:rsidR="00D9108F">
        <w:rPr>
          <w:color w:val="000000" w:themeColor="text1"/>
          <w:sz w:val="26"/>
          <w:szCs w:val="26"/>
        </w:rPr>
        <w:t>CLEC, and CAP telecommunication</w:t>
      </w:r>
      <w:r w:rsidR="00A62BD2">
        <w:rPr>
          <w:color w:val="000000" w:themeColor="text1"/>
          <w:sz w:val="26"/>
          <w:szCs w:val="26"/>
        </w:rPr>
        <w:t>s</w:t>
      </w:r>
      <w:r w:rsidR="00D9108F">
        <w:rPr>
          <w:color w:val="000000" w:themeColor="text1"/>
          <w:sz w:val="26"/>
          <w:szCs w:val="26"/>
        </w:rPr>
        <w:t xml:space="preserve"> services pursuant to authority granted by the Commission at </w:t>
      </w:r>
      <w:r>
        <w:rPr>
          <w:color w:val="000000" w:themeColor="text1"/>
          <w:sz w:val="26"/>
          <w:szCs w:val="26"/>
        </w:rPr>
        <w:t>Docket Nos. A-310295, A-310295 F0002</w:t>
      </w:r>
      <w:r w:rsidR="00D9108F">
        <w:rPr>
          <w:color w:val="000000" w:themeColor="text1"/>
          <w:sz w:val="26"/>
          <w:szCs w:val="26"/>
        </w:rPr>
        <w:t>,</w:t>
      </w:r>
      <w:r>
        <w:rPr>
          <w:color w:val="000000" w:themeColor="text1"/>
          <w:sz w:val="26"/>
          <w:szCs w:val="26"/>
        </w:rPr>
        <w:t xml:space="preserve"> and A-310295 F0003</w:t>
      </w:r>
      <w:r w:rsidR="00D9108F">
        <w:rPr>
          <w:color w:val="000000" w:themeColor="text1"/>
          <w:sz w:val="26"/>
          <w:szCs w:val="26"/>
        </w:rPr>
        <w:t xml:space="preserve">.  </w:t>
      </w:r>
      <w:r w:rsidR="0019690C">
        <w:rPr>
          <w:color w:val="000000" w:themeColor="text1"/>
          <w:sz w:val="26"/>
          <w:szCs w:val="26"/>
        </w:rPr>
        <w:t xml:space="preserve">  </w:t>
      </w:r>
    </w:p>
    <w:p w14:paraId="08BF1707" w14:textId="25E315DA" w:rsidR="00E80B83" w:rsidRDefault="00E80B83" w:rsidP="000C191F">
      <w:pPr>
        <w:ind w:firstLine="720"/>
        <w:rPr>
          <w:color w:val="000000" w:themeColor="text1"/>
          <w:sz w:val="26"/>
          <w:szCs w:val="26"/>
        </w:rPr>
      </w:pPr>
    </w:p>
    <w:p w14:paraId="51C61BFE" w14:textId="232524F1" w:rsidR="00C769A3" w:rsidRDefault="00E80B83" w:rsidP="000C191F">
      <w:pPr>
        <w:ind w:firstLine="720"/>
        <w:rPr>
          <w:color w:val="000000" w:themeColor="text1"/>
          <w:sz w:val="26"/>
          <w:szCs w:val="26"/>
        </w:rPr>
      </w:pPr>
      <w:proofErr w:type="spellStart"/>
      <w:r>
        <w:rPr>
          <w:color w:val="000000" w:themeColor="text1"/>
          <w:sz w:val="26"/>
          <w:szCs w:val="26"/>
        </w:rPr>
        <w:t>DeltaCom</w:t>
      </w:r>
      <w:proofErr w:type="spellEnd"/>
      <w:r>
        <w:rPr>
          <w:color w:val="000000" w:themeColor="text1"/>
          <w:sz w:val="26"/>
          <w:szCs w:val="26"/>
        </w:rPr>
        <w:t>, LLC d/b/a EarthLink Business, utility code 310467, is an Alabama limited liability company</w:t>
      </w:r>
      <w:r w:rsidR="00E365AA">
        <w:rPr>
          <w:color w:val="000000" w:themeColor="text1"/>
          <w:sz w:val="26"/>
          <w:szCs w:val="26"/>
        </w:rPr>
        <w:t xml:space="preserve"> with its </w:t>
      </w:r>
      <w:r>
        <w:rPr>
          <w:color w:val="000000" w:themeColor="text1"/>
          <w:sz w:val="26"/>
          <w:szCs w:val="26"/>
        </w:rPr>
        <w:t>principal address</w:t>
      </w:r>
      <w:r w:rsidR="00E365AA">
        <w:rPr>
          <w:color w:val="000000" w:themeColor="text1"/>
          <w:sz w:val="26"/>
          <w:szCs w:val="26"/>
        </w:rPr>
        <w:t xml:space="preserve"> located at </w:t>
      </w:r>
      <w:r>
        <w:rPr>
          <w:color w:val="000000" w:themeColor="text1"/>
          <w:sz w:val="26"/>
          <w:szCs w:val="26"/>
        </w:rPr>
        <w:t xml:space="preserve">4001 North Rodney Parham </w:t>
      </w:r>
      <w:r>
        <w:rPr>
          <w:color w:val="000000" w:themeColor="text1"/>
          <w:sz w:val="26"/>
          <w:szCs w:val="26"/>
        </w:rPr>
        <w:lastRenderedPageBreak/>
        <w:t xml:space="preserve">Road, Little Rock, Arkansas 72212.  </w:t>
      </w:r>
      <w:r w:rsidR="00E365AA">
        <w:rPr>
          <w:color w:val="000000" w:themeColor="text1"/>
          <w:sz w:val="26"/>
          <w:szCs w:val="26"/>
        </w:rPr>
        <w:t xml:space="preserve">In the Commonwealth of Pennsylvania, it is authorized to </w:t>
      </w:r>
      <w:r>
        <w:rPr>
          <w:color w:val="000000" w:themeColor="text1"/>
          <w:sz w:val="26"/>
          <w:szCs w:val="26"/>
        </w:rPr>
        <w:t>offer, render, furnish</w:t>
      </w:r>
      <w:r w:rsidR="00E365AA">
        <w:rPr>
          <w:color w:val="000000" w:themeColor="text1"/>
          <w:sz w:val="26"/>
          <w:szCs w:val="26"/>
        </w:rPr>
        <w:t>,</w:t>
      </w:r>
      <w:r>
        <w:rPr>
          <w:color w:val="000000" w:themeColor="text1"/>
          <w:sz w:val="26"/>
          <w:szCs w:val="26"/>
        </w:rPr>
        <w:t xml:space="preserve"> or </w:t>
      </w:r>
      <w:r w:rsidR="00E365AA">
        <w:rPr>
          <w:color w:val="000000" w:themeColor="text1"/>
          <w:sz w:val="26"/>
          <w:szCs w:val="26"/>
        </w:rPr>
        <w:t xml:space="preserve">provide </w:t>
      </w:r>
      <w:r>
        <w:rPr>
          <w:color w:val="000000" w:themeColor="text1"/>
          <w:sz w:val="26"/>
          <w:szCs w:val="26"/>
        </w:rPr>
        <w:t xml:space="preserve">IXC-R </w:t>
      </w:r>
      <w:r w:rsidR="00E365AA">
        <w:rPr>
          <w:color w:val="000000" w:themeColor="text1"/>
          <w:sz w:val="26"/>
          <w:szCs w:val="26"/>
        </w:rPr>
        <w:t>telecommunication</w:t>
      </w:r>
      <w:r w:rsidR="00A62BD2">
        <w:rPr>
          <w:color w:val="000000" w:themeColor="text1"/>
          <w:sz w:val="26"/>
          <w:szCs w:val="26"/>
        </w:rPr>
        <w:t>s</w:t>
      </w:r>
      <w:r w:rsidR="00E365AA">
        <w:rPr>
          <w:color w:val="000000" w:themeColor="text1"/>
          <w:sz w:val="26"/>
          <w:szCs w:val="26"/>
        </w:rPr>
        <w:t xml:space="preserve"> services pursuant to authority granted by the Commission at Docket No. A-310467.  </w:t>
      </w:r>
    </w:p>
    <w:p w14:paraId="7CDD2714" w14:textId="77777777" w:rsidR="00CF6520" w:rsidRDefault="00CF6520" w:rsidP="000C191F">
      <w:pPr>
        <w:ind w:firstLine="720"/>
        <w:rPr>
          <w:color w:val="000000" w:themeColor="text1"/>
          <w:sz w:val="26"/>
          <w:szCs w:val="26"/>
        </w:rPr>
      </w:pPr>
    </w:p>
    <w:p w14:paraId="1591BD79" w14:textId="754C6130" w:rsidR="00A14DB4" w:rsidRDefault="00A14DB4" w:rsidP="000C191F">
      <w:pPr>
        <w:ind w:firstLine="720"/>
        <w:rPr>
          <w:color w:val="000000" w:themeColor="text1"/>
          <w:sz w:val="26"/>
          <w:szCs w:val="26"/>
        </w:rPr>
      </w:pPr>
      <w:r>
        <w:rPr>
          <w:color w:val="000000" w:themeColor="text1"/>
          <w:sz w:val="26"/>
          <w:szCs w:val="26"/>
        </w:rPr>
        <w:t>EarthLink Business, LLC, utility code 310884, is a Delaware limited liability company</w:t>
      </w:r>
      <w:r w:rsidR="00E15E23">
        <w:rPr>
          <w:color w:val="000000" w:themeColor="text1"/>
          <w:sz w:val="26"/>
          <w:szCs w:val="26"/>
        </w:rPr>
        <w:t xml:space="preserve"> with its </w:t>
      </w:r>
      <w:r>
        <w:rPr>
          <w:color w:val="000000" w:themeColor="text1"/>
          <w:sz w:val="26"/>
          <w:szCs w:val="26"/>
        </w:rPr>
        <w:t xml:space="preserve">principal address </w:t>
      </w:r>
      <w:r w:rsidR="00E15E23">
        <w:rPr>
          <w:color w:val="000000" w:themeColor="text1"/>
          <w:sz w:val="26"/>
          <w:szCs w:val="26"/>
        </w:rPr>
        <w:t>located at 4</w:t>
      </w:r>
      <w:r>
        <w:rPr>
          <w:color w:val="000000" w:themeColor="text1"/>
          <w:sz w:val="26"/>
          <w:szCs w:val="26"/>
        </w:rPr>
        <w:t xml:space="preserve">001 North Rodney Parham Road, Little Rock, Arkansas 72212.  </w:t>
      </w:r>
      <w:r w:rsidR="00E15E23">
        <w:rPr>
          <w:color w:val="000000" w:themeColor="text1"/>
          <w:sz w:val="26"/>
          <w:szCs w:val="26"/>
        </w:rPr>
        <w:t xml:space="preserve">In the Commonwealth of Pennsylvania, it is authorized to </w:t>
      </w:r>
      <w:r>
        <w:rPr>
          <w:color w:val="000000" w:themeColor="text1"/>
          <w:sz w:val="26"/>
          <w:szCs w:val="26"/>
        </w:rPr>
        <w:t>offer, render, furnish</w:t>
      </w:r>
      <w:r w:rsidR="00E15E23">
        <w:rPr>
          <w:color w:val="000000" w:themeColor="text1"/>
          <w:sz w:val="26"/>
          <w:szCs w:val="26"/>
        </w:rPr>
        <w:t>,</w:t>
      </w:r>
      <w:r>
        <w:rPr>
          <w:color w:val="000000" w:themeColor="text1"/>
          <w:sz w:val="26"/>
          <w:szCs w:val="26"/>
        </w:rPr>
        <w:t xml:space="preserve"> or </w:t>
      </w:r>
      <w:r w:rsidR="00E15E23">
        <w:rPr>
          <w:color w:val="000000" w:themeColor="text1"/>
          <w:sz w:val="26"/>
          <w:szCs w:val="26"/>
        </w:rPr>
        <w:t xml:space="preserve">provide </w:t>
      </w:r>
      <w:r w:rsidR="00A62BD2">
        <w:rPr>
          <w:color w:val="000000" w:themeColor="text1"/>
          <w:sz w:val="26"/>
          <w:szCs w:val="26"/>
        </w:rPr>
        <w:t xml:space="preserve">facilities-based IXC, </w:t>
      </w:r>
      <w:r w:rsidR="008B1F0B">
        <w:rPr>
          <w:color w:val="000000" w:themeColor="text1"/>
          <w:sz w:val="26"/>
          <w:szCs w:val="26"/>
        </w:rPr>
        <w:t xml:space="preserve">IXC-R, facilities-based CLEC, and CAP </w:t>
      </w:r>
      <w:r w:rsidR="00E15E23">
        <w:rPr>
          <w:color w:val="000000" w:themeColor="text1"/>
          <w:sz w:val="26"/>
          <w:szCs w:val="26"/>
        </w:rPr>
        <w:t>telecommunication</w:t>
      </w:r>
      <w:r w:rsidR="00A62BD2">
        <w:rPr>
          <w:color w:val="000000" w:themeColor="text1"/>
          <w:sz w:val="26"/>
          <w:szCs w:val="26"/>
        </w:rPr>
        <w:t>s</w:t>
      </w:r>
      <w:r w:rsidR="00E15E23">
        <w:rPr>
          <w:color w:val="000000" w:themeColor="text1"/>
          <w:sz w:val="26"/>
          <w:szCs w:val="26"/>
        </w:rPr>
        <w:t xml:space="preserve"> service</w:t>
      </w:r>
      <w:r w:rsidR="00D02AB2">
        <w:rPr>
          <w:color w:val="000000" w:themeColor="text1"/>
          <w:sz w:val="26"/>
          <w:szCs w:val="26"/>
        </w:rPr>
        <w:t>s</w:t>
      </w:r>
      <w:r w:rsidR="00E15E23">
        <w:rPr>
          <w:color w:val="000000" w:themeColor="text1"/>
          <w:sz w:val="26"/>
          <w:szCs w:val="26"/>
        </w:rPr>
        <w:t xml:space="preserve"> pursuant to authority granted by the Commission at Docket Nos. A-310884, A-310884 F0002, A-310884 F0003, and A-310884 F0004.  </w:t>
      </w:r>
    </w:p>
    <w:p w14:paraId="77D0CB2A" w14:textId="60CFCB50" w:rsidR="009A7B93" w:rsidRDefault="009A7B93" w:rsidP="000C191F">
      <w:pPr>
        <w:ind w:firstLine="720"/>
        <w:rPr>
          <w:color w:val="000000" w:themeColor="text1"/>
          <w:sz w:val="26"/>
          <w:szCs w:val="26"/>
        </w:rPr>
      </w:pPr>
    </w:p>
    <w:p w14:paraId="6D75249D" w14:textId="21428C4C" w:rsidR="009A7B93" w:rsidRDefault="009A7B93" w:rsidP="009A7B93">
      <w:pPr>
        <w:ind w:firstLine="720"/>
        <w:rPr>
          <w:color w:val="000000" w:themeColor="text1"/>
          <w:sz w:val="26"/>
          <w:szCs w:val="26"/>
        </w:rPr>
      </w:pPr>
      <w:r>
        <w:rPr>
          <w:color w:val="000000" w:themeColor="text1"/>
          <w:sz w:val="26"/>
          <w:szCs w:val="26"/>
        </w:rPr>
        <w:t>Eureka Telecom, Inc., utility code 311407, is a New York corporation with its principal address located at 4001 North Rodney Parham Road, Little Rock, Arkansas 72212.  In the Commonwealth of Pennsylvania, it is authorized to offer, render, furnish, or provide IXC-R</w:t>
      </w:r>
      <w:r w:rsidR="00A27020">
        <w:rPr>
          <w:color w:val="000000" w:themeColor="text1"/>
          <w:sz w:val="26"/>
          <w:szCs w:val="26"/>
        </w:rPr>
        <w:t xml:space="preserve"> and </w:t>
      </w:r>
      <w:r>
        <w:rPr>
          <w:color w:val="000000" w:themeColor="text1"/>
          <w:sz w:val="26"/>
          <w:szCs w:val="26"/>
        </w:rPr>
        <w:t>CLEC telecommunication</w:t>
      </w:r>
      <w:r w:rsidR="00A62BD2">
        <w:rPr>
          <w:color w:val="000000" w:themeColor="text1"/>
          <w:sz w:val="26"/>
          <w:szCs w:val="26"/>
        </w:rPr>
        <w:t>s</w:t>
      </w:r>
      <w:r>
        <w:rPr>
          <w:color w:val="000000" w:themeColor="text1"/>
          <w:sz w:val="26"/>
          <w:szCs w:val="26"/>
        </w:rPr>
        <w:t xml:space="preserve"> services pursuant to authority granted by the Commission at Docket Nos. A-311407 and A-311407 F0002.  </w:t>
      </w:r>
    </w:p>
    <w:p w14:paraId="420A9C10" w14:textId="77777777" w:rsidR="009A7B93" w:rsidRDefault="009A7B93" w:rsidP="009A7B93">
      <w:pPr>
        <w:ind w:firstLine="720"/>
        <w:rPr>
          <w:color w:val="000000" w:themeColor="text1"/>
          <w:sz w:val="26"/>
          <w:szCs w:val="26"/>
        </w:rPr>
      </w:pPr>
    </w:p>
    <w:p w14:paraId="4775C32A" w14:textId="5B2120AB" w:rsidR="00D02AB2" w:rsidRDefault="00D02AB2" w:rsidP="006E2D43">
      <w:pPr>
        <w:ind w:firstLine="720"/>
        <w:rPr>
          <w:color w:val="000000" w:themeColor="text1"/>
          <w:sz w:val="26"/>
          <w:szCs w:val="26"/>
        </w:rPr>
      </w:pPr>
      <w:proofErr w:type="spellStart"/>
      <w:r>
        <w:rPr>
          <w:color w:val="000000" w:themeColor="text1"/>
          <w:sz w:val="26"/>
          <w:szCs w:val="26"/>
        </w:rPr>
        <w:t>Intellifiber</w:t>
      </w:r>
      <w:proofErr w:type="spellEnd"/>
      <w:r>
        <w:rPr>
          <w:color w:val="000000" w:themeColor="text1"/>
          <w:sz w:val="26"/>
          <w:szCs w:val="26"/>
        </w:rPr>
        <w:t xml:space="preserve"> Networks, Inc., utility code 311102, is a Virginia corporation with its principal address located at 4001 North Rodney Parham Road, Little Rock, Arkansas 72212.  In the Commonwealth of Pennsylvania, it is authorized to offer, render, furnish, or </w:t>
      </w:r>
      <w:r w:rsidRPr="00F92CE4">
        <w:rPr>
          <w:color w:val="000000" w:themeColor="text1"/>
          <w:sz w:val="26"/>
          <w:szCs w:val="26"/>
        </w:rPr>
        <w:t xml:space="preserve">provide </w:t>
      </w:r>
      <w:r w:rsidR="00A62BD2">
        <w:rPr>
          <w:color w:val="000000" w:themeColor="text1"/>
          <w:sz w:val="26"/>
          <w:szCs w:val="26"/>
        </w:rPr>
        <w:t xml:space="preserve">facilities-based IXC, </w:t>
      </w:r>
      <w:r w:rsidRPr="00F92CE4">
        <w:rPr>
          <w:color w:val="000000" w:themeColor="text1"/>
          <w:sz w:val="26"/>
          <w:szCs w:val="26"/>
        </w:rPr>
        <w:t>IXC-R,</w:t>
      </w:r>
      <w:r w:rsidR="006E2D43" w:rsidRPr="00F92CE4">
        <w:rPr>
          <w:color w:val="000000" w:themeColor="text1"/>
          <w:sz w:val="26"/>
          <w:szCs w:val="26"/>
        </w:rPr>
        <w:t xml:space="preserve"> reseller and facilities-based </w:t>
      </w:r>
      <w:r w:rsidRPr="00F92CE4">
        <w:rPr>
          <w:color w:val="000000" w:themeColor="text1"/>
          <w:sz w:val="26"/>
          <w:szCs w:val="26"/>
        </w:rPr>
        <w:t xml:space="preserve">CLEC, </w:t>
      </w:r>
      <w:r w:rsidR="00A62BD2">
        <w:rPr>
          <w:color w:val="000000" w:themeColor="text1"/>
          <w:sz w:val="26"/>
          <w:szCs w:val="26"/>
        </w:rPr>
        <w:t xml:space="preserve">and </w:t>
      </w:r>
      <w:r w:rsidR="006E2D43" w:rsidRPr="00F92CE4">
        <w:rPr>
          <w:color w:val="000000" w:themeColor="text1"/>
          <w:sz w:val="26"/>
          <w:szCs w:val="26"/>
        </w:rPr>
        <w:t>CAP</w:t>
      </w:r>
      <w:r w:rsidR="006E2D43">
        <w:rPr>
          <w:color w:val="000000" w:themeColor="text1"/>
          <w:sz w:val="26"/>
          <w:szCs w:val="26"/>
        </w:rPr>
        <w:t xml:space="preserve"> </w:t>
      </w:r>
      <w:r>
        <w:rPr>
          <w:color w:val="000000" w:themeColor="text1"/>
          <w:sz w:val="26"/>
          <w:szCs w:val="26"/>
        </w:rPr>
        <w:t>telecommunication</w:t>
      </w:r>
      <w:r w:rsidR="00A62BD2">
        <w:rPr>
          <w:color w:val="000000" w:themeColor="text1"/>
          <w:sz w:val="26"/>
          <w:szCs w:val="26"/>
        </w:rPr>
        <w:t>s</w:t>
      </w:r>
      <w:r>
        <w:rPr>
          <w:color w:val="000000" w:themeColor="text1"/>
          <w:sz w:val="26"/>
          <w:szCs w:val="26"/>
        </w:rPr>
        <w:t xml:space="preserve"> service</w:t>
      </w:r>
      <w:r w:rsidR="006E2D43">
        <w:rPr>
          <w:color w:val="000000" w:themeColor="text1"/>
          <w:sz w:val="26"/>
          <w:szCs w:val="26"/>
        </w:rPr>
        <w:t>s</w:t>
      </w:r>
      <w:r>
        <w:rPr>
          <w:color w:val="000000" w:themeColor="text1"/>
          <w:sz w:val="26"/>
          <w:szCs w:val="26"/>
        </w:rPr>
        <w:t xml:space="preserve"> pursuant to authority granted by the Commission at Docket Nos. A-311</w:t>
      </w:r>
      <w:r w:rsidR="006E2D43">
        <w:rPr>
          <w:color w:val="000000" w:themeColor="text1"/>
          <w:sz w:val="26"/>
          <w:szCs w:val="26"/>
        </w:rPr>
        <w:t xml:space="preserve">102, A-311102 F0002, A-311102 F0003, and A-311102 F0004.  </w:t>
      </w:r>
    </w:p>
    <w:p w14:paraId="1EB7B898" w14:textId="462DF785" w:rsidR="009A7B93" w:rsidRDefault="009A7B93" w:rsidP="000C191F">
      <w:pPr>
        <w:ind w:firstLine="720"/>
        <w:rPr>
          <w:color w:val="000000" w:themeColor="text1"/>
          <w:sz w:val="26"/>
          <w:szCs w:val="26"/>
        </w:rPr>
      </w:pPr>
    </w:p>
    <w:p w14:paraId="4052EB44" w14:textId="55B71F31" w:rsidR="00C96E2F" w:rsidRDefault="00C96E2F" w:rsidP="00C96E2F">
      <w:pPr>
        <w:ind w:firstLine="720"/>
        <w:rPr>
          <w:color w:val="000000" w:themeColor="text1"/>
          <w:sz w:val="26"/>
          <w:szCs w:val="26"/>
        </w:rPr>
      </w:pPr>
      <w:r>
        <w:rPr>
          <w:color w:val="000000" w:themeColor="text1"/>
          <w:sz w:val="26"/>
          <w:szCs w:val="26"/>
        </w:rPr>
        <w:t>LDMI Telecommunications, LLC, utility code 310538, is a Michigan limited liability company with its principal address located at 4001 North Rodney Parham Road, Little Rock, Arkansas 72212.  In the Commonwealth of Pennsylvania, it is authorized to offer, render, furnish, or provide IXC telecommunication</w:t>
      </w:r>
      <w:r w:rsidR="00A62BD2">
        <w:rPr>
          <w:color w:val="000000" w:themeColor="text1"/>
          <w:sz w:val="26"/>
          <w:szCs w:val="26"/>
        </w:rPr>
        <w:t>s</w:t>
      </w:r>
      <w:r>
        <w:rPr>
          <w:color w:val="000000" w:themeColor="text1"/>
          <w:sz w:val="26"/>
          <w:szCs w:val="26"/>
        </w:rPr>
        <w:t xml:space="preserve"> services pursuant to authority granted by the Commission at Docket No. A-310538.  </w:t>
      </w:r>
    </w:p>
    <w:p w14:paraId="25234C81" w14:textId="77777777" w:rsidR="00C96E2F" w:rsidRDefault="00C96E2F" w:rsidP="00C96E2F">
      <w:pPr>
        <w:ind w:firstLine="720"/>
        <w:rPr>
          <w:color w:val="000000" w:themeColor="text1"/>
          <w:sz w:val="26"/>
          <w:szCs w:val="26"/>
        </w:rPr>
      </w:pPr>
    </w:p>
    <w:p w14:paraId="30CD5A89" w14:textId="20EF13F8" w:rsidR="006910E1" w:rsidRDefault="006910E1" w:rsidP="006910E1">
      <w:pPr>
        <w:ind w:firstLine="720"/>
        <w:rPr>
          <w:color w:val="000000" w:themeColor="text1"/>
          <w:sz w:val="26"/>
          <w:szCs w:val="26"/>
        </w:rPr>
      </w:pPr>
      <w:bookmarkStart w:id="3" w:name="_Hlk43102067"/>
      <w:r>
        <w:rPr>
          <w:color w:val="000000" w:themeColor="text1"/>
          <w:sz w:val="26"/>
          <w:szCs w:val="26"/>
        </w:rPr>
        <w:t>Lightship Telecom, LLC</w:t>
      </w:r>
      <w:r w:rsidR="004D1ADA">
        <w:rPr>
          <w:color w:val="000000" w:themeColor="text1"/>
          <w:sz w:val="26"/>
          <w:szCs w:val="26"/>
        </w:rPr>
        <w:t xml:space="preserve"> d/b/a EarthLink Business</w:t>
      </w:r>
      <w:r>
        <w:rPr>
          <w:color w:val="000000" w:themeColor="text1"/>
          <w:sz w:val="26"/>
          <w:szCs w:val="26"/>
        </w:rPr>
        <w:t>, utility code 310943, is a Delaware limited liability company with its principal address located at 4001 North Rodney Parham Road, Little Rock, Arkansas 72212.  In the Commonwealth of Pennsylvania, it is authorized to offer, render, furnish, or provide</w:t>
      </w:r>
      <w:r w:rsidR="0054612F">
        <w:rPr>
          <w:color w:val="000000" w:themeColor="text1"/>
          <w:sz w:val="26"/>
          <w:szCs w:val="26"/>
        </w:rPr>
        <w:t xml:space="preserve"> facilities-based IXC,</w:t>
      </w:r>
      <w:r>
        <w:rPr>
          <w:color w:val="000000" w:themeColor="text1"/>
          <w:sz w:val="26"/>
          <w:szCs w:val="26"/>
        </w:rPr>
        <w:t xml:space="preserve"> IXC-R,</w:t>
      </w:r>
      <w:r w:rsidR="00C94128">
        <w:rPr>
          <w:color w:val="000000" w:themeColor="text1"/>
          <w:sz w:val="26"/>
          <w:szCs w:val="26"/>
        </w:rPr>
        <w:t xml:space="preserve"> resell</w:t>
      </w:r>
      <w:r w:rsidR="0054612F">
        <w:rPr>
          <w:color w:val="000000" w:themeColor="text1"/>
          <w:sz w:val="26"/>
          <w:szCs w:val="26"/>
        </w:rPr>
        <w:t>er</w:t>
      </w:r>
      <w:r w:rsidR="00C94128">
        <w:rPr>
          <w:color w:val="000000" w:themeColor="text1"/>
          <w:sz w:val="26"/>
          <w:szCs w:val="26"/>
        </w:rPr>
        <w:t xml:space="preserve"> and facilities-based</w:t>
      </w:r>
      <w:r>
        <w:rPr>
          <w:color w:val="000000" w:themeColor="text1"/>
          <w:sz w:val="26"/>
          <w:szCs w:val="26"/>
        </w:rPr>
        <w:t xml:space="preserve"> CLEC, and CAP telecommunication</w:t>
      </w:r>
      <w:r w:rsidR="0054612F">
        <w:rPr>
          <w:color w:val="000000" w:themeColor="text1"/>
          <w:sz w:val="26"/>
          <w:szCs w:val="26"/>
        </w:rPr>
        <w:t>s</w:t>
      </w:r>
      <w:r>
        <w:rPr>
          <w:color w:val="000000" w:themeColor="text1"/>
          <w:sz w:val="26"/>
          <w:szCs w:val="26"/>
        </w:rPr>
        <w:t xml:space="preserve"> service</w:t>
      </w:r>
      <w:r w:rsidR="002261DB">
        <w:rPr>
          <w:color w:val="000000" w:themeColor="text1"/>
          <w:sz w:val="26"/>
          <w:szCs w:val="26"/>
        </w:rPr>
        <w:t>s</w:t>
      </w:r>
      <w:r>
        <w:rPr>
          <w:color w:val="000000" w:themeColor="text1"/>
          <w:sz w:val="26"/>
          <w:szCs w:val="26"/>
        </w:rPr>
        <w:t xml:space="preserve"> pursuant to authority granted by the Commission at Docket Nos. A-310943, A-</w:t>
      </w:r>
      <w:r w:rsidR="002261DB">
        <w:rPr>
          <w:color w:val="000000" w:themeColor="text1"/>
          <w:sz w:val="26"/>
          <w:szCs w:val="26"/>
        </w:rPr>
        <w:t>310943 F0002, A310943 F0003, and A-310943 F0004.</w:t>
      </w:r>
      <w:r>
        <w:rPr>
          <w:color w:val="000000" w:themeColor="text1"/>
          <w:sz w:val="26"/>
          <w:szCs w:val="26"/>
        </w:rPr>
        <w:t xml:space="preserve"> </w:t>
      </w:r>
    </w:p>
    <w:bookmarkEnd w:id="3"/>
    <w:p w14:paraId="5116FB7B" w14:textId="77777777" w:rsidR="006910E1" w:rsidRDefault="006910E1" w:rsidP="006910E1">
      <w:pPr>
        <w:ind w:firstLine="720"/>
        <w:rPr>
          <w:color w:val="000000" w:themeColor="text1"/>
          <w:sz w:val="26"/>
          <w:szCs w:val="26"/>
        </w:rPr>
      </w:pPr>
    </w:p>
    <w:p w14:paraId="657BEF85" w14:textId="64EAC42B" w:rsidR="004D1ADA" w:rsidRDefault="004D1ADA" w:rsidP="004D1ADA">
      <w:pPr>
        <w:ind w:firstLine="720"/>
        <w:rPr>
          <w:color w:val="000000" w:themeColor="text1"/>
          <w:sz w:val="26"/>
          <w:szCs w:val="26"/>
        </w:rPr>
      </w:pPr>
      <w:proofErr w:type="spellStart"/>
      <w:r>
        <w:rPr>
          <w:color w:val="000000" w:themeColor="text1"/>
          <w:sz w:val="26"/>
          <w:szCs w:val="26"/>
        </w:rPr>
        <w:t>MassComm</w:t>
      </w:r>
      <w:proofErr w:type="spellEnd"/>
      <w:r>
        <w:rPr>
          <w:color w:val="000000" w:themeColor="text1"/>
          <w:sz w:val="26"/>
          <w:szCs w:val="26"/>
        </w:rPr>
        <w:t xml:space="preserve"> LLC d/b/a MASS Communications, utility code 3110206, is a New York limited liability company with its principal address located at 4001 North Rodney Parham Road, Little Rock, Arkansas 72212.  In the Commonwealth of Pennsylvania, it is authorized to offer, render, furnish, or provide IXC-R</w:t>
      </w:r>
      <w:r w:rsidR="00DE5AE6">
        <w:rPr>
          <w:color w:val="000000" w:themeColor="text1"/>
          <w:sz w:val="26"/>
          <w:szCs w:val="26"/>
        </w:rPr>
        <w:t xml:space="preserve"> and CL</w:t>
      </w:r>
      <w:r>
        <w:rPr>
          <w:color w:val="000000" w:themeColor="text1"/>
          <w:sz w:val="26"/>
          <w:szCs w:val="26"/>
        </w:rPr>
        <w:t>EC</w:t>
      </w:r>
      <w:r w:rsidR="00DE5AE6">
        <w:rPr>
          <w:color w:val="000000" w:themeColor="text1"/>
          <w:sz w:val="26"/>
          <w:szCs w:val="26"/>
        </w:rPr>
        <w:t xml:space="preserve"> te</w:t>
      </w:r>
      <w:r>
        <w:rPr>
          <w:color w:val="000000" w:themeColor="text1"/>
          <w:sz w:val="26"/>
          <w:szCs w:val="26"/>
        </w:rPr>
        <w:t>lecommunication</w:t>
      </w:r>
      <w:r w:rsidR="0054612F">
        <w:rPr>
          <w:color w:val="000000" w:themeColor="text1"/>
          <w:sz w:val="26"/>
          <w:szCs w:val="26"/>
        </w:rPr>
        <w:t>s</w:t>
      </w:r>
      <w:r>
        <w:rPr>
          <w:color w:val="000000" w:themeColor="text1"/>
          <w:sz w:val="26"/>
          <w:szCs w:val="26"/>
        </w:rPr>
        <w:t xml:space="preserve"> services pursuant to authority granted by the Commission at Docket Nos. A-2008-2046390</w:t>
      </w:r>
      <w:r w:rsidR="00DE5AE6">
        <w:rPr>
          <w:color w:val="000000" w:themeColor="text1"/>
          <w:sz w:val="26"/>
          <w:szCs w:val="26"/>
        </w:rPr>
        <w:t>, A-2008-2046392, and A-2008-2046394.</w:t>
      </w:r>
    </w:p>
    <w:p w14:paraId="146E9DD7" w14:textId="7B99EC48" w:rsidR="000E4F6A" w:rsidRDefault="000E4F6A" w:rsidP="000E4F6A">
      <w:pPr>
        <w:ind w:firstLine="720"/>
        <w:rPr>
          <w:color w:val="000000" w:themeColor="text1"/>
          <w:sz w:val="26"/>
          <w:szCs w:val="26"/>
        </w:rPr>
      </w:pPr>
      <w:proofErr w:type="spellStart"/>
      <w:r>
        <w:rPr>
          <w:color w:val="000000" w:themeColor="text1"/>
          <w:sz w:val="26"/>
          <w:szCs w:val="26"/>
        </w:rPr>
        <w:lastRenderedPageBreak/>
        <w:t>McLeodUSA</w:t>
      </w:r>
      <w:proofErr w:type="spellEnd"/>
      <w:r>
        <w:rPr>
          <w:color w:val="000000" w:themeColor="text1"/>
          <w:sz w:val="26"/>
          <w:szCs w:val="26"/>
        </w:rPr>
        <w:t xml:space="preserve"> Telecommunications Services, LLC, utility code 310456, is an Iowa limited liability company with its principal address located at 4001 North Rodney Parham Road, Little Rock, Arkansas 72212.  In the Commonwealth of Pennsylvania, it is authorized to offer, render, furnish, or provide IXC-R telecommunication</w:t>
      </w:r>
      <w:r w:rsidR="0054612F">
        <w:rPr>
          <w:color w:val="000000" w:themeColor="text1"/>
          <w:sz w:val="26"/>
          <w:szCs w:val="26"/>
        </w:rPr>
        <w:t>s</w:t>
      </w:r>
      <w:r>
        <w:rPr>
          <w:color w:val="000000" w:themeColor="text1"/>
          <w:sz w:val="26"/>
          <w:szCs w:val="26"/>
        </w:rPr>
        <w:t xml:space="preserve"> services pursuant to authority granted by the Commission at Docket No A-310456.  </w:t>
      </w:r>
    </w:p>
    <w:p w14:paraId="48187455" w14:textId="77777777" w:rsidR="00C96E2F" w:rsidRDefault="00C96E2F" w:rsidP="00C96E2F">
      <w:pPr>
        <w:ind w:firstLine="720"/>
        <w:rPr>
          <w:color w:val="000000" w:themeColor="text1"/>
          <w:sz w:val="26"/>
          <w:szCs w:val="26"/>
        </w:rPr>
      </w:pPr>
    </w:p>
    <w:p w14:paraId="103815F9" w14:textId="1D749C89" w:rsidR="00F92CE4" w:rsidRDefault="009621BE" w:rsidP="009621BE">
      <w:pPr>
        <w:ind w:firstLine="720"/>
        <w:rPr>
          <w:color w:val="000000" w:themeColor="text1"/>
          <w:sz w:val="26"/>
          <w:szCs w:val="26"/>
        </w:rPr>
      </w:pPr>
      <w:r>
        <w:rPr>
          <w:color w:val="000000" w:themeColor="text1"/>
          <w:sz w:val="26"/>
          <w:szCs w:val="26"/>
        </w:rPr>
        <w:t xml:space="preserve">PAETEC Communications, Inc., utility code 310743 is a Delaware corporation with its principal address located at 4001 North Rodney Parham Road, Little Rock, Arkansas 72212.  In the Commonwealth of Pennsylvania, it is authorized to offer, render, furnish, or provide </w:t>
      </w:r>
      <w:r w:rsidR="0054612F">
        <w:rPr>
          <w:color w:val="000000" w:themeColor="text1"/>
          <w:sz w:val="26"/>
          <w:szCs w:val="26"/>
        </w:rPr>
        <w:t xml:space="preserve">facilities-based IXC, </w:t>
      </w:r>
      <w:r>
        <w:rPr>
          <w:color w:val="000000" w:themeColor="text1"/>
          <w:sz w:val="26"/>
          <w:szCs w:val="26"/>
        </w:rPr>
        <w:t>IXC-R</w:t>
      </w:r>
      <w:r w:rsidR="00DA7168">
        <w:rPr>
          <w:color w:val="000000" w:themeColor="text1"/>
          <w:sz w:val="26"/>
          <w:szCs w:val="26"/>
        </w:rPr>
        <w:t xml:space="preserve">, </w:t>
      </w:r>
      <w:r>
        <w:rPr>
          <w:color w:val="000000" w:themeColor="text1"/>
          <w:sz w:val="26"/>
          <w:szCs w:val="26"/>
        </w:rPr>
        <w:t>CLEC</w:t>
      </w:r>
      <w:r w:rsidR="00DA7168">
        <w:rPr>
          <w:color w:val="000000" w:themeColor="text1"/>
          <w:sz w:val="26"/>
          <w:szCs w:val="26"/>
        </w:rPr>
        <w:t xml:space="preserve">, </w:t>
      </w:r>
      <w:r w:rsidR="0054612F">
        <w:rPr>
          <w:color w:val="000000" w:themeColor="text1"/>
          <w:sz w:val="26"/>
          <w:szCs w:val="26"/>
        </w:rPr>
        <w:t xml:space="preserve">and </w:t>
      </w:r>
      <w:r w:rsidR="00DA7168">
        <w:rPr>
          <w:color w:val="000000" w:themeColor="text1"/>
          <w:sz w:val="26"/>
          <w:szCs w:val="26"/>
        </w:rPr>
        <w:t>CAP</w:t>
      </w:r>
      <w:r>
        <w:rPr>
          <w:color w:val="000000" w:themeColor="text1"/>
          <w:sz w:val="26"/>
          <w:szCs w:val="26"/>
        </w:rPr>
        <w:t xml:space="preserve"> telecommunication</w:t>
      </w:r>
      <w:r w:rsidR="0054612F">
        <w:rPr>
          <w:color w:val="000000" w:themeColor="text1"/>
          <w:sz w:val="26"/>
          <w:szCs w:val="26"/>
        </w:rPr>
        <w:t>s</w:t>
      </w:r>
      <w:r>
        <w:rPr>
          <w:color w:val="000000" w:themeColor="text1"/>
          <w:sz w:val="26"/>
          <w:szCs w:val="26"/>
        </w:rPr>
        <w:t xml:space="preserve"> services pursuant to authority granted by the Commission at Docket No</w:t>
      </w:r>
      <w:r w:rsidR="00DA2B26">
        <w:rPr>
          <w:color w:val="000000" w:themeColor="text1"/>
          <w:sz w:val="26"/>
          <w:szCs w:val="26"/>
        </w:rPr>
        <w:t>s</w:t>
      </w:r>
      <w:r>
        <w:rPr>
          <w:color w:val="000000" w:themeColor="text1"/>
          <w:sz w:val="26"/>
          <w:szCs w:val="26"/>
        </w:rPr>
        <w:t>. A-</w:t>
      </w:r>
      <w:r w:rsidR="00DA7168">
        <w:rPr>
          <w:color w:val="000000" w:themeColor="text1"/>
          <w:sz w:val="26"/>
          <w:szCs w:val="26"/>
        </w:rPr>
        <w:t>310743</w:t>
      </w:r>
      <w:r w:rsidR="00DA2B26">
        <w:rPr>
          <w:color w:val="000000" w:themeColor="text1"/>
          <w:sz w:val="26"/>
          <w:szCs w:val="26"/>
        </w:rPr>
        <w:t>, A-310743- F0002, A-310743 F0003, A-310743 F0004.</w:t>
      </w:r>
      <w:r w:rsidR="00DA7168">
        <w:rPr>
          <w:color w:val="000000" w:themeColor="text1"/>
          <w:sz w:val="26"/>
          <w:szCs w:val="26"/>
        </w:rPr>
        <w:t xml:space="preserve">  </w:t>
      </w:r>
    </w:p>
    <w:p w14:paraId="27BDEF49" w14:textId="4BDD9F60" w:rsidR="009621BE" w:rsidRDefault="009621BE" w:rsidP="009621BE">
      <w:pPr>
        <w:ind w:firstLine="720"/>
        <w:rPr>
          <w:color w:val="000000" w:themeColor="text1"/>
          <w:sz w:val="26"/>
          <w:szCs w:val="26"/>
        </w:rPr>
      </w:pPr>
      <w:r>
        <w:rPr>
          <w:color w:val="000000" w:themeColor="text1"/>
          <w:sz w:val="26"/>
          <w:szCs w:val="26"/>
        </w:rPr>
        <w:t xml:space="preserve"> </w:t>
      </w:r>
    </w:p>
    <w:p w14:paraId="602D8472" w14:textId="599E694D" w:rsidR="00DA7168" w:rsidRDefault="00DA7168" w:rsidP="00DA7168">
      <w:pPr>
        <w:ind w:firstLine="720"/>
        <w:rPr>
          <w:color w:val="000000" w:themeColor="text1"/>
          <w:sz w:val="26"/>
          <w:szCs w:val="26"/>
        </w:rPr>
      </w:pPr>
      <w:r>
        <w:rPr>
          <w:color w:val="000000" w:themeColor="text1"/>
          <w:sz w:val="26"/>
          <w:szCs w:val="26"/>
        </w:rPr>
        <w:t>Talk America, LLC, utility code 310018, is a Delaware limited liability company with its principal address located at 4001 North Rodney Parham Road, Little Rock, Arkansas 72212.  In the Commonwealth of Pennsylvania, it is authorized to offer, render, furnish, or provide IXC-R and CLEC telecommunication</w:t>
      </w:r>
      <w:r w:rsidR="0061410A">
        <w:rPr>
          <w:color w:val="000000" w:themeColor="text1"/>
          <w:sz w:val="26"/>
          <w:szCs w:val="26"/>
        </w:rPr>
        <w:t>s</w:t>
      </w:r>
      <w:r>
        <w:rPr>
          <w:color w:val="000000" w:themeColor="text1"/>
          <w:sz w:val="26"/>
          <w:szCs w:val="26"/>
        </w:rPr>
        <w:t xml:space="preserve"> services pursuant to authority granted by the Commission at Docket No. A-310018.  </w:t>
      </w:r>
    </w:p>
    <w:p w14:paraId="03C02256" w14:textId="77777777" w:rsidR="00DA7168" w:rsidRDefault="00DA7168" w:rsidP="00DA7168">
      <w:pPr>
        <w:ind w:firstLine="720"/>
        <w:rPr>
          <w:color w:val="000000" w:themeColor="text1"/>
          <w:sz w:val="26"/>
          <w:szCs w:val="26"/>
        </w:rPr>
      </w:pPr>
    </w:p>
    <w:p w14:paraId="5164DE7E" w14:textId="02F37795" w:rsidR="00DA7168" w:rsidRDefault="00DA7168" w:rsidP="00DA7168">
      <w:pPr>
        <w:ind w:firstLine="720"/>
        <w:rPr>
          <w:color w:val="000000" w:themeColor="text1"/>
          <w:sz w:val="26"/>
          <w:szCs w:val="26"/>
        </w:rPr>
      </w:pPr>
      <w:r>
        <w:rPr>
          <w:color w:val="000000" w:themeColor="text1"/>
          <w:sz w:val="26"/>
          <w:szCs w:val="26"/>
        </w:rPr>
        <w:t xml:space="preserve">US LEC of Pennsylvania, LLC, utility code 310814, is a North Carolina limited liability company with its principal address located at 4001 North Rodney Parham Road, Little Rock, Arkansas 72212.  In the Commonwealth of Pennsylvania, it is authorized to offer, render, furnish, or provide </w:t>
      </w:r>
      <w:r w:rsidR="0061410A">
        <w:rPr>
          <w:color w:val="000000" w:themeColor="text1"/>
          <w:sz w:val="26"/>
          <w:szCs w:val="26"/>
        </w:rPr>
        <w:t xml:space="preserve">and facilities-based IXC, </w:t>
      </w:r>
      <w:r>
        <w:rPr>
          <w:color w:val="000000" w:themeColor="text1"/>
          <w:sz w:val="26"/>
          <w:szCs w:val="26"/>
        </w:rPr>
        <w:t>IXC-R</w:t>
      </w:r>
      <w:r w:rsidR="00B60F76">
        <w:rPr>
          <w:color w:val="000000" w:themeColor="text1"/>
          <w:sz w:val="26"/>
          <w:szCs w:val="26"/>
        </w:rPr>
        <w:t xml:space="preserve">, </w:t>
      </w:r>
      <w:r w:rsidR="0061410A">
        <w:rPr>
          <w:color w:val="000000" w:themeColor="text1"/>
          <w:sz w:val="26"/>
          <w:szCs w:val="26"/>
        </w:rPr>
        <w:t xml:space="preserve">and </w:t>
      </w:r>
      <w:r w:rsidR="00B60F76">
        <w:rPr>
          <w:color w:val="000000" w:themeColor="text1"/>
          <w:sz w:val="26"/>
          <w:szCs w:val="26"/>
        </w:rPr>
        <w:t>resell</w:t>
      </w:r>
      <w:r w:rsidR="0061410A">
        <w:rPr>
          <w:color w:val="000000" w:themeColor="text1"/>
          <w:sz w:val="26"/>
          <w:szCs w:val="26"/>
        </w:rPr>
        <w:t>er</w:t>
      </w:r>
      <w:r w:rsidR="00B60F76">
        <w:rPr>
          <w:color w:val="000000" w:themeColor="text1"/>
          <w:sz w:val="26"/>
          <w:szCs w:val="26"/>
        </w:rPr>
        <w:t xml:space="preserve"> and facilities-based </w:t>
      </w:r>
      <w:r>
        <w:rPr>
          <w:color w:val="000000" w:themeColor="text1"/>
          <w:sz w:val="26"/>
          <w:szCs w:val="26"/>
        </w:rPr>
        <w:t>CLEC</w:t>
      </w:r>
      <w:r w:rsidR="00B60F76">
        <w:rPr>
          <w:color w:val="000000" w:themeColor="text1"/>
          <w:sz w:val="26"/>
          <w:szCs w:val="26"/>
        </w:rPr>
        <w:t xml:space="preserve"> </w:t>
      </w:r>
      <w:r>
        <w:rPr>
          <w:color w:val="000000" w:themeColor="text1"/>
          <w:sz w:val="26"/>
          <w:szCs w:val="26"/>
        </w:rPr>
        <w:t>telecommunication</w:t>
      </w:r>
      <w:r w:rsidR="0061410A">
        <w:rPr>
          <w:color w:val="000000" w:themeColor="text1"/>
          <w:sz w:val="26"/>
          <w:szCs w:val="26"/>
        </w:rPr>
        <w:t>s</w:t>
      </w:r>
      <w:r>
        <w:rPr>
          <w:color w:val="000000" w:themeColor="text1"/>
          <w:sz w:val="26"/>
          <w:szCs w:val="26"/>
        </w:rPr>
        <w:t xml:space="preserve"> services pursuant to authority granted by the Commission at Docket No</w:t>
      </w:r>
      <w:r w:rsidR="00B60F76">
        <w:rPr>
          <w:color w:val="000000" w:themeColor="text1"/>
          <w:sz w:val="26"/>
          <w:szCs w:val="26"/>
        </w:rPr>
        <w:t>s</w:t>
      </w:r>
      <w:r>
        <w:rPr>
          <w:color w:val="000000" w:themeColor="text1"/>
          <w:sz w:val="26"/>
          <w:szCs w:val="26"/>
        </w:rPr>
        <w:t>. A-310814</w:t>
      </w:r>
      <w:r w:rsidR="00B60F76">
        <w:rPr>
          <w:color w:val="000000" w:themeColor="text1"/>
          <w:sz w:val="26"/>
          <w:szCs w:val="26"/>
        </w:rPr>
        <w:t>, A-310814 F0002, A-310814 F0003.</w:t>
      </w:r>
      <w:r>
        <w:rPr>
          <w:color w:val="000000" w:themeColor="text1"/>
          <w:sz w:val="26"/>
          <w:szCs w:val="26"/>
        </w:rPr>
        <w:t xml:space="preserve">  </w:t>
      </w:r>
    </w:p>
    <w:p w14:paraId="7C60B2B0" w14:textId="7CF1F583" w:rsidR="00DA7168" w:rsidRDefault="00DA7168" w:rsidP="00DA7168">
      <w:pPr>
        <w:ind w:firstLine="720"/>
        <w:rPr>
          <w:color w:val="000000" w:themeColor="text1"/>
          <w:sz w:val="26"/>
          <w:szCs w:val="26"/>
        </w:rPr>
      </w:pPr>
    </w:p>
    <w:p w14:paraId="24B40472" w14:textId="7326A8F8" w:rsidR="00DA7168" w:rsidRDefault="00A10F9D" w:rsidP="00B0262F">
      <w:pPr>
        <w:ind w:firstLine="720"/>
        <w:rPr>
          <w:color w:val="000000" w:themeColor="text1"/>
          <w:sz w:val="26"/>
          <w:szCs w:val="26"/>
        </w:rPr>
      </w:pPr>
      <w:r>
        <w:rPr>
          <w:color w:val="000000" w:themeColor="text1"/>
          <w:sz w:val="26"/>
          <w:szCs w:val="26"/>
        </w:rPr>
        <w:t>Windstream Buffalo Valley, Inc.</w:t>
      </w:r>
      <w:r w:rsidRPr="00A10F9D">
        <w:rPr>
          <w:color w:val="000000" w:themeColor="text1"/>
          <w:sz w:val="26"/>
          <w:szCs w:val="26"/>
        </w:rPr>
        <w:t>, utility code 3</w:t>
      </w:r>
      <w:r>
        <w:rPr>
          <w:color w:val="000000" w:themeColor="text1"/>
          <w:sz w:val="26"/>
          <w:szCs w:val="26"/>
        </w:rPr>
        <w:t>10369,</w:t>
      </w:r>
      <w:r w:rsidRPr="00A10F9D">
        <w:rPr>
          <w:color w:val="000000" w:themeColor="text1"/>
          <w:sz w:val="26"/>
          <w:szCs w:val="26"/>
        </w:rPr>
        <w:t xml:space="preserve"> is a </w:t>
      </w:r>
      <w:r>
        <w:rPr>
          <w:color w:val="000000" w:themeColor="text1"/>
          <w:sz w:val="26"/>
          <w:szCs w:val="26"/>
        </w:rPr>
        <w:t xml:space="preserve">Pennsylvania corporation </w:t>
      </w:r>
      <w:r w:rsidRPr="00A10F9D">
        <w:rPr>
          <w:color w:val="000000" w:themeColor="text1"/>
          <w:sz w:val="26"/>
          <w:szCs w:val="26"/>
        </w:rPr>
        <w:t xml:space="preserve">with its principal address located at 4001 North Rodney Parham Road, Little Rock, Arkansas 72212.  In the Commonwealth of Pennsylvania, it is authorized to offer, render, furnish, or provide </w:t>
      </w:r>
      <w:r>
        <w:rPr>
          <w:color w:val="000000" w:themeColor="text1"/>
          <w:sz w:val="26"/>
          <w:szCs w:val="26"/>
        </w:rPr>
        <w:t>incumbent local exchange carrier (ILEC) telecommunication</w:t>
      </w:r>
      <w:r w:rsidR="0061410A">
        <w:rPr>
          <w:color w:val="000000" w:themeColor="text1"/>
          <w:sz w:val="26"/>
          <w:szCs w:val="26"/>
        </w:rPr>
        <w:t>s</w:t>
      </w:r>
      <w:r>
        <w:rPr>
          <w:color w:val="000000" w:themeColor="text1"/>
          <w:sz w:val="26"/>
          <w:szCs w:val="26"/>
        </w:rPr>
        <w:t xml:space="preserve"> services </w:t>
      </w:r>
      <w:r w:rsidRPr="00A10F9D">
        <w:rPr>
          <w:color w:val="000000" w:themeColor="text1"/>
          <w:sz w:val="26"/>
          <w:szCs w:val="26"/>
        </w:rPr>
        <w:t>pursuant to authority granted by the Commission at Docket No. A-</w:t>
      </w:r>
      <w:r>
        <w:rPr>
          <w:color w:val="000000" w:themeColor="text1"/>
          <w:sz w:val="26"/>
          <w:szCs w:val="26"/>
        </w:rPr>
        <w:t xml:space="preserve">310369.  </w:t>
      </w:r>
    </w:p>
    <w:p w14:paraId="3C9191DC" w14:textId="77777777" w:rsidR="009621BE" w:rsidRDefault="009621BE" w:rsidP="009621BE">
      <w:pPr>
        <w:ind w:firstLine="720"/>
        <w:rPr>
          <w:color w:val="000000" w:themeColor="text1"/>
          <w:sz w:val="26"/>
          <w:szCs w:val="26"/>
        </w:rPr>
      </w:pPr>
    </w:p>
    <w:p w14:paraId="0EEE62A0" w14:textId="513F4335" w:rsidR="0054670A" w:rsidRDefault="0054670A" w:rsidP="0054670A">
      <w:pPr>
        <w:ind w:firstLine="720"/>
        <w:rPr>
          <w:color w:val="000000" w:themeColor="text1"/>
          <w:sz w:val="26"/>
          <w:szCs w:val="26"/>
        </w:rPr>
      </w:pPr>
      <w:r>
        <w:rPr>
          <w:color w:val="000000" w:themeColor="text1"/>
          <w:sz w:val="26"/>
          <w:szCs w:val="26"/>
        </w:rPr>
        <w:t xml:space="preserve">Windstream Communications, Inc., utility code 310325, is a Delaware corporation with its principal address located at 4001 North Rodney Parham Road, Little Rock, Arkansas 72212.  In the Commonwealth of Pennsylvania, it is authorized to offer, render, furnish, or provide </w:t>
      </w:r>
      <w:r w:rsidR="0061410A">
        <w:rPr>
          <w:color w:val="000000" w:themeColor="text1"/>
          <w:sz w:val="26"/>
          <w:szCs w:val="26"/>
        </w:rPr>
        <w:t xml:space="preserve">facilities-based IXC, </w:t>
      </w:r>
      <w:r w:rsidR="005C3F44">
        <w:rPr>
          <w:color w:val="000000" w:themeColor="text1"/>
          <w:sz w:val="26"/>
          <w:szCs w:val="26"/>
        </w:rPr>
        <w:t>IXC-R,</w:t>
      </w:r>
      <w:r>
        <w:rPr>
          <w:color w:val="000000" w:themeColor="text1"/>
          <w:sz w:val="26"/>
          <w:szCs w:val="26"/>
        </w:rPr>
        <w:t xml:space="preserve"> CLEC </w:t>
      </w:r>
      <w:r w:rsidR="005C3F44">
        <w:rPr>
          <w:color w:val="000000" w:themeColor="text1"/>
          <w:sz w:val="26"/>
          <w:szCs w:val="26"/>
        </w:rPr>
        <w:t xml:space="preserve">(including switched access), and CAP </w:t>
      </w:r>
      <w:r>
        <w:rPr>
          <w:color w:val="000000" w:themeColor="text1"/>
          <w:sz w:val="26"/>
          <w:szCs w:val="26"/>
        </w:rPr>
        <w:t>telecommunication</w:t>
      </w:r>
      <w:r w:rsidR="0061410A">
        <w:rPr>
          <w:color w:val="000000" w:themeColor="text1"/>
          <w:sz w:val="26"/>
          <w:szCs w:val="26"/>
        </w:rPr>
        <w:t>s</w:t>
      </w:r>
      <w:r>
        <w:rPr>
          <w:color w:val="000000" w:themeColor="text1"/>
          <w:sz w:val="26"/>
          <w:szCs w:val="26"/>
        </w:rPr>
        <w:t xml:space="preserve"> services pursuant to authority granted by the Commission at Docket No</w:t>
      </w:r>
      <w:r w:rsidR="004A6CFB">
        <w:rPr>
          <w:color w:val="000000" w:themeColor="text1"/>
          <w:sz w:val="26"/>
          <w:szCs w:val="26"/>
        </w:rPr>
        <w:t>s</w:t>
      </w:r>
      <w:r>
        <w:rPr>
          <w:color w:val="000000" w:themeColor="text1"/>
          <w:sz w:val="26"/>
          <w:szCs w:val="26"/>
        </w:rPr>
        <w:t>. A-</w:t>
      </w:r>
      <w:r w:rsidR="005C3F44">
        <w:rPr>
          <w:color w:val="000000" w:themeColor="text1"/>
          <w:sz w:val="26"/>
          <w:szCs w:val="26"/>
        </w:rPr>
        <w:t>310325</w:t>
      </w:r>
      <w:r w:rsidR="004A6CFB">
        <w:rPr>
          <w:color w:val="000000" w:themeColor="text1"/>
          <w:sz w:val="26"/>
          <w:szCs w:val="26"/>
        </w:rPr>
        <w:t>, A-310325 F0002, A-310325 F0003, and A-310325 F0004</w:t>
      </w:r>
      <w:r w:rsidR="005C3F44">
        <w:rPr>
          <w:color w:val="000000" w:themeColor="text1"/>
          <w:sz w:val="26"/>
          <w:szCs w:val="26"/>
        </w:rPr>
        <w:t xml:space="preserve">.  </w:t>
      </w:r>
      <w:r>
        <w:rPr>
          <w:color w:val="000000" w:themeColor="text1"/>
          <w:sz w:val="26"/>
          <w:szCs w:val="26"/>
        </w:rPr>
        <w:t xml:space="preserve"> </w:t>
      </w:r>
    </w:p>
    <w:p w14:paraId="6A4A4400" w14:textId="77777777" w:rsidR="0054670A" w:rsidRDefault="0054670A" w:rsidP="0054670A">
      <w:pPr>
        <w:ind w:firstLine="720"/>
        <w:rPr>
          <w:color w:val="000000" w:themeColor="text1"/>
          <w:sz w:val="26"/>
          <w:szCs w:val="26"/>
        </w:rPr>
      </w:pPr>
    </w:p>
    <w:p w14:paraId="1DC2A5E3" w14:textId="23D3A595" w:rsidR="009A7B93" w:rsidRDefault="00A82414" w:rsidP="000C191F">
      <w:pPr>
        <w:ind w:firstLine="720"/>
        <w:rPr>
          <w:color w:val="000000" w:themeColor="text1"/>
          <w:sz w:val="26"/>
          <w:szCs w:val="26"/>
        </w:rPr>
      </w:pPr>
      <w:r>
        <w:rPr>
          <w:color w:val="000000" w:themeColor="text1"/>
          <w:sz w:val="26"/>
          <w:szCs w:val="26"/>
        </w:rPr>
        <w:t>Windstream Conestoga, Inc.</w:t>
      </w:r>
      <w:r w:rsidR="000743D2">
        <w:rPr>
          <w:color w:val="000000" w:themeColor="text1"/>
          <w:sz w:val="26"/>
          <w:szCs w:val="26"/>
        </w:rPr>
        <w:t xml:space="preserve"> (Windstream Conestoga)</w:t>
      </w:r>
      <w:r>
        <w:rPr>
          <w:color w:val="000000" w:themeColor="text1"/>
          <w:sz w:val="26"/>
          <w:szCs w:val="26"/>
        </w:rPr>
        <w:t>, utility code 310850, is a Pennsylvania corporation with its principal address located at 4001 North Rodney Parham Road, Little Rock, Arkansas 72212.  In the Commonwealth of Pennsylvania, it is authorized to offer, render, furnish, or provide ILEC telecommunication</w:t>
      </w:r>
      <w:r w:rsidR="0061410A">
        <w:rPr>
          <w:color w:val="000000" w:themeColor="text1"/>
          <w:sz w:val="26"/>
          <w:szCs w:val="26"/>
        </w:rPr>
        <w:t>s</w:t>
      </w:r>
      <w:r>
        <w:rPr>
          <w:color w:val="000000" w:themeColor="text1"/>
          <w:sz w:val="26"/>
          <w:szCs w:val="26"/>
        </w:rPr>
        <w:t xml:space="preserve"> services in </w:t>
      </w:r>
      <w:r>
        <w:rPr>
          <w:color w:val="000000" w:themeColor="text1"/>
          <w:sz w:val="26"/>
          <w:szCs w:val="26"/>
        </w:rPr>
        <w:lastRenderedPageBreak/>
        <w:t xml:space="preserve">Berks, Chester, Lancaster, and Montgomery counties pursuant to authority granted by the Commission at Docket No A-310850.  </w:t>
      </w:r>
    </w:p>
    <w:p w14:paraId="27751F9D" w14:textId="534A80E2" w:rsidR="00A82414" w:rsidRDefault="00A82414" w:rsidP="000C191F">
      <w:pPr>
        <w:ind w:firstLine="720"/>
        <w:rPr>
          <w:color w:val="000000" w:themeColor="text1"/>
          <w:sz w:val="26"/>
          <w:szCs w:val="26"/>
        </w:rPr>
      </w:pPr>
    </w:p>
    <w:p w14:paraId="6C3F3671" w14:textId="3A7161D4" w:rsidR="00A82414" w:rsidRDefault="00A82414" w:rsidP="000C191F">
      <w:pPr>
        <w:ind w:firstLine="720"/>
        <w:rPr>
          <w:color w:val="000000" w:themeColor="text1"/>
          <w:sz w:val="26"/>
          <w:szCs w:val="26"/>
        </w:rPr>
      </w:pPr>
      <w:r>
        <w:rPr>
          <w:color w:val="000000" w:themeColor="text1"/>
          <w:sz w:val="26"/>
          <w:szCs w:val="26"/>
        </w:rPr>
        <w:t>Windstream D&amp;E Systems, Inc., utility code 310738, is a Delaware corporation with its principal address located at 4001 North Rodney Parham Road, Little Rock, Arkansas 72212.  In the Commonwealth of Pennsylvania, it is authorized to offer, render, furnish, or provide IXC-R, CLEC, and CAP telecommunication</w:t>
      </w:r>
      <w:r w:rsidR="0061410A">
        <w:rPr>
          <w:color w:val="000000" w:themeColor="text1"/>
          <w:sz w:val="26"/>
          <w:szCs w:val="26"/>
        </w:rPr>
        <w:t>s</w:t>
      </w:r>
      <w:r>
        <w:rPr>
          <w:color w:val="000000" w:themeColor="text1"/>
          <w:sz w:val="26"/>
          <w:szCs w:val="26"/>
        </w:rPr>
        <w:t xml:space="preserve"> services pursuant to authority granted by the Commission at Docket No</w:t>
      </w:r>
      <w:r w:rsidR="004A6CFB">
        <w:rPr>
          <w:color w:val="000000" w:themeColor="text1"/>
          <w:sz w:val="26"/>
          <w:szCs w:val="26"/>
        </w:rPr>
        <w:t>s</w:t>
      </w:r>
      <w:r>
        <w:rPr>
          <w:color w:val="000000" w:themeColor="text1"/>
          <w:sz w:val="26"/>
          <w:szCs w:val="26"/>
        </w:rPr>
        <w:t>. A-310738</w:t>
      </w:r>
      <w:r w:rsidR="004A6CFB">
        <w:rPr>
          <w:color w:val="000000" w:themeColor="text1"/>
          <w:sz w:val="26"/>
          <w:szCs w:val="26"/>
        </w:rPr>
        <w:t>, A-310738- F0002, and A-310738 F0003.</w:t>
      </w:r>
      <w:r>
        <w:rPr>
          <w:color w:val="000000" w:themeColor="text1"/>
          <w:sz w:val="26"/>
          <w:szCs w:val="26"/>
        </w:rPr>
        <w:t xml:space="preserve">  </w:t>
      </w:r>
    </w:p>
    <w:p w14:paraId="5413206F" w14:textId="79D8BD76" w:rsidR="00A82414" w:rsidRDefault="00A82414" w:rsidP="000C191F">
      <w:pPr>
        <w:ind w:firstLine="720"/>
        <w:rPr>
          <w:color w:val="000000" w:themeColor="text1"/>
          <w:sz w:val="26"/>
          <w:szCs w:val="26"/>
        </w:rPr>
      </w:pPr>
    </w:p>
    <w:p w14:paraId="156B2895" w14:textId="03021BF3" w:rsidR="0007607B" w:rsidRDefault="0007607B" w:rsidP="0007607B">
      <w:pPr>
        <w:ind w:firstLine="720"/>
        <w:rPr>
          <w:color w:val="000000" w:themeColor="text1"/>
          <w:sz w:val="26"/>
          <w:szCs w:val="26"/>
        </w:rPr>
      </w:pPr>
      <w:r w:rsidRPr="00CB1AD5">
        <w:rPr>
          <w:color w:val="000000" w:themeColor="text1"/>
          <w:sz w:val="26"/>
          <w:szCs w:val="26"/>
        </w:rPr>
        <w:t xml:space="preserve">Windstream D&amp;E, Inc. utility code 311050, is a </w:t>
      </w:r>
      <w:r w:rsidR="00CB1AD5" w:rsidRPr="00CB1AD5">
        <w:rPr>
          <w:color w:val="000000" w:themeColor="text1"/>
          <w:sz w:val="26"/>
          <w:szCs w:val="26"/>
        </w:rPr>
        <w:t xml:space="preserve">Pennsylvania </w:t>
      </w:r>
      <w:r w:rsidRPr="00CB1AD5">
        <w:rPr>
          <w:color w:val="000000" w:themeColor="text1"/>
          <w:sz w:val="26"/>
          <w:szCs w:val="26"/>
        </w:rPr>
        <w:t>corporation with its principal address located at 4001 North Rodney Parham Road, Little Rock, Arkansas 72212.  In the Commonwealth of Pennsylvania, it is authorized to offer, render, furnish, or provid</w:t>
      </w:r>
      <w:r w:rsidR="00CB1AD5" w:rsidRPr="00CB1AD5">
        <w:rPr>
          <w:color w:val="000000" w:themeColor="text1"/>
          <w:sz w:val="26"/>
          <w:szCs w:val="26"/>
        </w:rPr>
        <w:t xml:space="preserve">e ILEC </w:t>
      </w:r>
      <w:r w:rsidRPr="00CB1AD5">
        <w:rPr>
          <w:color w:val="000000" w:themeColor="text1"/>
          <w:sz w:val="26"/>
          <w:szCs w:val="26"/>
        </w:rPr>
        <w:t>telecommunication</w:t>
      </w:r>
      <w:r w:rsidR="0061410A">
        <w:rPr>
          <w:color w:val="000000" w:themeColor="text1"/>
          <w:sz w:val="26"/>
          <w:szCs w:val="26"/>
        </w:rPr>
        <w:t>s</w:t>
      </w:r>
      <w:r w:rsidRPr="00CB1AD5">
        <w:rPr>
          <w:color w:val="000000" w:themeColor="text1"/>
          <w:sz w:val="26"/>
          <w:szCs w:val="26"/>
        </w:rPr>
        <w:t xml:space="preserve"> services pursuant to authority granted by the Commission at Docket No. A-31</w:t>
      </w:r>
      <w:r w:rsidR="00CB1AD5" w:rsidRPr="00CB1AD5">
        <w:rPr>
          <w:color w:val="000000" w:themeColor="text1"/>
          <w:sz w:val="26"/>
          <w:szCs w:val="26"/>
        </w:rPr>
        <w:t>1050.</w:t>
      </w:r>
      <w:r>
        <w:rPr>
          <w:color w:val="000000" w:themeColor="text1"/>
          <w:sz w:val="26"/>
          <w:szCs w:val="26"/>
        </w:rPr>
        <w:t xml:space="preserve">  </w:t>
      </w:r>
    </w:p>
    <w:p w14:paraId="4B009898" w14:textId="77777777" w:rsidR="0007607B" w:rsidRDefault="0007607B" w:rsidP="0007607B">
      <w:pPr>
        <w:ind w:firstLine="720"/>
        <w:rPr>
          <w:color w:val="000000" w:themeColor="text1"/>
          <w:sz w:val="26"/>
          <w:szCs w:val="26"/>
        </w:rPr>
      </w:pPr>
    </w:p>
    <w:p w14:paraId="16686A68" w14:textId="5B808DFA" w:rsidR="00DD7234" w:rsidRDefault="00DD7234" w:rsidP="00DD7234">
      <w:pPr>
        <w:ind w:firstLine="720"/>
        <w:rPr>
          <w:color w:val="000000" w:themeColor="text1"/>
          <w:sz w:val="26"/>
          <w:szCs w:val="26"/>
        </w:rPr>
      </w:pPr>
      <w:r>
        <w:rPr>
          <w:color w:val="000000" w:themeColor="text1"/>
          <w:sz w:val="26"/>
          <w:szCs w:val="26"/>
        </w:rPr>
        <w:t>Windstream KDL, Inc., utility code 311413, is a Kentucky corporation with its principal address located at 4001 North Rodney Parham Road, Little Rock, Arkansas 72212.  In the Commonwealth of Pennsylvania, it is authorized to offer, render, furnish, or provide</w:t>
      </w:r>
      <w:r w:rsidR="00C41482">
        <w:rPr>
          <w:color w:val="000000" w:themeColor="text1"/>
          <w:sz w:val="26"/>
          <w:szCs w:val="26"/>
        </w:rPr>
        <w:t xml:space="preserve"> facilities-based</w:t>
      </w:r>
      <w:r>
        <w:rPr>
          <w:color w:val="000000" w:themeColor="text1"/>
          <w:sz w:val="26"/>
          <w:szCs w:val="26"/>
        </w:rPr>
        <w:t xml:space="preserve"> IXC, CLEC, and CAP telecommunication</w:t>
      </w:r>
      <w:r w:rsidR="00466738">
        <w:rPr>
          <w:color w:val="000000" w:themeColor="text1"/>
          <w:sz w:val="26"/>
          <w:szCs w:val="26"/>
        </w:rPr>
        <w:t>s</w:t>
      </w:r>
      <w:r>
        <w:rPr>
          <w:color w:val="000000" w:themeColor="text1"/>
          <w:sz w:val="26"/>
          <w:szCs w:val="26"/>
        </w:rPr>
        <w:t xml:space="preserve"> services pursuant to authority granted by the Commission at Docket No. A-311413</w:t>
      </w:r>
      <w:r w:rsidR="00C41482">
        <w:rPr>
          <w:color w:val="000000" w:themeColor="text1"/>
          <w:sz w:val="26"/>
          <w:szCs w:val="26"/>
        </w:rPr>
        <w:t>, A-311413 F0002 and A-311413 F0003</w:t>
      </w:r>
      <w:r>
        <w:rPr>
          <w:color w:val="000000" w:themeColor="text1"/>
          <w:sz w:val="26"/>
          <w:szCs w:val="26"/>
        </w:rPr>
        <w:t xml:space="preserve">.   </w:t>
      </w:r>
    </w:p>
    <w:p w14:paraId="3EC6D8AB" w14:textId="77777777" w:rsidR="00DD7234" w:rsidRDefault="00DD7234" w:rsidP="00DD7234">
      <w:pPr>
        <w:ind w:firstLine="720"/>
        <w:rPr>
          <w:color w:val="000000" w:themeColor="text1"/>
          <w:sz w:val="26"/>
          <w:szCs w:val="26"/>
        </w:rPr>
      </w:pPr>
    </w:p>
    <w:p w14:paraId="1476B3BA" w14:textId="6DD3902D" w:rsidR="00D27D2E" w:rsidRDefault="00D27D2E" w:rsidP="00D27D2E">
      <w:pPr>
        <w:ind w:firstLine="720"/>
        <w:rPr>
          <w:color w:val="000000" w:themeColor="text1"/>
          <w:sz w:val="26"/>
          <w:szCs w:val="26"/>
        </w:rPr>
      </w:pPr>
      <w:r>
        <w:rPr>
          <w:color w:val="000000" w:themeColor="text1"/>
          <w:sz w:val="26"/>
          <w:szCs w:val="26"/>
        </w:rPr>
        <w:t xml:space="preserve">Windstream </w:t>
      </w:r>
      <w:proofErr w:type="spellStart"/>
      <w:r>
        <w:rPr>
          <w:color w:val="000000" w:themeColor="text1"/>
          <w:sz w:val="26"/>
          <w:szCs w:val="26"/>
        </w:rPr>
        <w:t>Norlight</w:t>
      </w:r>
      <w:proofErr w:type="spellEnd"/>
      <w:r>
        <w:rPr>
          <w:color w:val="000000" w:themeColor="text1"/>
          <w:sz w:val="26"/>
          <w:szCs w:val="26"/>
        </w:rPr>
        <w:t xml:space="preserve">, Inc., utility code 3110170, is a Kentucky corporation with its principal address located at 4001 North Rodney Parham Road, Little Rock, Arkansas 72212.  In the Commonwealth of Pennsylvania, it is authorized to offer, render, furnish, or </w:t>
      </w:r>
      <w:r w:rsidRPr="007A3302">
        <w:rPr>
          <w:color w:val="000000" w:themeColor="text1"/>
          <w:sz w:val="26"/>
          <w:szCs w:val="26"/>
        </w:rPr>
        <w:t>provide</w:t>
      </w:r>
      <w:r w:rsidR="007A3302" w:rsidRPr="007A3302">
        <w:rPr>
          <w:color w:val="000000" w:themeColor="text1"/>
          <w:sz w:val="26"/>
          <w:szCs w:val="26"/>
        </w:rPr>
        <w:t xml:space="preserve"> </w:t>
      </w:r>
      <w:r w:rsidRPr="007A3302">
        <w:rPr>
          <w:color w:val="000000" w:themeColor="text1"/>
          <w:sz w:val="26"/>
          <w:szCs w:val="26"/>
        </w:rPr>
        <w:t>IXC-R telecommunication</w:t>
      </w:r>
      <w:r w:rsidR="00466738">
        <w:rPr>
          <w:color w:val="000000" w:themeColor="text1"/>
          <w:sz w:val="26"/>
          <w:szCs w:val="26"/>
        </w:rPr>
        <w:t>s</w:t>
      </w:r>
      <w:r w:rsidRPr="007A3302">
        <w:rPr>
          <w:color w:val="000000" w:themeColor="text1"/>
          <w:sz w:val="26"/>
          <w:szCs w:val="26"/>
        </w:rPr>
        <w:t xml:space="preserve"> services pursuant to authority granted by the Commission at Docket No. A-3110170.</w:t>
      </w:r>
      <w:r>
        <w:rPr>
          <w:color w:val="000000" w:themeColor="text1"/>
          <w:sz w:val="26"/>
          <w:szCs w:val="26"/>
        </w:rPr>
        <w:t xml:space="preserve">  </w:t>
      </w:r>
    </w:p>
    <w:p w14:paraId="28D9B120" w14:textId="77777777" w:rsidR="00D27D2E" w:rsidRDefault="00D27D2E" w:rsidP="00D27D2E">
      <w:pPr>
        <w:ind w:firstLine="720"/>
        <w:rPr>
          <w:color w:val="000000" w:themeColor="text1"/>
          <w:sz w:val="26"/>
          <w:szCs w:val="26"/>
        </w:rPr>
      </w:pPr>
    </w:p>
    <w:p w14:paraId="36C73ACA" w14:textId="684EFED0" w:rsidR="00740B3B" w:rsidRDefault="00740B3B" w:rsidP="00740B3B">
      <w:pPr>
        <w:ind w:firstLine="720"/>
        <w:rPr>
          <w:color w:val="000000" w:themeColor="text1"/>
          <w:sz w:val="26"/>
          <w:szCs w:val="26"/>
        </w:rPr>
      </w:pPr>
      <w:r>
        <w:rPr>
          <w:color w:val="000000" w:themeColor="text1"/>
          <w:sz w:val="26"/>
          <w:szCs w:val="26"/>
        </w:rPr>
        <w:t>Windstream NTI, Inc., utility code 310573, is a Wisconsin corporation with its principal address located at 4001 North Rodney Parham Road, Little Rock, Arkansas 72212.  In the Commonwealth of Pennsylvania, it is authorized to offer, render, furnish, or provide IXC-R telecommunication</w:t>
      </w:r>
      <w:r w:rsidR="00466738">
        <w:rPr>
          <w:color w:val="000000" w:themeColor="text1"/>
          <w:sz w:val="26"/>
          <w:szCs w:val="26"/>
        </w:rPr>
        <w:t>s</w:t>
      </w:r>
      <w:r>
        <w:rPr>
          <w:color w:val="000000" w:themeColor="text1"/>
          <w:sz w:val="26"/>
          <w:szCs w:val="26"/>
        </w:rPr>
        <w:t xml:space="preserve"> services pursuant to authority granted by the Commission at Docket No. A-310573.  </w:t>
      </w:r>
    </w:p>
    <w:p w14:paraId="14271640" w14:textId="77777777" w:rsidR="00740B3B" w:rsidRDefault="00740B3B" w:rsidP="00740B3B">
      <w:pPr>
        <w:ind w:firstLine="720"/>
        <w:rPr>
          <w:color w:val="000000" w:themeColor="text1"/>
          <w:sz w:val="26"/>
          <w:szCs w:val="26"/>
        </w:rPr>
      </w:pPr>
    </w:p>
    <w:p w14:paraId="1295B07D" w14:textId="7EEFF2DF" w:rsidR="00740B3B" w:rsidRDefault="00740B3B" w:rsidP="00740B3B">
      <w:pPr>
        <w:ind w:firstLine="720"/>
        <w:rPr>
          <w:color w:val="000000" w:themeColor="text1"/>
          <w:sz w:val="26"/>
          <w:szCs w:val="26"/>
        </w:rPr>
      </w:pPr>
      <w:r>
        <w:rPr>
          <w:color w:val="000000" w:themeColor="text1"/>
          <w:sz w:val="26"/>
          <w:szCs w:val="26"/>
        </w:rPr>
        <w:t>Windstream Pennsylvania, LLC</w:t>
      </w:r>
      <w:r w:rsidR="00071F88">
        <w:rPr>
          <w:color w:val="000000" w:themeColor="text1"/>
          <w:sz w:val="26"/>
          <w:szCs w:val="26"/>
        </w:rPr>
        <w:t xml:space="preserve"> (Windstream PA)</w:t>
      </w:r>
      <w:r>
        <w:rPr>
          <w:color w:val="000000" w:themeColor="text1"/>
          <w:sz w:val="26"/>
          <w:szCs w:val="26"/>
        </w:rPr>
        <w:t>, utility code 312050, is a Delaware limited liability company with its principal address located at 4001 North Rodney Parham Road, Little Rock, Arkansas 72212.  In the Commonwealth of Pennsylvania, it is authorized to offer, render, furnish, or provide ILEC telecommunication</w:t>
      </w:r>
      <w:r w:rsidR="00466738">
        <w:rPr>
          <w:color w:val="000000" w:themeColor="text1"/>
          <w:sz w:val="26"/>
          <w:szCs w:val="26"/>
        </w:rPr>
        <w:t>s</w:t>
      </w:r>
      <w:r>
        <w:rPr>
          <w:color w:val="000000" w:themeColor="text1"/>
          <w:sz w:val="26"/>
          <w:szCs w:val="26"/>
        </w:rPr>
        <w:t xml:space="preserve"> services pursuant to authority granted by the Commission at Docket No. A-312050.  </w:t>
      </w:r>
    </w:p>
    <w:p w14:paraId="6155DA79" w14:textId="77777777" w:rsidR="006A14EF" w:rsidRDefault="006A14EF" w:rsidP="00740B3B">
      <w:pPr>
        <w:ind w:firstLine="720"/>
        <w:rPr>
          <w:color w:val="000000" w:themeColor="text1"/>
          <w:sz w:val="26"/>
          <w:szCs w:val="26"/>
        </w:rPr>
      </w:pPr>
    </w:p>
    <w:p w14:paraId="2B8036DA" w14:textId="15E84E28" w:rsidR="00740BC2" w:rsidRPr="00D20313" w:rsidRDefault="0013257D" w:rsidP="00740BC2">
      <w:pPr>
        <w:ind w:firstLine="720"/>
        <w:rPr>
          <w:sz w:val="26"/>
          <w:szCs w:val="26"/>
        </w:rPr>
      </w:pPr>
      <w:bookmarkStart w:id="4" w:name="_Hlk519763109"/>
      <w:bookmarkEnd w:id="0"/>
      <w:r w:rsidRPr="00C624D3">
        <w:rPr>
          <w:color w:val="000000" w:themeColor="text1"/>
          <w:sz w:val="26"/>
          <w:szCs w:val="26"/>
        </w:rPr>
        <w:t xml:space="preserve">On February 25, 2019, each of the Joint Applicants, including the Windstream PA Utilities, commenced with the United States Bankruptcy Court for the Southern District </w:t>
      </w:r>
      <w:r w:rsidRPr="00C624D3">
        <w:rPr>
          <w:color w:val="000000" w:themeColor="text1"/>
          <w:sz w:val="26"/>
          <w:szCs w:val="26"/>
        </w:rPr>
        <w:lastRenderedPageBreak/>
        <w:t xml:space="preserve">of New York </w:t>
      </w:r>
      <w:r w:rsidR="00740BC2" w:rsidRPr="00C624D3">
        <w:rPr>
          <w:color w:val="000000" w:themeColor="text1"/>
          <w:sz w:val="26"/>
          <w:szCs w:val="26"/>
        </w:rPr>
        <w:t>(“</w:t>
      </w:r>
      <w:r w:rsidR="004E0C73">
        <w:rPr>
          <w:color w:val="000000" w:themeColor="text1"/>
          <w:sz w:val="26"/>
          <w:szCs w:val="26"/>
        </w:rPr>
        <w:t>B</w:t>
      </w:r>
      <w:r w:rsidR="00740BC2" w:rsidRPr="00C624D3">
        <w:rPr>
          <w:color w:val="000000" w:themeColor="text1"/>
          <w:sz w:val="26"/>
          <w:szCs w:val="26"/>
        </w:rPr>
        <w:t xml:space="preserve">ankruptcy </w:t>
      </w:r>
      <w:r w:rsidR="004E0C73">
        <w:rPr>
          <w:color w:val="000000" w:themeColor="text1"/>
          <w:sz w:val="26"/>
          <w:szCs w:val="26"/>
        </w:rPr>
        <w:t>C</w:t>
      </w:r>
      <w:r w:rsidR="00740BC2" w:rsidRPr="00C624D3">
        <w:rPr>
          <w:color w:val="000000" w:themeColor="text1"/>
          <w:sz w:val="26"/>
          <w:szCs w:val="26"/>
        </w:rPr>
        <w:t xml:space="preserve">ourt”) </w:t>
      </w:r>
      <w:r w:rsidRPr="00C624D3">
        <w:rPr>
          <w:color w:val="000000" w:themeColor="text1"/>
          <w:sz w:val="26"/>
          <w:szCs w:val="26"/>
        </w:rPr>
        <w:t xml:space="preserve">a voluntary case under Chapter 11 of Title 11 of the </w:t>
      </w:r>
      <w:r w:rsidRPr="00D20313">
        <w:rPr>
          <w:color w:val="000000" w:themeColor="text1"/>
          <w:sz w:val="26"/>
          <w:szCs w:val="26"/>
        </w:rPr>
        <w:t xml:space="preserve">United States </w:t>
      </w:r>
      <w:r w:rsidR="00AC0E9E">
        <w:rPr>
          <w:color w:val="000000" w:themeColor="text1"/>
          <w:sz w:val="26"/>
          <w:szCs w:val="26"/>
        </w:rPr>
        <w:t>Code</w:t>
      </w:r>
      <w:r w:rsidR="00E52ACC" w:rsidRPr="00D20313">
        <w:rPr>
          <w:color w:val="000000" w:themeColor="text1"/>
          <w:sz w:val="26"/>
          <w:szCs w:val="26"/>
        </w:rPr>
        <w:t>.</w:t>
      </w:r>
      <w:r w:rsidR="00C624D3" w:rsidRPr="00D20313">
        <w:rPr>
          <w:rStyle w:val="FootnoteReference"/>
          <w:color w:val="000000" w:themeColor="text1"/>
          <w:sz w:val="26"/>
          <w:szCs w:val="26"/>
        </w:rPr>
        <w:footnoteReference w:id="6"/>
      </w:r>
      <w:r w:rsidR="00E52ACC" w:rsidRPr="00D20313">
        <w:rPr>
          <w:color w:val="000000" w:themeColor="text1"/>
          <w:sz w:val="26"/>
          <w:szCs w:val="26"/>
        </w:rPr>
        <w:t xml:space="preserve">  </w:t>
      </w:r>
      <w:r w:rsidR="00D20313" w:rsidRPr="00D20313">
        <w:rPr>
          <w:color w:val="000000" w:themeColor="text1"/>
          <w:sz w:val="26"/>
          <w:szCs w:val="26"/>
        </w:rPr>
        <w:t xml:space="preserve">It was assigned to Case No. 19-22312.  </w:t>
      </w:r>
      <w:r w:rsidR="00E52ACC" w:rsidRPr="00D20313">
        <w:rPr>
          <w:color w:val="000000" w:themeColor="text1"/>
          <w:sz w:val="26"/>
          <w:szCs w:val="26"/>
        </w:rPr>
        <w:t xml:space="preserve">On </w:t>
      </w:r>
      <w:r w:rsidR="00740BC2" w:rsidRPr="00D20313">
        <w:rPr>
          <w:color w:val="000000" w:themeColor="text1"/>
          <w:sz w:val="26"/>
          <w:szCs w:val="26"/>
        </w:rPr>
        <w:t xml:space="preserve">April 1, 2020, Windstream </w:t>
      </w:r>
      <w:r w:rsidR="00E52ACC" w:rsidRPr="00D20313">
        <w:rPr>
          <w:color w:val="000000" w:themeColor="text1"/>
          <w:sz w:val="26"/>
          <w:szCs w:val="26"/>
        </w:rPr>
        <w:t>filed</w:t>
      </w:r>
      <w:r w:rsidR="00E52ACC" w:rsidRPr="00C624D3">
        <w:rPr>
          <w:color w:val="000000" w:themeColor="text1"/>
          <w:sz w:val="26"/>
          <w:szCs w:val="26"/>
        </w:rPr>
        <w:t xml:space="preserve"> a </w:t>
      </w:r>
      <w:r w:rsidR="005F1927">
        <w:rPr>
          <w:color w:val="000000" w:themeColor="text1"/>
          <w:sz w:val="26"/>
          <w:szCs w:val="26"/>
        </w:rPr>
        <w:t>P</w:t>
      </w:r>
      <w:r w:rsidR="00740BC2" w:rsidRPr="00C624D3">
        <w:rPr>
          <w:color w:val="000000" w:themeColor="text1"/>
          <w:sz w:val="26"/>
          <w:szCs w:val="26"/>
        </w:rPr>
        <w:t xml:space="preserve">lan of </w:t>
      </w:r>
      <w:r w:rsidR="005F1927">
        <w:rPr>
          <w:color w:val="000000" w:themeColor="text1"/>
          <w:sz w:val="26"/>
          <w:szCs w:val="26"/>
        </w:rPr>
        <w:t>R</w:t>
      </w:r>
      <w:r w:rsidR="00740BC2" w:rsidRPr="00C624D3">
        <w:rPr>
          <w:color w:val="000000" w:themeColor="text1"/>
          <w:sz w:val="26"/>
          <w:szCs w:val="26"/>
        </w:rPr>
        <w:t xml:space="preserve">eorganization </w:t>
      </w:r>
      <w:r w:rsidR="00047862">
        <w:rPr>
          <w:color w:val="000000" w:themeColor="text1"/>
          <w:sz w:val="26"/>
          <w:szCs w:val="26"/>
        </w:rPr>
        <w:t xml:space="preserve">(“the Plan”) </w:t>
      </w:r>
      <w:r w:rsidR="00740BC2" w:rsidRPr="00C624D3">
        <w:rPr>
          <w:color w:val="000000" w:themeColor="text1"/>
          <w:sz w:val="26"/>
          <w:szCs w:val="26"/>
        </w:rPr>
        <w:t xml:space="preserve">with the </w:t>
      </w:r>
      <w:r w:rsidR="004E0C73">
        <w:rPr>
          <w:color w:val="000000" w:themeColor="text1"/>
          <w:sz w:val="26"/>
          <w:szCs w:val="26"/>
        </w:rPr>
        <w:t>B</w:t>
      </w:r>
      <w:r w:rsidR="00740BC2" w:rsidRPr="00C624D3">
        <w:rPr>
          <w:color w:val="000000" w:themeColor="text1"/>
          <w:sz w:val="26"/>
          <w:szCs w:val="26"/>
        </w:rPr>
        <w:t xml:space="preserve">ankruptcy </w:t>
      </w:r>
      <w:r w:rsidR="004E0C73">
        <w:rPr>
          <w:color w:val="000000" w:themeColor="text1"/>
          <w:sz w:val="26"/>
          <w:szCs w:val="26"/>
        </w:rPr>
        <w:t>C</w:t>
      </w:r>
      <w:r w:rsidR="00740BC2" w:rsidRPr="00C624D3">
        <w:rPr>
          <w:color w:val="000000" w:themeColor="text1"/>
          <w:sz w:val="26"/>
          <w:szCs w:val="26"/>
        </w:rPr>
        <w:t xml:space="preserve">ourt proposing a </w:t>
      </w:r>
      <w:r w:rsidR="004E0C73">
        <w:rPr>
          <w:color w:val="000000" w:themeColor="text1"/>
          <w:sz w:val="26"/>
          <w:szCs w:val="26"/>
        </w:rPr>
        <w:t>restructuring</w:t>
      </w:r>
      <w:r w:rsidR="00D20313">
        <w:rPr>
          <w:color w:val="000000" w:themeColor="text1"/>
          <w:sz w:val="26"/>
          <w:szCs w:val="26"/>
        </w:rPr>
        <w:t xml:space="preserve"> that involves two steps.  An amendment was filed to the Plan on May 6, 2020, and the Bankruptcy Court held a hearing on Jun</w:t>
      </w:r>
      <w:r w:rsidR="004F32E3">
        <w:rPr>
          <w:color w:val="000000" w:themeColor="text1"/>
          <w:sz w:val="26"/>
          <w:szCs w:val="26"/>
        </w:rPr>
        <w:t>e</w:t>
      </w:r>
      <w:r w:rsidR="00D20313">
        <w:rPr>
          <w:color w:val="000000" w:themeColor="text1"/>
          <w:sz w:val="26"/>
          <w:szCs w:val="26"/>
        </w:rPr>
        <w:t xml:space="preserve"> 24, 2020. </w:t>
      </w:r>
      <w:r w:rsidR="002614A3">
        <w:rPr>
          <w:color w:val="000000" w:themeColor="text1"/>
          <w:sz w:val="26"/>
          <w:szCs w:val="26"/>
        </w:rPr>
        <w:t xml:space="preserve"> </w:t>
      </w:r>
      <w:r w:rsidR="00D20313">
        <w:rPr>
          <w:color w:val="000000" w:themeColor="text1"/>
          <w:sz w:val="26"/>
          <w:szCs w:val="26"/>
        </w:rPr>
        <w:t>By Confirmation Order entered June 26, 2020, the Bankruptcy Court approved the Plan and other Plan documents under Section 1129 of the Bankruptcy Code</w:t>
      </w:r>
      <w:r w:rsidR="00D20313" w:rsidRPr="00D20313">
        <w:rPr>
          <w:color w:val="000000" w:themeColor="text1"/>
          <w:sz w:val="26"/>
          <w:szCs w:val="26"/>
        </w:rPr>
        <w:t xml:space="preserve">.  </w:t>
      </w:r>
      <w:r w:rsidR="00740BC2" w:rsidRPr="00D20313">
        <w:rPr>
          <w:sz w:val="26"/>
          <w:szCs w:val="26"/>
        </w:rPr>
        <w:t>The Joint Applicants request Commission authority to consummate a two-step Transaction</w:t>
      </w:r>
      <w:r w:rsidR="00047862" w:rsidRPr="00D20313">
        <w:rPr>
          <w:sz w:val="26"/>
          <w:szCs w:val="26"/>
        </w:rPr>
        <w:t xml:space="preserve">, as outlined in the </w:t>
      </w:r>
      <w:r w:rsidR="00D20313" w:rsidRPr="00D20313">
        <w:rPr>
          <w:sz w:val="26"/>
          <w:szCs w:val="26"/>
        </w:rPr>
        <w:t xml:space="preserve">confirmed and approved </w:t>
      </w:r>
      <w:r w:rsidR="00047862" w:rsidRPr="00D20313">
        <w:rPr>
          <w:sz w:val="26"/>
          <w:szCs w:val="26"/>
        </w:rPr>
        <w:t>Plan,</w:t>
      </w:r>
      <w:r w:rsidR="00740BC2" w:rsidRPr="00D20313">
        <w:rPr>
          <w:sz w:val="26"/>
          <w:szCs w:val="26"/>
        </w:rPr>
        <w:t xml:space="preserve"> in order to emerge from bankruptcy.</w:t>
      </w:r>
      <w:r w:rsidR="0046091E">
        <w:rPr>
          <w:rStyle w:val="FootnoteReference"/>
          <w:sz w:val="26"/>
          <w:szCs w:val="26"/>
        </w:rPr>
        <w:footnoteReference w:id="7"/>
      </w:r>
    </w:p>
    <w:p w14:paraId="36BA1B92" w14:textId="70C51372" w:rsidR="00740BC2" w:rsidRPr="00D20313" w:rsidRDefault="00740BC2" w:rsidP="0013257D">
      <w:pPr>
        <w:rPr>
          <w:sz w:val="26"/>
          <w:szCs w:val="26"/>
        </w:rPr>
      </w:pPr>
    </w:p>
    <w:p w14:paraId="505C5708" w14:textId="1C9B4C02" w:rsidR="001D07A0" w:rsidRDefault="00C624D3" w:rsidP="00B0262F">
      <w:pPr>
        <w:ind w:firstLine="720"/>
        <w:rPr>
          <w:color w:val="000000" w:themeColor="text1"/>
          <w:sz w:val="26"/>
          <w:szCs w:val="26"/>
        </w:rPr>
      </w:pPr>
      <w:r w:rsidRPr="00D20313">
        <w:rPr>
          <w:sz w:val="26"/>
          <w:szCs w:val="26"/>
        </w:rPr>
        <w:t xml:space="preserve">In the first step of the Transaction, </w:t>
      </w:r>
      <w:r w:rsidR="0013257D" w:rsidRPr="00D20313">
        <w:rPr>
          <w:sz w:val="26"/>
          <w:szCs w:val="26"/>
        </w:rPr>
        <w:t xml:space="preserve">the interests held by the existing stockholders </w:t>
      </w:r>
      <w:r w:rsidR="0013257D">
        <w:rPr>
          <w:color w:val="000000" w:themeColor="text1"/>
          <w:sz w:val="26"/>
          <w:szCs w:val="26"/>
        </w:rPr>
        <w:t xml:space="preserve">of Windstream </w:t>
      </w:r>
      <w:r w:rsidR="0038666C">
        <w:rPr>
          <w:color w:val="000000" w:themeColor="text1"/>
          <w:sz w:val="26"/>
          <w:szCs w:val="26"/>
        </w:rPr>
        <w:t>PA Utilities’</w:t>
      </w:r>
      <w:r w:rsidR="00EA18D0">
        <w:rPr>
          <w:color w:val="000000" w:themeColor="text1"/>
          <w:sz w:val="26"/>
          <w:szCs w:val="26"/>
        </w:rPr>
        <w:t xml:space="preserve"> ultimate</w:t>
      </w:r>
      <w:r w:rsidR="0038666C">
        <w:rPr>
          <w:color w:val="000000" w:themeColor="text1"/>
          <w:sz w:val="26"/>
          <w:szCs w:val="26"/>
        </w:rPr>
        <w:t xml:space="preserve"> parent, W</w:t>
      </w:r>
      <w:r w:rsidR="002D1068">
        <w:rPr>
          <w:color w:val="000000" w:themeColor="text1"/>
          <w:sz w:val="26"/>
          <w:szCs w:val="26"/>
        </w:rPr>
        <w:t>HI</w:t>
      </w:r>
      <w:r w:rsidR="00EA18D0">
        <w:rPr>
          <w:color w:val="000000" w:themeColor="text1"/>
          <w:sz w:val="26"/>
          <w:szCs w:val="26"/>
        </w:rPr>
        <w:t xml:space="preserve">, </w:t>
      </w:r>
      <w:r w:rsidR="0013257D">
        <w:rPr>
          <w:color w:val="000000" w:themeColor="text1"/>
          <w:sz w:val="26"/>
          <w:szCs w:val="26"/>
        </w:rPr>
        <w:t xml:space="preserve">will be canceled and </w:t>
      </w:r>
      <w:r w:rsidR="0038666C">
        <w:rPr>
          <w:color w:val="000000" w:themeColor="text1"/>
          <w:sz w:val="26"/>
          <w:szCs w:val="26"/>
        </w:rPr>
        <w:t>the company will be reorganized.  The creditors who today hold the first lien debt of W</w:t>
      </w:r>
      <w:r w:rsidR="002D1068">
        <w:rPr>
          <w:color w:val="000000" w:themeColor="text1"/>
          <w:sz w:val="26"/>
          <w:szCs w:val="26"/>
        </w:rPr>
        <w:t>HI</w:t>
      </w:r>
      <w:r w:rsidR="0038666C">
        <w:rPr>
          <w:color w:val="000000" w:themeColor="text1"/>
          <w:sz w:val="26"/>
          <w:szCs w:val="26"/>
        </w:rPr>
        <w:t xml:space="preserve"> will, when the reorganization is complete, hold 100% of the equity in W</w:t>
      </w:r>
      <w:r w:rsidR="002D1068">
        <w:rPr>
          <w:color w:val="000000" w:themeColor="text1"/>
          <w:sz w:val="26"/>
          <w:szCs w:val="26"/>
        </w:rPr>
        <w:t>HI</w:t>
      </w:r>
      <w:r w:rsidR="004E0C73">
        <w:rPr>
          <w:color w:val="000000" w:themeColor="text1"/>
          <w:sz w:val="26"/>
          <w:szCs w:val="26"/>
        </w:rPr>
        <w:t xml:space="preserve">, which will be referred to as </w:t>
      </w:r>
      <w:r w:rsidR="0038666C">
        <w:rPr>
          <w:color w:val="000000" w:themeColor="text1"/>
          <w:sz w:val="26"/>
          <w:szCs w:val="26"/>
        </w:rPr>
        <w:t>“New Windstream</w:t>
      </w:r>
      <w:r w:rsidR="003A0048">
        <w:rPr>
          <w:color w:val="000000" w:themeColor="text1"/>
          <w:sz w:val="26"/>
          <w:szCs w:val="26"/>
        </w:rPr>
        <w:t>.</w:t>
      </w:r>
      <w:r w:rsidR="0038666C">
        <w:rPr>
          <w:color w:val="000000" w:themeColor="text1"/>
          <w:sz w:val="26"/>
          <w:szCs w:val="26"/>
        </w:rPr>
        <w:t xml:space="preserve">” </w:t>
      </w:r>
      <w:r w:rsidR="005F1927">
        <w:rPr>
          <w:color w:val="000000" w:themeColor="text1"/>
          <w:sz w:val="26"/>
          <w:szCs w:val="26"/>
        </w:rPr>
        <w:t xml:space="preserve"> As part of the first step, some of the creditors’ foreign affiliates or subsidiaries will receive warrants to purchase additional equity in New Windstream.  In the second step of the Transaction, New Windstream will request </w:t>
      </w:r>
      <w:r w:rsidR="003A0048">
        <w:rPr>
          <w:color w:val="000000" w:themeColor="text1"/>
          <w:sz w:val="26"/>
          <w:szCs w:val="26"/>
        </w:rPr>
        <w:t xml:space="preserve">the </w:t>
      </w:r>
      <w:r w:rsidR="005F1927">
        <w:rPr>
          <w:color w:val="000000" w:themeColor="text1"/>
          <w:sz w:val="26"/>
          <w:szCs w:val="26"/>
        </w:rPr>
        <w:t>Federal Communications Commission</w:t>
      </w:r>
      <w:r w:rsidR="004F5A4F">
        <w:rPr>
          <w:color w:val="000000" w:themeColor="text1"/>
          <w:sz w:val="26"/>
          <w:szCs w:val="26"/>
        </w:rPr>
        <w:t>’s</w:t>
      </w:r>
      <w:r w:rsidR="005F1927">
        <w:rPr>
          <w:color w:val="000000" w:themeColor="text1"/>
          <w:sz w:val="26"/>
          <w:szCs w:val="26"/>
        </w:rPr>
        <w:t xml:space="preserve"> (“FCC”) approval for any foreign warrant holders to exercise their warrants.</w:t>
      </w:r>
      <w:r w:rsidR="005F1927">
        <w:rPr>
          <w:rStyle w:val="FootnoteReference"/>
          <w:color w:val="000000" w:themeColor="text1"/>
          <w:sz w:val="26"/>
          <w:szCs w:val="26"/>
        </w:rPr>
        <w:footnoteReference w:id="8"/>
      </w:r>
      <w:r w:rsidR="004F10A1">
        <w:rPr>
          <w:color w:val="000000" w:themeColor="text1"/>
          <w:sz w:val="26"/>
          <w:szCs w:val="26"/>
        </w:rPr>
        <w:t xml:space="preserve">  The two-step process will permit Windstream to emerge from bankruptcy more quickly, while at the same time accommodat</w:t>
      </w:r>
      <w:r w:rsidR="003A0048">
        <w:rPr>
          <w:color w:val="000000" w:themeColor="text1"/>
          <w:sz w:val="26"/>
          <w:szCs w:val="26"/>
        </w:rPr>
        <w:t>e</w:t>
      </w:r>
      <w:r w:rsidR="004F10A1">
        <w:rPr>
          <w:color w:val="000000" w:themeColor="text1"/>
          <w:sz w:val="26"/>
          <w:szCs w:val="26"/>
        </w:rPr>
        <w:t xml:space="preserve"> all appropriate regulatory reviews.</w:t>
      </w:r>
      <w:r w:rsidR="004F10A1">
        <w:rPr>
          <w:rStyle w:val="FootnoteReference"/>
          <w:color w:val="000000" w:themeColor="text1"/>
          <w:sz w:val="26"/>
          <w:szCs w:val="26"/>
        </w:rPr>
        <w:footnoteReference w:id="9"/>
      </w:r>
    </w:p>
    <w:p w14:paraId="5E606242" w14:textId="32A654AB" w:rsidR="004F10A1" w:rsidRDefault="004F10A1" w:rsidP="0013257D">
      <w:pPr>
        <w:rPr>
          <w:color w:val="000000" w:themeColor="text1"/>
          <w:sz w:val="26"/>
          <w:szCs w:val="26"/>
        </w:rPr>
      </w:pPr>
    </w:p>
    <w:p w14:paraId="4327FFB9" w14:textId="5C8AB8FF" w:rsidR="00852D54" w:rsidRDefault="0021187B" w:rsidP="002D51FF">
      <w:pPr>
        <w:ind w:firstLine="720"/>
        <w:rPr>
          <w:sz w:val="26"/>
          <w:szCs w:val="26"/>
        </w:rPr>
      </w:pPr>
      <w:r>
        <w:rPr>
          <w:sz w:val="26"/>
          <w:szCs w:val="26"/>
        </w:rPr>
        <w:t xml:space="preserve">As a result of the </w:t>
      </w:r>
      <w:r w:rsidR="003A0048">
        <w:rPr>
          <w:sz w:val="26"/>
          <w:szCs w:val="26"/>
        </w:rPr>
        <w:t xml:space="preserve">proposed </w:t>
      </w:r>
      <w:r>
        <w:rPr>
          <w:sz w:val="26"/>
          <w:szCs w:val="26"/>
        </w:rPr>
        <w:t xml:space="preserve">Transaction, a substantial majority of New Windstream’s equity will be held by subsidiaries or affiliates of six investment companies (collectively with their subsidiaries and affiliates, </w:t>
      </w:r>
      <w:r w:rsidRPr="003A0048">
        <w:rPr>
          <w:sz w:val="26"/>
          <w:szCs w:val="26"/>
        </w:rPr>
        <w:t xml:space="preserve">the “First Lien Investors”):  </w:t>
      </w:r>
      <w:r w:rsidRPr="003A0048">
        <w:rPr>
          <w:b/>
          <w:bCs/>
          <w:sz w:val="26"/>
          <w:szCs w:val="26"/>
        </w:rPr>
        <w:t>Elliott Management</w:t>
      </w:r>
      <w:r w:rsidRPr="003A0048">
        <w:rPr>
          <w:sz w:val="26"/>
          <w:szCs w:val="26"/>
        </w:rPr>
        <w:t xml:space="preserve"> </w:t>
      </w:r>
      <w:r w:rsidRPr="003A0048">
        <w:rPr>
          <w:b/>
          <w:bCs/>
          <w:sz w:val="26"/>
          <w:szCs w:val="26"/>
        </w:rPr>
        <w:t>Corporation</w:t>
      </w:r>
      <w:r w:rsidRPr="003A0048">
        <w:rPr>
          <w:sz w:val="26"/>
          <w:szCs w:val="26"/>
        </w:rPr>
        <w:t>, headquartered at 40 W. 57</w:t>
      </w:r>
      <w:r w:rsidRPr="003A0048">
        <w:rPr>
          <w:sz w:val="26"/>
          <w:szCs w:val="26"/>
          <w:vertAlign w:val="superscript"/>
        </w:rPr>
        <w:t>th</w:t>
      </w:r>
      <w:r w:rsidRPr="003A0048">
        <w:rPr>
          <w:sz w:val="26"/>
          <w:szCs w:val="26"/>
        </w:rPr>
        <w:t xml:space="preserve"> Street, New York, New </w:t>
      </w:r>
      <w:r>
        <w:rPr>
          <w:sz w:val="26"/>
          <w:szCs w:val="26"/>
        </w:rPr>
        <w:t xml:space="preserve">York 10019; (2) </w:t>
      </w:r>
      <w:r w:rsidRPr="005F1927">
        <w:rPr>
          <w:b/>
          <w:bCs/>
          <w:sz w:val="26"/>
          <w:szCs w:val="26"/>
        </w:rPr>
        <w:t>Pacific Investment Management Company</w:t>
      </w:r>
      <w:r>
        <w:rPr>
          <w:sz w:val="26"/>
          <w:szCs w:val="26"/>
        </w:rPr>
        <w:t xml:space="preserve"> LLC</w:t>
      </w:r>
      <w:r w:rsidR="0023044C">
        <w:rPr>
          <w:sz w:val="26"/>
          <w:szCs w:val="26"/>
        </w:rPr>
        <w:t xml:space="preserve"> (PIMC),</w:t>
      </w:r>
      <w:r>
        <w:rPr>
          <w:sz w:val="26"/>
          <w:szCs w:val="26"/>
        </w:rPr>
        <w:t xml:space="preserve"> headquartered at 650 Newport Center Drive, Newport Beach, California 92660; (3) </w:t>
      </w:r>
      <w:r w:rsidRPr="005F1927">
        <w:rPr>
          <w:b/>
          <w:bCs/>
          <w:sz w:val="26"/>
          <w:szCs w:val="26"/>
        </w:rPr>
        <w:t>Oaktree Capital Group</w:t>
      </w:r>
      <w:r w:rsidR="0023044C">
        <w:rPr>
          <w:sz w:val="26"/>
          <w:szCs w:val="26"/>
        </w:rPr>
        <w:t xml:space="preserve"> (Oaktree),</w:t>
      </w:r>
      <w:r>
        <w:rPr>
          <w:sz w:val="26"/>
          <w:szCs w:val="26"/>
        </w:rPr>
        <w:t xml:space="preserve"> headquartered at 333 S. Grand Avenue, 28</w:t>
      </w:r>
      <w:r w:rsidRPr="0021187B">
        <w:rPr>
          <w:sz w:val="26"/>
          <w:szCs w:val="26"/>
          <w:vertAlign w:val="superscript"/>
        </w:rPr>
        <w:t>th</w:t>
      </w:r>
      <w:r>
        <w:rPr>
          <w:sz w:val="26"/>
          <w:szCs w:val="26"/>
        </w:rPr>
        <w:t xml:space="preserve"> Floor, Los Angeles, California 90071; (4) </w:t>
      </w:r>
      <w:r w:rsidRPr="005F1927">
        <w:rPr>
          <w:b/>
          <w:bCs/>
          <w:sz w:val="26"/>
          <w:szCs w:val="26"/>
        </w:rPr>
        <w:t>HBK Capital Management</w:t>
      </w:r>
      <w:r w:rsidR="0023044C">
        <w:rPr>
          <w:sz w:val="26"/>
          <w:szCs w:val="26"/>
        </w:rPr>
        <w:t xml:space="preserve"> (HBK), </w:t>
      </w:r>
      <w:r>
        <w:rPr>
          <w:sz w:val="26"/>
          <w:szCs w:val="26"/>
        </w:rPr>
        <w:t xml:space="preserve">headquartered at 2300 North Field Street, Suite 2200, Dallas, Texas 75201; (5) </w:t>
      </w:r>
      <w:r w:rsidRPr="005F1927">
        <w:rPr>
          <w:b/>
          <w:bCs/>
          <w:sz w:val="26"/>
          <w:szCs w:val="26"/>
        </w:rPr>
        <w:t>Franklin Resources Inc</w:t>
      </w:r>
      <w:r>
        <w:rPr>
          <w:sz w:val="26"/>
          <w:szCs w:val="26"/>
        </w:rPr>
        <w:t>.</w:t>
      </w:r>
      <w:r w:rsidR="0023044C">
        <w:rPr>
          <w:sz w:val="26"/>
          <w:szCs w:val="26"/>
        </w:rPr>
        <w:t xml:space="preserve"> (Franklin)</w:t>
      </w:r>
      <w:r>
        <w:rPr>
          <w:sz w:val="26"/>
          <w:szCs w:val="26"/>
        </w:rPr>
        <w:t xml:space="preserve"> operating as Franklin Templeton, headquartered at One Franklin Parkway, Building 970, 1</w:t>
      </w:r>
      <w:r w:rsidRPr="0021187B">
        <w:rPr>
          <w:sz w:val="26"/>
          <w:szCs w:val="26"/>
          <w:vertAlign w:val="superscript"/>
        </w:rPr>
        <w:t>st</w:t>
      </w:r>
      <w:r>
        <w:rPr>
          <w:sz w:val="26"/>
          <w:szCs w:val="26"/>
        </w:rPr>
        <w:t xml:space="preserve"> Floor, San Mateo, California 94403; and (6</w:t>
      </w:r>
      <w:r w:rsidRPr="00471C92">
        <w:rPr>
          <w:b/>
          <w:bCs/>
          <w:sz w:val="26"/>
          <w:szCs w:val="26"/>
        </w:rPr>
        <w:t>) Brigade Capital Management, L.P.</w:t>
      </w:r>
      <w:r w:rsidRPr="00471C92">
        <w:rPr>
          <w:sz w:val="26"/>
          <w:szCs w:val="26"/>
        </w:rPr>
        <w:t>,</w:t>
      </w:r>
      <w:r>
        <w:rPr>
          <w:sz w:val="26"/>
          <w:szCs w:val="26"/>
        </w:rPr>
        <w:t xml:space="preserve"> headquartered at 399 Park Avenue, Suite 1600, New York, New York 10022.</w:t>
      </w:r>
      <w:r>
        <w:rPr>
          <w:rStyle w:val="FootnoteReference"/>
          <w:sz w:val="26"/>
          <w:szCs w:val="26"/>
        </w:rPr>
        <w:footnoteReference w:id="10"/>
      </w:r>
    </w:p>
    <w:p w14:paraId="1D1BD773" w14:textId="50E7ED58" w:rsidR="008552BA" w:rsidRDefault="004D0A1C" w:rsidP="002D51FF">
      <w:pPr>
        <w:ind w:firstLine="720"/>
        <w:rPr>
          <w:sz w:val="26"/>
          <w:szCs w:val="26"/>
        </w:rPr>
      </w:pPr>
      <w:r>
        <w:rPr>
          <w:sz w:val="26"/>
          <w:szCs w:val="26"/>
        </w:rPr>
        <w:lastRenderedPageBreak/>
        <w:t>Elliott Management Corporation and its advisory affiliates, including Elliott Investment Management, L.P. (collectively, “Elliott”) are headquartered at 40 W. 57</w:t>
      </w:r>
      <w:r w:rsidRPr="004D0A1C">
        <w:rPr>
          <w:sz w:val="26"/>
          <w:szCs w:val="26"/>
          <w:vertAlign w:val="superscript"/>
        </w:rPr>
        <w:t>th</w:t>
      </w:r>
      <w:r>
        <w:rPr>
          <w:sz w:val="26"/>
          <w:szCs w:val="26"/>
        </w:rPr>
        <w:t xml:space="preserve"> Street, New York, New York 10019.  Elliott manages multi-strategy hedge funds and other investment vehicles with over $40 billion in assets.</w:t>
      </w:r>
      <w:r>
        <w:rPr>
          <w:rStyle w:val="FootnoteReference"/>
          <w:sz w:val="26"/>
          <w:szCs w:val="26"/>
        </w:rPr>
        <w:footnoteReference w:id="11"/>
      </w:r>
    </w:p>
    <w:p w14:paraId="6C893995" w14:textId="77777777" w:rsidR="003A0048" w:rsidRDefault="003A0048" w:rsidP="002D51FF">
      <w:pPr>
        <w:ind w:firstLine="720"/>
        <w:rPr>
          <w:sz w:val="26"/>
          <w:szCs w:val="26"/>
        </w:rPr>
      </w:pPr>
    </w:p>
    <w:p w14:paraId="5FDC3076" w14:textId="20C87CB4" w:rsidR="004D0A1C" w:rsidRDefault="004D0A1C" w:rsidP="002D51FF">
      <w:pPr>
        <w:ind w:firstLine="720"/>
        <w:rPr>
          <w:sz w:val="26"/>
          <w:szCs w:val="26"/>
        </w:rPr>
      </w:pPr>
      <w:r>
        <w:rPr>
          <w:sz w:val="26"/>
          <w:szCs w:val="26"/>
        </w:rPr>
        <w:t>Under the proposed Transaction, Elliott’s equity interest in New Windstream would be held through its two principal investment funds:  Elliott Associates, L.P., a Delaware limited liability company, and Elliott International, L.P., a Cayman Islands limited partnership.  Elliott and its affiliates are anticipated to ultimately hold an estimated aggregate of 40.3% of the voting equity in New Windstream indirectly through an aggregator entity, Nexus Aggregator L.P.  When the Windstream PA Utilities initially emerge from Chapter 11 bankruptcy protection</w:t>
      </w:r>
      <w:r w:rsidR="006236AB">
        <w:rPr>
          <w:sz w:val="26"/>
          <w:szCs w:val="26"/>
        </w:rPr>
        <w:t xml:space="preserve"> at the end of the first step</w:t>
      </w:r>
      <w:r>
        <w:rPr>
          <w:sz w:val="26"/>
          <w:szCs w:val="26"/>
        </w:rPr>
        <w:t>, Elliott will temporarily hold a 49.9% share in New Windstream until the FCC approves the exercise of warrants by foreign investors.</w:t>
      </w:r>
      <w:r>
        <w:rPr>
          <w:rStyle w:val="FootnoteReference"/>
          <w:sz w:val="26"/>
          <w:szCs w:val="26"/>
        </w:rPr>
        <w:footnoteReference w:id="12"/>
      </w:r>
    </w:p>
    <w:p w14:paraId="208D4BC1" w14:textId="77777777" w:rsidR="004D0A1C" w:rsidRDefault="004D0A1C" w:rsidP="002D51FF">
      <w:pPr>
        <w:ind w:firstLine="720"/>
        <w:rPr>
          <w:sz w:val="26"/>
          <w:szCs w:val="26"/>
        </w:rPr>
      </w:pPr>
    </w:p>
    <w:p w14:paraId="01D515B3" w14:textId="362A11D1" w:rsidR="00852D54" w:rsidRDefault="0023044C" w:rsidP="002D51FF">
      <w:pPr>
        <w:ind w:firstLine="720"/>
        <w:rPr>
          <w:sz w:val="26"/>
          <w:szCs w:val="26"/>
        </w:rPr>
      </w:pPr>
      <w:r>
        <w:rPr>
          <w:sz w:val="26"/>
          <w:szCs w:val="26"/>
        </w:rPr>
        <w:t>The remaining First Lien Investors (PIMC, Oaktree, HBK, Franklin</w:t>
      </w:r>
      <w:r w:rsidR="003A0048">
        <w:rPr>
          <w:sz w:val="26"/>
          <w:szCs w:val="26"/>
        </w:rPr>
        <w:t>, and Brigade</w:t>
      </w:r>
      <w:r>
        <w:rPr>
          <w:sz w:val="26"/>
          <w:szCs w:val="26"/>
        </w:rPr>
        <w:t>) are</w:t>
      </w:r>
      <w:r w:rsidR="009444D8">
        <w:rPr>
          <w:sz w:val="26"/>
          <w:szCs w:val="26"/>
        </w:rPr>
        <w:t xml:space="preserve"> collectively</w:t>
      </w:r>
      <w:r>
        <w:rPr>
          <w:sz w:val="26"/>
          <w:szCs w:val="26"/>
        </w:rPr>
        <w:t xml:space="preserve"> anticipated to hold approximately 40.9% of the equity in Windstream post-consummation.  Each of these entities is solely an investment holding company with no other operations than to hold debt interests and common stock in New Windstream.  When the Transaction is completed, it is anticipated that other than Elliott, only PIMC will control an </w:t>
      </w:r>
      <w:r w:rsidR="004A46A0">
        <w:rPr>
          <w:sz w:val="26"/>
          <w:szCs w:val="26"/>
        </w:rPr>
        <w:t xml:space="preserve">individual </w:t>
      </w:r>
      <w:r>
        <w:rPr>
          <w:sz w:val="26"/>
          <w:szCs w:val="26"/>
        </w:rPr>
        <w:t xml:space="preserve">ownership interest of </w:t>
      </w:r>
      <w:r w:rsidR="00CB17E4">
        <w:rPr>
          <w:sz w:val="26"/>
          <w:szCs w:val="26"/>
        </w:rPr>
        <w:t>10%</w:t>
      </w:r>
      <w:r>
        <w:rPr>
          <w:sz w:val="26"/>
          <w:szCs w:val="26"/>
        </w:rPr>
        <w:t xml:space="preserve"> or more of New Windstream.</w:t>
      </w:r>
      <w:r>
        <w:rPr>
          <w:rStyle w:val="FootnoteReference"/>
          <w:sz w:val="26"/>
          <w:szCs w:val="26"/>
        </w:rPr>
        <w:footnoteReference w:id="13"/>
      </w:r>
      <w:r w:rsidR="00632F12" w:rsidRPr="00632F12">
        <w:rPr>
          <w:sz w:val="26"/>
          <w:szCs w:val="26"/>
          <w:vertAlign w:val="superscript"/>
        </w:rPr>
        <w:t>,</w:t>
      </w:r>
      <w:r w:rsidR="002D1068">
        <w:rPr>
          <w:rStyle w:val="FootnoteReference"/>
          <w:sz w:val="26"/>
          <w:szCs w:val="26"/>
        </w:rPr>
        <w:footnoteReference w:id="14"/>
      </w:r>
    </w:p>
    <w:p w14:paraId="12049F96" w14:textId="77777777" w:rsidR="0023044C" w:rsidRDefault="0023044C" w:rsidP="002D51FF">
      <w:pPr>
        <w:ind w:firstLine="720"/>
        <w:rPr>
          <w:sz w:val="26"/>
          <w:szCs w:val="26"/>
        </w:rPr>
      </w:pPr>
    </w:p>
    <w:p w14:paraId="377A6508" w14:textId="06C404D6" w:rsidR="00852D54" w:rsidRDefault="006C480E" w:rsidP="002D51FF">
      <w:pPr>
        <w:ind w:firstLine="720"/>
        <w:rPr>
          <w:sz w:val="26"/>
          <w:szCs w:val="26"/>
        </w:rPr>
      </w:pPr>
      <w:r>
        <w:rPr>
          <w:sz w:val="26"/>
          <w:szCs w:val="26"/>
        </w:rPr>
        <w:t>The Joint Applicants note that the reorganization may ultimately call for</w:t>
      </w:r>
      <w:r w:rsidR="00CF2F5C">
        <w:rPr>
          <w:sz w:val="26"/>
          <w:szCs w:val="26"/>
        </w:rPr>
        <w:t xml:space="preserve"> additional</w:t>
      </w:r>
      <w:r>
        <w:rPr>
          <w:sz w:val="26"/>
          <w:szCs w:val="26"/>
        </w:rPr>
        <w:t xml:space="preserve"> restructuring, which may include an additional holding entity, or internal transfers upon emergence</w:t>
      </w:r>
      <w:r w:rsidR="00ED3B35">
        <w:rPr>
          <w:sz w:val="26"/>
          <w:szCs w:val="26"/>
        </w:rPr>
        <w:t>.</w:t>
      </w:r>
      <w:r w:rsidR="00ED3B35">
        <w:rPr>
          <w:rStyle w:val="FootnoteReference"/>
          <w:sz w:val="26"/>
          <w:szCs w:val="26"/>
        </w:rPr>
        <w:footnoteReference w:id="15"/>
      </w:r>
    </w:p>
    <w:p w14:paraId="779F0A9A" w14:textId="39F052C5" w:rsidR="00F5675D" w:rsidRDefault="00F5675D" w:rsidP="00AF45F1">
      <w:pPr>
        <w:rPr>
          <w:sz w:val="26"/>
          <w:szCs w:val="26"/>
        </w:rPr>
      </w:pPr>
    </w:p>
    <w:p w14:paraId="53A42FC6" w14:textId="10589E2D" w:rsidR="0025080E" w:rsidRDefault="0025080E" w:rsidP="00B0262F">
      <w:pPr>
        <w:ind w:firstLine="720"/>
        <w:rPr>
          <w:sz w:val="26"/>
          <w:szCs w:val="26"/>
        </w:rPr>
      </w:pPr>
      <w:r>
        <w:rPr>
          <w:sz w:val="26"/>
          <w:szCs w:val="26"/>
        </w:rPr>
        <w:t>The Joint Applicants state that as part of the process of emergence from bankruptcy, certain creditors (other than the First Lien Investors, above referred</w:t>
      </w:r>
      <w:r w:rsidR="00F63B70">
        <w:rPr>
          <w:sz w:val="26"/>
          <w:szCs w:val="26"/>
        </w:rPr>
        <w:t>)</w:t>
      </w:r>
      <w:r>
        <w:rPr>
          <w:sz w:val="26"/>
          <w:szCs w:val="26"/>
        </w:rPr>
        <w:t xml:space="preserve"> will have the right to obtain equity in New Windstream.  In addition, a small amount of equity may be allocated to other functions, such as a management incentive plan.  As a result, the exact ownership percentages of the new owners of New Windstream will not be finalized until the company emerges from bankruptcy and the first step of the two-step process is completed.</w:t>
      </w:r>
      <w:r w:rsidR="008D0E27">
        <w:rPr>
          <w:rStyle w:val="FootnoteReference"/>
          <w:sz w:val="26"/>
          <w:szCs w:val="26"/>
        </w:rPr>
        <w:footnoteReference w:id="16"/>
      </w:r>
    </w:p>
    <w:p w14:paraId="32B8D6ED" w14:textId="77777777" w:rsidR="004E776E" w:rsidRDefault="004E776E" w:rsidP="00B0262F">
      <w:pPr>
        <w:ind w:firstLine="720"/>
        <w:rPr>
          <w:sz w:val="26"/>
          <w:szCs w:val="26"/>
        </w:rPr>
      </w:pPr>
    </w:p>
    <w:p w14:paraId="39357B5D" w14:textId="50707031" w:rsidR="0013257D" w:rsidRPr="003A0048" w:rsidRDefault="0013257D" w:rsidP="0013257D">
      <w:pPr>
        <w:ind w:firstLine="720"/>
        <w:rPr>
          <w:sz w:val="26"/>
          <w:szCs w:val="26"/>
        </w:rPr>
      </w:pPr>
      <w:r w:rsidRPr="003A0048">
        <w:rPr>
          <w:sz w:val="26"/>
          <w:szCs w:val="26"/>
        </w:rPr>
        <w:lastRenderedPageBreak/>
        <w:t xml:space="preserve">The Joint Applicants claim that the Transaction falls into the general rule transaction category under 52 Pa. Code § 63.324(a)(2) because </w:t>
      </w:r>
      <w:r w:rsidR="002D444E" w:rsidRPr="003A0048">
        <w:rPr>
          <w:sz w:val="26"/>
          <w:szCs w:val="26"/>
        </w:rPr>
        <w:t>more than 20% of the indirect control of the Windstream PA Utilities will be transferred at the holding company level.</w:t>
      </w:r>
      <w:r w:rsidR="002D444E" w:rsidRPr="003A0048">
        <w:rPr>
          <w:rStyle w:val="FootnoteReference"/>
          <w:sz w:val="26"/>
          <w:szCs w:val="26"/>
        </w:rPr>
        <w:footnoteReference w:id="17"/>
      </w:r>
    </w:p>
    <w:p w14:paraId="53CA722F" w14:textId="77777777" w:rsidR="0013257D" w:rsidRPr="003A0048" w:rsidRDefault="0013257D" w:rsidP="0013257D">
      <w:pPr>
        <w:ind w:firstLine="720"/>
        <w:rPr>
          <w:sz w:val="26"/>
          <w:szCs w:val="26"/>
        </w:rPr>
      </w:pPr>
    </w:p>
    <w:bookmarkEnd w:id="4"/>
    <w:p w14:paraId="2C12DF01" w14:textId="1957AC8E" w:rsidR="00C9414C" w:rsidRDefault="000267A0" w:rsidP="00F765DC">
      <w:pPr>
        <w:ind w:firstLine="720"/>
        <w:rPr>
          <w:sz w:val="26"/>
          <w:szCs w:val="26"/>
        </w:rPr>
      </w:pPr>
      <w:r w:rsidRPr="00653696">
        <w:rPr>
          <w:color w:val="000000" w:themeColor="text1"/>
          <w:sz w:val="26"/>
          <w:szCs w:val="26"/>
        </w:rPr>
        <w:t xml:space="preserve">The </w:t>
      </w:r>
      <w:r w:rsidR="00F765DC" w:rsidRPr="00653696">
        <w:rPr>
          <w:color w:val="000000" w:themeColor="text1"/>
          <w:sz w:val="26"/>
          <w:szCs w:val="26"/>
        </w:rPr>
        <w:t xml:space="preserve">Joint </w:t>
      </w:r>
      <w:r w:rsidRPr="00653696">
        <w:rPr>
          <w:color w:val="000000" w:themeColor="text1"/>
          <w:sz w:val="26"/>
          <w:szCs w:val="26"/>
        </w:rPr>
        <w:t>Applicant</w:t>
      </w:r>
      <w:r w:rsidR="00F765DC" w:rsidRPr="00653696">
        <w:rPr>
          <w:color w:val="000000" w:themeColor="text1"/>
          <w:sz w:val="26"/>
          <w:szCs w:val="26"/>
        </w:rPr>
        <w:t>s</w:t>
      </w:r>
      <w:r w:rsidRPr="00653696">
        <w:rPr>
          <w:color w:val="000000" w:themeColor="text1"/>
          <w:sz w:val="26"/>
          <w:szCs w:val="26"/>
        </w:rPr>
        <w:t xml:space="preserve"> a</w:t>
      </w:r>
      <w:r w:rsidR="00DB2F16" w:rsidRPr="00653696">
        <w:rPr>
          <w:color w:val="000000" w:themeColor="text1"/>
          <w:sz w:val="26"/>
          <w:szCs w:val="26"/>
        </w:rPr>
        <w:t>ssert</w:t>
      </w:r>
      <w:r w:rsidRPr="00653696">
        <w:rPr>
          <w:color w:val="000000" w:themeColor="text1"/>
          <w:sz w:val="26"/>
          <w:szCs w:val="26"/>
        </w:rPr>
        <w:t xml:space="preserve"> that the </w:t>
      </w:r>
      <w:r w:rsidR="003F0B3D" w:rsidRPr="00653696">
        <w:rPr>
          <w:color w:val="000000" w:themeColor="text1"/>
          <w:sz w:val="26"/>
          <w:szCs w:val="26"/>
        </w:rPr>
        <w:t xml:space="preserve">Transaction </w:t>
      </w:r>
      <w:r w:rsidR="00653696" w:rsidRPr="00653696">
        <w:rPr>
          <w:color w:val="000000" w:themeColor="text1"/>
          <w:sz w:val="26"/>
          <w:szCs w:val="26"/>
        </w:rPr>
        <w:t xml:space="preserve">will affirmatively promote the service, accommodation, and convenience of the public in a substantial way </w:t>
      </w:r>
      <w:r w:rsidR="00653696" w:rsidRPr="003A0048">
        <w:rPr>
          <w:sz w:val="26"/>
          <w:szCs w:val="26"/>
        </w:rPr>
        <w:t xml:space="preserve">because </w:t>
      </w:r>
      <w:r w:rsidR="00C9414C" w:rsidRPr="003A0048">
        <w:rPr>
          <w:sz w:val="26"/>
          <w:szCs w:val="26"/>
        </w:rPr>
        <w:t>it will enable one of the largest telecommunications and information service providers in the United States to move forward with a stable capital structure, uninterrupted service, and an increase</w:t>
      </w:r>
      <w:r w:rsidR="009A4E3E">
        <w:rPr>
          <w:sz w:val="26"/>
          <w:szCs w:val="26"/>
        </w:rPr>
        <w:t>d</w:t>
      </w:r>
      <w:r w:rsidR="00C9414C" w:rsidRPr="003A0048">
        <w:rPr>
          <w:sz w:val="26"/>
          <w:szCs w:val="26"/>
        </w:rPr>
        <w:t xml:space="preserve"> capability to compete</w:t>
      </w:r>
      <w:r w:rsidR="005A5F17">
        <w:rPr>
          <w:sz w:val="26"/>
          <w:szCs w:val="26"/>
        </w:rPr>
        <w:t xml:space="preserve"> and</w:t>
      </w:r>
      <w:r w:rsidR="00C9414C" w:rsidRPr="003A0048">
        <w:rPr>
          <w:sz w:val="26"/>
          <w:szCs w:val="26"/>
        </w:rPr>
        <w:t xml:space="preserve"> to bring advanced telecommunications services to current and new customers.</w:t>
      </w:r>
      <w:r w:rsidR="00C9414C" w:rsidRPr="003A0048">
        <w:rPr>
          <w:rStyle w:val="FootnoteReference"/>
          <w:sz w:val="26"/>
          <w:szCs w:val="26"/>
        </w:rPr>
        <w:footnoteReference w:id="18"/>
      </w:r>
      <w:r w:rsidR="00C9414C" w:rsidRPr="003A0048">
        <w:rPr>
          <w:sz w:val="26"/>
          <w:szCs w:val="26"/>
        </w:rPr>
        <w:t xml:space="preserve"> </w:t>
      </w:r>
    </w:p>
    <w:p w14:paraId="26A7472C" w14:textId="77777777" w:rsidR="004625AD" w:rsidRPr="003A0048" w:rsidRDefault="004625AD" w:rsidP="00F765DC">
      <w:pPr>
        <w:ind w:firstLine="720"/>
        <w:rPr>
          <w:sz w:val="26"/>
          <w:szCs w:val="26"/>
        </w:rPr>
      </w:pPr>
    </w:p>
    <w:p w14:paraId="6D719167" w14:textId="3274C031" w:rsidR="00C9414C" w:rsidRPr="003A0048" w:rsidRDefault="007D4DF2" w:rsidP="00F765DC">
      <w:pPr>
        <w:ind w:firstLine="720"/>
        <w:rPr>
          <w:sz w:val="26"/>
          <w:szCs w:val="26"/>
        </w:rPr>
      </w:pPr>
      <w:r w:rsidRPr="003A0048">
        <w:rPr>
          <w:sz w:val="26"/>
          <w:szCs w:val="26"/>
        </w:rPr>
        <w:t xml:space="preserve">The Joint Applicants </w:t>
      </w:r>
      <w:r w:rsidR="004C0778" w:rsidRPr="003A0048">
        <w:rPr>
          <w:sz w:val="26"/>
          <w:szCs w:val="26"/>
        </w:rPr>
        <w:t xml:space="preserve">aver that </w:t>
      </w:r>
      <w:r w:rsidRPr="003A0048">
        <w:rPr>
          <w:sz w:val="26"/>
          <w:szCs w:val="26"/>
        </w:rPr>
        <w:t>the Transaction will not result in any assignment of licenses, assets, or customers by Windstream PA Utilities.  Windstream PA Utilities will continue to provide service to their existing customers pursuant to the same rates, terms, and conditions in effect at the time of the filing.</w:t>
      </w:r>
      <w:r w:rsidRPr="003A0048">
        <w:rPr>
          <w:rStyle w:val="FootnoteReference"/>
          <w:sz w:val="26"/>
          <w:szCs w:val="26"/>
        </w:rPr>
        <w:footnoteReference w:id="19"/>
      </w:r>
      <w:r w:rsidR="00587ABC" w:rsidRPr="003A0048">
        <w:rPr>
          <w:sz w:val="26"/>
          <w:szCs w:val="26"/>
        </w:rPr>
        <w:t xml:space="preserve"> </w:t>
      </w:r>
    </w:p>
    <w:p w14:paraId="1D62489B" w14:textId="7D1EC584" w:rsidR="00C9414C" w:rsidRPr="003A0048" w:rsidRDefault="00C9414C" w:rsidP="00F765DC">
      <w:pPr>
        <w:ind w:firstLine="720"/>
        <w:rPr>
          <w:sz w:val="26"/>
          <w:szCs w:val="26"/>
        </w:rPr>
      </w:pPr>
    </w:p>
    <w:p w14:paraId="73F35D2C" w14:textId="0D3C765C" w:rsidR="004C0778" w:rsidRPr="003A0048" w:rsidRDefault="004C0778" w:rsidP="00F765DC">
      <w:pPr>
        <w:ind w:firstLine="720"/>
        <w:rPr>
          <w:sz w:val="26"/>
          <w:szCs w:val="26"/>
        </w:rPr>
      </w:pPr>
      <w:r w:rsidRPr="003A0048">
        <w:rPr>
          <w:sz w:val="26"/>
          <w:szCs w:val="26"/>
        </w:rPr>
        <w:t>The Joint Applicants assert that the proposed Transaction will not adversely affect competition in the Commonwealth of Pennsylvania because it does not contemplate that any horizontal or vertical concentration in any market, including the Commonwealth, and customers will continue to have access to the same competitive alternatives they have today.</w:t>
      </w:r>
      <w:r w:rsidRPr="003A0048">
        <w:rPr>
          <w:rStyle w:val="FootnoteReference"/>
          <w:sz w:val="26"/>
          <w:szCs w:val="26"/>
        </w:rPr>
        <w:footnoteReference w:id="20"/>
      </w:r>
    </w:p>
    <w:p w14:paraId="4F61B26E" w14:textId="7206FC80" w:rsidR="004C0778" w:rsidRPr="003A0048" w:rsidRDefault="004C0778" w:rsidP="00F765DC">
      <w:pPr>
        <w:ind w:firstLine="720"/>
        <w:rPr>
          <w:sz w:val="26"/>
          <w:szCs w:val="26"/>
        </w:rPr>
      </w:pPr>
    </w:p>
    <w:p w14:paraId="74570773" w14:textId="5C23B152" w:rsidR="0072294C" w:rsidRDefault="00E90C7A" w:rsidP="00E90C7A">
      <w:pPr>
        <w:ind w:firstLine="720"/>
        <w:rPr>
          <w:color w:val="000000" w:themeColor="text1"/>
          <w:sz w:val="26"/>
          <w:szCs w:val="26"/>
        </w:rPr>
      </w:pPr>
      <w:r w:rsidRPr="0072294C">
        <w:rPr>
          <w:color w:val="000000" w:themeColor="text1"/>
          <w:sz w:val="26"/>
          <w:szCs w:val="26"/>
        </w:rPr>
        <w:t xml:space="preserve">The </w:t>
      </w:r>
      <w:r w:rsidR="0072294C" w:rsidRPr="0072294C">
        <w:rPr>
          <w:color w:val="000000" w:themeColor="text1"/>
          <w:sz w:val="26"/>
          <w:szCs w:val="26"/>
        </w:rPr>
        <w:t xml:space="preserve">Joint </w:t>
      </w:r>
      <w:r w:rsidRPr="0072294C">
        <w:rPr>
          <w:color w:val="000000" w:themeColor="text1"/>
          <w:sz w:val="26"/>
          <w:szCs w:val="26"/>
        </w:rPr>
        <w:t>Applicant</w:t>
      </w:r>
      <w:r w:rsidR="0072294C" w:rsidRPr="0072294C">
        <w:rPr>
          <w:color w:val="000000" w:themeColor="text1"/>
          <w:sz w:val="26"/>
          <w:szCs w:val="26"/>
        </w:rPr>
        <w:t>s</w:t>
      </w:r>
      <w:r w:rsidRPr="0072294C">
        <w:rPr>
          <w:color w:val="000000" w:themeColor="text1"/>
          <w:sz w:val="26"/>
          <w:szCs w:val="26"/>
        </w:rPr>
        <w:t xml:space="preserve"> aver that no services or service territories within the Commonwealth will be affected as a result of the Transaction. </w:t>
      </w:r>
      <w:r w:rsidR="00C84166">
        <w:rPr>
          <w:color w:val="000000" w:themeColor="text1"/>
          <w:sz w:val="26"/>
          <w:szCs w:val="26"/>
        </w:rPr>
        <w:t xml:space="preserve"> Windstream </w:t>
      </w:r>
      <w:r w:rsidR="005B2669">
        <w:rPr>
          <w:color w:val="000000" w:themeColor="text1"/>
          <w:sz w:val="26"/>
          <w:szCs w:val="26"/>
        </w:rPr>
        <w:t>PA Utilities</w:t>
      </w:r>
      <w:r w:rsidR="0072294C" w:rsidRPr="0072294C">
        <w:rPr>
          <w:color w:val="000000" w:themeColor="text1"/>
          <w:sz w:val="26"/>
          <w:szCs w:val="26"/>
        </w:rPr>
        <w:t xml:space="preserve"> will continue to serve the same territories in which they provide service</w:t>
      </w:r>
      <w:r w:rsidR="0072294C">
        <w:rPr>
          <w:color w:val="000000" w:themeColor="text1"/>
          <w:sz w:val="26"/>
          <w:szCs w:val="26"/>
        </w:rPr>
        <w:t xml:space="preserve"> today.</w:t>
      </w:r>
      <w:r w:rsidR="0072294C">
        <w:rPr>
          <w:rStyle w:val="FootnoteReference"/>
          <w:color w:val="000000" w:themeColor="text1"/>
          <w:sz w:val="26"/>
          <w:szCs w:val="26"/>
        </w:rPr>
        <w:footnoteReference w:id="21"/>
      </w:r>
      <w:r w:rsidR="0072294C">
        <w:rPr>
          <w:color w:val="000000" w:themeColor="text1"/>
          <w:sz w:val="26"/>
          <w:szCs w:val="26"/>
        </w:rPr>
        <w:t xml:space="preserve"> </w:t>
      </w:r>
    </w:p>
    <w:p w14:paraId="44A00F39" w14:textId="77777777" w:rsidR="0072294C" w:rsidRDefault="0072294C" w:rsidP="00E90C7A">
      <w:pPr>
        <w:ind w:firstLine="720"/>
        <w:rPr>
          <w:color w:val="000000" w:themeColor="text1"/>
          <w:sz w:val="26"/>
          <w:szCs w:val="26"/>
        </w:rPr>
      </w:pPr>
    </w:p>
    <w:p w14:paraId="7ABF9245" w14:textId="7CEC4302" w:rsidR="009948DD" w:rsidRDefault="009948DD" w:rsidP="000C191F">
      <w:pPr>
        <w:ind w:firstLine="720"/>
        <w:rPr>
          <w:color w:val="000000" w:themeColor="text1"/>
          <w:sz w:val="26"/>
          <w:szCs w:val="26"/>
        </w:rPr>
      </w:pPr>
      <w:r w:rsidRPr="00573DFD">
        <w:rPr>
          <w:color w:val="000000" w:themeColor="text1"/>
          <w:sz w:val="26"/>
          <w:szCs w:val="26"/>
        </w:rPr>
        <w:t xml:space="preserve">The </w:t>
      </w:r>
      <w:r w:rsidR="00573DFD">
        <w:rPr>
          <w:color w:val="000000" w:themeColor="text1"/>
          <w:sz w:val="26"/>
          <w:szCs w:val="26"/>
        </w:rPr>
        <w:t xml:space="preserve">Joint </w:t>
      </w:r>
      <w:r w:rsidR="00285B4B" w:rsidRPr="00573DFD">
        <w:rPr>
          <w:color w:val="000000" w:themeColor="text1"/>
          <w:sz w:val="26"/>
          <w:szCs w:val="26"/>
        </w:rPr>
        <w:t>Applicant</w:t>
      </w:r>
      <w:r w:rsidR="00573DFD">
        <w:rPr>
          <w:color w:val="000000" w:themeColor="text1"/>
          <w:sz w:val="26"/>
          <w:szCs w:val="26"/>
        </w:rPr>
        <w:t>s</w:t>
      </w:r>
      <w:r w:rsidR="00285B4B" w:rsidRPr="00573DFD">
        <w:rPr>
          <w:color w:val="000000" w:themeColor="text1"/>
          <w:sz w:val="26"/>
          <w:szCs w:val="26"/>
        </w:rPr>
        <w:t xml:space="preserve"> </w:t>
      </w:r>
      <w:r w:rsidR="00D3463E" w:rsidRPr="00573DFD">
        <w:rPr>
          <w:color w:val="000000" w:themeColor="text1"/>
          <w:sz w:val="26"/>
          <w:szCs w:val="26"/>
        </w:rPr>
        <w:t xml:space="preserve">state </w:t>
      </w:r>
      <w:r w:rsidR="00285B4B" w:rsidRPr="00573DFD">
        <w:rPr>
          <w:color w:val="000000" w:themeColor="text1"/>
          <w:sz w:val="26"/>
          <w:szCs w:val="26"/>
        </w:rPr>
        <w:t xml:space="preserve">that </w:t>
      </w:r>
      <w:r w:rsidR="00573DFD">
        <w:rPr>
          <w:color w:val="000000" w:themeColor="text1"/>
          <w:sz w:val="26"/>
          <w:szCs w:val="26"/>
        </w:rPr>
        <w:t xml:space="preserve">they do not </w:t>
      </w:r>
      <w:r w:rsidR="00285B4B" w:rsidRPr="00573DFD">
        <w:rPr>
          <w:color w:val="000000" w:themeColor="text1"/>
          <w:sz w:val="26"/>
          <w:szCs w:val="26"/>
        </w:rPr>
        <w:t xml:space="preserve">intend to provide customers with notice of the proposed </w:t>
      </w:r>
      <w:r w:rsidR="004B11F1" w:rsidRPr="00573DFD">
        <w:rPr>
          <w:color w:val="000000" w:themeColor="text1"/>
          <w:sz w:val="26"/>
          <w:szCs w:val="26"/>
        </w:rPr>
        <w:t xml:space="preserve">Transaction </w:t>
      </w:r>
      <w:r w:rsidR="00285B4B" w:rsidRPr="00573DFD">
        <w:rPr>
          <w:color w:val="000000" w:themeColor="text1"/>
          <w:sz w:val="26"/>
          <w:szCs w:val="26"/>
        </w:rPr>
        <w:t>because it will not result in any changes to the</w:t>
      </w:r>
      <w:r w:rsidR="003844B9" w:rsidRPr="00573DFD">
        <w:rPr>
          <w:color w:val="000000" w:themeColor="text1"/>
          <w:sz w:val="26"/>
          <w:szCs w:val="26"/>
        </w:rPr>
        <w:t>ir</w:t>
      </w:r>
      <w:r w:rsidR="00285B4B" w:rsidRPr="00573DFD">
        <w:rPr>
          <w:color w:val="000000" w:themeColor="text1"/>
          <w:sz w:val="26"/>
          <w:szCs w:val="26"/>
        </w:rPr>
        <w:t xml:space="preserve"> servi</w:t>
      </w:r>
      <w:r w:rsidR="007451E1" w:rsidRPr="00573DFD">
        <w:rPr>
          <w:color w:val="000000" w:themeColor="text1"/>
          <w:sz w:val="26"/>
          <w:szCs w:val="26"/>
        </w:rPr>
        <w:t>ce</w:t>
      </w:r>
      <w:r w:rsidR="003844B9" w:rsidRPr="00573DFD">
        <w:rPr>
          <w:color w:val="000000" w:themeColor="text1"/>
          <w:sz w:val="26"/>
          <w:szCs w:val="26"/>
        </w:rPr>
        <w:t>s</w:t>
      </w:r>
      <w:r w:rsidR="00285B4B" w:rsidRPr="00573DFD">
        <w:rPr>
          <w:color w:val="000000" w:themeColor="text1"/>
          <w:sz w:val="26"/>
          <w:szCs w:val="26"/>
        </w:rPr>
        <w:t xml:space="preserve"> </w:t>
      </w:r>
      <w:r w:rsidR="00E90C7A" w:rsidRPr="00573DFD">
        <w:rPr>
          <w:color w:val="000000" w:themeColor="text1"/>
          <w:sz w:val="26"/>
          <w:szCs w:val="26"/>
        </w:rPr>
        <w:t xml:space="preserve">that </w:t>
      </w:r>
      <w:r w:rsidR="00285B4B" w:rsidRPr="00573DFD">
        <w:rPr>
          <w:color w:val="000000" w:themeColor="text1"/>
          <w:sz w:val="26"/>
          <w:szCs w:val="26"/>
        </w:rPr>
        <w:t xml:space="preserve">they </w:t>
      </w:r>
      <w:r w:rsidR="0063104D" w:rsidRPr="00573DFD">
        <w:rPr>
          <w:color w:val="000000" w:themeColor="text1"/>
          <w:sz w:val="26"/>
          <w:szCs w:val="26"/>
        </w:rPr>
        <w:t xml:space="preserve">currently </w:t>
      </w:r>
      <w:r w:rsidR="00285B4B" w:rsidRPr="00573DFD">
        <w:rPr>
          <w:color w:val="000000" w:themeColor="text1"/>
          <w:sz w:val="26"/>
          <w:szCs w:val="26"/>
        </w:rPr>
        <w:t>receive</w:t>
      </w:r>
      <w:r w:rsidR="00823C9F" w:rsidRPr="00573DFD">
        <w:rPr>
          <w:color w:val="000000" w:themeColor="text1"/>
          <w:sz w:val="26"/>
          <w:szCs w:val="26"/>
        </w:rPr>
        <w:t>,</w:t>
      </w:r>
      <w:r w:rsidR="00285B4B" w:rsidRPr="00573DFD">
        <w:rPr>
          <w:color w:val="000000" w:themeColor="text1"/>
          <w:sz w:val="26"/>
          <w:szCs w:val="26"/>
        </w:rPr>
        <w:t xml:space="preserve"> which would require specific notice.</w:t>
      </w:r>
      <w:r w:rsidR="00DF742C" w:rsidRPr="00573DFD">
        <w:rPr>
          <w:color w:val="000000" w:themeColor="text1"/>
          <w:sz w:val="26"/>
          <w:szCs w:val="26"/>
        </w:rPr>
        <w:t xml:space="preserve">  </w:t>
      </w:r>
      <w:r w:rsidR="007C5D52" w:rsidRPr="00573DFD">
        <w:rPr>
          <w:color w:val="000000" w:themeColor="text1"/>
          <w:sz w:val="26"/>
          <w:szCs w:val="26"/>
        </w:rPr>
        <w:t>The same entit</w:t>
      </w:r>
      <w:r w:rsidR="004E6012">
        <w:rPr>
          <w:color w:val="000000" w:themeColor="text1"/>
          <w:sz w:val="26"/>
          <w:szCs w:val="26"/>
        </w:rPr>
        <w:t>ies</w:t>
      </w:r>
      <w:r w:rsidR="007C5D52" w:rsidRPr="00573DFD">
        <w:rPr>
          <w:color w:val="000000" w:themeColor="text1"/>
          <w:sz w:val="26"/>
          <w:szCs w:val="26"/>
        </w:rPr>
        <w:t xml:space="preserve"> will continue providing service to customers, and there will be no change in rates, terms or conditions of service.</w:t>
      </w:r>
      <w:r w:rsidR="00E0486E" w:rsidRPr="00573DFD">
        <w:rPr>
          <w:rStyle w:val="FootnoteReference"/>
          <w:color w:val="000000" w:themeColor="text1"/>
          <w:sz w:val="26"/>
          <w:szCs w:val="26"/>
        </w:rPr>
        <w:footnoteReference w:id="22"/>
      </w:r>
    </w:p>
    <w:p w14:paraId="0ED3AD60" w14:textId="77777777" w:rsidR="00F103C6" w:rsidRPr="000267A0" w:rsidRDefault="00F103C6" w:rsidP="000C191F">
      <w:pPr>
        <w:ind w:firstLine="720"/>
        <w:rPr>
          <w:color w:val="000000" w:themeColor="text1"/>
          <w:sz w:val="26"/>
          <w:szCs w:val="26"/>
        </w:rPr>
      </w:pPr>
    </w:p>
    <w:p w14:paraId="23B035AE" w14:textId="78745A62" w:rsidR="000267A0" w:rsidRDefault="000267A0" w:rsidP="000C191F">
      <w:pPr>
        <w:ind w:firstLine="720"/>
        <w:rPr>
          <w:color w:val="000000" w:themeColor="text1"/>
          <w:sz w:val="26"/>
          <w:szCs w:val="26"/>
        </w:rPr>
      </w:pPr>
      <w:r w:rsidRPr="00266A2D">
        <w:rPr>
          <w:color w:val="000000" w:themeColor="text1"/>
          <w:sz w:val="26"/>
          <w:szCs w:val="26"/>
        </w:rPr>
        <w:t>The</w:t>
      </w:r>
      <w:r w:rsidR="00E31EC3">
        <w:rPr>
          <w:color w:val="000000" w:themeColor="text1"/>
          <w:sz w:val="26"/>
          <w:szCs w:val="26"/>
        </w:rPr>
        <w:t xml:space="preserve"> </w:t>
      </w:r>
      <w:r w:rsidR="0072294C">
        <w:rPr>
          <w:color w:val="000000" w:themeColor="text1"/>
          <w:sz w:val="26"/>
          <w:szCs w:val="26"/>
        </w:rPr>
        <w:t xml:space="preserve">Joint </w:t>
      </w:r>
      <w:r w:rsidRPr="00266A2D">
        <w:rPr>
          <w:color w:val="000000" w:themeColor="text1"/>
          <w:sz w:val="26"/>
          <w:szCs w:val="26"/>
        </w:rPr>
        <w:t>Applicant</w:t>
      </w:r>
      <w:r w:rsidR="0072294C">
        <w:rPr>
          <w:color w:val="000000" w:themeColor="text1"/>
          <w:sz w:val="26"/>
          <w:szCs w:val="26"/>
        </w:rPr>
        <w:t>s</w:t>
      </w:r>
      <w:r w:rsidRPr="00266A2D">
        <w:rPr>
          <w:color w:val="000000" w:themeColor="text1"/>
          <w:sz w:val="26"/>
          <w:szCs w:val="26"/>
        </w:rPr>
        <w:t xml:space="preserve"> aver that </w:t>
      </w:r>
      <w:r w:rsidR="00DF742C">
        <w:rPr>
          <w:color w:val="000000" w:themeColor="text1"/>
          <w:sz w:val="26"/>
          <w:szCs w:val="26"/>
        </w:rPr>
        <w:t xml:space="preserve">the proposed </w:t>
      </w:r>
      <w:r w:rsidR="00EE0D1A">
        <w:rPr>
          <w:color w:val="000000" w:themeColor="text1"/>
          <w:sz w:val="26"/>
          <w:szCs w:val="26"/>
        </w:rPr>
        <w:t xml:space="preserve">Transaction </w:t>
      </w:r>
      <w:r w:rsidR="00DF742C">
        <w:rPr>
          <w:color w:val="000000" w:themeColor="text1"/>
          <w:sz w:val="26"/>
          <w:szCs w:val="26"/>
        </w:rPr>
        <w:t>will have no effect on</w:t>
      </w:r>
      <w:r w:rsidR="00E31EC3">
        <w:rPr>
          <w:color w:val="000000" w:themeColor="text1"/>
          <w:sz w:val="26"/>
          <w:szCs w:val="26"/>
        </w:rPr>
        <w:t xml:space="preserve"> its </w:t>
      </w:r>
      <w:r w:rsidR="00DF742C">
        <w:rPr>
          <w:color w:val="000000" w:themeColor="text1"/>
          <w:sz w:val="26"/>
          <w:szCs w:val="26"/>
        </w:rPr>
        <w:t>tariff</w:t>
      </w:r>
      <w:r w:rsidR="0072294C">
        <w:rPr>
          <w:color w:val="000000" w:themeColor="text1"/>
          <w:sz w:val="26"/>
          <w:szCs w:val="26"/>
        </w:rPr>
        <w:t>s</w:t>
      </w:r>
      <w:r w:rsidR="00DF742C">
        <w:rPr>
          <w:color w:val="000000" w:themeColor="text1"/>
          <w:sz w:val="26"/>
          <w:szCs w:val="26"/>
        </w:rPr>
        <w:t xml:space="preserve">.  </w:t>
      </w:r>
      <w:r w:rsidR="0072294C">
        <w:rPr>
          <w:color w:val="000000" w:themeColor="text1"/>
          <w:sz w:val="26"/>
          <w:szCs w:val="26"/>
        </w:rPr>
        <w:t xml:space="preserve">Any tariff changes sought by </w:t>
      </w:r>
      <w:r w:rsidR="000333CF">
        <w:rPr>
          <w:color w:val="000000" w:themeColor="text1"/>
          <w:sz w:val="26"/>
          <w:szCs w:val="26"/>
        </w:rPr>
        <w:t xml:space="preserve">the Joint </w:t>
      </w:r>
      <w:r w:rsidR="0072294C">
        <w:rPr>
          <w:color w:val="000000" w:themeColor="text1"/>
          <w:sz w:val="26"/>
          <w:szCs w:val="26"/>
        </w:rPr>
        <w:t>Applicants in the future will be made pursuant to normal Commission procedures</w:t>
      </w:r>
      <w:r w:rsidR="00EE11E5">
        <w:rPr>
          <w:color w:val="000000" w:themeColor="text1"/>
          <w:sz w:val="26"/>
          <w:szCs w:val="26"/>
        </w:rPr>
        <w:t xml:space="preserve">.  Service Agreements and other contracts for </w:t>
      </w:r>
      <w:r w:rsidR="00EE11E5">
        <w:rPr>
          <w:color w:val="000000" w:themeColor="text1"/>
          <w:sz w:val="26"/>
          <w:szCs w:val="26"/>
        </w:rPr>
        <w:lastRenderedPageBreak/>
        <w:t>regulated telecommunications services will continue to be honored in accordance with their terms, consistently with the normal course of business</w:t>
      </w:r>
      <w:r w:rsidR="0072294C">
        <w:rPr>
          <w:color w:val="000000" w:themeColor="text1"/>
          <w:sz w:val="26"/>
          <w:szCs w:val="26"/>
        </w:rPr>
        <w:t>.</w:t>
      </w:r>
      <w:r w:rsidR="00DF742C">
        <w:rPr>
          <w:rStyle w:val="FootnoteReference"/>
          <w:color w:val="000000" w:themeColor="text1"/>
          <w:sz w:val="26"/>
          <w:szCs w:val="26"/>
        </w:rPr>
        <w:footnoteReference w:id="23"/>
      </w:r>
      <w:r w:rsidR="00DF742C">
        <w:rPr>
          <w:color w:val="000000" w:themeColor="text1"/>
          <w:sz w:val="26"/>
          <w:szCs w:val="26"/>
        </w:rPr>
        <w:t xml:space="preserve">   </w:t>
      </w:r>
    </w:p>
    <w:p w14:paraId="3A080F54" w14:textId="77777777" w:rsidR="00BE195D" w:rsidRDefault="00BE195D" w:rsidP="000C191F">
      <w:pPr>
        <w:ind w:firstLine="720"/>
        <w:rPr>
          <w:color w:val="000000" w:themeColor="text1"/>
          <w:sz w:val="26"/>
          <w:szCs w:val="26"/>
        </w:rPr>
      </w:pPr>
    </w:p>
    <w:p w14:paraId="08B2EFA0" w14:textId="226EE8AB" w:rsidR="0094284C" w:rsidRDefault="0094284C" w:rsidP="000C191F">
      <w:pPr>
        <w:ind w:firstLine="720"/>
        <w:rPr>
          <w:color w:val="000000" w:themeColor="text1"/>
          <w:sz w:val="26"/>
          <w:szCs w:val="26"/>
        </w:rPr>
      </w:pPr>
      <w:r w:rsidRPr="00BA61E2">
        <w:rPr>
          <w:color w:val="000000" w:themeColor="text1"/>
          <w:sz w:val="26"/>
          <w:szCs w:val="26"/>
        </w:rPr>
        <w:t xml:space="preserve">The </w:t>
      </w:r>
      <w:r w:rsidR="00B13454">
        <w:rPr>
          <w:color w:val="000000" w:themeColor="text1"/>
          <w:sz w:val="26"/>
          <w:szCs w:val="26"/>
        </w:rPr>
        <w:t xml:space="preserve">Joint </w:t>
      </w:r>
      <w:r w:rsidRPr="00BA61E2">
        <w:rPr>
          <w:color w:val="000000" w:themeColor="text1"/>
          <w:sz w:val="26"/>
          <w:szCs w:val="26"/>
        </w:rPr>
        <w:t>Applicant</w:t>
      </w:r>
      <w:r w:rsidR="00B13454">
        <w:rPr>
          <w:color w:val="000000" w:themeColor="text1"/>
          <w:sz w:val="26"/>
          <w:szCs w:val="26"/>
        </w:rPr>
        <w:t>s</w:t>
      </w:r>
      <w:r w:rsidRPr="00BA61E2">
        <w:rPr>
          <w:color w:val="000000" w:themeColor="text1"/>
          <w:sz w:val="26"/>
          <w:szCs w:val="26"/>
        </w:rPr>
        <w:t xml:space="preserve"> </w:t>
      </w:r>
      <w:r w:rsidR="009243D0" w:rsidRPr="00BA61E2">
        <w:rPr>
          <w:color w:val="000000" w:themeColor="text1"/>
          <w:sz w:val="26"/>
          <w:szCs w:val="26"/>
        </w:rPr>
        <w:t>aver</w:t>
      </w:r>
      <w:r w:rsidRPr="00BA61E2">
        <w:rPr>
          <w:color w:val="000000" w:themeColor="text1"/>
          <w:sz w:val="26"/>
          <w:szCs w:val="26"/>
        </w:rPr>
        <w:t xml:space="preserve"> that the </w:t>
      </w:r>
      <w:r w:rsidR="007F0010" w:rsidRPr="00BA61E2">
        <w:rPr>
          <w:color w:val="000000" w:themeColor="text1"/>
          <w:sz w:val="26"/>
          <w:szCs w:val="26"/>
        </w:rPr>
        <w:t xml:space="preserve">proposed </w:t>
      </w:r>
      <w:r w:rsidR="00EE0D1A">
        <w:rPr>
          <w:color w:val="000000" w:themeColor="text1"/>
          <w:sz w:val="26"/>
          <w:szCs w:val="26"/>
        </w:rPr>
        <w:t xml:space="preserve">Transaction </w:t>
      </w:r>
      <w:r w:rsidR="007F0010" w:rsidRPr="00BA61E2">
        <w:rPr>
          <w:color w:val="000000" w:themeColor="text1"/>
          <w:sz w:val="26"/>
          <w:szCs w:val="26"/>
        </w:rPr>
        <w:t>will have no effe</w:t>
      </w:r>
      <w:r w:rsidR="00EE11E5">
        <w:rPr>
          <w:color w:val="000000" w:themeColor="text1"/>
          <w:sz w:val="26"/>
          <w:szCs w:val="26"/>
        </w:rPr>
        <w:t xml:space="preserve">ct on any </w:t>
      </w:r>
      <w:r w:rsidR="007F0010" w:rsidRPr="00BA61E2">
        <w:rPr>
          <w:color w:val="000000" w:themeColor="text1"/>
          <w:sz w:val="26"/>
          <w:szCs w:val="26"/>
        </w:rPr>
        <w:t>existing affiliate</w:t>
      </w:r>
      <w:r w:rsidR="004E6012">
        <w:rPr>
          <w:color w:val="000000" w:themeColor="text1"/>
          <w:sz w:val="26"/>
          <w:szCs w:val="26"/>
        </w:rPr>
        <w:t>d</w:t>
      </w:r>
      <w:r w:rsidR="007F0010" w:rsidRPr="00BA61E2">
        <w:rPr>
          <w:color w:val="000000" w:themeColor="text1"/>
          <w:sz w:val="26"/>
          <w:szCs w:val="26"/>
        </w:rPr>
        <w:t xml:space="preserve"> interest agreements</w:t>
      </w:r>
      <w:r w:rsidR="00DF742C" w:rsidRPr="00BA61E2">
        <w:rPr>
          <w:color w:val="000000" w:themeColor="text1"/>
          <w:sz w:val="26"/>
          <w:szCs w:val="26"/>
        </w:rPr>
        <w:t>, if any.</w:t>
      </w:r>
      <w:r w:rsidR="00E5063F" w:rsidRPr="00BA61E2">
        <w:rPr>
          <w:rStyle w:val="FootnoteReference"/>
          <w:color w:val="000000" w:themeColor="text1"/>
          <w:sz w:val="26"/>
          <w:szCs w:val="26"/>
        </w:rPr>
        <w:footnoteReference w:id="24"/>
      </w:r>
      <w:r w:rsidR="007F0010" w:rsidRPr="007F0010">
        <w:rPr>
          <w:color w:val="000000" w:themeColor="text1"/>
          <w:sz w:val="26"/>
          <w:szCs w:val="26"/>
        </w:rPr>
        <w:t xml:space="preserve"> </w:t>
      </w:r>
    </w:p>
    <w:p w14:paraId="12C1B8A6" w14:textId="276D38B4" w:rsidR="007D0DDC" w:rsidRDefault="007D0DDC" w:rsidP="000C191F">
      <w:pPr>
        <w:ind w:firstLine="720"/>
        <w:rPr>
          <w:color w:val="000000" w:themeColor="text1"/>
          <w:sz w:val="26"/>
          <w:szCs w:val="26"/>
        </w:rPr>
      </w:pPr>
    </w:p>
    <w:p w14:paraId="5BF9C441" w14:textId="70D98BD5" w:rsidR="00C172BB" w:rsidRDefault="00BA61E2" w:rsidP="000C191F">
      <w:pPr>
        <w:ind w:firstLine="720"/>
        <w:rPr>
          <w:sz w:val="26"/>
          <w:szCs w:val="26"/>
        </w:rPr>
      </w:pPr>
      <w:bookmarkStart w:id="5" w:name="_Hlk951105"/>
      <w:r w:rsidRPr="00663364">
        <w:rPr>
          <w:sz w:val="26"/>
          <w:szCs w:val="26"/>
        </w:rPr>
        <w:t xml:space="preserve">The </w:t>
      </w:r>
      <w:r w:rsidR="00C172BB" w:rsidRPr="00663364">
        <w:rPr>
          <w:sz w:val="26"/>
          <w:szCs w:val="26"/>
        </w:rPr>
        <w:t xml:space="preserve">Joint </w:t>
      </w:r>
      <w:r w:rsidRPr="00663364">
        <w:rPr>
          <w:sz w:val="26"/>
          <w:szCs w:val="26"/>
        </w:rPr>
        <w:t>Applicant</w:t>
      </w:r>
      <w:r w:rsidR="00C172BB" w:rsidRPr="00663364">
        <w:rPr>
          <w:sz w:val="26"/>
          <w:szCs w:val="26"/>
        </w:rPr>
        <w:t>s</w:t>
      </w:r>
      <w:r w:rsidR="00B20396" w:rsidRPr="00663364">
        <w:rPr>
          <w:sz w:val="26"/>
          <w:szCs w:val="26"/>
        </w:rPr>
        <w:t xml:space="preserve"> </w:t>
      </w:r>
      <w:r w:rsidRPr="00663364">
        <w:rPr>
          <w:sz w:val="26"/>
          <w:szCs w:val="26"/>
        </w:rPr>
        <w:t>aver</w:t>
      </w:r>
      <w:r w:rsidR="00C172BB" w:rsidRPr="00663364">
        <w:rPr>
          <w:sz w:val="26"/>
          <w:szCs w:val="26"/>
        </w:rPr>
        <w:t xml:space="preserve"> that in addition to Pennsylvania, approval for the Transaction is being sought by the Joint Applicants from </w:t>
      </w:r>
      <w:r w:rsidR="00F67793" w:rsidRPr="00663364">
        <w:rPr>
          <w:sz w:val="26"/>
          <w:szCs w:val="26"/>
        </w:rPr>
        <w:t>the District of Columbia</w:t>
      </w:r>
      <w:r w:rsidR="003A7CCA" w:rsidRPr="00663364">
        <w:rPr>
          <w:sz w:val="26"/>
          <w:szCs w:val="26"/>
        </w:rPr>
        <w:t xml:space="preserve"> </w:t>
      </w:r>
      <w:r w:rsidR="00F67793" w:rsidRPr="00663364">
        <w:rPr>
          <w:sz w:val="26"/>
          <w:szCs w:val="26"/>
        </w:rPr>
        <w:t>(</w:t>
      </w:r>
      <w:r w:rsidR="00E604B6" w:rsidRPr="00663364">
        <w:rPr>
          <w:sz w:val="26"/>
          <w:szCs w:val="26"/>
        </w:rPr>
        <w:t>application</w:t>
      </w:r>
      <w:r w:rsidR="0028424A">
        <w:rPr>
          <w:sz w:val="26"/>
          <w:szCs w:val="26"/>
        </w:rPr>
        <w:t xml:space="preserve"> approved </w:t>
      </w:r>
      <w:r w:rsidR="00EF4095">
        <w:rPr>
          <w:sz w:val="26"/>
          <w:szCs w:val="26"/>
        </w:rPr>
        <w:t>7/17/20</w:t>
      </w:r>
      <w:r w:rsidR="00F67793" w:rsidRPr="00663364">
        <w:rPr>
          <w:sz w:val="26"/>
          <w:szCs w:val="26"/>
        </w:rPr>
        <w:t xml:space="preserve">) and </w:t>
      </w:r>
      <w:r w:rsidR="00E41E09" w:rsidRPr="00663364">
        <w:rPr>
          <w:sz w:val="26"/>
          <w:szCs w:val="26"/>
        </w:rPr>
        <w:t>t</w:t>
      </w:r>
      <w:r w:rsidR="00C172BB" w:rsidRPr="00663364">
        <w:rPr>
          <w:sz w:val="26"/>
          <w:szCs w:val="26"/>
        </w:rPr>
        <w:t>he state utilities commission</w:t>
      </w:r>
      <w:r w:rsidR="004E6012" w:rsidRPr="00663364">
        <w:rPr>
          <w:sz w:val="26"/>
          <w:szCs w:val="26"/>
        </w:rPr>
        <w:t>s</w:t>
      </w:r>
      <w:r w:rsidR="00C172BB" w:rsidRPr="00663364">
        <w:rPr>
          <w:sz w:val="26"/>
          <w:szCs w:val="26"/>
        </w:rPr>
        <w:t xml:space="preserve"> of </w:t>
      </w:r>
      <w:r w:rsidR="00F67793" w:rsidRPr="00663364">
        <w:rPr>
          <w:sz w:val="26"/>
          <w:szCs w:val="26"/>
        </w:rPr>
        <w:t>the following jurisdictions:</w:t>
      </w:r>
      <w:r w:rsidR="0048755C" w:rsidRPr="00663364">
        <w:rPr>
          <w:sz w:val="26"/>
          <w:szCs w:val="26"/>
        </w:rPr>
        <w:t xml:space="preserve"> California (</w:t>
      </w:r>
      <w:r w:rsidR="0028424A">
        <w:rPr>
          <w:sz w:val="26"/>
          <w:szCs w:val="26"/>
        </w:rPr>
        <w:t xml:space="preserve">advice letter </w:t>
      </w:r>
      <w:r w:rsidR="00E604B6" w:rsidRPr="00663364">
        <w:rPr>
          <w:sz w:val="26"/>
          <w:szCs w:val="26"/>
        </w:rPr>
        <w:t xml:space="preserve">notice </w:t>
      </w:r>
      <w:r w:rsidR="0028424A">
        <w:rPr>
          <w:sz w:val="26"/>
          <w:szCs w:val="26"/>
        </w:rPr>
        <w:t xml:space="preserve">accepted </w:t>
      </w:r>
      <w:r w:rsidR="00EF4095">
        <w:rPr>
          <w:sz w:val="26"/>
          <w:szCs w:val="26"/>
        </w:rPr>
        <w:t>6/15/20</w:t>
      </w:r>
      <w:r w:rsidR="0048755C" w:rsidRPr="00663364">
        <w:rPr>
          <w:sz w:val="26"/>
          <w:szCs w:val="26"/>
        </w:rPr>
        <w:t>), Colorado (</w:t>
      </w:r>
      <w:r w:rsidR="00E604B6" w:rsidRPr="00663364">
        <w:rPr>
          <w:sz w:val="26"/>
          <w:szCs w:val="26"/>
        </w:rPr>
        <w:t xml:space="preserve">application </w:t>
      </w:r>
      <w:r w:rsidR="0028424A">
        <w:rPr>
          <w:sz w:val="26"/>
          <w:szCs w:val="26"/>
        </w:rPr>
        <w:t xml:space="preserve">approved </w:t>
      </w:r>
      <w:r w:rsidR="00EF4095">
        <w:rPr>
          <w:sz w:val="26"/>
          <w:szCs w:val="26"/>
        </w:rPr>
        <w:t>7/15/20</w:t>
      </w:r>
      <w:r w:rsidR="0028424A">
        <w:rPr>
          <w:sz w:val="26"/>
          <w:szCs w:val="26"/>
        </w:rPr>
        <w:t xml:space="preserve"> with condition</w:t>
      </w:r>
      <w:r w:rsidR="0048755C" w:rsidRPr="00663364">
        <w:rPr>
          <w:sz w:val="26"/>
          <w:szCs w:val="26"/>
        </w:rPr>
        <w:t xml:space="preserve">), </w:t>
      </w:r>
      <w:r w:rsidR="002D3C70" w:rsidRPr="00663364">
        <w:rPr>
          <w:sz w:val="26"/>
          <w:szCs w:val="26"/>
        </w:rPr>
        <w:t>Georgia (</w:t>
      </w:r>
      <w:r w:rsidR="00EF4095">
        <w:rPr>
          <w:sz w:val="26"/>
          <w:szCs w:val="26"/>
        </w:rPr>
        <w:t>no action letter issued 7/7/20</w:t>
      </w:r>
      <w:r w:rsidR="002D3C70" w:rsidRPr="00663364">
        <w:rPr>
          <w:sz w:val="26"/>
          <w:szCs w:val="26"/>
        </w:rPr>
        <w:t>),</w:t>
      </w:r>
      <w:r w:rsidR="00796E54" w:rsidRPr="00663364">
        <w:rPr>
          <w:sz w:val="26"/>
          <w:szCs w:val="26"/>
        </w:rPr>
        <w:t xml:space="preserve"> </w:t>
      </w:r>
      <w:r w:rsidR="0048755C" w:rsidRPr="00663364">
        <w:rPr>
          <w:sz w:val="26"/>
          <w:szCs w:val="26"/>
        </w:rPr>
        <w:t>Indiana (</w:t>
      </w:r>
      <w:r w:rsidR="00EF4095">
        <w:rPr>
          <w:sz w:val="26"/>
          <w:szCs w:val="26"/>
        </w:rPr>
        <w:t>acknowledgement of transfer issued 8/4/20</w:t>
      </w:r>
      <w:r w:rsidR="00796E54" w:rsidRPr="00663364">
        <w:rPr>
          <w:sz w:val="26"/>
          <w:szCs w:val="26"/>
        </w:rPr>
        <w:t>)</w:t>
      </w:r>
      <w:r w:rsidR="0048755C" w:rsidRPr="00663364">
        <w:rPr>
          <w:sz w:val="26"/>
          <w:szCs w:val="26"/>
        </w:rPr>
        <w:t xml:space="preserve">, </w:t>
      </w:r>
      <w:r w:rsidR="003A7CCA" w:rsidRPr="00663364">
        <w:rPr>
          <w:sz w:val="26"/>
          <w:szCs w:val="26"/>
        </w:rPr>
        <w:t>Kentucky (</w:t>
      </w:r>
      <w:r w:rsidR="00FF0113" w:rsidRPr="00663364">
        <w:rPr>
          <w:sz w:val="26"/>
          <w:szCs w:val="26"/>
        </w:rPr>
        <w:t xml:space="preserve">application </w:t>
      </w:r>
      <w:r w:rsidR="003A7CCA" w:rsidRPr="00663364">
        <w:rPr>
          <w:sz w:val="26"/>
          <w:szCs w:val="26"/>
        </w:rPr>
        <w:t>pending), Louisiana (</w:t>
      </w:r>
      <w:r w:rsidR="00EF4095">
        <w:rPr>
          <w:sz w:val="26"/>
          <w:szCs w:val="26"/>
        </w:rPr>
        <w:t>acknowledgement of transfer issued 8/10/20</w:t>
      </w:r>
      <w:r w:rsidR="003A7CCA" w:rsidRPr="00663364">
        <w:rPr>
          <w:sz w:val="26"/>
          <w:szCs w:val="26"/>
        </w:rPr>
        <w:t xml:space="preserve">), </w:t>
      </w:r>
      <w:r w:rsidR="0048755C" w:rsidRPr="00663364">
        <w:rPr>
          <w:sz w:val="26"/>
          <w:szCs w:val="26"/>
        </w:rPr>
        <w:t>Minnesota (</w:t>
      </w:r>
      <w:r w:rsidR="00FF0113" w:rsidRPr="00663364">
        <w:rPr>
          <w:sz w:val="26"/>
          <w:szCs w:val="26"/>
        </w:rPr>
        <w:t xml:space="preserve">application </w:t>
      </w:r>
      <w:r w:rsidR="0048755C" w:rsidRPr="00663364">
        <w:rPr>
          <w:sz w:val="26"/>
          <w:szCs w:val="26"/>
        </w:rPr>
        <w:t>pending), Mississippi (</w:t>
      </w:r>
      <w:r w:rsidR="00FF0113" w:rsidRPr="00663364">
        <w:rPr>
          <w:sz w:val="26"/>
          <w:szCs w:val="26"/>
        </w:rPr>
        <w:t xml:space="preserve">application </w:t>
      </w:r>
      <w:r w:rsidR="0048755C" w:rsidRPr="00663364">
        <w:rPr>
          <w:sz w:val="26"/>
          <w:szCs w:val="26"/>
        </w:rPr>
        <w:t>pending),</w:t>
      </w:r>
      <w:r w:rsidR="003A7CCA" w:rsidRPr="00663364">
        <w:rPr>
          <w:sz w:val="26"/>
          <w:szCs w:val="26"/>
        </w:rPr>
        <w:t xml:space="preserve"> Nevada (</w:t>
      </w:r>
      <w:r w:rsidR="00EF4095">
        <w:rPr>
          <w:sz w:val="26"/>
          <w:szCs w:val="26"/>
        </w:rPr>
        <w:t>application acknowledged and docket closed 7/10/20</w:t>
      </w:r>
      <w:r w:rsidR="003A7CCA" w:rsidRPr="00663364">
        <w:rPr>
          <w:sz w:val="26"/>
          <w:szCs w:val="26"/>
        </w:rPr>
        <w:t xml:space="preserve">), </w:t>
      </w:r>
      <w:r w:rsidR="0048755C" w:rsidRPr="00663364">
        <w:rPr>
          <w:sz w:val="26"/>
          <w:szCs w:val="26"/>
        </w:rPr>
        <w:t>New Jersey (</w:t>
      </w:r>
      <w:r w:rsidR="00FF0113" w:rsidRPr="00663364">
        <w:rPr>
          <w:sz w:val="26"/>
          <w:szCs w:val="26"/>
        </w:rPr>
        <w:t xml:space="preserve">application </w:t>
      </w:r>
      <w:r w:rsidR="00EF4095">
        <w:rPr>
          <w:sz w:val="26"/>
          <w:szCs w:val="26"/>
        </w:rPr>
        <w:t>approved effective 8/22/20 with condition</w:t>
      </w:r>
      <w:r w:rsidR="003A7CCA" w:rsidRPr="00663364">
        <w:rPr>
          <w:sz w:val="26"/>
          <w:szCs w:val="26"/>
        </w:rPr>
        <w:t>)</w:t>
      </w:r>
      <w:r w:rsidR="0048755C" w:rsidRPr="00663364">
        <w:rPr>
          <w:sz w:val="26"/>
          <w:szCs w:val="26"/>
        </w:rPr>
        <w:t xml:space="preserve">, New York </w:t>
      </w:r>
      <w:r w:rsidR="003A7CCA" w:rsidRPr="00663364">
        <w:rPr>
          <w:sz w:val="26"/>
          <w:szCs w:val="26"/>
        </w:rPr>
        <w:t>(</w:t>
      </w:r>
      <w:r w:rsidR="00EF4095" w:rsidRPr="00663364">
        <w:rPr>
          <w:sz w:val="26"/>
          <w:szCs w:val="26"/>
        </w:rPr>
        <w:t xml:space="preserve">application </w:t>
      </w:r>
      <w:r w:rsidR="00EF4095">
        <w:rPr>
          <w:sz w:val="26"/>
          <w:szCs w:val="26"/>
        </w:rPr>
        <w:t>approved effective 8/13/20 with condition</w:t>
      </w:r>
      <w:r w:rsidR="003A7CCA">
        <w:rPr>
          <w:sz w:val="26"/>
          <w:szCs w:val="26"/>
        </w:rPr>
        <w:t xml:space="preserve">), </w:t>
      </w:r>
      <w:r w:rsidR="0048755C">
        <w:rPr>
          <w:sz w:val="26"/>
          <w:szCs w:val="26"/>
        </w:rPr>
        <w:t>Ohio (</w:t>
      </w:r>
      <w:r w:rsidR="00FF0113">
        <w:rPr>
          <w:sz w:val="26"/>
          <w:szCs w:val="26"/>
        </w:rPr>
        <w:t>n</w:t>
      </w:r>
      <w:r w:rsidR="003A7CCA">
        <w:rPr>
          <w:sz w:val="26"/>
          <w:szCs w:val="26"/>
        </w:rPr>
        <w:t>otice approved 5/21/2020), South Carolina (</w:t>
      </w:r>
      <w:r w:rsidR="00FF0113">
        <w:rPr>
          <w:sz w:val="26"/>
          <w:szCs w:val="26"/>
        </w:rPr>
        <w:t>a</w:t>
      </w:r>
      <w:r w:rsidR="003A7CCA">
        <w:rPr>
          <w:sz w:val="26"/>
          <w:szCs w:val="26"/>
        </w:rPr>
        <w:t>pplication approved 6/10/2020), South Dakota (</w:t>
      </w:r>
      <w:r w:rsidR="00FF0113">
        <w:rPr>
          <w:sz w:val="26"/>
          <w:szCs w:val="26"/>
        </w:rPr>
        <w:t>n</w:t>
      </w:r>
      <w:r w:rsidR="003A7CCA">
        <w:rPr>
          <w:sz w:val="26"/>
          <w:szCs w:val="26"/>
        </w:rPr>
        <w:t>otice filed), Texas (application pending), and Virginia (</w:t>
      </w:r>
      <w:r w:rsidR="00EF4095">
        <w:rPr>
          <w:sz w:val="26"/>
          <w:szCs w:val="26"/>
        </w:rPr>
        <w:t>approval order issued 7/29/20 subject to pending request for reconsideration</w:t>
      </w:r>
      <w:r w:rsidR="003A7CCA">
        <w:rPr>
          <w:sz w:val="26"/>
          <w:szCs w:val="26"/>
        </w:rPr>
        <w:t>).</w:t>
      </w:r>
      <w:r w:rsidR="00C172BB" w:rsidRPr="0048755C">
        <w:rPr>
          <w:rStyle w:val="FootnoteReference"/>
          <w:sz w:val="26"/>
          <w:szCs w:val="26"/>
        </w:rPr>
        <w:footnoteReference w:id="25"/>
      </w:r>
    </w:p>
    <w:p w14:paraId="64AF6230" w14:textId="3756B04B" w:rsidR="00143659" w:rsidRDefault="00143659" w:rsidP="000C191F">
      <w:pPr>
        <w:ind w:firstLine="720"/>
        <w:rPr>
          <w:sz w:val="26"/>
          <w:szCs w:val="26"/>
        </w:rPr>
      </w:pPr>
    </w:p>
    <w:p w14:paraId="13B5F375" w14:textId="64A785F8" w:rsidR="00143659" w:rsidRDefault="00143659" w:rsidP="000C191F">
      <w:pPr>
        <w:ind w:firstLine="720"/>
        <w:rPr>
          <w:sz w:val="26"/>
          <w:szCs w:val="26"/>
        </w:rPr>
      </w:pPr>
      <w:r w:rsidRPr="00663364">
        <w:rPr>
          <w:sz w:val="26"/>
          <w:szCs w:val="26"/>
        </w:rPr>
        <w:t xml:space="preserve">The Joint Applicants </w:t>
      </w:r>
      <w:r w:rsidR="00A1555B" w:rsidRPr="00663364">
        <w:rPr>
          <w:sz w:val="26"/>
          <w:szCs w:val="26"/>
        </w:rPr>
        <w:t xml:space="preserve">state that the proposed Transaction is also the subject of a </w:t>
      </w:r>
      <w:r w:rsidR="00A1555B" w:rsidRPr="009354B0">
        <w:rPr>
          <w:sz w:val="26"/>
          <w:szCs w:val="26"/>
        </w:rPr>
        <w:t xml:space="preserve">separate proceeding or proceedings that is currently pending before the </w:t>
      </w:r>
      <w:r w:rsidR="00E96F89" w:rsidRPr="009354B0">
        <w:rPr>
          <w:sz w:val="26"/>
          <w:szCs w:val="26"/>
        </w:rPr>
        <w:t>F</w:t>
      </w:r>
      <w:r w:rsidR="00A1555B" w:rsidRPr="009354B0">
        <w:rPr>
          <w:sz w:val="26"/>
          <w:szCs w:val="26"/>
        </w:rPr>
        <w:t>CC, where applicable federal law and relevant FCC regulations may be implicated.  A joint International and Section 214 Application was filed with the FCC on</w:t>
      </w:r>
      <w:r w:rsidR="00452172" w:rsidRPr="009354B0">
        <w:rPr>
          <w:sz w:val="26"/>
          <w:szCs w:val="26"/>
        </w:rPr>
        <w:t xml:space="preserve"> May 21, 2020</w:t>
      </w:r>
      <w:r w:rsidR="00A1555B" w:rsidRPr="009354B0">
        <w:rPr>
          <w:sz w:val="26"/>
          <w:szCs w:val="26"/>
        </w:rPr>
        <w:t xml:space="preserve"> and has been assigned to WC </w:t>
      </w:r>
      <w:r w:rsidR="004E6012" w:rsidRPr="009354B0">
        <w:rPr>
          <w:sz w:val="26"/>
          <w:szCs w:val="26"/>
        </w:rPr>
        <w:t xml:space="preserve">Docket No. </w:t>
      </w:r>
      <w:r w:rsidR="00452172" w:rsidRPr="009354B0">
        <w:rPr>
          <w:sz w:val="26"/>
          <w:szCs w:val="26"/>
        </w:rPr>
        <w:t>20-151</w:t>
      </w:r>
      <w:r w:rsidR="00A1555B" w:rsidRPr="009354B0">
        <w:rPr>
          <w:sz w:val="26"/>
          <w:szCs w:val="26"/>
        </w:rPr>
        <w:t xml:space="preserve">.  </w:t>
      </w:r>
      <w:r w:rsidR="003664D4" w:rsidRPr="009354B0">
        <w:rPr>
          <w:sz w:val="26"/>
          <w:szCs w:val="26"/>
        </w:rPr>
        <w:t xml:space="preserve">On June 12, 2020, the Joint Applicants filed supplemental information with the FCC and a Petition for Temporary and Limited Waiver.  The Wireline Competition Bureau, International Bureau, and the Wireless Telecommunications Bureau filed a Public Notice on June 25, 2020.  Comments to the FCC </w:t>
      </w:r>
      <w:r w:rsidR="0076630F">
        <w:rPr>
          <w:sz w:val="26"/>
          <w:szCs w:val="26"/>
        </w:rPr>
        <w:t>were</w:t>
      </w:r>
      <w:r w:rsidR="0076630F" w:rsidRPr="009354B0">
        <w:rPr>
          <w:sz w:val="26"/>
          <w:szCs w:val="26"/>
        </w:rPr>
        <w:t xml:space="preserve"> </w:t>
      </w:r>
      <w:r w:rsidR="003664D4" w:rsidRPr="009354B0">
        <w:rPr>
          <w:sz w:val="26"/>
          <w:szCs w:val="26"/>
        </w:rPr>
        <w:t xml:space="preserve">due July 9, 2020, </w:t>
      </w:r>
      <w:r w:rsidR="00DA6D52">
        <w:rPr>
          <w:sz w:val="26"/>
          <w:szCs w:val="26"/>
        </w:rPr>
        <w:t>with</w:t>
      </w:r>
      <w:r w:rsidR="00DA6D52" w:rsidRPr="009354B0">
        <w:rPr>
          <w:sz w:val="26"/>
          <w:szCs w:val="26"/>
        </w:rPr>
        <w:t xml:space="preserve"> </w:t>
      </w:r>
      <w:r w:rsidR="003664D4" w:rsidRPr="009354B0">
        <w:rPr>
          <w:sz w:val="26"/>
          <w:szCs w:val="26"/>
        </w:rPr>
        <w:t xml:space="preserve">reply comments due July 16, 2020.  </w:t>
      </w:r>
    </w:p>
    <w:p w14:paraId="338A5746" w14:textId="77777777" w:rsidR="00137C40" w:rsidRPr="009354B0" w:rsidRDefault="00137C40" w:rsidP="000C191F">
      <w:pPr>
        <w:ind w:firstLine="720"/>
        <w:rPr>
          <w:sz w:val="26"/>
          <w:szCs w:val="26"/>
        </w:rPr>
      </w:pPr>
    </w:p>
    <w:p w14:paraId="75C1EC80" w14:textId="435B4E7F" w:rsidR="00F453C2" w:rsidRDefault="00E313EB" w:rsidP="000C191F">
      <w:pPr>
        <w:ind w:firstLine="720"/>
        <w:rPr>
          <w:sz w:val="26"/>
          <w:szCs w:val="26"/>
        </w:rPr>
      </w:pPr>
      <w:r>
        <w:rPr>
          <w:sz w:val="26"/>
          <w:szCs w:val="26"/>
        </w:rPr>
        <w:t>The Joint Applicants aver that the proposed Transaction does not</w:t>
      </w:r>
      <w:r w:rsidR="00382DEE">
        <w:rPr>
          <w:sz w:val="26"/>
          <w:szCs w:val="26"/>
        </w:rPr>
        <w:t xml:space="preserve"> raise any national security concerns.  The first step of the Transaction does not involve a foreign carrier seeking a controlling interest in a United States carrier and does not involve ownership interests being held or controlled by countries with adversarial trade or security relationship with the United States.  The second step of the Transaction, however, would involve a foreign interest if any of the foreign warrant holders exercised their warrants</w:t>
      </w:r>
      <w:r w:rsidR="00552C2F">
        <w:rPr>
          <w:sz w:val="26"/>
          <w:szCs w:val="26"/>
        </w:rPr>
        <w:t>.</w:t>
      </w:r>
      <w:r>
        <w:rPr>
          <w:rStyle w:val="FootnoteReference"/>
          <w:sz w:val="26"/>
          <w:szCs w:val="26"/>
        </w:rPr>
        <w:footnoteReference w:id="26"/>
      </w:r>
      <w:r w:rsidR="00552C2F">
        <w:rPr>
          <w:sz w:val="26"/>
          <w:szCs w:val="26"/>
        </w:rPr>
        <w:t xml:space="preserve">  </w:t>
      </w:r>
    </w:p>
    <w:p w14:paraId="6F02E5F7" w14:textId="77777777" w:rsidR="00F453C2" w:rsidRDefault="00F453C2" w:rsidP="000C191F">
      <w:pPr>
        <w:ind w:firstLine="720"/>
        <w:rPr>
          <w:sz w:val="26"/>
          <w:szCs w:val="26"/>
        </w:rPr>
      </w:pPr>
    </w:p>
    <w:p w14:paraId="2CF17DF6" w14:textId="7EECAB8E" w:rsidR="00E313EB" w:rsidRDefault="00F453C2" w:rsidP="000C191F">
      <w:pPr>
        <w:ind w:firstLine="720"/>
        <w:rPr>
          <w:sz w:val="26"/>
          <w:szCs w:val="26"/>
        </w:rPr>
      </w:pPr>
      <w:r>
        <w:rPr>
          <w:sz w:val="26"/>
          <w:szCs w:val="26"/>
        </w:rPr>
        <w:lastRenderedPageBreak/>
        <w:t xml:space="preserve">The foreign warrant holders will not be permitted to exercise their warrants unless the FCC issues a declaratory ruling approving that exercise. </w:t>
      </w:r>
      <w:r w:rsidR="00552C2F">
        <w:rPr>
          <w:sz w:val="26"/>
          <w:szCs w:val="26"/>
        </w:rPr>
        <w:t xml:space="preserve"> </w:t>
      </w:r>
      <w:r>
        <w:rPr>
          <w:sz w:val="26"/>
          <w:szCs w:val="26"/>
        </w:rPr>
        <w:t>Prior to issuing any such ruling, the FCC will receive input on the proposed foreign ownership from “Team Telecom.”</w:t>
      </w:r>
      <w:r>
        <w:rPr>
          <w:rStyle w:val="FootnoteReference"/>
          <w:sz w:val="26"/>
          <w:szCs w:val="26"/>
        </w:rPr>
        <w:footnoteReference w:id="27"/>
      </w:r>
      <w:r w:rsidR="00A018B9">
        <w:rPr>
          <w:sz w:val="26"/>
          <w:szCs w:val="26"/>
        </w:rPr>
        <w:t xml:space="preserve"> </w:t>
      </w:r>
      <w:r w:rsidR="00A018B9" w:rsidRPr="009354B0">
        <w:rPr>
          <w:sz w:val="26"/>
          <w:szCs w:val="26"/>
        </w:rPr>
        <w:t xml:space="preserve">Thus, we recognize that the eventual consummation of the proposed transactions may be dependent on corresponding </w:t>
      </w:r>
      <w:r w:rsidR="00715967">
        <w:rPr>
          <w:sz w:val="26"/>
          <w:szCs w:val="26"/>
        </w:rPr>
        <w:t xml:space="preserve">future </w:t>
      </w:r>
      <w:r w:rsidR="00A018B9" w:rsidRPr="009354B0">
        <w:rPr>
          <w:sz w:val="26"/>
          <w:szCs w:val="26"/>
        </w:rPr>
        <w:t xml:space="preserve">rulings </w:t>
      </w:r>
      <w:r w:rsidR="00715967">
        <w:rPr>
          <w:sz w:val="26"/>
          <w:szCs w:val="26"/>
        </w:rPr>
        <w:t>from</w:t>
      </w:r>
      <w:r w:rsidR="00A018B9" w:rsidRPr="009354B0">
        <w:rPr>
          <w:sz w:val="26"/>
          <w:szCs w:val="26"/>
        </w:rPr>
        <w:t xml:space="preserve"> the FCC.</w:t>
      </w:r>
      <w:r w:rsidR="00A018B9" w:rsidRPr="009354B0">
        <w:rPr>
          <w:rStyle w:val="FootnoteReference"/>
          <w:sz w:val="26"/>
          <w:szCs w:val="26"/>
        </w:rPr>
        <w:footnoteReference w:id="28"/>
      </w:r>
    </w:p>
    <w:p w14:paraId="16870618" w14:textId="57C0A111" w:rsidR="00F453C2" w:rsidRDefault="00F453C2" w:rsidP="000C191F">
      <w:pPr>
        <w:ind w:firstLine="720"/>
        <w:rPr>
          <w:sz w:val="26"/>
          <w:szCs w:val="26"/>
        </w:rPr>
      </w:pPr>
    </w:p>
    <w:bookmarkEnd w:id="5"/>
    <w:p w14:paraId="57750350" w14:textId="7936BE11" w:rsidR="00211C6C" w:rsidRDefault="00292715" w:rsidP="000C191F">
      <w:pPr>
        <w:ind w:firstLine="720"/>
        <w:rPr>
          <w:color w:val="000000" w:themeColor="text1"/>
          <w:sz w:val="26"/>
          <w:szCs w:val="26"/>
        </w:rPr>
      </w:pPr>
      <w:r w:rsidRPr="00292715">
        <w:rPr>
          <w:color w:val="000000" w:themeColor="text1"/>
          <w:sz w:val="26"/>
          <w:szCs w:val="26"/>
        </w:rPr>
        <w:t xml:space="preserve">The </w:t>
      </w:r>
      <w:r w:rsidR="00B13454">
        <w:rPr>
          <w:color w:val="000000" w:themeColor="text1"/>
          <w:sz w:val="26"/>
          <w:szCs w:val="26"/>
        </w:rPr>
        <w:t xml:space="preserve">Joint </w:t>
      </w:r>
      <w:r w:rsidRPr="00292715">
        <w:rPr>
          <w:color w:val="000000" w:themeColor="text1"/>
          <w:sz w:val="26"/>
          <w:szCs w:val="26"/>
        </w:rPr>
        <w:t>Applicant</w:t>
      </w:r>
      <w:r w:rsidR="00B13454">
        <w:rPr>
          <w:color w:val="000000" w:themeColor="text1"/>
          <w:sz w:val="26"/>
          <w:szCs w:val="26"/>
        </w:rPr>
        <w:t>s</w:t>
      </w:r>
      <w:r w:rsidRPr="00292715">
        <w:rPr>
          <w:color w:val="000000" w:themeColor="text1"/>
          <w:sz w:val="26"/>
          <w:szCs w:val="26"/>
        </w:rPr>
        <w:t xml:space="preserve"> verif</w:t>
      </w:r>
      <w:r w:rsidR="00B13454">
        <w:rPr>
          <w:color w:val="000000" w:themeColor="text1"/>
          <w:sz w:val="26"/>
          <w:szCs w:val="26"/>
        </w:rPr>
        <w:t>y</w:t>
      </w:r>
      <w:r w:rsidRPr="00292715">
        <w:rPr>
          <w:color w:val="000000" w:themeColor="text1"/>
          <w:sz w:val="26"/>
          <w:szCs w:val="26"/>
        </w:rPr>
        <w:t xml:space="preserve"> that </w:t>
      </w:r>
      <w:r w:rsidRPr="007206BB">
        <w:rPr>
          <w:color w:val="000000" w:themeColor="text1"/>
          <w:sz w:val="26"/>
          <w:szCs w:val="26"/>
        </w:rPr>
        <w:t xml:space="preserve">the </w:t>
      </w:r>
      <w:r w:rsidR="007668CE">
        <w:rPr>
          <w:color w:val="000000" w:themeColor="text1"/>
          <w:sz w:val="26"/>
          <w:szCs w:val="26"/>
        </w:rPr>
        <w:t xml:space="preserve">proposed </w:t>
      </w:r>
      <w:r w:rsidR="00EE0D1A">
        <w:rPr>
          <w:color w:val="000000" w:themeColor="text1"/>
          <w:sz w:val="26"/>
          <w:szCs w:val="26"/>
        </w:rPr>
        <w:t xml:space="preserve">Transaction </w:t>
      </w:r>
      <w:r w:rsidRPr="00292715">
        <w:rPr>
          <w:color w:val="000000" w:themeColor="text1"/>
          <w:sz w:val="26"/>
          <w:szCs w:val="26"/>
        </w:rPr>
        <w:t xml:space="preserve">is expected to have a </w:t>
      </w:r>
      <w:r w:rsidR="00DF4925">
        <w:rPr>
          <w:color w:val="000000" w:themeColor="text1"/>
          <w:sz w:val="26"/>
          <w:szCs w:val="26"/>
        </w:rPr>
        <w:t xml:space="preserve">positive </w:t>
      </w:r>
      <w:r w:rsidRPr="00292715">
        <w:rPr>
          <w:color w:val="000000" w:themeColor="text1"/>
          <w:sz w:val="26"/>
          <w:szCs w:val="26"/>
        </w:rPr>
        <w:t>impact on</w:t>
      </w:r>
      <w:r w:rsidR="00B13454">
        <w:rPr>
          <w:color w:val="000000" w:themeColor="text1"/>
          <w:sz w:val="26"/>
          <w:szCs w:val="26"/>
        </w:rPr>
        <w:t xml:space="preserve"> </w:t>
      </w:r>
      <w:r w:rsidR="00DF4925">
        <w:rPr>
          <w:color w:val="000000" w:themeColor="text1"/>
          <w:sz w:val="26"/>
          <w:szCs w:val="26"/>
        </w:rPr>
        <w:t xml:space="preserve">Windstream PA </w:t>
      </w:r>
      <w:r w:rsidR="005B2669">
        <w:rPr>
          <w:color w:val="000000" w:themeColor="text1"/>
          <w:sz w:val="26"/>
          <w:szCs w:val="26"/>
        </w:rPr>
        <w:t>Utilities</w:t>
      </w:r>
      <w:r w:rsidR="00B13454">
        <w:rPr>
          <w:color w:val="000000" w:themeColor="text1"/>
          <w:sz w:val="26"/>
          <w:szCs w:val="26"/>
        </w:rPr>
        <w:t>’</w:t>
      </w:r>
      <w:r w:rsidR="00EE0D1A">
        <w:rPr>
          <w:color w:val="000000" w:themeColor="text1"/>
          <w:sz w:val="26"/>
          <w:szCs w:val="26"/>
        </w:rPr>
        <w:t xml:space="preserve"> </w:t>
      </w:r>
      <w:r w:rsidRPr="00292715">
        <w:rPr>
          <w:color w:val="000000" w:themeColor="text1"/>
          <w:sz w:val="26"/>
          <w:szCs w:val="26"/>
        </w:rPr>
        <w:t>capital structure over the next five years.</w:t>
      </w:r>
      <w:r w:rsidR="00E5063F">
        <w:rPr>
          <w:rStyle w:val="FootnoteReference"/>
          <w:color w:val="000000" w:themeColor="text1"/>
          <w:sz w:val="26"/>
          <w:szCs w:val="26"/>
        </w:rPr>
        <w:footnoteReference w:id="29"/>
      </w:r>
      <w:r w:rsidRPr="00292715">
        <w:rPr>
          <w:color w:val="000000" w:themeColor="text1"/>
          <w:sz w:val="26"/>
          <w:szCs w:val="26"/>
        </w:rPr>
        <w:t xml:space="preserve">  </w:t>
      </w:r>
    </w:p>
    <w:p w14:paraId="4ECC0E92" w14:textId="77777777" w:rsidR="00292715" w:rsidRDefault="00292715" w:rsidP="000C191F">
      <w:pPr>
        <w:ind w:firstLine="720"/>
        <w:rPr>
          <w:color w:val="000000" w:themeColor="text1"/>
          <w:sz w:val="26"/>
          <w:szCs w:val="26"/>
        </w:rPr>
      </w:pPr>
    </w:p>
    <w:p w14:paraId="27C09712" w14:textId="263D3CAB" w:rsidR="009C721A" w:rsidRDefault="009C721A" w:rsidP="00D37381">
      <w:pPr>
        <w:ind w:firstLine="720"/>
        <w:rPr>
          <w:sz w:val="26"/>
          <w:szCs w:val="26"/>
        </w:rPr>
      </w:pPr>
      <w:r>
        <w:rPr>
          <w:sz w:val="26"/>
          <w:szCs w:val="26"/>
        </w:rPr>
        <w:t>The Joint Applicants verify that they are in compliance with all applicable broadband deployment commitments under federal and Pennsylvania law.</w:t>
      </w:r>
      <w:r>
        <w:rPr>
          <w:rStyle w:val="FootnoteReference"/>
          <w:sz w:val="26"/>
          <w:szCs w:val="26"/>
        </w:rPr>
        <w:footnoteReference w:id="30"/>
      </w:r>
    </w:p>
    <w:p w14:paraId="4A2FC8F5" w14:textId="77777777" w:rsidR="009C721A" w:rsidRDefault="009C721A" w:rsidP="00D37381">
      <w:pPr>
        <w:ind w:firstLine="720"/>
        <w:rPr>
          <w:sz w:val="26"/>
          <w:szCs w:val="26"/>
        </w:rPr>
      </w:pPr>
    </w:p>
    <w:p w14:paraId="25B5F539" w14:textId="33BCCE34" w:rsidR="00D37381" w:rsidRDefault="00D37381" w:rsidP="00D37381">
      <w:pPr>
        <w:ind w:firstLine="720"/>
        <w:rPr>
          <w:sz w:val="26"/>
          <w:szCs w:val="26"/>
        </w:rPr>
      </w:pPr>
      <w:r w:rsidRPr="00D37381">
        <w:rPr>
          <w:sz w:val="26"/>
          <w:szCs w:val="26"/>
        </w:rPr>
        <w:t xml:space="preserve">The </w:t>
      </w:r>
      <w:r w:rsidR="00B13454">
        <w:rPr>
          <w:sz w:val="26"/>
          <w:szCs w:val="26"/>
        </w:rPr>
        <w:t xml:space="preserve">Joint </w:t>
      </w:r>
      <w:r w:rsidRPr="00D37381">
        <w:rPr>
          <w:sz w:val="26"/>
          <w:szCs w:val="26"/>
        </w:rPr>
        <w:t>Applicant</w:t>
      </w:r>
      <w:r w:rsidR="00B13454">
        <w:rPr>
          <w:sz w:val="26"/>
          <w:szCs w:val="26"/>
        </w:rPr>
        <w:t>s</w:t>
      </w:r>
      <w:r w:rsidRPr="00D37381">
        <w:rPr>
          <w:sz w:val="26"/>
          <w:szCs w:val="26"/>
        </w:rPr>
        <w:t xml:space="preserve"> </w:t>
      </w:r>
      <w:r w:rsidR="001348CB">
        <w:rPr>
          <w:sz w:val="26"/>
          <w:szCs w:val="26"/>
        </w:rPr>
        <w:t>verif</w:t>
      </w:r>
      <w:r w:rsidR="00B13454">
        <w:rPr>
          <w:sz w:val="26"/>
          <w:szCs w:val="26"/>
        </w:rPr>
        <w:t xml:space="preserve">y </w:t>
      </w:r>
      <w:r w:rsidRPr="00D37381">
        <w:rPr>
          <w:sz w:val="26"/>
          <w:szCs w:val="26"/>
        </w:rPr>
        <w:t>that</w:t>
      </w:r>
      <w:r w:rsidR="000D1DAC">
        <w:rPr>
          <w:sz w:val="26"/>
          <w:szCs w:val="26"/>
        </w:rPr>
        <w:t xml:space="preserve"> </w:t>
      </w:r>
      <w:r w:rsidR="00FE3056">
        <w:rPr>
          <w:sz w:val="26"/>
          <w:szCs w:val="26"/>
        </w:rPr>
        <w:t>they do</w:t>
      </w:r>
      <w:r w:rsidR="007451E1">
        <w:rPr>
          <w:sz w:val="26"/>
          <w:szCs w:val="26"/>
        </w:rPr>
        <w:t xml:space="preserve"> </w:t>
      </w:r>
      <w:r w:rsidRPr="00D37381">
        <w:rPr>
          <w:sz w:val="26"/>
          <w:szCs w:val="26"/>
        </w:rPr>
        <w:t xml:space="preserve">have eligible telecommunications carrier </w:t>
      </w:r>
      <w:r w:rsidR="00BF4E29">
        <w:rPr>
          <w:sz w:val="26"/>
          <w:szCs w:val="26"/>
        </w:rPr>
        <w:t xml:space="preserve">(ETC) </w:t>
      </w:r>
      <w:r w:rsidRPr="00D37381">
        <w:rPr>
          <w:sz w:val="26"/>
          <w:szCs w:val="26"/>
        </w:rPr>
        <w:t xml:space="preserve">status under </w:t>
      </w:r>
      <w:r w:rsidR="001A3317" w:rsidRPr="001A3317">
        <w:rPr>
          <w:sz w:val="26"/>
          <w:szCs w:val="26"/>
        </w:rPr>
        <w:t>f</w:t>
      </w:r>
      <w:r w:rsidRPr="00D37381">
        <w:rPr>
          <w:sz w:val="26"/>
          <w:szCs w:val="26"/>
        </w:rPr>
        <w:t xml:space="preserve">ederal or </w:t>
      </w:r>
      <w:r w:rsidR="001A3317" w:rsidRPr="001A3317">
        <w:rPr>
          <w:sz w:val="26"/>
          <w:szCs w:val="26"/>
        </w:rPr>
        <w:t>s</w:t>
      </w:r>
      <w:r w:rsidRPr="00D37381">
        <w:rPr>
          <w:sz w:val="26"/>
          <w:szCs w:val="26"/>
        </w:rPr>
        <w:t xml:space="preserve">tate law, </w:t>
      </w:r>
      <w:r w:rsidR="009C721A">
        <w:rPr>
          <w:sz w:val="26"/>
          <w:szCs w:val="26"/>
        </w:rPr>
        <w:t xml:space="preserve">and to the extent required, they are in compliance with all applicable </w:t>
      </w:r>
      <w:r w:rsidR="00403A29">
        <w:rPr>
          <w:sz w:val="26"/>
          <w:szCs w:val="26"/>
        </w:rPr>
        <w:t>ETC</w:t>
      </w:r>
      <w:r w:rsidR="009C721A">
        <w:rPr>
          <w:sz w:val="26"/>
          <w:szCs w:val="26"/>
        </w:rPr>
        <w:t xml:space="preserve"> requirements under federal and Pennsylvania law, and will continue to be in compliance with those requirements after the Transaction.</w:t>
      </w:r>
      <w:r w:rsidR="00E5063F">
        <w:rPr>
          <w:rStyle w:val="FootnoteReference"/>
          <w:sz w:val="26"/>
          <w:szCs w:val="26"/>
        </w:rPr>
        <w:footnoteReference w:id="31"/>
      </w:r>
    </w:p>
    <w:p w14:paraId="00ECEBE9" w14:textId="1C2304B1" w:rsidR="00A60D35" w:rsidRDefault="00A60D35" w:rsidP="00D37381">
      <w:pPr>
        <w:ind w:firstLine="720"/>
        <w:rPr>
          <w:sz w:val="26"/>
          <w:szCs w:val="26"/>
        </w:rPr>
      </w:pPr>
    </w:p>
    <w:p w14:paraId="0677B2E0" w14:textId="72EA738F" w:rsidR="00A60D35" w:rsidRPr="00D37381" w:rsidRDefault="00A60D35" w:rsidP="00D37381">
      <w:pPr>
        <w:ind w:firstLine="720"/>
        <w:rPr>
          <w:sz w:val="26"/>
          <w:szCs w:val="26"/>
        </w:rPr>
      </w:pPr>
      <w:r>
        <w:rPr>
          <w:sz w:val="26"/>
          <w:szCs w:val="26"/>
        </w:rPr>
        <w:t>The Joint Applicants verify that the Transaction complies with any applicable prohibition against cross-subsidization imposed under federal and state law.</w:t>
      </w:r>
      <w:r w:rsidR="00642CD4">
        <w:rPr>
          <w:rStyle w:val="FootnoteReference"/>
          <w:sz w:val="26"/>
          <w:szCs w:val="26"/>
        </w:rPr>
        <w:footnoteReference w:id="32"/>
      </w:r>
      <w:r>
        <w:rPr>
          <w:sz w:val="26"/>
          <w:szCs w:val="26"/>
        </w:rPr>
        <w:t xml:space="preserve">  </w:t>
      </w:r>
    </w:p>
    <w:p w14:paraId="7C7EC0C3" w14:textId="54F3E2B2" w:rsidR="00D37381" w:rsidRPr="00285B4B" w:rsidRDefault="00552C2F" w:rsidP="000C191F">
      <w:pPr>
        <w:ind w:firstLine="720"/>
        <w:rPr>
          <w:color w:val="000000" w:themeColor="text1"/>
          <w:sz w:val="26"/>
          <w:szCs w:val="26"/>
        </w:rPr>
      </w:pPr>
      <w:r>
        <w:rPr>
          <w:color w:val="000000" w:themeColor="text1"/>
          <w:sz w:val="26"/>
          <w:szCs w:val="26"/>
        </w:rPr>
        <w:t xml:space="preserve"> </w:t>
      </w:r>
    </w:p>
    <w:p w14:paraId="161A8EDA" w14:textId="72187A02" w:rsidR="00285B4B" w:rsidRPr="00C90588" w:rsidRDefault="00863658" w:rsidP="000C191F">
      <w:pPr>
        <w:ind w:firstLine="720"/>
        <w:rPr>
          <w:color w:val="000000" w:themeColor="text1"/>
          <w:sz w:val="26"/>
          <w:szCs w:val="26"/>
        </w:rPr>
      </w:pPr>
      <w:r w:rsidRPr="00C90588">
        <w:rPr>
          <w:color w:val="000000" w:themeColor="text1"/>
          <w:sz w:val="26"/>
          <w:szCs w:val="26"/>
        </w:rPr>
        <w:t xml:space="preserve">The </w:t>
      </w:r>
      <w:r w:rsidR="000C2672" w:rsidRPr="00C90588">
        <w:rPr>
          <w:color w:val="000000" w:themeColor="text1"/>
          <w:sz w:val="26"/>
          <w:szCs w:val="26"/>
        </w:rPr>
        <w:t xml:space="preserve">Joint </w:t>
      </w:r>
      <w:r w:rsidRPr="00C90588">
        <w:rPr>
          <w:color w:val="000000" w:themeColor="text1"/>
          <w:sz w:val="26"/>
          <w:szCs w:val="26"/>
        </w:rPr>
        <w:t>Applicant</w:t>
      </w:r>
      <w:r w:rsidR="000C2672" w:rsidRPr="00C90588">
        <w:rPr>
          <w:color w:val="000000" w:themeColor="text1"/>
          <w:sz w:val="26"/>
          <w:szCs w:val="26"/>
        </w:rPr>
        <w:t>s</w:t>
      </w:r>
      <w:r w:rsidRPr="00C90588">
        <w:rPr>
          <w:color w:val="000000" w:themeColor="text1"/>
          <w:sz w:val="26"/>
          <w:szCs w:val="26"/>
        </w:rPr>
        <w:t xml:space="preserve"> </w:t>
      </w:r>
      <w:r w:rsidR="00EE705A" w:rsidRPr="00C90588">
        <w:rPr>
          <w:color w:val="000000" w:themeColor="text1"/>
          <w:sz w:val="26"/>
          <w:szCs w:val="26"/>
        </w:rPr>
        <w:t xml:space="preserve">aver </w:t>
      </w:r>
      <w:r w:rsidRPr="00C90588">
        <w:rPr>
          <w:color w:val="000000" w:themeColor="text1"/>
          <w:sz w:val="26"/>
          <w:szCs w:val="26"/>
        </w:rPr>
        <w:t>that</w:t>
      </w:r>
      <w:r w:rsidR="007844AD" w:rsidRPr="00C90588">
        <w:rPr>
          <w:color w:val="000000" w:themeColor="text1"/>
          <w:sz w:val="26"/>
          <w:szCs w:val="26"/>
        </w:rPr>
        <w:t xml:space="preserve"> the Transaction will </w:t>
      </w:r>
      <w:r w:rsidR="00552C2F" w:rsidRPr="00C90588">
        <w:rPr>
          <w:color w:val="000000" w:themeColor="text1"/>
          <w:sz w:val="26"/>
          <w:szCs w:val="26"/>
        </w:rPr>
        <w:t xml:space="preserve">facilitate the emergence of Windstream, including the Windstream </w:t>
      </w:r>
      <w:r w:rsidR="007E4EFB">
        <w:rPr>
          <w:color w:val="000000" w:themeColor="text1"/>
          <w:sz w:val="26"/>
          <w:szCs w:val="26"/>
        </w:rPr>
        <w:t xml:space="preserve">PA </w:t>
      </w:r>
      <w:r w:rsidR="00552C2F" w:rsidRPr="00C90588">
        <w:rPr>
          <w:color w:val="000000" w:themeColor="text1"/>
          <w:sz w:val="26"/>
          <w:szCs w:val="26"/>
        </w:rPr>
        <w:t xml:space="preserve">Utilities, from bankruptcy </w:t>
      </w:r>
      <w:r w:rsidR="00584E48" w:rsidRPr="00C90588">
        <w:rPr>
          <w:color w:val="000000" w:themeColor="text1"/>
          <w:sz w:val="26"/>
          <w:szCs w:val="26"/>
        </w:rPr>
        <w:t xml:space="preserve">a financially stronger competitor </w:t>
      </w:r>
      <w:r w:rsidR="00552C2F" w:rsidRPr="00C90588">
        <w:rPr>
          <w:color w:val="000000" w:themeColor="text1"/>
          <w:sz w:val="26"/>
          <w:szCs w:val="26"/>
        </w:rPr>
        <w:t>with substantially less debt enabling them to continue delivery of their portfolio of communication solutions to customers in Pennsylvania and across the United States.  The Windstream PA Utilities’ customers will continue to have the same service providers</w:t>
      </w:r>
      <w:r w:rsidR="005767C5">
        <w:rPr>
          <w:color w:val="000000" w:themeColor="text1"/>
          <w:sz w:val="26"/>
          <w:szCs w:val="26"/>
        </w:rPr>
        <w:t xml:space="preserve"> </w:t>
      </w:r>
      <w:r w:rsidR="00552C2F" w:rsidRPr="00C90588">
        <w:rPr>
          <w:color w:val="000000" w:themeColor="text1"/>
          <w:sz w:val="26"/>
          <w:szCs w:val="26"/>
        </w:rPr>
        <w:t>and will continue to receive substantially the same services and the same rate, terms and conditions of service</w:t>
      </w:r>
      <w:r w:rsidR="007844AD" w:rsidRPr="00C90588">
        <w:rPr>
          <w:color w:val="000000" w:themeColor="text1"/>
          <w:sz w:val="26"/>
          <w:szCs w:val="26"/>
        </w:rPr>
        <w:t>.</w:t>
      </w:r>
      <w:r w:rsidR="00552C2F" w:rsidRPr="00C90588">
        <w:rPr>
          <w:color w:val="000000" w:themeColor="text1"/>
          <w:sz w:val="26"/>
          <w:szCs w:val="26"/>
        </w:rPr>
        <w:t xml:space="preserve">  With less debt,</w:t>
      </w:r>
      <w:r w:rsidR="00F05476">
        <w:rPr>
          <w:rStyle w:val="FootnoteReference"/>
          <w:color w:val="000000" w:themeColor="text1"/>
          <w:sz w:val="26"/>
          <w:szCs w:val="26"/>
        </w:rPr>
        <w:footnoteReference w:id="33"/>
      </w:r>
      <w:r w:rsidR="00552C2F" w:rsidRPr="00C90588">
        <w:rPr>
          <w:color w:val="000000" w:themeColor="text1"/>
          <w:sz w:val="26"/>
          <w:szCs w:val="26"/>
        </w:rPr>
        <w:t xml:space="preserve"> and access to an improved network and better access to capital</w:t>
      </w:r>
      <w:r w:rsidR="00C90588" w:rsidRPr="00C90588">
        <w:rPr>
          <w:color w:val="000000" w:themeColor="text1"/>
          <w:sz w:val="26"/>
          <w:szCs w:val="26"/>
        </w:rPr>
        <w:t>,</w:t>
      </w:r>
      <w:r w:rsidR="00552C2F" w:rsidRPr="00C90588">
        <w:rPr>
          <w:color w:val="000000" w:themeColor="text1"/>
          <w:sz w:val="26"/>
          <w:szCs w:val="26"/>
        </w:rPr>
        <w:t xml:space="preserve"> the Joint Applicants will be positioned as a stronger </w:t>
      </w:r>
      <w:r w:rsidR="00552C2F" w:rsidRPr="00C90588">
        <w:rPr>
          <w:color w:val="000000" w:themeColor="text1"/>
          <w:sz w:val="26"/>
          <w:szCs w:val="26"/>
        </w:rPr>
        <w:lastRenderedPageBreak/>
        <w:t xml:space="preserve">competitor for both the residential and small and medium business markets inside </w:t>
      </w:r>
      <w:r w:rsidR="00F17CD9">
        <w:rPr>
          <w:color w:val="000000" w:themeColor="text1"/>
          <w:sz w:val="26"/>
          <w:szCs w:val="26"/>
        </w:rPr>
        <w:t>their</w:t>
      </w:r>
      <w:r w:rsidR="001B2BCC">
        <w:rPr>
          <w:color w:val="000000" w:themeColor="text1"/>
          <w:sz w:val="26"/>
          <w:szCs w:val="26"/>
        </w:rPr>
        <w:t xml:space="preserve"> collective</w:t>
      </w:r>
      <w:r w:rsidR="00F17CD9" w:rsidRPr="00C90588">
        <w:rPr>
          <w:color w:val="000000" w:themeColor="text1"/>
          <w:sz w:val="26"/>
          <w:szCs w:val="26"/>
        </w:rPr>
        <w:t xml:space="preserve"> </w:t>
      </w:r>
      <w:r w:rsidR="00552C2F" w:rsidRPr="00C90588">
        <w:rPr>
          <w:color w:val="000000" w:themeColor="text1"/>
          <w:sz w:val="26"/>
          <w:szCs w:val="26"/>
        </w:rPr>
        <w:t>ILEC footprint and for the enterprise market outside of it.</w:t>
      </w:r>
      <w:r w:rsidR="00D4668B" w:rsidRPr="00C90588">
        <w:rPr>
          <w:rStyle w:val="FootnoteReference"/>
          <w:color w:val="000000" w:themeColor="text1"/>
          <w:sz w:val="26"/>
          <w:szCs w:val="26"/>
        </w:rPr>
        <w:footnoteReference w:id="34"/>
      </w:r>
      <w:r w:rsidRPr="00C90588">
        <w:rPr>
          <w:color w:val="000000" w:themeColor="text1"/>
          <w:sz w:val="26"/>
          <w:szCs w:val="26"/>
        </w:rPr>
        <w:t xml:space="preserve">  </w:t>
      </w:r>
    </w:p>
    <w:p w14:paraId="3F2866EE" w14:textId="0C01833E" w:rsidR="00EE705A" w:rsidRPr="00C90588" w:rsidRDefault="00EE705A" w:rsidP="000C191F">
      <w:pPr>
        <w:ind w:firstLine="720"/>
        <w:rPr>
          <w:color w:val="000000" w:themeColor="text1"/>
          <w:sz w:val="26"/>
          <w:szCs w:val="26"/>
        </w:rPr>
      </w:pPr>
    </w:p>
    <w:p w14:paraId="31149FA4" w14:textId="1C32456C" w:rsidR="00EE705A" w:rsidRPr="00E14F68" w:rsidRDefault="00EE705A" w:rsidP="000C191F">
      <w:pPr>
        <w:ind w:firstLine="720"/>
        <w:rPr>
          <w:color w:val="000000" w:themeColor="text1"/>
          <w:sz w:val="26"/>
          <w:szCs w:val="26"/>
        </w:rPr>
      </w:pPr>
      <w:r w:rsidRPr="00E14F68">
        <w:rPr>
          <w:color w:val="000000" w:themeColor="text1"/>
          <w:sz w:val="26"/>
          <w:szCs w:val="26"/>
        </w:rPr>
        <w:t xml:space="preserve">The </w:t>
      </w:r>
      <w:r w:rsidR="007844AD" w:rsidRPr="00E14F68">
        <w:rPr>
          <w:color w:val="000000" w:themeColor="text1"/>
          <w:sz w:val="26"/>
          <w:szCs w:val="26"/>
        </w:rPr>
        <w:t xml:space="preserve">Joint </w:t>
      </w:r>
      <w:r w:rsidRPr="00E14F68">
        <w:rPr>
          <w:color w:val="000000" w:themeColor="text1"/>
          <w:sz w:val="26"/>
          <w:szCs w:val="26"/>
        </w:rPr>
        <w:t>Applicant</w:t>
      </w:r>
      <w:r w:rsidR="007844AD" w:rsidRPr="00E14F68">
        <w:rPr>
          <w:color w:val="000000" w:themeColor="text1"/>
          <w:sz w:val="26"/>
          <w:szCs w:val="26"/>
        </w:rPr>
        <w:t>s</w:t>
      </w:r>
      <w:r w:rsidRPr="00E14F68">
        <w:rPr>
          <w:color w:val="000000" w:themeColor="text1"/>
          <w:sz w:val="26"/>
          <w:szCs w:val="26"/>
        </w:rPr>
        <w:t xml:space="preserve"> aver that the </w:t>
      </w:r>
      <w:r w:rsidR="00823C9F" w:rsidRPr="00E14F68">
        <w:rPr>
          <w:color w:val="000000" w:themeColor="text1"/>
          <w:sz w:val="26"/>
          <w:szCs w:val="26"/>
        </w:rPr>
        <w:t xml:space="preserve">Transaction </w:t>
      </w:r>
      <w:r w:rsidRPr="00E14F68">
        <w:rPr>
          <w:color w:val="000000" w:themeColor="text1"/>
          <w:sz w:val="26"/>
          <w:szCs w:val="26"/>
        </w:rPr>
        <w:t xml:space="preserve">is not expected to result in loss or potential loss of Pennsylvania jobs, tax revenues, facilities, </w:t>
      </w:r>
      <w:r w:rsidR="007844AD" w:rsidRPr="00E14F68">
        <w:rPr>
          <w:color w:val="000000" w:themeColor="text1"/>
          <w:sz w:val="26"/>
          <w:szCs w:val="26"/>
        </w:rPr>
        <w:t>downsizing or consolidation that affects Pennsylvania, or result in any other negative effect in Pennsylvania.</w:t>
      </w:r>
      <w:r w:rsidRPr="00E14F68">
        <w:rPr>
          <w:rStyle w:val="FootnoteReference"/>
          <w:color w:val="000000" w:themeColor="text1"/>
          <w:sz w:val="26"/>
          <w:szCs w:val="26"/>
        </w:rPr>
        <w:footnoteReference w:id="35"/>
      </w:r>
    </w:p>
    <w:p w14:paraId="5BDFE894" w14:textId="37EA6AF4" w:rsidR="00D4773C" w:rsidRPr="00E14F68" w:rsidRDefault="00D4773C" w:rsidP="000C191F">
      <w:pPr>
        <w:ind w:firstLine="720"/>
        <w:rPr>
          <w:color w:val="000000" w:themeColor="text1"/>
          <w:sz w:val="26"/>
          <w:szCs w:val="26"/>
        </w:rPr>
      </w:pPr>
    </w:p>
    <w:p w14:paraId="3715EFC7" w14:textId="0DE087AB" w:rsidR="00D4773C" w:rsidRDefault="00D4773C" w:rsidP="000C191F">
      <w:pPr>
        <w:ind w:firstLine="720"/>
        <w:rPr>
          <w:color w:val="000000" w:themeColor="text1"/>
          <w:sz w:val="26"/>
          <w:szCs w:val="26"/>
        </w:rPr>
      </w:pPr>
      <w:r w:rsidRPr="00E14F68">
        <w:rPr>
          <w:color w:val="000000" w:themeColor="text1"/>
          <w:sz w:val="26"/>
          <w:szCs w:val="26"/>
        </w:rPr>
        <w:t>The Joint Applicants aver that they do not anticipate that any functions, o</w:t>
      </w:r>
      <w:r w:rsidR="003105FF" w:rsidRPr="00E14F68">
        <w:rPr>
          <w:color w:val="000000" w:themeColor="text1"/>
          <w:sz w:val="26"/>
          <w:szCs w:val="26"/>
        </w:rPr>
        <w:t>perations</w:t>
      </w:r>
      <w:r w:rsidRPr="00E14F68">
        <w:rPr>
          <w:color w:val="000000" w:themeColor="text1"/>
          <w:sz w:val="26"/>
          <w:szCs w:val="26"/>
        </w:rPr>
        <w:t xml:space="preserve"> or activity of any nature currently performed in or affectin</w:t>
      </w:r>
      <w:r w:rsidR="003105FF" w:rsidRPr="00E14F68">
        <w:rPr>
          <w:color w:val="000000" w:themeColor="text1"/>
          <w:sz w:val="26"/>
          <w:szCs w:val="26"/>
        </w:rPr>
        <w:t>g</w:t>
      </w:r>
      <w:r w:rsidRPr="00E14F68">
        <w:rPr>
          <w:color w:val="000000" w:themeColor="text1"/>
          <w:sz w:val="26"/>
          <w:szCs w:val="26"/>
        </w:rPr>
        <w:t xml:space="preserve"> Pennsylvania will be impacted by the Transaction.  </w:t>
      </w:r>
      <w:r w:rsidR="003105FF" w:rsidRPr="00E14F68">
        <w:rPr>
          <w:color w:val="000000" w:themeColor="text1"/>
          <w:sz w:val="26"/>
          <w:szCs w:val="26"/>
        </w:rPr>
        <w:t>The Joint Applicants additionally aver that they do not anticipate that any operations in Pennsylvania will be eliminated or that there will be any impact on Pennsylvania employment.</w:t>
      </w:r>
      <w:r w:rsidR="003105FF" w:rsidRPr="00E14F68">
        <w:rPr>
          <w:rStyle w:val="FootnoteReference"/>
          <w:color w:val="000000" w:themeColor="text1"/>
          <w:sz w:val="26"/>
          <w:szCs w:val="26"/>
        </w:rPr>
        <w:footnoteReference w:id="36"/>
      </w:r>
      <w:r w:rsidR="003105FF">
        <w:rPr>
          <w:color w:val="000000" w:themeColor="text1"/>
          <w:sz w:val="26"/>
          <w:szCs w:val="26"/>
        </w:rPr>
        <w:t xml:space="preserve">  </w:t>
      </w:r>
    </w:p>
    <w:p w14:paraId="79C15D3F" w14:textId="0A232796" w:rsidR="00E14F68" w:rsidRDefault="00E14F68" w:rsidP="000C191F">
      <w:pPr>
        <w:ind w:firstLine="720"/>
        <w:rPr>
          <w:color w:val="000000" w:themeColor="text1"/>
          <w:sz w:val="26"/>
          <w:szCs w:val="26"/>
        </w:rPr>
      </w:pPr>
    </w:p>
    <w:p w14:paraId="01B255FA" w14:textId="3A7A91D6" w:rsidR="00E14F68" w:rsidRDefault="00E14F68" w:rsidP="000C191F">
      <w:pPr>
        <w:ind w:firstLine="720"/>
        <w:rPr>
          <w:color w:val="000000" w:themeColor="text1"/>
          <w:sz w:val="26"/>
          <w:szCs w:val="26"/>
        </w:rPr>
      </w:pPr>
      <w:r>
        <w:rPr>
          <w:color w:val="000000" w:themeColor="text1"/>
          <w:sz w:val="26"/>
          <w:szCs w:val="26"/>
        </w:rPr>
        <w:t>The Joint Applicants aver that the Windstream PA Utilities participate in the following service markets under the jurisdiction of the Commission:  Local exchange intrastate long distance, broadband, switched access</w:t>
      </w:r>
      <w:r w:rsidR="004625AD">
        <w:rPr>
          <w:color w:val="000000" w:themeColor="text1"/>
          <w:sz w:val="26"/>
          <w:szCs w:val="26"/>
        </w:rPr>
        <w:t>,</w:t>
      </w:r>
      <w:r>
        <w:rPr>
          <w:color w:val="000000" w:themeColor="text1"/>
          <w:sz w:val="26"/>
          <w:szCs w:val="26"/>
        </w:rPr>
        <w:t xml:space="preserve"> and special access.</w:t>
      </w:r>
      <w:r>
        <w:rPr>
          <w:rStyle w:val="FootnoteReference"/>
          <w:color w:val="000000" w:themeColor="text1"/>
          <w:sz w:val="26"/>
          <w:szCs w:val="26"/>
        </w:rPr>
        <w:footnoteReference w:id="37"/>
      </w:r>
      <w:r w:rsidR="00E57BD9">
        <w:rPr>
          <w:color w:val="000000" w:themeColor="text1"/>
          <w:sz w:val="26"/>
          <w:szCs w:val="26"/>
        </w:rPr>
        <w:t xml:space="preserve">  </w:t>
      </w:r>
    </w:p>
    <w:p w14:paraId="58347F35" w14:textId="710101CC" w:rsidR="00E57BD9" w:rsidRDefault="00E57BD9" w:rsidP="000C191F">
      <w:pPr>
        <w:ind w:firstLine="720"/>
        <w:rPr>
          <w:color w:val="000000" w:themeColor="text1"/>
          <w:sz w:val="26"/>
          <w:szCs w:val="26"/>
        </w:rPr>
      </w:pPr>
    </w:p>
    <w:p w14:paraId="4EAEDE61" w14:textId="475DFD7C" w:rsidR="00E57BD9" w:rsidRDefault="00E57BD9" w:rsidP="000C191F">
      <w:pPr>
        <w:ind w:firstLine="720"/>
        <w:rPr>
          <w:color w:val="000000" w:themeColor="text1"/>
          <w:sz w:val="26"/>
          <w:szCs w:val="26"/>
        </w:rPr>
      </w:pPr>
      <w:r>
        <w:rPr>
          <w:color w:val="000000" w:themeColor="text1"/>
          <w:sz w:val="26"/>
          <w:szCs w:val="26"/>
        </w:rPr>
        <w:t>The Windstream PA Utilities offer services in all counties of the Commonwealth of Pennsylvania.</w:t>
      </w:r>
      <w:r>
        <w:rPr>
          <w:rStyle w:val="FootnoteReference"/>
          <w:color w:val="000000" w:themeColor="text1"/>
          <w:sz w:val="26"/>
          <w:szCs w:val="26"/>
        </w:rPr>
        <w:footnoteReference w:id="38"/>
      </w:r>
    </w:p>
    <w:p w14:paraId="7BD25EED" w14:textId="77777777" w:rsidR="00517C3B" w:rsidRPr="007844AD" w:rsidRDefault="00517C3B" w:rsidP="000C191F">
      <w:pPr>
        <w:ind w:firstLine="720"/>
        <w:rPr>
          <w:color w:val="000000" w:themeColor="text1"/>
          <w:sz w:val="26"/>
          <w:szCs w:val="26"/>
        </w:rPr>
      </w:pPr>
    </w:p>
    <w:p w14:paraId="33896EE8" w14:textId="27D462D2" w:rsidR="001E4435" w:rsidRDefault="001E4435" w:rsidP="000C191F">
      <w:pPr>
        <w:ind w:firstLine="720"/>
        <w:rPr>
          <w:color w:val="000000" w:themeColor="text1"/>
          <w:sz w:val="26"/>
          <w:szCs w:val="26"/>
        </w:rPr>
      </w:pPr>
      <w:r w:rsidRPr="00F415FA">
        <w:rPr>
          <w:color w:val="000000" w:themeColor="text1"/>
          <w:sz w:val="26"/>
          <w:szCs w:val="26"/>
        </w:rPr>
        <w:t xml:space="preserve">The Joint Applicants aver that their </w:t>
      </w:r>
      <w:r w:rsidR="00F415FA" w:rsidRPr="00F415FA">
        <w:rPr>
          <w:color w:val="000000" w:themeColor="text1"/>
          <w:sz w:val="26"/>
          <w:szCs w:val="26"/>
        </w:rPr>
        <w:t xml:space="preserve">ILEC Windstream PA Utilities compete with cable companies including Comcast, Armstrong, Atlantic Broadband, Charter, Blue Ridge Communications, Service Electric Cable and several others.  In the CLEC markets, the Joint Applicants compete with the ILECs including Verizon, </w:t>
      </w:r>
      <w:r w:rsidR="004665BD" w:rsidRPr="00F415FA">
        <w:rPr>
          <w:color w:val="000000" w:themeColor="text1"/>
          <w:sz w:val="26"/>
          <w:szCs w:val="26"/>
        </w:rPr>
        <w:t>CenturyLink</w:t>
      </w:r>
      <w:r w:rsidR="00F415FA" w:rsidRPr="00F415FA">
        <w:rPr>
          <w:color w:val="000000" w:themeColor="text1"/>
          <w:sz w:val="26"/>
          <w:szCs w:val="26"/>
        </w:rPr>
        <w:t xml:space="preserve">, Frontier, and </w:t>
      </w:r>
      <w:r w:rsidR="004665BD" w:rsidRPr="00F415FA">
        <w:rPr>
          <w:color w:val="000000" w:themeColor="text1"/>
          <w:sz w:val="26"/>
          <w:szCs w:val="26"/>
        </w:rPr>
        <w:t>FairPoint</w:t>
      </w:r>
      <w:r w:rsidR="00F415FA" w:rsidRPr="00F415FA">
        <w:rPr>
          <w:color w:val="000000" w:themeColor="text1"/>
          <w:sz w:val="26"/>
          <w:szCs w:val="26"/>
        </w:rPr>
        <w:t>.</w:t>
      </w:r>
      <w:r w:rsidR="00AA2AF8" w:rsidRPr="00F415FA">
        <w:rPr>
          <w:rStyle w:val="FootnoteReference"/>
          <w:color w:val="000000" w:themeColor="text1"/>
          <w:sz w:val="26"/>
          <w:szCs w:val="26"/>
        </w:rPr>
        <w:footnoteReference w:id="39"/>
      </w:r>
      <w:r w:rsidR="00B425AA">
        <w:rPr>
          <w:color w:val="000000" w:themeColor="text1"/>
          <w:sz w:val="26"/>
          <w:szCs w:val="26"/>
        </w:rPr>
        <w:t xml:space="preserve">  </w:t>
      </w:r>
    </w:p>
    <w:p w14:paraId="38B311CB" w14:textId="1EA2E0E1" w:rsidR="00BC7F20" w:rsidRDefault="00BC7F20" w:rsidP="000C191F">
      <w:pPr>
        <w:ind w:firstLine="720"/>
        <w:rPr>
          <w:color w:val="000000" w:themeColor="text1"/>
          <w:sz w:val="26"/>
          <w:szCs w:val="26"/>
        </w:rPr>
      </w:pPr>
    </w:p>
    <w:p w14:paraId="1F002CD8" w14:textId="4D8829A3" w:rsidR="00642CD4" w:rsidRDefault="00335CE1" w:rsidP="00335CE1">
      <w:pPr>
        <w:ind w:firstLine="720"/>
        <w:rPr>
          <w:color w:val="000000" w:themeColor="text1"/>
          <w:sz w:val="26"/>
          <w:szCs w:val="26"/>
        </w:rPr>
      </w:pPr>
      <w:r>
        <w:rPr>
          <w:color w:val="000000" w:themeColor="text1"/>
          <w:sz w:val="26"/>
          <w:szCs w:val="26"/>
        </w:rPr>
        <w:t>The Joint Applicants aver</w:t>
      </w:r>
      <w:r w:rsidR="00642CD4">
        <w:rPr>
          <w:color w:val="000000" w:themeColor="text1"/>
          <w:sz w:val="26"/>
          <w:szCs w:val="26"/>
        </w:rPr>
        <w:t xml:space="preserve"> that they are in compliance with all Commission-imposed obligations under the Public Utility Code and the Commission’s regulations.</w:t>
      </w:r>
      <w:r w:rsidR="00642CD4">
        <w:rPr>
          <w:rStyle w:val="FootnoteReference"/>
          <w:color w:val="000000" w:themeColor="text1"/>
          <w:sz w:val="26"/>
          <w:szCs w:val="26"/>
        </w:rPr>
        <w:footnoteReference w:id="40"/>
      </w:r>
      <w:r w:rsidR="00642CD4">
        <w:rPr>
          <w:color w:val="000000" w:themeColor="text1"/>
          <w:sz w:val="26"/>
          <w:szCs w:val="26"/>
        </w:rPr>
        <w:t xml:space="preserve">  </w:t>
      </w:r>
    </w:p>
    <w:p w14:paraId="78895981" w14:textId="77777777" w:rsidR="00642CD4" w:rsidRDefault="00642CD4" w:rsidP="00335CE1">
      <w:pPr>
        <w:ind w:firstLine="720"/>
        <w:rPr>
          <w:color w:val="000000" w:themeColor="text1"/>
          <w:sz w:val="26"/>
          <w:szCs w:val="26"/>
        </w:rPr>
      </w:pPr>
    </w:p>
    <w:p w14:paraId="5C22D0B1" w14:textId="0164DBF8" w:rsidR="001E4435" w:rsidRDefault="001E4435" w:rsidP="001E4435">
      <w:pPr>
        <w:ind w:firstLine="720"/>
        <w:rPr>
          <w:sz w:val="26"/>
          <w:szCs w:val="26"/>
        </w:rPr>
      </w:pPr>
      <w:r w:rsidRPr="00AA2AF8">
        <w:rPr>
          <w:sz w:val="26"/>
          <w:szCs w:val="26"/>
        </w:rPr>
        <w:t xml:space="preserve">The Commission has determined that </w:t>
      </w:r>
      <w:r w:rsidR="00AA2AF8" w:rsidRPr="00AA2AF8">
        <w:rPr>
          <w:sz w:val="26"/>
          <w:szCs w:val="26"/>
        </w:rPr>
        <w:t xml:space="preserve">the Joint Applicants are </w:t>
      </w:r>
      <w:r w:rsidRPr="00AA2AF8">
        <w:rPr>
          <w:sz w:val="26"/>
          <w:szCs w:val="26"/>
        </w:rPr>
        <w:t xml:space="preserve">current with </w:t>
      </w:r>
      <w:r w:rsidR="00AA2AF8" w:rsidRPr="00AA2AF8">
        <w:rPr>
          <w:sz w:val="26"/>
          <w:szCs w:val="26"/>
        </w:rPr>
        <w:t xml:space="preserve">the filing of their annual </w:t>
      </w:r>
      <w:r w:rsidR="00642CD4">
        <w:rPr>
          <w:sz w:val="26"/>
          <w:szCs w:val="26"/>
        </w:rPr>
        <w:t xml:space="preserve">financial and annual </w:t>
      </w:r>
      <w:r w:rsidRPr="00AA2AF8">
        <w:rPr>
          <w:sz w:val="26"/>
          <w:szCs w:val="26"/>
        </w:rPr>
        <w:t>Security Planning and Readiness Self-Certification report</w:t>
      </w:r>
      <w:r w:rsidR="00642CD4">
        <w:rPr>
          <w:sz w:val="26"/>
          <w:szCs w:val="26"/>
        </w:rPr>
        <w:t>s</w:t>
      </w:r>
      <w:r w:rsidRPr="00AA2AF8">
        <w:rPr>
          <w:sz w:val="26"/>
          <w:szCs w:val="26"/>
        </w:rPr>
        <w:t xml:space="preserve">, </w:t>
      </w:r>
      <w:r w:rsidR="00AA2AF8" w:rsidRPr="00AA2AF8">
        <w:rPr>
          <w:sz w:val="26"/>
          <w:szCs w:val="26"/>
        </w:rPr>
        <w:t xml:space="preserve">and </w:t>
      </w:r>
      <w:r w:rsidRPr="00AA2AF8">
        <w:rPr>
          <w:sz w:val="26"/>
          <w:szCs w:val="26"/>
        </w:rPr>
        <w:t>no payments are owed to the Pennsylvania Universal Service Fund</w:t>
      </w:r>
      <w:r w:rsidR="00AA2AF8" w:rsidRPr="00AA2AF8">
        <w:rPr>
          <w:sz w:val="26"/>
          <w:szCs w:val="26"/>
        </w:rPr>
        <w:t>.</w:t>
      </w:r>
      <w:r w:rsidR="00283CE5">
        <w:rPr>
          <w:rStyle w:val="FootnoteReference"/>
          <w:sz w:val="26"/>
          <w:szCs w:val="26"/>
        </w:rPr>
        <w:footnoteReference w:id="41"/>
      </w:r>
      <w:r w:rsidR="00AA2AF8" w:rsidRPr="00AA2AF8">
        <w:rPr>
          <w:sz w:val="26"/>
          <w:szCs w:val="26"/>
        </w:rPr>
        <w:t xml:space="preserve">  </w:t>
      </w:r>
      <w:r w:rsidR="001F6A0F">
        <w:rPr>
          <w:sz w:val="26"/>
          <w:szCs w:val="26"/>
        </w:rPr>
        <w:t xml:space="preserve">However, the Commission is aware of Chapter 30 broadband compliance issues involving Windstream </w:t>
      </w:r>
      <w:r w:rsidR="00071F88">
        <w:rPr>
          <w:sz w:val="26"/>
          <w:szCs w:val="26"/>
        </w:rPr>
        <w:t>PA</w:t>
      </w:r>
      <w:r w:rsidR="002D5205">
        <w:rPr>
          <w:sz w:val="26"/>
          <w:szCs w:val="26"/>
        </w:rPr>
        <w:t xml:space="preserve"> and Windstream Conestoga.</w:t>
      </w:r>
    </w:p>
    <w:p w14:paraId="3C9C526C" w14:textId="37B08B29" w:rsidR="004625AD" w:rsidRDefault="001F6A0F" w:rsidP="00167298">
      <w:pPr>
        <w:ind w:firstLine="720"/>
        <w:rPr>
          <w:sz w:val="26"/>
          <w:szCs w:val="26"/>
        </w:rPr>
      </w:pPr>
      <w:r>
        <w:rPr>
          <w:sz w:val="26"/>
          <w:szCs w:val="26"/>
        </w:rPr>
        <w:lastRenderedPageBreak/>
        <w:t>T</w:t>
      </w:r>
      <w:r w:rsidR="004625AD">
        <w:rPr>
          <w:sz w:val="26"/>
          <w:szCs w:val="26"/>
        </w:rPr>
        <w:t xml:space="preserve">he Commission </w:t>
      </w:r>
      <w:r w:rsidR="00841B80">
        <w:rPr>
          <w:sz w:val="26"/>
          <w:szCs w:val="26"/>
        </w:rPr>
        <w:t xml:space="preserve">has received </w:t>
      </w:r>
      <w:r w:rsidR="00A802B0">
        <w:rPr>
          <w:sz w:val="26"/>
          <w:szCs w:val="26"/>
        </w:rPr>
        <w:t>complaints</w:t>
      </w:r>
      <w:r w:rsidR="00CE3E33">
        <w:rPr>
          <w:sz w:val="26"/>
          <w:szCs w:val="26"/>
        </w:rPr>
        <w:t xml:space="preserve"> involving </w:t>
      </w:r>
      <w:r w:rsidR="004625AD">
        <w:rPr>
          <w:sz w:val="26"/>
          <w:szCs w:val="26"/>
        </w:rPr>
        <w:t>Windstream PA</w:t>
      </w:r>
      <w:r w:rsidR="002D5205">
        <w:rPr>
          <w:sz w:val="26"/>
          <w:szCs w:val="26"/>
        </w:rPr>
        <w:t xml:space="preserve"> and Windstream Conestoga</w:t>
      </w:r>
      <w:r w:rsidR="00071F88">
        <w:rPr>
          <w:sz w:val="26"/>
          <w:szCs w:val="26"/>
        </w:rPr>
        <w:t>’s</w:t>
      </w:r>
      <w:r w:rsidR="004625AD">
        <w:rPr>
          <w:sz w:val="26"/>
          <w:szCs w:val="26"/>
        </w:rPr>
        <w:t xml:space="preserve"> </w:t>
      </w:r>
      <w:r w:rsidR="001808A3">
        <w:rPr>
          <w:sz w:val="26"/>
          <w:szCs w:val="26"/>
        </w:rPr>
        <w:t>compliance with</w:t>
      </w:r>
      <w:r w:rsidR="00180416">
        <w:rPr>
          <w:sz w:val="26"/>
          <w:szCs w:val="26"/>
        </w:rPr>
        <w:t xml:space="preserve"> statutory broadband requirements under</w:t>
      </w:r>
      <w:r w:rsidR="00841B80">
        <w:rPr>
          <w:sz w:val="26"/>
          <w:szCs w:val="26"/>
        </w:rPr>
        <w:t xml:space="preserve"> Sections 3014(b)(2)</w:t>
      </w:r>
      <w:r w:rsidR="00180416">
        <w:rPr>
          <w:sz w:val="26"/>
          <w:szCs w:val="26"/>
        </w:rPr>
        <w:t xml:space="preserve"> </w:t>
      </w:r>
      <w:r w:rsidR="00841B80">
        <w:rPr>
          <w:sz w:val="26"/>
          <w:szCs w:val="26"/>
        </w:rPr>
        <w:t xml:space="preserve">and 3014(b)(5) of </w:t>
      </w:r>
      <w:r w:rsidR="009727F3">
        <w:rPr>
          <w:sz w:val="26"/>
          <w:szCs w:val="26"/>
        </w:rPr>
        <w:t>Chapter 30 of the Public Utility Code</w:t>
      </w:r>
      <w:r w:rsidR="00B92A42">
        <w:rPr>
          <w:sz w:val="26"/>
          <w:szCs w:val="26"/>
        </w:rPr>
        <w:t xml:space="preserve">.  From </w:t>
      </w:r>
      <w:r w:rsidR="00071F88">
        <w:rPr>
          <w:sz w:val="26"/>
          <w:szCs w:val="26"/>
        </w:rPr>
        <w:t>May 2</w:t>
      </w:r>
      <w:r w:rsidR="00BF3DA5">
        <w:rPr>
          <w:sz w:val="26"/>
          <w:szCs w:val="26"/>
        </w:rPr>
        <w:t xml:space="preserve">, </w:t>
      </w:r>
      <w:r w:rsidR="00B92A42">
        <w:rPr>
          <w:sz w:val="26"/>
          <w:szCs w:val="26"/>
        </w:rPr>
        <w:t xml:space="preserve">2017 through </w:t>
      </w:r>
      <w:r w:rsidR="00071F88">
        <w:rPr>
          <w:sz w:val="26"/>
          <w:szCs w:val="26"/>
        </w:rPr>
        <w:t>August 3</w:t>
      </w:r>
      <w:r w:rsidR="00B92A42">
        <w:rPr>
          <w:sz w:val="26"/>
          <w:szCs w:val="26"/>
        </w:rPr>
        <w:t>1, 201</w:t>
      </w:r>
      <w:r w:rsidR="00071F88">
        <w:rPr>
          <w:sz w:val="26"/>
          <w:szCs w:val="26"/>
        </w:rPr>
        <w:t>8</w:t>
      </w:r>
      <w:r w:rsidR="00B92A42">
        <w:rPr>
          <w:sz w:val="26"/>
          <w:szCs w:val="26"/>
        </w:rPr>
        <w:t xml:space="preserve">, the Commission’s Bureau of Consumer </w:t>
      </w:r>
      <w:r w:rsidR="002D5205">
        <w:rPr>
          <w:sz w:val="26"/>
          <w:szCs w:val="26"/>
        </w:rPr>
        <w:t>P</w:t>
      </w:r>
      <w:r w:rsidR="00B92A42">
        <w:rPr>
          <w:sz w:val="26"/>
          <w:szCs w:val="26"/>
        </w:rPr>
        <w:t xml:space="preserve">rotection (BCS) received </w:t>
      </w:r>
      <w:r w:rsidR="00071F88">
        <w:rPr>
          <w:sz w:val="26"/>
          <w:szCs w:val="26"/>
        </w:rPr>
        <w:t xml:space="preserve">nine </w:t>
      </w:r>
      <w:r w:rsidR="00B92A42">
        <w:rPr>
          <w:sz w:val="26"/>
          <w:szCs w:val="26"/>
        </w:rPr>
        <w:t xml:space="preserve">informal complaints alleging Windstream </w:t>
      </w:r>
      <w:r w:rsidR="00071F88">
        <w:rPr>
          <w:sz w:val="26"/>
          <w:szCs w:val="26"/>
        </w:rPr>
        <w:t xml:space="preserve">PA </w:t>
      </w:r>
      <w:r w:rsidR="002D5205">
        <w:rPr>
          <w:sz w:val="26"/>
          <w:szCs w:val="26"/>
        </w:rPr>
        <w:t xml:space="preserve">and Windstream Conestoga </w:t>
      </w:r>
      <w:r w:rsidR="0061649C">
        <w:rPr>
          <w:sz w:val="26"/>
          <w:szCs w:val="26"/>
        </w:rPr>
        <w:t xml:space="preserve">failed </w:t>
      </w:r>
      <w:r w:rsidR="00B92A42">
        <w:rPr>
          <w:sz w:val="26"/>
          <w:szCs w:val="26"/>
        </w:rPr>
        <w:t>to provide broadband service</w:t>
      </w:r>
      <w:r w:rsidR="00841B80">
        <w:rPr>
          <w:sz w:val="26"/>
          <w:szCs w:val="26"/>
        </w:rPr>
        <w:t>, failed to provide broadband service in the time required, and failed to provide broadband at the speed required</w:t>
      </w:r>
      <w:r>
        <w:rPr>
          <w:sz w:val="26"/>
          <w:szCs w:val="26"/>
        </w:rPr>
        <w:t>.</w:t>
      </w:r>
      <w:r>
        <w:rPr>
          <w:rStyle w:val="FootnoteReference"/>
          <w:sz w:val="26"/>
          <w:szCs w:val="26"/>
        </w:rPr>
        <w:footnoteReference w:id="42"/>
      </w:r>
      <w:r w:rsidR="00B92A42">
        <w:rPr>
          <w:sz w:val="26"/>
          <w:szCs w:val="26"/>
        </w:rPr>
        <w:t xml:space="preserve"> </w:t>
      </w:r>
      <w:r w:rsidR="006E6D5A">
        <w:rPr>
          <w:sz w:val="26"/>
          <w:szCs w:val="26"/>
        </w:rPr>
        <w:t xml:space="preserve"> </w:t>
      </w:r>
      <w:r w:rsidR="00604E5C">
        <w:rPr>
          <w:sz w:val="26"/>
          <w:szCs w:val="26"/>
        </w:rPr>
        <w:t>I</w:t>
      </w:r>
      <w:r>
        <w:rPr>
          <w:sz w:val="26"/>
          <w:szCs w:val="26"/>
        </w:rPr>
        <w:t xml:space="preserve">n its application, </w:t>
      </w:r>
      <w:r w:rsidR="002D5205">
        <w:rPr>
          <w:sz w:val="26"/>
          <w:szCs w:val="26"/>
        </w:rPr>
        <w:t xml:space="preserve">the Joint Applicants </w:t>
      </w:r>
      <w:r w:rsidR="009E7B6E">
        <w:rPr>
          <w:sz w:val="26"/>
          <w:szCs w:val="26"/>
        </w:rPr>
        <w:t>also acknowledge</w:t>
      </w:r>
      <w:r w:rsidR="006E6D5A">
        <w:rPr>
          <w:sz w:val="26"/>
          <w:szCs w:val="26"/>
        </w:rPr>
        <w:t xml:space="preserve"> a pending investigation by the Pennsylvania </w:t>
      </w:r>
      <w:r w:rsidR="00604E5C">
        <w:rPr>
          <w:sz w:val="26"/>
          <w:szCs w:val="26"/>
        </w:rPr>
        <w:t xml:space="preserve">Office of </w:t>
      </w:r>
      <w:r w:rsidR="006E6D5A">
        <w:rPr>
          <w:sz w:val="26"/>
          <w:szCs w:val="26"/>
        </w:rPr>
        <w:t xml:space="preserve">Attorney General regarding </w:t>
      </w:r>
      <w:r w:rsidR="005627C8">
        <w:rPr>
          <w:sz w:val="26"/>
          <w:szCs w:val="26"/>
        </w:rPr>
        <w:t>deceptive trade practices advertising internet services</w:t>
      </w:r>
      <w:r w:rsidR="006E6D5A">
        <w:rPr>
          <w:sz w:val="26"/>
          <w:szCs w:val="26"/>
        </w:rPr>
        <w:t xml:space="preserve"> and an inquiry from the Commission’s Bureau of Investigation and Enforcement </w:t>
      </w:r>
      <w:r w:rsidR="005879C9">
        <w:rPr>
          <w:sz w:val="26"/>
          <w:szCs w:val="26"/>
        </w:rPr>
        <w:t xml:space="preserve">regarding </w:t>
      </w:r>
      <w:r w:rsidR="006E6D5A">
        <w:rPr>
          <w:sz w:val="26"/>
          <w:szCs w:val="26"/>
        </w:rPr>
        <w:t xml:space="preserve">failure to comply with </w:t>
      </w:r>
      <w:r w:rsidR="00DD7A1A">
        <w:rPr>
          <w:sz w:val="26"/>
          <w:szCs w:val="26"/>
        </w:rPr>
        <w:t>its Chapter 30 obligations.</w:t>
      </w:r>
      <w:r w:rsidR="00DD7A1A">
        <w:rPr>
          <w:rStyle w:val="FootnoteReference"/>
          <w:sz w:val="26"/>
          <w:szCs w:val="26"/>
        </w:rPr>
        <w:footnoteReference w:id="43"/>
      </w:r>
    </w:p>
    <w:p w14:paraId="6E8C305A" w14:textId="516EFBA5" w:rsidR="004625AD" w:rsidRPr="00837EB4" w:rsidRDefault="004625AD" w:rsidP="00167298">
      <w:pPr>
        <w:ind w:firstLine="720"/>
        <w:rPr>
          <w:sz w:val="26"/>
          <w:szCs w:val="26"/>
        </w:rPr>
      </w:pPr>
    </w:p>
    <w:p w14:paraId="329D43A1" w14:textId="67466507" w:rsidR="002E0CA0" w:rsidRDefault="003E308C" w:rsidP="00B0262F">
      <w:pPr>
        <w:ind w:firstLine="720"/>
        <w:rPr>
          <w:color w:val="000000" w:themeColor="text1"/>
          <w:sz w:val="26"/>
          <w:szCs w:val="26"/>
        </w:rPr>
      </w:pPr>
      <w:r w:rsidRPr="000267A0">
        <w:rPr>
          <w:color w:val="000000" w:themeColor="text1"/>
          <w:sz w:val="26"/>
          <w:szCs w:val="26"/>
        </w:rPr>
        <w:t xml:space="preserve">As required by </w:t>
      </w:r>
      <w:r>
        <w:rPr>
          <w:color w:val="000000" w:themeColor="text1"/>
          <w:sz w:val="26"/>
          <w:szCs w:val="26"/>
        </w:rPr>
        <w:t xml:space="preserve">66 Pa. C.S. §§ 1102(a) and 1103 and the Commission’s regulations at </w:t>
      </w:r>
      <w:r w:rsidR="00CD49AB">
        <w:rPr>
          <w:color w:val="000000" w:themeColor="text1"/>
          <w:sz w:val="26"/>
          <w:szCs w:val="26"/>
        </w:rPr>
        <w:t xml:space="preserve">52 Pa. Code </w:t>
      </w:r>
      <w:r>
        <w:rPr>
          <w:color w:val="000000" w:themeColor="text1"/>
          <w:sz w:val="26"/>
          <w:szCs w:val="26"/>
        </w:rPr>
        <w:t xml:space="preserve">§ </w:t>
      </w:r>
      <w:r w:rsidRPr="000267A0">
        <w:rPr>
          <w:color w:val="000000" w:themeColor="text1"/>
          <w:sz w:val="26"/>
          <w:szCs w:val="26"/>
        </w:rPr>
        <w:t xml:space="preserve">63.324(k)(1), we find that the record sufficiently supports the Joint </w:t>
      </w:r>
      <w:r w:rsidRPr="00674132">
        <w:rPr>
          <w:color w:val="000000" w:themeColor="text1"/>
          <w:sz w:val="26"/>
          <w:szCs w:val="26"/>
        </w:rPr>
        <w:t xml:space="preserve">Applicants’ claim that the proposed transfer of indirect control </w:t>
      </w:r>
      <w:r w:rsidR="001E4435" w:rsidRPr="00674132">
        <w:rPr>
          <w:color w:val="000000" w:themeColor="text1"/>
          <w:sz w:val="26"/>
          <w:szCs w:val="26"/>
        </w:rPr>
        <w:t xml:space="preserve">is in the public interest because it will </w:t>
      </w:r>
      <w:r w:rsidRPr="00674132">
        <w:rPr>
          <w:color w:val="000000" w:themeColor="text1"/>
          <w:sz w:val="26"/>
          <w:szCs w:val="26"/>
        </w:rPr>
        <w:t xml:space="preserve">help </w:t>
      </w:r>
      <w:r w:rsidRPr="00F82142">
        <w:rPr>
          <w:color w:val="000000" w:themeColor="text1"/>
          <w:sz w:val="26"/>
          <w:szCs w:val="26"/>
        </w:rPr>
        <w:t xml:space="preserve">to enhance </w:t>
      </w:r>
      <w:r w:rsidR="00F82142" w:rsidRPr="00F82142">
        <w:rPr>
          <w:color w:val="000000" w:themeColor="text1"/>
          <w:sz w:val="26"/>
          <w:szCs w:val="26"/>
        </w:rPr>
        <w:t>Windstream PA Utilities</w:t>
      </w:r>
      <w:r w:rsidR="00674132" w:rsidRPr="00F82142">
        <w:rPr>
          <w:color w:val="000000" w:themeColor="text1"/>
          <w:sz w:val="26"/>
          <w:szCs w:val="26"/>
        </w:rPr>
        <w:t xml:space="preserve">’ </w:t>
      </w:r>
      <w:r w:rsidRPr="00F82142">
        <w:rPr>
          <w:color w:val="000000" w:themeColor="text1"/>
          <w:sz w:val="26"/>
          <w:szCs w:val="26"/>
        </w:rPr>
        <w:t xml:space="preserve">financial </w:t>
      </w:r>
      <w:r w:rsidR="008C38B6">
        <w:rPr>
          <w:color w:val="000000" w:themeColor="text1"/>
          <w:sz w:val="26"/>
          <w:szCs w:val="26"/>
        </w:rPr>
        <w:t xml:space="preserve">capabilities by providing a stable capital structure, uninterrupted service, and an increased capability to compete to bring advanced services to </w:t>
      </w:r>
      <w:r w:rsidRPr="00F82142">
        <w:rPr>
          <w:color w:val="000000" w:themeColor="text1"/>
          <w:sz w:val="26"/>
          <w:szCs w:val="26"/>
        </w:rPr>
        <w:t>Pennsylvania customers</w:t>
      </w:r>
      <w:r w:rsidR="00335CE1" w:rsidRPr="00F82142">
        <w:rPr>
          <w:sz w:val="26"/>
          <w:szCs w:val="26"/>
        </w:rPr>
        <w:t>.</w:t>
      </w:r>
      <w:r w:rsidR="0011662F">
        <w:rPr>
          <w:sz w:val="26"/>
          <w:szCs w:val="26"/>
        </w:rPr>
        <w:t xml:space="preserve"> </w:t>
      </w:r>
      <w:r w:rsidR="0011662F" w:rsidRPr="0011662F">
        <w:rPr>
          <w:color w:val="000000" w:themeColor="text1"/>
          <w:sz w:val="26"/>
          <w:szCs w:val="26"/>
        </w:rPr>
        <w:t xml:space="preserve"> </w:t>
      </w:r>
      <w:r w:rsidR="0011662F">
        <w:rPr>
          <w:color w:val="000000" w:themeColor="text1"/>
          <w:sz w:val="26"/>
          <w:szCs w:val="26"/>
        </w:rPr>
        <w:t xml:space="preserve">However, we find </w:t>
      </w:r>
      <w:r w:rsidR="00FE053E">
        <w:rPr>
          <w:color w:val="000000" w:themeColor="text1"/>
          <w:sz w:val="26"/>
          <w:szCs w:val="26"/>
        </w:rPr>
        <w:t xml:space="preserve">that the broadband service required of Windstream PA </w:t>
      </w:r>
      <w:r w:rsidR="002D5205">
        <w:rPr>
          <w:color w:val="000000" w:themeColor="text1"/>
          <w:sz w:val="26"/>
          <w:szCs w:val="26"/>
        </w:rPr>
        <w:t xml:space="preserve">and Windstream Conestoga </w:t>
      </w:r>
      <w:r w:rsidR="00FE053E">
        <w:rPr>
          <w:color w:val="000000" w:themeColor="text1"/>
          <w:sz w:val="26"/>
          <w:szCs w:val="26"/>
        </w:rPr>
        <w:t>is problematic</w:t>
      </w:r>
      <w:r w:rsidR="00BF4F30">
        <w:rPr>
          <w:color w:val="000000" w:themeColor="text1"/>
          <w:sz w:val="26"/>
          <w:szCs w:val="26"/>
        </w:rPr>
        <w:t xml:space="preserve">, and </w:t>
      </w:r>
      <w:r w:rsidR="0011662F">
        <w:rPr>
          <w:color w:val="000000" w:themeColor="text1"/>
          <w:sz w:val="26"/>
          <w:szCs w:val="26"/>
        </w:rPr>
        <w:t xml:space="preserve">it </w:t>
      </w:r>
      <w:r w:rsidR="00BF4F30">
        <w:rPr>
          <w:color w:val="000000" w:themeColor="text1"/>
          <w:sz w:val="26"/>
          <w:szCs w:val="26"/>
        </w:rPr>
        <w:t xml:space="preserve">would not be </w:t>
      </w:r>
      <w:r w:rsidR="0011662F">
        <w:rPr>
          <w:color w:val="000000" w:themeColor="text1"/>
          <w:sz w:val="26"/>
          <w:szCs w:val="26"/>
        </w:rPr>
        <w:t xml:space="preserve">in the public interest </w:t>
      </w:r>
      <w:r w:rsidR="00BF4F30">
        <w:rPr>
          <w:color w:val="000000" w:themeColor="text1"/>
          <w:sz w:val="26"/>
          <w:szCs w:val="26"/>
        </w:rPr>
        <w:t>to approve this transaction without addressing that issue</w:t>
      </w:r>
      <w:r w:rsidR="0011662F">
        <w:rPr>
          <w:color w:val="000000" w:themeColor="text1"/>
          <w:sz w:val="26"/>
          <w:szCs w:val="26"/>
        </w:rPr>
        <w:t xml:space="preserve">.  </w:t>
      </w:r>
    </w:p>
    <w:p w14:paraId="47A0ABB1" w14:textId="77777777" w:rsidR="002E0CA0" w:rsidRDefault="002E0CA0" w:rsidP="003E308C">
      <w:pPr>
        <w:rPr>
          <w:color w:val="000000" w:themeColor="text1"/>
          <w:sz w:val="26"/>
          <w:szCs w:val="26"/>
        </w:rPr>
      </w:pPr>
    </w:p>
    <w:p w14:paraId="749B9D21" w14:textId="2FA7E6B2" w:rsidR="00604E5C" w:rsidRDefault="004E32D0" w:rsidP="00E53D50">
      <w:pPr>
        <w:ind w:firstLine="720"/>
        <w:rPr>
          <w:color w:val="000000" w:themeColor="text1"/>
          <w:sz w:val="26"/>
          <w:szCs w:val="26"/>
        </w:rPr>
      </w:pPr>
      <w:r>
        <w:rPr>
          <w:color w:val="000000" w:themeColor="text1"/>
          <w:sz w:val="26"/>
          <w:szCs w:val="26"/>
        </w:rPr>
        <w:t>Based upon the information available to the Commission, we conclude that t</w:t>
      </w:r>
      <w:r w:rsidR="0011662F">
        <w:rPr>
          <w:color w:val="000000" w:themeColor="text1"/>
          <w:sz w:val="26"/>
          <w:szCs w:val="26"/>
        </w:rPr>
        <w:t xml:space="preserve">he Joint Applicants have not demonstrated </w:t>
      </w:r>
      <w:r w:rsidR="006567C4">
        <w:rPr>
          <w:color w:val="000000" w:themeColor="text1"/>
          <w:sz w:val="26"/>
          <w:szCs w:val="26"/>
        </w:rPr>
        <w:t>their</w:t>
      </w:r>
      <w:r w:rsidR="0011662F">
        <w:rPr>
          <w:color w:val="000000" w:themeColor="text1"/>
          <w:sz w:val="26"/>
          <w:szCs w:val="26"/>
        </w:rPr>
        <w:t xml:space="preserve"> ability to </w:t>
      </w:r>
      <w:r w:rsidR="007F75D8">
        <w:rPr>
          <w:color w:val="000000" w:themeColor="text1"/>
          <w:sz w:val="26"/>
          <w:szCs w:val="26"/>
        </w:rPr>
        <w:t xml:space="preserve">comply with the broadband deployment requirements </w:t>
      </w:r>
      <w:r w:rsidR="0027394C">
        <w:rPr>
          <w:color w:val="000000" w:themeColor="text1"/>
          <w:sz w:val="26"/>
          <w:szCs w:val="26"/>
        </w:rPr>
        <w:t>required under Chapter 30 of the Code</w:t>
      </w:r>
      <w:r w:rsidR="0011662F">
        <w:rPr>
          <w:sz w:val="26"/>
          <w:szCs w:val="26"/>
        </w:rPr>
        <w:t>.  Th</w:t>
      </w:r>
      <w:r w:rsidR="001B4349">
        <w:rPr>
          <w:sz w:val="26"/>
          <w:szCs w:val="26"/>
        </w:rPr>
        <w:t>ese</w:t>
      </w:r>
      <w:r w:rsidR="0011662F">
        <w:rPr>
          <w:sz w:val="26"/>
          <w:szCs w:val="26"/>
        </w:rPr>
        <w:t xml:space="preserve"> </w:t>
      </w:r>
      <w:r w:rsidR="001B4349">
        <w:rPr>
          <w:sz w:val="26"/>
          <w:szCs w:val="26"/>
        </w:rPr>
        <w:t xml:space="preserve">requirements </w:t>
      </w:r>
      <w:r w:rsidR="0011662F">
        <w:rPr>
          <w:sz w:val="26"/>
          <w:szCs w:val="26"/>
        </w:rPr>
        <w:t xml:space="preserve">must be met before the Commission can conclude that the </w:t>
      </w:r>
      <w:r w:rsidR="003E308C" w:rsidRPr="00F82142">
        <w:rPr>
          <w:color w:val="000000" w:themeColor="text1"/>
          <w:sz w:val="26"/>
          <w:szCs w:val="26"/>
        </w:rPr>
        <w:t>record provides substantial evidence of affirmative public benefits sufficient to warrant approval</w:t>
      </w:r>
      <w:r w:rsidR="003E308C" w:rsidRPr="00674132">
        <w:rPr>
          <w:color w:val="000000" w:themeColor="text1"/>
          <w:sz w:val="26"/>
          <w:szCs w:val="26"/>
        </w:rPr>
        <w:t xml:space="preserve"> of the proposed transaction under </w:t>
      </w:r>
      <w:r w:rsidR="003E308C" w:rsidRPr="00674132">
        <w:rPr>
          <w:i/>
          <w:color w:val="000000" w:themeColor="text1"/>
          <w:sz w:val="26"/>
          <w:szCs w:val="26"/>
        </w:rPr>
        <w:t>City of York v. Pa. PUC</w:t>
      </w:r>
      <w:r w:rsidR="003E308C" w:rsidRPr="00674132">
        <w:rPr>
          <w:color w:val="000000" w:themeColor="text1"/>
          <w:sz w:val="26"/>
          <w:szCs w:val="26"/>
        </w:rPr>
        <w:t>, 295 A.2d 825 (Pa. 1972)</w:t>
      </w:r>
      <w:r w:rsidR="005E2C8D">
        <w:rPr>
          <w:color w:val="000000" w:themeColor="text1"/>
          <w:sz w:val="26"/>
          <w:szCs w:val="26"/>
        </w:rPr>
        <w:t xml:space="preserve"> (</w:t>
      </w:r>
      <w:r w:rsidR="005E2C8D" w:rsidRPr="005E2C8D">
        <w:rPr>
          <w:i/>
          <w:iCs/>
          <w:color w:val="000000" w:themeColor="text1"/>
          <w:sz w:val="26"/>
          <w:szCs w:val="26"/>
        </w:rPr>
        <w:t>City of York</w:t>
      </w:r>
      <w:r w:rsidR="005E2C8D">
        <w:rPr>
          <w:color w:val="000000" w:themeColor="text1"/>
          <w:sz w:val="26"/>
          <w:szCs w:val="26"/>
        </w:rPr>
        <w:t>)</w:t>
      </w:r>
      <w:r w:rsidR="003E308C" w:rsidRPr="00674132">
        <w:rPr>
          <w:color w:val="000000" w:themeColor="text1"/>
          <w:sz w:val="26"/>
          <w:szCs w:val="26"/>
        </w:rPr>
        <w:t xml:space="preserve">, and </w:t>
      </w:r>
      <w:r w:rsidR="003E308C" w:rsidRPr="00674132">
        <w:rPr>
          <w:i/>
          <w:color w:val="000000" w:themeColor="text1"/>
          <w:sz w:val="26"/>
          <w:szCs w:val="26"/>
        </w:rPr>
        <w:t>Irwin A.</w:t>
      </w:r>
      <w:r w:rsidR="003E308C" w:rsidRPr="008A4059">
        <w:rPr>
          <w:i/>
          <w:color w:val="000000" w:themeColor="text1"/>
          <w:sz w:val="26"/>
          <w:szCs w:val="26"/>
        </w:rPr>
        <w:t xml:space="preserve"> </w:t>
      </w:r>
      <w:proofErr w:type="spellStart"/>
      <w:r w:rsidR="003E308C" w:rsidRPr="008A4059">
        <w:rPr>
          <w:i/>
          <w:color w:val="000000" w:themeColor="text1"/>
          <w:sz w:val="26"/>
          <w:szCs w:val="26"/>
        </w:rPr>
        <w:t>Popowsky</w:t>
      </w:r>
      <w:proofErr w:type="spellEnd"/>
      <w:r w:rsidR="003E308C" w:rsidRPr="008A4059">
        <w:rPr>
          <w:i/>
          <w:color w:val="000000" w:themeColor="text1"/>
          <w:sz w:val="26"/>
          <w:szCs w:val="26"/>
        </w:rPr>
        <w:t xml:space="preserve"> v. Pa. PUC</w:t>
      </w:r>
      <w:r w:rsidR="003E308C" w:rsidRPr="000267A0">
        <w:rPr>
          <w:color w:val="000000" w:themeColor="text1"/>
          <w:sz w:val="26"/>
          <w:szCs w:val="26"/>
        </w:rPr>
        <w:t>, 937 A.2d 1040 (Pa. 2007)</w:t>
      </w:r>
      <w:r w:rsidR="005E2C8D">
        <w:rPr>
          <w:color w:val="000000" w:themeColor="text1"/>
          <w:sz w:val="26"/>
          <w:szCs w:val="26"/>
        </w:rPr>
        <w:t xml:space="preserve"> (</w:t>
      </w:r>
      <w:proofErr w:type="spellStart"/>
      <w:r w:rsidR="005E2C8D" w:rsidRPr="005E2C8D">
        <w:rPr>
          <w:i/>
          <w:iCs/>
          <w:color w:val="000000" w:themeColor="text1"/>
          <w:sz w:val="26"/>
          <w:szCs w:val="26"/>
        </w:rPr>
        <w:t>Popowsky</w:t>
      </w:r>
      <w:proofErr w:type="spellEnd"/>
      <w:r w:rsidR="005E2C8D">
        <w:rPr>
          <w:color w:val="000000" w:themeColor="text1"/>
          <w:sz w:val="26"/>
          <w:szCs w:val="26"/>
        </w:rPr>
        <w:t>)</w:t>
      </w:r>
      <w:r w:rsidR="003E308C" w:rsidRPr="000267A0">
        <w:rPr>
          <w:color w:val="000000" w:themeColor="text1"/>
          <w:sz w:val="26"/>
          <w:szCs w:val="26"/>
        </w:rPr>
        <w:t>.</w:t>
      </w:r>
      <w:r w:rsidR="00BC7F20">
        <w:rPr>
          <w:rStyle w:val="FootnoteReference"/>
          <w:color w:val="000000" w:themeColor="text1"/>
          <w:sz w:val="26"/>
          <w:szCs w:val="26"/>
        </w:rPr>
        <w:footnoteReference w:id="44"/>
      </w:r>
      <w:r w:rsidR="00B2351F">
        <w:rPr>
          <w:color w:val="000000" w:themeColor="text1"/>
          <w:sz w:val="26"/>
          <w:szCs w:val="26"/>
        </w:rPr>
        <w:t xml:space="preserve"> </w:t>
      </w:r>
      <w:r w:rsidR="00CA4E77">
        <w:rPr>
          <w:color w:val="000000" w:themeColor="text1"/>
          <w:sz w:val="26"/>
          <w:szCs w:val="26"/>
        </w:rPr>
        <w:t xml:space="preserve"> </w:t>
      </w:r>
    </w:p>
    <w:p w14:paraId="60351E38" w14:textId="77777777" w:rsidR="002E0CA0" w:rsidRDefault="00604E5C" w:rsidP="00D86710">
      <w:pPr>
        <w:ind w:firstLine="720"/>
        <w:rPr>
          <w:sz w:val="26"/>
          <w:szCs w:val="26"/>
        </w:rPr>
      </w:pPr>
      <w:r>
        <w:rPr>
          <w:sz w:val="26"/>
          <w:szCs w:val="26"/>
        </w:rPr>
        <w:lastRenderedPageBreak/>
        <w:t xml:space="preserve">Given Joint Applicants’ averments that Windstream’s wholesale customer segment leverages its nationwide network to provide 100 Gbps bandwidth and transport services, that approval of the transaction will provide Joint Applicants an increased ability to bring advanced telecommunications services to both current and new customers, that </w:t>
      </w:r>
      <w:r w:rsidRPr="00541FEF">
        <w:rPr>
          <w:sz w:val="26"/>
          <w:szCs w:val="26"/>
        </w:rPr>
        <w:t xml:space="preserve">Windstream’s customers, whether residential or </w:t>
      </w:r>
      <w:r>
        <w:rPr>
          <w:sz w:val="26"/>
          <w:szCs w:val="26"/>
        </w:rPr>
        <w:t>business</w:t>
      </w:r>
      <w:r w:rsidRPr="00541FEF">
        <w:rPr>
          <w:sz w:val="26"/>
          <w:szCs w:val="26"/>
        </w:rPr>
        <w:t xml:space="preserve"> </w:t>
      </w:r>
      <w:r>
        <w:rPr>
          <w:sz w:val="26"/>
          <w:szCs w:val="26"/>
        </w:rPr>
        <w:t>or</w:t>
      </w:r>
      <w:r w:rsidRPr="00541FEF">
        <w:rPr>
          <w:sz w:val="26"/>
          <w:szCs w:val="26"/>
        </w:rPr>
        <w:t xml:space="preserve"> served </w:t>
      </w:r>
      <w:r>
        <w:rPr>
          <w:sz w:val="26"/>
          <w:szCs w:val="26"/>
        </w:rPr>
        <w:t xml:space="preserve">by </w:t>
      </w:r>
      <w:r w:rsidRPr="00541FEF">
        <w:rPr>
          <w:sz w:val="26"/>
          <w:szCs w:val="26"/>
        </w:rPr>
        <w:t>its ILEC</w:t>
      </w:r>
      <w:r>
        <w:rPr>
          <w:sz w:val="26"/>
          <w:szCs w:val="26"/>
        </w:rPr>
        <w:t xml:space="preserve">s </w:t>
      </w:r>
      <w:r w:rsidRPr="00541FEF">
        <w:rPr>
          <w:sz w:val="26"/>
          <w:szCs w:val="26"/>
        </w:rPr>
        <w:t>or CLEC</w:t>
      </w:r>
      <w:r>
        <w:rPr>
          <w:sz w:val="26"/>
          <w:szCs w:val="26"/>
        </w:rPr>
        <w:t>s</w:t>
      </w:r>
      <w:r w:rsidRPr="00541FEF">
        <w:rPr>
          <w:sz w:val="26"/>
          <w:szCs w:val="26"/>
        </w:rPr>
        <w:t>, will all benefit from continuing to have access to uninterrupted</w:t>
      </w:r>
      <w:r>
        <w:rPr>
          <w:sz w:val="26"/>
          <w:szCs w:val="26"/>
        </w:rPr>
        <w:t xml:space="preserve"> </w:t>
      </w:r>
      <w:r w:rsidRPr="00541FEF">
        <w:rPr>
          <w:sz w:val="26"/>
          <w:szCs w:val="26"/>
        </w:rPr>
        <w:t>telecommunications and information services</w:t>
      </w:r>
      <w:r>
        <w:rPr>
          <w:sz w:val="26"/>
          <w:szCs w:val="26"/>
        </w:rPr>
        <w:t>, and that the transaction will enhance Windstream’s broadband capabilities and ability to participate in broadband partnerships,</w:t>
      </w:r>
      <w:r>
        <w:rPr>
          <w:rStyle w:val="FootnoteReference"/>
          <w:sz w:val="26"/>
          <w:szCs w:val="26"/>
        </w:rPr>
        <w:footnoteReference w:id="45"/>
      </w:r>
      <w:r>
        <w:rPr>
          <w:sz w:val="26"/>
          <w:szCs w:val="26"/>
        </w:rPr>
        <w:t xml:space="preserve"> we believe such a condition is both warranted and appropriate.</w:t>
      </w:r>
    </w:p>
    <w:p w14:paraId="3E7D725B" w14:textId="77777777" w:rsidR="002E0CA0" w:rsidRDefault="002E0CA0" w:rsidP="00D86710">
      <w:pPr>
        <w:ind w:firstLine="720"/>
        <w:rPr>
          <w:sz w:val="26"/>
          <w:szCs w:val="26"/>
        </w:rPr>
      </w:pPr>
    </w:p>
    <w:p w14:paraId="30CA6E8F" w14:textId="27D3847C" w:rsidR="003E308C" w:rsidRPr="000267A0" w:rsidRDefault="002E0CA0" w:rsidP="00E53D50">
      <w:pPr>
        <w:ind w:firstLine="720"/>
        <w:rPr>
          <w:color w:val="000000" w:themeColor="text1"/>
          <w:sz w:val="26"/>
          <w:szCs w:val="26"/>
        </w:rPr>
      </w:pPr>
      <w:r>
        <w:rPr>
          <w:sz w:val="26"/>
          <w:szCs w:val="26"/>
        </w:rPr>
        <w:t>Accordingly, t</w:t>
      </w:r>
      <w:r>
        <w:rPr>
          <w:color w:val="000000" w:themeColor="text1"/>
          <w:sz w:val="26"/>
          <w:szCs w:val="26"/>
        </w:rPr>
        <w:t xml:space="preserve">he Joint Applicants must provide to the Commission a satisfactory written plan of compliance with Sections </w:t>
      </w:r>
      <w:r>
        <w:rPr>
          <w:sz w:val="26"/>
          <w:szCs w:val="26"/>
        </w:rPr>
        <w:t>3014</w:t>
      </w:r>
      <w:r w:rsidRPr="00604E5C">
        <w:rPr>
          <w:sz w:val="26"/>
          <w:szCs w:val="26"/>
        </w:rPr>
        <w:t>(b)(2</w:t>
      </w:r>
      <w:r w:rsidRPr="00A10BC3">
        <w:rPr>
          <w:sz w:val="26"/>
          <w:szCs w:val="26"/>
        </w:rPr>
        <w:t>)</w:t>
      </w:r>
      <w:r>
        <w:rPr>
          <w:sz w:val="26"/>
          <w:szCs w:val="26"/>
        </w:rPr>
        <w:t xml:space="preserve"> and 3014(b)(5) of Chapter 30.  Such a plan must be filed with the Secretary’s Bureau</w:t>
      </w:r>
      <w:r w:rsidR="00A10BC3">
        <w:rPr>
          <w:sz w:val="26"/>
          <w:szCs w:val="26"/>
        </w:rPr>
        <w:t xml:space="preserve"> w</w:t>
      </w:r>
      <w:r>
        <w:rPr>
          <w:sz w:val="26"/>
          <w:szCs w:val="26"/>
        </w:rPr>
        <w:t xml:space="preserve">ith a copy to the Commission’s Bureau of Consumer Services </w:t>
      </w:r>
      <w:r w:rsidR="000D4590">
        <w:rPr>
          <w:sz w:val="26"/>
          <w:szCs w:val="26"/>
        </w:rPr>
        <w:t xml:space="preserve">and Law Bureau </w:t>
      </w:r>
      <w:r>
        <w:rPr>
          <w:sz w:val="26"/>
          <w:szCs w:val="26"/>
        </w:rPr>
        <w:t xml:space="preserve">within </w:t>
      </w:r>
      <w:r w:rsidR="004665BD">
        <w:rPr>
          <w:sz w:val="26"/>
          <w:szCs w:val="26"/>
        </w:rPr>
        <w:t>1</w:t>
      </w:r>
      <w:r>
        <w:rPr>
          <w:sz w:val="26"/>
          <w:szCs w:val="26"/>
        </w:rPr>
        <w:t xml:space="preserve">0 days of the date of this </w:t>
      </w:r>
      <w:r w:rsidR="00E53D50">
        <w:rPr>
          <w:sz w:val="26"/>
          <w:szCs w:val="26"/>
        </w:rPr>
        <w:t>letter and</w:t>
      </w:r>
      <w:r>
        <w:rPr>
          <w:sz w:val="26"/>
          <w:szCs w:val="26"/>
        </w:rPr>
        <w:t xml:space="preserve"> should include </w:t>
      </w:r>
      <w:r w:rsidR="00DF5C54">
        <w:rPr>
          <w:sz w:val="26"/>
          <w:szCs w:val="26"/>
        </w:rPr>
        <w:t>r</w:t>
      </w:r>
      <w:r>
        <w:rPr>
          <w:sz w:val="26"/>
          <w:szCs w:val="26"/>
        </w:rPr>
        <w:t>eference to the above-referred docket numbers.</w:t>
      </w:r>
    </w:p>
    <w:p w14:paraId="02BD8F73" w14:textId="1B8CA147" w:rsidR="001E4435" w:rsidRPr="000267A0" w:rsidRDefault="001E4435" w:rsidP="001E4435">
      <w:pPr>
        <w:rPr>
          <w:color w:val="000000" w:themeColor="text1"/>
          <w:sz w:val="26"/>
          <w:szCs w:val="26"/>
        </w:rPr>
      </w:pPr>
    </w:p>
    <w:p w14:paraId="529571C0" w14:textId="0FB23D60" w:rsidR="007345C5" w:rsidRDefault="00604E5C" w:rsidP="00F42AF5">
      <w:pPr>
        <w:ind w:firstLine="720"/>
        <w:rPr>
          <w:color w:val="000000" w:themeColor="text1"/>
          <w:sz w:val="26"/>
          <w:szCs w:val="26"/>
        </w:rPr>
      </w:pPr>
      <w:r>
        <w:rPr>
          <w:color w:val="000000" w:themeColor="text1"/>
          <w:sz w:val="26"/>
          <w:szCs w:val="26"/>
        </w:rPr>
        <w:t>Further, i</w:t>
      </w:r>
      <w:r w:rsidR="007345C5" w:rsidRPr="00F8550C">
        <w:rPr>
          <w:color w:val="000000" w:themeColor="text1"/>
          <w:sz w:val="26"/>
          <w:szCs w:val="26"/>
        </w:rPr>
        <w:t>n recognition of the risks to Pennsylvania in approving this Transaction ahead of other jurisdictions, the Joint Applicants shall protect Pennsylvania.  In the event the Joint Applicants and/or their non-Pennsylvania subsidiaries and affiliates agree to or accept resolution of this or a related pending transaction from another jurisdiction in which that jurisdiction obtains or imposes any condition(s) on or commitment regarding this or a related pending transaction, the Joint Applicants shall, within</w:t>
      </w:r>
      <w:r w:rsidR="004E6012">
        <w:rPr>
          <w:color w:val="000000" w:themeColor="text1"/>
          <w:sz w:val="26"/>
          <w:szCs w:val="26"/>
        </w:rPr>
        <w:t xml:space="preserve"> </w:t>
      </w:r>
      <w:r w:rsidR="007345C5" w:rsidRPr="00F8550C">
        <w:rPr>
          <w:color w:val="000000" w:themeColor="text1"/>
          <w:sz w:val="26"/>
          <w:szCs w:val="26"/>
        </w:rPr>
        <w:t>10</w:t>
      </w:r>
      <w:r w:rsidR="007345C5">
        <w:rPr>
          <w:color w:val="000000" w:themeColor="text1"/>
          <w:sz w:val="26"/>
          <w:szCs w:val="26"/>
        </w:rPr>
        <w:t xml:space="preserve"> days of such agreement or acceptance, provide notice of the condition(s) to Pennsylvania by letter to the Secretary.  In the notice, the Joint Applicants shall offer to Pennsylvania </w:t>
      </w:r>
      <w:r w:rsidR="00AB027E">
        <w:rPr>
          <w:color w:val="000000" w:themeColor="text1"/>
          <w:sz w:val="26"/>
          <w:szCs w:val="26"/>
        </w:rPr>
        <w:t xml:space="preserve">their </w:t>
      </w:r>
      <w:r w:rsidR="007345C5">
        <w:rPr>
          <w:color w:val="000000" w:themeColor="text1"/>
          <w:sz w:val="26"/>
          <w:szCs w:val="26"/>
        </w:rPr>
        <w:t>agreement to or acceptance of the same or reasonabl</w:t>
      </w:r>
      <w:r w:rsidR="00AB027E">
        <w:rPr>
          <w:color w:val="000000" w:themeColor="text1"/>
          <w:sz w:val="26"/>
          <w:szCs w:val="26"/>
        </w:rPr>
        <w:t>y</w:t>
      </w:r>
      <w:r w:rsidR="007345C5">
        <w:rPr>
          <w:color w:val="000000" w:themeColor="text1"/>
          <w:sz w:val="26"/>
          <w:szCs w:val="26"/>
        </w:rPr>
        <w:t xml:space="preserve"> comparable condition(s) for Pennsylvania, as appropriate.  The Commission will act upon the notice as expeditiously as possible.  </w:t>
      </w:r>
      <w:r w:rsidR="00E61427">
        <w:rPr>
          <w:color w:val="000000" w:themeColor="text1"/>
          <w:sz w:val="26"/>
          <w:szCs w:val="26"/>
        </w:rPr>
        <w:t xml:space="preserve">In review of action in other jurisdictions, we note that the New Jersey Board of Public Utilities has imposed on the </w:t>
      </w:r>
      <w:r w:rsidR="00F42AF5">
        <w:rPr>
          <w:color w:val="000000" w:themeColor="text1"/>
          <w:sz w:val="26"/>
          <w:szCs w:val="26"/>
        </w:rPr>
        <w:t>petitioners there</w:t>
      </w:r>
      <w:r w:rsidR="00E61427">
        <w:rPr>
          <w:color w:val="000000" w:themeColor="text1"/>
          <w:sz w:val="26"/>
          <w:szCs w:val="26"/>
        </w:rPr>
        <w:t xml:space="preserve"> the requirement to </w:t>
      </w:r>
      <w:r w:rsidR="00E61427" w:rsidRPr="00E61427">
        <w:rPr>
          <w:color w:val="000000" w:themeColor="text1"/>
          <w:sz w:val="26"/>
          <w:szCs w:val="26"/>
        </w:rPr>
        <w:t>notify the Board, and provide a written explanation, if</w:t>
      </w:r>
      <w:r w:rsidR="00F42AF5">
        <w:rPr>
          <w:color w:val="000000" w:themeColor="text1"/>
          <w:sz w:val="26"/>
          <w:szCs w:val="26"/>
        </w:rPr>
        <w:t xml:space="preserve"> there is</w:t>
      </w:r>
      <w:r w:rsidR="00E61427" w:rsidRPr="00E61427">
        <w:rPr>
          <w:color w:val="000000" w:themeColor="text1"/>
          <w:sz w:val="26"/>
          <w:szCs w:val="26"/>
        </w:rPr>
        <w:t xml:space="preserve"> a net loss of</w:t>
      </w:r>
      <w:r w:rsidR="00F42AF5">
        <w:rPr>
          <w:color w:val="000000" w:themeColor="text1"/>
          <w:sz w:val="26"/>
          <w:szCs w:val="26"/>
        </w:rPr>
        <w:t xml:space="preserve"> </w:t>
      </w:r>
      <w:r w:rsidR="009E7B6E">
        <w:rPr>
          <w:color w:val="000000" w:themeColor="text1"/>
          <w:sz w:val="26"/>
          <w:szCs w:val="26"/>
        </w:rPr>
        <w:t>p</w:t>
      </w:r>
      <w:r w:rsidR="00F42AF5">
        <w:rPr>
          <w:color w:val="000000" w:themeColor="text1"/>
          <w:sz w:val="26"/>
          <w:szCs w:val="26"/>
        </w:rPr>
        <w:t>etitioners’</w:t>
      </w:r>
      <w:r w:rsidR="00E61427">
        <w:rPr>
          <w:color w:val="000000" w:themeColor="text1"/>
          <w:sz w:val="26"/>
          <w:szCs w:val="26"/>
        </w:rPr>
        <w:t xml:space="preserve"> </w:t>
      </w:r>
      <w:r w:rsidR="00E61427" w:rsidRPr="00E61427">
        <w:rPr>
          <w:color w:val="000000" w:themeColor="text1"/>
          <w:sz w:val="26"/>
          <w:szCs w:val="26"/>
        </w:rPr>
        <w:t>New Jersey employees greater than 15</w:t>
      </w:r>
      <w:r w:rsidR="00F42AF5">
        <w:rPr>
          <w:color w:val="000000" w:themeColor="text1"/>
          <w:sz w:val="26"/>
          <w:szCs w:val="26"/>
        </w:rPr>
        <w:t>%</w:t>
      </w:r>
      <w:r w:rsidR="00E61427" w:rsidRPr="00E61427">
        <w:rPr>
          <w:color w:val="000000" w:themeColor="text1"/>
          <w:sz w:val="26"/>
          <w:szCs w:val="26"/>
        </w:rPr>
        <w:t xml:space="preserve"> of</w:t>
      </w:r>
      <w:r w:rsidR="00F42AF5">
        <w:rPr>
          <w:color w:val="000000" w:themeColor="text1"/>
          <w:sz w:val="26"/>
          <w:szCs w:val="26"/>
        </w:rPr>
        <w:t xml:space="preserve"> </w:t>
      </w:r>
      <w:r w:rsidR="00E61427" w:rsidRPr="00E61427">
        <w:rPr>
          <w:color w:val="000000" w:themeColor="text1"/>
          <w:sz w:val="26"/>
          <w:szCs w:val="26"/>
        </w:rPr>
        <w:t>their total New Jersey employee head count during the 3-year period from the</w:t>
      </w:r>
      <w:r w:rsidR="00F42AF5">
        <w:rPr>
          <w:color w:val="000000" w:themeColor="text1"/>
          <w:sz w:val="26"/>
          <w:szCs w:val="26"/>
        </w:rPr>
        <w:t xml:space="preserve"> </w:t>
      </w:r>
      <w:r w:rsidR="00E61427" w:rsidRPr="00E61427">
        <w:rPr>
          <w:color w:val="000000" w:themeColor="text1"/>
          <w:sz w:val="26"/>
          <w:szCs w:val="26"/>
        </w:rPr>
        <w:t>effective date of th</w:t>
      </w:r>
      <w:r w:rsidR="00F42AF5">
        <w:rPr>
          <w:color w:val="000000" w:themeColor="text1"/>
          <w:sz w:val="26"/>
          <w:szCs w:val="26"/>
        </w:rPr>
        <w:t xml:space="preserve">e New Jersey </w:t>
      </w:r>
      <w:r w:rsidR="009E7B6E">
        <w:rPr>
          <w:color w:val="000000" w:themeColor="text1"/>
          <w:sz w:val="26"/>
          <w:szCs w:val="26"/>
        </w:rPr>
        <w:t>o</w:t>
      </w:r>
      <w:r w:rsidR="00E61427" w:rsidRPr="00E61427">
        <w:rPr>
          <w:color w:val="000000" w:themeColor="text1"/>
          <w:sz w:val="26"/>
          <w:szCs w:val="26"/>
        </w:rPr>
        <w:t>rder</w:t>
      </w:r>
      <w:r w:rsidR="00F42AF5">
        <w:rPr>
          <w:color w:val="000000" w:themeColor="text1"/>
          <w:sz w:val="26"/>
          <w:szCs w:val="26"/>
        </w:rPr>
        <w:t xml:space="preserve">. The New York Public Utility Commission required petitioners to notify it within 30 days of the transaction’s closing </w:t>
      </w:r>
      <w:r w:rsidR="00F42AF5" w:rsidRPr="00F42AF5">
        <w:rPr>
          <w:color w:val="000000" w:themeColor="text1"/>
          <w:sz w:val="26"/>
          <w:szCs w:val="26"/>
        </w:rPr>
        <w:t>that the transfer is complete and that no costs associated</w:t>
      </w:r>
      <w:r w:rsidR="00F42AF5">
        <w:rPr>
          <w:color w:val="000000" w:themeColor="text1"/>
          <w:sz w:val="26"/>
          <w:szCs w:val="26"/>
        </w:rPr>
        <w:t xml:space="preserve"> </w:t>
      </w:r>
      <w:r w:rsidR="00F42AF5" w:rsidRPr="00F42AF5">
        <w:rPr>
          <w:color w:val="000000" w:themeColor="text1"/>
          <w:sz w:val="26"/>
          <w:szCs w:val="26"/>
        </w:rPr>
        <w:t xml:space="preserve">with the bankruptcy </w:t>
      </w:r>
      <w:r w:rsidR="00F42AF5">
        <w:rPr>
          <w:color w:val="000000" w:themeColor="text1"/>
          <w:sz w:val="26"/>
          <w:szCs w:val="26"/>
        </w:rPr>
        <w:t>will</w:t>
      </w:r>
      <w:r w:rsidR="00F42AF5" w:rsidRPr="00F42AF5">
        <w:rPr>
          <w:color w:val="000000" w:themeColor="text1"/>
          <w:sz w:val="26"/>
          <w:szCs w:val="26"/>
        </w:rPr>
        <w:t xml:space="preserve"> be allocated to Windstream New York, Inc.</w:t>
      </w:r>
      <w:r w:rsidR="00F42AF5">
        <w:rPr>
          <w:rStyle w:val="FootnoteReference"/>
          <w:color w:val="000000" w:themeColor="text1"/>
          <w:sz w:val="26"/>
          <w:szCs w:val="26"/>
        </w:rPr>
        <w:footnoteReference w:id="46"/>
      </w:r>
      <w:r w:rsidR="00E61427">
        <w:rPr>
          <w:color w:val="000000" w:themeColor="text1"/>
          <w:sz w:val="26"/>
          <w:szCs w:val="26"/>
        </w:rPr>
        <w:t xml:space="preserve"> </w:t>
      </w:r>
      <w:r w:rsidR="00F42AF5">
        <w:rPr>
          <w:color w:val="000000" w:themeColor="text1"/>
          <w:sz w:val="26"/>
          <w:szCs w:val="26"/>
        </w:rPr>
        <w:t xml:space="preserve">As a condition of approval in Pennsylvania, we will also require the Joint Applicants to protect Pennsylvania employees by filing a notice if there is a net loss of Pennsylvania employees greater than 15% of their total Pennsylvania employee head count for the 3-year period following the date of this </w:t>
      </w:r>
      <w:r w:rsidR="00F42AF5">
        <w:rPr>
          <w:color w:val="000000" w:themeColor="text1"/>
          <w:sz w:val="26"/>
          <w:szCs w:val="26"/>
        </w:rPr>
        <w:lastRenderedPageBreak/>
        <w:t>Secretarial Letter.</w:t>
      </w:r>
      <w:r w:rsidR="00740DFE">
        <w:rPr>
          <w:rStyle w:val="FootnoteReference"/>
          <w:color w:val="000000" w:themeColor="text1"/>
          <w:sz w:val="26"/>
          <w:szCs w:val="26"/>
        </w:rPr>
        <w:footnoteReference w:id="47"/>
      </w:r>
      <w:r w:rsidR="00F42AF5">
        <w:rPr>
          <w:color w:val="000000" w:themeColor="text1"/>
          <w:sz w:val="26"/>
          <w:szCs w:val="26"/>
        </w:rPr>
        <w:t xml:space="preserve"> </w:t>
      </w:r>
      <w:r w:rsidR="00930F81">
        <w:rPr>
          <w:color w:val="000000" w:themeColor="text1"/>
          <w:sz w:val="26"/>
          <w:szCs w:val="26"/>
        </w:rPr>
        <w:t>And we will protect Pennsylvania’s certificated carriers and their customers by requiring the Joint Applicants to notify the Commission within 30 days of the transaction’s closing that no costs associated with the bankruptcy will be allocated to Windstream’s Pennsylvania companies.</w:t>
      </w:r>
      <w:r w:rsidR="003D7D82">
        <w:rPr>
          <w:color w:val="000000" w:themeColor="text1"/>
          <w:sz w:val="26"/>
          <w:szCs w:val="26"/>
        </w:rPr>
        <w:t xml:space="preserve"> Windstream’s </w:t>
      </w:r>
      <w:r w:rsidR="00842D91">
        <w:rPr>
          <w:color w:val="000000" w:themeColor="text1"/>
          <w:sz w:val="26"/>
          <w:szCs w:val="26"/>
        </w:rPr>
        <w:t>resources in Pennsylvania</w:t>
      </w:r>
      <w:r w:rsidR="00F71CBB">
        <w:rPr>
          <w:color w:val="000000" w:themeColor="text1"/>
          <w:sz w:val="26"/>
          <w:szCs w:val="26"/>
        </w:rPr>
        <w:t>, including its employees,</w:t>
      </w:r>
      <w:r w:rsidR="00842D91">
        <w:rPr>
          <w:color w:val="000000" w:themeColor="text1"/>
          <w:sz w:val="26"/>
          <w:szCs w:val="26"/>
        </w:rPr>
        <w:t xml:space="preserve"> are best put to use bringing its ILECs into Chapter 30 compliance.</w:t>
      </w:r>
    </w:p>
    <w:p w14:paraId="215B2043" w14:textId="3FF15F04" w:rsidR="00930F81" w:rsidRDefault="00930F81" w:rsidP="00F42AF5">
      <w:pPr>
        <w:ind w:firstLine="720"/>
        <w:rPr>
          <w:color w:val="000000" w:themeColor="text1"/>
          <w:sz w:val="26"/>
          <w:szCs w:val="26"/>
        </w:rPr>
      </w:pPr>
    </w:p>
    <w:p w14:paraId="29D6EA88" w14:textId="5D5230BA" w:rsidR="00930F81" w:rsidRDefault="00930F81" w:rsidP="00F42AF5">
      <w:pPr>
        <w:ind w:firstLine="720"/>
        <w:rPr>
          <w:color w:val="000000" w:themeColor="text1"/>
          <w:sz w:val="26"/>
          <w:szCs w:val="26"/>
        </w:rPr>
      </w:pPr>
      <w:r>
        <w:rPr>
          <w:color w:val="000000" w:themeColor="text1"/>
          <w:sz w:val="26"/>
          <w:szCs w:val="26"/>
        </w:rPr>
        <w:t>If the Joint Applicants disagree with these protections as set forth in this Secretarial Letter, they shall</w:t>
      </w:r>
      <w:r w:rsidR="00C244A1">
        <w:rPr>
          <w:color w:val="000000" w:themeColor="text1"/>
          <w:sz w:val="26"/>
          <w:szCs w:val="26"/>
        </w:rPr>
        <w:t>, within 10 days of the date of this letter,</w:t>
      </w:r>
      <w:r>
        <w:rPr>
          <w:color w:val="000000" w:themeColor="text1"/>
          <w:sz w:val="26"/>
          <w:szCs w:val="26"/>
        </w:rPr>
        <w:t xml:space="preserve"> notify the Commission in writing addressed to the Secretary; this Secretarial Letter shall be immediately rescinded and of no effect; and, pursuant to 52 Pa. Code § 63.324(k)(5), Commission review of the Transaction shall be extended for further consideration necessary and appropriate to protect the public interest.</w:t>
      </w:r>
    </w:p>
    <w:p w14:paraId="4A39ABFD" w14:textId="77777777" w:rsidR="007345C5" w:rsidRDefault="007345C5" w:rsidP="007345C5">
      <w:pPr>
        <w:ind w:firstLine="720"/>
        <w:rPr>
          <w:color w:val="000000" w:themeColor="text1"/>
          <w:sz w:val="26"/>
          <w:szCs w:val="26"/>
        </w:rPr>
      </w:pPr>
    </w:p>
    <w:p w14:paraId="2187EF90" w14:textId="0B17B751" w:rsidR="007345C5" w:rsidRDefault="00E547B4" w:rsidP="007345C5">
      <w:pPr>
        <w:ind w:firstLine="720"/>
        <w:rPr>
          <w:color w:val="000000" w:themeColor="text1"/>
          <w:sz w:val="26"/>
          <w:szCs w:val="26"/>
        </w:rPr>
      </w:pPr>
      <w:r>
        <w:rPr>
          <w:color w:val="000000" w:themeColor="text1"/>
          <w:sz w:val="26"/>
          <w:szCs w:val="26"/>
        </w:rPr>
        <w:t xml:space="preserve">Additionally, </w:t>
      </w:r>
      <w:r w:rsidR="007345C5" w:rsidRPr="006E3EC2">
        <w:rPr>
          <w:color w:val="000000" w:themeColor="text1"/>
          <w:sz w:val="26"/>
          <w:szCs w:val="26"/>
        </w:rPr>
        <w:t xml:space="preserve">because review of the proposed </w:t>
      </w:r>
      <w:r w:rsidR="006E3EC2" w:rsidRPr="006E3EC2">
        <w:rPr>
          <w:color w:val="000000" w:themeColor="text1"/>
          <w:sz w:val="26"/>
          <w:szCs w:val="26"/>
        </w:rPr>
        <w:t>T</w:t>
      </w:r>
      <w:r w:rsidR="007345C5" w:rsidRPr="006E3EC2">
        <w:rPr>
          <w:color w:val="000000" w:themeColor="text1"/>
          <w:sz w:val="26"/>
          <w:szCs w:val="26"/>
        </w:rPr>
        <w:t>ransaction remains pending at the FCC, action the Commission takes in this Secretarial Letter is premised on the approval of the same transaction at the federal level.  The Commission reserves the right to revisit this approval and impose conditions we deem necessary considering final federal action on the transaction.</w:t>
      </w:r>
      <w:r w:rsidR="007345C5">
        <w:rPr>
          <w:color w:val="000000" w:themeColor="text1"/>
          <w:sz w:val="26"/>
          <w:szCs w:val="26"/>
        </w:rPr>
        <w:t xml:space="preserve">  </w:t>
      </w:r>
    </w:p>
    <w:p w14:paraId="27E0653C" w14:textId="37955772" w:rsidR="00D86710" w:rsidRDefault="00D86710" w:rsidP="007345C5">
      <w:pPr>
        <w:ind w:firstLine="720"/>
        <w:rPr>
          <w:color w:val="000000" w:themeColor="text1"/>
          <w:sz w:val="26"/>
          <w:szCs w:val="26"/>
        </w:rPr>
      </w:pPr>
    </w:p>
    <w:p w14:paraId="7748872E" w14:textId="6076E2E0" w:rsidR="00D86710" w:rsidRDefault="00D86710" w:rsidP="007345C5">
      <w:pPr>
        <w:ind w:firstLine="720"/>
        <w:rPr>
          <w:color w:val="000000" w:themeColor="text1"/>
          <w:sz w:val="26"/>
          <w:szCs w:val="26"/>
        </w:rPr>
      </w:pPr>
      <w:r>
        <w:rPr>
          <w:color w:val="000000" w:themeColor="text1"/>
          <w:sz w:val="26"/>
          <w:szCs w:val="26"/>
        </w:rPr>
        <w:t>Subject to satisfactory resolution of the Chapter 30 broadband-related issues, and in consideration of the further conditions above, w</w:t>
      </w:r>
      <w:r w:rsidRPr="000267A0">
        <w:rPr>
          <w:color w:val="000000" w:themeColor="text1"/>
          <w:sz w:val="26"/>
          <w:szCs w:val="26"/>
        </w:rPr>
        <w:t>e find that the transaction is necessary for the service, accommodation, convenience, or safety of the public, and the Commission will issue certificate</w:t>
      </w:r>
      <w:r>
        <w:rPr>
          <w:color w:val="000000" w:themeColor="text1"/>
          <w:sz w:val="26"/>
          <w:szCs w:val="26"/>
        </w:rPr>
        <w:t>s</w:t>
      </w:r>
      <w:r w:rsidRPr="000267A0">
        <w:rPr>
          <w:color w:val="000000" w:themeColor="text1"/>
          <w:sz w:val="26"/>
          <w:szCs w:val="26"/>
        </w:rPr>
        <w:t xml:space="preserve"> of public convenience authorizing this transaction as required by 66 Pa. C.S. §§ 1102(a) and 1103 and </w:t>
      </w:r>
      <w:r>
        <w:rPr>
          <w:color w:val="000000" w:themeColor="text1"/>
          <w:sz w:val="26"/>
          <w:szCs w:val="26"/>
        </w:rPr>
        <w:t xml:space="preserve">the Commission’s regulations at </w:t>
      </w:r>
      <w:r w:rsidRPr="000267A0">
        <w:rPr>
          <w:color w:val="000000" w:themeColor="text1"/>
          <w:sz w:val="26"/>
          <w:szCs w:val="26"/>
        </w:rPr>
        <w:t>52 Pa. Code § 63.324(k)(2)</w:t>
      </w:r>
      <w:r>
        <w:rPr>
          <w:sz w:val="26"/>
          <w:szCs w:val="26"/>
        </w:rPr>
        <w:t xml:space="preserve">.  </w:t>
      </w:r>
    </w:p>
    <w:p w14:paraId="4E132177" w14:textId="77777777" w:rsidR="00D86710" w:rsidRDefault="00D86710" w:rsidP="007345C5">
      <w:pPr>
        <w:ind w:firstLine="720"/>
        <w:rPr>
          <w:color w:val="000000" w:themeColor="text1"/>
          <w:sz w:val="26"/>
          <w:szCs w:val="26"/>
        </w:rPr>
      </w:pPr>
    </w:p>
    <w:p w14:paraId="05D9216E" w14:textId="30C7D2B7" w:rsidR="00D86710" w:rsidRDefault="00D86710" w:rsidP="00E53D50">
      <w:pPr>
        <w:ind w:firstLine="720"/>
        <w:rPr>
          <w:color w:val="000000" w:themeColor="text1"/>
          <w:sz w:val="26"/>
          <w:szCs w:val="26"/>
        </w:rPr>
      </w:pPr>
      <w:r>
        <w:rPr>
          <w:color w:val="000000" w:themeColor="text1"/>
          <w:sz w:val="26"/>
          <w:szCs w:val="26"/>
        </w:rPr>
        <w:t>B</w:t>
      </w:r>
      <w:r w:rsidRPr="000267A0">
        <w:rPr>
          <w:color w:val="000000" w:themeColor="text1"/>
          <w:sz w:val="26"/>
          <w:szCs w:val="26"/>
        </w:rPr>
        <w:t xml:space="preserve">ased upon </w:t>
      </w:r>
      <w:r w:rsidRPr="00674132">
        <w:rPr>
          <w:sz w:val="26"/>
          <w:szCs w:val="26"/>
        </w:rPr>
        <w:t>the Commission’s analysis of the information provided in the joint application</w:t>
      </w:r>
      <w:r>
        <w:rPr>
          <w:sz w:val="26"/>
          <w:szCs w:val="26"/>
        </w:rPr>
        <w:t xml:space="preserve">, and subject to the Joint Applicants’ acceptance of the conditions stated herein, </w:t>
      </w:r>
      <w:r w:rsidRPr="00674132">
        <w:rPr>
          <w:sz w:val="26"/>
          <w:szCs w:val="26"/>
        </w:rPr>
        <w:t xml:space="preserve">we </w:t>
      </w:r>
      <w:r>
        <w:rPr>
          <w:sz w:val="26"/>
          <w:szCs w:val="26"/>
        </w:rPr>
        <w:t xml:space="preserve">will </w:t>
      </w:r>
      <w:r w:rsidRPr="00674132">
        <w:rPr>
          <w:sz w:val="26"/>
          <w:szCs w:val="26"/>
        </w:rPr>
        <w:t>find that the transaction will benefit</w:t>
      </w:r>
      <w:r>
        <w:rPr>
          <w:sz w:val="26"/>
          <w:szCs w:val="26"/>
        </w:rPr>
        <w:t xml:space="preserve"> the public interest</w:t>
      </w:r>
      <w:r w:rsidRPr="00674132">
        <w:rPr>
          <w:sz w:val="26"/>
          <w:szCs w:val="26"/>
        </w:rPr>
        <w:t xml:space="preserve"> </w:t>
      </w:r>
      <w:r>
        <w:rPr>
          <w:sz w:val="26"/>
          <w:szCs w:val="26"/>
        </w:rPr>
        <w:t xml:space="preserve">while </w:t>
      </w:r>
      <w:r w:rsidRPr="00674132">
        <w:rPr>
          <w:sz w:val="26"/>
          <w:szCs w:val="26"/>
        </w:rPr>
        <w:t>not harm</w:t>
      </w:r>
      <w:r>
        <w:rPr>
          <w:sz w:val="26"/>
          <w:szCs w:val="26"/>
        </w:rPr>
        <w:t>ing</w:t>
      </w:r>
      <w:r w:rsidRPr="00674132">
        <w:rPr>
          <w:sz w:val="26"/>
          <w:szCs w:val="26"/>
        </w:rPr>
        <w:t xml:space="preserve"> competition.  The Commission’s approval will enhance Joint Applicants’ ability to </w:t>
      </w:r>
      <w:r>
        <w:rPr>
          <w:sz w:val="26"/>
          <w:szCs w:val="26"/>
        </w:rPr>
        <w:t>continue to provide service</w:t>
      </w:r>
      <w:r w:rsidRPr="00674132">
        <w:rPr>
          <w:sz w:val="26"/>
          <w:szCs w:val="26"/>
        </w:rPr>
        <w:t xml:space="preserve"> in Pennsylvania without harm to consumers or Pennsylvania </w:t>
      </w:r>
      <w:r w:rsidRPr="000267A0">
        <w:rPr>
          <w:color w:val="000000" w:themeColor="text1"/>
          <w:sz w:val="26"/>
          <w:szCs w:val="26"/>
        </w:rPr>
        <w:t xml:space="preserve">markets as required </w:t>
      </w:r>
      <w:r>
        <w:rPr>
          <w:color w:val="000000" w:themeColor="text1"/>
          <w:sz w:val="26"/>
          <w:szCs w:val="26"/>
        </w:rPr>
        <w:t>under 66 Pa. C.S. §§ 1102(a) and 1103 and the Commission’s regulation at 52 Pa. Code § </w:t>
      </w:r>
      <w:r w:rsidRPr="000267A0">
        <w:rPr>
          <w:color w:val="000000" w:themeColor="text1"/>
          <w:sz w:val="26"/>
          <w:szCs w:val="26"/>
        </w:rPr>
        <w:t>63.</w:t>
      </w:r>
      <w:r>
        <w:rPr>
          <w:color w:val="000000" w:themeColor="text1"/>
          <w:sz w:val="26"/>
          <w:szCs w:val="26"/>
        </w:rPr>
        <w:t>3</w:t>
      </w:r>
      <w:r w:rsidRPr="000267A0">
        <w:rPr>
          <w:color w:val="000000" w:themeColor="text1"/>
          <w:sz w:val="26"/>
          <w:szCs w:val="26"/>
        </w:rPr>
        <w:t>24(k)(3)</w:t>
      </w:r>
      <w:r>
        <w:rPr>
          <w:color w:val="000000" w:themeColor="text1"/>
          <w:sz w:val="26"/>
          <w:szCs w:val="26"/>
        </w:rPr>
        <w:t xml:space="preserve">.  </w:t>
      </w:r>
    </w:p>
    <w:p w14:paraId="75E42A7D" w14:textId="77777777" w:rsidR="00D86710" w:rsidRDefault="00D86710" w:rsidP="00D86710">
      <w:pPr>
        <w:rPr>
          <w:color w:val="000000" w:themeColor="text1"/>
          <w:sz w:val="26"/>
          <w:szCs w:val="26"/>
        </w:rPr>
      </w:pPr>
    </w:p>
    <w:p w14:paraId="02A57C05" w14:textId="418A3D1E" w:rsidR="00D86710" w:rsidRPr="000267A0" w:rsidRDefault="00D86710" w:rsidP="004665BD">
      <w:pPr>
        <w:ind w:firstLine="720"/>
        <w:rPr>
          <w:color w:val="000000" w:themeColor="text1"/>
          <w:sz w:val="26"/>
          <w:szCs w:val="26"/>
        </w:rPr>
      </w:pPr>
      <w:r w:rsidRPr="000267A0">
        <w:rPr>
          <w:color w:val="000000" w:themeColor="text1"/>
          <w:sz w:val="26"/>
          <w:szCs w:val="26"/>
        </w:rPr>
        <w:t xml:space="preserve">In summary, </w:t>
      </w:r>
      <w:r>
        <w:rPr>
          <w:color w:val="000000" w:themeColor="text1"/>
          <w:sz w:val="26"/>
          <w:szCs w:val="26"/>
        </w:rPr>
        <w:t xml:space="preserve">subject to the conditions outlined herein, </w:t>
      </w:r>
      <w:r w:rsidRPr="000267A0">
        <w:rPr>
          <w:color w:val="000000" w:themeColor="text1"/>
          <w:sz w:val="26"/>
          <w:szCs w:val="26"/>
        </w:rPr>
        <w:t>we find that the joint application should be approved as a general rule transaction under Section 63.324 of the Commission r</w:t>
      </w:r>
      <w:r>
        <w:rPr>
          <w:color w:val="000000" w:themeColor="text1"/>
          <w:sz w:val="26"/>
          <w:szCs w:val="26"/>
        </w:rPr>
        <w:t>egulations</w:t>
      </w:r>
      <w:r w:rsidRPr="000267A0">
        <w:rPr>
          <w:color w:val="000000" w:themeColor="text1"/>
          <w:sz w:val="26"/>
          <w:szCs w:val="26"/>
        </w:rPr>
        <w:t xml:space="preserve"> as requested and that certificate</w:t>
      </w:r>
      <w:r>
        <w:rPr>
          <w:color w:val="000000" w:themeColor="text1"/>
          <w:sz w:val="26"/>
          <w:szCs w:val="26"/>
        </w:rPr>
        <w:t>s</w:t>
      </w:r>
      <w:r w:rsidRPr="000267A0">
        <w:rPr>
          <w:color w:val="000000" w:themeColor="text1"/>
          <w:sz w:val="26"/>
          <w:szCs w:val="26"/>
        </w:rPr>
        <w:t xml:space="preserve"> of public convenience be issued to </w:t>
      </w:r>
      <w:r>
        <w:rPr>
          <w:color w:val="000000" w:themeColor="text1"/>
          <w:sz w:val="26"/>
          <w:szCs w:val="26"/>
        </w:rPr>
        <w:t xml:space="preserve">the Windstream PA Utilities </w:t>
      </w:r>
      <w:r w:rsidRPr="000267A0">
        <w:rPr>
          <w:color w:val="000000" w:themeColor="text1"/>
          <w:sz w:val="26"/>
          <w:szCs w:val="26"/>
        </w:rPr>
        <w:t xml:space="preserve">evidencing our approval of the </w:t>
      </w:r>
      <w:r>
        <w:rPr>
          <w:color w:val="000000" w:themeColor="text1"/>
          <w:sz w:val="26"/>
          <w:szCs w:val="26"/>
        </w:rPr>
        <w:t xml:space="preserve">two-step general rule indirect transfer of control.  Upon Joint Applicants’ satisfaction of the conditions </w:t>
      </w:r>
      <w:r>
        <w:rPr>
          <w:color w:val="000000" w:themeColor="text1"/>
          <w:sz w:val="26"/>
          <w:szCs w:val="26"/>
        </w:rPr>
        <w:lastRenderedPageBreak/>
        <w:t xml:space="preserve">herein, a Secretarial Letter shall be issued noting final approval, and certificates of public convenience will be issued at that time.  </w:t>
      </w:r>
    </w:p>
    <w:p w14:paraId="02BC1E0A" w14:textId="77777777" w:rsidR="00D86710" w:rsidRDefault="00D86710" w:rsidP="007345C5">
      <w:pPr>
        <w:ind w:firstLine="720"/>
        <w:rPr>
          <w:color w:val="000000" w:themeColor="text1"/>
          <w:sz w:val="26"/>
          <w:szCs w:val="26"/>
        </w:rPr>
      </w:pPr>
    </w:p>
    <w:p w14:paraId="401786B4" w14:textId="083F6848" w:rsidR="000267A0" w:rsidRPr="001427BC" w:rsidRDefault="00AD702D" w:rsidP="000267A0">
      <w:pPr>
        <w:rPr>
          <w:color w:val="000000" w:themeColor="text1"/>
          <w:sz w:val="26"/>
          <w:szCs w:val="26"/>
        </w:rPr>
      </w:pPr>
      <w:bookmarkStart w:id="7" w:name="_GoBack"/>
      <w:r w:rsidRPr="009F01BA">
        <w:rPr>
          <w:b/>
          <w:noProof/>
          <w:sz w:val="20"/>
        </w:rPr>
        <w:drawing>
          <wp:anchor distT="0" distB="0" distL="114300" distR="114300" simplePos="0" relativeHeight="251661312" behindDoc="1" locked="0" layoutInCell="1" allowOverlap="1" wp14:anchorId="45EED0B5" wp14:editId="5EB2D34D">
            <wp:simplePos x="0" y="0"/>
            <wp:positionH relativeFrom="column">
              <wp:posOffset>3028950</wp:posOffset>
            </wp:positionH>
            <wp:positionV relativeFrom="paragraph">
              <wp:posOffset>150495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7"/>
      <w:r w:rsidR="000267A0" w:rsidRPr="001427BC">
        <w:rPr>
          <w:color w:val="000000" w:themeColor="text1"/>
          <w:sz w:val="26"/>
          <w:szCs w:val="26"/>
        </w:rPr>
        <w:tab/>
      </w:r>
      <w:r w:rsidR="000267A0" w:rsidRPr="001427BC">
        <w:rPr>
          <w:color w:val="000000" w:themeColor="text1"/>
          <w:sz w:val="26"/>
          <w:szCs w:val="26"/>
        </w:rPr>
        <w:tab/>
      </w:r>
      <w:r w:rsidR="000267A0" w:rsidRPr="001427BC">
        <w:rPr>
          <w:color w:val="000000" w:themeColor="text1"/>
          <w:sz w:val="26"/>
          <w:szCs w:val="26"/>
        </w:rPr>
        <w:tab/>
      </w:r>
      <w:r w:rsidR="000267A0" w:rsidRPr="001427BC">
        <w:rPr>
          <w:color w:val="000000" w:themeColor="text1"/>
          <w:sz w:val="26"/>
          <w:szCs w:val="26"/>
        </w:rPr>
        <w:tab/>
      </w:r>
      <w:r w:rsidR="000267A0" w:rsidRPr="001427BC">
        <w:rPr>
          <w:color w:val="000000" w:themeColor="text1"/>
          <w:sz w:val="26"/>
          <w:szCs w:val="26"/>
        </w:rPr>
        <w:tab/>
      </w:r>
      <w:r w:rsidR="000267A0" w:rsidRPr="001427BC">
        <w:rPr>
          <w:color w:val="000000" w:themeColor="text1"/>
          <w:sz w:val="26"/>
          <w:szCs w:val="26"/>
        </w:rPr>
        <w:tab/>
      </w:r>
      <w:r w:rsidR="000267A0" w:rsidRPr="001427BC">
        <w:rPr>
          <w:color w:val="000000" w:themeColor="text1"/>
          <w:sz w:val="26"/>
          <w:szCs w:val="26"/>
        </w:rPr>
        <w:tab/>
      </w:r>
      <w:r w:rsidR="00E90C28" w:rsidRPr="001427BC">
        <w:rPr>
          <w:sz w:val="26"/>
          <w:szCs w:val="26"/>
        </w:rPr>
        <w:t>BY THE COMMISSION</w:t>
      </w:r>
      <w:r w:rsidR="000267A0" w:rsidRPr="001427BC">
        <w:rPr>
          <w:color w:val="000000" w:themeColor="text1"/>
          <w:sz w:val="26"/>
          <w:szCs w:val="26"/>
        </w:rPr>
        <w:t xml:space="preserve">, </w:t>
      </w:r>
    </w:p>
    <w:p w14:paraId="619783DA" w14:textId="4467296A" w:rsidR="000267A0" w:rsidRPr="001427BC" w:rsidRDefault="000267A0" w:rsidP="000267A0">
      <w:pPr>
        <w:rPr>
          <w:color w:val="000000" w:themeColor="text1"/>
          <w:sz w:val="26"/>
          <w:szCs w:val="26"/>
        </w:rPr>
      </w:pPr>
    </w:p>
    <w:p w14:paraId="609126CE" w14:textId="7699E051" w:rsidR="00DA49ED" w:rsidRPr="001427BC" w:rsidRDefault="00DA49ED" w:rsidP="000267A0">
      <w:pPr>
        <w:rPr>
          <w:color w:val="000000" w:themeColor="text1"/>
          <w:sz w:val="26"/>
          <w:szCs w:val="26"/>
        </w:rPr>
      </w:pPr>
    </w:p>
    <w:p w14:paraId="3583AF4B" w14:textId="07BF6372" w:rsidR="006630BA" w:rsidRDefault="006630BA" w:rsidP="000267A0">
      <w:pPr>
        <w:rPr>
          <w:color w:val="000000" w:themeColor="text1"/>
          <w:sz w:val="26"/>
          <w:szCs w:val="26"/>
        </w:rPr>
      </w:pPr>
    </w:p>
    <w:p w14:paraId="5456AEE1" w14:textId="77777777" w:rsidR="00FA0EE6" w:rsidRPr="001427BC" w:rsidRDefault="00FA0EE6" w:rsidP="000267A0">
      <w:pPr>
        <w:rPr>
          <w:color w:val="000000" w:themeColor="text1"/>
          <w:sz w:val="26"/>
          <w:szCs w:val="26"/>
        </w:rPr>
      </w:pPr>
    </w:p>
    <w:p w14:paraId="5628D0D9" w14:textId="77777777" w:rsidR="000267A0" w:rsidRPr="001427BC" w:rsidRDefault="000267A0" w:rsidP="000267A0">
      <w:pPr>
        <w:rPr>
          <w:color w:val="000000" w:themeColor="text1"/>
          <w:sz w:val="26"/>
          <w:szCs w:val="26"/>
        </w:rPr>
      </w:pPr>
      <w:r w:rsidRPr="001427BC">
        <w:rPr>
          <w:color w:val="000000" w:themeColor="text1"/>
          <w:sz w:val="26"/>
          <w:szCs w:val="26"/>
        </w:rPr>
        <w:tab/>
      </w:r>
      <w:r w:rsidRPr="001427BC">
        <w:rPr>
          <w:color w:val="000000" w:themeColor="text1"/>
          <w:sz w:val="26"/>
          <w:szCs w:val="26"/>
        </w:rPr>
        <w:tab/>
      </w:r>
      <w:r w:rsidRPr="001427BC">
        <w:rPr>
          <w:color w:val="000000" w:themeColor="text1"/>
          <w:sz w:val="26"/>
          <w:szCs w:val="26"/>
        </w:rPr>
        <w:tab/>
      </w:r>
      <w:r w:rsidRPr="001427BC">
        <w:rPr>
          <w:color w:val="000000" w:themeColor="text1"/>
          <w:sz w:val="26"/>
          <w:szCs w:val="26"/>
        </w:rPr>
        <w:tab/>
      </w:r>
      <w:r w:rsidRPr="001427BC">
        <w:rPr>
          <w:color w:val="000000" w:themeColor="text1"/>
          <w:sz w:val="26"/>
          <w:szCs w:val="26"/>
        </w:rPr>
        <w:tab/>
      </w:r>
      <w:r w:rsidRPr="001427BC">
        <w:rPr>
          <w:color w:val="000000" w:themeColor="text1"/>
          <w:sz w:val="26"/>
          <w:szCs w:val="26"/>
        </w:rPr>
        <w:tab/>
      </w:r>
      <w:r w:rsidRPr="001427BC">
        <w:rPr>
          <w:color w:val="000000" w:themeColor="text1"/>
          <w:sz w:val="26"/>
          <w:szCs w:val="26"/>
        </w:rPr>
        <w:tab/>
        <w:t>Rosemary Chiavetta</w:t>
      </w:r>
    </w:p>
    <w:p w14:paraId="76E0FEDA" w14:textId="4A006CC9" w:rsidR="000267A0" w:rsidRPr="001427BC" w:rsidRDefault="000267A0" w:rsidP="000267A0">
      <w:pPr>
        <w:rPr>
          <w:color w:val="000000" w:themeColor="text1"/>
          <w:sz w:val="26"/>
          <w:szCs w:val="26"/>
        </w:rPr>
      </w:pPr>
      <w:r w:rsidRPr="001427BC">
        <w:rPr>
          <w:color w:val="000000" w:themeColor="text1"/>
          <w:sz w:val="26"/>
          <w:szCs w:val="26"/>
        </w:rPr>
        <w:tab/>
      </w:r>
      <w:r w:rsidRPr="001427BC">
        <w:rPr>
          <w:color w:val="000000" w:themeColor="text1"/>
          <w:sz w:val="26"/>
          <w:szCs w:val="26"/>
        </w:rPr>
        <w:tab/>
      </w:r>
      <w:r w:rsidRPr="001427BC">
        <w:rPr>
          <w:color w:val="000000" w:themeColor="text1"/>
          <w:sz w:val="26"/>
          <w:szCs w:val="26"/>
        </w:rPr>
        <w:tab/>
      </w:r>
      <w:r w:rsidRPr="001427BC">
        <w:rPr>
          <w:color w:val="000000" w:themeColor="text1"/>
          <w:sz w:val="26"/>
          <w:szCs w:val="26"/>
        </w:rPr>
        <w:tab/>
      </w:r>
      <w:r w:rsidRPr="001427BC">
        <w:rPr>
          <w:color w:val="000000" w:themeColor="text1"/>
          <w:sz w:val="26"/>
          <w:szCs w:val="26"/>
        </w:rPr>
        <w:tab/>
      </w:r>
      <w:r w:rsidRPr="001427BC">
        <w:rPr>
          <w:color w:val="000000" w:themeColor="text1"/>
          <w:sz w:val="26"/>
          <w:szCs w:val="26"/>
        </w:rPr>
        <w:tab/>
      </w:r>
      <w:r w:rsidRPr="001427BC">
        <w:rPr>
          <w:color w:val="000000" w:themeColor="text1"/>
          <w:sz w:val="26"/>
          <w:szCs w:val="26"/>
        </w:rPr>
        <w:tab/>
        <w:t>Secretary</w:t>
      </w:r>
    </w:p>
    <w:p w14:paraId="0D5A480B" w14:textId="4C19D1A6" w:rsidR="00E5063F" w:rsidRDefault="00E5063F" w:rsidP="000267A0">
      <w:pPr>
        <w:rPr>
          <w:color w:val="000000" w:themeColor="text1"/>
          <w:sz w:val="26"/>
          <w:szCs w:val="26"/>
        </w:rPr>
      </w:pPr>
    </w:p>
    <w:p w14:paraId="57252973" w14:textId="55A22B6B" w:rsidR="008552BA" w:rsidRDefault="000267A0" w:rsidP="0033190F">
      <w:pPr>
        <w:rPr>
          <w:color w:val="000000" w:themeColor="text1"/>
          <w:sz w:val="26"/>
          <w:szCs w:val="26"/>
        </w:rPr>
      </w:pPr>
      <w:r w:rsidRPr="001427BC">
        <w:rPr>
          <w:color w:val="000000" w:themeColor="text1"/>
          <w:sz w:val="26"/>
          <w:szCs w:val="26"/>
        </w:rPr>
        <w:t>cc:</w:t>
      </w:r>
      <w:r w:rsidRPr="001427BC">
        <w:rPr>
          <w:color w:val="000000" w:themeColor="text1"/>
          <w:sz w:val="26"/>
          <w:szCs w:val="26"/>
        </w:rPr>
        <w:tab/>
      </w:r>
      <w:r w:rsidR="008552BA">
        <w:rPr>
          <w:color w:val="000000" w:themeColor="text1"/>
          <w:sz w:val="26"/>
          <w:szCs w:val="26"/>
        </w:rPr>
        <w:t xml:space="preserve">Michael Sloan Esq., </w:t>
      </w:r>
      <w:hyperlink r:id="rId10" w:history="1">
        <w:r w:rsidR="00B81BCB" w:rsidRPr="005067F3">
          <w:rPr>
            <w:rStyle w:val="Hyperlink"/>
            <w:sz w:val="26"/>
            <w:szCs w:val="26"/>
          </w:rPr>
          <w:t>michaelsloan@dwt.com</w:t>
        </w:r>
      </w:hyperlink>
      <w:r w:rsidR="00B81BCB">
        <w:rPr>
          <w:color w:val="000000" w:themeColor="text1"/>
          <w:sz w:val="26"/>
          <w:szCs w:val="26"/>
        </w:rPr>
        <w:t xml:space="preserve"> </w:t>
      </w:r>
    </w:p>
    <w:p w14:paraId="5E2CAEF2" w14:textId="4AB5567B" w:rsidR="008552BA" w:rsidRDefault="008552BA" w:rsidP="008552BA">
      <w:pPr>
        <w:rPr>
          <w:color w:val="000000" w:themeColor="text1"/>
          <w:sz w:val="26"/>
          <w:szCs w:val="26"/>
        </w:rPr>
      </w:pPr>
      <w:r>
        <w:rPr>
          <w:color w:val="000000" w:themeColor="text1"/>
          <w:sz w:val="26"/>
          <w:szCs w:val="26"/>
        </w:rPr>
        <w:tab/>
        <w:t xml:space="preserve">Mark P. </w:t>
      </w:r>
      <w:proofErr w:type="spellStart"/>
      <w:r>
        <w:rPr>
          <w:color w:val="000000" w:themeColor="text1"/>
          <w:sz w:val="26"/>
          <w:szCs w:val="26"/>
        </w:rPr>
        <w:t>Trinchero</w:t>
      </w:r>
      <w:proofErr w:type="spellEnd"/>
      <w:r>
        <w:rPr>
          <w:color w:val="000000" w:themeColor="text1"/>
          <w:sz w:val="26"/>
          <w:szCs w:val="26"/>
        </w:rPr>
        <w:t xml:space="preserve">, Esq., </w:t>
      </w:r>
      <w:hyperlink r:id="rId11" w:history="1">
        <w:r w:rsidR="00B81BCB" w:rsidRPr="005067F3">
          <w:rPr>
            <w:rStyle w:val="Hyperlink"/>
            <w:sz w:val="26"/>
            <w:szCs w:val="26"/>
          </w:rPr>
          <w:t>marktrinchero@dwt.com</w:t>
        </w:r>
      </w:hyperlink>
      <w:r w:rsidR="00B81BCB">
        <w:rPr>
          <w:color w:val="000000" w:themeColor="text1"/>
          <w:sz w:val="26"/>
          <w:szCs w:val="26"/>
        </w:rPr>
        <w:t xml:space="preserve"> </w:t>
      </w:r>
    </w:p>
    <w:p w14:paraId="357ED2E0" w14:textId="41476C77" w:rsidR="008552BA" w:rsidRDefault="008552BA" w:rsidP="008552BA">
      <w:pPr>
        <w:rPr>
          <w:color w:val="000000" w:themeColor="text1"/>
          <w:sz w:val="26"/>
          <w:szCs w:val="26"/>
        </w:rPr>
      </w:pPr>
      <w:r>
        <w:rPr>
          <w:color w:val="000000" w:themeColor="text1"/>
          <w:sz w:val="26"/>
          <w:szCs w:val="26"/>
        </w:rPr>
        <w:tab/>
        <w:t xml:space="preserve">Chris Swift, Esq., </w:t>
      </w:r>
      <w:hyperlink r:id="rId12" w:history="1">
        <w:r w:rsidR="00B81BCB" w:rsidRPr="005067F3">
          <w:rPr>
            <w:rStyle w:val="Hyperlink"/>
            <w:sz w:val="26"/>
            <w:szCs w:val="26"/>
          </w:rPr>
          <w:t>chrisswift@dwt.com</w:t>
        </w:r>
      </w:hyperlink>
      <w:r w:rsidR="00B81BCB">
        <w:rPr>
          <w:color w:val="000000" w:themeColor="text1"/>
          <w:sz w:val="26"/>
          <w:szCs w:val="26"/>
        </w:rPr>
        <w:t xml:space="preserve"> </w:t>
      </w:r>
    </w:p>
    <w:p w14:paraId="37812ACA" w14:textId="3A1C9731" w:rsidR="008552BA" w:rsidRDefault="008552BA" w:rsidP="008552BA">
      <w:pPr>
        <w:rPr>
          <w:color w:val="000000" w:themeColor="text1"/>
          <w:sz w:val="26"/>
          <w:szCs w:val="26"/>
        </w:rPr>
      </w:pPr>
      <w:r>
        <w:rPr>
          <w:color w:val="000000" w:themeColor="text1"/>
          <w:sz w:val="26"/>
          <w:szCs w:val="26"/>
        </w:rPr>
        <w:tab/>
        <w:t xml:space="preserve">Samuel Feder, Esq., </w:t>
      </w:r>
      <w:hyperlink r:id="rId13" w:history="1">
        <w:r w:rsidR="00B81BCB" w:rsidRPr="005067F3">
          <w:rPr>
            <w:rStyle w:val="Hyperlink"/>
            <w:sz w:val="26"/>
            <w:szCs w:val="26"/>
          </w:rPr>
          <w:t>sfeder@jenner.com</w:t>
        </w:r>
      </w:hyperlink>
      <w:r w:rsidR="00B81BCB">
        <w:rPr>
          <w:color w:val="000000" w:themeColor="text1"/>
          <w:sz w:val="26"/>
          <w:szCs w:val="26"/>
        </w:rPr>
        <w:t xml:space="preserve"> </w:t>
      </w:r>
    </w:p>
    <w:p w14:paraId="30FE9ADD" w14:textId="22C7DA6A" w:rsidR="008552BA" w:rsidRDefault="008552BA" w:rsidP="008552BA">
      <w:pPr>
        <w:rPr>
          <w:color w:val="000000" w:themeColor="text1"/>
          <w:sz w:val="26"/>
          <w:szCs w:val="26"/>
        </w:rPr>
      </w:pPr>
      <w:r>
        <w:rPr>
          <w:color w:val="000000" w:themeColor="text1"/>
          <w:sz w:val="26"/>
          <w:szCs w:val="26"/>
        </w:rPr>
        <w:tab/>
        <w:t xml:space="preserve">Luke </w:t>
      </w:r>
      <w:proofErr w:type="spellStart"/>
      <w:r>
        <w:rPr>
          <w:color w:val="000000" w:themeColor="text1"/>
          <w:sz w:val="26"/>
          <w:szCs w:val="26"/>
        </w:rPr>
        <w:t>Platzer</w:t>
      </w:r>
      <w:proofErr w:type="spellEnd"/>
      <w:r>
        <w:rPr>
          <w:color w:val="000000" w:themeColor="text1"/>
          <w:sz w:val="26"/>
          <w:szCs w:val="26"/>
        </w:rPr>
        <w:t xml:space="preserve">, Esq., </w:t>
      </w:r>
      <w:hyperlink r:id="rId14" w:history="1">
        <w:r w:rsidR="00B81BCB" w:rsidRPr="005067F3">
          <w:rPr>
            <w:rStyle w:val="Hyperlink"/>
            <w:sz w:val="26"/>
            <w:szCs w:val="26"/>
          </w:rPr>
          <w:t>lplatzer@jenner.com</w:t>
        </w:r>
      </w:hyperlink>
      <w:r w:rsidR="00B81BCB">
        <w:rPr>
          <w:color w:val="000000" w:themeColor="text1"/>
          <w:sz w:val="26"/>
          <w:szCs w:val="26"/>
        </w:rPr>
        <w:t xml:space="preserve"> </w:t>
      </w:r>
    </w:p>
    <w:p w14:paraId="41056756" w14:textId="0541D767" w:rsidR="008552BA" w:rsidRDefault="008552BA" w:rsidP="008552BA">
      <w:pPr>
        <w:rPr>
          <w:color w:val="000000" w:themeColor="text1"/>
          <w:sz w:val="26"/>
          <w:szCs w:val="26"/>
        </w:rPr>
      </w:pPr>
      <w:r>
        <w:rPr>
          <w:color w:val="000000" w:themeColor="text1"/>
          <w:sz w:val="26"/>
          <w:szCs w:val="26"/>
        </w:rPr>
        <w:tab/>
        <w:t xml:space="preserve">David Didion, Esq., </w:t>
      </w:r>
      <w:hyperlink r:id="rId15" w:history="1">
        <w:r w:rsidR="00B81BCB" w:rsidRPr="005067F3">
          <w:rPr>
            <w:rStyle w:val="Hyperlink"/>
            <w:sz w:val="26"/>
            <w:szCs w:val="26"/>
          </w:rPr>
          <w:t>ddidion@jenner.com</w:t>
        </w:r>
      </w:hyperlink>
      <w:r w:rsidR="00B81BCB">
        <w:rPr>
          <w:color w:val="000000" w:themeColor="text1"/>
          <w:sz w:val="26"/>
          <w:szCs w:val="26"/>
        </w:rPr>
        <w:t xml:space="preserve"> </w:t>
      </w:r>
    </w:p>
    <w:p w14:paraId="3D5DF442" w14:textId="6CEB6C94" w:rsidR="008552BA" w:rsidRDefault="008552BA" w:rsidP="008552BA">
      <w:pPr>
        <w:rPr>
          <w:color w:val="000000" w:themeColor="text1"/>
          <w:sz w:val="26"/>
          <w:szCs w:val="26"/>
        </w:rPr>
      </w:pPr>
      <w:r>
        <w:rPr>
          <w:color w:val="000000" w:themeColor="text1"/>
          <w:sz w:val="26"/>
          <w:szCs w:val="26"/>
        </w:rPr>
        <w:tab/>
      </w:r>
      <w:proofErr w:type="spellStart"/>
      <w:r>
        <w:rPr>
          <w:color w:val="000000" w:themeColor="text1"/>
          <w:sz w:val="26"/>
          <w:szCs w:val="26"/>
        </w:rPr>
        <w:t>Camillie</w:t>
      </w:r>
      <w:proofErr w:type="spellEnd"/>
      <w:r>
        <w:rPr>
          <w:color w:val="000000" w:themeColor="text1"/>
          <w:sz w:val="26"/>
          <w:szCs w:val="26"/>
        </w:rPr>
        <w:t xml:space="preserve"> </w:t>
      </w:r>
      <w:proofErr w:type="spellStart"/>
      <w:r>
        <w:rPr>
          <w:color w:val="000000" w:themeColor="text1"/>
          <w:sz w:val="26"/>
          <w:szCs w:val="26"/>
        </w:rPr>
        <w:t>Landron</w:t>
      </w:r>
      <w:proofErr w:type="spellEnd"/>
      <w:r>
        <w:rPr>
          <w:color w:val="000000" w:themeColor="text1"/>
          <w:sz w:val="26"/>
          <w:szCs w:val="26"/>
        </w:rPr>
        <w:t xml:space="preserve">, Esq., </w:t>
      </w:r>
      <w:hyperlink r:id="rId16" w:history="1">
        <w:r w:rsidR="00B81BCB" w:rsidRPr="005067F3">
          <w:rPr>
            <w:rStyle w:val="Hyperlink"/>
            <w:sz w:val="26"/>
            <w:szCs w:val="26"/>
          </w:rPr>
          <w:t>clandron@jenner.com</w:t>
        </w:r>
      </w:hyperlink>
      <w:r w:rsidR="00B81BCB">
        <w:rPr>
          <w:color w:val="000000" w:themeColor="text1"/>
          <w:sz w:val="26"/>
          <w:szCs w:val="26"/>
        </w:rPr>
        <w:t xml:space="preserve"> </w:t>
      </w:r>
    </w:p>
    <w:p w14:paraId="2D88104B" w14:textId="2213C9F4" w:rsidR="008552BA" w:rsidRDefault="008552BA" w:rsidP="008552BA">
      <w:pPr>
        <w:rPr>
          <w:color w:val="000000" w:themeColor="text1"/>
          <w:sz w:val="26"/>
          <w:szCs w:val="26"/>
        </w:rPr>
      </w:pPr>
      <w:r>
        <w:rPr>
          <w:color w:val="000000" w:themeColor="text1"/>
          <w:sz w:val="26"/>
          <w:szCs w:val="26"/>
        </w:rPr>
        <w:tab/>
        <w:t xml:space="preserve">Ms. Carol Keith, </w:t>
      </w:r>
      <w:hyperlink r:id="rId17" w:history="1">
        <w:r w:rsidR="00B81BCB" w:rsidRPr="005067F3">
          <w:rPr>
            <w:rStyle w:val="Hyperlink"/>
            <w:sz w:val="26"/>
            <w:szCs w:val="26"/>
          </w:rPr>
          <w:t>carol.keith@windstream.com</w:t>
        </w:r>
      </w:hyperlink>
      <w:r w:rsidR="00B81BCB">
        <w:rPr>
          <w:color w:val="000000" w:themeColor="text1"/>
          <w:sz w:val="26"/>
          <w:szCs w:val="26"/>
        </w:rPr>
        <w:t xml:space="preserve"> </w:t>
      </w:r>
    </w:p>
    <w:p w14:paraId="58AE5D17" w14:textId="41670D37" w:rsidR="008552BA" w:rsidRDefault="008552BA" w:rsidP="008552BA">
      <w:pPr>
        <w:rPr>
          <w:color w:val="000000" w:themeColor="text1"/>
          <w:sz w:val="26"/>
          <w:szCs w:val="26"/>
        </w:rPr>
      </w:pPr>
      <w:r>
        <w:rPr>
          <w:color w:val="000000" w:themeColor="text1"/>
          <w:sz w:val="26"/>
          <w:szCs w:val="26"/>
        </w:rPr>
        <w:tab/>
        <w:t xml:space="preserve">Ms. Nicole Winters, </w:t>
      </w:r>
      <w:hyperlink r:id="rId18" w:history="1">
        <w:r w:rsidR="00B81BCB" w:rsidRPr="005067F3">
          <w:rPr>
            <w:rStyle w:val="Hyperlink"/>
            <w:sz w:val="26"/>
            <w:szCs w:val="26"/>
          </w:rPr>
          <w:t>nicole.winters@windstream.com</w:t>
        </w:r>
      </w:hyperlink>
      <w:r w:rsidR="00B81BCB">
        <w:rPr>
          <w:color w:val="000000" w:themeColor="text1"/>
          <w:sz w:val="26"/>
          <w:szCs w:val="26"/>
        </w:rPr>
        <w:t xml:space="preserve"> </w:t>
      </w:r>
    </w:p>
    <w:p w14:paraId="4F619E85" w14:textId="1A71C21E" w:rsidR="008552BA" w:rsidRDefault="008552BA" w:rsidP="008552BA">
      <w:pPr>
        <w:rPr>
          <w:color w:val="000000" w:themeColor="text1"/>
          <w:sz w:val="26"/>
          <w:szCs w:val="26"/>
        </w:rPr>
      </w:pPr>
      <w:r>
        <w:rPr>
          <w:color w:val="000000" w:themeColor="text1"/>
          <w:sz w:val="26"/>
          <w:szCs w:val="26"/>
        </w:rPr>
        <w:tab/>
        <w:t xml:space="preserve">Meredith </w:t>
      </w:r>
      <w:proofErr w:type="spellStart"/>
      <w:r>
        <w:rPr>
          <w:color w:val="000000" w:themeColor="text1"/>
          <w:sz w:val="26"/>
          <w:szCs w:val="26"/>
        </w:rPr>
        <w:t>Senter</w:t>
      </w:r>
      <w:proofErr w:type="spellEnd"/>
      <w:r>
        <w:rPr>
          <w:color w:val="000000" w:themeColor="text1"/>
          <w:sz w:val="26"/>
          <w:szCs w:val="26"/>
        </w:rPr>
        <w:t xml:space="preserve">, Esq., </w:t>
      </w:r>
      <w:hyperlink r:id="rId19" w:history="1">
        <w:r w:rsidR="00B81BCB" w:rsidRPr="005067F3">
          <w:rPr>
            <w:rStyle w:val="Hyperlink"/>
            <w:sz w:val="26"/>
            <w:szCs w:val="26"/>
          </w:rPr>
          <w:t>msenter@lermansenter.com</w:t>
        </w:r>
      </w:hyperlink>
      <w:r w:rsidR="00B81BCB">
        <w:rPr>
          <w:color w:val="000000" w:themeColor="text1"/>
          <w:sz w:val="26"/>
          <w:szCs w:val="26"/>
        </w:rPr>
        <w:t xml:space="preserve"> </w:t>
      </w:r>
    </w:p>
    <w:p w14:paraId="4A01C4B0" w14:textId="3EF7F688" w:rsidR="008552BA" w:rsidRDefault="008552BA" w:rsidP="008552BA">
      <w:pPr>
        <w:rPr>
          <w:color w:val="000000" w:themeColor="text1"/>
          <w:sz w:val="26"/>
          <w:szCs w:val="26"/>
        </w:rPr>
      </w:pPr>
      <w:r>
        <w:rPr>
          <w:color w:val="000000" w:themeColor="text1"/>
          <w:sz w:val="26"/>
          <w:szCs w:val="26"/>
        </w:rPr>
        <w:tab/>
        <w:t xml:space="preserve">David Keir, Esq., </w:t>
      </w:r>
      <w:hyperlink r:id="rId20" w:history="1">
        <w:r w:rsidR="00B81BCB" w:rsidRPr="005067F3">
          <w:rPr>
            <w:rStyle w:val="Hyperlink"/>
            <w:sz w:val="26"/>
            <w:szCs w:val="26"/>
          </w:rPr>
          <w:t>dkeir@lermansenter.com</w:t>
        </w:r>
      </w:hyperlink>
      <w:r w:rsidR="00B81BCB">
        <w:rPr>
          <w:color w:val="000000" w:themeColor="text1"/>
          <w:sz w:val="26"/>
          <w:szCs w:val="26"/>
        </w:rPr>
        <w:t xml:space="preserve"> </w:t>
      </w:r>
    </w:p>
    <w:p w14:paraId="01701DDA" w14:textId="312403CC" w:rsidR="008552BA" w:rsidRDefault="008552BA" w:rsidP="008552BA">
      <w:pPr>
        <w:rPr>
          <w:color w:val="000000" w:themeColor="text1"/>
          <w:sz w:val="26"/>
          <w:szCs w:val="26"/>
        </w:rPr>
      </w:pPr>
      <w:r>
        <w:rPr>
          <w:color w:val="000000" w:themeColor="text1"/>
          <w:sz w:val="26"/>
          <w:szCs w:val="26"/>
        </w:rPr>
        <w:tab/>
        <w:t>Jeff Carlisle</w:t>
      </w:r>
      <w:r w:rsidR="00ED65E2">
        <w:rPr>
          <w:color w:val="000000" w:themeColor="text1"/>
          <w:sz w:val="26"/>
          <w:szCs w:val="26"/>
        </w:rPr>
        <w:t>, Esq.</w:t>
      </w:r>
      <w:r>
        <w:rPr>
          <w:color w:val="000000" w:themeColor="text1"/>
          <w:sz w:val="26"/>
          <w:szCs w:val="26"/>
        </w:rPr>
        <w:t xml:space="preserve">, </w:t>
      </w:r>
      <w:hyperlink r:id="rId21" w:history="1">
        <w:r w:rsidR="00B81BCB" w:rsidRPr="005067F3">
          <w:rPr>
            <w:rStyle w:val="Hyperlink"/>
            <w:sz w:val="26"/>
            <w:szCs w:val="26"/>
          </w:rPr>
          <w:t>jcarlisle@lermansenter.com</w:t>
        </w:r>
      </w:hyperlink>
      <w:r w:rsidR="00B81BCB">
        <w:rPr>
          <w:color w:val="000000" w:themeColor="text1"/>
          <w:sz w:val="26"/>
          <w:szCs w:val="26"/>
        </w:rPr>
        <w:t xml:space="preserve"> </w:t>
      </w:r>
    </w:p>
    <w:p w14:paraId="32868EC1" w14:textId="72936624" w:rsidR="000267A0" w:rsidRDefault="008552BA" w:rsidP="0033190F">
      <w:pPr>
        <w:rPr>
          <w:color w:val="000000" w:themeColor="text1"/>
          <w:sz w:val="26"/>
          <w:szCs w:val="26"/>
        </w:rPr>
      </w:pPr>
      <w:r>
        <w:rPr>
          <w:color w:val="000000" w:themeColor="text1"/>
          <w:sz w:val="26"/>
          <w:szCs w:val="26"/>
        </w:rPr>
        <w:tab/>
      </w:r>
      <w:r w:rsidR="00ED65E2">
        <w:rPr>
          <w:color w:val="000000" w:themeColor="text1"/>
          <w:sz w:val="26"/>
          <w:szCs w:val="26"/>
        </w:rPr>
        <w:t xml:space="preserve">Ms. </w:t>
      </w:r>
      <w:r w:rsidR="000267A0" w:rsidRPr="0033190F">
        <w:rPr>
          <w:color w:val="000000" w:themeColor="text1"/>
          <w:sz w:val="26"/>
          <w:szCs w:val="26"/>
        </w:rPr>
        <w:t xml:space="preserve">Melissa Derr, </w:t>
      </w:r>
      <w:hyperlink r:id="rId22" w:history="1">
        <w:r w:rsidR="00ED65E2" w:rsidRPr="005067F3">
          <w:rPr>
            <w:rStyle w:val="Hyperlink"/>
            <w:sz w:val="26"/>
            <w:szCs w:val="26"/>
          </w:rPr>
          <w:t>mderr@pa.gov</w:t>
        </w:r>
      </w:hyperlink>
      <w:r w:rsidR="00ED65E2">
        <w:rPr>
          <w:color w:val="000000" w:themeColor="text1"/>
          <w:sz w:val="26"/>
          <w:szCs w:val="26"/>
        </w:rPr>
        <w:t xml:space="preserve"> </w:t>
      </w:r>
    </w:p>
    <w:p w14:paraId="219C52B9" w14:textId="39A7B531" w:rsidR="00632F12" w:rsidRDefault="00632F12" w:rsidP="0033190F">
      <w:pPr>
        <w:rPr>
          <w:color w:val="000000" w:themeColor="text1"/>
          <w:sz w:val="26"/>
          <w:szCs w:val="26"/>
        </w:rPr>
      </w:pPr>
      <w:r>
        <w:rPr>
          <w:color w:val="000000" w:themeColor="text1"/>
          <w:sz w:val="26"/>
          <w:szCs w:val="26"/>
        </w:rPr>
        <w:tab/>
      </w:r>
      <w:r w:rsidR="00ED65E2">
        <w:rPr>
          <w:color w:val="000000" w:themeColor="text1"/>
          <w:sz w:val="26"/>
          <w:szCs w:val="26"/>
        </w:rPr>
        <w:t xml:space="preserve">Mr. </w:t>
      </w:r>
      <w:r>
        <w:rPr>
          <w:color w:val="000000" w:themeColor="text1"/>
          <w:sz w:val="26"/>
          <w:szCs w:val="26"/>
        </w:rPr>
        <w:t xml:space="preserve">Matthew </w:t>
      </w:r>
      <w:proofErr w:type="spellStart"/>
      <w:r>
        <w:rPr>
          <w:color w:val="000000" w:themeColor="text1"/>
          <w:sz w:val="26"/>
          <w:szCs w:val="26"/>
        </w:rPr>
        <w:t>Hrivak</w:t>
      </w:r>
      <w:proofErr w:type="spellEnd"/>
      <w:r>
        <w:rPr>
          <w:color w:val="000000" w:themeColor="text1"/>
          <w:sz w:val="26"/>
          <w:szCs w:val="26"/>
        </w:rPr>
        <w:t xml:space="preserve">, </w:t>
      </w:r>
      <w:hyperlink r:id="rId23" w:history="1">
        <w:r w:rsidR="00ED65E2" w:rsidRPr="005067F3">
          <w:rPr>
            <w:rStyle w:val="Hyperlink"/>
            <w:sz w:val="26"/>
            <w:szCs w:val="26"/>
          </w:rPr>
          <w:t>mhrivnak@pa.gov</w:t>
        </w:r>
      </w:hyperlink>
      <w:r w:rsidR="00ED65E2">
        <w:rPr>
          <w:color w:val="000000" w:themeColor="text1"/>
          <w:sz w:val="26"/>
          <w:szCs w:val="26"/>
        </w:rPr>
        <w:t xml:space="preserve"> </w:t>
      </w:r>
    </w:p>
    <w:p w14:paraId="5A467C3A" w14:textId="56A5691E" w:rsidR="00ED65E2" w:rsidRDefault="00ED65E2" w:rsidP="0033190F">
      <w:pPr>
        <w:rPr>
          <w:color w:val="000000" w:themeColor="text1"/>
          <w:sz w:val="26"/>
          <w:szCs w:val="26"/>
        </w:rPr>
      </w:pPr>
      <w:r>
        <w:rPr>
          <w:color w:val="000000" w:themeColor="text1"/>
          <w:sz w:val="26"/>
          <w:szCs w:val="26"/>
        </w:rPr>
        <w:tab/>
        <w:t xml:space="preserve">Ms. Marie Intrieri, </w:t>
      </w:r>
      <w:hyperlink r:id="rId24" w:history="1">
        <w:r w:rsidRPr="005067F3">
          <w:rPr>
            <w:rStyle w:val="Hyperlink"/>
            <w:sz w:val="26"/>
            <w:szCs w:val="26"/>
          </w:rPr>
          <w:t>maintrieri@pa.gov</w:t>
        </w:r>
      </w:hyperlink>
      <w:r>
        <w:rPr>
          <w:color w:val="000000" w:themeColor="text1"/>
          <w:sz w:val="26"/>
          <w:szCs w:val="26"/>
        </w:rPr>
        <w:t xml:space="preserve"> </w:t>
      </w:r>
    </w:p>
    <w:p w14:paraId="74FECD2D" w14:textId="6A4ACA49" w:rsidR="008552BA" w:rsidRPr="0033190F" w:rsidRDefault="008552BA" w:rsidP="0033190F">
      <w:pPr>
        <w:rPr>
          <w:color w:val="000000" w:themeColor="text1"/>
          <w:sz w:val="26"/>
          <w:szCs w:val="26"/>
        </w:rPr>
      </w:pPr>
      <w:r>
        <w:rPr>
          <w:color w:val="000000" w:themeColor="text1"/>
          <w:sz w:val="26"/>
          <w:szCs w:val="26"/>
        </w:rPr>
        <w:tab/>
      </w:r>
      <w:r w:rsidR="00517C3B">
        <w:rPr>
          <w:color w:val="000000" w:themeColor="text1"/>
          <w:sz w:val="26"/>
          <w:szCs w:val="26"/>
        </w:rPr>
        <w:t>Pennsylvania Emergency Management Association</w:t>
      </w:r>
    </w:p>
    <w:p w14:paraId="2E8314BD" w14:textId="3F1D73B4" w:rsidR="002F65B4" w:rsidRPr="001427BC" w:rsidRDefault="002F65B4" w:rsidP="00FE44CC">
      <w:pPr>
        <w:ind w:firstLine="720"/>
        <w:rPr>
          <w:sz w:val="26"/>
          <w:szCs w:val="26"/>
        </w:rPr>
      </w:pPr>
    </w:p>
    <w:sectPr w:rsidR="002F65B4" w:rsidRPr="001427BC" w:rsidSect="00C974FF">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1440" w:bottom="1152"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1AF81" w14:textId="77777777" w:rsidR="00A414E4" w:rsidRDefault="00A414E4">
      <w:r>
        <w:separator/>
      </w:r>
    </w:p>
  </w:endnote>
  <w:endnote w:type="continuationSeparator" w:id="0">
    <w:p w14:paraId="142C6463" w14:textId="77777777" w:rsidR="00A414E4" w:rsidRDefault="00A4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8B08F" w14:textId="77777777" w:rsidR="00476910" w:rsidRDefault="00476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1765982722"/>
      <w:docPartObj>
        <w:docPartGallery w:val="Page Numbers (Bottom of Page)"/>
        <w:docPartUnique/>
      </w:docPartObj>
    </w:sdtPr>
    <w:sdtEndPr>
      <w:rPr>
        <w:noProof/>
      </w:rPr>
    </w:sdtEndPr>
    <w:sdtContent>
      <w:p w14:paraId="0771F483" w14:textId="360DD509" w:rsidR="00476910" w:rsidRPr="00EB2933" w:rsidRDefault="00476910" w:rsidP="00EB2933">
        <w:pPr>
          <w:pStyle w:val="Footer"/>
          <w:jc w:val="center"/>
          <w:rPr>
            <w:sz w:val="20"/>
          </w:rPr>
        </w:pPr>
        <w:r w:rsidRPr="00EB2933">
          <w:rPr>
            <w:sz w:val="20"/>
          </w:rPr>
          <w:fldChar w:fldCharType="begin"/>
        </w:r>
        <w:r w:rsidRPr="00EB2933">
          <w:rPr>
            <w:sz w:val="20"/>
          </w:rPr>
          <w:instrText xml:space="preserve"> PAGE   \* MERGEFORMAT </w:instrText>
        </w:r>
        <w:r w:rsidRPr="00EB2933">
          <w:rPr>
            <w:sz w:val="20"/>
          </w:rPr>
          <w:fldChar w:fldCharType="separate"/>
        </w:r>
        <w:r w:rsidR="00A04032">
          <w:rPr>
            <w:noProof/>
            <w:sz w:val="20"/>
          </w:rPr>
          <w:t>2</w:t>
        </w:r>
        <w:r w:rsidRPr="00EB2933">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B3F99" w14:textId="77777777" w:rsidR="00476910" w:rsidRDefault="00476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7B64F" w14:textId="77777777" w:rsidR="00A414E4" w:rsidRDefault="00A414E4">
      <w:r>
        <w:separator/>
      </w:r>
    </w:p>
  </w:footnote>
  <w:footnote w:type="continuationSeparator" w:id="0">
    <w:p w14:paraId="5C286C89" w14:textId="77777777" w:rsidR="00A414E4" w:rsidRDefault="00A414E4">
      <w:r>
        <w:continuationSeparator/>
      </w:r>
    </w:p>
  </w:footnote>
  <w:footnote w:id="1">
    <w:p w14:paraId="3F5DF1C0" w14:textId="541B3B2F" w:rsidR="00450037" w:rsidRPr="00450037" w:rsidRDefault="00450037">
      <w:pPr>
        <w:pStyle w:val="FootnoteText"/>
        <w:rPr>
          <w:sz w:val="20"/>
        </w:rPr>
      </w:pPr>
      <w:r>
        <w:rPr>
          <w:rStyle w:val="FootnoteReference"/>
        </w:rPr>
        <w:footnoteRef/>
      </w:r>
      <w:r>
        <w:t xml:space="preserve"> </w:t>
      </w:r>
      <w:r w:rsidR="00A4044C" w:rsidRPr="00A4044C">
        <w:rPr>
          <w:sz w:val="20"/>
        </w:rPr>
        <w:t xml:space="preserve">Joint </w:t>
      </w:r>
      <w:r>
        <w:rPr>
          <w:sz w:val="20"/>
        </w:rPr>
        <w:t xml:space="preserve">Application at </w:t>
      </w:r>
      <w:r w:rsidR="00A4044C">
        <w:rPr>
          <w:sz w:val="20"/>
        </w:rPr>
        <w:t>1</w:t>
      </w:r>
      <w:r w:rsidR="00F60680">
        <w:rPr>
          <w:sz w:val="20"/>
        </w:rPr>
        <w:t>-2</w:t>
      </w:r>
      <w:r w:rsidR="00A4044C">
        <w:rPr>
          <w:sz w:val="20"/>
        </w:rPr>
        <w:t>.</w:t>
      </w:r>
    </w:p>
  </w:footnote>
  <w:footnote w:id="2">
    <w:p w14:paraId="3EEEDA3E" w14:textId="22DC3AB1" w:rsidR="004306EE" w:rsidRDefault="004306EE">
      <w:pPr>
        <w:pStyle w:val="FootnoteText"/>
      </w:pPr>
      <w:r>
        <w:rPr>
          <w:rStyle w:val="FootnoteReference"/>
        </w:rPr>
        <w:footnoteRef/>
      </w:r>
      <w:r>
        <w:t xml:space="preserve"> </w:t>
      </w:r>
      <w:r w:rsidRPr="004306EE">
        <w:rPr>
          <w:sz w:val="20"/>
        </w:rPr>
        <w:t>Joint Application at 2.</w:t>
      </w:r>
    </w:p>
  </w:footnote>
  <w:footnote w:id="3">
    <w:p w14:paraId="01A9C3DE" w14:textId="01FBEF1D" w:rsidR="00456974" w:rsidRDefault="00456974">
      <w:pPr>
        <w:pStyle w:val="FootnoteText"/>
      </w:pPr>
      <w:r>
        <w:rPr>
          <w:rStyle w:val="FootnoteReference"/>
        </w:rPr>
        <w:footnoteRef/>
      </w:r>
      <w:r>
        <w:t xml:space="preserve"> </w:t>
      </w:r>
      <w:r w:rsidRPr="00456974">
        <w:rPr>
          <w:sz w:val="20"/>
        </w:rPr>
        <w:t xml:space="preserve">Responses to Data Request at question </w:t>
      </w:r>
      <w:r>
        <w:rPr>
          <w:sz w:val="20"/>
        </w:rPr>
        <w:t>1</w:t>
      </w:r>
      <w:r w:rsidRPr="00456974">
        <w:rPr>
          <w:sz w:val="20"/>
        </w:rPr>
        <w:t>.</w:t>
      </w:r>
    </w:p>
  </w:footnote>
  <w:footnote w:id="4">
    <w:p w14:paraId="2E23AD1C" w14:textId="2419F9EA" w:rsidR="008C0F0C" w:rsidRDefault="008C0F0C">
      <w:pPr>
        <w:pStyle w:val="FootnoteText"/>
      </w:pPr>
      <w:r>
        <w:rPr>
          <w:rStyle w:val="FootnoteReference"/>
        </w:rPr>
        <w:footnoteRef/>
      </w:r>
      <w:r>
        <w:t xml:space="preserve"> </w:t>
      </w:r>
      <w:r w:rsidRPr="008C0F0C">
        <w:rPr>
          <w:sz w:val="20"/>
        </w:rPr>
        <w:t xml:space="preserve">Joint Application at 6. </w:t>
      </w:r>
    </w:p>
  </w:footnote>
  <w:footnote w:id="5">
    <w:p w14:paraId="42D50978" w14:textId="5711A41C" w:rsidR="000A1009" w:rsidRDefault="000A1009">
      <w:pPr>
        <w:pStyle w:val="FootnoteText"/>
      </w:pPr>
      <w:r>
        <w:rPr>
          <w:rStyle w:val="FootnoteReference"/>
        </w:rPr>
        <w:footnoteRef/>
      </w:r>
      <w:r>
        <w:t xml:space="preserve"> </w:t>
      </w:r>
      <w:r w:rsidRPr="000A1009">
        <w:rPr>
          <w:sz w:val="20"/>
        </w:rPr>
        <w:t>Joint Application at 6.</w:t>
      </w:r>
    </w:p>
  </w:footnote>
  <w:footnote w:id="6">
    <w:p w14:paraId="53AB2979" w14:textId="6A6B3972" w:rsidR="00C624D3" w:rsidRPr="00C624D3" w:rsidRDefault="00C624D3">
      <w:pPr>
        <w:pStyle w:val="FootnoteText"/>
        <w:rPr>
          <w:sz w:val="20"/>
        </w:rPr>
      </w:pPr>
      <w:r>
        <w:rPr>
          <w:rStyle w:val="FootnoteReference"/>
        </w:rPr>
        <w:footnoteRef/>
      </w:r>
      <w:r>
        <w:t xml:space="preserve"> </w:t>
      </w:r>
      <w:r w:rsidRPr="00C624D3">
        <w:rPr>
          <w:sz w:val="20"/>
        </w:rPr>
        <w:t xml:space="preserve">Joint Application at 4.  </w:t>
      </w:r>
      <w:r>
        <w:rPr>
          <w:sz w:val="20"/>
        </w:rPr>
        <w:t xml:space="preserve">Windstream notified the Commission of the bankruptcy filings by letter dated February 26, 2019.  </w:t>
      </w:r>
    </w:p>
  </w:footnote>
  <w:footnote w:id="7">
    <w:p w14:paraId="17BA7A1F" w14:textId="3D96DE82" w:rsidR="0046091E" w:rsidRPr="006650AA" w:rsidRDefault="0046091E">
      <w:pPr>
        <w:pStyle w:val="FootnoteText"/>
        <w:rPr>
          <w:sz w:val="20"/>
        </w:rPr>
      </w:pPr>
      <w:r>
        <w:rPr>
          <w:rStyle w:val="FootnoteReference"/>
        </w:rPr>
        <w:footnoteRef/>
      </w:r>
      <w:r>
        <w:t xml:space="preserve"> </w:t>
      </w:r>
      <w:r w:rsidR="006650AA" w:rsidRPr="006650AA">
        <w:rPr>
          <w:sz w:val="20"/>
        </w:rPr>
        <w:t>Copies of the Confirmation Order, the Plan, and all other documents filed in th</w:t>
      </w:r>
      <w:r w:rsidR="004E279C">
        <w:rPr>
          <w:sz w:val="20"/>
        </w:rPr>
        <w:t xml:space="preserve">e bankruptcy </w:t>
      </w:r>
      <w:r w:rsidR="006650AA" w:rsidRPr="006650AA">
        <w:rPr>
          <w:sz w:val="20"/>
        </w:rPr>
        <w:t xml:space="preserve">case are available at </w:t>
      </w:r>
      <w:hyperlink r:id="rId1" w:history="1">
        <w:r w:rsidR="006650AA" w:rsidRPr="006650AA">
          <w:rPr>
            <w:rStyle w:val="Hyperlink"/>
            <w:sz w:val="20"/>
          </w:rPr>
          <w:t>http://www.kccllc.net/windstream</w:t>
        </w:r>
      </w:hyperlink>
      <w:r w:rsidR="006650AA" w:rsidRPr="006650AA">
        <w:rPr>
          <w:sz w:val="20"/>
        </w:rPr>
        <w:t xml:space="preserve"> </w:t>
      </w:r>
      <w:r w:rsidRPr="006650AA">
        <w:rPr>
          <w:sz w:val="20"/>
        </w:rPr>
        <w:t xml:space="preserve"> </w:t>
      </w:r>
    </w:p>
  </w:footnote>
  <w:footnote w:id="8">
    <w:p w14:paraId="734D010F" w14:textId="3AA76477" w:rsidR="005F1927" w:rsidRPr="006650AA" w:rsidRDefault="005F1927">
      <w:pPr>
        <w:pStyle w:val="FootnoteText"/>
        <w:rPr>
          <w:sz w:val="20"/>
        </w:rPr>
      </w:pPr>
      <w:r w:rsidRPr="006650AA">
        <w:rPr>
          <w:rStyle w:val="FootnoteReference"/>
          <w:sz w:val="20"/>
        </w:rPr>
        <w:footnoteRef/>
      </w:r>
      <w:r w:rsidRPr="006650AA">
        <w:rPr>
          <w:sz w:val="20"/>
        </w:rPr>
        <w:t xml:space="preserve"> Joint Application at 2-3.</w:t>
      </w:r>
    </w:p>
  </w:footnote>
  <w:footnote w:id="9">
    <w:p w14:paraId="50CC4ED1" w14:textId="29309A31" w:rsidR="004F10A1" w:rsidRDefault="004F10A1">
      <w:pPr>
        <w:pStyle w:val="FootnoteText"/>
      </w:pPr>
      <w:r>
        <w:rPr>
          <w:rStyle w:val="FootnoteReference"/>
        </w:rPr>
        <w:footnoteRef/>
      </w:r>
      <w:r w:rsidRPr="004F10A1">
        <w:rPr>
          <w:sz w:val="20"/>
        </w:rPr>
        <w:t xml:space="preserve"> </w:t>
      </w:r>
      <w:r w:rsidR="0028424A">
        <w:rPr>
          <w:sz w:val="20"/>
        </w:rPr>
        <w:t>When,</w:t>
      </w:r>
      <w:r w:rsidR="0073154A">
        <w:rPr>
          <w:sz w:val="20"/>
        </w:rPr>
        <w:t xml:space="preserve"> as part of the regulatory review process</w:t>
      </w:r>
      <w:r w:rsidR="0028424A">
        <w:rPr>
          <w:sz w:val="20"/>
        </w:rPr>
        <w:t>,</w:t>
      </w:r>
      <w:r w:rsidR="0073154A">
        <w:rPr>
          <w:sz w:val="20"/>
        </w:rPr>
        <w:t xml:space="preserve"> the FCC </w:t>
      </w:r>
      <w:r w:rsidR="009A3A3A">
        <w:rPr>
          <w:sz w:val="20"/>
        </w:rPr>
        <w:t>is required to address</w:t>
      </w:r>
      <w:r w:rsidR="006A43F4">
        <w:rPr>
          <w:sz w:val="20"/>
        </w:rPr>
        <w:t xml:space="preserve"> the involvement of</w:t>
      </w:r>
      <w:r w:rsidR="009A3A3A">
        <w:rPr>
          <w:sz w:val="20"/>
        </w:rPr>
        <w:t xml:space="preserve"> foreign interests, it has authorized this “two-step” process for entities emerging from bankruptcy to expedite the process, which can otherwise be prolonged. </w:t>
      </w:r>
      <w:r w:rsidRPr="004F10A1">
        <w:rPr>
          <w:sz w:val="20"/>
        </w:rPr>
        <w:t>Joint Applicat</w:t>
      </w:r>
      <w:r>
        <w:rPr>
          <w:sz w:val="20"/>
        </w:rPr>
        <w:t>ion</w:t>
      </w:r>
      <w:r w:rsidRPr="004F10A1">
        <w:rPr>
          <w:sz w:val="20"/>
        </w:rPr>
        <w:t xml:space="preserve"> at </w:t>
      </w:r>
      <w:r w:rsidR="009A3A3A">
        <w:rPr>
          <w:sz w:val="20"/>
        </w:rPr>
        <w:t>14-</w:t>
      </w:r>
      <w:r w:rsidRPr="004F10A1">
        <w:rPr>
          <w:sz w:val="20"/>
        </w:rPr>
        <w:t>16</w:t>
      </w:r>
      <w:r w:rsidR="0071465F">
        <w:rPr>
          <w:sz w:val="20"/>
        </w:rPr>
        <w:t xml:space="preserve">; </w:t>
      </w:r>
      <w:r w:rsidR="0071465F" w:rsidRPr="007844AD">
        <w:rPr>
          <w:sz w:val="20"/>
        </w:rPr>
        <w:t>Response to Data Request at question</w:t>
      </w:r>
      <w:r w:rsidR="0071465F">
        <w:rPr>
          <w:sz w:val="20"/>
        </w:rPr>
        <w:t xml:space="preserve"> </w:t>
      </w:r>
      <w:r w:rsidR="00CB6EC9">
        <w:rPr>
          <w:sz w:val="20"/>
        </w:rPr>
        <w:t>17</w:t>
      </w:r>
      <w:r w:rsidRPr="004F10A1">
        <w:rPr>
          <w:sz w:val="20"/>
        </w:rPr>
        <w:t>.</w:t>
      </w:r>
    </w:p>
  </w:footnote>
  <w:footnote w:id="10">
    <w:p w14:paraId="09803065" w14:textId="21F582DE" w:rsidR="0021187B" w:rsidRDefault="0021187B">
      <w:pPr>
        <w:pStyle w:val="FootnoteText"/>
      </w:pPr>
      <w:r>
        <w:rPr>
          <w:rStyle w:val="FootnoteReference"/>
        </w:rPr>
        <w:footnoteRef/>
      </w:r>
      <w:r>
        <w:t xml:space="preserve"> </w:t>
      </w:r>
      <w:r w:rsidRPr="0021187B">
        <w:rPr>
          <w:sz w:val="20"/>
        </w:rPr>
        <w:t>Joint Application at 3.</w:t>
      </w:r>
    </w:p>
  </w:footnote>
  <w:footnote w:id="11">
    <w:p w14:paraId="3A5D0501" w14:textId="4823B81C" w:rsidR="004D0A1C" w:rsidRDefault="004D0A1C">
      <w:pPr>
        <w:pStyle w:val="FootnoteText"/>
      </w:pPr>
      <w:r>
        <w:rPr>
          <w:rStyle w:val="FootnoteReference"/>
        </w:rPr>
        <w:footnoteRef/>
      </w:r>
      <w:r>
        <w:t xml:space="preserve"> </w:t>
      </w:r>
      <w:r w:rsidRPr="004D0A1C">
        <w:rPr>
          <w:sz w:val="20"/>
        </w:rPr>
        <w:t>Joint Application at 10.</w:t>
      </w:r>
    </w:p>
  </w:footnote>
  <w:footnote w:id="12">
    <w:p w14:paraId="25514858" w14:textId="0CD32A2D" w:rsidR="004D0A1C" w:rsidRDefault="004D0A1C">
      <w:pPr>
        <w:pStyle w:val="FootnoteText"/>
      </w:pPr>
      <w:r>
        <w:rPr>
          <w:rStyle w:val="FootnoteReference"/>
        </w:rPr>
        <w:footnoteRef/>
      </w:r>
      <w:r>
        <w:t xml:space="preserve"> </w:t>
      </w:r>
      <w:r w:rsidRPr="00B52425">
        <w:rPr>
          <w:sz w:val="20"/>
        </w:rPr>
        <w:t>Joint Application at 11.</w:t>
      </w:r>
    </w:p>
  </w:footnote>
  <w:footnote w:id="13">
    <w:p w14:paraId="20255AEA" w14:textId="31E255B6" w:rsidR="0023044C" w:rsidRDefault="0023044C">
      <w:pPr>
        <w:pStyle w:val="FootnoteText"/>
      </w:pPr>
      <w:r>
        <w:rPr>
          <w:rStyle w:val="FootnoteReference"/>
        </w:rPr>
        <w:footnoteRef/>
      </w:r>
      <w:r>
        <w:t xml:space="preserve"> </w:t>
      </w:r>
      <w:r w:rsidRPr="0023044C">
        <w:rPr>
          <w:sz w:val="20"/>
        </w:rPr>
        <w:t>Joint Application at 12.</w:t>
      </w:r>
    </w:p>
  </w:footnote>
  <w:footnote w:id="14">
    <w:p w14:paraId="14135F0E" w14:textId="2B643E5A" w:rsidR="002D1068" w:rsidRPr="002D1068" w:rsidRDefault="002D1068">
      <w:pPr>
        <w:pStyle w:val="FootnoteText"/>
        <w:rPr>
          <w:sz w:val="20"/>
        </w:rPr>
      </w:pPr>
      <w:r>
        <w:rPr>
          <w:rStyle w:val="FootnoteReference"/>
        </w:rPr>
        <w:footnoteRef/>
      </w:r>
      <w:r>
        <w:t xml:space="preserve"> </w:t>
      </w:r>
      <w:r w:rsidR="00417490">
        <w:rPr>
          <w:sz w:val="20"/>
        </w:rPr>
        <w:t>O</w:t>
      </w:r>
      <w:r>
        <w:rPr>
          <w:sz w:val="20"/>
        </w:rPr>
        <w:t xml:space="preserve">n June 19, 2020, the Joint Applicants notified the Commission that Franklin’s ownership interest at the end of the first step has increased slightly.  In the Post-Emergence Organization Chart included in Exhibit A of the Joint Application, </w:t>
      </w:r>
      <w:r w:rsidR="00C97B15">
        <w:rPr>
          <w:sz w:val="20"/>
        </w:rPr>
        <w:t>Franklin</w:t>
      </w:r>
      <w:r>
        <w:rPr>
          <w:sz w:val="20"/>
        </w:rPr>
        <w:t xml:space="preserve"> was represented to have a 16.2% interest in New Windstream.  Based on recent developments</w:t>
      </w:r>
      <w:r w:rsidR="00C97B15">
        <w:rPr>
          <w:sz w:val="20"/>
        </w:rPr>
        <w:t>,</w:t>
      </w:r>
      <w:r>
        <w:rPr>
          <w:sz w:val="20"/>
        </w:rPr>
        <w:t xml:space="preserve"> Franklin will now hold slightly more than 20% of New Windstream at the end of </w:t>
      </w:r>
      <w:r w:rsidR="00C97B15">
        <w:rPr>
          <w:sz w:val="20"/>
        </w:rPr>
        <w:t>s</w:t>
      </w:r>
      <w:r>
        <w:rPr>
          <w:sz w:val="20"/>
        </w:rPr>
        <w:t>tep 1.  Even with this change, when the second and final step of the Transaction is completed, it is still antic</w:t>
      </w:r>
      <w:r w:rsidR="00C97B15">
        <w:rPr>
          <w:sz w:val="20"/>
        </w:rPr>
        <w:t>i</w:t>
      </w:r>
      <w:r>
        <w:rPr>
          <w:sz w:val="20"/>
        </w:rPr>
        <w:t xml:space="preserve">pated that only two of the First Lien Investors (Elliott and PIMCO) will control an ownership interest of </w:t>
      </w:r>
      <w:r w:rsidR="00A71190">
        <w:rPr>
          <w:sz w:val="20"/>
        </w:rPr>
        <w:t>10%</w:t>
      </w:r>
      <w:r>
        <w:rPr>
          <w:sz w:val="20"/>
        </w:rPr>
        <w:t xml:space="preserve"> o</w:t>
      </w:r>
      <w:r w:rsidR="00A71190">
        <w:rPr>
          <w:sz w:val="20"/>
        </w:rPr>
        <w:t>r</w:t>
      </w:r>
      <w:r>
        <w:rPr>
          <w:sz w:val="20"/>
        </w:rPr>
        <w:t xml:space="preserve"> more of New Windstream.</w:t>
      </w:r>
    </w:p>
  </w:footnote>
  <w:footnote w:id="15">
    <w:p w14:paraId="0B636ACE" w14:textId="5D282702" w:rsidR="00ED3B35" w:rsidRDefault="00ED3B35">
      <w:pPr>
        <w:pStyle w:val="FootnoteText"/>
      </w:pPr>
      <w:r>
        <w:rPr>
          <w:rStyle w:val="FootnoteReference"/>
        </w:rPr>
        <w:footnoteRef/>
      </w:r>
      <w:r>
        <w:t xml:space="preserve"> </w:t>
      </w:r>
      <w:r w:rsidRPr="002D5205">
        <w:rPr>
          <w:sz w:val="20"/>
        </w:rPr>
        <w:t>J</w:t>
      </w:r>
      <w:r w:rsidRPr="00ED3B35">
        <w:rPr>
          <w:sz w:val="20"/>
        </w:rPr>
        <w:t>oint Application at 3.</w:t>
      </w:r>
    </w:p>
  </w:footnote>
  <w:footnote w:id="16">
    <w:p w14:paraId="140A0651" w14:textId="600AEFEE" w:rsidR="008D0E27" w:rsidRDefault="008D0E27">
      <w:pPr>
        <w:pStyle w:val="FootnoteText"/>
      </w:pPr>
      <w:r>
        <w:rPr>
          <w:rStyle w:val="FootnoteReference"/>
        </w:rPr>
        <w:footnoteRef/>
      </w:r>
      <w:r>
        <w:t xml:space="preserve"> </w:t>
      </w:r>
      <w:r w:rsidRPr="008D0E27">
        <w:rPr>
          <w:sz w:val="20"/>
        </w:rPr>
        <w:t>Joint Application at 3.</w:t>
      </w:r>
    </w:p>
  </w:footnote>
  <w:footnote w:id="17">
    <w:p w14:paraId="048CDEDF" w14:textId="20245E27" w:rsidR="002D444E" w:rsidRDefault="002D444E">
      <w:pPr>
        <w:pStyle w:val="FootnoteText"/>
      </w:pPr>
      <w:r>
        <w:rPr>
          <w:rStyle w:val="FootnoteReference"/>
        </w:rPr>
        <w:footnoteRef/>
      </w:r>
      <w:r>
        <w:t xml:space="preserve"> </w:t>
      </w:r>
      <w:r w:rsidRPr="002D444E">
        <w:rPr>
          <w:sz w:val="20"/>
        </w:rPr>
        <w:t>Joint Application at 4.</w:t>
      </w:r>
    </w:p>
  </w:footnote>
  <w:footnote w:id="18">
    <w:p w14:paraId="06577EA6" w14:textId="56B5556E" w:rsidR="00C9414C" w:rsidRDefault="00C9414C">
      <w:pPr>
        <w:pStyle w:val="FootnoteText"/>
      </w:pPr>
      <w:r>
        <w:rPr>
          <w:rStyle w:val="FootnoteReference"/>
        </w:rPr>
        <w:footnoteRef/>
      </w:r>
      <w:r>
        <w:t xml:space="preserve"> </w:t>
      </w:r>
      <w:r w:rsidRPr="00C9414C">
        <w:rPr>
          <w:sz w:val="20"/>
        </w:rPr>
        <w:t>Joint Application at 5.</w:t>
      </w:r>
    </w:p>
  </w:footnote>
  <w:footnote w:id="19">
    <w:p w14:paraId="7D024BDA" w14:textId="4E60052F" w:rsidR="007D4DF2" w:rsidRDefault="007D4DF2">
      <w:pPr>
        <w:pStyle w:val="FootnoteText"/>
      </w:pPr>
      <w:r>
        <w:rPr>
          <w:rStyle w:val="FootnoteReference"/>
        </w:rPr>
        <w:footnoteRef/>
      </w:r>
      <w:r>
        <w:t xml:space="preserve"> </w:t>
      </w:r>
      <w:r w:rsidRPr="007D4DF2">
        <w:rPr>
          <w:sz w:val="20"/>
        </w:rPr>
        <w:t>Joint Application at 5.</w:t>
      </w:r>
    </w:p>
  </w:footnote>
  <w:footnote w:id="20">
    <w:p w14:paraId="63957186" w14:textId="6E74BC8C" w:rsidR="004C0778" w:rsidRPr="004C0778" w:rsidRDefault="004C0778">
      <w:pPr>
        <w:pStyle w:val="FootnoteText"/>
        <w:rPr>
          <w:sz w:val="20"/>
        </w:rPr>
      </w:pPr>
      <w:r>
        <w:rPr>
          <w:rStyle w:val="FootnoteReference"/>
        </w:rPr>
        <w:footnoteRef/>
      </w:r>
      <w:r>
        <w:t xml:space="preserve"> </w:t>
      </w:r>
      <w:r w:rsidRPr="004C0778">
        <w:rPr>
          <w:sz w:val="20"/>
        </w:rPr>
        <w:t>Joint Application at 5.</w:t>
      </w:r>
    </w:p>
  </w:footnote>
  <w:footnote w:id="21">
    <w:p w14:paraId="5021938C" w14:textId="4CABE198" w:rsidR="0072294C" w:rsidRPr="0072294C" w:rsidRDefault="0072294C">
      <w:pPr>
        <w:pStyle w:val="FootnoteText"/>
        <w:rPr>
          <w:sz w:val="20"/>
        </w:rPr>
      </w:pPr>
      <w:r>
        <w:rPr>
          <w:rStyle w:val="FootnoteReference"/>
        </w:rPr>
        <w:footnoteRef/>
      </w:r>
      <w:r>
        <w:t xml:space="preserve"> </w:t>
      </w:r>
      <w:r>
        <w:rPr>
          <w:sz w:val="20"/>
        </w:rPr>
        <w:t xml:space="preserve">Joint Application at </w:t>
      </w:r>
      <w:r w:rsidR="00C84166">
        <w:rPr>
          <w:sz w:val="20"/>
        </w:rPr>
        <w:t>20</w:t>
      </w:r>
      <w:r>
        <w:rPr>
          <w:sz w:val="20"/>
        </w:rPr>
        <w:t>.</w:t>
      </w:r>
    </w:p>
  </w:footnote>
  <w:footnote w:id="22">
    <w:p w14:paraId="05DA8010" w14:textId="5DBF2651" w:rsidR="00E0486E" w:rsidRPr="00E0486E" w:rsidRDefault="00E0486E">
      <w:pPr>
        <w:pStyle w:val="FootnoteText"/>
        <w:rPr>
          <w:sz w:val="20"/>
        </w:rPr>
      </w:pPr>
      <w:r>
        <w:rPr>
          <w:rStyle w:val="FootnoteReference"/>
        </w:rPr>
        <w:footnoteRef/>
      </w:r>
      <w:r>
        <w:t xml:space="preserve"> </w:t>
      </w:r>
      <w:r w:rsidR="00573DFD" w:rsidRPr="00573DFD">
        <w:rPr>
          <w:sz w:val="20"/>
        </w:rPr>
        <w:t>Joint Ap</w:t>
      </w:r>
      <w:r w:rsidRPr="00573DFD">
        <w:rPr>
          <w:sz w:val="20"/>
        </w:rPr>
        <w:t xml:space="preserve">plication at </w:t>
      </w:r>
      <w:r w:rsidR="00C84166">
        <w:rPr>
          <w:sz w:val="20"/>
        </w:rPr>
        <w:t>22</w:t>
      </w:r>
      <w:r w:rsidRPr="00573DFD">
        <w:rPr>
          <w:sz w:val="20"/>
        </w:rPr>
        <w:t>.</w:t>
      </w:r>
      <w:r>
        <w:rPr>
          <w:sz w:val="20"/>
        </w:rPr>
        <w:t xml:space="preserve"> </w:t>
      </w:r>
    </w:p>
  </w:footnote>
  <w:footnote w:id="23">
    <w:p w14:paraId="347E86CD" w14:textId="491D358E" w:rsidR="00DF742C" w:rsidRPr="00DF742C" w:rsidRDefault="00DF742C">
      <w:pPr>
        <w:pStyle w:val="FootnoteText"/>
        <w:rPr>
          <w:sz w:val="20"/>
        </w:rPr>
      </w:pPr>
      <w:r>
        <w:rPr>
          <w:rStyle w:val="FootnoteReference"/>
        </w:rPr>
        <w:footnoteRef/>
      </w:r>
      <w:r>
        <w:t xml:space="preserve"> </w:t>
      </w:r>
      <w:r w:rsidR="0072294C">
        <w:rPr>
          <w:sz w:val="20"/>
        </w:rPr>
        <w:t>Join</w:t>
      </w:r>
      <w:r w:rsidR="00B13454">
        <w:rPr>
          <w:sz w:val="20"/>
        </w:rPr>
        <w:t>t A</w:t>
      </w:r>
      <w:r>
        <w:rPr>
          <w:sz w:val="20"/>
        </w:rPr>
        <w:t xml:space="preserve">pplication at </w:t>
      </w:r>
      <w:r w:rsidR="00EE11E5">
        <w:rPr>
          <w:sz w:val="20"/>
        </w:rPr>
        <w:t>22</w:t>
      </w:r>
      <w:r w:rsidR="00E31EC3">
        <w:rPr>
          <w:sz w:val="20"/>
        </w:rPr>
        <w:t>.</w:t>
      </w:r>
    </w:p>
  </w:footnote>
  <w:footnote w:id="24">
    <w:p w14:paraId="22713613" w14:textId="0ED273BB" w:rsidR="00E5063F" w:rsidRPr="00E5063F" w:rsidRDefault="00E5063F">
      <w:pPr>
        <w:pStyle w:val="FootnoteText"/>
        <w:rPr>
          <w:sz w:val="20"/>
        </w:rPr>
      </w:pPr>
      <w:r>
        <w:rPr>
          <w:rStyle w:val="FootnoteReference"/>
        </w:rPr>
        <w:footnoteRef/>
      </w:r>
      <w:r>
        <w:t xml:space="preserve"> </w:t>
      </w:r>
      <w:r w:rsidR="00B13454">
        <w:rPr>
          <w:sz w:val="20"/>
        </w:rPr>
        <w:t>Joint A</w:t>
      </w:r>
      <w:r>
        <w:rPr>
          <w:sz w:val="20"/>
        </w:rPr>
        <w:t xml:space="preserve">pplication at </w:t>
      </w:r>
      <w:r w:rsidR="00EE11E5">
        <w:rPr>
          <w:sz w:val="20"/>
        </w:rPr>
        <w:t>22</w:t>
      </w:r>
      <w:r>
        <w:rPr>
          <w:sz w:val="20"/>
        </w:rPr>
        <w:t>.</w:t>
      </w:r>
    </w:p>
  </w:footnote>
  <w:footnote w:id="25">
    <w:p w14:paraId="6F2D96B8" w14:textId="461B3CF4" w:rsidR="00C172BB" w:rsidRPr="0048755C" w:rsidRDefault="00C172BB">
      <w:pPr>
        <w:pStyle w:val="FootnoteText"/>
        <w:rPr>
          <w:sz w:val="20"/>
        </w:rPr>
      </w:pPr>
      <w:r>
        <w:rPr>
          <w:rStyle w:val="FootnoteReference"/>
        </w:rPr>
        <w:footnoteRef/>
      </w:r>
      <w:r w:rsidRPr="007844AD">
        <w:rPr>
          <w:sz w:val="20"/>
        </w:rPr>
        <w:t xml:space="preserve"> </w:t>
      </w:r>
      <w:r w:rsidR="005767C5">
        <w:rPr>
          <w:sz w:val="20"/>
        </w:rPr>
        <w:t xml:space="preserve">Original and Updated </w:t>
      </w:r>
      <w:r w:rsidR="007844AD" w:rsidRPr="007844AD">
        <w:rPr>
          <w:sz w:val="20"/>
        </w:rPr>
        <w:t>Response</w:t>
      </w:r>
      <w:r w:rsidR="005767C5">
        <w:rPr>
          <w:sz w:val="20"/>
        </w:rPr>
        <w:t>s</w:t>
      </w:r>
      <w:r w:rsidR="007844AD" w:rsidRPr="007844AD">
        <w:rPr>
          <w:sz w:val="20"/>
        </w:rPr>
        <w:t xml:space="preserve"> to Data Request at </w:t>
      </w:r>
      <w:r w:rsidR="0048755C" w:rsidRPr="007844AD">
        <w:rPr>
          <w:sz w:val="20"/>
        </w:rPr>
        <w:t>question</w:t>
      </w:r>
      <w:r w:rsidR="0048755C">
        <w:rPr>
          <w:sz w:val="20"/>
        </w:rPr>
        <w:t xml:space="preserve"> 4.</w:t>
      </w:r>
    </w:p>
  </w:footnote>
  <w:footnote w:id="26">
    <w:p w14:paraId="2AA59313" w14:textId="52DB6A8D" w:rsidR="00E313EB" w:rsidRDefault="00E313EB">
      <w:pPr>
        <w:pStyle w:val="FootnoteText"/>
      </w:pPr>
      <w:r>
        <w:rPr>
          <w:rStyle w:val="FootnoteReference"/>
        </w:rPr>
        <w:footnoteRef/>
      </w:r>
      <w:r>
        <w:t xml:space="preserve"> </w:t>
      </w:r>
      <w:r w:rsidRPr="002E7C23">
        <w:t>J</w:t>
      </w:r>
      <w:r w:rsidRPr="002E7C23">
        <w:rPr>
          <w:sz w:val="20"/>
        </w:rPr>
        <w:t xml:space="preserve">oint Application at </w:t>
      </w:r>
      <w:r w:rsidR="002E7C23" w:rsidRPr="002E7C23">
        <w:rPr>
          <w:sz w:val="20"/>
        </w:rPr>
        <w:t>23</w:t>
      </w:r>
      <w:r w:rsidRPr="002E7C23">
        <w:rPr>
          <w:sz w:val="20"/>
        </w:rPr>
        <w:t xml:space="preserve"> and</w:t>
      </w:r>
      <w:r w:rsidRPr="00E313EB">
        <w:rPr>
          <w:sz w:val="20"/>
        </w:rPr>
        <w:t xml:space="preserve"> Response to Data Requests at question 17.</w:t>
      </w:r>
    </w:p>
  </w:footnote>
  <w:footnote w:id="27">
    <w:p w14:paraId="10FC44DB" w14:textId="030688A0" w:rsidR="00F453C2" w:rsidRDefault="00F453C2">
      <w:pPr>
        <w:pStyle w:val="FootnoteText"/>
      </w:pPr>
      <w:r>
        <w:rPr>
          <w:rStyle w:val="FootnoteReference"/>
        </w:rPr>
        <w:footnoteRef/>
      </w:r>
      <w:r>
        <w:t xml:space="preserve"> </w:t>
      </w:r>
      <w:r w:rsidRPr="00F453C2">
        <w:rPr>
          <w:sz w:val="20"/>
        </w:rPr>
        <w:t xml:space="preserve">Email from Attorney </w:t>
      </w:r>
      <w:proofErr w:type="spellStart"/>
      <w:r w:rsidRPr="00F453C2">
        <w:rPr>
          <w:sz w:val="20"/>
        </w:rPr>
        <w:t>Niesen</w:t>
      </w:r>
      <w:proofErr w:type="spellEnd"/>
      <w:r w:rsidRPr="00F453C2">
        <w:rPr>
          <w:sz w:val="20"/>
        </w:rPr>
        <w:t>.</w:t>
      </w:r>
    </w:p>
  </w:footnote>
  <w:footnote w:id="28">
    <w:p w14:paraId="00C19B54" w14:textId="77777777" w:rsidR="00A018B9" w:rsidRPr="004625AD" w:rsidRDefault="00A018B9" w:rsidP="00A018B9">
      <w:pPr>
        <w:rPr>
          <w:sz w:val="20"/>
        </w:rPr>
      </w:pPr>
      <w:r>
        <w:rPr>
          <w:rStyle w:val="FootnoteReference"/>
        </w:rPr>
        <w:footnoteRef/>
      </w:r>
      <w:r>
        <w:t xml:space="preserve"> </w:t>
      </w:r>
      <w:r w:rsidRPr="004625AD">
        <w:rPr>
          <w:i/>
          <w:iCs/>
          <w:sz w:val="20"/>
        </w:rPr>
        <w:t>See</w:t>
      </w:r>
      <w:r w:rsidRPr="004625AD">
        <w:rPr>
          <w:sz w:val="20"/>
        </w:rPr>
        <w:t xml:space="preserve"> Joint Application, Exhibit C, copy of Application or Consent to Transfer of Control of, Domestic and International Section 214 Authorizations to Emerge from Federal Bankruptcy Protection, filed with the FCC on May 21, 2020, pursuant to Section 214 of the Communications Act of 1934, as amended, and Sections 63.04 and 63.24 of the FCC’s rules (47 C.F.R. §§ 63.04, 63.24), WC Docket No. 20-151.  The FCC has established a pleading cycle soliciting comments on the relevant federal application.  FCC Public Notice, Applications Filed for the Transfer of Control of Windstream Holdings, Inc. and other documents can be accessed at WC Docket No. 20-151, DA 20-675A1, </w:t>
      </w:r>
      <w:hyperlink r:id="rId2" w:history="1">
        <w:r w:rsidRPr="004625AD">
          <w:rPr>
            <w:rStyle w:val="Hyperlink"/>
            <w:sz w:val="20"/>
          </w:rPr>
          <w:t>https://www.fcc.gov/ecfs/search/filings?q=20%5C-151&amp;sort=date_disseminated,DESC</w:t>
        </w:r>
      </w:hyperlink>
      <w:r w:rsidRPr="004625AD">
        <w:rPr>
          <w:sz w:val="20"/>
        </w:rPr>
        <w:t xml:space="preserve">   An electronic copy of the FCC application is available at</w:t>
      </w:r>
    </w:p>
    <w:p w14:paraId="1E708E81" w14:textId="77777777" w:rsidR="00A018B9" w:rsidRPr="004625AD" w:rsidRDefault="00A414E4" w:rsidP="00A018B9">
      <w:pPr>
        <w:rPr>
          <w:sz w:val="20"/>
        </w:rPr>
      </w:pPr>
      <w:hyperlink r:id="rId3" w:history="1">
        <w:r w:rsidR="00A018B9" w:rsidRPr="004625AD">
          <w:rPr>
            <w:rStyle w:val="Hyperlink"/>
            <w:sz w:val="20"/>
          </w:rPr>
          <w:t>https://ecfsapi.fcc.gov/file/1052134857662/Consolidated%20Section%20214%20Application%20Narrative%20-%20Domestic%20(5-21-2020).pdf</w:t>
        </w:r>
      </w:hyperlink>
      <w:r w:rsidR="00A018B9" w:rsidRPr="004625AD">
        <w:rPr>
          <w:sz w:val="20"/>
        </w:rPr>
        <w:t xml:space="preserve"> </w:t>
      </w:r>
    </w:p>
  </w:footnote>
  <w:footnote w:id="29">
    <w:p w14:paraId="424ED404" w14:textId="7306B2A3" w:rsidR="00E5063F" w:rsidRPr="00E5063F" w:rsidRDefault="00E5063F">
      <w:pPr>
        <w:pStyle w:val="FootnoteText"/>
        <w:rPr>
          <w:sz w:val="20"/>
        </w:rPr>
      </w:pPr>
      <w:r>
        <w:rPr>
          <w:rStyle w:val="FootnoteReference"/>
        </w:rPr>
        <w:footnoteRef/>
      </w:r>
      <w:r>
        <w:t xml:space="preserve"> </w:t>
      </w:r>
      <w:r w:rsidR="00B13454">
        <w:rPr>
          <w:sz w:val="20"/>
        </w:rPr>
        <w:t>Joint A</w:t>
      </w:r>
      <w:r>
        <w:rPr>
          <w:sz w:val="20"/>
        </w:rPr>
        <w:t xml:space="preserve">pplication at </w:t>
      </w:r>
      <w:r w:rsidR="00DF4925">
        <w:rPr>
          <w:sz w:val="20"/>
        </w:rPr>
        <w:t>23</w:t>
      </w:r>
      <w:r>
        <w:rPr>
          <w:sz w:val="20"/>
        </w:rPr>
        <w:t>.</w:t>
      </w:r>
    </w:p>
  </w:footnote>
  <w:footnote w:id="30">
    <w:p w14:paraId="164D218C" w14:textId="3134B513" w:rsidR="009C721A" w:rsidRDefault="009C721A">
      <w:pPr>
        <w:pStyle w:val="FootnoteText"/>
      </w:pPr>
      <w:r>
        <w:rPr>
          <w:rStyle w:val="FootnoteReference"/>
        </w:rPr>
        <w:footnoteRef/>
      </w:r>
      <w:r>
        <w:t xml:space="preserve"> </w:t>
      </w:r>
      <w:r w:rsidRPr="009C721A">
        <w:rPr>
          <w:sz w:val="20"/>
        </w:rPr>
        <w:t>Joint Application at 23.</w:t>
      </w:r>
    </w:p>
  </w:footnote>
  <w:footnote w:id="31">
    <w:p w14:paraId="00EF080B" w14:textId="7553D015" w:rsidR="00E5063F" w:rsidRPr="00E5063F" w:rsidRDefault="00E5063F">
      <w:pPr>
        <w:pStyle w:val="FootnoteText"/>
        <w:rPr>
          <w:sz w:val="20"/>
        </w:rPr>
      </w:pPr>
      <w:r>
        <w:rPr>
          <w:rStyle w:val="FootnoteReference"/>
        </w:rPr>
        <w:footnoteRef/>
      </w:r>
      <w:r>
        <w:t xml:space="preserve"> </w:t>
      </w:r>
      <w:r w:rsidR="00B13454">
        <w:rPr>
          <w:sz w:val="20"/>
        </w:rPr>
        <w:t>Joint A</w:t>
      </w:r>
      <w:r>
        <w:rPr>
          <w:sz w:val="20"/>
        </w:rPr>
        <w:t xml:space="preserve">pplication at </w:t>
      </w:r>
      <w:r w:rsidR="00A60D35">
        <w:rPr>
          <w:sz w:val="20"/>
        </w:rPr>
        <w:t>23</w:t>
      </w:r>
      <w:r>
        <w:rPr>
          <w:sz w:val="20"/>
        </w:rPr>
        <w:t xml:space="preserve">.  </w:t>
      </w:r>
    </w:p>
  </w:footnote>
  <w:footnote w:id="32">
    <w:p w14:paraId="27601CBA" w14:textId="19F31D80" w:rsidR="00642CD4" w:rsidRDefault="00642CD4">
      <w:pPr>
        <w:pStyle w:val="FootnoteText"/>
      </w:pPr>
      <w:r>
        <w:rPr>
          <w:rStyle w:val="FootnoteReference"/>
        </w:rPr>
        <w:footnoteRef/>
      </w:r>
      <w:r>
        <w:t xml:space="preserve"> </w:t>
      </w:r>
      <w:r w:rsidRPr="00642CD4">
        <w:rPr>
          <w:sz w:val="20"/>
        </w:rPr>
        <w:t xml:space="preserve">Joint Application at 23. </w:t>
      </w:r>
    </w:p>
  </w:footnote>
  <w:footnote w:id="33">
    <w:p w14:paraId="12A2EE0E" w14:textId="517FED3B" w:rsidR="00F05476" w:rsidRDefault="00F05476">
      <w:pPr>
        <w:pStyle w:val="FootnoteText"/>
      </w:pPr>
      <w:r>
        <w:rPr>
          <w:rStyle w:val="FootnoteReference"/>
        </w:rPr>
        <w:footnoteRef/>
      </w:r>
      <w:r>
        <w:t xml:space="preserve"> </w:t>
      </w:r>
      <w:r w:rsidR="00854E8F" w:rsidRPr="00E53D50">
        <w:rPr>
          <w:sz w:val="20"/>
        </w:rPr>
        <w:t xml:space="preserve">Joint Applicants aver that their overall debt load will decrease by </w:t>
      </w:r>
      <w:r w:rsidR="00B361FC" w:rsidRPr="00E53D50">
        <w:rPr>
          <w:sz w:val="20"/>
        </w:rPr>
        <w:t xml:space="preserve">50%. </w:t>
      </w:r>
      <w:r w:rsidR="003430B2">
        <w:rPr>
          <w:sz w:val="20"/>
        </w:rPr>
        <w:t xml:space="preserve">Joint Application at 16; </w:t>
      </w:r>
      <w:r w:rsidR="00B361FC" w:rsidRPr="00E53D50">
        <w:rPr>
          <w:sz w:val="20"/>
        </w:rPr>
        <w:t>Response to Data Requests at question 7.</w:t>
      </w:r>
    </w:p>
  </w:footnote>
  <w:footnote w:id="34">
    <w:p w14:paraId="2F72E4D0" w14:textId="64E97320" w:rsidR="00D4668B" w:rsidRPr="00D4668B" w:rsidRDefault="00D4668B">
      <w:pPr>
        <w:pStyle w:val="FootnoteText"/>
        <w:rPr>
          <w:sz w:val="20"/>
        </w:rPr>
      </w:pPr>
      <w:r>
        <w:rPr>
          <w:rStyle w:val="FootnoteReference"/>
        </w:rPr>
        <w:footnoteRef/>
      </w:r>
      <w:r>
        <w:t xml:space="preserve"> </w:t>
      </w:r>
      <w:r w:rsidRPr="00BF1D9D">
        <w:rPr>
          <w:sz w:val="20"/>
        </w:rPr>
        <w:t>Response to Data Request</w:t>
      </w:r>
      <w:r w:rsidR="0010461E">
        <w:rPr>
          <w:sz w:val="20"/>
        </w:rPr>
        <w:t>s</w:t>
      </w:r>
      <w:r w:rsidRPr="00BF1D9D">
        <w:rPr>
          <w:sz w:val="20"/>
        </w:rPr>
        <w:t xml:space="preserve"> at</w:t>
      </w:r>
      <w:r w:rsidR="002F65B4">
        <w:rPr>
          <w:sz w:val="20"/>
        </w:rPr>
        <w:t xml:space="preserve"> </w:t>
      </w:r>
      <w:r w:rsidR="007844AD">
        <w:rPr>
          <w:sz w:val="20"/>
        </w:rPr>
        <w:t xml:space="preserve">question 6. </w:t>
      </w:r>
    </w:p>
  </w:footnote>
  <w:footnote w:id="35">
    <w:p w14:paraId="5FAAABCE" w14:textId="7AF2D1CE" w:rsidR="00EE705A" w:rsidRPr="00EE705A" w:rsidRDefault="00EE705A">
      <w:pPr>
        <w:pStyle w:val="FootnoteText"/>
        <w:rPr>
          <w:sz w:val="20"/>
        </w:rPr>
      </w:pPr>
      <w:r>
        <w:rPr>
          <w:rStyle w:val="FootnoteReference"/>
        </w:rPr>
        <w:footnoteRef/>
      </w:r>
      <w:r>
        <w:t xml:space="preserve"> </w:t>
      </w:r>
      <w:r>
        <w:rPr>
          <w:sz w:val="20"/>
        </w:rPr>
        <w:t>Response to Data Request</w:t>
      </w:r>
      <w:r w:rsidR="0010461E">
        <w:rPr>
          <w:sz w:val="20"/>
        </w:rPr>
        <w:t>s</w:t>
      </w:r>
      <w:r>
        <w:rPr>
          <w:sz w:val="20"/>
        </w:rPr>
        <w:t xml:space="preserve"> at </w:t>
      </w:r>
      <w:r w:rsidR="007844AD">
        <w:rPr>
          <w:sz w:val="20"/>
        </w:rPr>
        <w:t>question 8</w:t>
      </w:r>
      <w:r>
        <w:rPr>
          <w:sz w:val="20"/>
        </w:rPr>
        <w:t xml:space="preserve">. </w:t>
      </w:r>
    </w:p>
  </w:footnote>
  <w:footnote w:id="36">
    <w:p w14:paraId="68094592" w14:textId="274085D2" w:rsidR="003105FF" w:rsidRPr="003105FF" w:rsidRDefault="003105FF">
      <w:pPr>
        <w:pStyle w:val="FootnoteText"/>
        <w:rPr>
          <w:sz w:val="20"/>
        </w:rPr>
      </w:pPr>
      <w:r>
        <w:rPr>
          <w:rStyle w:val="FootnoteReference"/>
        </w:rPr>
        <w:footnoteRef/>
      </w:r>
      <w:r>
        <w:t xml:space="preserve"> </w:t>
      </w:r>
      <w:r>
        <w:rPr>
          <w:sz w:val="20"/>
        </w:rPr>
        <w:t>Response to Data Requests at question 10.</w:t>
      </w:r>
    </w:p>
  </w:footnote>
  <w:footnote w:id="37">
    <w:p w14:paraId="58148EB5" w14:textId="54485FB6" w:rsidR="00E14F68" w:rsidRDefault="00E14F68">
      <w:pPr>
        <w:pStyle w:val="FootnoteText"/>
      </w:pPr>
      <w:r>
        <w:rPr>
          <w:rStyle w:val="FootnoteReference"/>
        </w:rPr>
        <w:footnoteRef/>
      </w:r>
      <w:r>
        <w:t xml:space="preserve"> </w:t>
      </w:r>
      <w:r w:rsidRPr="00E14F68">
        <w:rPr>
          <w:sz w:val="20"/>
        </w:rPr>
        <w:t>Response to Data Requests at question 12.</w:t>
      </w:r>
    </w:p>
  </w:footnote>
  <w:footnote w:id="38">
    <w:p w14:paraId="29FD3AC0" w14:textId="77F8AE8A" w:rsidR="00E57BD9" w:rsidRDefault="00E57BD9">
      <w:pPr>
        <w:pStyle w:val="FootnoteText"/>
      </w:pPr>
      <w:r>
        <w:rPr>
          <w:rStyle w:val="FootnoteReference"/>
        </w:rPr>
        <w:footnoteRef/>
      </w:r>
      <w:r>
        <w:t xml:space="preserve"> </w:t>
      </w:r>
      <w:r w:rsidRPr="00E57BD9">
        <w:rPr>
          <w:sz w:val="20"/>
        </w:rPr>
        <w:t>Response to Data Requests at question 13.</w:t>
      </w:r>
    </w:p>
  </w:footnote>
  <w:footnote w:id="39">
    <w:p w14:paraId="72B978CF" w14:textId="7672E4D7" w:rsidR="00AA2AF8" w:rsidRPr="00AA2AF8" w:rsidRDefault="00AA2AF8">
      <w:pPr>
        <w:pStyle w:val="FootnoteText"/>
        <w:rPr>
          <w:sz w:val="20"/>
        </w:rPr>
      </w:pPr>
      <w:r>
        <w:rPr>
          <w:rStyle w:val="FootnoteReference"/>
        </w:rPr>
        <w:footnoteRef/>
      </w:r>
      <w:r>
        <w:t xml:space="preserve"> </w:t>
      </w:r>
      <w:r>
        <w:rPr>
          <w:sz w:val="20"/>
        </w:rPr>
        <w:t>Response to Data Requests at question 1</w:t>
      </w:r>
      <w:r w:rsidR="004604BB">
        <w:rPr>
          <w:sz w:val="20"/>
        </w:rPr>
        <w:t>4</w:t>
      </w:r>
      <w:r>
        <w:rPr>
          <w:sz w:val="20"/>
        </w:rPr>
        <w:t xml:space="preserve">.  </w:t>
      </w:r>
    </w:p>
  </w:footnote>
  <w:footnote w:id="40">
    <w:p w14:paraId="58DA703B" w14:textId="0B484FD7" w:rsidR="00642CD4" w:rsidRDefault="00642CD4">
      <w:pPr>
        <w:pStyle w:val="FootnoteText"/>
      </w:pPr>
      <w:r>
        <w:rPr>
          <w:rStyle w:val="FootnoteReference"/>
        </w:rPr>
        <w:footnoteRef/>
      </w:r>
      <w:r>
        <w:t xml:space="preserve"> </w:t>
      </w:r>
      <w:r w:rsidRPr="00642CD4">
        <w:rPr>
          <w:sz w:val="20"/>
        </w:rPr>
        <w:t>Joint Application at 21.</w:t>
      </w:r>
    </w:p>
  </w:footnote>
  <w:footnote w:id="41">
    <w:p w14:paraId="6E3BA4DF" w14:textId="7A1F3002" w:rsidR="00283CE5" w:rsidRDefault="00283CE5">
      <w:pPr>
        <w:pStyle w:val="FootnoteText"/>
      </w:pPr>
      <w:r>
        <w:rPr>
          <w:rStyle w:val="FootnoteReference"/>
        </w:rPr>
        <w:footnoteRef/>
      </w:r>
      <w:r>
        <w:t xml:space="preserve"> </w:t>
      </w:r>
      <w:r w:rsidRPr="00E53D50">
        <w:rPr>
          <w:sz w:val="20"/>
        </w:rPr>
        <w:t xml:space="preserve">The Commission </w:t>
      </w:r>
      <w:r>
        <w:rPr>
          <w:sz w:val="20"/>
        </w:rPr>
        <w:t xml:space="preserve">has observed </w:t>
      </w:r>
      <w:r w:rsidRPr="00E53D50">
        <w:rPr>
          <w:sz w:val="20"/>
        </w:rPr>
        <w:t xml:space="preserve">that there </w:t>
      </w:r>
      <w:r w:rsidR="00E61427">
        <w:rPr>
          <w:sz w:val="20"/>
        </w:rPr>
        <w:t>may be</w:t>
      </w:r>
      <w:r>
        <w:rPr>
          <w:sz w:val="20"/>
        </w:rPr>
        <w:t xml:space="preserve"> </w:t>
      </w:r>
      <w:r w:rsidRPr="00E53D50">
        <w:rPr>
          <w:sz w:val="20"/>
        </w:rPr>
        <w:t xml:space="preserve">discrepancies between the </w:t>
      </w:r>
      <w:r w:rsidR="00E61427">
        <w:rPr>
          <w:sz w:val="20"/>
        </w:rPr>
        <w:t xml:space="preserve">Joint </w:t>
      </w:r>
      <w:r w:rsidRPr="00E53D50">
        <w:rPr>
          <w:sz w:val="20"/>
        </w:rPr>
        <w:t xml:space="preserve">Applicants’ intrastate revenues noted in filed Annual Reports, Section 510 Assessment Reports, and applicable </w:t>
      </w:r>
      <w:r w:rsidR="00E61427">
        <w:rPr>
          <w:sz w:val="20"/>
        </w:rPr>
        <w:t xml:space="preserve">annual </w:t>
      </w:r>
      <w:r w:rsidRPr="00E53D50">
        <w:rPr>
          <w:sz w:val="20"/>
        </w:rPr>
        <w:t xml:space="preserve">Chapter 30 Price </w:t>
      </w:r>
      <w:r w:rsidR="00E61427">
        <w:rPr>
          <w:sz w:val="20"/>
        </w:rPr>
        <w:t xml:space="preserve">Stability Mechanism filings </w:t>
      </w:r>
      <w:r>
        <w:rPr>
          <w:sz w:val="20"/>
        </w:rPr>
        <w:t xml:space="preserve">that may warrant further action.  </w:t>
      </w:r>
      <w:r w:rsidR="00E61427">
        <w:rPr>
          <w:sz w:val="20"/>
        </w:rPr>
        <w:t>Thus</w:t>
      </w:r>
      <w:r>
        <w:rPr>
          <w:sz w:val="20"/>
        </w:rPr>
        <w:t xml:space="preserve">, the </w:t>
      </w:r>
      <w:r w:rsidR="00E61427">
        <w:rPr>
          <w:sz w:val="20"/>
        </w:rPr>
        <w:t>Joint A</w:t>
      </w:r>
      <w:r>
        <w:rPr>
          <w:sz w:val="20"/>
        </w:rPr>
        <w:t xml:space="preserve">pplicants are advised that the </w:t>
      </w:r>
      <w:r w:rsidRPr="00E53D50">
        <w:rPr>
          <w:sz w:val="20"/>
        </w:rPr>
        <w:t xml:space="preserve">Commission may </w:t>
      </w:r>
      <w:r>
        <w:rPr>
          <w:sz w:val="20"/>
        </w:rPr>
        <w:t xml:space="preserve">conduct a more detailed examination of their </w:t>
      </w:r>
      <w:r w:rsidRPr="00E53D50">
        <w:rPr>
          <w:sz w:val="20"/>
        </w:rPr>
        <w:t>filed reports and take relevant action as appropriate</w:t>
      </w:r>
      <w:r>
        <w:t xml:space="preserve">.  </w:t>
      </w:r>
    </w:p>
  </w:footnote>
  <w:footnote w:id="42">
    <w:p w14:paraId="68B85D6E" w14:textId="43151E01" w:rsidR="001F6A0F" w:rsidRDefault="001F6A0F">
      <w:pPr>
        <w:pStyle w:val="FootnoteText"/>
      </w:pPr>
      <w:r>
        <w:rPr>
          <w:rStyle w:val="FootnoteReference"/>
        </w:rPr>
        <w:footnoteRef/>
      </w:r>
      <w:r>
        <w:t xml:space="preserve"> </w:t>
      </w:r>
      <w:r w:rsidRPr="001F6A0F">
        <w:rPr>
          <w:sz w:val="20"/>
        </w:rPr>
        <w:t>The complaints alleged, among other things, that Windstream</w:t>
      </w:r>
      <w:r w:rsidR="00071F88">
        <w:rPr>
          <w:sz w:val="20"/>
        </w:rPr>
        <w:t xml:space="preserve"> PA</w:t>
      </w:r>
      <w:r w:rsidRPr="001F6A0F">
        <w:rPr>
          <w:sz w:val="20"/>
        </w:rPr>
        <w:t xml:space="preserve"> </w:t>
      </w:r>
      <w:r w:rsidR="000743D2">
        <w:rPr>
          <w:sz w:val="20"/>
        </w:rPr>
        <w:t>and</w:t>
      </w:r>
      <w:r w:rsidR="00F27B81">
        <w:rPr>
          <w:sz w:val="20"/>
        </w:rPr>
        <w:t>/or</w:t>
      </w:r>
      <w:r w:rsidR="000743D2">
        <w:rPr>
          <w:sz w:val="20"/>
        </w:rPr>
        <w:t xml:space="preserve"> Windstream Conestoga </w:t>
      </w:r>
      <w:r w:rsidRPr="001F6A0F">
        <w:rPr>
          <w:sz w:val="20"/>
        </w:rPr>
        <w:t xml:space="preserve">deactivated Digital Subscriber Line Access Multiplexers (DSLAMs) in certain areas, missed appointments, delayed installation, and refused to provide service due to the decommissioned and/or capped DSLAMs. Two complaints involved a download speed below the required 1.544 Mbps. While the Commission does not prescribe the </w:t>
      </w:r>
      <w:proofErr w:type="gramStart"/>
      <w:r w:rsidRPr="001F6A0F">
        <w:rPr>
          <w:sz w:val="20"/>
        </w:rPr>
        <w:t>network</w:t>
      </w:r>
      <w:proofErr w:type="gramEnd"/>
      <w:r w:rsidRPr="001F6A0F">
        <w:rPr>
          <w:sz w:val="20"/>
        </w:rPr>
        <w:t xml:space="preserve"> architecture used to provide broadband, if facilities required for such service are deactivated, </w:t>
      </w:r>
      <w:r w:rsidR="00071F88">
        <w:rPr>
          <w:sz w:val="20"/>
        </w:rPr>
        <w:t>an ILEC with Chapter 30 broadband obligations must still comply with</w:t>
      </w:r>
      <w:r w:rsidRPr="001F6A0F">
        <w:rPr>
          <w:sz w:val="20"/>
        </w:rPr>
        <w:t xml:space="preserve"> the statutory broadband requirements to make the service available within 10 business days of a request at the minimum statutory speeds.</w:t>
      </w:r>
      <w:r>
        <w:t xml:space="preserve"> </w:t>
      </w:r>
    </w:p>
  </w:footnote>
  <w:footnote w:id="43">
    <w:p w14:paraId="3AA75490" w14:textId="30B823F5" w:rsidR="00DD7A1A" w:rsidRDefault="00DD7A1A">
      <w:pPr>
        <w:pStyle w:val="FootnoteText"/>
      </w:pPr>
      <w:r>
        <w:rPr>
          <w:rStyle w:val="FootnoteReference"/>
        </w:rPr>
        <w:footnoteRef/>
      </w:r>
      <w:r>
        <w:t xml:space="preserve"> </w:t>
      </w:r>
      <w:r w:rsidRPr="00E53D50">
        <w:rPr>
          <w:sz w:val="20"/>
        </w:rPr>
        <w:t>Joint Application, Attachment B.</w:t>
      </w:r>
    </w:p>
  </w:footnote>
  <w:footnote w:id="44">
    <w:p w14:paraId="075C6E65" w14:textId="30717233" w:rsidR="00BC7F20" w:rsidRDefault="00BC7F20">
      <w:pPr>
        <w:pStyle w:val="FootnoteText"/>
      </w:pPr>
      <w:r>
        <w:rPr>
          <w:rStyle w:val="FootnoteReference"/>
        </w:rPr>
        <w:footnoteRef/>
      </w:r>
      <w:r>
        <w:t xml:space="preserve"> </w:t>
      </w:r>
      <w:r w:rsidRPr="00EB1C3F">
        <w:rPr>
          <w:sz w:val="20"/>
        </w:rPr>
        <w:t>Under</w:t>
      </w:r>
      <w:r>
        <w:rPr>
          <w:sz w:val="20"/>
        </w:rPr>
        <w:t xml:space="preserve"> </w:t>
      </w:r>
      <w:r w:rsidRPr="00787C8A">
        <w:rPr>
          <w:i/>
          <w:sz w:val="20"/>
        </w:rPr>
        <w:t>City of York</w:t>
      </w:r>
      <w:r w:rsidRPr="00787C8A">
        <w:rPr>
          <w:sz w:val="20"/>
        </w:rPr>
        <w:t xml:space="preserve"> and </w:t>
      </w:r>
      <w:proofErr w:type="spellStart"/>
      <w:r w:rsidRPr="00787C8A">
        <w:rPr>
          <w:i/>
          <w:sz w:val="20"/>
        </w:rPr>
        <w:t>Popowsky</w:t>
      </w:r>
      <w:proofErr w:type="spellEnd"/>
      <w:r w:rsidRPr="00787C8A">
        <w:rPr>
          <w:sz w:val="20"/>
        </w:rPr>
        <w:t xml:space="preserve">, we are required to determine, based upon a preponderance of evidence, that a merger will affirmatively promote the service, accommodation, convenience, or safety of the public in some substantial way.  We are not required to secure “legally binding commitments or to quantify benefits where this may be impractical, burdensome, or impossible[.]”  However, “while in some circumstances conditions may be necessary to satisfy the Commission that public benefit sufficient to meet the requirement of Section 1103(a) will ensue, even where the [Commission] finds benefit in the first instance, Section 1103(a) also confers discretion upon the agency to impose conditions which it deems to be just and reasonable.”  </w:t>
      </w:r>
      <w:proofErr w:type="spellStart"/>
      <w:r w:rsidRPr="00787C8A">
        <w:rPr>
          <w:i/>
          <w:sz w:val="20"/>
        </w:rPr>
        <w:t>Popowsky</w:t>
      </w:r>
      <w:proofErr w:type="spellEnd"/>
      <w:r w:rsidRPr="00787C8A">
        <w:rPr>
          <w:sz w:val="20"/>
        </w:rPr>
        <w:t>, 937 A.2d at 1057, n.21.  The Commission retains general authority to impose conditions upon approval of a transaction, as codified in the Public Utility Code at 66 Pa. C.S. § 1103.  This includes authority to impose conditions upon approval of a general rule or pro forma transaction, in accordance with Sections 63.324(h)(4) and 63.324(h)(5) of our regulations at Title 52 of the Pennsylvania Code</w:t>
      </w:r>
    </w:p>
  </w:footnote>
  <w:footnote w:id="45">
    <w:p w14:paraId="6FDFF686" w14:textId="77777777" w:rsidR="00604E5C" w:rsidRDefault="00604E5C" w:rsidP="00604E5C">
      <w:pPr>
        <w:pStyle w:val="FootnoteText"/>
      </w:pPr>
      <w:r>
        <w:rPr>
          <w:rStyle w:val="FootnoteReference"/>
        </w:rPr>
        <w:footnoteRef/>
      </w:r>
      <w:r>
        <w:t xml:space="preserve"> </w:t>
      </w:r>
      <w:r w:rsidRPr="00E53D50">
        <w:rPr>
          <w:sz w:val="20"/>
        </w:rPr>
        <w:t>Joint Application at 5</w:t>
      </w:r>
      <w:r>
        <w:rPr>
          <w:sz w:val="20"/>
        </w:rPr>
        <w:t>-6, 17-19; Response to Data Requests at question 6</w:t>
      </w:r>
      <w:r w:rsidRPr="00E53D50">
        <w:rPr>
          <w:sz w:val="20"/>
        </w:rPr>
        <w:t>.</w:t>
      </w:r>
    </w:p>
  </w:footnote>
  <w:footnote w:id="46">
    <w:p w14:paraId="73724241" w14:textId="55E47F7D" w:rsidR="00F42AF5" w:rsidRDefault="00F42AF5">
      <w:pPr>
        <w:pStyle w:val="FootnoteText"/>
      </w:pPr>
      <w:r>
        <w:rPr>
          <w:rStyle w:val="FootnoteReference"/>
        </w:rPr>
        <w:footnoteRef/>
      </w:r>
      <w:r>
        <w:t xml:space="preserve"> </w:t>
      </w:r>
      <w:r w:rsidRPr="00D86710">
        <w:rPr>
          <w:sz w:val="20"/>
        </w:rPr>
        <w:t>Updated Response to Data Requests at question 4. Other conditions imposed in jurisdictions as noted were either not substantive or related to notices regarding consummation that we already require.</w:t>
      </w:r>
    </w:p>
  </w:footnote>
  <w:footnote w:id="47">
    <w:p w14:paraId="75611F45" w14:textId="1888FD30" w:rsidR="00740DFE" w:rsidRPr="000B468D" w:rsidRDefault="00740DFE">
      <w:pPr>
        <w:pStyle w:val="FootnoteText"/>
      </w:pPr>
      <w:r>
        <w:rPr>
          <w:rStyle w:val="FootnoteReference"/>
        </w:rPr>
        <w:footnoteRef/>
      </w:r>
      <w:r>
        <w:t xml:space="preserve"> </w:t>
      </w:r>
      <w:r w:rsidR="004F7E1E" w:rsidRPr="00C80F0B">
        <w:rPr>
          <w:i/>
          <w:iCs/>
          <w:sz w:val="20"/>
        </w:rPr>
        <w:t xml:space="preserve">See </w:t>
      </w:r>
      <w:r w:rsidR="0024234F" w:rsidRPr="00E53D50">
        <w:rPr>
          <w:i/>
          <w:iCs/>
          <w:color w:val="000000" w:themeColor="text1"/>
          <w:sz w:val="20"/>
        </w:rPr>
        <w:t>Joint Application of Lingo Communications, LLC; Lingo Communications of the Northeast, LLC; Matrix Telecom, LLC; and Garrison LM LLC for Approval of the Proposed Transfer of Indirect Control of Lingo Communications of the Northeast, LLC and Matrix Telecom, LLC to Garrison LM LLC</w:t>
      </w:r>
      <w:r w:rsidR="000B468D" w:rsidRPr="00C80F0B">
        <w:rPr>
          <w:color w:val="000000" w:themeColor="text1"/>
          <w:sz w:val="20"/>
        </w:rPr>
        <w:t xml:space="preserve">, Docket Nos. </w:t>
      </w:r>
      <w:bookmarkStart w:id="6" w:name="_Hlk34891544"/>
      <w:r w:rsidR="004F3C92" w:rsidRPr="00C80F0B">
        <w:rPr>
          <w:color w:val="000000" w:themeColor="text1"/>
          <w:sz w:val="20"/>
        </w:rPr>
        <w:t>A-2019-3015020</w:t>
      </w:r>
      <w:bookmarkEnd w:id="6"/>
      <w:r w:rsidR="004F3C92" w:rsidRPr="00C80F0B">
        <w:rPr>
          <w:color w:val="000000" w:themeColor="text1"/>
          <w:sz w:val="20"/>
        </w:rPr>
        <w:t xml:space="preserve"> et al., Secretarial Letter issued </w:t>
      </w:r>
      <w:r w:rsidR="00C80F0B" w:rsidRPr="00C80F0B">
        <w:rPr>
          <w:color w:val="000000" w:themeColor="text1"/>
          <w:sz w:val="20"/>
        </w:rPr>
        <w:t>March 12,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7E08F" w14:textId="77777777" w:rsidR="00476910" w:rsidRDefault="00476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12EEB" w14:textId="77777777" w:rsidR="00476910" w:rsidRDefault="00476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0512A" w14:textId="77777777" w:rsidR="00476910" w:rsidRDefault="00476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07EB0"/>
    <w:multiLevelType w:val="hybridMultilevel"/>
    <w:tmpl w:val="3EFCBC44"/>
    <w:lvl w:ilvl="0" w:tplc="240C66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0FDC"/>
    <w:rsid w:val="0000558D"/>
    <w:rsid w:val="00007D1A"/>
    <w:rsid w:val="00010B34"/>
    <w:rsid w:val="00010B7E"/>
    <w:rsid w:val="00012DAB"/>
    <w:rsid w:val="000140D1"/>
    <w:rsid w:val="0002057C"/>
    <w:rsid w:val="00022EE2"/>
    <w:rsid w:val="000233A9"/>
    <w:rsid w:val="0002444D"/>
    <w:rsid w:val="000248E6"/>
    <w:rsid w:val="000267A0"/>
    <w:rsid w:val="00026F1F"/>
    <w:rsid w:val="000333CF"/>
    <w:rsid w:val="000373A2"/>
    <w:rsid w:val="0004270A"/>
    <w:rsid w:val="0004341E"/>
    <w:rsid w:val="00043C9B"/>
    <w:rsid w:val="00047862"/>
    <w:rsid w:val="000515C7"/>
    <w:rsid w:val="00053B85"/>
    <w:rsid w:val="0005402C"/>
    <w:rsid w:val="000559DC"/>
    <w:rsid w:val="00056BE5"/>
    <w:rsid w:val="00056E04"/>
    <w:rsid w:val="00057F4A"/>
    <w:rsid w:val="0006564A"/>
    <w:rsid w:val="00065D59"/>
    <w:rsid w:val="0006621E"/>
    <w:rsid w:val="0006748C"/>
    <w:rsid w:val="0006790B"/>
    <w:rsid w:val="00067C2E"/>
    <w:rsid w:val="00071D41"/>
    <w:rsid w:val="00071F88"/>
    <w:rsid w:val="000723FA"/>
    <w:rsid w:val="000743D2"/>
    <w:rsid w:val="00074E4A"/>
    <w:rsid w:val="00075640"/>
    <w:rsid w:val="0007607B"/>
    <w:rsid w:val="000761C0"/>
    <w:rsid w:val="00076243"/>
    <w:rsid w:val="00080A62"/>
    <w:rsid w:val="000825C4"/>
    <w:rsid w:val="00082BE3"/>
    <w:rsid w:val="0008427B"/>
    <w:rsid w:val="000902EE"/>
    <w:rsid w:val="000910E2"/>
    <w:rsid w:val="00091186"/>
    <w:rsid w:val="00091C23"/>
    <w:rsid w:val="0009284F"/>
    <w:rsid w:val="00097524"/>
    <w:rsid w:val="000A0F2F"/>
    <w:rsid w:val="000A1009"/>
    <w:rsid w:val="000A1CA8"/>
    <w:rsid w:val="000A2451"/>
    <w:rsid w:val="000A31EA"/>
    <w:rsid w:val="000A37D7"/>
    <w:rsid w:val="000A728B"/>
    <w:rsid w:val="000A777B"/>
    <w:rsid w:val="000B0A1F"/>
    <w:rsid w:val="000B211A"/>
    <w:rsid w:val="000B42BA"/>
    <w:rsid w:val="000B468D"/>
    <w:rsid w:val="000B649D"/>
    <w:rsid w:val="000B707A"/>
    <w:rsid w:val="000B775C"/>
    <w:rsid w:val="000B7998"/>
    <w:rsid w:val="000B7ADA"/>
    <w:rsid w:val="000B7F98"/>
    <w:rsid w:val="000C1349"/>
    <w:rsid w:val="000C1530"/>
    <w:rsid w:val="000C191F"/>
    <w:rsid w:val="000C210A"/>
    <w:rsid w:val="000C2672"/>
    <w:rsid w:val="000C5DFC"/>
    <w:rsid w:val="000D01DF"/>
    <w:rsid w:val="000D03CA"/>
    <w:rsid w:val="000D0FD9"/>
    <w:rsid w:val="000D1DAC"/>
    <w:rsid w:val="000D2B85"/>
    <w:rsid w:val="000D42BC"/>
    <w:rsid w:val="000D43DE"/>
    <w:rsid w:val="000D4590"/>
    <w:rsid w:val="000D528A"/>
    <w:rsid w:val="000E07BF"/>
    <w:rsid w:val="000E3B2C"/>
    <w:rsid w:val="000E4F6A"/>
    <w:rsid w:val="000E6A31"/>
    <w:rsid w:val="000F0A05"/>
    <w:rsid w:val="000F4066"/>
    <w:rsid w:val="000F661B"/>
    <w:rsid w:val="00100D66"/>
    <w:rsid w:val="00101514"/>
    <w:rsid w:val="00101E4C"/>
    <w:rsid w:val="00103306"/>
    <w:rsid w:val="0010461E"/>
    <w:rsid w:val="00105992"/>
    <w:rsid w:val="00107623"/>
    <w:rsid w:val="0011013E"/>
    <w:rsid w:val="001113A4"/>
    <w:rsid w:val="00112F4D"/>
    <w:rsid w:val="001142B3"/>
    <w:rsid w:val="00115489"/>
    <w:rsid w:val="0011662F"/>
    <w:rsid w:val="001179FD"/>
    <w:rsid w:val="0012110E"/>
    <w:rsid w:val="001213B4"/>
    <w:rsid w:val="00122E9F"/>
    <w:rsid w:val="00125352"/>
    <w:rsid w:val="0012540F"/>
    <w:rsid w:val="001262A9"/>
    <w:rsid w:val="001264B6"/>
    <w:rsid w:val="00131DDA"/>
    <w:rsid w:val="0013228F"/>
    <w:rsid w:val="0013257D"/>
    <w:rsid w:val="001334FC"/>
    <w:rsid w:val="001348CB"/>
    <w:rsid w:val="00136449"/>
    <w:rsid w:val="00137C40"/>
    <w:rsid w:val="00141BEE"/>
    <w:rsid w:val="001427BC"/>
    <w:rsid w:val="00142BA3"/>
    <w:rsid w:val="00143659"/>
    <w:rsid w:val="00144CE3"/>
    <w:rsid w:val="001459E9"/>
    <w:rsid w:val="00146DFD"/>
    <w:rsid w:val="00150A3B"/>
    <w:rsid w:val="00150F8B"/>
    <w:rsid w:val="001535C8"/>
    <w:rsid w:val="0015699C"/>
    <w:rsid w:val="0015792E"/>
    <w:rsid w:val="00157C40"/>
    <w:rsid w:val="00162439"/>
    <w:rsid w:val="00162694"/>
    <w:rsid w:val="0016278E"/>
    <w:rsid w:val="001662BA"/>
    <w:rsid w:val="001662C3"/>
    <w:rsid w:val="00166D3E"/>
    <w:rsid w:val="00167298"/>
    <w:rsid w:val="0017540A"/>
    <w:rsid w:val="00176F31"/>
    <w:rsid w:val="0017760B"/>
    <w:rsid w:val="00180416"/>
    <w:rsid w:val="001808A3"/>
    <w:rsid w:val="00180CFB"/>
    <w:rsid w:val="00182BAC"/>
    <w:rsid w:val="0018720B"/>
    <w:rsid w:val="00190302"/>
    <w:rsid w:val="00191FE1"/>
    <w:rsid w:val="00192E98"/>
    <w:rsid w:val="0019690C"/>
    <w:rsid w:val="00196CC9"/>
    <w:rsid w:val="001A1A45"/>
    <w:rsid w:val="001A1CA6"/>
    <w:rsid w:val="001A2153"/>
    <w:rsid w:val="001A2FBB"/>
    <w:rsid w:val="001A3317"/>
    <w:rsid w:val="001A4E74"/>
    <w:rsid w:val="001A56AF"/>
    <w:rsid w:val="001A5DC7"/>
    <w:rsid w:val="001A6D02"/>
    <w:rsid w:val="001A791E"/>
    <w:rsid w:val="001B0975"/>
    <w:rsid w:val="001B2BCC"/>
    <w:rsid w:val="001B4349"/>
    <w:rsid w:val="001B4A58"/>
    <w:rsid w:val="001B4B4C"/>
    <w:rsid w:val="001B50B2"/>
    <w:rsid w:val="001B50E0"/>
    <w:rsid w:val="001B70F6"/>
    <w:rsid w:val="001B7260"/>
    <w:rsid w:val="001B7ADD"/>
    <w:rsid w:val="001C1597"/>
    <w:rsid w:val="001C3034"/>
    <w:rsid w:val="001C3EBB"/>
    <w:rsid w:val="001C3FA9"/>
    <w:rsid w:val="001D07A0"/>
    <w:rsid w:val="001D1712"/>
    <w:rsid w:val="001D20F8"/>
    <w:rsid w:val="001D3208"/>
    <w:rsid w:val="001D5749"/>
    <w:rsid w:val="001D6546"/>
    <w:rsid w:val="001E100C"/>
    <w:rsid w:val="001E4435"/>
    <w:rsid w:val="001E54B7"/>
    <w:rsid w:val="001E68C0"/>
    <w:rsid w:val="001E74FC"/>
    <w:rsid w:val="001F4A76"/>
    <w:rsid w:val="001F6A0F"/>
    <w:rsid w:val="00200693"/>
    <w:rsid w:val="00201BFD"/>
    <w:rsid w:val="00206AF2"/>
    <w:rsid w:val="0021187B"/>
    <w:rsid w:val="002118D4"/>
    <w:rsid w:val="00211C6C"/>
    <w:rsid w:val="00212299"/>
    <w:rsid w:val="002145F6"/>
    <w:rsid w:val="002261DB"/>
    <w:rsid w:val="00227576"/>
    <w:rsid w:val="0023044C"/>
    <w:rsid w:val="002311CC"/>
    <w:rsid w:val="00231244"/>
    <w:rsid w:val="00232E6E"/>
    <w:rsid w:val="00233EBE"/>
    <w:rsid w:val="00234BD0"/>
    <w:rsid w:val="002354DC"/>
    <w:rsid w:val="002362F4"/>
    <w:rsid w:val="0024234F"/>
    <w:rsid w:val="00244511"/>
    <w:rsid w:val="00245034"/>
    <w:rsid w:val="0025080E"/>
    <w:rsid w:val="00252C01"/>
    <w:rsid w:val="00254083"/>
    <w:rsid w:val="00256182"/>
    <w:rsid w:val="00256241"/>
    <w:rsid w:val="002614A3"/>
    <w:rsid w:val="002635D1"/>
    <w:rsid w:val="0026506D"/>
    <w:rsid w:val="00265E1C"/>
    <w:rsid w:val="00265F12"/>
    <w:rsid w:val="0026629B"/>
    <w:rsid w:val="0026688B"/>
    <w:rsid w:val="00266A2D"/>
    <w:rsid w:val="00266BF8"/>
    <w:rsid w:val="002705D9"/>
    <w:rsid w:val="00272D3C"/>
    <w:rsid w:val="0027394C"/>
    <w:rsid w:val="00281E6E"/>
    <w:rsid w:val="00282504"/>
    <w:rsid w:val="00282AAB"/>
    <w:rsid w:val="00283CE5"/>
    <w:rsid w:val="0028424A"/>
    <w:rsid w:val="00284F1B"/>
    <w:rsid w:val="00285B4B"/>
    <w:rsid w:val="0028686B"/>
    <w:rsid w:val="0028704F"/>
    <w:rsid w:val="00292715"/>
    <w:rsid w:val="00292A29"/>
    <w:rsid w:val="00294A78"/>
    <w:rsid w:val="00294B4B"/>
    <w:rsid w:val="002950A1"/>
    <w:rsid w:val="00295BF0"/>
    <w:rsid w:val="002A147E"/>
    <w:rsid w:val="002A1A8A"/>
    <w:rsid w:val="002A545C"/>
    <w:rsid w:val="002A5525"/>
    <w:rsid w:val="002A6327"/>
    <w:rsid w:val="002A6A0F"/>
    <w:rsid w:val="002A7251"/>
    <w:rsid w:val="002B0DEB"/>
    <w:rsid w:val="002B1776"/>
    <w:rsid w:val="002B4044"/>
    <w:rsid w:val="002B7028"/>
    <w:rsid w:val="002C4E33"/>
    <w:rsid w:val="002C748D"/>
    <w:rsid w:val="002D043D"/>
    <w:rsid w:val="002D0A5D"/>
    <w:rsid w:val="002D1068"/>
    <w:rsid w:val="002D1B3B"/>
    <w:rsid w:val="002D3BA9"/>
    <w:rsid w:val="002D3C70"/>
    <w:rsid w:val="002D444E"/>
    <w:rsid w:val="002D51FF"/>
    <w:rsid w:val="002D5205"/>
    <w:rsid w:val="002D6B95"/>
    <w:rsid w:val="002D7A07"/>
    <w:rsid w:val="002E0CA0"/>
    <w:rsid w:val="002E1A32"/>
    <w:rsid w:val="002E5260"/>
    <w:rsid w:val="002E699B"/>
    <w:rsid w:val="002E7C23"/>
    <w:rsid w:val="002E7C64"/>
    <w:rsid w:val="002F0F99"/>
    <w:rsid w:val="002F1221"/>
    <w:rsid w:val="002F1645"/>
    <w:rsid w:val="002F2CF3"/>
    <w:rsid w:val="002F464D"/>
    <w:rsid w:val="002F503B"/>
    <w:rsid w:val="002F5213"/>
    <w:rsid w:val="002F5798"/>
    <w:rsid w:val="002F59C9"/>
    <w:rsid w:val="002F65B4"/>
    <w:rsid w:val="00302A0E"/>
    <w:rsid w:val="00302CBB"/>
    <w:rsid w:val="00302F83"/>
    <w:rsid w:val="00303F21"/>
    <w:rsid w:val="00305DE1"/>
    <w:rsid w:val="00306366"/>
    <w:rsid w:val="003105FF"/>
    <w:rsid w:val="003107D6"/>
    <w:rsid w:val="003143D3"/>
    <w:rsid w:val="003212C6"/>
    <w:rsid w:val="00323D97"/>
    <w:rsid w:val="0032466A"/>
    <w:rsid w:val="00326879"/>
    <w:rsid w:val="003274B3"/>
    <w:rsid w:val="003278D9"/>
    <w:rsid w:val="003314F2"/>
    <w:rsid w:val="0033190F"/>
    <w:rsid w:val="00331BA5"/>
    <w:rsid w:val="00332B99"/>
    <w:rsid w:val="0033489B"/>
    <w:rsid w:val="00335BF8"/>
    <w:rsid w:val="00335CE1"/>
    <w:rsid w:val="00335E99"/>
    <w:rsid w:val="0034239B"/>
    <w:rsid w:val="003430B2"/>
    <w:rsid w:val="003437D2"/>
    <w:rsid w:val="00343FD3"/>
    <w:rsid w:val="0034777A"/>
    <w:rsid w:val="00347AD4"/>
    <w:rsid w:val="00350B76"/>
    <w:rsid w:val="0035136D"/>
    <w:rsid w:val="00352AFA"/>
    <w:rsid w:val="00353843"/>
    <w:rsid w:val="0035659A"/>
    <w:rsid w:val="00357D67"/>
    <w:rsid w:val="003649A9"/>
    <w:rsid w:val="00364F34"/>
    <w:rsid w:val="003664D4"/>
    <w:rsid w:val="00367386"/>
    <w:rsid w:val="003679D5"/>
    <w:rsid w:val="0037356E"/>
    <w:rsid w:val="00380436"/>
    <w:rsid w:val="00382DEE"/>
    <w:rsid w:val="00383BD4"/>
    <w:rsid w:val="003844B9"/>
    <w:rsid w:val="0038569A"/>
    <w:rsid w:val="0038666C"/>
    <w:rsid w:val="00387521"/>
    <w:rsid w:val="003878F3"/>
    <w:rsid w:val="003912F4"/>
    <w:rsid w:val="00394347"/>
    <w:rsid w:val="003944D1"/>
    <w:rsid w:val="003951AC"/>
    <w:rsid w:val="00395C61"/>
    <w:rsid w:val="003967CE"/>
    <w:rsid w:val="003A0048"/>
    <w:rsid w:val="003A0D89"/>
    <w:rsid w:val="003A7CCA"/>
    <w:rsid w:val="003B10F0"/>
    <w:rsid w:val="003B1A94"/>
    <w:rsid w:val="003B2533"/>
    <w:rsid w:val="003B466A"/>
    <w:rsid w:val="003B484E"/>
    <w:rsid w:val="003B68F2"/>
    <w:rsid w:val="003B6F5D"/>
    <w:rsid w:val="003C0834"/>
    <w:rsid w:val="003C1936"/>
    <w:rsid w:val="003C20A9"/>
    <w:rsid w:val="003C2ACF"/>
    <w:rsid w:val="003C2B1F"/>
    <w:rsid w:val="003C3833"/>
    <w:rsid w:val="003C3A21"/>
    <w:rsid w:val="003C6EB4"/>
    <w:rsid w:val="003D021C"/>
    <w:rsid w:val="003D0F3E"/>
    <w:rsid w:val="003D47CE"/>
    <w:rsid w:val="003D7D82"/>
    <w:rsid w:val="003E308C"/>
    <w:rsid w:val="003E6E97"/>
    <w:rsid w:val="003F0B3D"/>
    <w:rsid w:val="003F11A0"/>
    <w:rsid w:val="003F44B6"/>
    <w:rsid w:val="003F7CE2"/>
    <w:rsid w:val="00401C75"/>
    <w:rsid w:val="0040389A"/>
    <w:rsid w:val="00403A29"/>
    <w:rsid w:val="00405B96"/>
    <w:rsid w:val="004064D7"/>
    <w:rsid w:val="00414554"/>
    <w:rsid w:val="004159C6"/>
    <w:rsid w:val="00417490"/>
    <w:rsid w:val="00417A22"/>
    <w:rsid w:val="00420A15"/>
    <w:rsid w:val="00420AD2"/>
    <w:rsid w:val="00420E46"/>
    <w:rsid w:val="00422FA8"/>
    <w:rsid w:val="00427347"/>
    <w:rsid w:val="004275CE"/>
    <w:rsid w:val="00427CEC"/>
    <w:rsid w:val="004304AC"/>
    <w:rsid w:val="004306EE"/>
    <w:rsid w:val="00431B3B"/>
    <w:rsid w:val="00433FE5"/>
    <w:rsid w:val="00434D2A"/>
    <w:rsid w:val="00436507"/>
    <w:rsid w:val="004376E3"/>
    <w:rsid w:val="00440CE5"/>
    <w:rsid w:val="00446EDD"/>
    <w:rsid w:val="00450037"/>
    <w:rsid w:val="00452172"/>
    <w:rsid w:val="00452432"/>
    <w:rsid w:val="00452B54"/>
    <w:rsid w:val="00452D37"/>
    <w:rsid w:val="00452E7F"/>
    <w:rsid w:val="00452EF8"/>
    <w:rsid w:val="00452F6C"/>
    <w:rsid w:val="004553EB"/>
    <w:rsid w:val="00455978"/>
    <w:rsid w:val="00455D78"/>
    <w:rsid w:val="00456974"/>
    <w:rsid w:val="004604BB"/>
    <w:rsid w:val="0046091E"/>
    <w:rsid w:val="00461748"/>
    <w:rsid w:val="004621AB"/>
    <w:rsid w:val="004625AD"/>
    <w:rsid w:val="004657AF"/>
    <w:rsid w:val="00465D82"/>
    <w:rsid w:val="004665BD"/>
    <w:rsid w:val="00466738"/>
    <w:rsid w:val="00466AD7"/>
    <w:rsid w:val="004700F4"/>
    <w:rsid w:val="00470AE3"/>
    <w:rsid w:val="00471C2A"/>
    <w:rsid w:val="00471C92"/>
    <w:rsid w:val="004728E1"/>
    <w:rsid w:val="00472B1E"/>
    <w:rsid w:val="004743CF"/>
    <w:rsid w:val="00476910"/>
    <w:rsid w:val="004802DA"/>
    <w:rsid w:val="0048335E"/>
    <w:rsid w:val="00484304"/>
    <w:rsid w:val="00484B4C"/>
    <w:rsid w:val="00486A7A"/>
    <w:rsid w:val="0048755C"/>
    <w:rsid w:val="00490BC3"/>
    <w:rsid w:val="00492109"/>
    <w:rsid w:val="00492EF4"/>
    <w:rsid w:val="00495E3F"/>
    <w:rsid w:val="004A1B8F"/>
    <w:rsid w:val="004A2105"/>
    <w:rsid w:val="004A46A0"/>
    <w:rsid w:val="004A4BC0"/>
    <w:rsid w:val="004A6663"/>
    <w:rsid w:val="004A6903"/>
    <w:rsid w:val="004A6CFB"/>
    <w:rsid w:val="004A7EE8"/>
    <w:rsid w:val="004B11F1"/>
    <w:rsid w:val="004B30C3"/>
    <w:rsid w:val="004B3F1D"/>
    <w:rsid w:val="004B4721"/>
    <w:rsid w:val="004B6F33"/>
    <w:rsid w:val="004C0778"/>
    <w:rsid w:val="004C4A7F"/>
    <w:rsid w:val="004C59A9"/>
    <w:rsid w:val="004C6701"/>
    <w:rsid w:val="004C692A"/>
    <w:rsid w:val="004D0A1C"/>
    <w:rsid w:val="004D1A5B"/>
    <w:rsid w:val="004D1ADA"/>
    <w:rsid w:val="004D2C06"/>
    <w:rsid w:val="004D77C5"/>
    <w:rsid w:val="004E0233"/>
    <w:rsid w:val="004E0BC9"/>
    <w:rsid w:val="004E0C73"/>
    <w:rsid w:val="004E181E"/>
    <w:rsid w:val="004E279C"/>
    <w:rsid w:val="004E2ECC"/>
    <w:rsid w:val="004E32D0"/>
    <w:rsid w:val="004E3DA6"/>
    <w:rsid w:val="004E42F0"/>
    <w:rsid w:val="004E6012"/>
    <w:rsid w:val="004E73D2"/>
    <w:rsid w:val="004E7455"/>
    <w:rsid w:val="004E759B"/>
    <w:rsid w:val="004E776E"/>
    <w:rsid w:val="004E7E55"/>
    <w:rsid w:val="004F10A1"/>
    <w:rsid w:val="004F2B4F"/>
    <w:rsid w:val="004F32E3"/>
    <w:rsid w:val="004F3C92"/>
    <w:rsid w:val="004F5A4F"/>
    <w:rsid w:val="004F73C6"/>
    <w:rsid w:val="004F757C"/>
    <w:rsid w:val="004F7E1E"/>
    <w:rsid w:val="005033F4"/>
    <w:rsid w:val="00513171"/>
    <w:rsid w:val="0051462B"/>
    <w:rsid w:val="0051580C"/>
    <w:rsid w:val="00515CB8"/>
    <w:rsid w:val="00516E4E"/>
    <w:rsid w:val="005171AE"/>
    <w:rsid w:val="00517C3B"/>
    <w:rsid w:val="00522057"/>
    <w:rsid w:val="00522C76"/>
    <w:rsid w:val="00523A2C"/>
    <w:rsid w:val="00525960"/>
    <w:rsid w:val="005269A7"/>
    <w:rsid w:val="00527E1A"/>
    <w:rsid w:val="00531804"/>
    <w:rsid w:val="00533514"/>
    <w:rsid w:val="00533855"/>
    <w:rsid w:val="005351E2"/>
    <w:rsid w:val="00541572"/>
    <w:rsid w:val="00541FEF"/>
    <w:rsid w:val="0054596A"/>
    <w:rsid w:val="0054612F"/>
    <w:rsid w:val="0054670A"/>
    <w:rsid w:val="0054688F"/>
    <w:rsid w:val="00550F4D"/>
    <w:rsid w:val="005519DE"/>
    <w:rsid w:val="00551DC3"/>
    <w:rsid w:val="00552C2F"/>
    <w:rsid w:val="005548F3"/>
    <w:rsid w:val="00554A65"/>
    <w:rsid w:val="005553DC"/>
    <w:rsid w:val="00556720"/>
    <w:rsid w:val="00561D63"/>
    <w:rsid w:val="00562529"/>
    <w:rsid w:val="005627C8"/>
    <w:rsid w:val="00564781"/>
    <w:rsid w:val="005673B1"/>
    <w:rsid w:val="00567C04"/>
    <w:rsid w:val="00571CC5"/>
    <w:rsid w:val="0057257F"/>
    <w:rsid w:val="00572B47"/>
    <w:rsid w:val="00572C6C"/>
    <w:rsid w:val="00573DFD"/>
    <w:rsid w:val="0057451F"/>
    <w:rsid w:val="00574F8B"/>
    <w:rsid w:val="005758E5"/>
    <w:rsid w:val="005767C5"/>
    <w:rsid w:val="00580951"/>
    <w:rsid w:val="005811B0"/>
    <w:rsid w:val="00581DF0"/>
    <w:rsid w:val="00583A30"/>
    <w:rsid w:val="00584E48"/>
    <w:rsid w:val="0058733C"/>
    <w:rsid w:val="005879C9"/>
    <w:rsid w:val="00587ABC"/>
    <w:rsid w:val="005934C0"/>
    <w:rsid w:val="005956F1"/>
    <w:rsid w:val="00595824"/>
    <w:rsid w:val="00596860"/>
    <w:rsid w:val="00596AD5"/>
    <w:rsid w:val="0059791D"/>
    <w:rsid w:val="00597A80"/>
    <w:rsid w:val="00597EC1"/>
    <w:rsid w:val="005A3784"/>
    <w:rsid w:val="005A5F17"/>
    <w:rsid w:val="005A7DAD"/>
    <w:rsid w:val="005A7E07"/>
    <w:rsid w:val="005B2669"/>
    <w:rsid w:val="005B392F"/>
    <w:rsid w:val="005B5748"/>
    <w:rsid w:val="005B636F"/>
    <w:rsid w:val="005B66C3"/>
    <w:rsid w:val="005C0EB2"/>
    <w:rsid w:val="005C3086"/>
    <w:rsid w:val="005C3A2E"/>
    <w:rsid w:val="005C3E2E"/>
    <w:rsid w:val="005C3F44"/>
    <w:rsid w:val="005C5074"/>
    <w:rsid w:val="005C784C"/>
    <w:rsid w:val="005D0EA3"/>
    <w:rsid w:val="005D11CB"/>
    <w:rsid w:val="005D298F"/>
    <w:rsid w:val="005D3757"/>
    <w:rsid w:val="005D4486"/>
    <w:rsid w:val="005D669C"/>
    <w:rsid w:val="005D7F4C"/>
    <w:rsid w:val="005E2684"/>
    <w:rsid w:val="005E2C8D"/>
    <w:rsid w:val="005E4164"/>
    <w:rsid w:val="005F1927"/>
    <w:rsid w:val="005F3F27"/>
    <w:rsid w:val="005F4C7F"/>
    <w:rsid w:val="00600756"/>
    <w:rsid w:val="006011EB"/>
    <w:rsid w:val="00604A13"/>
    <w:rsid w:val="00604E5C"/>
    <w:rsid w:val="006110D1"/>
    <w:rsid w:val="00612FDC"/>
    <w:rsid w:val="006130D8"/>
    <w:rsid w:val="0061410A"/>
    <w:rsid w:val="00614FDE"/>
    <w:rsid w:val="0061649C"/>
    <w:rsid w:val="00617ED9"/>
    <w:rsid w:val="0062138D"/>
    <w:rsid w:val="00621754"/>
    <w:rsid w:val="006233F2"/>
    <w:rsid w:val="006236AB"/>
    <w:rsid w:val="006238FB"/>
    <w:rsid w:val="00624376"/>
    <w:rsid w:val="006257CA"/>
    <w:rsid w:val="006258D1"/>
    <w:rsid w:val="006258DA"/>
    <w:rsid w:val="0063104D"/>
    <w:rsid w:val="00632A67"/>
    <w:rsid w:val="00632F12"/>
    <w:rsid w:val="00633EEA"/>
    <w:rsid w:val="00635A69"/>
    <w:rsid w:val="00642AD9"/>
    <w:rsid w:val="00642CD4"/>
    <w:rsid w:val="0064739F"/>
    <w:rsid w:val="006504C9"/>
    <w:rsid w:val="006508AE"/>
    <w:rsid w:val="00650B04"/>
    <w:rsid w:val="00651853"/>
    <w:rsid w:val="0065332E"/>
    <w:rsid w:val="00653696"/>
    <w:rsid w:val="0065384C"/>
    <w:rsid w:val="00654399"/>
    <w:rsid w:val="006567C4"/>
    <w:rsid w:val="00657116"/>
    <w:rsid w:val="006630BA"/>
    <w:rsid w:val="00663364"/>
    <w:rsid w:val="00663517"/>
    <w:rsid w:val="0066479E"/>
    <w:rsid w:val="00664BDA"/>
    <w:rsid w:val="006650AA"/>
    <w:rsid w:val="00665610"/>
    <w:rsid w:val="006666F6"/>
    <w:rsid w:val="006669DD"/>
    <w:rsid w:val="006721A8"/>
    <w:rsid w:val="00674132"/>
    <w:rsid w:val="00674304"/>
    <w:rsid w:val="006746AA"/>
    <w:rsid w:val="006765F2"/>
    <w:rsid w:val="0067692B"/>
    <w:rsid w:val="00676975"/>
    <w:rsid w:val="00680CB6"/>
    <w:rsid w:val="00681C8D"/>
    <w:rsid w:val="00681D34"/>
    <w:rsid w:val="00685BD1"/>
    <w:rsid w:val="006860CB"/>
    <w:rsid w:val="006901A9"/>
    <w:rsid w:val="00690CD5"/>
    <w:rsid w:val="00690E9D"/>
    <w:rsid w:val="006910E1"/>
    <w:rsid w:val="006A0190"/>
    <w:rsid w:val="006A14EF"/>
    <w:rsid w:val="006A19DE"/>
    <w:rsid w:val="006A20E0"/>
    <w:rsid w:val="006A2EC2"/>
    <w:rsid w:val="006A32D7"/>
    <w:rsid w:val="006A3475"/>
    <w:rsid w:val="006A43F4"/>
    <w:rsid w:val="006A47A8"/>
    <w:rsid w:val="006A4BAB"/>
    <w:rsid w:val="006A605A"/>
    <w:rsid w:val="006A7E9A"/>
    <w:rsid w:val="006B1842"/>
    <w:rsid w:val="006B4E4F"/>
    <w:rsid w:val="006B5E97"/>
    <w:rsid w:val="006B7CCC"/>
    <w:rsid w:val="006C264F"/>
    <w:rsid w:val="006C2EF5"/>
    <w:rsid w:val="006C34E1"/>
    <w:rsid w:val="006C3B0D"/>
    <w:rsid w:val="006C480E"/>
    <w:rsid w:val="006C536F"/>
    <w:rsid w:val="006D00A8"/>
    <w:rsid w:val="006D00AA"/>
    <w:rsid w:val="006D0812"/>
    <w:rsid w:val="006D31F7"/>
    <w:rsid w:val="006D36C1"/>
    <w:rsid w:val="006D436A"/>
    <w:rsid w:val="006D648E"/>
    <w:rsid w:val="006D7175"/>
    <w:rsid w:val="006D75B2"/>
    <w:rsid w:val="006E1263"/>
    <w:rsid w:val="006E22D3"/>
    <w:rsid w:val="006E2B02"/>
    <w:rsid w:val="006E2D43"/>
    <w:rsid w:val="006E3A3E"/>
    <w:rsid w:val="006E3EC2"/>
    <w:rsid w:val="006E6848"/>
    <w:rsid w:val="006E6D5A"/>
    <w:rsid w:val="006F0346"/>
    <w:rsid w:val="006F1E86"/>
    <w:rsid w:val="006F359E"/>
    <w:rsid w:val="006F3BC3"/>
    <w:rsid w:val="006F726A"/>
    <w:rsid w:val="006F7BD8"/>
    <w:rsid w:val="00701979"/>
    <w:rsid w:val="00702D99"/>
    <w:rsid w:val="007033F7"/>
    <w:rsid w:val="00704B05"/>
    <w:rsid w:val="00706500"/>
    <w:rsid w:val="0070664E"/>
    <w:rsid w:val="00706BF3"/>
    <w:rsid w:val="007070B4"/>
    <w:rsid w:val="00707F3C"/>
    <w:rsid w:val="00711C80"/>
    <w:rsid w:val="00714424"/>
    <w:rsid w:val="0071465F"/>
    <w:rsid w:val="00715967"/>
    <w:rsid w:val="007166E9"/>
    <w:rsid w:val="007206BB"/>
    <w:rsid w:val="00721DB1"/>
    <w:rsid w:val="00722527"/>
    <w:rsid w:val="0072294C"/>
    <w:rsid w:val="00722F08"/>
    <w:rsid w:val="00726501"/>
    <w:rsid w:val="00727178"/>
    <w:rsid w:val="00727E82"/>
    <w:rsid w:val="0073154A"/>
    <w:rsid w:val="00731B2E"/>
    <w:rsid w:val="00732A26"/>
    <w:rsid w:val="007331FA"/>
    <w:rsid w:val="00734009"/>
    <w:rsid w:val="007345C5"/>
    <w:rsid w:val="007350E4"/>
    <w:rsid w:val="00735C67"/>
    <w:rsid w:val="007368E4"/>
    <w:rsid w:val="00736988"/>
    <w:rsid w:val="0073729E"/>
    <w:rsid w:val="00740B3B"/>
    <w:rsid w:val="00740BC2"/>
    <w:rsid w:val="00740DFE"/>
    <w:rsid w:val="007415A2"/>
    <w:rsid w:val="007451E1"/>
    <w:rsid w:val="00747AED"/>
    <w:rsid w:val="007513BB"/>
    <w:rsid w:val="007533A6"/>
    <w:rsid w:val="007549B7"/>
    <w:rsid w:val="00756A92"/>
    <w:rsid w:val="0076567D"/>
    <w:rsid w:val="0076630F"/>
    <w:rsid w:val="007668CE"/>
    <w:rsid w:val="00766C3F"/>
    <w:rsid w:val="007726C7"/>
    <w:rsid w:val="00774679"/>
    <w:rsid w:val="00777420"/>
    <w:rsid w:val="0078188E"/>
    <w:rsid w:val="007844AD"/>
    <w:rsid w:val="00786052"/>
    <w:rsid w:val="0078625D"/>
    <w:rsid w:val="007900B8"/>
    <w:rsid w:val="007914D2"/>
    <w:rsid w:val="00792DF7"/>
    <w:rsid w:val="0079327B"/>
    <w:rsid w:val="007939EC"/>
    <w:rsid w:val="00794AEA"/>
    <w:rsid w:val="00796E54"/>
    <w:rsid w:val="007979C9"/>
    <w:rsid w:val="007A1958"/>
    <w:rsid w:val="007A2F47"/>
    <w:rsid w:val="007A3302"/>
    <w:rsid w:val="007B2046"/>
    <w:rsid w:val="007B3A3A"/>
    <w:rsid w:val="007B5AA3"/>
    <w:rsid w:val="007B682E"/>
    <w:rsid w:val="007B72FE"/>
    <w:rsid w:val="007B747C"/>
    <w:rsid w:val="007C1459"/>
    <w:rsid w:val="007C3C93"/>
    <w:rsid w:val="007C5683"/>
    <w:rsid w:val="007C5D52"/>
    <w:rsid w:val="007D0340"/>
    <w:rsid w:val="007D0DDC"/>
    <w:rsid w:val="007D265C"/>
    <w:rsid w:val="007D34C6"/>
    <w:rsid w:val="007D3718"/>
    <w:rsid w:val="007D4DF2"/>
    <w:rsid w:val="007E0BFD"/>
    <w:rsid w:val="007E17FA"/>
    <w:rsid w:val="007E47C0"/>
    <w:rsid w:val="007E4EFB"/>
    <w:rsid w:val="007E508B"/>
    <w:rsid w:val="007E511C"/>
    <w:rsid w:val="007E6A9C"/>
    <w:rsid w:val="007E79CA"/>
    <w:rsid w:val="007F0010"/>
    <w:rsid w:val="007F16BF"/>
    <w:rsid w:val="007F36B4"/>
    <w:rsid w:val="007F3BE4"/>
    <w:rsid w:val="007F4E2F"/>
    <w:rsid w:val="007F75D8"/>
    <w:rsid w:val="007F7700"/>
    <w:rsid w:val="007F78A1"/>
    <w:rsid w:val="007F7B70"/>
    <w:rsid w:val="0080274E"/>
    <w:rsid w:val="008071FD"/>
    <w:rsid w:val="00810146"/>
    <w:rsid w:val="00811475"/>
    <w:rsid w:val="00811EB4"/>
    <w:rsid w:val="0081252E"/>
    <w:rsid w:val="008159FD"/>
    <w:rsid w:val="00815CE4"/>
    <w:rsid w:val="00817921"/>
    <w:rsid w:val="00820C2C"/>
    <w:rsid w:val="00820DD7"/>
    <w:rsid w:val="00823C9F"/>
    <w:rsid w:val="00825F9F"/>
    <w:rsid w:val="0082619C"/>
    <w:rsid w:val="00826402"/>
    <w:rsid w:val="008276A9"/>
    <w:rsid w:val="00830C9F"/>
    <w:rsid w:val="00833958"/>
    <w:rsid w:val="00834BEC"/>
    <w:rsid w:val="00837EB4"/>
    <w:rsid w:val="008407B3"/>
    <w:rsid w:val="00841B80"/>
    <w:rsid w:val="00841BD1"/>
    <w:rsid w:val="00842D91"/>
    <w:rsid w:val="00843CFA"/>
    <w:rsid w:val="008440BD"/>
    <w:rsid w:val="00844D0A"/>
    <w:rsid w:val="00851207"/>
    <w:rsid w:val="00852D54"/>
    <w:rsid w:val="00854C2C"/>
    <w:rsid w:val="00854E8F"/>
    <w:rsid w:val="00855190"/>
    <w:rsid w:val="008552BA"/>
    <w:rsid w:val="00856AB4"/>
    <w:rsid w:val="00862F80"/>
    <w:rsid w:val="00863658"/>
    <w:rsid w:val="0086497A"/>
    <w:rsid w:val="00865011"/>
    <w:rsid w:val="00865C89"/>
    <w:rsid w:val="00866123"/>
    <w:rsid w:val="0086686A"/>
    <w:rsid w:val="00867D85"/>
    <w:rsid w:val="008704FE"/>
    <w:rsid w:val="0087399C"/>
    <w:rsid w:val="00873F14"/>
    <w:rsid w:val="00876569"/>
    <w:rsid w:val="00882E3F"/>
    <w:rsid w:val="008834E0"/>
    <w:rsid w:val="00884D8A"/>
    <w:rsid w:val="00885BCC"/>
    <w:rsid w:val="00885F07"/>
    <w:rsid w:val="008904D0"/>
    <w:rsid w:val="0089320F"/>
    <w:rsid w:val="00893FBA"/>
    <w:rsid w:val="008946B9"/>
    <w:rsid w:val="008970CE"/>
    <w:rsid w:val="00897392"/>
    <w:rsid w:val="008A4059"/>
    <w:rsid w:val="008A6E17"/>
    <w:rsid w:val="008B108F"/>
    <w:rsid w:val="008B125A"/>
    <w:rsid w:val="008B15C7"/>
    <w:rsid w:val="008B162F"/>
    <w:rsid w:val="008B1EA8"/>
    <w:rsid w:val="008B1F0B"/>
    <w:rsid w:val="008B3037"/>
    <w:rsid w:val="008B4EAD"/>
    <w:rsid w:val="008B53AC"/>
    <w:rsid w:val="008B5D52"/>
    <w:rsid w:val="008B66F2"/>
    <w:rsid w:val="008B7249"/>
    <w:rsid w:val="008B7B5D"/>
    <w:rsid w:val="008C0F0C"/>
    <w:rsid w:val="008C1265"/>
    <w:rsid w:val="008C1A0B"/>
    <w:rsid w:val="008C2566"/>
    <w:rsid w:val="008C2E2F"/>
    <w:rsid w:val="008C37D1"/>
    <w:rsid w:val="008C38B6"/>
    <w:rsid w:val="008C3B8E"/>
    <w:rsid w:val="008C5915"/>
    <w:rsid w:val="008C5A62"/>
    <w:rsid w:val="008D0E27"/>
    <w:rsid w:val="008D2C9E"/>
    <w:rsid w:val="008D32EE"/>
    <w:rsid w:val="008D3B76"/>
    <w:rsid w:val="008D56BF"/>
    <w:rsid w:val="008D61AE"/>
    <w:rsid w:val="008E0D47"/>
    <w:rsid w:val="008E0E3D"/>
    <w:rsid w:val="008E19DC"/>
    <w:rsid w:val="008E20CF"/>
    <w:rsid w:val="008E6D33"/>
    <w:rsid w:val="008E73B0"/>
    <w:rsid w:val="008F2A9C"/>
    <w:rsid w:val="008F2E05"/>
    <w:rsid w:val="008F306E"/>
    <w:rsid w:val="008F3AEB"/>
    <w:rsid w:val="008F3D75"/>
    <w:rsid w:val="008F4B6C"/>
    <w:rsid w:val="00900849"/>
    <w:rsid w:val="00903135"/>
    <w:rsid w:val="00904F27"/>
    <w:rsid w:val="00905ACF"/>
    <w:rsid w:val="00906BA8"/>
    <w:rsid w:val="009110F5"/>
    <w:rsid w:val="00913812"/>
    <w:rsid w:val="00914709"/>
    <w:rsid w:val="00914CFE"/>
    <w:rsid w:val="00917E6B"/>
    <w:rsid w:val="00922B76"/>
    <w:rsid w:val="009243D0"/>
    <w:rsid w:val="00924AC0"/>
    <w:rsid w:val="0092601D"/>
    <w:rsid w:val="00927099"/>
    <w:rsid w:val="00930F81"/>
    <w:rsid w:val="009322CE"/>
    <w:rsid w:val="00934C01"/>
    <w:rsid w:val="009354B0"/>
    <w:rsid w:val="0094172F"/>
    <w:rsid w:val="009417CD"/>
    <w:rsid w:val="009421CB"/>
    <w:rsid w:val="0094284C"/>
    <w:rsid w:val="009444D8"/>
    <w:rsid w:val="0094533C"/>
    <w:rsid w:val="00947BAF"/>
    <w:rsid w:val="0095390B"/>
    <w:rsid w:val="00954180"/>
    <w:rsid w:val="00955C6D"/>
    <w:rsid w:val="009569FB"/>
    <w:rsid w:val="009575BA"/>
    <w:rsid w:val="00960081"/>
    <w:rsid w:val="009603CA"/>
    <w:rsid w:val="009612BE"/>
    <w:rsid w:val="00961A05"/>
    <w:rsid w:val="009621BE"/>
    <w:rsid w:val="009675EB"/>
    <w:rsid w:val="009711E7"/>
    <w:rsid w:val="009727F3"/>
    <w:rsid w:val="00974D7F"/>
    <w:rsid w:val="00974ED1"/>
    <w:rsid w:val="00975044"/>
    <w:rsid w:val="00975E86"/>
    <w:rsid w:val="00982D60"/>
    <w:rsid w:val="009847E8"/>
    <w:rsid w:val="009865C7"/>
    <w:rsid w:val="009877CD"/>
    <w:rsid w:val="00991306"/>
    <w:rsid w:val="00991607"/>
    <w:rsid w:val="009925D5"/>
    <w:rsid w:val="00993F00"/>
    <w:rsid w:val="00994686"/>
    <w:rsid w:val="009948DD"/>
    <w:rsid w:val="00996057"/>
    <w:rsid w:val="009A0779"/>
    <w:rsid w:val="009A1A19"/>
    <w:rsid w:val="009A3A3A"/>
    <w:rsid w:val="009A4E3E"/>
    <w:rsid w:val="009A5778"/>
    <w:rsid w:val="009A5B8A"/>
    <w:rsid w:val="009A5CEE"/>
    <w:rsid w:val="009A6845"/>
    <w:rsid w:val="009A7B93"/>
    <w:rsid w:val="009B571F"/>
    <w:rsid w:val="009B5E7B"/>
    <w:rsid w:val="009B65D7"/>
    <w:rsid w:val="009C2EDE"/>
    <w:rsid w:val="009C62F8"/>
    <w:rsid w:val="009C721A"/>
    <w:rsid w:val="009C7E2D"/>
    <w:rsid w:val="009D0413"/>
    <w:rsid w:val="009D266C"/>
    <w:rsid w:val="009D4442"/>
    <w:rsid w:val="009E44C9"/>
    <w:rsid w:val="009E6DBD"/>
    <w:rsid w:val="009E7B6E"/>
    <w:rsid w:val="009F27E4"/>
    <w:rsid w:val="009F49F6"/>
    <w:rsid w:val="009F77FB"/>
    <w:rsid w:val="00A00879"/>
    <w:rsid w:val="00A0093B"/>
    <w:rsid w:val="00A015CE"/>
    <w:rsid w:val="00A018B9"/>
    <w:rsid w:val="00A04032"/>
    <w:rsid w:val="00A059A1"/>
    <w:rsid w:val="00A07588"/>
    <w:rsid w:val="00A1046C"/>
    <w:rsid w:val="00A10484"/>
    <w:rsid w:val="00A109A1"/>
    <w:rsid w:val="00A10BC3"/>
    <w:rsid w:val="00A10F9D"/>
    <w:rsid w:val="00A12DE2"/>
    <w:rsid w:val="00A14DB4"/>
    <w:rsid w:val="00A1555B"/>
    <w:rsid w:val="00A171DB"/>
    <w:rsid w:val="00A17816"/>
    <w:rsid w:val="00A179EF"/>
    <w:rsid w:val="00A20616"/>
    <w:rsid w:val="00A23080"/>
    <w:rsid w:val="00A230E8"/>
    <w:rsid w:val="00A24641"/>
    <w:rsid w:val="00A255FC"/>
    <w:rsid w:val="00A27020"/>
    <w:rsid w:val="00A273A7"/>
    <w:rsid w:val="00A31208"/>
    <w:rsid w:val="00A34F44"/>
    <w:rsid w:val="00A35DD0"/>
    <w:rsid w:val="00A3698C"/>
    <w:rsid w:val="00A36E51"/>
    <w:rsid w:val="00A37801"/>
    <w:rsid w:val="00A4044C"/>
    <w:rsid w:val="00A40593"/>
    <w:rsid w:val="00A40CFE"/>
    <w:rsid w:val="00A414E4"/>
    <w:rsid w:val="00A4212C"/>
    <w:rsid w:val="00A422E2"/>
    <w:rsid w:val="00A44C93"/>
    <w:rsid w:val="00A46305"/>
    <w:rsid w:val="00A46B6A"/>
    <w:rsid w:val="00A4708E"/>
    <w:rsid w:val="00A472F2"/>
    <w:rsid w:val="00A47D19"/>
    <w:rsid w:val="00A52A00"/>
    <w:rsid w:val="00A52FDD"/>
    <w:rsid w:val="00A54329"/>
    <w:rsid w:val="00A54874"/>
    <w:rsid w:val="00A60AD5"/>
    <w:rsid w:val="00A60D35"/>
    <w:rsid w:val="00A61BB2"/>
    <w:rsid w:val="00A629A1"/>
    <w:rsid w:val="00A62BD2"/>
    <w:rsid w:val="00A62D4E"/>
    <w:rsid w:val="00A63FC3"/>
    <w:rsid w:val="00A71190"/>
    <w:rsid w:val="00A74383"/>
    <w:rsid w:val="00A802B0"/>
    <w:rsid w:val="00A816AC"/>
    <w:rsid w:val="00A82414"/>
    <w:rsid w:val="00A84752"/>
    <w:rsid w:val="00A8534B"/>
    <w:rsid w:val="00A935D6"/>
    <w:rsid w:val="00A938E3"/>
    <w:rsid w:val="00A94157"/>
    <w:rsid w:val="00A965DF"/>
    <w:rsid w:val="00A97571"/>
    <w:rsid w:val="00AA2AF8"/>
    <w:rsid w:val="00AA2D7B"/>
    <w:rsid w:val="00AA46E1"/>
    <w:rsid w:val="00AA4F00"/>
    <w:rsid w:val="00AA598D"/>
    <w:rsid w:val="00AA68F8"/>
    <w:rsid w:val="00AA746E"/>
    <w:rsid w:val="00AB027E"/>
    <w:rsid w:val="00AB0C2C"/>
    <w:rsid w:val="00AB273E"/>
    <w:rsid w:val="00AB556F"/>
    <w:rsid w:val="00AB5F58"/>
    <w:rsid w:val="00AB67BC"/>
    <w:rsid w:val="00AB6FEC"/>
    <w:rsid w:val="00AC09D1"/>
    <w:rsid w:val="00AC0E9E"/>
    <w:rsid w:val="00AC1AF5"/>
    <w:rsid w:val="00AC3F28"/>
    <w:rsid w:val="00AC3FFF"/>
    <w:rsid w:val="00AC5350"/>
    <w:rsid w:val="00AC597D"/>
    <w:rsid w:val="00AC62AC"/>
    <w:rsid w:val="00AD1ACE"/>
    <w:rsid w:val="00AD47DE"/>
    <w:rsid w:val="00AD4A67"/>
    <w:rsid w:val="00AD702D"/>
    <w:rsid w:val="00AE138D"/>
    <w:rsid w:val="00AE4FCE"/>
    <w:rsid w:val="00AE6245"/>
    <w:rsid w:val="00AF0D8C"/>
    <w:rsid w:val="00AF1186"/>
    <w:rsid w:val="00AF21C3"/>
    <w:rsid w:val="00AF33F5"/>
    <w:rsid w:val="00AF45F1"/>
    <w:rsid w:val="00AF5BD4"/>
    <w:rsid w:val="00AF7C34"/>
    <w:rsid w:val="00B007A1"/>
    <w:rsid w:val="00B007D3"/>
    <w:rsid w:val="00B0262F"/>
    <w:rsid w:val="00B02635"/>
    <w:rsid w:val="00B03818"/>
    <w:rsid w:val="00B0488D"/>
    <w:rsid w:val="00B0499A"/>
    <w:rsid w:val="00B04AD8"/>
    <w:rsid w:val="00B06CDA"/>
    <w:rsid w:val="00B0703C"/>
    <w:rsid w:val="00B070BC"/>
    <w:rsid w:val="00B074B4"/>
    <w:rsid w:val="00B10D25"/>
    <w:rsid w:val="00B115C0"/>
    <w:rsid w:val="00B1162E"/>
    <w:rsid w:val="00B11DA5"/>
    <w:rsid w:val="00B13454"/>
    <w:rsid w:val="00B135B7"/>
    <w:rsid w:val="00B13ECF"/>
    <w:rsid w:val="00B14B91"/>
    <w:rsid w:val="00B16742"/>
    <w:rsid w:val="00B1675D"/>
    <w:rsid w:val="00B16E7A"/>
    <w:rsid w:val="00B172E1"/>
    <w:rsid w:val="00B17855"/>
    <w:rsid w:val="00B20396"/>
    <w:rsid w:val="00B2241D"/>
    <w:rsid w:val="00B2325D"/>
    <w:rsid w:val="00B2351F"/>
    <w:rsid w:val="00B23F5E"/>
    <w:rsid w:val="00B264D5"/>
    <w:rsid w:val="00B30818"/>
    <w:rsid w:val="00B30D4F"/>
    <w:rsid w:val="00B32978"/>
    <w:rsid w:val="00B32990"/>
    <w:rsid w:val="00B341A7"/>
    <w:rsid w:val="00B35AC5"/>
    <w:rsid w:val="00B361FC"/>
    <w:rsid w:val="00B40DA1"/>
    <w:rsid w:val="00B425AA"/>
    <w:rsid w:val="00B42C38"/>
    <w:rsid w:val="00B4715B"/>
    <w:rsid w:val="00B472C6"/>
    <w:rsid w:val="00B47903"/>
    <w:rsid w:val="00B51166"/>
    <w:rsid w:val="00B51C84"/>
    <w:rsid w:val="00B52425"/>
    <w:rsid w:val="00B53072"/>
    <w:rsid w:val="00B575E4"/>
    <w:rsid w:val="00B606F8"/>
    <w:rsid w:val="00B6093A"/>
    <w:rsid w:val="00B60F76"/>
    <w:rsid w:val="00B6226C"/>
    <w:rsid w:val="00B6707E"/>
    <w:rsid w:val="00B72CD6"/>
    <w:rsid w:val="00B7649D"/>
    <w:rsid w:val="00B76FAF"/>
    <w:rsid w:val="00B77728"/>
    <w:rsid w:val="00B77A96"/>
    <w:rsid w:val="00B800F7"/>
    <w:rsid w:val="00B81093"/>
    <w:rsid w:val="00B81BCB"/>
    <w:rsid w:val="00B8278F"/>
    <w:rsid w:val="00B87587"/>
    <w:rsid w:val="00B87AA5"/>
    <w:rsid w:val="00B9013D"/>
    <w:rsid w:val="00B90B0F"/>
    <w:rsid w:val="00B91634"/>
    <w:rsid w:val="00B92A42"/>
    <w:rsid w:val="00B9343A"/>
    <w:rsid w:val="00B9393B"/>
    <w:rsid w:val="00B953D6"/>
    <w:rsid w:val="00B95752"/>
    <w:rsid w:val="00B95E2E"/>
    <w:rsid w:val="00B960C9"/>
    <w:rsid w:val="00B96B17"/>
    <w:rsid w:val="00B977B2"/>
    <w:rsid w:val="00BA064B"/>
    <w:rsid w:val="00BA0E50"/>
    <w:rsid w:val="00BA1799"/>
    <w:rsid w:val="00BA18D1"/>
    <w:rsid w:val="00BA21AA"/>
    <w:rsid w:val="00BA466E"/>
    <w:rsid w:val="00BA60CC"/>
    <w:rsid w:val="00BA61E2"/>
    <w:rsid w:val="00BA6954"/>
    <w:rsid w:val="00BB0A6C"/>
    <w:rsid w:val="00BB3359"/>
    <w:rsid w:val="00BB7DE4"/>
    <w:rsid w:val="00BB7F7C"/>
    <w:rsid w:val="00BC305D"/>
    <w:rsid w:val="00BC3406"/>
    <w:rsid w:val="00BC3E91"/>
    <w:rsid w:val="00BC4D21"/>
    <w:rsid w:val="00BC5F27"/>
    <w:rsid w:val="00BC6882"/>
    <w:rsid w:val="00BC76A3"/>
    <w:rsid w:val="00BC7F20"/>
    <w:rsid w:val="00BD13EF"/>
    <w:rsid w:val="00BD24A2"/>
    <w:rsid w:val="00BD2FAC"/>
    <w:rsid w:val="00BD506F"/>
    <w:rsid w:val="00BD55FC"/>
    <w:rsid w:val="00BD6687"/>
    <w:rsid w:val="00BD6B09"/>
    <w:rsid w:val="00BD77D4"/>
    <w:rsid w:val="00BE187D"/>
    <w:rsid w:val="00BE195D"/>
    <w:rsid w:val="00BE1E2E"/>
    <w:rsid w:val="00BE3730"/>
    <w:rsid w:val="00BE46FD"/>
    <w:rsid w:val="00BE51B8"/>
    <w:rsid w:val="00BE51E5"/>
    <w:rsid w:val="00BE7C84"/>
    <w:rsid w:val="00BF0703"/>
    <w:rsid w:val="00BF0CE9"/>
    <w:rsid w:val="00BF17A8"/>
    <w:rsid w:val="00BF1D9D"/>
    <w:rsid w:val="00BF28FE"/>
    <w:rsid w:val="00BF29F8"/>
    <w:rsid w:val="00BF3DA5"/>
    <w:rsid w:val="00BF4E29"/>
    <w:rsid w:val="00BF4F30"/>
    <w:rsid w:val="00BF5376"/>
    <w:rsid w:val="00BF5BA9"/>
    <w:rsid w:val="00BF68F7"/>
    <w:rsid w:val="00BF7202"/>
    <w:rsid w:val="00C004CD"/>
    <w:rsid w:val="00C02BA1"/>
    <w:rsid w:val="00C072A2"/>
    <w:rsid w:val="00C16285"/>
    <w:rsid w:val="00C17041"/>
    <w:rsid w:val="00C172BB"/>
    <w:rsid w:val="00C21D19"/>
    <w:rsid w:val="00C22074"/>
    <w:rsid w:val="00C244A1"/>
    <w:rsid w:val="00C25A0A"/>
    <w:rsid w:val="00C25A2D"/>
    <w:rsid w:val="00C31FCD"/>
    <w:rsid w:val="00C33E42"/>
    <w:rsid w:val="00C3562A"/>
    <w:rsid w:val="00C41482"/>
    <w:rsid w:val="00C41EF2"/>
    <w:rsid w:val="00C43B08"/>
    <w:rsid w:val="00C458F5"/>
    <w:rsid w:val="00C45BCB"/>
    <w:rsid w:val="00C46AB4"/>
    <w:rsid w:val="00C4767C"/>
    <w:rsid w:val="00C53DAD"/>
    <w:rsid w:val="00C56045"/>
    <w:rsid w:val="00C57657"/>
    <w:rsid w:val="00C60844"/>
    <w:rsid w:val="00C624D3"/>
    <w:rsid w:val="00C6545A"/>
    <w:rsid w:val="00C655C3"/>
    <w:rsid w:val="00C70A0F"/>
    <w:rsid w:val="00C72945"/>
    <w:rsid w:val="00C74757"/>
    <w:rsid w:val="00C74EFB"/>
    <w:rsid w:val="00C75554"/>
    <w:rsid w:val="00C769A3"/>
    <w:rsid w:val="00C7770C"/>
    <w:rsid w:val="00C80F0B"/>
    <w:rsid w:val="00C831E0"/>
    <w:rsid w:val="00C83DA2"/>
    <w:rsid w:val="00C83DFA"/>
    <w:rsid w:val="00C84166"/>
    <w:rsid w:val="00C8679F"/>
    <w:rsid w:val="00C90588"/>
    <w:rsid w:val="00C90901"/>
    <w:rsid w:val="00C91A02"/>
    <w:rsid w:val="00C92AAA"/>
    <w:rsid w:val="00C9325A"/>
    <w:rsid w:val="00C94128"/>
    <w:rsid w:val="00C9414C"/>
    <w:rsid w:val="00C9644C"/>
    <w:rsid w:val="00C96E2F"/>
    <w:rsid w:val="00C974FF"/>
    <w:rsid w:val="00C97AC7"/>
    <w:rsid w:val="00C97B15"/>
    <w:rsid w:val="00C97C4D"/>
    <w:rsid w:val="00CA1A4C"/>
    <w:rsid w:val="00CA2C7D"/>
    <w:rsid w:val="00CA4E77"/>
    <w:rsid w:val="00CA70F9"/>
    <w:rsid w:val="00CB0F99"/>
    <w:rsid w:val="00CB1306"/>
    <w:rsid w:val="00CB17E4"/>
    <w:rsid w:val="00CB1AD5"/>
    <w:rsid w:val="00CB3089"/>
    <w:rsid w:val="00CB3A5E"/>
    <w:rsid w:val="00CB3C02"/>
    <w:rsid w:val="00CB60D5"/>
    <w:rsid w:val="00CB6EC9"/>
    <w:rsid w:val="00CB7AAA"/>
    <w:rsid w:val="00CC0C11"/>
    <w:rsid w:val="00CC70E3"/>
    <w:rsid w:val="00CD029F"/>
    <w:rsid w:val="00CD1096"/>
    <w:rsid w:val="00CD1246"/>
    <w:rsid w:val="00CD49AB"/>
    <w:rsid w:val="00CD6709"/>
    <w:rsid w:val="00CD690B"/>
    <w:rsid w:val="00CE2BCC"/>
    <w:rsid w:val="00CE3E33"/>
    <w:rsid w:val="00CE5144"/>
    <w:rsid w:val="00CF103F"/>
    <w:rsid w:val="00CF2445"/>
    <w:rsid w:val="00CF2F5C"/>
    <w:rsid w:val="00CF4324"/>
    <w:rsid w:val="00CF57C9"/>
    <w:rsid w:val="00CF5CC5"/>
    <w:rsid w:val="00CF6520"/>
    <w:rsid w:val="00CF6646"/>
    <w:rsid w:val="00CF7CEF"/>
    <w:rsid w:val="00D0139A"/>
    <w:rsid w:val="00D0296F"/>
    <w:rsid w:val="00D02AB2"/>
    <w:rsid w:val="00D02C14"/>
    <w:rsid w:val="00D056B1"/>
    <w:rsid w:val="00D1198E"/>
    <w:rsid w:val="00D11FB2"/>
    <w:rsid w:val="00D124F4"/>
    <w:rsid w:val="00D15212"/>
    <w:rsid w:val="00D15C97"/>
    <w:rsid w:val="00D16CD5"/>
    <w:rsid w:val="00D1770C"/>
    <w:rsid w:val="00D20313"/>
    <w:rsid w:val="00D22085"/>
    <w:rsid w:val="00D22D7A"/>
    <w:rsid w:val="00D23E68"/>
    <w:rsid w:val="00D26B03"/>
    <w:rsid w:val="00D26D1D"/>
    <w:rsid w:val="00D27D2E"/>
    <w:rsid w:val="00D311E3"/>
    <w:rsid w:val="00D332DE"/>
    <w:rsid w:val="00D3463E"/>
    <w:rsid w:val="00D34F03"/>
    <w:rsid w:val="00D35D81"/>
    <w:rsid w:val="00D35E9C"/>
    <w:rsid w:val="00D36951"/>
    <w:rsid w:val="00D37381"/>
    <w:rsid w:val="00D42EA4"/>
    <w:rsid w:val="00D44991"/>
    <w:rsid w:val="00D4608E"/>
    <w:rsid w:val="00D460BF"/>
    <w:rsid w:val="00D4668B"/>
    <w:rsid w:val="00D46847"/>
    <w:rsid w:val="00D4773C"/>
    <w:rsid w:val="00D50679"/>
    <w:rsid w:val="00D50808"/>
    <w:rsid w:val="00D527E9"/>
    <w:rsid w:val="00D53A93"/>
    <w:rsid w:val="00D53E6B"/>
    <w:rsid w:val="00D556CC"/>
    <w:rsid w:val="00D5571A"/>
    <w:rsid w:val="00D56553"/>
    <w:rsid w:val="00D56608"/>
    <w:rsid w:val="00D56B87"/>
    <w:rsid w:val="00D56F2A"/>
    <w:rsid w:val="00D56F54"/>
    <w:rsid w:val="00D57197"/>
    <w:rsid w:val="00D61112"/>
    <w:rsid w:val="00D613C4"/>
    <w:rsid w:val="00D62397"/>
    <w:rsid w:val="00D6437A"/>
    <w:rsid w:val="00D652FA"/>
    <w:rsid w:val="00D6758E"/>
    <w:rsid w:val="00D7018C"/>
    <w:rsid w:val="00D714E6"/>
    <w:rsid w:val="00D719EA"/>
    <w:rsid w:val="00D7448C"/>
    <w:rsid w:val="00D74916"/>
    <w:rsid w:val="00D74DD6"/>
    <w:rsid w:val="00D75BF8"/>
    <w:rsid w:val="00D773DD"/>
    <w:rsid w:val="00D77CB6"/>
    <w:rsid w:val="00D83CB1"/>
    <w:rsid w:val="00D847C6"/>
    <w:rsid w:val="00D85707"/>
    <w:rsid w:val="00D858BA"/>
    <w:rsid w:val="00D86710"/>
    <w:rsid w:val="00D875A6"/>
    <w:rsid w:val="00D87F4B"/>
    <w:rsid w:val="00D90DA2"/>
    <w:rsid w:val="00D9108F"/>
    <w:rsid w:val="00D92653"/>
    <w:rsid w:val="00D9352F"/>
    <w:rsid w:val="00D94E2A"/>
    <w:rsid w:val="00D95496"/>
    <w:rsid w:val="00D96967"/>
    <w:rsid w:val="00D976F4"/>
    <w:rsid w:val="00DA08DB"/>
    <w:rsid w:val="00DA0B3B"/>
    <w:rsid w:val="00DA168C"/>
    <w:rsid w:val="00DA2B26"/>
    <w:rsid w:val="00DA3EBA"/>
    <w:rsid w:val="00DA49ED"/>
    <w:rsid w:val="00DA670A"/>
    <w:rsid w:val="00DA6D52"/>
    <w:rsid w:val="00DA7168"/>
    <w:rsid w:val="00DA7314"/>
    <w:rsid w:val="00DB2F16"/>
    <w:rsid w:val="00DB3763"/>
    <w:rsid w:val="00DB3860"/>
    <w:rsid w:val="00DB6062"/>
    <w:rsid w:val="00DB7502"/>
    <w:rsid w:val="00DC005E"/>
    <w:rsid w:val="00DC28DA"/>
    <w:rsid w:val="00DC3ACB"/>
    <w:rsid w:val="00DC6980"/>
    <w:rsid w:val="00DC6DE9"/>
    <w:rsid w:val="00DC7ED0"/>
    <w:rsid w:val="00DD0701"/>
    <w:rsid w:val="00DD0892"/>
    <w:rsid w:val="00DD1390"/>
    <w:rsid w:val="00DD35FE"/>
    <w:rsid w:val="00DD3A29"/>
    <w:rsid w:val="00DD3AE5"/>
    <w:rsid w:val="00DD3B02"/>
    <w:rsid w:val="00DD5F93"/>
    <w:rsid w:val="00DD6C7A"/>
    <w:rsid w:val="00DD6F5A"/>
    <w:rsid w:val="00DD7234"/>
    <w:rsid w:val="00DD7A1A"/>
    <w:rsid w:val="00DE30DC"/>
    <w:rsid w:val="00DE34B0"/>
    <w:rsid w:val="00DE4EA4"/>
    <w:rsid w:val="00DE5AE6"/>
    <w:rsid w:val="00DE646E"/>
    <w:rsid w:val="00DF2CD3"/>
    <w:rsid w:val="00DF2E12"/>
    <w:rsid w:val="00DF4925"/>
    <w:rsid w:val="00DF5C54"/>
    <w:rsid w:val="00DF742C"/>
    <w:rsid w:val="00E0074F"/>
    <w:rsid w:val="00E01146"/>
    <w:rsid w:val="00E01BA3"/>
    <w:rsid w:val="00E039F4"/>
    <w:rsid w:val="00E0486E"/>
    <w:rsid w:val="00E060EE"/>
    <w:rsid w:val="00E1089C"/>
    <w:rsid w:val="00E11251"/>
    <w:rsid w:val="00E13AE9"/>
    <w:rsid w:val="00E145D6"/>
    <w:rsid w:val="00E14F68"/>
    <w:rsid w:val="00E15E23"/>
    <w:rsid w:val="00E200A1"/>
    <w:rsid w:val="00E20880"/>
    <w:rsid w:val="00E20A24"/>
    <w:rsid w:val="00E216AB"/>
    <w:rsid w:val="00E22A88"/>
    <w:rsid w:val="00E22E01"/>
    <w:rsid w:val="00E249F7"/>
    <w:rsid w:val="00E24D9C"/>
    <w:rsid w:val="00E2655E"/>
    <w:rsid w:val="00E2671D"/>
    <w:rsid w:val="00E270C5"/>
    <w:rsid w:val="00E2743A"/>
    <w:rsid w:val="00E27881"/>
    <w:rsid w:val="00E27FF1"/>
    <w:rsid w:val="00E30ADF"/>
    <w:rsid w:val="00E30C75"/>
    <w:rsid w:val="00E313EB"/>
    <w:rsid w:val="00E31EC3"/>
    <w:rsid w:val="00E31FD0"/>
    <w:rsid w:val="00E326CA"/>
    <w:rsid w:val="00E34D64"/>
    <w:rsid w:val="00E3525D"/>
    <w:rsid w:val="00E365AA"/>
    <w:rsid w:val="00E36AE3"/>
    <w:rsid w:val="00E36D68"/>
    <w:rsid w:val="00E37399"/>
    <w:rsid w:val="00E37DE5"/>
    <w:rsid w:val="00E41E09"/>
    <w:rsid w:val="00E4351A"/>
    <w:rsid w:val="00E46BDD"/>
    <w:rsid w:val="00E477B2"/>
    <w:rsid w:val="00E5063F"/>
    <w:rsid w:val="00E50F8B"/>
    <w:rsid w:val="00E522D5"/>
    <w:rsid w:val="00E52ACC"/>
    <w:rsid w:val="00E53D50"/>
    <w:rsid w:val="00E5456F"/>
    <w:rsid w:val="00E547B4"/>
    <w:rsid w:val="00E579D8"/>
    <w:rsid w:val="00E57BD9"/>
    <w:rsid w:val="00E604B6"/>
    <w:rsid w:val="00E61427"/>
    <w:rsid w:val="00E708AC"/>
    <w:rsid w:val="00E71EF0"/>
    <w:rsid w:val="00E73EC1"/>
    <w:rsid w:val="00E73F89"/>
    <w:rsid w:val="00E743F4"/>
    <w:rsid w:val="00E756DD"/>
    <w:rsid w:val="00E76A2A"/>
    <w:rsid w:val="00E80868"/>
    <w:rsid w:val="00E80B83"/>
    <w:rsid w:val="00E80F9C"/>
    <w:rsid w:val="00E834F8"/>
    <w:rsid w:val="00E860BD"/>
    <w:rsid w:val="00E86FC9"/>
    <w:rsid w:val="00E90C28"/>
    <w:rsid w:val="00E90C7A"/>
    <w:rsid w:val="00E92022"/>
    <w:rsid w:val="00E935EB"/>
    <w:rsid w:val="00E937B6"/>
    <w:rsid w:val="00E93B6E"/>
    <w:rsid w:val="00E965F7"/>
    <w:rsid w:val="00E96F89"/>
    <w:rsid w:val="00E9717D"/>
    <w:rsid w:val="00E97B70"/>
    <w:rsid w:val="00EA18D0"/>
    <w:rsid w:val="00EA3376"/>
    <w:rsid w:val="00EA42A6"/>
    <w:rsid w:val="00EA42F2"/>
    <w:rsid w:val="00EA44F7"/>
    <w:rsid w:val="00EA6E47"/>
    <w:rsid w:val="00EA7574"/>
    <w:rsid w:val="00EB08E5"/>
    <w:rsid w:val="00EB09E0"/>
    <w:rsid w:val="00EB2933"/>
    <w:rsid w:val="00EB3096"/>
    <w:rsid w:val="00EB3229"/>
    <w:rsid w:val="00EB4268"/>
    <w:rsid w:val="00EB6E43"/>
    <w:rsid w:val="00EC0D8F"/>
    <w:rsid w:val="00EC4769"/>
    <w:rsid w:val="00EC6997"/>
    <w:rsid w:val="00EC7F0A"/>
    <w:rsid w:val="00ED021A"/>
    <w:rsid w:val="00ED3B35"/>
    <w:rsid w:val="00ED3CF7"/>
    <w:rsid w:val="00ED411C"/>
    <w:rsid w:val="00ED653E"/>
    <w:rsid w:val="00ED65E2"/>
    <w:rsid w:val="00ED6C3C"/>
    <w:rsid w:val="00ED78C6"/>
    <w:rsid w:val="00EE0D1A"/>
    <w:rsid w:val="00EE0E87"/>
    <w:rsid w:val="00EE11E5"/>
    <w:rsid w:val="00EE2764"/>
    <w:rsid w:val="00EE3DC3"/>
    <w:rsid w:val="00EE5329"/>
    <w:rsid w:val="00EE5D1E"/>
    <w:rsid w:val="00EE639C"/>
    <w:rsid w:val="00EE705A"/>
    <w:rsid w:val="00EF21CF"/>
    <w:rsid w:val="00EF3697"/>
    <w:rsid w:val="00EF4095"/>
    <w:rsid w:val="00EF57DD"/>
    <w:rsid w:val="00EF596F"/>
    <w:rsid w:val="00EF6B14"/>
    <w:rsid w:val="00EF7625"/>
    <w:rsid w:val="00EF7CCD"/>
    <w:rsid w:val="00F0007F"/>
    <w:rsid w:val="00F007AF"/>
    <w:rsid w:val="00F03730"/>
    <w:rsid w:val="00F03D10"/>
    <w:rsid w:val="00F05476"/>
    <w:rsid w:val="00F05C96"/>
    <w:rsid w:val="00F07AB1"/>
    <w:rsid w:val="00F1004F"/>
    <w:rsid w:val="00F103C6"/>
    <w:rsid w:val="00F10C7F"/>
    <w:rsid w:val="00F113F2"/>
    <w:rsid w:val="00F11504"/>
    <w:rsid w:val="00F11F75"/>
    <w:rsid w:val="00F128C5"/>
    <w:rsid w:val="00F12B60"/>
    <w:rsid w:val="00F15600"/>
    <w:rsid w:val="00F17CD9"/>
    <w:rsid w:val="00F20234"/>
    <w:rsid w:val="00F20918"/>
    <w:rsid w:val="00F21753"/>
    <w:rsid w:val="00F242E0"/>
    <w:rsid w:val="00F25353"/>
    <w:rsid w:val="00F27B81"/>
    <w:rsid w:val="00F31BB0"/>
    <w:rsid w:val="00F321A8"/>
    <w:rsid w:val="00F3436F"/>
    <w:rsid w:val="00F3539E"/>
    <w:rsid w:val="00F36990"/>
    <w:rsid w:val="00F408CF"/>
    <w:rsid w:val="00F415FA"/>
    <w:rsid w:val="00F42A3A"/>
    <w:rsid w:val="00F42AF5"/>
    <w:rsid w:val="00F450EB"/>
    <w:rsid w:val="00F453C2"/>
    <w:rsid w:val="00F45E9A"/>
    <w:rsid w:val="00F50CBC"/>
    <w:rsid w:val="00F51E15"/>
    <w:rsid w:val="00F53C73"/>
    <w:rsid w:val="00F55698"/>
    <w:rsid w:val="00F5665E"/>
    <w:rsid w:val="00F5675D"/>
    <w:rsid w:val="00F60680"/>
    <w:rsid w:val="00F61260"/>
    <w:rsid w:val="00F63B70"/>
    <w:rsid w:val="00F6451B"/>
    <w:rsid w:val="00F6561C"/>
    <w:rsid w:val="00F67793"/>
    <w:rsid w:val="00F6788E"/>
    <w:rsid w:val="00F70F0D"/>
    <w:rsid w:val="00F71CBB"/>
    <w:rsid w:val="00F721B6"/>
    <w:rsid w:val="00F7367E"/>
    <w:rsid w:val="00F743A5"/>
    <w:rsid w:val="00F754A2"/>
    <w:rsid w:val="00F765DC"/>
    <w:rsid w:val="00F80460"/>
    <w:rsid w:val="00F82142"/>
    <w:rsid w:val="00F84B16"/>
    <w:rsid w:val="00F851EF"/>
    <w:rsid w:val="00F8550C"/>
    <w:rsid w:val="00F867DC"/>
    <w:rsid w:val="00F9065B"/>
    <w:rsid w:val="00F90BEA"/>
    <w:rsid w:val="00F92CE4"/>
    <w:rsid w:val="00F93B8B"/>
    <w:rsid w:val="00F94022"/>
    <w:rsid w:val="00F954ED"/>
    <w:rsid w:val="00F963D9"/>
    <w:rsid w:val="00FA0EE6"/>
    <w:rsid w:val="00FA10D3"/>
    <w:rsid w:val="00FA27BF"/>
    <w:rsid w:val="00FA638B"/>
    <w:rsid w:val="00FB082A"/>
    <w:rsid w:val="00FB1170"/>
    <w:rsid w:val="00FB1E17"/>
    <w:rsid w:val="00FB31E7"/>
    <w:rsid w:val="00FB3F71"/>
    <w:rsid w:val="00FB64A6"/>
    <w:rsid w:val="00FC0EB6"/>
    <w:rsid w:val="00FC56E0"/>
    <w:rsid w:val="00FC7942"/>
    <w:rsid w:val="00FD000E"/>
    <w:rsid w:val="00FD03EF"/>
    <w:rsid w:val="00FD164C"/>
    <w:rsid w:val="00FD3668"/>
    <w:rsid w:val="00FD4E1E"/>
    <w:rsid w:val="00FD4F42"/>
    <w:rsid w:val="00FD5FF4"/>
    <w:rsid w:val="00FE053E"/>
    <w:rsid w:val="00FE3056"/>
    <w:rsid w:val="00FE394D"/>
    <w:rsid w:val="00FE39BE"/>
    <w:rsid w:val="00FE4152"/>
    <w:rsid w:val="00FE44CC"/>
    <w:rsid w:val="00FE4AC7"/>
    <w:rsid w:val="00FE6807"/>
    <w:rsid w:val="00FF0113"/>
    <w:rsid w:val="00FF1170"/>
    <w:rsid w:val="00FF2B4D"/>
    <w:rsid w:val="00FF548A"/>
    <w:rsid w:val="00FF5FF4"/>
    <w:rsid w:val="00FF68DA"/>
    <w:rsid w:val="00FF6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B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ft"/>
    <w:basedOn w:val="Normal"/>
    <w:link w:val="FootnoteTextChar"/>
    <w:rsid w:val="00657116"/>
  </w:style>
  <w:style w:type="character" w:styleId="FootnoteReference">
    <w:name w:val="footnote reference"/>
    <w:basedOn w:val="DefaultParagraphFont"/>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character" w:styleId="FollowedHyperlink">
    <w:name w:val="FollowedHyperlink"/>
    <w:basedOn w:val="DefaultParagraphFont"/>
    <w:semiHidden/>
    <w:unhideWhenUsed/>
    <w:rsid w:val="00465D82"/>
    <w:rPr>
      <w:color w:val="800080" w:themeColor="followedHyperlink"/>
      <w:u w:val="single"/>
    </w:rPr>
  </w:style>
  <w:style w:type="character" w:styleId="CommentReference">
    <w:name w:val="annotation reference"/>
    <w:basedOn w:val="DefaultParagraphFont"/>
    <w:semiHidden/>
    <w:unhideWhenUsed/>
    <w:rsid w:val="008E0E3D"/>
    <w:rPr>
      <w:sz w:val="16"/>
      <w:szCs w:val="16"/>
    </w:rPr>
  </w:style>
  <w:style w:type="paragraph" w:styleId="CommentText">
    <w:name w:val="annotation text"/>
    <w:basedOn w:val="Normal"/>
    <w:link w:val="CommentTextChar"/>
    <w:semiHidden/>
    <w:unhideWhenUsed/>
    <w:rsid w:val="008E0E3D"/>
    <w:rPr>
      <w:sz w:val="20"/>
    </w:rPr>
  </w:style>
  <w:style w:type="character" w:customStyle="1" w:styleId="CommentTextChar">
    <w:name w:val="Comment Text Char"/>
    <w:basedOn w:val="DefaultParagraphFont"/>
    <w:link w:val="CommentText"/>
    <w:semiHidden/>
    <w:rsid w:val="008E0E3D"/>
  </w:style>
  <w:style w:type="paragraph" w:styleId="CommentSubject">
    <w:name w:val="annotation subject"/>
    <w:basedOn w:val="CommentText"/>
    <w:next w:val="CommentText"/>
    <w:link w:val="CommentSubjectChar"/>
    <w:semiHidden/>
    <w:unhideWhenUsed/>
    <w:rsid w:val="008E0E3D"/>
    <w:rPr>
      <w:b/>
      <w:bCs/>
    </w:rPr>
  </w:style>
  <w:style w:type="character" w:customStyle="1" w:styleId="CommentSubjectChar">
    <w:name w:val="Comment Subject Char"/>
    <w:basedOn w:val="CommentTextChar"/>
    <w:link w:val="CommentSubject"/>
    <w:semiHidden/>
    <w:rsid w:val="008E0E3D"/>
    <w:rPr>
      <w:b/>
      <w:bCs/>
    </w:rPr>
  </w:style>
  <w:style w:type="character" w:customStyle="1" w:styleId="UnresolvedMention1">
    <w:name w:val="Unresolved Mention1"/>
    <w:basedOn w:val="DefaultParagraphFont"/>
    <w:uiPriority w:val="99"/>
    <w:semiHidden/>
    <w:unhideWhenUsed/>
    <w:rsid w:val="00ED411C"/>
    <w:rPr>
      <w:color w:val="808080"/>
      <w:shd w:val="clear" w:color="auto" w:fill="E6E6E6"/>
    </w:rPr>
  </w:style>
  <w:style w:type="character" w:styleId="UnresolvedMention">
    <w:name w:val="Unresolved Mention"/>
    <w:basedOn w:val="DefaultParagraphFont"/>
    <w:uiPriority w:val="99"/>
    <w:semiHidden/>
    <w:unhideWhenUsed/>
    <w:rsid w:val="00A20616"/>
    <w:rPr>
      <w:color w:val="605E5C"/>
      <w:shd w:val="clear" w:color="auto" w:fill="E1DFDD"/>
    </w:rPr>
  </w:style>
  <w:style w:type="paragraph" w:styleId="ListParagraph">
    <w:name w:val="List Paragraph"/>
    <w:basedOn w:val="Normal"/>
    <w:uiPriority w:val="34"/>
    <w:qFormat/>
    <w:rsid w:val="00CB3089"/>
    <w:pPr>
      <w:ind w:left="720"/>
      <w:contextualSpacing/>
    </w:pPr>
  </w:style>
  <w:style w:type="paragraph" w:styleId="Revision">
    <w:name w:val="Revision"/>
    <w:hidden/>
    <w:uiPriority w:val="99"/>
    <w:semiHidden/>
    <w:rsid w:val="00E53D5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3019">
      <w:bodyDiv w:val="1"/>
      <w:marLeft w:val="0"/>
      <w:marRight w:val="0"/>
      <w:marTop w:val="0"/>
      <w:marBottom w:val="0"/>
      <w:divBdr>
        <w:top w:val="none" w:sz="0" w:space="0" w:color="auto"/>
        <w:left w:val="none" w:sz="0" w:space="0" w:color="auto"/>
        <w:bottom w:val="none" w:sz="0" w:space="0" w:color="auto"/>
        <w:right w:val="none" w:sz="0" w:space="0" w:color="auto"/>
      </w:divBdr>
    </w:div>
    <w:div w:id="117651946">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feder@jenner.com" TargetMode="External"/><Relationship Id="rId18" Type="http://schemas.openxmlformats.org/officeDocument/2006/relationships/hyperlink" Target="mailto:nicole.winters@windstream.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jcarlisle@lermansenter.com" TargetMode="External"/><Relationship Id="rId7" Type="http://schemas.openxmlformats.org/officeDocument/2006/relationships/endnotes" Target="endnotes.xml"/><Relationship Id="rId12" Type="http://schemas.openxmlformats.org/officeDocument/2006/relationships/hyperlink" Target="mailto:chrisswift@dwt.com" TargetMode="External"/><Relationship Id="rId17" Type="http://schemas.openxmlformats.org/officeDocument/2006/relationships/hyperlink" Target="mailto:carol.keith@windstream.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landron@jenner.com" TargetMode="External"/><Relationship Id="rId20" Type="http://schemas.openxmlformats.org/officeDocument/2006/relationships/hyperlink" Target="mailto:dkeir@lermansenter.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trinchero@dwt.com" TargetMode="External"/><Relationship Id="rId24" Type="http://schemas.openxmlformats.org/officeDocument/2006/relationships/hyperlink" Target="mailto:maintrieri@pa.go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didion@jenner.com" TargetMode="External"/><Relationship Id="rId23" Type="http://schemas.openxmlformats.org/officeDocument/2006/relationships/hyperlink" Target="mailto:mhrivnak@pa.gov" TargetMode="External"/><Relationship Id="rId28" Type="http://schemas.openxmlformats.org/officeDocument/2006/relationships/footer" Target="footer2.xml"/><Relationship Id="rId10" Type="http://schemas.openxmlformats.org/officeDocument/2006/relationships/hyperlink" Target="mailto:michaelsloan@dwt.com" TargetMode="External"/><Relationship Id="rId19" Type="http://schemas.openxmlformats.org/officeDocument/2006/relationships/hyperlink" Target="mailto:msenter@lermansenter.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platzer@jenner.com" TargetMode="External"/><Relationship Id="rId22" Type="http://schemas.openxmlformats.org/officeDocument/2006/relationships/hyperlink" Target="mailto:mderr@pa.gov"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cfsapi.fcc.gov/file/1052134857662/Consolidated%20Section%20214%20Application%20Narrative%20-%20Domestic%20(5-21-2020).pdf" TargetMode="External"/><Relationship Id="rId2" Type="http://schemas.openxmlformats.org/officeDocument/2006/relationships/hyperlink" Target="https://www.fcc.gov/ecfs/search/filings?q=20%5C-151&amp;sort=date_disseminated,DESC" TargetMode="External"/><Relationship Id="rId1" Type="http://schemas.openxmlformats.org/officeDocument/2006/relationships/hyperlink" Target="http://www.kccllc.net/windstr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7ACE5-A9FB-41C5-A16A-AD207892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6304</Words>
  <Characters>35934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42154</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2020-08-25T17:03:00Z</dcterms:created>
  <dcterms:modified xsi:type="dcterms:W3CDTF">2020-08-25T17:48:00Z</dcterms:modified>
  <cp:contentStatus/>
</cp:coreProperties>
</file>