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8E049" w14:textId="77777777" w:rsidR="00776AD2" w:rsidRPr="0011033A" w:rsidRDefault="00776AD2" w:rsidP="00FF465B">
      <w:pPr>
        <w:widowControl/>
        <w:tabs>
          <w:tab w:val="center" w:pos="4680"/>
        </w:tabs>
        <w:suppressAutoHyphens/>
        <w:contextualSpacing/>
        <w:jc w:val="center"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>PENNSYLVANIA</w:t>
      </w:r>
    </w:p>
    <w:p w14:paraId="38410C3D" w14:textId="77777777" w:rsidR="00776AD2" w:rsidRPr="0011033A" w:rsidRDefault="00776AD2" w:rsidP="00FF465B">
      <w:pPr>
        <w:widowControl/>
        <w:tabs>
          <w:tab w:val="center" w:pos="4680"/>
        </w:tabs>
        <w:suppressAutoHyphens/>
        <w:contextualSpacing/>
        <w:jc w:val="center"/>
        <w:rPr>
          <w:sz w:val="26"/>
          <w:szCs w:val="26"/>
        </w:rPr>
      </w:pPr>
      <w:r w:rsidRPr="0011033A">
        <w:rPr>
          <w:b/>
          <w:sz w:val="26"/>
          <w:szCs w:val="26"/>
        </w:rPr>
        <w:t>PUBLIC UTILITY COMMISSION</w:t>
      </w:r>
    </w:p>
    <w:p w14:paraId="327F5116" w14:textId="7B6C14B4" w:rsidR="00776AD2" w:rsidRPr="0011033A" w:rsidRDefault="00776AD2" w:rsidP="00FF465B">
      <w:pPr>
        <w:widowControl/>
        <w:tabs>
          <w:tab w:val="center" w:pos="4680"/>
        </w:tabs>
        <w:suppressAutoHyphens/>
        <w:contextualSpacing/>
        <w:jc w:val="center"/>
        <w:rPr>
          <w:sz w:val="26"/>
          <w:szCs w:val="26"/>
        </w:rPr>
      </w:pPr>
      <w:r w:rsidRPr="0011033A">
        <w:rPr>
          <w:b/>
          <w:sz w:val="26"/>
          <w:szCs w:val="26"/>
        </w:rPr>
        <w:t>Harrisburg, PA 171</w:t>
      </w:r>
      <w:r w:rsidR="00B06497">
        <w:rPr>
          <w:b/>
          <w:sz w:val="26"/>
          <w:szCs w:val="26"/>
        </w:rPr>
        <w:t>20</w:t>
      </w:r>
    </w:p>
    <w:p w14:paraId="67B52978" w14:textId="10F3BF75" w:rsidR="00602BDE" w:rsidRDefault="00602BDE" w:rsidP="00FF465B">
      <w:pPr>
        <w:widowControl/>
        <w:tabs>
          <w:tab w:val="left" w:pos="-720"/>
        </w:tabs>
        <w:suppressAutoHyphens/>
        <w:contextualSpacing/>
        <w:rPr>
          <w:sz w:val="26"/>
          <w:szCs w:val="26"/>
        </w:rPr>
      </w:pPr>
    </w:p>
    <w:p w14:paraId="7204A220" w14:textId="77777777" w:rsidR="00FF465B" w:rsidRPr="00C50B7A" w:rsidRDefault="00FF465B" w:rsidP="00FF465B">
      <w:pPr>
        <w:widowControl/>
        <w:tabs>
          <w:tab w:val="left" w:pos="-720"/>
        </w:tabs>
        <w:suppressAutoHyphens/>
        <w:contextualSpacing/>
        <w:rPr>
          <w:sz w:val="26"/>
          <w:szCs w:val="26"/>
        </w:rPr>
      </w:pPr>
    </w:p>
    <w:p w14:paraId="0EA18896" w14:textId="68DECF16" w:rsidR="00C50B7A" w:rsidRDefault="00235830" w:rsidP="00FF465B">
      <w:pPr>
        <w:widowControl/>
        <w:tabs>
          <w:tab w:val="left" w:pos="-72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64716">
        <w:rPr>
          <w:sz w:val="26"/>
          <w:szCs w:val="26"/>
        </w:rPr>
        <w:tab/>
      </w:r>
      <w:r>
        <w:rPr>
          <w:sz w:val="26"/>
          <w:szCs w:val="26"/>
        </w:rPr>
        <w:t xml:space="preserve">Public Meeting of August 27, 2020 </w:t>
      </w:r>
    </w:p>
    <w:p w14:paraId="7F459BE1" w14:textId="77777777" w:rsidR="00235830" w:rsidRPr="00C50B7A" w:rsidRDefault="00235830" w:rsidP="00FF465B">
      <w:pPr>
        <w:widowControl/>
        <w:tabs>
          <w:tab w:val="left" w:pos="-720"/>
        </w:tabs>
        <w:suppressAutoHyphens/>
        <w:contextualSpacing/>
        <w:rPr>
          <w:sz w:val="26"/>
          <w:szCs w:val="26"/>
        </w:rPr>
      </w:pPr>
    </w:p>
    <w:p w14:paraId="18AA9F17" w14:textId="77777777" w:rsidR="00C50B7A" w:rsidRPr="00C50B7A" w:rsidRDefault="00C50B7A" w:rsidP="00FF465B">
      <w:pPr>
        <w:widowControl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Commissioners Present:</w:t>
      </w:r>
    </w:p>
    <w:p w14:paraId="64A5FCAF" w14:textId="77777777" w:rsidR="00C50B7A" w:rsidRPr="00C50B7A" w:rsidRDefault="00C50B7A" w:rsidP="00FF465B">
      <w:pPr>
        <w:widowControl/>
        <w:contextualSpacing/>
        <w:rPr>
          <w:sz w:val="26"/>
          <w:szCs w:val="26"/>
        </w:rPr>
      </w:pPr>
    </w:p>
    <w:p w14:paraId="4EDBC2C7" w14:textId="660CC985" w:rsidR="00C50B7A" w:rsidRPr="00C50B7A" w:rsidRDefault="00C50B7A" w:rsidP="00FF465B">
      <w:pPr>
        <w:widowControl/>
        <w:tabs>
          <w:tab w:val="left" w:pos="705"/>
        </w:tabs>
        <w:ind w:left="432"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Gladys Brown</w:t>
      </w:r>
      <w:r w:rsidR="00F62997">
        <w:rPr>
          <w:sz w:val="26"/>
          <w:szCs w:val="26"/>
        </w:rPr>
        <w:t xml:space="preserve"> Dutrieuille</w:t>
      </w:r>
      <w:r w:rsidRPr="00C50B7A">
        <w:rPr>
          <w:sz w:val="26"/>
          <w:szCs w:val="26"/>
        </w:rPr>
        <w:t>, Chairman</w:t>
      </w:r>
    </w:p>
    <w:p w14:paraId="5FCC3A23" w14:textId="1F2267FC" w:rsidR="00C50B7A" w:rsidRDefault="00C50B7A" w:rsidP="00FF465B">
      <w:pPr>
        <w:widowControl/>
        <w:tabs>
          <w:tab w:val="left" w:pos="705"/>
        </w:tabs>
        <w:ind w:left="432"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David W. Sweet, Vice Chairman</w:t>
      </w:r>
    </w:p>
    <w:p w14:paraId="29923068" w14:textId="30702B84" w:rsidR="00C50B7A" w:rsidRDefault="00C50B7A" w:rsidP="00FF465B">
      <w:pPr>
        <w:widowControl/>
        <w:tabs>
          <w:tab w:val="left" w:pos="705"/>
        </w:tabs>
        <w:ind w:left="432"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John F. Coleman, Jr.</w:t>
      </w:r>
    </w:p>
    <w:p w14:paraId="09200281" w14:textId="3EB4F8F8" w:rsidR="00C50B7A" w:rsidRPr="00C50B7A" w:rsidRDefault="000913B0" w:rsidP="00FF465B">
      <w:pPr>
        <w:widowControl/>
        <w:tabs>
          <w:tab w:val="left" w:pos="705"/>
        </w:tabs>
        <w:ind w:left="432"/>
        <w:contextualSpacing/>
        <w:rPr>
          <w:sz w:val="26"/>
          <w:szCs w:val="26"/>
        </w:rPr>
      </w:pPr>
      <w:r>
        <w:rPr>
          <w:sz w:val="26"/>
          <w:szCs w:val="26"/>
        </w:rPr>
        <w:t>Ralph V. Yanora</w:t>
      </w: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590"/>
      </w:tblGrid>
      <w:tr w:rsidR="000913B0" w14:paraId="756C766C" w14:textId="77777777" w:rsidTr="00B06497">
        <w:tc>
          <w:tcPr>
            <w:tcW w:w="4950" w:type="dxa"/>
          </w:tcPr>
          <w:p w14:paraId="61178601" w14:textId="77777777" w:rsidR="000913B0" w:rsidRDefault="000913B0" w:rsidP="00FF465B">
            <w:pPr>
              <w:widowControl/>
              <w:rPr>
                <w:color w:val="000000" w:themeColor="text1"/>
                <w:szCs w:val="26"/>
              </w:rPr>
            </w:pPr>
          </w:p>
        </w:tc>
        <w:tc>
          <w:tcPr>
            <w:tcW w:w="4590" w:type="dxa"/>
          </w:tcPr>
          <w:p w14:paraId="5E7CD10B" w14:textId="7970B06C" w:rsidR="000913B0" w:rsidRDefault="000913B0" w:rsidP="00FF465B">
            <w:pPr>
              <w:widowControl/>
              <w:jc w:val="right"/>
              <w:rPr>
                <w:color w:val="000000" w:themeColor="text1"/>
                <w:szCs w:val="26"/>
              </w:rPr>
            </w:pPr>
          </w:p>
        </w:tc>
      </w:tr>
      <w:tr w:rsidR="000913B0" w14:paraId="605BC66B" w14:textId="77777777" w:rsidTr="000913B0">
        <w:tc>
          <w:tcPr>
            <w:tcW w:w="4950" w:type="dxa"/>
          </w:tcPr>
          <w:p w14:paraId="192EF10E" w14:textId="77777777" w:rsidR="000913B0" w:rsidRDefault="000913B0" w:rsidP="00FF465B">
            <w:pPr>
              <w:widowControl/>
              <w:ind w:firstLine="1440"/>
              <w:rPr>
                <w:color w:val="000000" w:themeColor="text1"/>
                <w:szCs w:val="26"/>
              </w:rPr>
            </w:pPr>
          </w:p>
        </w:tc>
        <w:tc>
          <w:tcPr>
            <w:tcW w:w="4590" w:type="dxa"/>
          </w:tcPr>
          <w:p w14:paraId="38E2657A" w14:textId="77777777" w:rsidR="000913B0" w:rsidRDefault="000913B0" w:rsidP="00FF465B">
            <w:pPr>
              <w:widowControl/>
              <w:rPr>
                <w:color w:val="000000" w:themeColor="text1"/>
                <w:szCs w:val="26"/>
              </w:rPr>
            </w:pPr>
          </w:p>
        </w:tc>
      </w:tr>
      <w:tr w:rsidR="000913B0" w14:paraId="3B0E20EE" w14:textId="77777777" w:rsidTr="00B06497">
        <w:tc>
          <w:tcPr>
            <w:tcW w:w="4950" w:type="dxa"/>
          </w:tcPr>
          <w:p w14:paraId="3BD7F38D" w14:textId="732D2940" w:rsidR="000913B0" w:rsidRDefault="000913B0" w:rsidP="00FF465B">
            <w:pPr>
              <w:widowControl/>
              <w:rPr>
                <w:color w:val="000000" w:themeColor="text1"/>
                <w:szCs w:val="26"/>
              </w:rPr>
            </w:pPr>
          </w:p>
        </w:tc>
        <w:tc>
          <w:tcPr>
            <w:tcW w:w="4590" w:type="dxa"/>
          </w:tcPr>
          <w:p w14:paraId="66A74BA7" w14:textId="77777777" w:rsidR="000913B0" w:rsidRDefault="000913B0" w:rsidP="00FF465B">
            <w:pPr>
              <w:widowControl/>
              <w:rPr>
                <w:color w:val="000000" w:themeColor="text1"/>
                <w:szCs w:val="26"/>
              </w:rPr>
            </w:pPr>
          </w:p>
        </w:tc>
      </w:tr>
    </w:tbl>
    <w:p w14:paraId="01CD26AB" w14:textId="34B1645B" w:rsidR="00C50B7A" w:rsidRPr="00C50B7A" w:rsidRDefault="00501A2A" w:rsidP="00FF465B">
      <w:pPr>
        <w:widowControl/>
        <w:contextualSpacing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Paula and Charles Hughes </w:t>
      </w:r>
      <w:r>
        <w:rPr>
          <w:rFonts w:eastAsiaTheme="minorHAnsi"/>
          <w:sz w:val="26"/>
          <w:szCs w:val="26"/>
        </w:rPr>
        <w:tab/>
      </w:r>
    </w:p>
    <w:p w14:paraId="173E945D" w14:textId="77777777" w:rsidR="00B06497" w:rsidRDefault="00B06497" w:rsidP="00FF465B">
      <w:pPr>
        <w:widowControl/>
        <w:contextualSpacing/>
        <w:rPr>
          <w:rFonts w:eastAsiaTheme="minorHAnsi"/>
          <w:sz w:val="26"/>
          <w:szCs w:val="26"/>
        </w:rPr>
      </w:pPr>
    </w:p>
    <w:p w14:paraId="444F206D" w14:textId="642DDD5E" w:rsidR="00C50B7A" w:rsidRPr="00C50B7A" w:rsidRDefault="00C50B7A" w:rsidP="00FF465B">
      <w:pPr>
        <w:widowControl/>
        <w:contextualSpacing/>
        <w:rPr>
          <w:rFonts w:eastAsiaTheme="minorHAnsi"/>
          <w:sz w:val="26"/>
          <w:szCs w:val="26"/>
        </w:rPr>
      </w:pPr>
      <w:r w:rsidRPr="00C50B7A">
        <w:rPr>
          <w:rFonts w:eastAsiaTheme="minorHAnsi"/>
          <w:sz w:val="26"/>
          <w:szCs w:val="26"/>
        </w:rPr>
        <w:tab/>
        <w:t>v.</w:t>
      </w:r>
      <w:r w:rsidR="00235830">
        <w:rPr>
          <w:rFonts w:eastAsiaTheme="minorHAnsi"/>
          <w:sz w:val="26"/>
          <w:szCs w:val="26"/>
        </w:rPr>
        <w:tab/>
      </w:r>
      <w:r w:rsidR="00235830">
        <w:rPr>
          <w:rFonts w:eastAsiaTheme="minorHAnsi"/>
          <w:sz w:val="26"/>
          <w:szCs w:val="26"/>
        </w:rPr>
        <w:tab/>
      </w:r>
      <w:r w:rsidR="00235830">
        <w:rPr>
          <w:rFonts w:eastAsiaTheme="minorHAnsi"/>
          <w:sz w:val="26"/>
          <w:szCs w:val="26"/>
        </w:rPr>
        <w:tab/>
      </w:r>
      <w:r w:rsidR="00235830">
        <w:rPr>
          <w:rFonts w:eastAsiaTheme="minorHAnsi"/>
          <w:sz w:val="26"/>
          <w:szCs w:val="26"/>
        </w:rPr>
        <w:tab/>
      </w:r>
      <w:r w:rsidR="00235830">
        <w:rPr>
          <w:rFonts w:eastAsiaTheme="minorHAnsi"/>
          <w:sz w:val="26"/>
          <w:szCs w:val="26"/>
        </w:rPr>
        <w:tab/>
      </w:r>
      <w:r w:rsidR="00235830">
        <w:rPr>
          <w:rFonts w:eastAsiaTheme="minorHAnsi"/>
          <w:sz w:val="26"/>
          <w:szCs w:val="26"/>
        </w:rPr>
        <w:tab/>
      </w:r>
      <w:r w:rsidR="00864716">
        <w:rPr>
          <w:rFonts w:eastAsiaTheme="minorHAnsi"/>
          <w:sz w:val="26"/>
          <w:szCs w:val="26"/>
        </w:rPr>
        <w:tab/>
      </w:r>
      <w:r w:rsidR="00864716">
        <w:rPr>
          <w:rFonts w:eastAsiaTheme="minorHAnsi"/>
          <w:sz w:val="26"/>
          <w:szCs w:val="26"/>
        </w:rPr>
        <w:tab/>
      </w:r>
      <w:r w:rsidR="00235830">
        <w:rPr>
          <w:rFonts w:eastAsiaTheme="minorHAnsi"/>
          <w:sz w:val="26"/>
          <w:szCs w:val="26"/>
        </w:rPr>
        <w:tab/>
      </w:r>
      <w:r w:rsidR="00235830" w:rsidRPr="00235830">
        <w:rPr>
          <w:rFonts w:eastAsiaTheme="minorHAnsi"/>
          <w:sz w:val="26"/>
          <w:szCs w:val="26"/>
        </w:rPr>
        <w:t>C-2019-3007631</w:t>
      </w:r>
    </w:p>
    <w:p w14:paraId="2A9BC446" w14:textId="77777777" w:rsidR="00C50B7A" w:rsidRPr="00C50B7A" w:rsidRDefault="00C50B7A" w:rsidP="00FF465B">
      <w:pPr>
        <w:widowControl/>
        <w:contextualSpacing/>
        <w:rPr>
          <w:rFonts w:eastAsiaTheme="minorHAnsi"/>
          <w:sz w:val="26"/>
          <w:szCs w:val="26"/>
        </w:rPr>
      </w:pPr>
    </w:p>
    <w:p w14:paraId="332D1A94" w14:textId="4A44C961" w:rsidR="00C50B7A" w:rsidRPr="00C50B7A" w:rsidRDefault="00C50B7A" w:rsidP="00FF465B">
      <w:pPr>
        <w:widowControl/>
        <w:contextualSpacing/>
        <w:rPr>
          <w:rFonts w:eastAsiaTheme="minorHAnsi"/>
          <w:sz w:val="26"/>
          <w:szCs w:val="26"/>
        </w:rPr>
      </w:pPr>
      <w:r w:rsidRPr="00C50B7A">
        <w:rPr>
          <w:rFonts w:eastAsiaTheme="minorHAnsi"/>
          <w:sz w:val="26"/>
          <w:szCs w:val="26"/>
        </w:rPr>
        <w:t>P</w:t>
      </w:r>
      <w:r w:rsidR="00B06497">
        <w:rPr>
          <w:rFonts w:eastAsiaTheme="minorHAnsi"/>
          <w:sz w:val="26"/>
          <w:szCs w:val="26"/>
        </w:rPr>
        <w:t xml:space="preserve">PL Electric Utilities Corporation </w:t>
      </w:r>
    </w:p>
    <w:p w14:paraId="64615F27" w14:textId="77777777" w:rsidR="00C50B7A" w:rsidRPr="00C50B7A" w:rsidRDefault="00C50B7A" w:rsidP="00FF465B">
      <w:pPr>
        <w:widowControl/>
        <w:contextualSpacing/>
        <w:rPr>
          <w:rFonts w:eastAsiaTheme="minorHAnsi"/>
          <w:sz w:val="26"/>
          <w:szCs w:val="26"/>
        </w:rPr>
      </w:pPr>
    </w:p>
    <w:p w14:paraId="3E906D24" w14:textId="77777777" w:rsidR="00E1416C" w:rsidRPr="004E4D2B" w:rsidRDefault="00E1416C" w:rsidP="00FF465B">
      <w:pPr>
        <w:tabs>
          <w:tab w:val="left" w:pos="-720"/>
        </w:tabs>
        <w:suppressAutoHyphens/>
        <w:contextualSpacing/>
        <w:rPr>
          <w:sz w:val="26"/>
          <w:szCs w:val="26"/>
        </w:rPr>
      </w:pPr>
    </w:p>
    <w:p w14:paraId="45B7D0F3" w14:textId="77777777" w:rsidR="00776AD2" w:rsidRPr="0011033A" w:rsidRDefault="00776AD2" w:rsidP="00FF465B">
      <w:pPr>
        <w:widowControl/>
        <w:contextualSpacing/>
        <w:jc w:val="center"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11033A">
          <w:rPr>
            <w:b/>
            <w:sz w:val="26"/>
            <w:szCs w:val="26"/>
          </w:rPr>
          <w:t>AND</w:t>
        </w:r>
      </w:smartTag>
      <w:r w:rsidRPr="0011033A">
        <w:rPr>
          <w:b/>
          <w:sz w:val="26"/>
          <w:szCs w:val="26"/>
        </w:rPr>
        <w:t xml:space="preserve"> ORDER</w:t>
      </w:r>
    </w:p>
    <w:p w14:paraId="37D7D012" w14:textId="77777777" w:rsidR="00776AD2" w:rsidRPr="0011033A" w:rsidRDefault="00776AD2" w:rsidP="00FF465B">
      <w:pPr>
        <w:widowControl/>
        <w:contextualSpacing/>
        <w:jc w:val="center"/>
        <w:rPr>
          <w:b/>
          <w:sz w:val="26"/>
          <w:szCs w:val="26"/>
        </w:rPr>
      </w:pPr>
    </w:p>
    <w:p w14:paraId="683ED6C1" w14:textId="1AA17292" w:rsidR="00C50B7A" w:rsidRDefault="00C50B7A" w:rsidP="00FF465B">
      <w:pPr>
        <w:widowControl/>
        <w:contextualSpacing/>
        <w:rPr>
          <w:b/>
          <w:sz w:val="26"/>
          <w:szCs w:val="26"/>
        </w:rPr>
      </w:pPr>
    </w:p>
    <w:p w14:paraId="1B6BE856" w14:textId="0246913F" w:rsidR="00776AD2" w:rsidRDefault="00776AD2" w:rsidP="00FF465B">
      <w:pPr>
        <w:widowControl/>
        <w:contextualSpacing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>BY THE COMMISSION:</w:t>
      </w:r>
      <w:r w:rsidR="00B0360E" w:rsidRPr="0011033A">
        <w:rPr>
          <w:b/>
          <w:sz w:val="26"/>
          <w:szCs w:val="26"/>
        </w:rPr>
        <w:t xml:space="preserve"> </w:t>
      </w:r>
    </w:p>
    <w:p w14:paraId="15BCE551" w14:textId="77777777" w:rsidR="00A74A7D" w:rsidRPr="0011033A" w:rsidRDefault="00A74A7D" w:rsidP="00FF465B">
      <w:pPr>
        <w:widowControl/>
        <w:contextualSpacing/>
        <w:rPr>
          <w:b/>
          <w:sz w:val="26"/>
          <w:szCs w:val="26"/>
        </w:rPr>
      </w:pPr>
    </w:p>
    <w:p w14:paraId="0AB5FF23" w14:textId="77777777" w:rsidR="00776AD2" w:rsidRPr="0011033A" w:rsidRDefault="00776AD2" w:rsidP="00FF465B">
      <w:pPr>
        <w:widowControl/>
        <w:contextualSpacing/>
        <w:rPr>
          <w:sz w:val="26"/>
          <w:szCs w:val="26"/>
        </w:rPr>
      </w:pPr>
    </w:p>
    <w:p w14:paraId="0309A9BA" w14:textId="16623D9E" w:rsidR="008E2E38" w:rsidRDefault="000F1318" w:rsidP="00FF465B">
      <w:pPr>
        <w:widowControl/>
        <w:tabs>
          <w:tab w:val="left" w:pos="-720"/>
        </w:tabs>
        <w:spacing w:line="360" w:lineRule="auto"/>
        <w:ind w:firstLine="1440"/>
        <w:contextualSpacing/>
        <w:rPr>
          <w:sz w:val="26"/>
        </w:rPr>
      </w:pPr>
      <w:r w:rsidRPr="0011033A">
        <w:rPr>
          <w:sz w:val="26"/>
        </w:rPr>
        <w:t xml:space="preserve">Before the </w:t>
      </w:r>
      <w:r w:rsidR="005C7928" w:rsidRPr="0011033A">
        <w:rPr>
          <w:sz w:val="26"/>
        </w:rPr>
        <w:t xml:space="preserve">Pennsylvania Public Utility </w:t>
      </w:r>
      <w:r w:rsidRPr="0011033A">
        <w:rPr>
          <w:sz w:val="26"/>
        </w:rPr>
        <w:t xml:space="preserve">Commission </w:t>
      </w:r>
      <w:r w:rsidR="005C7928" w:rsidRPr="0011033A">
        <w:rPr>
          <w:sz w:val="26"/>
        </w:rPr>
        <w:t xml:space="preserve">(Commission) </w:t>
      </w:r>
      <w:r w:rsidRPr="0011033A">
        <w:rPr>
          <w:sz w:val="26"/>
        </w:rPr>
        <w:t>for co</w:t>
      </w:r>
      <w:r w:rsidR="00893951" w:rsidRPr="0011033A">
        <w:rPr>
          <w:sz w:val="26"/>
        </w:rPr>
        <w:t xml:space="preserve">nsideration </w:t>
      </w:r>
      <w:r w:rsidR="00E1416C">
        <w:rPr>
          <w:sz w:val="26"/>
        </w:rPr>
        <w:t>is</w:t>
      </w:r>
      <w:r w:rsidR="00CE1198" w:rsidRPr="0011033A">
        <w:rPr>
          <w:sz w:val="26"/>
        </w:rPr>
        <w:t xml:space="preserve"> </w:t>
      </w:r>
      <w:r w:rsidR="00694DFF">
        <w:rPr>
          <w:sz w:val="26"/>
        </w:rPr>
        <w:t>the</w:t>
      </w:r>
      <w:r w:rsidRPr="0011033A">
        <w:rPr>
          <w:sz w:val="26"/>
        </w:rPr>
        <w:t xml:space="preserve"> </w:t>
      </w:r>
      <w:r w:rsidR="00284ACE">
        <w:rPr>
          <w:sz w:val="26"/>
        </w:rPr>
        <w:t>letter Petition requesting the Commission to consider the filing</w:t>
      </w:r>
      <w:r w:rsidR="00F248A4" w:rsidRPr="0011033A">
        <w:rPr>
          <w:sz w:val="26"/>
        </w:rPr>
        <w:t xml:space="preserve"> </w:t>
      </w:r>
      <w:bookmarkStart w:id="0" w:name="_Hlk534639008"/>
      <w:r w:rsidR="00C3257B">
        <w:rPr>
          <w:sz w:val="26"/>
        </w:rPr>
        <w:t xml:space="preserve">of </w:t>
      </w:r>
      <w:r w:rsidR="00501A2A">
        <w:rPr>
          <w:sz w:val="26"/>
        </w:rPr>
        <w:t>Paula and Charles Hughes</w:t>
      </w:r>
      <w:r w:rsidR="00B06497">
        <w:rPr>
          <w:sz w:val="26"/>
        </w:rPr>
        <w:t xml:space="preserve"> </w:t>
      </w:r>
      <w:bookmarkEnd w:id="0"/>
      <w:r w:rsidR="00284ACE">
        <w:rPr>
          <w:sz w:val="26"/>
        </w:rPr>
        <w:t>(the Hughes</w:t>
      </w:r>
      <w:r w:rsidR="00D75ABC">
        <w:rPr>
          <w:sz w:val="26"/>
        </w:rPr>
        <w:t xml:space="preserve"> or the Complainants</w:t>
      </w:r>
      <w:r w:rsidR="00284ACE">
        <w:rPr>
          <w:sz w:val="26"/>
        </w:rPr>
        <w:t xml:space="preserve">) </w:t>
      </w:r>
      <w:r w:rsidRPr="0011033A">
        <w:rPr>
          <w:sz w:val="26"/>
        </w:rPr>
        <w:t>on</w:t>
      </w:r>
      <w:r w:rsidR="003E22CB" w:rsidRPr="0011033A">
        <w:rPr>
          <w:sz w:val="26"/>
        </w:rPr>
        <w:t xml:space="preserve"> </w:t>
      </w:r>
      <w:r w:rsidR="00501A2A">
        <w:rPr>
          <w:sz w:val="26"/>
        </w:rPr>
        <w:t>July 17</w:t>
      </w:r>
      <w:r w:rsidR="00B06497">
        <w:rPr>
          <w:sz w:val="26"/>
        </w:rPr>
        <w:t>, 2020</w:t>
      </w:r>
      <w:r w:rsidR="00AA548E" w:rsidRPr="0011033A">
        <w:rPr>
          <w:sz w:val="26"/>
        </w:rPr>
        <w:t xml:space="preserve">, </w:t>
      </w:r>
      <w:r w:rsidR="00284ACE">
        <w:rPr>
          <w:sz w:val="26"/>
        </w:rPr>
        <w:t xml:space="preserve">not as a request for </w:t>
      </w:r>
      <w:r w:rsidR="00AA548E" w:rsidRPr="0011033A">
        <w:rPr>
          <w:sz w:val="26"/>
        </w:rPr>
        <w:t>reconsideration</w:t>
      </w:r>
      <w:r w:rsidR="00461166" w:rsidRPr="0011033A">
        <w:rPr>
          <w:sz w:val="26"/>
        </w:rPr>
        <w:t xml:space="preserve"> </w:t>
      </w:r>
      <w:r w:rsidR="00175722" w:rsidRPr="0011033A">
        <w:rPr>
          <w:sz w:val="26"/>
        </w:rPr>
        <w:t>and</w:t>
      </w:r>
      <w:r w:rsidR="00461166" w:rsidRPr="0011033A">
        <w:rPr>
          <w:sz w:val="26"/>
        </w:rPr>
        <w:t xml:space="preserve"> clarification</w:t>
      </w:r>
      <w:r w:rsidR="00AA548E" w:rsidRPr="0011033A">
        <w:rPr>
          <w:sz w:val="26"/>
        </w:rPr>
        <w:t xml:space="preserve"> of</w:t>
      </w:r>
      <w:r w:rsidR="000505E5" w:rsidRPr="0011033A">
        <w:rPr>
          <w:sz w:val="26"/>
        </w:rPr>
        <w:t xml:space="preserve"> the </w:t>
      </w:r>
      <w:r w:rsidR="00364F96" w:rsidRPr="0011033A">
        <w:rPr>
          <w:sz w:val="26"/>
        </w:rPr>
        <w:t xml:space="preserve">Commission’s </w:t>
      </w:r>
      <w:r w:rsidRPr="0011033A">
        <w:rPr>
          <w:sz w:val="26"/>
        </w:rPr>
        <w:t xml:space="preserve">Opinion and Order entered </w:t>
      </w:r>
      <w:r w:rsidR="00501A2A">
        <w:rPr>
          <w:sz w:val="26"/>
        </w:rPr>
        <w:t>July 16</w:t>
      </w:r>
      <w:r w:rsidR="00C50B7A">
        <w:rPr>
          <w:sz w:val="26"/>
        </w:rPr>
        <w:t>, 20</w:t>
      </w:r>
      <w:r w:rsidR="00B06497">
        <w:rPr>
          <w:sz w:val="26"/>
        </w:rPr>
        <w:t>20</w:t>
      </w:r>
      <w:r w:rsidRPr="0011033A">
        <w:rPr>
          <w:sz w:val="26"/>
        </w:rPr>
        <w:t>,</w:t>
      </w:r>
      <w:r w:rsidR="00284ACE">
        <w:rPr>
          <w:sz w:val="26"/>
        </w:rPr>
        <w:t xml:space="preserve"> but rather as a notice to the Commission that they filed an appeal in </w:t>
      </w:r>
      <w:r w:rsidR="00CD1AAC">
        <w:rPr>
          <w:sz w:val="26"/>
        </w:rPr>
        <w:t xml:space="preserve">the </w:t>
      </w:r>
      <w:r w:rsidR="00284ACE">
        <w:rPr>
          <w:sz w:val="26"/>
        </w:rPr>
        <w:t xml:space="preserve">Commonwealth Court </w:t>
      </w:r>
      <w:r w:rsidR="00CD1AAC">
        <w:rPr>
          <w:sz w:val="26"/>
        </w:rPr>
        <w:t xml:space="preserve">of Pennsylvania </w:t>
      </w:r>
      <w:r w:rsidRPr="0011033A">
        <w:rPr>
          <w:sz w:val="26"/>
        </w:rPr>
        <w:t>relative to</w:t>
      </w:r>
      <w:r w:rsidR="009E5351" w:rsidRPr="0011033A">
        <w:rPr>
          <w:sz w:val="26"/>
        </w:rPr>
        <w:t xml:space="preserve"> the above-captioned proceeding</w:t>
      </w:r>
      <w:r w:rsidRPr="0011033A">
        <w:rPr>
          <w:sz w:val="26"/>
        </w:rPr>
        <w:t>.</w:t>
      </w:r>
      <w:r w:rsidR="00694DFF">
        <w:rPr>
          <w:sz w:val="26"/>
        </w:rPr>
        <w:t xml:space="preserve">  </w:t>
      </w:r>
      <w:r w:rsidR="0017163E">
        <w:rPr>
          <w:sz w:val="26"/>
        </w:rPr>
        <w:t xml:space="preserve">The Commission had granted reconsideration via notational vote by </w:t>
      </w:r>
      <w:r w:rsidR="00FC16EC">
        <w:rPr>
          <w:sz w:val="26"/>
        </w:rPr>
        <w:t xml:space="preserve">Opinion and Order </w:t>
      </w:r>
      <w:r w:rsidR="0017163E">
        <w:rPr>
          <w:sz w:val="26"/>
        </w:rPr>
        <w:t xml:space="preserve">entered </w:t>
      </w:r>
      <w:r w:rsidR="00CD1AAC">
        <w:rPr>
          <w:sz w:val="26"/>
        </w:rPr>
        <w:t>August 12, 2020</w:t>
      </w:r>
      <w:r w:rsidR="0017163E">
        <w:rPr>
          <w:sz w:val="26"/>
        </w:rPr>
        <w:t xml:space="preserve">.  </w:t>
      </w:r>
      <w:r w:rsidR="00284ACE">
        <w:rPr>
          <w:sz w:val="26"/>
        </w:rPr>
        <w:t>Upon consideration of the Hughes</w:t>
      </w:r>
      <w:r w:rsidR="006F4CBF">
        <w:rPr>
          <w:sz w:val="26"/>
        </w:rPr>
        <w:t>’</w:t>
      </w:r>
      <w:r w:rsidR="00284ACE">
        <w:rPr>
          <w:sz w:val="26"/>
        </w:rPr>
        <w:t xml:space="preserve"> filing and consistent with this Opinion and Order</w:t>
      </w:r>
      <w:r w:rsidR="00C3257B">
        <w:rPr>
          <w:sz w:val="26"/>
        </w:rPr>
        <w:t>,</w:t>
      </w:r>
      <w:r w:rsidR="00284ACE">
        <w:rPr>
          <w:sz w:val="26"/>
        </w:rPr>
        <w:t xml:space="preserve"> we will </w:t>
      </w:r>
      <w:r w:rsidR="0017163E">
        <w:rPr>
          <w:sz w:val="26"/>
        </w:rPr>
        <w:t xml:space="preserve">rescind our </w:t>
      </w:r>
      <w:r w:rsidR="00CD1AAC">
        <w:rPr>
          <w:sz w:val="26"/>
        </w:rPr>
        <w:t>August 12, 2020</w:t>
      </w:r>
      <w:r w:rsidR="0017163E">
        <w:rPr>
          <w:sz w:val="26"/>
        </w:rPr>
        <w:t xml:space="preserve"> </w:t>
      </w:r>
      <w:r w:rsidR="00FC16EC">
        <w:rPr>
          <w:sz w:val="26"/>
        </w:rPr>
        <w:t xml:space="preserve">Opinion and Order </w:t>
      </w:r>
      <w:r w:rsidR="0017163E">
        <w:rPr>
          <w:sz w:val="26"/>
        </w:rPr>
        <w:t xml:space="preserve">and </w:t>
      </w:r>
      <w:r w:rsidR="00284ACE">
        <w:rPr>
          <w:sz w:val="26"/>
        </w:rPr>
        <w:t xml:space="preserve">relinquish jurisdiction to </w:t>
      </w:r>
      <w:r w:rsidR="00FD5F4F">
        <w:rPr>
          <w:sz w:val="26"/>
        </w:rPr>
        <w:t xml:space="preserve">the </w:t>
      </w:r>
      <w:r w:rsidR="00284ACE">
        <w:rPr>
          <w:sz w:val="26"/>
        </w:rPr>
        <w:t xml:space="preserve">Commonwealth Court.  </w:t>
      </w:r>
    </w:p>
    <w:p w14:paraId="5D4C4CDA" w14:textId="36CC8F6D" w:rsidR="008B7390" w:rsidRDefault="008B7390" w:rsidP="00FF465B">
      <w:pPr>
        <w:keepNext/>
        <w:keepLines/>
        <w:widowControl/>
        <w:spacing w:line="360" w:lineRule="auto"/>
        <w:jc w:val="center"/>
        <w:outlineLvl w:val="0"/>
        <w:rPr>
          <w:b/>
          <w:sz w:val="26"/>
          <w:szCs w:val="32"/>
        </w:rPr>
      </w:pPr>
      <w:bookmarkStart w:id="1" w:name="_Toc10812922"/>
      <w:r w:rsidRPr="008B7390">
        <w:rPr>
          <w:b/>
          <w:sz w:val="26"/>
          <w:szCs w:val="32"/>
        </w:rPr>
        <w:lastRenderedPageBreak/>
        <w:t>History of the Proceeding</w:t>
      </w:r>
      <w:bookmarkEnd w:id="1"/>
    </w:p>
    <w:p w14:paraId="60A70E5B" w14:textId="77777777" w:rsidR="00FF465B" w:rsidRPr="008B7390" w:rsidRDefault="00FF465B" w:rsidP="00FF465B">
      <w:pPr>
        <w:keepNext/>
        <w:keepLines/>
        <w:widowControl/>
        <w:spacing w:line="360" w:lineRule="auto"/>
        <w:jc w:val="center"/>
        <w:outlineLvl w:val="0"/>
        <w:rPr>
          <w:b/>
          <w:sz w:val="26"/>
          <w:szCs w:val="32"/>
        </w:rPr>
      </w:pPr>
    </w:p>
    <w:p w14:paraId="4F9C5AE0" w14:textId="1463BE78" w:rsidR="008B7390" w:rsidRDefault="008B7390" w:rsidP="00FF465B">
      <w:pPr>
        <w:spacing w:line="360" w:lineRule="auto"/>
        <w:ind w:firstLine="1440"/>
        <w:textAlignment w:val="baseline"/>
        <w:rPr>
          <w:sz w:val="26"/>
          <w:szCs w:val="26"/>
        </w:rPr>
      </w:pPr>
      <w:r w:rsidRPr="008B7390">
        <w:rPr>
          <w:color w:val="000000"/>
          <w:spacing w:val="-4"/>
          <w:sz w:val="26"/>
          <w:szCs w:val="26"/>
        </w:rPr>
        <w:t xml:space="preserve">On February 4, 2019, the Complainants filed </w:t>
      </w:r>
      <w:r w:rsidR="0017163E">
        <w:rPr>
          <w:color w:val="000000"/>
          <w:spacing w:val="-4"/>
          <w:sz w:val="26"/>
          <w:szCs w:val="26"/>
        </w:rPr>
        <w:t>a</w:t>
      </w:r>
      <w:r w:rsidRPr="008B7390">
        <w:rPr>
          <w:color w:val="000000"/>
          <w:spacing w:val="-4"/>
          <w:sz w:val="26"/>
          <w:szCs w:val="26"/>
        </w:rPr>
        <w:t xml:space="preserve"> Complaint averring they wish to opt out of a smart meter installation at their residence</w:t>
      </w:r>
      <w:r w:rsidRPr="008B7390">
        <w:rPr>
          <w:color w:val="000000"/>
          <w:sz w:val="26"/>
          <w:szCs w:val="26"/>
        </w:rPr>
        <w:t>.  Complaint at 2-3.</w:t>
      </w:r>
      <w:r w:rsidR="0017163E">
        <w:rPr>
          <w:color w:val="000000"/>
          <w:sz w:val="26"/>
          <w:szCs w:val="26"/>
        </w:rPr>
        <w:t xml:space="preserve">  A hearing was held on </w:t>
      </w:r>
      <w:r w:rsidRPr="008B7390">
        <w:rPr>
          <w:color w:val="000000"/>
          <w:sz w:val="26"/>
          <w:szCs w:val="26"/>
        </w:rPr>
        <w:t>September 19, 2019, as scheduled.</w:t>
      </w:r>
      <w:r w:rsidR="00CD1AAC">
        <w:rPr>
          <w:color w:val="000000"/>
          <w:sz w:val="26"/>
          <w:szCs w:val="26"/>
        </w:rPr>
        <w:t xml:space="preserve">  </w:t>
      </w:r>
      <w:r w:rsidR="00CD1AAC">
        <w:rPr>
          <w:sz w:val="26"/>
          <w:szCs w:val="26"/>
        </w:rPr>
        <w:t xml:space="preserve">An Initial Decision dismissing the </w:t>
      </w:r>
      <w:r w:rsidR="00C3257B">
        <w:rPr>
          <w:sz w:val="26"/>
          <w:szCs w:val="26"/>
        </w:rPr>
        <w:t>C</w:t>
      </w:r>
      <w:r w:rsidR="00CD1AAC">
        <w:rPr>
          <w:sz w:val="26"/>
          <w:szCs w:val="26"/>
        </w:rPr>
        <w:t>omplaint was served on</w:t>
      </w:r>
      <w:r w:rsidR="00CD1AAC" w:rsidRPr="008B7390">
        <w:rPr>
          <w:sz w:val="26"/>
          <w:szCs w:val="26"/>
        </w:rPr>
        <w:t xml:space="preserve"> November 19, 2019.  </w:t>
      </w:r>
      <w:r w:rsidR="00C3257B">
        <w:rPr>
          <w:sz w:val="26"/>
          <w:szCs w:val="26"/>
        </w:rPr>
        <w:t xml:space="preserve">The </w:t>
      </w:r>
      <w:r w:rsidR="00CD1AAC">
        <w:rPr>
          <w:sz w:val="26"/>
          <w:szCs w:val="26"/>
        </w:rPr>
        <w:t xml:space="preserve">Complainants filed </w:t>
      </w:r>
      <w:r w:rsidR="00C3257B">
        <w:rPr>
          <w:sz w:val="26"/>
          <w:szCs w:val="26"/>
        </w:rPr>
        <w:t>E</w:t>
      </w:r>
      <w:r w:rsidR="00CD1AAC">
        <w:rPr>
          <w:sz w:val="26"/>
          <w:szCs w:val="26"/>
        </w:rPr>
        <w:t>xceptions</w:t>
      </w:r>
      <w:r w:rsidR="006F4CBF">
        <w:rPr>
          <w:sz w:val="26"/>
          <w:szCs w:val="26"/>
        </w:rPr>
        <w:t>.</w:t>
      </w:r>
    </w:p>
    <w:p w14:paraId="518EB90A" w14:textId="77777777" w:rsidR="00864716" w:rsidRPr="008B7390" w:rsidRDefault="00864716" w:rsidP="00FF465B">
      <w:pPr>
        <w:spacing w:line="360" w:lineRule="auto"/>
        <w:ind w:firstLine="1440"/>
        <w:textAlignment w:val="baseline"/>
        <w:rPr>
          <w:color w:val="000000"/>
          <w:sz w:val="26"/>
          <w:szCs w:val="26"/>
        </w:rPr>
      </w:pPr>
    </w:p>
    <w:p w14:paraId="337E85F3" w14:textId="27F0F587" w:rsidR="008B7390" w:rsidRDefault="008B7390" w:rsidP="00FF465B">
      <w:pPr>
        <w:widowControl/>
        <w:tabs>
          <w:tab w:val="left" w:pos="-720"/>
          <w:tab w:val="left" w:pos="1440"/>
        </w:tabs>
        <w:suppressAutoHyphens/>
        <w:autoSpaceDE w:val="0"/>
        <w:autoSpaceDN w:val="0"/>
        <w:spacing w:line="360" w:lineRule="auto"/>
        <w:ind w:firstLine="1440"/>
        <w:rPr>
          <w:sz w:val="26"/>
        </w:rPr>
      </w:pPr>
      <w:r>
        <w:rPr>
          <w:sz w:val="26"/>
        </w:rPr>
        <w:t xml:space="preserve">On July </w:t>
      </w:r>
      <w:r w:rsidR="00D75ABC">
        <w:rPr>
          <w:sz w:val="26"/>
        </w:rPr>
        <w:t>16, 2020, the Commission issued an Opinion and Order in which it denied the Hughes’ Exceptions</w:t>
      </w:r>
      <w:r w:rsidR="00CD1AAC">
        <w:rPr>
          <w:sz w:val="26"/>
        </w:rPr>
        <w:t>,</w:t>
      </w:r>
      <w:r w:rsidR="00D75ABC">
        <w:rPr>
          <w:sz w:val="26"/>
        </w:rPr>
        <w:t xml:space="preserve"> </w:t>
      </w:r>
      <w:r w:rsidR="00D75ABC" w:rsidRPr="00D75ABC">
        <w:rPr>
          <w:sz w:val="26"/>
        </w:rPr>
        <w:t>adopt</w:t>
      </w:r>
      <w:r w:rsidR="00D75ABC">
        <w:rPr>
          <w:sz w:val="26"/>
        </w:rPr>
        <w:t>ed</w:t>
      </w:r>
      <w:r w:rsidR="00D75ABC" w:rsidRPr="00D75ABC">
        <w:rPr>
          <w:sz w:val="26"/>
        </w:rPr>
        <w:t xml:space="preserve"> the Initial Decision</w:t>
      </w:r>
      <w:r w:rsidR="00CD1AAC">
        <w:rPr>
          <w:sz w:val="26"/>
        </w:rPr>
        <w:t>,</w:t>
      </w:r>
      <w:r w:rsidR="00D75ABC" w:rsidRPr="00D75ABC">
        <w:rPr>
          <w:sz w:val="26"/>
        </w:rPr>
        <w:t xml:space="preserve"> and dismiss</w:t>
      </w:r>
      <w:r w:rsidR="00D75ABC">
        <w:rPr>
          <w:sz w:val="26"/>
        </w:rPr>
        <w:t>ed</w:t>
      </w:r>
      <w:r w:rsidR="00D75ABC" w:rsidRPr="00D75ABC">
        <w:rPr>
          <w:sz w:val="26"/>
        </w:rPr>
        <w:t xml:space="preserve"> the Complaint</w:t>
      </w:r>
      <w:r w:rsidR="00AB0C90">
        <w:rPr>
          <w:sz w:val="26"/>
        </w:rPr>
        <w:t xml:space="preserve"> (</w:t>
      </w:r>
      <w:r w:rsidR="00AB0C90" w:rsidRPr="0017163E">
        <w:rPr>
          <w:i/>
          <w:sz w:val="26"/>
        </w:rPr>
        <w:t>July 2020 Order</w:t>
      </w:r>
      <w:r w:rsidR="0047384B">
        <w:rPr>
          <w:sz w:val="26"/>
        </w:rPr>
        <w:t>)</w:t>
      </w:r>
      <w:r w:rsidR="00D75ABC" w:rsidRPr="00D75ABC">
        <w:rPr>
          <w:sz w:val="26"/>
        </w:rPr>
        <w:t>.</w:t>
      </w:r>
    </w:p>
    <w:p w14:paraId="365C88E7" w14:textId="3B4E91CA" w:rsidR="00D75ABC" w:rsidRDefault="00D75ABC" w:rsidP="00FF465B">
      <w:pPr>
        <w:widowControl/>
        <w:tabs>
          <w:tab w:val="left" w:pos="-720"/>
          <w:tab w:val="left" w:pos="1440"/>
        </w:tabs>
        <w:suppressAutoHyphens/>
        <w:autoSpaceDE w:val="0"/>
        <w:autoSpaceDN w:val="0"/>
        <w:spacing w:line="360" w:lineRule="auto"/>
        <w:ind w:firstLine="1440"/>
        <w:rPr>
          <w:sz w:val="26"/>
        </w:rPr>
      </w:pPr>
    </w:p>
    <w:p w14:paraId="503BD909" w14:textId="4878BD57" w:rsidR="00D75ABC" w:rsidRDefault="00D75ABC" w:rsidP="00FF465B">
      <w:pPr>
        <w:widowControl/>
        <w:tabs>
          <w:tab w:val="left" w:pos="-720"/>
          <w:tab w:val="left" w:pos="1440"/>
        </w:tabs>
        <w:suppressAutoHyphens/>
        <w:autoSpaceDE w:val="0"/>
        <w:autoSpaceDN w:val="0"/>
        <w:spacing w:line="360" w:lineRule="auto"/>
        <w:ind w:firstLine="1440"/>
        <w:rPr>
          <w:sz w:val="26"/>
        </w:rPr>
      </w:pPr>
      <w:r>
        <w:rPr>
          <w:sz w:val="26"/>
        </w:rPr>
        <w:t xml:space="preserve">On July 17, 2020, the </w:t>
      </w:r>
      <w:r w:rsidR="00AB0C90">
        <w:rPr>
          <w:sz w:val="26"/>
        </w:rPr>
        <w:t xml:space="preserve">Hughes filed correspondence which indicated that they wished to appeal the Commission’s July 16, 2020 decision.  The Commission interpreted the filing as a Petition for Reconsideration of the </w:t>
      </w:r>
      <w:r w:rsidR="00AB0C90" w:rsidRPr="0017163E">
        <w:rPr>
          <w:i/>
          <w:sz w:val="26"/>
        </w:rPr>
        <w:t>July 2020 Order</w:t>
      </w:r>
      <w:r w:rsidR="00AB0C90">
        <w:rPr>
          <w:sz w:val="26"/>
        </w:rPr>
        <w:t xml:space="preserve">. </w:t>
      </w:r>
    </w:p>
    <w:p w14:paraId="1B0DA235" w14:textId="42A90B96" w:rsidR="00AB0C90" w:rsidRDefault="00AB0C90" w:rsidP="00FF465B">
      <w:pPr>
        <w:widowControl/>
        <w:tabs>
          <w:tab w:val="left" w:pos="-720"/>
          <w:tab w:val="left" w:pos="1440"/>
        </w:tabs>
        <w:suppressAutoHyphens/>
        <w:autoSpaceDE w:val="0"/>
        <w:autoSpaceDN w:val="0"/>
        <w:spacing w:line="360" w:lineRule="auto"/>
        <w:ind w:firstLine="1440"/>
        <w:rPr>
          <w:sz w:val="26"/>
        </w:rPr>
      </w:pPr>
    </w:p>
    <w:p w14:paraId="6A2E42EB" w14:textId="588BF813" w:rsidR="00AB0C90" w:rsidRDefault="00AB0C90" w:rsidP="00FF465B">
      <w:pPr>
        <w:widowControl/>
        <w:tabs>
          <w:tab w:val="left" w:pos="-720"/>
          <w:tab w:val="left" w:pos="1440"/>
        </w:tabs>
        <w:suppressAutoHyphens/>
        <w:autoSpaceDE w:val="0"/>
        <w:autoSpaceDN w:val="0"/>
        <w:spacing w:line="360" w:lineRule="auto"/>
        <w:ind w:firstLine="1440"/>
        <w:rPr>
          <w:sz w:val="26"/>
        </w:rPr>
      </w:pPr>
      <w:r>
        <w:rPr>
          <w:sz w:val="26"/>
        </w:rPr>
        <w:t>On August 12, 2020, the Commission</w:t>
      </w:r>
      <w:r w:rsidR="006F4CBF">
        <w:rPr>
          <w:sz w:val="26"/>
        </w:rPr>
        <w:t>, by notational vote,</w:t>
      </w:r>
      <w:r>
        <w:rPr>
          <w:sz w:val="26"/>
        </w:rPr>
        <w:t xml:space="preserve"> granted the Petition under Pa. R.A.P. </w:t>
      </w:r>
      <w:r w:rsidR="0047384B">
        <w:rPr>
          <w:sz w:val="26"/>
        </w:rPr>
        <w:t>1701 as the Commission must act to grant a petition for reconsideration within thirty days of the date of entry of the order for which reconsideration is sought, or otherwise lose jurisdiction to do so if a petition for review is timely filed.</w:t>
      </w:r>
    </w:p>
    <w:p w14:paraId="1FB31A3E" w14:textId="2305598E" w:rsidR="0047384B" w:rsidRDefault="0047384B" w:rsidP="00FF465B">
      <w:pPr>
        <w:widowControl/>
        <w:tabs>
          <w:tab w:val="left" w:pos="-720"/>
          <w:tab w:val="left" w:pos="1440"/>
        </w:tabs>
        <w:suppressAutoHyphens/>
        <w:autoSpaceDE w:val="0"/>
        <w:autoSpaceDN w:val="0"/>
        <w:spacing w:line="360" w:lineRule="auto"/>
        <w:ind w:firstLine="1440"/>
        <w:rPr>
          <w:sz w:val="26"/>
        </w:rPr>
      </w:pPr>
    </w:p>
    <w:p w14:paraId="2000557E" w14:textId="61DE6155" w:rsidR="00356711" w:rsidRDefault="00F104BB" w:rsidP="006F240E">
      <w:pPr>
        <w:widowControl/>
        <w:tabs>
          <w:tab w:val="left" w:pos="-720"/>
          <w:tab w:val="left" w:pos="1440"/>
        </w:tabs>
        <w:suppressAutoHyphens/>
        <w:autoSpaceDE w:val="0"/>
        <w:autoSpaceDN w:val="0"/>
        <w:spacing w:line="360" w:lineRule="auto"/>
        <w:ind w:firstLine="1440"/>
        <w:rPr>
          <w:sz w:val="26"/>
        </w:rPr>
      </w:pPr>
      <w:r>
        <w:rPr>
          <w:sz w:val="26"/>
        </w:rPr>
        <w:t xml:space="preserve">On August 19, 2020, </w:t>
      </w:r>
      <w:r w:rsidR="009820F2">
        <w:rPr>
          <w:sz w:val="26"/>
        </w:rPr>
        <w:t xml:space="preserve">the Hughes </w:t>
      </w:r>
      <w:r w:rsidR="00C232D7">
        <w:rPr>
          <w:sz w:val="26"/>
        </w:rPr>
        <w:t xml:space="preserve">filed a letter regarding the appeal.  In their letter, the Hughes stated that their July 17, 2020 correspondence was not a Petition for Reconsideration but </w:t>
      </w:r>
      <w:r w:rsidR="00BB0971">
        <w:rPr>
          <w:sz w:val="26"/>
        </w:rPr>
        <w:t xml:space="preserve">rather they were notifying the Commission </w:t>
      </w:r>
      <w:r w:rsidR="009F4C6E">
        <w:rPr>
          <w:sz w:val="26"/>
        </w:rPr>
        <w:t xml:space="preserve">that </w:t>
      </w:r>
      <w:r w:rsidR="00C232D7">
        <w:rPr>
          <w:sz w:val="26"/>
        </w:rPr>
        <w:t xml:space="preserve">they had filed an appeal </w:t>
      </w:r>
      <w:r w:rsidR="000F2415">
        <w:rPr>
          <w:sz w:val="26"/>
        </w:rPr>
        <w:t xml:space="preserve">directly </w:t>
      </w:r>
      <w:r w:rsidR="00C232D7">
        <w:rPr>
          <w:sz w:val="26"/>
        </w:rPr>
        <w:t xml:space="preserve">with </w:t>
      </w:r>
      <w:r w:rsidR="00CD1AAC">
        <w:rPr>
          <w:sz w:val="26"/>
        </w:rPr>
        <w:t xml:space="preserve">the </w:t>
      </w:r>
      <w:r w:rsidR="00C232D7">
        <w:rPr>
          <w:sz w:val="26"/>
        </w:rPr>
        <w:t xml:space="preserve">Commonwealth Court.  </w:t>
      </w:r>
    </w:p>
    <w:p w14:paraId="0F636F11" w14:textId="77777777" w:rsidR="00F873C6" w:rsidRDefault="00F873C6" w:rsidP="00FF465B">
      <w:pPr>
        <w:widowControl/>
        <w:spacing w:line="360" w:lineRule="auto"/>
        <w:contextualSpacing/>
        <w:rPr>
          <w:sz w:val="26"/>
        </w:rPr>
      </w:pPr>
    </w:p>
    <w:p w14:paraId="4FF32317" w14:textId="2BA925A7" w:rsidR="00356711" w:rsidRDefault="000F2415" w:rsidP="00FF465B">
      <w:pPr>
        <w:widowControl/>
        <w:spacing w:line="360" w:lineRule="auto"/>
        <w:ind w:firstLine="1440"/>
        <w:contextualSpacing/>
        <w:rPr>
          <w:sz w:val="26"/>
        </w:rPr>
      </w:pPr>
      <w:r>
        <w:rPr>
          <w:sz w:val="26"/>
        </w:rPr>
        <w:t xml:space="preserve">By granting reconsideration, we effectively retained jurisdiction and removed jurisdiction from the Commonwealth Court.  </w:t>
      </w:r>
      <w:r w:rsidR="00BB0971">
        <w:rPr>
          <w:sz w:val="26"/>
        </w:rPr>
        <w:t xml:space="preserve">Pennsylvania Rules of Appellate </w:t>
      </w:r>
      <w:r w:rsidR="00BB0971">
        <w:rPr>
          <w:sz w:val="26"/>
        </w:rPr>
        <w:lastRenderedPageBreak/>
        <w:t xml:space="preserve">Procedure </w:t>
      </w:r>
      <w:r w:rsidR="00356711" w:rsidRPr="00356711">
        <w:rPr>
          <w:sz w:val="26"/>
        </w:rPr>
        <w:t>Rule 17</w:t>
      </w:r>
      <w:r w:rsidR="00BB0971">
        <w:rPr>
          <w:sz w:val="26"/>
        </w:rPr>
        <w:t>01 states</w:t>
      </w:r>
      <w:r>
        <w:rPr>
          <w:sz w:val="26"/>
        </w:rPr>
        <w:t xml:space="preserve"> a government unit may grant reconsideration within the time provided by law, </w:t>
      </w:r>
      <w:r>
        <w:rPr>
          <w:i/>
          <w:iCs/>
          <w:sz w:val="26"/>
        </w:rPr>
        <w:t>i.e.</w:t>
      </w:r>
      <w:r>
        <w:rPr>
          <w:sz w:val="26"/>
        </w:rPr>
        <w:t xml:space="preserve">, within 30 days from the entry date of the order to be reconsidered. </w:t>
      </w:r>
      <w:r w:rsidR="00BB0971">
        <w:rPr>
          <w:sz w:val="26"/>
        </w:rPr>
        <w:t xml:space="preserve"> </w:t>
      </w:r>
    </w:p>
    <w:p w14:paraId="68E95712" w14:textId="77777777" w:rsidR="00356711" w:rsidRPr="00356711" w:rsidRDefault="00356711" w:rsidP="00FF465B">
      <w:pPr>
        <w:widowControl/>
        <w:spacing w:line="360" w:lineRule="auto"/>
        <w:contextualSpacing/>
        <w:rPr>
          <w:sz w:val="26"/>
        </w:rPr>
      </w:pPr>
    </w:p>
    <w:p w14:paraId="2940AD51" w14:textId="7F748489" w:rsidR="00F873C6" w:rsidRDefault="00356711" w:rsidP="00FF465B">
      <w:pPr>
        <w:widowControl/>
        <w:spacing w:line="360" w:lineRule="auto"/>
        <w:ind w:firstLine="1440"/>
        <w:contextualSpacing/>
        <w:rPr>
          <w:sz w:val="26"/>
        </w:rPr>
      </w:pPr>
      <w:r>
        <w:rPr>
          <w:sz w:val="26"/>
        </w:rPr>
        <w:t>While the Commission characterized the July 17, 2020 filing as a petition for reconsideration and acted on it as such</w:t>
      </w:r>
      <w:r w:rsidR="006F4CBF">
        <w:rPr>
          <w:sz w:val="26"/>
        </w:rPr>
        <w:t>,</w:t>
      </w:r>
      <w:r>
        <w:rPr>
          <w:sz w:val="26"/>
        </w:rPr>
        <w:t xml:space="preserve"> </w:t>
      </w:r>
      <w:r w:rsidR="009C5408">
        <w:rPr>
          <w:sz w:val="26"/>
        </w:rPr>
        <w:t>the Commission inadverte</w:t>
      </w:r>
      <w:r w:rsidR="00F873C6">
        <w:rPr>
          <w:sz w:val="26"/>
        </w:rPr>
        <w:t xml:space="preserve">ntly overlooked the notation that the document was sent to the “Attention” of Commonwealth Court.  Furthermore, the Hughes have categorically denied that they filed a petition for reconsideration on July 17, 2020.  </w:t>
      </w:r>
    </w:p>
    <w:p w14:paraId="340D7408" w14:textId="77777777" w:rsidR="00413715" w:rsidRDefault="00413715" w:rsidP="00FF465B">
      <w:pPr>
        <w:widowControl/>
        <w:spacing w:line="360" w:lineRule="auto"/>
        <w:ind w:firstLine="1440"/>
        <w:contextualSpacing/>
        <w:rPr>
          <w:sz w:val="26"/>
        </w:rPr>
      </w:pPr>
    </w:p>
    <w:p w14:paraId="3CE1E660" w14:textId="24402501" w:rsidR="00FC16EC" w:rsidRPr="00F873C6" w:rsidRDefault="00FC16EC" w:rsidP="00FF465B">
      <w:pPr>
        <w:widowControl/>
        <w:spacing w:line="360" w:lineRule="auto"/>
        <w:ind w:firstLine="1440"/>
        <w:contextualSpacing/>
        <w:rPr>
          <w:sz w:val="26"/>
        </w:rPr>
      </w:pPr>
      <w:r>
        <w:rPr>
          <w:sz w:val="26"/>
        </w:rPr>
        <w:t>We conclude that the Complainants did not intend to file a Petition for Reconsideration and that we entered our August 12, 2020 Opinion and Order in error.</w:t>
      </w:r>
    </w:p>
    <w:p w14:paraId="2F2A09D2" w14:textId="77777777" w:rsidR="00264B99" w:rsidRDefault="00264B99" w:rsidP="00FF465B">
      <w:pPr>
        <w:widowControl/>
        <w:spacing w:line="360" w:lineRule="auto"/>
        <w:ind w:firstLine="1440"/>
        <w:contextualSpacing/>
        <w:rPr>
          <w:sz w:val="26"/>
        </w:rPr>
      </w:pPr>
    </w:p>
    <w:p w14:paraId="176C3365" w14:textId="48F36820" w:rsidR="000F1318" w:rsidRPr="0011033A" w:rsidRDefault="00264B99" w:rsidP="00FF465B">
      <w:pPr>
        <w:widowControl/>
        <w:spacing w:line="360" w:lineRule="auto"/>
        <w:ind w:firstLine="1440"/>
        <w:contextualSpacing/>
        <w:rPr>
          <w:sz w:val="26"/>
          <w:szCs w:val="26"/>
        </w:rPr>
      </w:pPr>
      <w:r>
        <w:rPr>
          <w:sz w:val="26"/>
        </w:rPr>
        <w:t xml:space="preserve">Accordingly, for the reasons stated above we shall rescind the August 12, 2020 </w:t>
      </w:r>
      <w:bookmarkStart w:id="2" w:name="_Hlk49181663"/>
      <w:r>
        <w:rPr>
          <w:sz w:val="26"/>
        </w:rPr>
        <w:t xml:space="preserve">Opinion and Order </w:t>
      </w:r>
      <w:bookmarkEnd w:id="2"/>
      <w:r>
        <w:rPr>
          <w:sz w:val="26"/>
        </w:rPr>
        <w:t xml:space="preserve">granting reconsideration and relinquish jurisdiction to </w:t>
      </w:r>
      <w:r w:rsidR="00FC16EC">
        <w:rPr>
          <w:sz w:val="26"/>
        </w:rPr>
        <w:t xml:space="preserve">the </w:t>
      </w:r>
      <w:r>
        <w:rPr>
          <w:sz w:val="26"/>
        </w:rPr>
        <w:t>Commonwealth Court on this matter</w:t>
      </w:r>
      <w:r w:rsidR="004275F4">
        <w:rPr>
          <w:sz w:val="26"/>
        </w:rPr>
        <w:t xml:space="preserve">; </w:t>
      </w:r>
      <w:r w:rsidR="000F1318" w:rsidRPr="0011033A">
        <w:rPr>
          <w:b/>
          <w:sz w:val="26"/>
        </w:rPr>
        <w:t>THEREFORE,</w:t>
      </w:r>
    </w:p>
    <w:p w14:paraId="2CFC5C1F" w14:textId="77777777" w:rsidR="000F1318" w:rsidRPr="0011033A" w:rsidRDefault="000F1318" w:rsidP="00FF465B">
      <w:pPr>
        <w:widowControl/>
        <w:spacing w:line="360" w:lineRule="auto"/>
        <w:ind w:firstLine="1440"/>
        <w:contextualSpacing/>
        <w:rPr>
          <w:sz w:val="26"/>
          <w:szCs w:val="26"/>
        </w:rPr>
      </w:pPr>
    </w:p>
    <w:p w14:paraId="6866CE1A" w14:textId="77777777" w:rsidR="00213639" w:rsidRPr="0011033A" w:rsidRDefault="000F1318" w:rsidP="001A52BC">
      <w:pPr>
        <w:keepLines/>
        <w:widowControl/>
        <w:spacing w:line="360" w:lineRule="auto"/>
        <w:ind w:firstLine="1440"/>
        <w:contextualSpacing/>
        <w:rPr>
          <w:sz w:val="26"/>
        </w:rPr>
      </w:pPr>
      <w:r w:rsidRPr="0011033A">
        <w:rPr>
          <w:b/>
          <w:sz w:val="26"/>
          <w:szCs w:val="26"/>
        </w:rPr>
        <w:t>IT IS ORDERED:</w:t>
      </w:r>
    </w:p>
    <w:p w14:paraId="4AFDA82A" w14:textId="77777777" w:rsidR="00213639" w:rsidRPr="0011033A" w:rsidRDefault="00213639" w:rsidP="001A52BC">
      <w:pPr>
        <w:keepLines/>
        <w:widowControl/>
        <w:spacing w:line="360" w:lineRule="auto"/>
        <w:ind w:firstLine="1440"/>
        <w:contextualSpacing/>
        <w:rPr>
          <w:sz w:val="26"/>
        </w:rPr>
      </w:pPr>
    </w:p>
    <w:p w14:paraId="3A776DEF" w14:textId="1472776C" w:rsidR="00DD69A7" w:rsidRPr="0017163E" w:rsidRDefault="000F1318" w:rsidP="001A52BC">
      <w:pPr>
        <w:pStyle w:val="ListParagraph"/>
        <w:keepLines/>
        <w:widowControl/>
        <w:numPr>
          <w:ilvl w:val="0"/>
          <w:numId w:val="7"/>
        </w:numPr>
        <w:spacing w:line="360" w:lineRule="auto"/>
        <w:ind w:left="0" w:firstLine="1440"/>
        <w:rPr>
          <w:b/>
          <w:sz w:val="26"/>
          <w:szCs w:val="26"/>
        </w:rPr>
      </w:pPr>
      <w:r w:rsidRPr="0017163E">
        <w:rPr>
          <w:sz w:val="26"/>
          <w:szCs w:val="26"/>
        </w:rPr>
        <w:t xml:space="preserve">That the </w:t>
      </w:r>
      <w:r w:rsidR="00DD69A7">
        <w:rPr>
          <w:sz w:val="26"/>
          <w:szCs w:val="26"/>
        </w:rPr>
        <w:t>Commission’s Opinion and Order issued on August 12, 2020 is hereby rescinded consistent with this Opinion and Order.</w:t>
      </w:r>
    </w:p>
    <w:p w14:paraId="43F7734A" w14:textId="77777777" w:rsidR="00DD69A7" w:rsidRPr="0017163E" w:rsidRDefault="00DD69A7" w:rsidP="001A52BC">
      <w:pPr>
        <w:pStyle w:val="ListParagraph"/>
        <w:keepLines/>
        <w:widowControl/>
        <w:spacing w:line="360" w:lineRule="auto"/>
        <w:ind w:left="1800"/>
        <w:rPr>
          <w:b/>
          <w:sz w:val="26"/>
          <w:szCs w:val="26"/>
        </w:rPr>
      </w:pPr>
    </w:p>
    <w:p w14:paraId="7C4FCC0A" w14:textId="17A047F8" w:rsidR="001A52BC" w:rsidRPr="003120B3" w:rsidRDefault="00DD69A7" w:rsidP="003120B3">
      <w:pPr>
        <w:pStyle w:val="ListParagraph"/>
        <w:keepNext/>
        <w:keepLines/>
        <w:widowControl/>
        <w:numPr>
          <w:ilvl w:val="0"/>
          <w:numId w:val="7"/>
        </w:numPr>
        <w:spacing w:line="360" w:lineRule="auto"/>
        <w:ind w:left="0" w:firstLine="1440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That the Commission relinquishes jurisdiction over the proceeding of </w:t>
      </w:r>
      <w:r w:rsidR="006B41EB" w:rsidRPr="0017163E">
        <w:rPr>
          <w:sz w:val="26"/>
          <w:szCs w:val="26"/>
        </w:rPr>
        <w:t>Paula and Charles Hughes</w:t>
      </w:r>
      <w:r>
        <w:rPr>
          <w:sz w:val="26"/>
          <w:szCs w:val="26"/>
        </w:rPr>
        <w:t xml:space="preserve"> v. PPL</w:t>
      </w:r>
      <w:r w:rsidR="000F1318" w:rsidRPr="0017163E">
        <w:rPr>
          <w:sz w:val="26"/>
          <w:szCs w:val="26"/>
        </w:rPr>
        <w:t>,</w:t>
      </w:r>
      <w:r>
        <w:rPr>
          <w:sz w:val="26"/>
          <w:szCs w:val="26"/>
        </w:rPr>
        <w:t xml:space="preserve"> at Commission Docket No. </w:t>
      </w:r>
      <w:r w:rsidRPr="00DD69A7">
        <w:rPr>
          <w:sz w:val="26"/>
          <w:szCs w:val="26"/>
        </w:rPr>
        <w:t>C</w:t>
      </w:r>
      <w:r w:rsidR="00B97DB4">
        <w:rPr>
          <w:sz w:val="26"/>
          <w:szCs w:val="26"/>
        </w:rPr>
        <w:t>- </w:t>
      </w:r>
      <w:r w:rsidRPr="00DD69A7">
        <w:rPr>
          <w:sz w:val="26"/>
          <w:szCs w:val="26"/>
        </w:rPr>
        <w:t>2019-3007631</w:t>
      </w:r>
      <w:r>
        <w:rPr>
          <w:sz w:val="26"/>
          <w:szCs w:val="26"/>
        </w:rPr>
        <w:t xml:space="preserve">, consistent with this Opinion and Order. </w:t>
      </w:r>
    </w:p>
    <w:p w14:paraId="49ECE4A3" w14:textId="3349678E" w:rsidR="000F1318" w:rsidRDefault="000F1318" w:rsidP="00FF465B">
      <w:pPr>
        <w:keepNext/>
        <w:keepLines/>
        <w:widowControl/>
        <w:tabs>
          <w:tab w:val="left" w:pos="5040"/>
        </w:tabs>
        <w:ind w:firstLine="1440"/>
        <w:contextualSpacing/>
        <w:rPr>
          <w:sz w:val="26"/>
          <w:szCs w:val="26"/>
        </w:rPr>
      </w:pPr>
    </w:p>
    <w:p w14:paraId="2216883B" w14:textId="77777777" w:rsidR="003120B3" w:rsidRPr="0011033A" w:rsidRDefault="003120B3" w:rsidP="00FF465B">
      <w:pPr>
        <w:keepNext/>
        <w:keepLines/>
        <w:widowControl/>
        <w:tabs>
          <w:tab w:val="left" w:pos="5040"/>
        </w:tabs>
        <w:ind w:firstLine="1440"/>
        <w:contextualSpacing/>
        <w:rPr>
          <w:sz w:val="26"/>
          <w:szCs w:val="26"/>
        </w:rPr>
      </w:pPr>
    </w:p>
    <w:p w14:paraId="200C2120" w14:textId="14061651" w:rsidR="000F1318" w:rsidRPr="0011033A" w:rsidRDefault="00FB381E" w:rsidP="00FF465B">
      <w:pPr>
        <w:keepNext/>
        <w:keepLines/>
        <w:widowControl/>
        <w:tabs>
          <w:tab w:val="left" w:pos="5040"/>
        </w:tabs>
        <w:spacing w:line="360" w:lineRule="auto"/>
        <w:ind w:left="5040"/>
        <w:contextualSpacing/>
        <w:rPr>
          <w:sz w:val="26"/>
          <w:szCs w:val="26"/>
        </w:rPr>
      </w:pPr>
      <w:bookmarkStart w:id="3" w:name="_GoBack"/>
      <w:bookmarkEnd w:id="3"/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E131909" wp14:editId="3B26DB59">
            <wp:simplePos x="0" y="0"/>
            <wp:positionH relativeFrom="column">
              <wp:posOffset>3124200</wp:posOffset>
            </wp:positionH>
            <wp:positionV relativeFrom="paragraph">
              <wp:posOffset>139065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318" w:rsidRPr="0011033A">
        <w:rPr>
          <w:b/>
          <w:sz w:val="26"/>
          <w:szCs w:val="26"/>
        </w:rPr>
        <w:t>BY THE COMMISSION,</w:t>
      </w:r>
    </w:p>
    <w:p w14:paraId="0C5F9DAC" w14:textId="41396F3D" w:rsidR="000F1318" w:rsidRPr="0011033A" w:rsidRDefault="000F1318" w:rsidP="00FF465B">
      <w:pPr>
        <w:keepNext/>
        <w:keepLines/>
        <w:widowControl/>
        <w:tabs>
          <w:tab w:val="left" w:pos="5040"/>
        </w:tabs>
        <w:ind w:left="5040"/>
        <w:contextualSpacing/>
        <w:rPr>
          <w:sz w:val="26"/>
          <w:szCs w:val="26"/>
        </w:rPr>
      </w:pPr>
    </w:p>
    <w:p w14:paraId="4B30892E" w14:textId="5FB59ACD" w:rsidR="000F1318" w:rsidRPr="0011033A" w:rsidRDefault="000F1318" w:rsidP="00FF465B">
      <w:pPr>
        <w:keepNext/>
        <w:keepLines/>
        <w:widowControl/>
        <w:tabs>
          <w:tab w:val="left" w:pos="5040"/>
        </w:tabs>
        <w:ind w:left="5040"/>
        <w:contextualSpacing/>
        <w:rPr>
          <w:sz w:val="26"/>
          <w:szCs w:val="26"/>
        </w:rPr>
      </w:pPr>
    </w:p>
    <w:p w14:paraId="200B7E4F" w14:textId="4A5EFE12" w:rsidR="000F1318" w:rsidRPr="0011033A" w:rsidRDefault="000F1318" w:rsidP="00FF465B">
      <w:pPr>
        <w:keepNext/>
        <w:keepLines/>
        <w:widowControl/>
        <w:tabs>
          <w:tab w:val="left" w:pos="5040"/>
        </w:tabs>
        <w:ind w:left="5040"/>
        <w:contextualSpacing/>
        <w:rPr>
          <w:sz w:val="26"/>
          <w:szCs w:val="26"/>
        </w:rPr>
      </w:pPr>
    </w:p>
    <w:p w14:paraId="73F952F2" w14:textId="0A720C94" w:rsidR="00600F6F" w:rsidRPr="0011033A" w:rsidRDefault="00600F6F" w:rsidP="00FF465B">
      <w:pPr>
        <w:keepNext/>
        <w:keepLines/>
        <w:widowControl/>
        <w:tabs>
          <w:tab w:val="left" w:pos="5040"/>
        </w:tabs>
        <w:ind w:left="5040"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Rosemary Chiavetta</w:t>
      </w:r>
    </w:p>
    <w:p w14:paraId="3EEFFB3C" w14:textId="188200EC" w:rsidR="000F1318" w:rsidRPr="0011033A" w:rsidRDefault="000F1318" w:rsidP="00FF465B">
      <w:pPr>
        <w:widowControl/>
        <w:tabs>
          <w:tab w:val="left" w:pos="5040"/>
        </w:tabs>
        <w:ind w:left="5040"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Secretary</w:t>
      </w:r>
    </w:p>
    <w:p w14:paraId="1786073D" w14:textId="77777777" w:rsidR="000F1318" w:rsidRPr="0011033A" w:rsidRDefault="000F1318" w:rsidP="00FF465B">
      <w:pPr>
        <w:widowControl/>
        <w:contextualSpacing/>
        <w:rPr>
          <w:sz w:val="26"/>
          <w:szCs w:val="26"/>
        </w:rPr>
      </w:pPr>
    </w:p>
    <w:p w14:paraId="0BD06BDB" w14:textId="0A9146B2" w:rsidR="00364F96" w:rsidRPr="0011033A" w:rsidRDefault="00364F96" w:rsidP="00FF465B">
      <w:pPr>
        <w:widowControl/>
        <w:contextualSpacing/>
        <w:rPr>
          <w:sz w:val="26"/>
          <w:szCs w:val="26"/>
        </w:rPr>
      </w:pPr>
    </w:p>
    <w:p w14:paraId="55C668FB" w14:textId="088291F6" w:rsidR="000F1318" w:rsidRPr="0011033A" w:rsidRDefault="000F1318" w:rsidP="00FF465B">
      <w:pPr>
        <w:widowControl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(SEAL)</w:t>
      </w:r>
    </w:p>
    <w:p w14:paraId="37B63668" w14:textId="6A63B95F" w:rsidR="000F1318" w:rsidRDefault="000F1318" w:rsidP="00FF465B">
      <w:pPr>
        <w:widowControl/>
        <w:contextualSpacing/>
        <w:rPr>
          <w:sz w:val="26"/>
          <w:szCs w:val="26"/>
        </w:rPr>
      </w:pPr>
    </w:p>
    <w:p w14:paraId="51EC0184" w14:textId="3107AA2B" w:rsidR="0019007E" w:rsidRPr="0019007E" w:rsidRDefault="0019007E" w:rsidP="00FF465B">
      <w:pPr>
        <w:widowControl/>
        <w:contextualSpacing/>
        <w:rPr>
          <w:sz w:val="26"/>
          <w:szCs w:val="26"/>
        </w:rPr>
      </w:pPr>
      <w:r w:rsidRPr="0019007E">
        <w:rPr>
          <w:sz w:val="26"/>
          <w:szCs w:val="26"/>
        </w:rPr>
        <w:t xml:space="preserve">ORDER ADOPTED:  </w:t>
      </w:r>
      <w:r w:rsidR="00235830">
        <w:rPr>
          <w:sz w:val="26"/>
          <w:szCs w:val="26"/>
        </w:rPr>
        <w:t>August 27,</w:t>
      </w:r>
      <w:r>
        <w:rPr>
          <w:sz w:val="26"/>
          <w:szCs w:val="26"/>
        </w:rPr>
        <w:t xml:space="preserve"> 2020</w:t>
      </w:r>
    </w:p>
    <w:p w14:paraId="0ECB728B" w14:textId="55C999F4" w:rsidR="0019007E" w:rsidRDefault="0019007E" w:rsidP="00FF465B">
      <w:pPr>
        <w:widowControl/>
        <w:contextualSpacing/>
        <w:rPr>
          <w:sz w:val="26"/>
          <w:szCs w:val="26"/>
        </w:rPr>
      </w:pPr>
    </w:p>
    <w:p w14:paraId="3A4BE529" w14:textId="27EDC7AF" w:rsidR="000F1318" w:rsidRPr="0011033A" w:rsidRDefault="00F248A4" w:rsidP="00FF465B">
      <w:pPr>
        <w:widowControl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ORDER</w:t>
      </w:r>
      <w:r w:rsidR="00F164C0">
        <w:rPr>
          <w:sz w:val="26"/>
          <w:szCs w:val="26"/>
        </w:rPr>
        <w:t xml:space="preserve"> ENTERED:</w:t>
      </w:r>
      <w:r w:rsidR="00FB7660">
        <w:rPr>
          <w:sz w:val="26"/>
          <w:szCs w:val="26"/>
        </w:rPr>
        <w:t xml:space="preserve"> </w:t>
      </w:r>
      <w:r w:rsidR="0068108A">
        <w:rPr>
          <w:sz w:val="26"/>
          <w:szCs w:val="26"/>
        </w:rPr>
        <w:t xml:space="preserve"> </w:t>
      </w:r>
      <w:r w:rsidR="00FB381E">
        <w:rPr>
          <w:sz w:val="26"/>
          <w:szCs w:val="26"/>
        </w:rPr>
        <w:t>August 27, 2020</w:t>
      </w:r>
    </w:p>
    <w:p w14:paraId="68F86D29" w14:textId="50FCF9C0" w:rsidR="00F272E7" w:rsidRPr="0011033A" w:rsidRDefault="00F272E7" w:rsidP="001A52BC">
      <w:pPr>
        <w:widowControl/>
        <w:contextualSpacing/>
        <w:rPr>
          <w:b/>
          <w:sz w:val="26"/>
        </w:rPr>
      </w:pPr>
    </w:p>
    <w:sectPr w:rsidR="00F272E7" w:rsidRPr="0011033A" w:rsidSect="00864716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FA079" w14:textId="77777777" w:rsidR="00ED2675" w:rsidRDefault="00ED2675">
      <w:r>
        <w:separator/>
      </w:r>
    </w:p>
  </w:endnote>
  <w:endnote w:type="continuationSeparator" w:id="0">
    <w:p w14:paraId="5C25DCBD" w14:textId="77777777" w:rsidR="00ED2675" w:rsidRDefault="00ED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DCA84" w14:textId="77777777"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BEEE83" w14:textId="77777777"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2ED50" w14:textId="50D3BCF2"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0910CE">
      <w:rPr>
        <w:rStyle w:val="PageNumber"/>
        <w:noProof/>
        <w:sz w:val="26"/>
      </w:rPr>
      <w:t>7</w:t>
    </w:r>
    <w:r w:rsidRPr="00C7667D">
      <w:rPr>
        <w:rStyle w:val="PageNumber"/>
        <w:sz w:val="26"/>
      </w:rPr>
      <w:fldChar w:fldCharType="end"/>
    </w:r>
  </w:p>
  <w:p w14:paraId="3786ECFB" w14:textId="77777777"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30007" w14:textId="77777777" w:rsidR="00ED2675" w:rsidRDefault="00ED2675">
      <w:r>
        <w:separator/>
      </w:r>
    </w:p>
  </w:footnote>
  <w:footnote w:type="continuationSeparator" w:id="0">
    <w:p w14:paraId="3CCC6957" w14:textId="77777777" w:rsidR="00ED2675" w:rsidRDefault="00ED2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E442C4"/>
    <w:multiLevelType w:val="hybridMultilevel"/>
    <w:tmpl w:val="5C021DB8"/>
    <w:lvl w:ilvl="0" w:tplc="4A504AF0">
      <w:start w:val="2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5" w15:restartNumberingAfterBreak="0">
    <w:nsid w:val="5FBD22D4"/>
    <w:multiLevelType w:val="hybridMultilevel"/>
    <w:tmpl w:val="9A240634"/>
    <w:lvl w:ilvl="0" w:tplc="B68835A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90"/>
    <w:rsid w:val="00000173"/>
    <w:rsid w:val="0000103F"/>
    <w:rsid w:val="00002348"/>
    <w:rsid w:val="00002CE4"/>
    <w:rsid w:val="00002F2A"/>
    <w:rsid w:val="00002F49"/>
    <w:rsid w:val="000038D3"/>
    <w:rsid w:val="00003A05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4629"/>
    <w:rsid w:val="000158F2"/>
    <w:rsid w:val="00015A01"/>
    <w:rsid w:val="00020552"/>
    <w:rsid w:val="00020E43"/>
    <w:rsid w:val="00021761"/>
    <w:rsid w:val="00022D45"/>
    <w:rsid w:val="00023536"/>
    <w:rsid w:val="0002355F"/>
    <w:rsid w:val="000310BE"/>
    <w:rsid w:val="000320BB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0F0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77382"/>
    <w:rsid w:val="00080CCC"/>
    <w:rsid w:val="0008328F"/>
    <w:rsid w:val="00084DB9"/>
    <w:rsid w:val="00086D0B"/>
    <w:rsid w:val="00087D18"/>
    <w:rsid w:val="0009007E"/>
    <w:rsid w:val="00090AF0"/>
    <w:rsid w:val="000910CE"/>
    <w:rsid w:val="000913B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6ADC"/>
    <w:rsid w:val="000A748C"/>
    <w:rsid w:val="000A7DDC"/>
    <w:rsid w:val="000A7F96"/>
    <w:rsid w:val="000B2B80"/>
    <w:rsid w:val="000B465F"/>
    <w:rsid w:val="000B4DDA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415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033A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3D28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163E"/>
    <w:rsid w:val="00172950"/>
    <w:rsid w:val="00172C4A"/>
    <w:rsid w:val="001730AD"/>
    <w:rsid w:val="001738D5"/>
    <w:rsid w:val="00175722"/>
    <w:rsid w:val="00175B2F"/>
    <w:rsid w:val="00177A43"/>
    <w:rsid w:val="00177ACE"/>
    <w:rsid w:val="001827DB"/>
    <w:rsid w:val="00185B5E"/>
    <w:rsid w:val="00186183"/>
    <w:rsid w:val="00186887"/>
    <w:rsid w:val="0019007E"/>
    <w:rsid w:val="00192EBC"/>
    <w:rsid w:val="00193D64"/>
    <w:rsid w:val="00196484"/>
    <w:rsid w:val="001967BB"/>
    <w:rsid w:val="00196BDC"/>
    <w:rsid w:val="00197F3D"/>
    <w:rsid w:val="001A29C7"/>
    <w:rsid w:val="001A4A0C"/>
    <w:rsid w:val="001A52B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420E"/>
    <w:rsid w:val="001C4A70"/>
    <w:rsid w:val="001C53B1"/>
    <w:rsid w:val="001C730F"/>
    <w:rsid w:val="001C7C12"/>
    <w:rsid w:val="001D11B8"/>
    <w:rsid w:val="001D266F"/>
    <w:rsid w:val="001D2BAD"/>
    <w:rsid w:val="001D3C8C"/>
    <w:rsid w:val="001D51B5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0542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639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5830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B99"/>
    <w:rsid w:val="00264FEB"/>
    <w:rsid w:val="00266827"/>
    <w:rsid w:val="0027071C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4750"/>
    <w:rsid w:val="00284ACE"/>
    <w:rsid w:val="00285550"/>
    <w:rsid w:val="00285919"/>
    <w:rsid w:val="0028615A"/>
    <w:rsid w:val="00286F7C"/>
    <w:rsid w:val="00287BE6"/>
    <w:rsid w:val="0029043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7F4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B07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0B3"/>
    <w:rsid w:val="00312E08"/>
    <w:rsid w:val="003143DF"/>
    <w:rsid w:val="003158CE"/>
    <w:rsid w:val="003159BD"/>
    <w:rsid w:val="00316BFA"/>
    <w:rsid w:val="003177A0"/>
    <w:rsid w:val="003211A5"/>
    <w:rsid w:val="003218DD"/>
    <w:rsid w:val="00322A65"/>
    <w:rsid w:val="00324A63"/>
    <w:rsid w:val="00324FDF"/>
    <w:rsid w:val="003255BF"/>
    <w:rsid w:val="00326A17"/>
    <w:rsid w:val="003336F9"/>
    <w:rsid w:val="00337DFD"/>
    <w:rsid w:val="00340C45"/>
    <w:rsid w:val="00343BD1"/>
    <w:rsid w:val="00345135"/>
    <w:rsid w:val="00347B63"/>
    <w:rsid w:val="00350145"/>
    <w:rsid w:val="00353BD2"/>
    <w:rsid w:val="00353E07"/>
    <w:rsid w:val="003550FF"/>
    <w:rsid w:val="003551C4"/>
    <w:rsid w:val="00356711"/>
    <w:rsid w:val="0036013A"/>
    <w:rsid w:val="00360D84"/>
    <w:rsid w:val="003625EF"/>
    <w:rsid w:val="0036428E"/>
    <w:rsid w:val="003649FA"/>
    <w:rsid w:val="00364C2A"/>
    <w:rsid w:val="00364F96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323C"/>
    <w:rsid w:val="00394901"/>
    <w:rsid w:val="00395B94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5892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1A4B"/>
    <w:rsid w:val="003C344E"/>
    <w:rsid w:val="003C4355"/>
    <w:rsid w:val="003C5CBD"/>
    <w:rsid w:val="003C61AD"/>
    <w:rsid w:val="003D1299"/>
    <w:rsid w:val="003D234C"/>
    <w:rsid w:val="003D4436"/>
    <w:rsid w:val="003D4638"/>
    <w:rsid w:val="003D509A"/>
    <w:rsid w:val="003D5612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3715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275F4"/>
    <w:rsid w:val="00433069"/>
    <w:rsid w:val="004337A1"/>
    <w:rsid w:val="00437F57"/>
    <w:rsid w:val="0044194A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1166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84B"/>
    <w:rsid w:val="00473CA5"/>
    <w:rsid w:val="00473EA0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291D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839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56D"/>
    <w:rsid w:val="00500B53"/>
    <w:rsid w:val="00501313"/>
    <w:rsid w:val="00501A2A"/>
    <w:rsid w:val="005024A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4B3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B6C"/>
    <w:rsid w:val="00543E4D"/>
    <w:rsid w:val="00544F99"/>
    <w:rsid w:val="005455AB"/>
    <w:rsid w:val="00545FB5"/>
    <w:rsid w:val="0055184D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3880"/>
    <w:rsid w:val="005E6F70"/>
    <w:rsid w:val="005F3729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2BDE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17FD4"/>
    <w:rsid w:val="006209DD"/>
    <w:rsid w:val="0062143F"/>
    <w:rsid w:val="00625036"/>
    <w:rsid w:val="00625C7F"/>
    <w:rsid w:val="006301EB"/>
    <w:rsid w:val="0063290C"/>
    <w:rsid w:val="00634133"/>
    <w:rsid w:val="0063425C"/>
    <w:rsid w:val="00634715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77F6B"/>
    <w:rsid w:val="0068108A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94DFF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41EB"/>
    <w:rsid w:val="006B54BB"/>
    <w:rsid w:val="006B6994"/>
    <w:rsid w:val="006B6F21"/>
    <w:rsid w:val="006B7130"/>
    <w:rsid w:val="006C0C94"/>
    <w:rsid w:val="006C2A53"/>
    <w:rsid w:val="006C48BC"/>
    <w:rsid w:val="006C4B3A"/>
    <w:rsid w:val="006C5BFF"/>
    <w:rsid w:val="006C5DAF"/>
    <w:rsid w:val="006D16EE"/>
    <w:rsid w:val="006D1987"/>
    <w:rsid w:val="006D1F59"/>
    <w:rsid w:val="006D3169"/>
    <w:rsid w:val="006D3F69"/>
    <w:rsid w:val="006D44CC"/>
    <w:rsid w:val="006E05E8"/>
    <w:rsid w:val="006E0927"/>
    <w:rsid w:val="006E169E"/>
    <w:rsid w:val="006E26F2"/>
    <w:rsid w:val="006E37C1"/>
    <w:rsid w:val="006E40D4"/>
    <w:rsid w:val="006E4730"/>
    <w:rsid w:val="006E7EAD"/>
    <w:rsid w:val="006F0316"/>
    <w:rsid w:val="006F1FC8"/>
    <w:rsid w:val="006F240E"/>
    <w:rsid w:val="006F35C0"/>
    <w:rsid w:val="006F381F"/>
    <w:rsid w:val="006F3A31"/>
    <w:rsid w:val="006F3BFD"/>
    <w:rsid w:val="006F4482"/>
    <w:rsid w:val="006F4CBF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1109"/>
    <w:rsid w:val="00713260"/>
    <w:rsid w:val="007143E1"/>
    <w:rsid w:val="00714B3B"/>
    <w:rsid w:val="00714CF1"/>
    <w:rsid w:val="00715EC5"/>
    <w:rsid w:val="007161EE"/>
    <w:rsid w:val="00717887"/>
    <w:rsid w:val="00717AA2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1FA"/>
    <w:rsid w:val="00772F48"/>
    <w:rsid w:val="007736BA"/>
    <w:rsid w:val="00774394"/>
    <w:rsid w:val="0077505E"/>
    <w:rsid w:val="00775B33"/>
    <w:rsid w:val="00775F8A"/>
    <w:rsid w:val="0077600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08A5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4716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44F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B7390"/>
    <w:rsid w:val="008C1B0A"/>
    <w:rsid w:val="008C2078"/>
    <w:rsid w:val="008C4D02"/>
    <w:rsid w:val="008C520E"/>
    <w:rsid w:val="008C5CA5"/>
    <w:rsid w:val="008C7368"/>
    <w:rsid w:val="008C73D6"/>
    <w:rsid w:val="008D0AE2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2E38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19A6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02FC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0F2"/>
    <w:rsid w:val="009825C9"/>
    <w:rsid w:val="00982FE8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C5408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68"/>
    <w:rsid w:val="009E3FAC"/>
    <w:rsid w:val="009E5351"/>
    <w:rsid w:val="009E5378"/>
    <w:rsid w:val="009E56B4"/>
    <w:rsid w:val="009E6D68"/>
    <w:rsid w:val="009F029A"/>
    <w:rsid w:val="009F0DA4"/>
    <w:rsid w:val="009F28C9"/>
    <w:rsid w:val="009F43C3"/>
    <w:rsid w:val="009F4C6E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480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71D"/>
    <w:rsid w:val="00A72F5E"/>
    <w:rsid w:val="00A7322E"/>
    <w:rsid w:val="00A73FFB"/>
    <w:rsid w:val="00A74A7D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6E4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0C90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C99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360E"/>
    <w:rsid w:val="00B04D8B"/>
    <w:rsid w:val="00B06497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4D4E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156"/>
    <w:rsid w:val="00B562F0"/>
    <w:rsid w:val="00B56E5D"/>
    <w:rsid w:val="00B60F8C"/>
    <w:rsid w:val="00B6365C"/>
    <w:rsid w:val="00B70517"/>
    <w:rsid w:val="00B7154E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6562"/>
    <w:rsid w:val="00B875C0"/>
    <w:rsid w:val="00B9185F"/>
    <w:rsid w:val="00B922CA"/>
    <w:rsid w:val="00B95925"/>
    <w:rsid w:val="00B96A3D"/>
    <w:rsid w:val="00B97DB4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971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32D7"/>
    <w:rsid w:val="00C26422"/>
    <w:rsid w:val="00C26C7C"/>
    <w:rsid w:val="00C3257B"/>
    <w:rsid w:val="00C3269F"/>
    <w:rsid w:val="00C3288D"/>
    <w:rsid w:val="00C342DB"/>
    <w:rsid w:val="00C40EF8"/>
    <w:rsid w:val="00C42785"/>
    <w:rsid w:val="00C45243"/>
    <w:rsid w:val="00C4681F"/>
    <w:rsid w:val="00C50B7A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4A55"/>
    <w:rsid w:val="00C65356"/>
    <w:rsid w:val="00C65A41"/>
    <w:rsid w:val="00C67C95"/>
    <w:rsid w:val="00C67EE6"/>
    <w:rsid w:val="00C70497"/>
    <w:rsid w:val="00C70D5A"/>
    <w:rsid w:val="00C71284"/>
    <w:rsid w:val="00C712D7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6096"/>
    <w:rsid w:val="00C967F4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B6472"/>
    <w:rsid w:val="00CC04CB"/>
    <w:rsid w:val="00CC14C4"/>
    <w:rsid w:val="00CC4EAB"/>
    <w:rsid w:val="00CC5527"/>
    <w:rsid w:val="00CD1AAC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198"/>
    <w:rsid w:val="00CE186F"/>
    <w:rsid w:val="00CE23AA"/>
    <w:rsid w:val="00CE2B42"/>
    <w:rsid w:val="00CE319B"/>
    <w:rsid w:val="00CE40E3"/>
    <w:rsid w:val="00CE4A86"/>
    <w:rsid w:val="00CE4CAE"/>
    <w:rsid w:val="00CE515F"/>
    <w:rsid w:val="00CE55DA"/>
    <w:rsid w:val="00CE624C"/>
    <w:rsid w:val="00CE69C0"/>
    <w:rsid w:val="00CF38F4"/>
    <w:rsid w:val="00CF44B5"/>
    <w:rsid w:val="00CF5879"/>
    <w:rsid w:val="00CF5FD5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0BD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23F1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5AF1"/>
    <w:rsid w:val="00D4655A"/>
    <w:rsid w:val="00D46A93"/>
    <w:rsid w:val="00D50EE4"/>
    <w:rsid w:val="00D51945"/>
    <w:rsid w:val="00D51A71"/>
    <w:rsid w:val="00D522BB"/>
    <w:rsid w:val="00D53045"/>
    <w:rsid w:val="00D5474F"/>
    <w:rsid w:val="00D55056"/>
    <w:rsid w:val="00D5724D"/>
    <w:rsid w:val="00D61635"/>
    <w:rsid w:val="00D61C23"/>
    <w:rsid w:val="00D626A9"/>
    <w:rsid w:val="00D628C5"/>
    <w:rsid w:val="00D63DB5"/>
    <w:rsid w:val="00D7066E"/>
    <w:rsid w:val="00D7078F"/>
    <w:rsid w:val="00D72BC6"/>
    <w:rsid w:val="00D74447"/>
    <w:rsid w:val="00D75ABC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3CD4"/>
    <w:rsid w:val="00D94CBE"/>
    <w:rsid w:val="00D9594F"/>
    <w:rsid w:val="00D97AB4"/>
    <w:rsid w:val="00DA3E5A"/>
    <w:rsid w:val="00DA3FEA"/>
    <w:rsid w:val="00DA5B39"/>
    <w:rsid w:val="00DA6CA4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69A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16C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5971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199"/>
    <w:rsid w:val="00E743CA"/>
    <w:rsid w:val="00E7534B"/>
    <w:rsid w:val="00E76F0F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74"/>
    <w:rsid w:val="00E85DC4"/>
    <w:rsid w:val="00E86E77"/>
    <w:rsid w:val="00E907C3"/>
    <w:rsid w:val="00E9272A"/>
    <w:rsid w:val="00E94FED"/>
    <w:rsid w:val="00E952A1"/>
    <w:rsid w:val="00E95491"/>
    <w:rsid w:val="00E95F0D"/>
    <w:rsid w:val="00E966E3"/>
    <w:rsid w:val="00E968B2"/>
    <w:rsid w:val="00E96FC9"/>
    <w:rsid w:val="00EA12AE"/>
    <w:rsid w:val="00EA1B47"/>
    <w:rsid w:val="00EA1C91"/>
    <w:rsid w:val="00EA3E28"/>
    <w:rsid w:val="00EA4B71"/>
    <w:rsid w:val="00EA4EBA"/>
    <w:rsid w:val="00EA6567"/>
    <w:rsid w:val="00EA79E3"/>
    <w:rsid w:val="00EB24BD"/>
    <w:rsid w:val="00EB40AE"/>
    <w:rsid w:val="00EB51CF"/>
    <w:rsid w:val="00EB70CC"/>
    <w:rsid w:val="00EC0156"/>
    <w:rsid w:val="00EC18D0"/>
    <w:rsid w:val="00EC4AB0"/>
    <w:rsid w:val="00EC56D6"/>
    <w:rsid w:val="00EC5EF0"/>
    <w:rsid w:val="00EC702F"/>
    <w:rsid w:val="00EC7841"/>
    <w:rsid w:val="00ED0782"/>
    <w:rsid w:val="00ED0DB6"/>
    <w:rsid w:val="00ED1ED0"/>
    <w:rsid w:val="00ED250C"/>
    <w:rsid w:val="00ED2675"/>
    <w:rsid w:val="00ED270B"/>
    <w:rsid w:val="00ED3C7F"/>
    <w:rsid w:val="00ED46F3"/>
    <w:rsid w:val="00ED76C6"/>
    <w:rsid w:val="00ED785A"/>
    <w:rsid w:val="00ED7D8E"/>
    <w:rsid w:val="00ED7F27"/>
    <w:rsid w:val="00EE018C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4BB"/>
    <w:rsid w:val="00F10C02"/>
    <w:rsid w:val="00F10EEE"/>
    <w:rsid w:val="00F147F9"/>
    <w:rsid w:val="00F15724"/>
    <w:rsid w:val="00F15A5B"/>
    <w:rsid w:val="00F164C0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283A"/>
    <w:rsid w:val="00F62997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0F63"/>
    <w:rsid w:val="00F814EE"/>
    <w:rsid w:val="00F8156C"/>
    <w:rsid w:val="00F8487F"/>
    <w:rsid w:val="00F86AFF"/>
    <w:rsid w:val="00F873C6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283B"/>
    <w:rsid w:val="00FB381E"/>
    <w:rsid w:val="00FB434F"/>
    <w:rsid w:val="00FB4C38"/>
    <w:rsid w:val="00FB65AC"/>
    <w:rsid w:val="00FB6BCF"/>
    <w:rsid w:val="00FB7660"/>
    <w:rsid w:val="00FB7B78"/>
    <w:rsid w:val="00FC14C8"/>
    <w:rsid w:val="00FC16EC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D5F4F"/>
    <w:rsid w:val="00FE0C89"/>
    <w:rsid w:val="00FE3446"/>
    <w:rsid w:val="00FE4072"/>
    <w:rsid w:val="00FE4AD9"/>
    <w:rsid w:val="00FF0555"/>
    <w:rsid w:val="00FF1289"/>
    <w:rsid w:val="00FF465B"/>
    <w:rsid w:val="00FF4CF7"/>
    <w:rsid w:val="00FF4F7F"/>
    <w:rsid w:val="00FF5527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1C5DFC8"/>
  <w15:docId w15:val="{B866CF91-EAFA-49DF-A02E-FEED14C3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8B73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56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D150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50BD"/>
  </w:style>
  <w:style w:type="character" w:customStyle="1" w:styleId="CommentTextChar">
    <w:name w:val="Comment Text Char"/>
    <w:basedOn w:val="DefaultParagraphFont"/>
    <w:link w:val="CommentText"/>
    <w:semiHidden/>
    <w:rsid w:val="00D150B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5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50B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8B73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3567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6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763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27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42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87844">
                                  <w:blockQuote w:val="1"/>
                                  <w:marLeft w:val="600"/>
                                  <w:marRight w:val="60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15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1907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25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5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72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6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8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51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19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38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01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4fb94d70c45dd99d5b8328469187d07f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d95a69ae3d7415d1a9771da4d6e4d94e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7685-F831-45A4-B217-0F41E04792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9D4209-7AEE-4BB3-8C8F-D1606C1E9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032A6-DB73-41D8-B2DE-09E9BC47EF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094DC3-E497-4CD1-8702-2596B714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Wagner, Nathan R</cp:lastModifiedBy>
  <cp:revision>2</cp:revision>
  <cp:lastPrinted>2014-01-09T12:16:00Z</cp:lastPrinted>
  <dcterms:created xsi:type="dcterms:W3CDTF">2020-08-27T14:49:00Z</dcterms:created>
  <dcterms:modified xsi:type="dcterms:W3CDTF">2020-08-27T14:49:00Z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