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A3A14" w14:textId="77777777" w:rsidR="00B6362E" w:rsidRPr="0028639A" w:rsidRDefault="00B6362E" w:rsidP="00B6362E">
      <w:pPr>
        <w:widowControl/>
        <w:tabs>
          <w:tab w:val="center" w:pos="4680"/>
        </w:tabs>
        <w:suppressAutoHyphens/>
        <w:jc w:val="center"/>
        <w:rPr>
          <w:b/>
          <w:szCs w:val="26"/>
        </w:rPr>
      </w:pPr>
      <w:r w:rsidRPr="0028639A">
        <w:rPr>
          <w:b/>
          <w:szCs w:val="26"/>
        </w:rPr>
        <w:t>PENNSYLVANIA</w:t>
      </w:r>
    </w:p>
    <w:p w14:paraId="0F22F479" w14:textId="77777777" w:rsidR="00B6362E" w:rsidRPr="0028639A" w:rsidRDefault="00B6362E" w:rsidP="00B6362E">
      <w:pPr>
        <w:widowControl/>
        <w:tabs>
          <w:tab w:val="center" w:pos="4680"/>
        </w:tabs>
        <w:suppressAutoHyphens/>
        <w:jc w:val="center"/>
        <w:rPr>
          <w:szCs w:val="26"/>
        </w:rPr>
      </w:pPr>
      <w:r w:rsidRPr="0028639A">
        <w:rPr>
          <w:b/>
          <w:szCs w:val="26"/>
        </w:rPr>
        <w:t>PUBLIC UTILITY COMMISSION</w:t>
      </w:r>
    </w:p>
    <w:p w14:paraId="4B098C50" w14:textId="77777777" w:rsidR="00B6362E" w:rsidRPr="0028639A" w:rsidRDefault="00B6362E" w:rsidP="00B6362E">
      <w:pPr>
        <w:widowControl/>
        <w:tabs>
          <w:tab w:val="center" w:pos="4680"/>
        </w:tabs>
        <w:suppressAutoHyphens/>
        <w:jc w:val="center"/>
        <w:rPr>
          <w:szCs w:val="26"/>
        </w:rPr>
      </w:pPr>
      <w:r w:rsidRPr="0028639A">
        <w:rPr>
          <w:b/>
          <w:szCs w:val="26"/>
        </w:rPr>
        <w:t>Harrisburg, PA 171</w:t>
      </w:r>
      <w:r w:rsidRPr="00FB06A6">
        <w:rPr>
          <w:b/>
          <w:bCs/>
          <w:szCs w:val="26"/>
        </w:rPr>
        <w:t>20</w:t>
      </w:r>
    </w:p>
    <w:p w14:paraId="4858C868" w14:textId="11FA30CF" w:rsidR="00B6362E" w:rsidRDefault="00B6362E" w:rsidP="00B6362E">
      <w:pPr>
        <w:widowControl/>
        <w:spacing w:line="360" w:lineRule="auto"/>
        <w:rPr>
          <w:szCs w:val="26"/>
        </w:rPr>
      </w:pPr>
    </w:p>
    <w:p w14:paraId="462F2AB3" w14:textId="77777777" w:rsidR="002E4893" w:rsidRPr="0028639A" w:rsidRDefault="002E4893" w:rsidP="00B6362E">
      <w:pPr>
        <w:widowControl/>
        <w:spacing w:line="360" w:lineRule="auto"/>
        <w:rPr>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B6362E" w:rsidRPr="0028639A" w14:paraId="65823B02" w14:textId="77777777" w:rsidTr="004203A9">
        <w:tc>
          <w:tcPr>
            <w:tcW w:w="4950" w:type="dxa"/>
          </w:tcPr>
          <w:p w14:paraId="110D147A" w14:textId="77777777" w:rsidR="00B6362E" w:rsidRPr="0028639A" w:rsidRDefault="00B6362E" w:rsidP="004203A9">
            <w:pPr>
              <w:widowControl/>
              <w:rPr>
                <w:szCs w:val="26"/>
              </w:rPr>
            </w:pPr>
          </w:p>
        </w:tc>
        <w:tc>
          <w:tcPr>
            <w:tcW w:w="4590" w:type="dxa"/>
          </w:tcPr>
          <w:p w14:paraId="3DD745DE" w14:textId="4081D516" w:rsidR="00B6362E" w:rsidRPr="0028639A" w:rsidRDefault="00B6362E" w:rsidP="004203A9">
            <w:pPr>
              <w:widowControl/>
              <w:jc w:val="right"/>
              <w:rPr>
                <w:szCs w:val="26"/>
              </w:rPr>
            </w:pPr>
            <w:r w:rsidRPr="0028639A">
              <w:rPr>
                <w:szCs w:val="26"/>
              </w:rPr>
              <w:t xml:space="preserve">Public Meeting held </w:t>
            </w:r>
            <w:r>
              <w:rPr>
                <w:szCs w:val="26"/>
              </w:rPr>
              <w:t>August 27</w:t>
            </w:r>
            <w:r w:rsidRPr="0028639A">
              <w:rPr>
                <w:szCs w:val="26"/>
              </w:rPr>
              <w:t>, 20</w:t>
            </w:r>
            <w:r>
              <w:rPr>
                <w:szCs w:val="26"/>
              </w:rPr>
              <w:t>20</w:t>
            </w:r>
          </w:p>
          <w:p w14:paraId="476AC130" w14:textId="77777777" w:rsidR="00B6362E" w:rsidRPr="0028639A" w:rsidRDefault="00B6362E" w:rsidP="000368BE">
            <w:pPr>
              <w:widowControl/>
              <w:rPr>
                <w:szCs w:val="26"/>
              </w:rPr>
            </w:pPr>
          </w:p>
        </w:tc>
      </w:tr>
      <w:tr w:rsidR="00B6362E" w:rsidRPr="0028639A" w14:paraId="2D8163EE" w14:textId="77777777" w:rsidTr="004203A9">
        <w:tc>
          <w:tcPr>
            <w:tcW w:w="4950" w:type="dxa"/>
          </w:tcPr>
          <w:p w14:paraId="501E9D22" w14:textId="77777777" w:rsidR="00B6362E" w:rsidRPr="0028639A" w:rsidRDefault="00B6362E" w:rsidP="004203A9">
            <w:pPr>
              <w:widowControl/>
              <w:rPr>
                <w:szCs w:val="26"/>
              </w:rPr>
            </w:pPr>
            <w:r w:rsidRPr="0028639A">
              <w:rPr>
                <w:szCs w:val="26"/>
              </w:rPr>
              <w:t>Commissioners Present:</w:t>
            </w:r>
          </w:p>
          <w:p w14:paraId="417F0049" w14:textId="77777777" w:rsidR="00B6362E" w:rsidRPr="0028639A" w:rsidRDefault="00B6362E" w:rsidP="004203A9">
            <w:pPr>
              <w:widowControl/>
              <w:rPr>
                <w:szCs w:val="26"/>
              </w:rPr>
            </w:pPr>
          </w:p>
          <w:p w14:paraId="403ACFAE" w14:textId="77777777" w:rsidR="00B6362E" w:rsidRPr="0028639A" w:rsidRDefault="00B6362E" w:rsidP="004203A9">
            <w:pPr>
              <w:widowControl/>
              <w:tabs>
                <w:tab w:val="left" w:pos="705"/>
              </w:tabs>
              <w:ind w:firstLine="720"/>
              <w:rPr>
                <w:szCs w:val="26"/>
              </w:rPr>
            </w:pPr>
            <w:r w:rsidRPr="0028639A">
              <w:rPr>
                <w:szCs w:val="26"/>
              </w:rPr>
              <w:t xml:space="preserve">Gladys Brown </w:t>
            </w:r>
            <w:r w:rsidRPr="0028639A">
              <w:t>Dutrieuille</w:t>
            </w:r>
            <w:r w:rsidRPr="0028639A">
              <w:rPr>
                <w:szCs w:val="26"/>
              </w:rPr>
              <w:t>, Chairman</w:t>
            </w:r>
          </w:p>
          <w:p w14:paraId="2B3E13EA" w14:textId="77777777" w:rsidR="00B6362E" w:rsidRPr="0028639A" w:rsidRDefault="00B6362E" w:rsidP="004203A9">
            <w:pPr>
              <w:widowControl/>
              <w:tabs>
                <w:tab w:val="left" w:pos="705"/>
              </w:tabs>
              <w:ind w:firstLine="720"/>
              <w:rPr>
                <w:szCs w:val="26"/>
              </w:rPr>
            </w:pPr>
            <w:r w:rsidRPr="0028639A">
              <w:rPr>
                <w:szCs w:val="26"/>
              </w:rPr>
              <w:t>David W. Sweet, Vice Chairman</w:t>
            </w:r>
          </w:p>
          <w:p w14:paraId="078EB959" w14:textId="77777777" w:rsidR="00B6362E" w:rsidRDefault="00B6362E" w:rsidP="004203A9">
            <w:pPr>
              <w:widowControl/>
              <w:tabs>
                <w:tab w:val="left" w:pos="705"/>
              </w:tabs>
              <w:ind w:firstLine="720"/>
              <w:rPr>
                <w:szCs w:val="26"/>
              </w:rPr>
            </w:pPr>
            <w:r w:rsidRPr="0028639A">
              <w:rPr>
                <w:szCs w:val="26"/>
              </w:rPr>
              <w:t>John F. Coleman, Jr.</w:t>
            </w:r>
          </w:p>
          <w:p w14:paraId="09694DCC" w14:textId="77777777" w:rsidR="00B6362E" w:rsidRPr="0028639A" w:rsidRDefault="00B6362E" w:rsidP="004203A9">
            <w:pPr>
              <w:widowControl/>
              <w:tabs>
                <w:tab w:val="left" w:pos="705"/>
              </w:tabs>
              <w:ind w:firstLine="720"/>
              <w:rPr>
                <w:szCs w:val="26"/>
              </w:rPr>
            </w:pPr>
            <w:r>
              <w:rPr>
                <w:szCs w:val="26"/>
              </w:rPr>
              <w:t>Ralph V. Yanora</w:t>
            </w:r>
          </w:p>
          <w:p w14:paraId="27DA4302" w14:textId="77777777" w:rsidR="00B6362E" w:rsidRPr="0028639A" w:rsidRDefault="00B6362E" w:rsidP="004203A9">
            <w:pPr>
              <w:widowControl/>
              <w:tabs>
                <w:tab w:val="left" w:pos="705"/>
              </w:tabs>
              <w:ind w:firstLine="720"/>
              <w:rPr>
                <w:szCs w:val="26"/>
              </w:rPr>
            </w:pPr>
          </w:p>
          <w:p w14:paraId="7B496A88" w14:textId="77777777" w:rsidR="00B6362E" w:rsidRPr="0028639A" w:rsidRDefault="00B6362E" w:rsidP="004203A9">
            <w:pPr>
              <w:widowControl/>
              <w:rPr>
                <w:szCs w:val="26"/>
              </w:rPr>
            </w:pPr>
          </w:p>
        </w:tc>
        <w:tc>
          <w:tcPr>
            <w:tcW w:w="4590" w:type="dxa"/>
          </w:tcPr>
          <w:p w14:paraId="4A88D632" w14:textId="77777777" w:rsidR="00B6362E" w:rsidRPr="0028639A" w:rsidRDefault="00B6362E" w:rsidP="004203A9">
            <w:pPr>
              <w:widowControl/>
              <w:jc w:val="right"/>
              <w:rPr>
                <w:szCs w:val="26"/>
              </w:rPr>
            </w:pPr>
          </w:p>
          <w:p w14:paraId="7E8E207D" w14:textId="77777777" w:rsidR="00B6362E" w:rsidRPr="0028639A" w:rsidRDefault="00B6362E" w:rsidP="004203A9">
            <w:pPr>
              <w:widowControl/>
              <w:jc w:val="right"/>
              <w:rPr>
                <w:szCs w:val="26"/>
              </w:rPr>
            </w:pPr>
          </w:p>
        </w:tc>
      </w:tr>
      <w:tr w:rsidR="00B6362E" w:rsidRPr="0028639A" w14:paraId="3342473D" w14:textId="77777777" w:rsidTr="004203A9">
        <w:tc>
          <w:tcPr>
            <w:tcW w:w="4950" w:type="dxa"/>
          </w:tcPr>
          <w:p w14:paraId="57E37980" w14:textId="0A2B96BC" w:rsidR="00B6362E" w:rsidRPr="0028639A" w:rsidRDefault="00B6362E" w:rsidP="004203A9">
            <w:pPr>
              <w:widowControl/>
              <w:rPr>
                <w:szCs w:val="26"/>
              </w:rPr>
            </w:pPr>
            <w:r>
              <w:rPr>
                <w:szCs w:val="26"/>
              </w:rPr>
              <w:t>J</w:t>
            </w:r>
            <w:r>
              <w:t>effrey Smiles</w:t>
            </w:r>
          </w:p>
          <w:p w14:paraId="4CB90DBF" w14:textId="77777777" w:rsidR="00B6362E" w:rsidRPr="0028639A" w:rsidRDefault="00B6362E" w:rsidP="004203A9">
            <w:pPr>
              <w:widowControl/>
              <w:rPr>
                <w:szCs w:val="26"/>
              </w:rPr>
            </w:pPr>
          </w:p>
        </w:tc>
        <w:tc>
          <w:tcPr>
            <w:tcW w:w="4590" w:type="dxa"/>
          </w:tcPr>
          <w:p w14:paraId="725147F4" w14:textId="3CE75EEC" w:rsidR="00B6362E" w:rsidRPr="0028639A" w:rsidRDefault="00B6362E" w:rsidP="004203A9">
            <w:pPr>
              <w:widowControl/>
              <w:jc w:val="right"/>
              <w:rPr>
                <w:szCs w:val="26"/>
              </w:rPr>
            </w:pPr>
            <w:bookmarkStart w:id="0" w:name="_Hlk47712704"/>
            <w:r w:rsidRPr="0028639A">
              <w:rPr>
                <w:szCs w:val="26"/>
              </w:rPr>
              <w:t>C-201</w:t>
            </w:r>
            <w:r>
              <w:rPr>
                <w:szCs w:val="26"/>
              </w:rPr>
              <w:t>8-3003895</w:t>
            </w:r>
            <w:bookmarkEnd w:id="0"/>
          </w:p>
        </w:tc>
      </w:tr>
      <w:tr w:rsidR="00B6362E" w:rsidRPr="0028639A" w14:paraId="34ADD792" w14:textId="77777777" w:rsidTr="004203A9">
        <w:tc>
          <w:tcPr>
            <w:tcW w:w="4950" w:type="dxa"/>
          </w:tcPr>
          <w:p w14:paraId="10B3C2B5" w14:textId="77777777" w:rsidR="00B6362E" w:rsidRPr="0028639A" w:rsidRDefault="00B6362E" w:rsidP="004203A9">
            <w:pPr>
              <w:widowControl/>
              <w:ind w:firstLine="900"/>
              <w:rPr>
                <w:szCs w:val="26"/>
              </w:rPr>
            </w:pPr>
            <w:r w:rsidRPr="0028639A">
              <w:rPr>
                <w:szCs w:val="26"/>
              </w:rPr>
              <w:t>v.</w:t>
            </w:r>
          </w:p>
          <w:p w14:paraId="5B416189" w14:textId="77777777" w:rsidR="00B6362E" w:rsidRPr="0028639A" w:rsidRDefault="00B6362E" w:rsidP="004203A9">
            <w:pPr>
              <w:widowControl/>
              <w:ind w:firstLine="1440"/>
              <w:rPr>
                <w:szCs w:val="26"/>
              </w:rPr>
            </w:pPr>
          </w:p>
        </w:tc>
        <w:tc>
          <w:tcPr>
            <w:tcW w:w="4590" w:type="dxa"/>
          </w:tcPr>
          <w:p w14:paraId="76479F0E" w14:textId="77777777" w:rsidR="00B6362E" w:rsidRPr="0028639A" w:rsidRDefault="00B6362E" w:rsidP="004203A9">
            <w:pPr>
              <w:widowControl/>
              <w:rPr>
                <w:szCs w:val="26"/>
              </w:rPr>
            </w:pPr>
          </w:p>
        </w:tc>
      </w:tr>
      <w:tr w:rsidR="00B6362E" w:rsidRPr="0028639A" w14:paraId="6AE29C45" w14:textId="77777777" w:rsidTr="004203A9">
        <w:tc>
          <w:tcPr>
            <w:tcW w:w="4950" w:type="dxa"/>
          </w:tcPr>
          <w:p w14:paraId="0C33BCB5" w14:textId="77777777" w:rsidR="00B6362E" w:rsidRPr="0028639A" w:rsidRDefault="00B6362E" w:rsidP="004203A9">
            <w:pPr>
              <w:widowControl/>
              <w:rPr>
                <w:szCs w:val="26"/>
              </w:rPr>
            </w:pPr>
            <w:r w:rsidRPr="0028639A">
              <w:rPr>
                <w:szCs w:val="26"/>
              </w:rPr>
              <w:t>P</w:t>
            </w:r>
            <w:r>
              <w:rPr>
                <w:szCs w:val="26"/>
              </w:rPr>
              <w:t>PL Electric Utilities Corporation</w:t>
            </w:r>
          </w:p>
        </w:tc>
        <w:tc>
          <w:tcPr>
            <w:tcW w:w="4590" w:type="dxa"/>
          </w:tcPr>
          <w:p w14:paraId="37DB15DD" w14:textId="77777777" w:rsidR="00B6362E" w:rsidRPr="0028639A" w:rsidRDefault="00B6362E" w:rsidP="004203A9">
            <w:pPr>
              <w:widowControl/>
              <w:rPr>
                <w:szCs w:val="26"/>
              </w:rPr>
            </w:pPr>
          </w:p>
        </w:tc>
      </w:tr>
      <w:tr w:rsidR="000368BE" w:rsidRPr="0028639A" w14:paraId="101DF4DC" w14:textId="77777777" w:rsidTr="004203A9">
        <w:tc>
          <w:tcPr>
            <w:tcW w:w="4950" w:type="dxa"/>
          </w:tcPr>
          <w:p w14:paraId="47995FAD" w14:textId="77777777" w:rsidR="000368BE" w:rsidRPr="0028639A" w:rsidRDefault="000368BE" w:rsidP="004203A9">
            <w:pPr>
              <w:widowControl/>
              <w:rPr>
                <w:szCs w:val="26"/>
              </w:rPr>
            </w:pPr>
          </w:p>
        </w:tc>
        <w:tc>
          <w:tcPr>
            <w:tcW w:w="4590" w:type="dxa"/>
          </w:tcPr>
          <w:p w14:paraId="61F85D3E" w14:textId="77777777" w:rsidR="000368BE" w:rsidRPr="0028639A" w:rsidRDefault="000368BE" w:rsidP="004203A9">
            <w:pPr>
              <w:widowControl/>
              <w:rPr>
                <w:szCs w:val="26"/>
              </w:rPr>
            </w:pPr>
          </w:p>
        </w:tc>
      </w:tr>
    </w:tbl>
    <w:p w14:paraId="1291ECDE" w14:textId="77777777" w:rsidR="00B6362E" w:rsidRPr="0028639A" w:rsidRDefault="00B6362E" w:rsidP="00B6362E">
      <w:pPr>
        <w:widowControl/>
        <w:spacing w:line="360" w:lineRule="auto"/>
        <w:rPr>
          <w:szCs w:val="26"/>
        </w:rPr>
      </w:pPr>
    </w:p>
    <w:p w14:paraId="59528752" w14:textId="5CC8EA2B" w:rsidR="00B6362E" w:rsidRDefault="00B6362E" w:rsidP="000368BE">
      <w:pPr>
        <w:widowControl/>
        <w:tabs>
          <w:tab w:val="center" w:pos="4680"/>
        </w:tabs>
        <w:suppressAutoHyphens/>
        <w:spacing w:line="360" w:lineRule="auto"/>
        <w:jc w:val="center"/>
        <w:rPr>
          <w:b/>
        </w:rPr>
      </w:pPr>
      <w:r w:rsidRPr="0028639A">
        <w:rPr>
          <w:b/>
        </w:rPr>
        <w:t>OPINION AND ORDE</w:t>
      </w:r>
      <w:r>
        <w:rPr>
          <w:b/>
        </w:rPr>
        <w:t>R</w:t>
      </w:r>
    </w:p>
    <w:p w14:paraId="22CC60B8" w14:textId="77777777" w:rsidR="000368BE" w:rsidRDefault="000368BE" w:rsidP="000368BE">
      <w:pPr>
        <w:widowControl/>
        <w:tabs>
          <w:tab w:val="center" w:pos="4680"/>
        </w:tabs>
        <w:suppressAutoHyphens/>
        <w:spacing w:line="360" w:lineRule="auto"/>
        <w:jc w:val="center"/>
        <w:rPr>
          <w:b/>
        </w:rPr>
      </w:pPr>
    </w:p>
    <w:p w14:paraId="4E1E48B4" w14:textId="77777777" w:rsidR="00B6362E" w:rsidRPr="0028639A" w:rsidRDefault="00B6362E" w:rsidP="00B6362E">
      <w:pPr>
        <w:widowControl/>
        <w:tabs>
          <w:tab w:val="center" w:pos="4680"/>
        </w:tabs>
        <w:suppressAutoHyphens/>
        <w:spacing w:line="360" w:lineRule="auto"/>
      </w:pPr>
      <w:r w:rsidRPr="0028639A">
        <w:rPr>
          <w:b/>
        </w:rPr>
        <w:t>BY THE COMMISSION:</w:t>
      </w:r>
    </w:p>
    <w:p w14:paraId="7AD7FB27" w14:textId="77777777" w:rsidR="00B6362E" w:rsidRPr="0028639A" w:rsidRDefault="00B6362E" w:rsidP="00B6362E">
      <w:pPr>
        <w:widowControl/>
        <w:tabs>
          <w:tab w:val="left" w:pos="-720"/>
        </w:tabs>
        <w:suppressAutoHyphens/>
        <w:spacing w:line="360" w:lineRule="auto"/>
      </w:pPr>
    </w:p>
    <w:p w14:paraId="67A1F361" w14:textId="7F9A8B26" w:rsidR="00B6362E" w:rsidRDefault="00B6362E" w:rsidP="00DC27C8">
      <w:pPr>
        <w:widowControl/>
        <w:tabs>
          <w:tab w:val="left" w:pos="-720"/>
        </w:tabs>
        <w:suppressAutoHyphens/>
        <w:spacing w:line="360" w:lineRule="auto"/>
      </w:pPr>
      <w:r w:rsidRPr="0028639A">
        <w:tab/>
      </w:r>
      <w:r w:rsidRPr="0028639A">
        <w:tab/>
        <w:t xml:space="preserve">Before the Pennsylvania Public Utility Commission (Commission) for consideration and disposition </w:t>
      </w:r>
      <w:r>
        <w:t>are the following two documents filed</w:t>
      </w:r>
      <w:r w:rsidRPr="00B6362E">
        <w:t xml:space="preserve"> </w:t>
      </w:r>
      <w:r w:rsidRPr="0028639A">
        <w:t>by</w:t>
      </w:r>
      <w:r>
        <w:t xml:space="preserve"> Jeffrey Smiles </w:t>
      </w:r>
      <w:r w:rsidRPr="0028639A">
        <w:t>(</w:t>
      </w:r>
      <w:r w:rsidR="00407484">
        <w:t>Mr. Smiles</w:t>
      </w:r>
      <w:r w:rsidRPr="0028639A">
        <w:t xml:space="preserve">) on </w:t>
      </w:r>
      <w:r>
        <w:t>Au</w:t>
      </w:r>
      <w:r w:rsidRPr="00B6362E">
        <w:t>gust 1</w:t>
      </w:r>
      <w:r w:rsidR="00407484">
        <w:t>9</w:t>
      </w:r>
      <w:r w:rsidRPr="00B6362E">
        <w:t>, 2019</w:t>
      </w:r>
      <w:r>
        <w:t xml:space="preserve">, in the above-captioned proceeding: </w:t>
      </w:r>
      <w:r w:rsidR="003271B2">
        <w:t xml:space="preserve"> </w:t>
      </w:r>
      <w:r w:rsidR="00830A88">
        <w:t>(</w:t>
      </w:r>
      <w:r>
        <w:t>1) a</w:t>
      </w:r>
      <w:r w:rsidR="00E66183">
        <w:t xml:space="preserve"> document titled “Notice to the Court; Objection to Initial Decision Not Received</w:t>
      </w:r>
      <w:r>
        <w:t xml:space="preserve"> </w:t>
      </w:r>
      <w:r w:rsidR="00E66183">
        <w:t xml:space="preserve">and </w:t>
      </w:r>
      <w:r>
        <w:t>Petition for Rehearing and</w:t>
      </w:r>
      <w:r w:rsidR="00E66183">
        <w:t>/or</w:t>
      </w:r>
      <w:r>
        <w:t xml:space="preserve"> Reconsideration</w:t>
      </w:r>
      <w:r w:rsidR="00E66183">
        <w:t>”</w:t>
      </w:r>
      <w:r>
        <w:t xml:space="preserve"> (</w:t>
      </w:r>
      <w:r w:rsidR="00307A5B">
        <w:t>First Petition</w:t>
      </w:r>
      <w:r>
        <w:t>); and (2) a document tiled “Notice and Petition for Judicial Determination of Jurisdiction” (</w:t>
      </w:r>
      <w:r w:rsidR="0045762F">
        <w:t>Second Petition)</w:t>
      </w:r>
      <w:r w:rsidR="00A55C48">
        <w:t xml:space="preserve">.  </w:t>
      </w:r>
      <w:r w:rsidR="00407484">
        <w:t>PPL Electric Utilities Corporation (PPL</w:t>
      </w:r>
      <w:r w:rsidR="00B823F2">
        <w:t xml:space="preserve"> or Company</w:t>
      </w:r>
      <w:r w:rsidR="00407484">
        <w:t xml:space="preserve">) </w:t>
      </w:r>
      <w:r w:rsidR="00A55C48">
        <w:t xml:space="preserve">filed a separate Answer to each Petition </w:t>
      </w:r>
      <w:r w:rsidR="00407484">
        <w:t>on August 28, 2019</w:t>
      </w:r>
      <w:r w:rsidR="0045762F">
        <w:t>.</w:t>
      </w:r>
      <w:r w:rsidRPr="0028639A">
        <w:t xml:space="preserve"> </w:t>
      </w:r>
      <w:r w:rsidR="00DC27C8">
        <w:t xml:space="preserve"> </w:t>
      </w:r>
      <w:r w:rsidR="000C2267" w:rsidRPr="0028639A">
        <w:t>For the reasons discussed below, we shall</w:t>
      </w:r>
      <w:r w:rsidR="000C2267">
        <w:t xml:space="preserve"> </w:t>
      </w:r>
      <w:r w:rsidR="000C2267" w:rsidRPr="0028639A">
        <w:t>deny</w:t>
      </w:r>
      <w:r w:rsidR="006274D1">
        <w:t xml:space="preserve"> M</w:t>
      </w:r>
      <w:r w:rsidR="0008489C">
        <w:t>r. Smiles’</w:t>
      </w:r>
      <w:r w:rsidR="006274D1">
        <w:t xml:space="preserve"> </w:t>
      </w:r>
      <w:r w:rsidR="00464410">
        <w:t xml:space="preserve">First </w:t>
      </w:r>
      <w:r w:rsidR="00A55C48">
        <w:t xml:space="preserve">Petition </w:t>
      </w:r>
      <w:r w:rsidR="00464410">
        <w:t>and Second Petition</w:t>
      </w:r>
      <w:r w:rsidR="000C2267">
        <w:t xml:space="preserve">. </w:t>
      </w:r>
    </w:p>
    <w:p w14:paraId="433D6F6F" w14:textId="64E3F906" w:rsidR="00DC27C8" w:rsidRPr="003712D5" w:rsidRDefault="0045762F" w:rsidP="003A235C">
      <w:pPr>
        <w:pStyle w:val="ListParagraph"/>
        <w:numPr>
          <w:ilvl w:val="0"/>
          <w:numId w:val="3"/>
        </w:numPr>
        <w:spacing w:line="360" w:lineRule="auto"/>
        <w:ind w:left="0" w:firstLine="0"/>
        <w:contextualSpacing w:val="0"/>
        <w:jc w:val="center"/>
        <w:rPr>
          <w:b/>
          <w:bCs/>
        </w:rPr>
      </w:pPr>
      <w:r w:rsidRPr="0045762F">
        <w:rPr>
          <w:b/>
          <w:bCs/>
        </w:rPr>
        <w:lastRenderedPageBreak/>
        <w:t>History of the Proceeding</w:t>
      </w:r>
      <w:r w:rsidR="00DC27C8" w:rsidRPr="00DC27C8">
        <w:t xml:space="preserve"> </w:t>
      </w:r>
    </w:p>
    <w:p w14:paraId="0F34BA27" w14:textId="77777777" w:rsidR="003712D5" w:rsidRPr="003712D5" w:rsidRDefault="003712D5" w:rsidP="003712D5">
      <w:pPr>
        <w:pStyle w:val="Default"/>
        <w:spacing w:line="360" w:lineRule="auto"/>
        <w:ind w:firstLine="1440"/>
        <w:rPr>
          <w:color w:val="auto"/>
          <w:sz w:val="26"/>
          <w:szCs w:val="26"/>
        </w:rPr>
      </w:pPr>
    </w:p>
    <w:p w14:paraId="25C18D6F" w14:textId="66E17D5D" w:rsidR="00DC27C8" w:rsidRPr="003712D5" w:rsidRDefault="003712D5" w:rsidP="003712D5">
      <w:pPr>
        <w:widowControl/>
        <w:spacing w:line="360" w:lineRule="auto"/>
        <w:ind w:firstLine="1440"/>
        <w:rPr>
          <w:szCs w:val="26"/>
        </w:rPr>
      </w:pPr>
      <w:r w:rsidRPr="003712D5">
        <w:rPr>
          <w:szCs w:val="26"/>
        </w:rPr>
        <w:t xml:space="preserve">On August 4, 2018, </w:t>
      </w:r>
      <w:r>
        <w:rPr>
          <w:szCs w:val="26"/>
        </w:rPr>
        <w:t xml:space="preserve">Mr. </w:t>
      </w:r>
      <w:r w:rsidRPr="003712D5">
        <w:rPr>
          <w:szCs w:val="26"/>
        </w:rPr>
        <w:t xml:space="preserve">Smiles filed </w:t>
      </w:r>
      <w:r w:rsidR="000C2267">
        <w:rPr>
          <w:szCs w:val="26"/>
        </w:rPr>
        <w:t>a Formal</w:t>
      </w:r>
      <w:r w:rsidRPr="003712D5">
        <w:rPr>
          <w:szCs w:val="26"/>
        </w:rPr>
        <w:t xml:space="preserve"> Complaint</w:t>
      </w:r>
      <w:r w:rsidR="000C2267">
        <w:rPr>
          <w:szCs w:val="26"/>
        </w:rPr>
        <w:t xml:space="preserve"> (Complaint)</w:t>
      </w:r>
      <w:r w:rsidR="0066038F">
        <w:rPr>
          <w:szCs w:val="26"/>
        </w:rPr>
        <w:t>,</w:t>
      </w:r>
      <w:r w:rsidR="000C2267">
        <w:rPr>
          <w:szCs w:val="26"/>
        </w:rPr>
        <w:t xml:space="preserve"> r</w:t>
      </w:r>
      <w:r w:rsidRPr="003712D5">
        <w:rPr>
          <w:szCs w:val="26"/>
        </w:rPr>
        <w:t xml:space="preserve">equesting that PPL be precluded from installing a radio frequency (RF) meter </w:t>
      </w:r>
      <w:r>
        <w:rPr>
          <w:szCs w:val="26"/>
        </w:rPr>
        <w:t>on his residence at his service address</w:t>
      </w:r>
      <w:r w:rsidRPr="003712D5">
        <w:rPr>
          <w:szCs w:val="26"/>
        </w:rPr>
        <w:t xml:space="preserve">. </w:t>
      </w:r>
      <w:r w:rsidR="002C69DB">
        <w:rPr>
          <w:szCs w:val="26"/>
        </w:rPr>
        <w:t xml:space="preserve"> </w:t>
      </w:r>
      <w:r w:rsidRPr="003712D5">
        <w:rPr>
          <w:szCs w:val="26"/>
        </w:rPr>
        <w:t>Complaint at 3.</w:t>
      </w:r>
      <w:r w:rsidR="002A1BAD">
        <w:rPr>
          <w:szCs w:val="26"/>
        </w:rPr>
        <w:t xml:space="preserve">  In </w:t>
      </w:r>
      <w:r w:rsidR="000E3AA9">
        <w:rPr>
          <w:szCs w:val="26"/>
        </w:rPr>
        <w:t>his</w:t>
      </w:r>
      <w:r w:rsidR="002500D1">
        <w:rPr>
          <w:szCs w:val="26"/>
        </w:rPr>
        <w:t xml:space="preserve"> </w:t>
      </w:r>
      <w:r w:rsidR="002A1BAD">
        <w:rPr>
          <w:szCs w:val="26"/>
        </w:rPr>
        <w:t xml:space="preserve">Complaint, </w:t>
      </w:r>
      <w:r w:rsidR="000E3AA9">
        <w:rPr>
          <w:szCs w:val="26"/>
        </w:rPr>
        <w:t>Mr. Smiles</w:t>
      </w:r>
      <w:r w:rsidR="002A1BAD">
        <w:rPr>
          <w:szCs w:val="26"/>
        </w:rPr>
        <w:t xml:space="preserve"> raised allegations concerning statutory interpretation of Act 129 as an “opt-in” requirement</w:t>
      </w:r>
      <w:r w:rsidR="00EB0701">
        <w:rPr>
          <w:szCs w:val="26"/>
        </w:rPr>
        <w:t>;</w:t>
      </w:r>
      <w:r w:rsidR="002A1BAD">
        <w:rPr>
          <w:szCs w:val="26"/>
        </w:rPr>
        <w:t xml:space="preserve"> health, fire</w:t>
      </w:r>
      <w:r w:rsidR="00EB0701">
        <w:rPr>
          <w:szCs w:val="26"/>
        </w:rPr>
        <w:t>,</w:t>
      </w:r>
      <w:r w:rsidR="002A1BAD">
        <w:rPr>
          <w:szCs w:val="26"/>
        </w:rPr>
        <w:t xml:space="preserve"> and safety issues related to the installation and use of a smart meter</w:t>
      </w:r>
      <w:r w:rsidR="00EB0701">
        <w:rPr>
          <w:szCs w:val="26"/>
        </w:rPr>
        <w:t>;</w:t>
      </w:r>
      <w:r w:rsidR="002A1BAD">
        <w:rPr>
          <w:szCs w:val="26"/>
        </w:rPr>
        <w:t xml:space="preserve"> and</w:t>
      </w:r>
      <w:r w:rsidR="00EB0701">
        <w:rPr>
          <w:szCs w:val="26"/>
        </w:rPr>
        <w:t>,</w:t>
      </w:r>
      <w:r w:rsidR="002A1BAD">
        <w:rPr>
          <w:szCs w:val="26"/>
        </w:rPr>
        <w:t xml:space="preserve"> privacy violations under the Fourth Amendment of the United States Constitution related to the use of a smart meter.  </w:t>
      </w:r>
      <w:r w:rsidR="002A1BAD" w:rsidRPr="002A1BAD">
        <w:rPr>
          <w:i/>
          <w:iCs/>
          <w:szCs w:val="26"/>
        </w:rPr>
        <w:t>See</w:t>
      </w:r>
      <w:r w:rsidR="002A1BAD">
        <w:rPr>
          <w:szCs w:val="26"/>
        </w:rPr>
        <w:t xml:space="preserve"> Complaint at 3-6. </w:t>
      </w:r>
    </w:p>
    <w:p w14:paraId="46B60E9C" w14:textId="515B4785" w:rsidR="003712D5" w:rsidRPr="003712D5" w:rsidRDefault="003712D5" w:rsidP="003712D5">
      <w:pPr>
        <w:widowControl/>
        <w:spacing w:line="360" w:lineRule="auto"/>
        <w:ind w:firstLine="1440"/>
        <w:rPr>
          <w:szCs w:val="26"/>
        </w:rPr>
      </w:pPr>
    </w:p>
    <w:p w14:paraId="1BA3D3F0" w14:textId="778805AD" w:rsidR="003712D5" w:rsidRPr="007F0872" w:rsidRDefault="003712D5" w:rsidP="003712D5">
      <w:pPr>
        <w:pStyle w:val="Default"/>
        <w:spacing w:line="360" w:lineRule="auto"/>
        <w:ind w:firstLine="1440"/>
        <w:rPr>
          <w:color w:val="auto"/>
          <w:sz w:val="26"/>
          <w:szCs w:val="26"/>
        </w:rPr>
      </w:pPr>
      <w:r w:rsidRPr="003712D5">
        <w:rPr>
          <w:color w:val="auto"/>
          <w:sz w:val="26"/>
          <w:szCs w:val="26"/>
        </w:rPr>
        <w:t xml:space="preserve">On August 28, 2018, </w:t>
      </w:r>
      <w:r>
        <w:rPr>
          <w:color w:val="auto"/>
          <w:sz w:val="26"/>
          <w:szCs w:val="26"/>
        </w:rPr>
        <w:t xml:space="preserve">PPL </w:t>
      </w:r>
      <w:r w:rsidRPr="003712D5">
        <w:rPr>
          <w:color w:val="auto"/>
          <w:sz w:val="26"/>
          <w:szCs w:val="26"/>
        </w:rPr>
        <w:t>filed an Answer</w:t>
      </w:r>
      <w:r w:rsidR="0066038F">
        <w:rPr>
          <w:color w:val="auto"/>
          <w:sz w:val="26"/>
          <w:szCs w:val="26"/>
        </w:rPr>
        <w:t>,</w:t>
      </w:r>
      <w:r w:rsidR="0066038F">
        <w:rPr>
          <w:rStyle w:val="FootnoteReference"/>
          <w:color w:val="auto"/>
          <w:sz w:val="26"/>
          <w:szCs w:val="26"/>
        </w:rPr>
        <w:footnoteReference w:id="1"/>
      </w:r>
      <w:r w:rsidR="0066038F">
        <w:rPr>
          <w:color w:val="auto"/>
          <w:sz w:val="26"/>
          <w:szCs w:val="26"/>
        </w:rPr>
        <w:t xml:space="preserve"> admitting </w:t>
      </w:r>
      <w:r w:rsidRPr="003712D5">
        <w:rPr>
          <w:color w:val="auto"/>
          <w:sz w:val="26"/>
          <w:szCs w:val="26"/>
        </w:rPr>
        <w:t xml:space="preserve">that </w:t>
      </w:r>
      <w:r>
        <w:rPr>
          <w:color w:val="auto"/>
          <w:sz w:val="26"/>
          <w:szCs w:val="26"/>
        </w:rPr>
        <w:t>PPL</w:t>
      </w:r>
      <w:r w:rsidRPr="003712D5">
        <w:rPr>
          <w:color w:val="auto"/>
          <w:sz w:val="26"/>
          <w:szCs w:val="26"/>
        </w:rPr>
        <w:t xml:space="preserve"> provided electric service to </w:t>
      </w:r>
      <w:r w:rsidR="000E3AA9">
        <w:rPr>
          <w:color w:val="auto"/>
          <w:sz w:val="26"/>
          <w:szCs w:val="26"/>
        </w:rPr>
        <w:t>Mr. Smiles</w:t>
      </w:r>
      <w:r w:rsidRPr="003712D5">
        <w:rPr>
          <w:color w:val="auto"/>
          <w:sz w:val="26"/>
          <w:szCs w:val="26"/>
        </w:rPr>
        <w:t xml:space="preserve"> at the service address and notified</w:t>
      </w:r>
      <w:r>
        <w:rPr>
          <w:color w:val="auto"/>
          <w:sz w:val="26"/>
          <w:szCs w:val="26"/>
        </w:rPr>
        <w:t xml:space="preserve"> </w:t>
      </w:r>
      <w:r w:rsidR="000E3AA9">
        <w:rPr>
          <w:color w:val="auto"/>
          <w:sz w:val="26"/>
          <w:szCs w:val="26"/>
        </w:rPr>
        <w:t xml:space="preserve">him </w:t>
      </w:r>
      <w:r w:rsidRPr="003712D5">
        <w:rPr>
          <w:color w:val="auto"/>
          <w:sz w:val="26"/>
          <w:szCs w:val="26"/>
        </w:rPr>
        <w:t xml:space="preserve">that it would be installing a new </w:t>
      </w:r>
      <w:r w:rsidR="00EB11E1">
        <w:rPr>
          <w:color w:val="auto"/>
          <w:sz w:val="26"/>
          <w:szCs w:val="26"/>
        </w:rPr>
        <w:t>Advanced Metering Infrastructure (</w:t>
      </w:r>
      <w:r w:rsidRPr="003712D5">
        <w:rPr>
          <w:color w:val="auto"/>
          <w:sz w:val="26"/>
          <w:szCs w:val="26"/>
        </w:rPr>
        <w:t>AMI</w:t>
      </w:r>
      <w:r w:rsidR="00EB11E1">
        <w:rPr>
          <w:color w:val="auto"/>
          <w:sz w:val="26"/>
          <w:szCs w:val="26"/>
        </w:rPr>
        <w:t>)</w:t>
      </w:r>
      <w:r w:rsidRPr="003712D5">
        <w:rPr>
          <w:color w:val="auto"/>
          <w:sz w:val="26"/>
          <w:szCs w:val="26"/>
        </w:rPr>
        <w:t xml:space="preserve"> meter.</w:t>
      </w:r>
      <w:r>
        <w:rPr>
          <w:color w:val="auto"/>
          <w:sz w:val="26"/>
          <w:szCs w:val="26"/>
        </w:rPr>
        <w:t xml:space="preserve">  PPL</w:t>
      </w:r>
      <w:r w:rsidRPr="003712D5">
        <w:rPr>
          <w:color w:val="auto"/>
          <w:sz w:val="26"/>
          <w:szCs w:val="26"/>
        </w:rPr>
        <w:t xml:space="preserve"> contend</w:t>
      </w:r>
      <w:r>
        <w:rPr>
          <w:color w:val="auto"/>
          <w:sz w:val="26"/>
          <w:szCs w:val="26"/>
        </w:rPr>
        <w:t>ed</w:t>
      </w:r>
      <w:r w:rsidR="0066038F">
        <w:rPr>
          <w:color w:val="auto"/>
          <w:sz w:val="26"/>
          <w:szCs w:val="26"/>
        </w:rPr>
        <w:t xml:space="preserve"> in its Answer</w:t>
      </w:r>
      <w:r>
        <w:rPr>
          <w:color w:val="auto"/>
          <w:sz w:val="26"/>
          <w:szCs w:val="26"/>
        </w:rPr>
        <w:t>, however,</w:t>
      </w:r>
      <w:r w:rsidRPr="003712D5">
        <w:rPr>
          <w:color w:val="auto"/>
          <w:sz w:val="26"/>
          <w:szCs w:val="26"/>
        </w:rPr>
        <w:t xml:space="preserve"> that it is required to install AMI, or smart meters, for all automatic meter reading (AMR) customers</w:t>
      </w:r>
      <w:r>
        <w:rPr>
          <w:color w:val="auto"/>
          <w:sz w:val="26"/>
          <w:szCs w:val="26"/>
        </w:rPr>
        <w:t xml:space="preserve">, including </w:t>
      </w:r>
      <w:r w:rsidR="000E3AA9">
        <w:rPr>
          <w:color w:val="auto"/>
          <w:sz w:val="26"/>
          <w:szCs w:val="26"/>
        </w:rPr>
        <w:t>Mr. Smiles</w:t>
      </w:r>
      <w:r w:rsidRPr="003712D5">
        <w:rPr>
          <w:color w:val="auto"/>
          <w:sz w:val="26"/>
          <w:szCs w:val="26"/>
        </w:rPr>
        <w:t>.</w:t>
      </w:r>
      <w:r w:rsidR="001E2E65">
        <w:rPr>
          <w:color w:val="auto"/>
          <w:sz w:val="26"/>
          <w:szCs w:val="26"/>
        </w:rPr>
        <w:t xml:space="preserve">  Answer at 1-5.</w:t>
      </w:r>
    </w:p>
    <w:p w14:paraId="0770E0B4" w14:textId="77777777" w:rsidR="003712D5" w:rsidRPr="003712D5" w:rsidRDefault="003712D5" w:rsidP="0066038F">
      <w:pPr>
        <w:pStyle w:val="Default"/>
        <w:spacing w:line="360" w:lineRule="auto"/>
        <w:rPr>
          <w:color w:val="auto"/>
          <w:sz w:val="26"/>
          <w:szCs w:val="26"/>
        </w:rPr>
      </w:pPr>
    </w:p>
    <w:p w14:paraId="4AE49C7F" w14:textId="1D6360C2" w:rsidR="003712D5" w:rsidRPr="003712D5" w:rsidRDefault="003712D5" w:rsidP="003712D5">
      <w:pPr>
        <w:widowControl/>
        <w:spacing w:line="360" w:lineRule="auto"/>
        <w:ind w:firstLine="1440"/>
        <w:rPr>
          <w:szCs w:val="26"/>
        </w:rPr>
      </w:pPr>
      <w:r w:rsidRPr="003712D5">
        <w:rPr>
          <w:szCs w:val="26"/>
        </w:rPr>
        <w:t>The hearing was held on May 24, 2019</w:t>
      </w:r>
      <w:r w:rsidR="004A0E8A">
        <w:rPr>
          <w:szCs w:val="26"/>
        </w:rPr>
        <w:t>,</w:t>
      </w:r>
      <w:r w:rsidRPr="003712D5">
        <w:rPr>
          <w:szCs w:val="26"/>
        </w:rPr>
        <w:t xml:space="preserve"> as scheduled.</w:t>
      </w:r>
      <w:r w:rsidR="0066038F">
        <w:rPr>
          <w:rStyle w:val="FootnoteReference"/>
          <w:szCs w:val="26"/>
        </w:rPr>
        <w:footnoteReference w:id="2"/>
      </w:r>
      <w:r w:rsidRPr="003712D5">
        <w:rPr>
          <w:szCs w:val="26"/>
        </w:rPr>
        <w:t xml:space="preserve"> </w:t>
      </w:r>
      <w:r>
        <w:rPr>
          <w:szCs w:val="26"/>
        </w:rPr>
        <w:t xml:space="preserve"> </w:t>
      </w:r>
      <w:r w:rsidR="000E3AA9">
        <w:rPr>
          <w:szCs w:val="26"/>
        </w:rPr>
        <w:t>Mr. Smiles</w:t>
      </w:r>
      <w:r w:rsidRPr="003712D5">
        <w:rPr>
          <w:szCs w:val="26"/>
        </w:rPr>
        <w:t xml:space="preserve"> appeared </w:t>
      </w:r>
      <w:r w:rsidRPr="003712D5">
        <w:rPr>
          <w:i/>
          <w:iCs/>
          <w:szCs w:val="26"/>
        </w:rPr>
        <w:t xml:space="preserve">pro se </w:t>
      </w:r>
      <w:r w:rsidRPr="003712D5">
        <w:rPr>
          <w:szCs w:val="26"/>
        </w:rPr>
        <w:t>in person with no exhibits</w:t>
      </w:r>
      <w:r>
        <w:rPr>
          <w:szCs w:val="26"/>
        </w:rPr>
        <w:t xml:space="preserve"> and no expert witnesses</w:t>
      </w:r>
      <w:r w:rsidRPr="003712D5">
        <w:rPr>
          <w:szCs w:val="26"/>
        </w:rPr>
        <w:t xml:space="preserve">. </w:t>
      </w:r>
      <w:r>
        <w:rPr>
          <w:szCs w:val="26"/>
        </w:rPr>
        <w:t xml:space="preserve"> I.D. at 2.  PPL appeared represented by counsel, who presented </w:t>
      </w:r>
      <w:r w:rsidRPr="003712D5">
        <w:rPr>
          <w:szCs w:val="26"/>
        </w:rPr>
        <w:t>four written statements, 15 exhibits</w:t>
      </w:r>
      <w:r w:rsidR="00794B83">
        <w:rPr>
          <w:szCs w:val="26"/>
        </w:rPr>
        <w:t>,</w:t>
      </w:r>
      <w:r w:rsidRPr="003712D5">
        <w:rPr>
          <w:szCs w:val="26"/>
        </w:rPr>
        <w:t xml:space="preserve"> and four witnesses: </w:t>
      </w:r>
      <w:r w:rsidR="00794B83">
        <w:rPr>
          <w:szCs w:val="26"/>
        </w:rPr>
        <w:t xml:space="preserve"> </w:t>
      </w:r>
      <w:r w:rsidRPr="003712D5">
        <w:rPr>
          <w:szCs w:val="26"/>
        </w:rPr>
        <w:t xml:space="preserve">Kevin Durkin, Donald </w:t>
      </w:r>
      <w:proofErr w:type="spellStart"/>
      <w:r w:rsidRPr="003712D5">
        <w:rPr>
          <w:szCs w:val="26"/>
        </w:rPr>
        <w:t>Vinciguerra</w:t>
      </w:r>
      <w:proofErr w:type="spellEnd"/>
      <w:r w:rsidRPr="003712D5">
        <w:rPr>
          <w:szCs w:val="26"/>
        </w:rPr>
        <w:t xml:space="preserve">, Christopher Davis, Ph.D., and Mark </w:t>
      </w:r>
      <w:r w:rsidRPr="003712D5">
        <w:rPr>
          <w:szCs w:val="26"/>
        </w:rPr>
        <w:lastRenderedPageBreak/>
        <w:t>Israel, M.D.</w:t>
      </w:r>
      <w:r w:rsidR="006A0533">
        <w:rPr>
          <w:szCs w:val="26"/>
        </w:rPr>
        <w:t>; PPL</w:t>
      </w:r>
      <w:r w:rsidRPr="003712D5">
        <w:rPr>
          <w:szCs w:val="26"/>
        </w:rPr>
        <w:t>’s Statement</w:t>
      </w:r>
      <w:r w:rsidR="006A0533">
        <w:rPr>
          <w:szCs w:val="26"/>
        </w:rPr>
        <w:t xml:space="preserve"> (St.) Nos.</w:t>
      </w:r>
      <w:r w:rsidRPr="003712D5">
        <w:rPr>
          <w:szCs w:val="26"/>
        </w:rPr>
        <w:t xml:space="preserve"> 1-4 and Exhibits CD-1 – CD-5; MI-1-MI-3; KD</w:t>
      </w:r>
      <w:r w:rsidR="002E4893">
        <w:rPr>
          <w:szCs w:val="26"/>
        </w:rPr>
        <w:noBreakHyphen/>
      </w:r>
      <w:r w:rsidRPr="003712D5">
        <w:rPr>
          <w:szCs w:val="26"/>
        </w:rPr>
        <w:t>1-KD-6 and DV-1 were admitted into the record.</w:t>
      </w:r>
      <w:r w:rsidR="00056E9A">
        <w:rPr>
          <w:szCs w:val="26"/>
        </w:rPr>
        <w:t xml:space="preserve">  </w:t>
      </w:r>
      <w:r w:rsidRPr="003712D5">
        <w:rPr>
          <w:szCs w:val="26"/>
        </w:rPr>
        <w:t>Tr. 4.</w:t>
      </w:r>
      <w:r w:rsidRPr="003712D5">
        <w:rPr>
          <w:rStyle w:val="FootnoteReference"/>
          <w:szCs w:val="26"/>
        </w:rPr>
        <w:footnoteReference w:id="3"/>
      </w:r>
    </w:p>
    <w:p w14:paraId="3D44A757" w14:textId="0DD48502" w:rsidR="003712D5" w:rsidRPr="003712D5" w:rsidRDefault="003712D5" w:rsidP="003712D5">
      <w:pPr>
        <w:widowControl/>
        <w:spacing w:line="360" w:lineRule="auto"/>
        <w:ind w:firstLine="1440"/>
        <w:rPr>
          <w:szCs w:val="26"/>
        </w:rPr>
      </w:pPr>
    </w:p>
    <w:p w14:paraId="0050BE8D" w14:textId="500C9D4D" w:rsidR="009D24CC" w:rsidRDefault="000368BE" w:rsidP="009D24CC">
      <w:pPr>
        <w:widowControl/>
        <w:spacing w:line="360" w:lineRule="auto"/>
        <w:ind w:firstLine="1440"/>
        <w:rPr>
          <w:szCs w:val="26"/>
        </w:rPr>
      </w:pPr>
      <w:r>
        <w:rPr>
          <w:szCs w:val="26"/>
        </w:rPr>
        <w:t>T</w:t>
      </w:r>
      <w:r w:rsidR="003712D5" w:rsidRPr="003712D5">
        <w:rPr>
          <w:szCs w:val="26"/>
        </w:rPr>
        <w:t>he record closed on June 17, 2019</w:t>
      </w:r>
      <w:r>
        <w:rPr>
          <w:szCs w:val="26"/>
        </w:rPr>
        <w:t>, with a</w:t>
      </w:r>
      <w:r w:rsidRPr="003712D5">
        <w:rPr>
          <w:szCs w:val="26"/>
        </w:rPr>
        <w:t xml:space="preserve"> transcript consisting of </w:t>
      </w:r>
      <w:r w:rsidR="00D82FFB">
        <w:rPr>
          <w:szCs w:val="26"/>
        </w:rPr>
        <w:t>forty-four</w:t>
      </w:r>
      <w:r w:rsidRPr="003712D5">
        <w:rPr>
          <w:szCs w:val="26"/>
        </w:rPr>
        <w:t xml:space="preserve"> pages</w:t>
      </w:r>
      <w:r>
        <w:rPr>
          <w:szCs w:val="26"/>
        </w:rPr>
        <w:t>.</w:t>
      </w:r>
    </w:p>
    <w:p w14:paraId="1733721F" w14:textId="77777777" w:rsidR="009D24CC" w:rsidRDefault="009D24CC" w:rsidP="009D24CC">
      <w:pPr>
        <w:widowControl/>
        <w:spacing w:line="360" w:lineRule="auto"/>
        <w:ind w:firstLine="1440"/>
        <w:rPr>
          <w:szCs w:val="26"/>
        </w:rPr>
      </w:pPr>
    </w:p>
    <w:p w14:paraId="5726B369" w14:textId="508BD54F" w:rsidR="004A0E8A" w:rsidRPr="009D24CC" w:rsidRDefault="004A0E8A" w:rsidP="009D24CC">
      <w:pPr>
        <w:widowControl/>
        <w:spacing w:line="360" w:lineRule="auto"/>
        <w:ind w:firstLine="1440"/>
        <w:rPr>
          <w:szCs w:val="26"/>
        </w:rPr>
      </w:pPr>
      <w:r w:rsidRPr="009D24CC">
        <w:rPr>
          <w:szCs w:val="26"/>
        </w:rPr>
        <w:t>On Ju</w:t>
      </w:r>
      <w:r w:rsidR="009D24CC" w:rsidRPr="009D24CC">
        <w:rPr>
          <w:szCs w:val="26"/>
        </w:rPr>
        <w:t>ly</w:t>
      </w:r>
      <w:r w:rsidRPr="009D24CC">
        <w:rPr>
          <w:szCs w:val="26"/>
        </w:rPr>
        <w:t xml:space="preserve"> 12, 2019, the Initial Decision of ALJ Barnes was issued </w:t>
      </w:r>
      <w:r w:rsidR="009D24CC" w:rsidRPr="009D24CC">
        <w:rPr>
          <w:szCs w:val="26"/>
        </w:rPr>
        <w:t>by the Commission</w:t>
      </w:r>
      <w:r w:rsidR="000C2267">
        <w:rPr>
          <w:szCs w:val="26"/>
        </w:rPr>
        <w:t xml:space="preserve"> in this proceeding (Initial Decision or I.D.)</w:t>
      </w:r>
      <w:r w:rsidR="009D24CC" w:rsidRPr="009D24CC">
        <w:rPr>
          <w:szCs w:val="26"/>
        </w:rPr>
        <w:t xml:space="preserve">.  The Initial Decision dismissed the Complaint due to </w:t>
      </w:r>
      <w:r w:rsidR="000E3AA9">
        <w:rPr>
          <w:szCs w:val="26"/>
        </w:rPr>
        <w:t>Mr. Smiles’</w:t>
      </w:r>
      <w:r w:rsidR="009D24CC" w:rsidRPr="009D24CC">
        <w:rPr>
          <w:szCs w:val="26"/>
        </w:rPr>
        <w:t xml:space="preserve"> failure to prove by a preponderance of evidence that the installation of the smart meter constitutes unsafe or unreasonable service under 66</w:t>
      </w:r>
      <w:r w:rsidR="002E4893">
        <w:rPr>
          <w:szCs w:val="26"/>
        </w:rPr>
        <w:t> </w:t>
      </w:r>
      <w:r w:rsidR="009D24CC" w:rsidRPr="009D24CC">
        <w:rPr>
          <w:szCs w:val="26"/>
        </w:rPr>
        <w:t>Pa.</w:t>
      </w:r>
      <w:r w:rsidR="002E4893">
        <w:rPr>
          <w:szCs w:val="26"/>
        </w:rPr>
        <w:t> </w:t>
      </w:r>
      <w:r w:rsidR="009D24CC" w:rsidRPr="009D24CC">
        <w:rPr>
          <w:szCs w:val="26"/>
        </w:rPr>
        <w:t>C.S. § 1501 or otherwise violates the Public Utility Code</w:t>
      </w:r>
      <w:r w:rsidR="00512EEE">
        <w:rPr>
          <w:szCs w:val="26"/>
        </w:rPr>
        <w:t xml:space="preserve"> (Code)</w:t>
      </w:r>
      <w:r w:rsidR="009D24CC" w:rsidRPr="009D24CC">
        <w:rPr>
          <w:szCs w:val="26"/>
        </w:rPr>
        <w:t xml:space="preserve">, a Commission </w:t>
      </w:r>
      <w:r w:rsidR="00487C47">
        <w:rPr>
          <w:szCs w:val="26"/>
        </w:rPr>
        <w:t>O</w:t>
      </w:r>
      <w:r w:rsidR="009D24CC" w:rsidRPr="009D24CC">
        <w:rPr>
          <w:szCs w:val="26"/>
        </w:rPr>
        <w:t xml:space="preserve">rder, </w:t>
      </w:r>
      <w:r w:rsidR="00BD0FD9">
        <w:rPr>
          <w:szCs w:val="26"/>
        </w:rPr>
        <w:t>R</w:t>
      </w:r>
      <w:r w:rsidR="009D24CC" w:rsidRPr="009D24CC">
        <w:rPr>
          <w:szCs w:val="26"/>
        </w:rPr>
        <w:t>egulation, or a Commission-approved tariff of the company.</w:t>
      </w:r>
      <w:r w:rsidR="009D24CC">
        <w:rPr>
          <w:szCs w:val="26"/>
        </w:rPr>
        <w:t xml:space="preserve">  I.D. at 1</w:t>
      </w:r>
      <w:r w:rsidR="00672299">
        <w:rPr>
          <w:szCs w:val="26"/>
        </w:rPr>
        <w:t>, 20</w:t>
      </w:r>
      <w:r w:rsidR="009D24CC">
        <w:rPr>
          <w:szCs w:val="26"/>
        </w:rPr>
        <w:t>.</w:t>
      </w:r>
    </w:p>
    <w:p w14:paraId="3CEEBBA0" w14:textId="2DA0B2A2" w:rsidR="009D24CC" w:rsidRDefault="009D24CC" w:rsidP="003712D5">
      <w:pPr>
        <w:widowControl/>
        <w:spacing w:line="360" w:lineRule="auto"/>
        <w:ind w:firstLine="1440"/>
        <w:rPr>
          <w:szCs w:val="26"/>
        </w:rPr>
      </w:pPr>
    </w:p>
    <w:p w14:paraId="48B1A904" w14:textId="6E008B79" w:rsidR="009D24CC" w:rsidRDefault="009D24CC" w:rsidP="003712D5">
      <w:pPr>
        <w:widowControl/>
        <w:spacing w:line="360" w:lineRule="auto"/>
        <w:ind w:firstLine="1440"/>
        <w:rPr>
          <w:szCs w:val="26"/>
        </w:rPr>
      </w:pPr>
      <w:r>
        <w:rPr>
          <w:szCs w:val="26"/>
        </w:rPr>
        <w:t>On July 2</w:t>
      </w:r>
      <w:r w:rsidR="00923D81">
        <w:rPr>
          <w:szCs w:val="26"/>
        </w:rPr>
        <w:t>2</w:t>
      </w:r>
      <w:r>
        <w:rPr>
          <w:szCs w:val="26"/>
        </w:rPr>
        <w:t>, 2019, the Commission issued a</w:t>
      </w:r>
      <w:r w:rsidR="00812536">
        <w:rPr>
          <w:szCs w:val="26"/>
        </w:rPr>
        <w:t xml:space="preserve"> one-page</w:t>
      </w:r>
      <w:r>
        <w:rPr>
          <w:szCs w:val="26"/>
        </w:rPr>
        <w:t xml:space="preserve"> Errata to the Initial Decision (Errata), correcting a typographical error on page seventeen of the Initial Decision</w:t>
      </w:r>
      <w:r w:rsidR="002500D1">
        <w:rPr>
          <w:rStyle w:val="FootnoteReference"/>
          <w:szCs w:val="26"/>
        </w:rPr>
        <w:footnoteReference w:id="4"/>
      </w:r>
      <w:r>
        <w:rPr>
          <w:szCs w:val="26"/>
        </w:rPr>
        <w:t xml:space="preserve"> and otherwise stating that: </w:t>
      </w:r>
      <w:r w:rsidR="00AB3DF6">
        <w:rPr>
          <w:szCs w:val="26"/>
        </w:rPr>
        <w:t xml:space="preserve"> </w:t>
      </w:r>
      <w:r>
        <w:rPr>
          <w:szCs w:val="26"/>
        </w:rPr>
        <w:t>“In all other respects the Initial Decision remains in full force and effect in its entirety.”  Errata at 1.</w:t>
      </w:r>
      <w:r w:rsidR="00D9577B" w:rsidRPr="00D9577B">
        <w:rPr>
          <w:rStyle w:val="FootnoteReference"/>
          <w:szCs w:val="26"/>
        </w:rPr>
        <w:t xml:space="preserve"> </w:t>
      </w:r>
    </w:p>
    <w:p w14:paraId="76D48FFF" w14:textId="77777777" w:rsidR="009D24CC" w:rsidRDefault="009D24CC" w:rsidP="003712D5">
      <w:pPr>
        <w:widowControl/>
        <w:spacing w:line="360" w:lineRule="auto"/>
        <w:ind w:firstLine="1440"/>
        <w:rPr>
          <w:szCs w:val="26"/>
        </w:rPr>
      </w:pPr>
    </w:p>
    <w:p w14:paraId="08F1AB99" w14:textId="6A6BF8C9" w:rsidR="009D24CC" w:rsidRDefault="009D24CC" w:rsidP="003712D5">
      <w:pPr>
        <w:widowControl/>
        <w:spacing w:line="360" w:lineRule="auto"/>
        <w:ind w:firstLine="1440"/>
        <w:rPr>
          <w:szCs w:val="26"/>
        </w:rPr>
      </w:pPr>
      <w:r>
        <w:rPr>
          <w:szCs w:val="26"/>
        </w:rPr>
        <w:t>Per the Secretarial letter serving the Initial Decision</w:t>
      </w:r>
      <w:r w:rsidR="00AC28AB">
        <w:rPr>
          <w:szCs w:val="26"/>
        </w:rPr>
        <w:t xml:space="preserve"> (Secretarial Letter)</w:t>
      </w:r>
      <w:r>
        <w:rPr>
          <w:szCs w:val="26"/>
        </w:rPr>
        <w:t xml:space="preserve">, Exceptions were due by Friday, August 1, 2019.  No Exceptions were filed by the required due date.  </w:t>
      </w:r>
    </w:p>
    <w:p w14:paraId="536DA448" w14:textId="304449C1" w:rsidR="00923D81" w:rsidRDefault="00923D81" w:rsidP="003712D5">
      <w:pPr>
        <w:widowControl/>
        <w:spacing w:line="360" w:lineRule="auto"/>
        <w:ind w:firstLine="1440"/>
        <w:rPr>
          <w:szCs w:val="26"/>
        </w:rPr>
      </w:pPr>
    </w:p>
    <w:p w14:paraId="46CE44A9" w14:textId="2DD80A58" w:rsidR="00923D81" w:rsidRDefault="00923D81" w:rsidP="003712D5">
      <w:pPr>
        <w:widowControl/>
        <w:spacing w:line="360" w:lineRule="auto"/>
        <w:ind w:firstLine="1440"/>
        <w:rPr>
          <w:szCs w:val="26"/>
        </w:rPr>
      </w:pPr>
      <w:r>
        <w:rPr>
          <w:szCs w:val="26"/>
        </w:rPr>
        <w:t>On August 1</w:t>
      </w:r>
      <w:r w:rsidR="00983F5C">
        <w:rPr>
          <w:szCs w:val="26"/>
        </w:rPr>
        <w:t>9</w:t>
      </w:r>
      <w:r>
        <w:rPr>
          <w:szCs w:val="26"/>
        </w:rPr>
        <w:t xml:space="preserve">, 2019, </w:t>
      </w:r>
      <w:r w:rsidR="000E3AA9">
        <w:rPr>
          <w:szCs w:val="26"/>
        </w:rPr>
        <w:t>Mr. Smiles</w:t>
      </w:r>
      <w:r>
        <w:rPr>
          <w:szCs w:val="26"/>
        </w:rPr>
        <w:t xml:space="preserve"> filed the</w:t>
      </w:r>
      <w:r w:rsidR="00307A5B">
        <w:rPr>
          <w:szCs w:val="26"/>
        </w:rPr>
        <w:t xml:space="preserve"> First</w:t>
      </w:r>
      <w:r>
        <w:rPr>
          <w:szCs w:val="26"/>
        </w:rPr>
        <w:t xml:space="preserve"> Petition</w:t>
      </w:r>
      <w:r w:rsidR="00307A5B">
        <w:rPr>
          <w:szCs w:val="26"/>
        </w:rPr>
        <w:t xml:space="preserve"> and Second Petition</w:t>
      </w:r>
      <w:r>
        <w:rPr>
          <w:szCs w:val="26"/>
        </w:rPr>
        <w:t xml:space="preserve">, as noted above. </w:t>
      </w:r>
    </w:p>
    <w:p w14:paraId="0DBDE9C8" w14:textId="49BE4C56" w:rsidR="000C2267" w:rsidRDefault="000C2267" w:rsidP="003712D5">
      <w:pPr>
        <w:widowControl/>
        <w:spacing w:line="360" w:lineRule="auto"/>
        <w:ind w:firstLine="1440"/>
        <w:rPr>
          <w:szCs w:val="26"/>
        </w:rPr>
      </w:pPr>
    </w:p>
    <w:p w14:paraId="46C2BD48" w14:textId="3DE0E3B5" w:rsidR="003712D5" w:rsidRDefault="000C2267" w:rsidP="00DF61E9">
      <w:pPr>
        <w:widowControl/>
        <w:spacing w:line="360" w:lineRule="auto"/>
        <w:ind w:firstLine="1440"/>
      </w:pPr>
      <w:r>
        <w:rPr>
          <w:szCs w:val="26"/>
        </w:rPr>
        <w:lastRenderedPageBreak/>
        <w:t>On August 23, 201</w:t>
      </w:r>
      <w:r w:rsidR="00794B83">
        <w:rPr>
          <w:szCs w:val="26"/>
        </w:rPr>
        <w:t>9</w:t>
      </w:r>
      <w:r>
        <w:rPr>
          <w:szCs w:val="26"/>
        </w:rPr>
        <w:t>, the Commission entered a Final Order</w:t>
      </w:r>
      <w:r w:rsidR="00794B83">
        <w:rPr>
          <w:szCs w:val="26"/>
        </w:rPr>
        <w:t xml:space="preserve"> </w:t>
      </w:r>
      <w:r>
        <w:t>stat</w:t>
      </w:r>
      <w:r w:rsidR="00812536">
        <w:t>ing</w:t>
      </w:r>
      <w:r w:rsidR="00DF61E9">
        <w:t xml:space="preserve"> that, i</w:t>
      </w:r>
      <w:r w:rsidR="00DF61E9" w:rsidRPr="00FB6879">
        <w:rPr>
          <w:spacing w:val="-3"/>
          <w:szCs w:val="24"/>
        </w:rPr>
        <w:t xml:space="preserve">n accordance with the provisions of Section 332(h) of the </w:t>
      </w:r>
      <w:r w:rsidR="00DF61E9">
        <w:rPr>
          <w:spacing w:val="-3"/>
          <w:szCs w:val="24"/>
        </w:rPr>
        <w:t>Code</w:t>
      </w:r>
      <w:r w:rsidR="00DF61E9" w:rsidRPr="00FB6879">
        <w:rPr>
          <w:spacing w:val="-3"/>
          <w:szCs w:val="24"/>
        </w:rPr>
        <w:t>, 66 Pa. C.S. §</w:t>
      </w:r>
      <w:r w:rsidR="007E5E81">
        <w:rPr>
          <w:spacing w:val="-3"/>
          <w:szCs w:val="24"/>
        </w:rPr>
        <w:t xml:space="preserve"> </w:t>
      </w:r>
      <w:r w:rsidR="00DF61E9" w:rsidRPr="00FB6879">
        <w:rPr>
          <w:spacing w:val="-3"/>
          <w:szCs w:val="24"/>
        </w:rPr>
        <w:t xml:space="preserve">332(h), the </w:t>
      </w:r>
      <w:r w:rsidR="00450727">
        <w:rPr>
          <w:spacing w:val="-3"/>
          <w:szCs w:val="24"/>
        </w:rPr>
        <w:t>Initial D</w:t>
      </w:r>
      <w:r w:rsidR="00DF61E9" w:rsidRPr="00FB6879">
        <w:rPr>
          <w:spacing w:val="-3"/>
          <w:szCs w:val="24"/>
        </w:rPr>
        <w:t xml:space="preserve">ecision of </w:t>
      </w:r>
      <w:r w:rsidR="00DF61E9">
        <w:rPr>
          <w:spacing w:val="-3"/>
          <w:szCs w:val="24"/>
        </w:rPr>
        <w:t>ALJ Barnes issued July 12, 2019, “</w:t>
      </w:r>
      <w:r w:rsidR="00DF61E9" w:rsidRPr="00FB6879">
        <w:rPr>
          <w:spacing w:val="-3"/>
          <w:szCs w:val="24"/>
        </w:rPr>
        <w:t>has become final without further Commission action</w:t>
      </w:r>
      <w:r w:rsidR="00DF61E9">
        <w:rPr>
          <w:spacing w:val="-3"/>
          <w:szCs w:val="24"/>
        </w:rPr>
        <w:t>.”  Thus, t</w:t>
      </w:r>
      <w:r w:rsidR="00812536">
        <w:t>he Final Order</w:t>
      </w:r>
      <w:r w:rsidR="00DF61E9">
        <w:t xml:space="preserve">, </w:t>
      </w:r>
      <w:r w:rsidR="00DF61E9" w:rsidRPr="00DF61E9">
        <w:rPr>
          <w:i/>
          <w:iCs/>
        </w:rPr>
        <w:t>inter alia</w:t>
      </w:r>
      <w:r w:rsidR="00DF61E9">
        <w:t xml:space="preserve">, </w:t>
      </w:r>
      <w:r w:rsidR="00812536">
        <w:rPr>
          <w:szCs w:val="26"/>
        </w:rPr>
        <w:t>denied and dismissed the Complaint and marked the proceeding closed.</w:t>
      </w:r>
      <w:r w:rsidR="00812536" w:rsidRPr="0028639A">
        <w:t xml:space="preserve"> </w:t>
      </w:r>
      <w:r w:rsidR="00812536">
        <w:t xml:space="preserve"> </w:t>
      </w:r>
    </w:p>
    <w:p w14:paraId="63ED14E6" w14:textId="1947AF19" w:rsidR="00011096" w:rsidRDefault="00011096" w:rsidP="00DF61E9">
      <w:pPr>
        <w:widowControl/>
        <w:spacing w:line="360" w:lineRule="auto"/>
        <w:ind w:firstLine="1440"/>
      </w:pPr>
    </w:p>
    <w:p w14:paraId="6E150901" w14:textId="7B55B78B" w:rsidR="00011096" w:rsidRPr="00DF61E9" w:rsidRDefault="00011096" w:rsidP="00DF61E9">
      <w:pPr>
        <w:widowControl/>
        <w:spacing w:line="360" w:lineRule="auto"/>
        <w:ind w:firstLine="1440"/>
      </w:pPr>
      <w:r>
        <w:t xml:space="preserve">On August 28, 2019, PPL filed an Answer to the First Petition and an Answer to the Second Petition.  </w:t>
      </w:r>
    </w:p>
    <w:p w14:paraId="2121A2C0" w14:textId="77777777" w:rsidR="0045762F" w:rsidRPr="00DC27C8" w:rsidRDefault="0045762F" w:rsidP="00DC27C8">
      <w:pPr>
        <w:spacing w:line="360" w:lineRule="auto"/>
        <w:ind w:left="360"/>
      </w:pPr>
    </w:p>
    <w:p w14:paraId="472D4E25" w14:textId="65AED8F6" w:rsidR="0045762F" w:rsidRDefault="0045762F" w:rsidP="003A235C">
      <w:pPr>
        <w:pStyle w:val="ListParagraph"/>
        <w:keepNext/>
        <w:keepLines/>
        <w:widowControl/>
        <w:numPr>
          <w:ilvl w:val="0"/>
          <w:numId w:val="3"/>
        </w:numPr>
        <w:spacing w:line="360" w:lineRule="auto"/>
        <w:ind w:left="0" w:firstLine="0"/>
        <w:contextualSpacing w:val="0"/>
        <w:jc w:val="center"/>
        <w:rPr>
          <w:b/>
          <w:bCs/>
        </w:rPr>
      </w:pPr>
      <w:bookmarkStart w:id="1" w:name="_Hlk47352180"/>
      <w:r>
        <w:rPr>
          <w:b/>
          <w:bCs/>
        </w:rPr>
        <w:t>Discussion</w:t>
      </w:r>
    </w:p>
    <w:bookmarkEnd w:id="1"/>
    <w:p w14:paraId="7FC6533E" w14:textId="7F15A2A5" w:rsidR="0045762F" w:rsidRDefault="0045762F" w:rsidP="00812536">
      <w:pPr>
        <w:keepNext/>
        <w:keepLines/>
        <w:widowControl/>
        <w:spacing w:line="360" w:lineRule="auto"/>
        <w:rPr>
          <w:b/>
          <w:bCs/>
        </w:rPr>
      </w:pPr>
    </w:p>
    <w:p w14:paraId="6EA0B173" w14:textId="77777777" w:rsidR="00223B7A" w:rsidRDefault="00223B7A" w:rsidP="003A235C">
      <w:pPr>
        <w:pStyle w:val="ListParagraph"/>
        <w:keepNext/>
        <w:keepLines/>
        <w:widowControl/>
        <w:numPr>
          <w:ilvl w:val="0"/>
          <w:numId w:val="4"/>
        </w:numPr>
        <w:spacing w:line="360" w:lineRule="auto"/>
        <w:ind w:hanging="720"/>
        <w:contextualSpacing w:val="0"/>
        <w:rPr>
          <w:b/>
          <w:bCs/>
        </w:rPr>
      </w:pPr>
      <w:r>
        <w:rPr>
          <w:b/>
          <w:bCs/>
        </w:rPr>
        <w:t>Nature of Filing</w:t>
      </w:r>
    </w:p>
    <w:p w14:paraId="32246B71" w14:textId="03E0F2AF" w:rsidR="00223B7A" w:rsidRPr="00223B7A" w:rsidRDefault="0045762F" w:rsidP="00812536">
      <w:pPr>
        <w:keepNext/>
        <w:keepLines/>
        <w:widowControl/>
        <w:spacing w:line="360" w:lineRule="auto"/>
        <w:rPr>
          <w:b/>
          <w:bCs/>
        </w:rPr>
      </w:pPr>
      <w:r w:rsidRPr="00223B7A">
        <w:rPr>
          <w:b/>
          <w:bCs/>
        </w:rPr>
        <w:t xml:space="preserve">  </w:t>
      </w:r>
    </w:p>
    <w:p w14:paraId="6D8AF7ED" w14:textId="5DB993F5" w:rsidR="00871B09" w:rsidRPr="000E2B99" w:rsidRDefault="00223B7A" w:rsidP="004B3761">
      <w:pPr>
        <w:widowControl/>
        <w:spacing w:line="360" w:lineRule="auto"/>
        <w:ind w:firstLine="1440"/>
        <w:rPr>
          <w:szCs w:val="26"/>
        </w:rPr>
      </w:pPr>
      <w:r w:rsidRPr="000E2B99">
        <w:rPr>
          <w:szCs w:val="26"/>
        </w:rPr>
        <w:t>We begin by considering the nature of the filing</w:t>
      </w:r>
      <w:r w:rsidR="00307A5B" w:rsidRPr="000E2B99">
        <w:rPr>
          <w:szCs w:val="26"/>
        </w:rPr>
        <w:t>s</w:t>
      </w:r>
      <w:r w:rsidRPr="000E2B99">
        <w:rPr>
          <w:szCs w:val="26"/>
        </w:rPr>
        <w:t xml:space="preserve"> before us, to determine the applicable legal standard of review.  </w:t>
      </w:r>
      <w:r w:rsidR="00210845" w:rsidRPr="000E2B99">
        <w:rPr>
          <w:szCs w:val="26"/>
        </w:rPr>
        <w:t>B</w:t>
      </w:r>
      <w:r w:rsidRPr="000E2B99">
        <w:rPr>
          <w:szCs w:val="26"/>
        </w:rPr>
        <w:t xml:space="preserve">ecause </w:t>
      </w:r>
      <w:r w:rsidR="000E3AA9">
        <w:rPr>
          <w:szCs w:val="26"/>
        </w:rPr>
        <w:t xml:space="preserve">Mr. Smiles </w:t>
      </w:r>
      <w:r w:rsidRPr="000E2B99">
        <w:rPr>
          <w:szCs w:val="26"/>
        </w:rPr>
        <w:t xml:space="preserve">is </w:t>
      </w:r>
      <w:r w:rsidR="00EF459E" w:rsidRPr="000E2B99">
        <w:rPr>
          <w:szCs w:val="26"/>
        </w:rPr>
        <w:t xml:space="preserve">not represented by an attorney, </w:t>
      </w:r>
      <w:r w:rsidRPr="000E2B99">
        <w:rPr>
          <w:szCs w:val="26"/>
        </w:rPr>
        <w:t xml:space="preserve">we </w:t>
      </w:r>
      <w:r w:rsidR="00EF459E" w:rsidRPr="000E2B99">
        <w:rPr>
          <w:szCs w:val="26"/>
        </w:rPr>
        <w:t xml:space="preserve">shall </w:t>
      </w:r>
      <w:r w:rsidRPr="000E2B99">
        <w:rPr>
          <w:szCs w:val="26"/>
        </w:rPr>
        <w:t>exercise our discretion</w:t>
      </w:r>
      <w:r w:rsidR="00EF459E" w:rsidRPr="000E2B99">
        <w:rPr>
          <w:szCs w:val="26"/>
        </w:rPr>
        <w:t xml:space="preserve"> </w:t>
      </w:r>
      <w:r w:rsidRPr="000E2B99">
        <w:rPr>
          <w:szCs w:val="26"/>
        </w:rPr>
        <w:t xml:space="preserve">to liberally </w:t>
      </w:r>
      <w:r w:rsidR="00087E1F" w:rsidRPr="000E2B99">
        <w:rPr>
          <w:szCs w:val="26"/>
        </w:rPr>
        <w:t xml:space="preserve">construe </w:t>
      </w:r>
      <w:r w:rsidRPr="000E2B99">
        <w:rPr>
          <w:szCs w:val="26"/>
        </w:rPr>
        <w:t xml:space="preserve">our </w:t>
      </w:r>
      <w:r w:rsidR="00EF459E" w:rsidRPr="000E2B99">
        <w:rPr>
          <w:szCs w:val="26"/>
        </w:rPr>
        <w:t xml:space="preserve">procedural </w:t>
      </w:r>
      <w:r w:rsidRPr="000E2B99">
        <w:rPr>
          <w:szCs w:val="26"/>
        </w:rPr>
        <w:t>Regulations</w:t>
      </w:r>
      <w:r w:rsidR="00EF459E" w:rsidRPr="000E2B99">
        <w:rPr>
          <w:szCs w:val="26"/>
        </w:rPr>
        <w:t xml:space="preserve"> </w:t>
      </w:r>
      <w:r w:rsidR="005E2B7C" w:rsidRPr="000E2B99">
        <w:rPr>
          <w:szCs w:val="26"/>
        </w:rPr>
        <w:t>“</w:t>
      </w:r>
      <w:r w:rsidR="00EF459E" w:rsidRPr="000E2B99">
        <w:rPr>
          <w:szCs w:val="26"/>
        </w:rPr>
        <w:t>to secure the just, speedy</w:t>
      </w:r>
      <w:r w:rsidR="00871B09" w:rsidRPr="000E2B99">
        <w:rPr>
          <w:szCs w:val="26"/>
        </w:rPr>
        <w:t>,</w:t>
      </w:r>
      <w:r w:rsidR="00EF459E" w:rsidRPr="000E2B99">
        <w:rPr>
          <w:szCs w:val="26"/>
        </w:rPr>
        <w:t xml:space="preserve"> and inexpensive determination</w:t>
      </w:r>
      <w:r w:rsidR="005E2B7C" w:rsidRPr="000E2B99">
        <w:rPr>
          <w:szCs w:val="26"/>
        </w:rPr>
        <w:t>”</w:t>
      </w:r>
      <w:r w:rsidR="00EF459E" w:rsidRPr="000E2B99">
        <w:rPr>
          <w:szCs w:val="26"/>
        </w:rPr>
        <w:t xml:space="preserve"> of this proceeding</w:t>
      </w:r>
      <w:r w:rsidR="00210845" w:rsidRPr="000E2B99">
        <w:rPr>
          <w:szCs w:val="26"/>
        </w:rPr>
        <w:t>.</w:t>
      </w:r>
      <w:r w:rsidR="00EF459E" w:rsidRPr="000E2B99">
        <w:rPr>
          <w:szCs w:val="26"/>
        </w:rPr>
        <w:t xml:space="preserve">  52</w:t>
      </w:r>
      <w:r w:rsidR="002E4893">
        <w:rPr>
          <w:szCs w:val="26"/>
        </w:rPr>
        <w:t> </w:t>
      </w:r>
      <w:r w:rsidR="00EF459E" w:rsidRPr="000E2B99">
        <w:rPr>
          <w:szCs w:val="26"/>
        </w:rPr>
        <w:t>Pa.</w:t>
      </w:r>
      <w:r w:rsidR="002E4893">
        <w:rPr>
          <w:szCs w:val="26"/>
        </w:rPr>
        <w:t> </w:t>
      </w:r>
      <w:r w:rsidR="00EF459E" w:rsidRPr="000E2B99">
        <w:rPr>
          <w:szCs w:val="26"/>
        </w:rPr>
        <w:t>Code § 1.2(a).</w:t>
      </w:r>
      <w:r w:rsidR="00871B09" w:rsidRPr="000E2B99">
        <w:rPr>
          <w:szCs w:val="26"/>
        </w:rPr>
        <w:t xml:space="preserve">  </w:t>
      </w:r>
      <w:r w:rsidR="004B3761">
        <w:rPr>
          <w:rFonts w:eastAsiaTheme="minorHAnsi"/>
          <w:szCs w:val="26"/>
          <w:lang w:val="en-GB"/>
        </w:rPr>
        <w:t xml:space="preserve">Due to the </w:t>
      </w:r>
      <w:r w:rsidR="00A9565C">
        <w:rPr>
          <w:rFonts w:eastAsiaTheme="minorHAnsi"/>
          <w:szCs w:val="26"/>
          <w:lang w:val="en-GB"/>
        </w:rPr>
        <w:t xml:space="preserve">unique circumstances involving the timing of </w:t>
      </w:r>
      <w:r w:rsidR="004B3761">
        <w:rPr>
          <w:rFonts w:eastAsiaTheme="minorHAnsi"/>
          <w:szCs w:val="26"/>
          <w:lang w:val="en-GB"/>
        </w:rPr>
        <w:t xml:space="preserve">the filing of the Petitions, and </w:t>
      </w:r>
      <w:r w:rsidR="00A9565C">
        <w:rPr>
          <w:rFonts w:eastAsiaTheme="minorHAnsi"/>
          <w:szCs w:val="26"/>
          <w:lang w:val="en-GB"/>
        </w:rPr>
        <w:t xml:space="preserve">further </w:t>
      </w:r>
      <w:r w:rsidR="004B3761">
        <w:rPr>
          <w:rFonts w:eastAsiaTheme="minorHAnsi"/>
          <w:szCs w:val="26"/>
          <w:lang w:val="en-GB"/>
        </w:rPr>
        <w:t xml:space="preserve">due to the substantive arguments raised in each Petition, we will review each Petition </w:t>
      </w:r>
      <w:bookmarkStart w:id="2" w:name="_Hlk47455254"/>
      <w:r w:rsidR="004B3761">
        <w:rPr>
          <w:rFonts w:eastAsiaTheme="minorHAnsi"/>
          <w:szCs w:val="26"/>
          <w:lang w:val="en-GB"/>
        </w:rPr>
        <w:t>under the Commission’s standard of review for petitions for rehearing</w:t>
      </w:r>
      <w:r w:rsidR="00D9417F">
        <w:rPr>
          <w:rFonts w:eastAsiaTheme="minorHAnsi"/>
          <w:szCs w:val="26"/>
          <w:lang w:val="en-GB"/>
        </w:rPr>
        <w:t>, clarification,</w:t>
      </w:r>
      <w:r w:rsidR="004B3761">
        <w:rPr>
          <w:rFonts w:eastAsiaTheme="minorHAnsi"/>
          <w:szCs w:val="26"/>
          <w:lang w:val="en-GB"/>
        </w:rPr>
        <w:t xml:space="preserve"> and reconsideration</w:t>
      </w:r>
      <w:r w:rsidR="00BE742E">
        <w:rPr>
          <w:rFonts w:eastAsiaTheme="minorHAnsi"/>
          <w:szCs w:val="26"/>
          <w:lang w:val="en-GB"/>
        </w:rPr>
        <w:t>, as explained</w:t>
      </w:r>
      <w:r w:rsidR="00A9565C">
        <w:rPr>
          <w:rFonts w:eastAsiaTheme="minorHAnsi"/>
          <w:szCs w:val="26"/>
          <w:lang w:val="en-GB"/>
        </w:rPr>
        <w:t xml:space="preserve"> </w:t>
      </w:r>
      <w:r w:rsidR="003B7EE7">
        <w:rPr>
          <w:rFonts w:eastAsiaTheme="minorHAnsi"/>
          <w:szCs w:val="26"/>
          <w:lang w:val="en-GB"/>
        </w:rPr>
        <w:t xml:space="preserve">in more detailed </w:t>
      </w:r>
      <w:r w:rsidR="00BE742E">
        <w:rPr>
          <w:rFonts w:eastAsiaTheme="minorHAnsi"/>
          <w:szCs w:val="26"/>
          <w:lang w:val="en-GB"/>
        </w:rPr>
        <w:t>below</w:t>
      </w:r>
      <w:r w:rsidR="004B3761">
        <w:rPr>
          <w:rFonts w:eastAsiaTheme="minorHAnsi"/>
          <w:szCs w:val="26"/>
          <w:lang w:val="en-GB"/>
        </w:rPr>
        <w:t>.</w:t>
      </w:r>
      <w:bookmarkEnd w:id="2"/>
    </w:p>
    <w:p w14:paraId="10183D8E" w14:textId="77777777" w:rsidR="00871B09" w:rsidRPr="000E2B99" w:rsidRDefault="00871B09" w:rsidP="00EF459E">
      <w:pPr>
        <w:widowControl/>
        <w:spacing w:line="360" w:lineRule="auto"/>
        <w:ind w:firstLine="1440"/>
        <w:rPr>
          <w:szCs w:val="26"/>
        </w:rPr>
      </w:pPr>
    </w:p>
    <w:p w14:paraId="5F3F3499" w14:textId="07E19A8C" w:rsidR="00210845" w:rsidRPr="00871B09" w:rsidRDefault="00A9565C" w:rsidP="00871B09">
      <w:pPr>
        <w:widowControl/>
        <w:spacing w:line="360" w:lineRule="auto"/>
        <w:ind w:firstLine="1440"/>
        <w:rPr>
          <w:szCs w:val="26"/>
        </w:rPr>
      </w:pPr>
      <w:r>
        <w:rPr>
          <w:rFonts w:eastAsiaTheme="minorHAnsi"/>
          <w:szCs w:val="26"/>
          <w:lang w:val="en-GB"/>
        </w:rPr>
        <w:t>As for the timing of the filings, we note that n</w:t>
      </w:r>
      <w:r w:rsidR="00223B7A" w:rsidRPr="000E2B99">
        <w:rPr>
          <w:rFonts w:eastAsiaTheme="minorHAnsi"/>
          <w:szCs w:val="26"/>
          <w:lang w:val="en-GB"/>
        </w:rPr>
        <w:t xml:space="preserve">o Exceptions were filed in this </w:t>
      </w:r>
      <w:r w:rsidR="003E5DCC" w:rsidRPr="000E2B99">
        <w:rPr>
          <w:rFonts w:eastAsiaTheme="minorHAnsi"/>
          <w:szCs w:val="26"/>
          <w:lang w:val="en-GB"/>
        </w:rPr>
        <w:t xml:space="preserve">proceeding </w:t>
      </w:r>
      <w:r w:rsidR="00223B7A" w:rsidRPr="000E2B99">
        <w:rPr>
          <w:rFonts w:eastAsiaTheme="minorHAnsi"/>
          <w:szCs w:val="26"/>
          <w:lang w:val="en-GB"/>
        </w:rPr>
        <w:t>by the required due date</w:t>
      </w:r>
      <w:r w:rsidR="00210845" w:rsidRPr="000E2B99">
        <w:rPr>
          <w:rFonts w:eastAsiaTheme="minorHAnsi"/>
          <w:szCs w:val="26"/>
          <w:lang w:val="en-GB"/>
        </w:rPr>
        <w:t xml:space="preserve">, </w:t>
      </w:r>
      <w:r w:rsidR="00546677" w:rsidRPr="000E2B99">
        <w:rPr>
          <w:rFonts w:eastAsiaTheme="minorHAnsi"/>
          <w:szCs w:val="26"/>
          <w:lang w:val="en-GB"/>
        </w:rPr>
        <w:t>which</w:t>
      </w:r>
      <w:r w:rsidR="003E5DCC" w:rsidRPr="000E2B99">
        <w:rPr>
          <w:rFonts w:eastAsiaTheme="minorHAnsi"/>
          <w:szCs w:val="26"/>
          <w:lang w:val="en-GB"/>
        </w:rPr>
        <w:t>,</w:t>
      </w:r>
      <w:r w:rsidR="00546677" w:rsidRPr="000E2B99">
        <w:rPr>
          <w:rFonts w:eastAsiaTheme="minorHAnsi"/>
          <w:szCs w:val="26"/>
          <w:lang w:val="en-GB"/>
        </w:rPr>
        <w:t xml:space="preserve"> </w:t>
      </w:r>
      <w:r w:rsidR="003E5DCC" w:rsidRPr="000E2B99">
        <w:rPr>
          <w:rFonts w:eastAsiaTheme="minorHAnsi"/>
          <w:szCs w:val="26"/>
          <w:lang w:val="en-GB"/>
        </w:rPr>
        <w:t xml:space="preserve">as noted above, </w:t>
      </w:r>
      <w:r w:rsidR="00546677" w:rsidRPr="000E2B99">
        <w:rPr>
          <w:rFonts w:eastAsiaTheme="minorHAnsi"/>
          <w:szCs w:val="26"/>
          <w:lang w:val="en-GB"/>
        </w:rPr>
        <w:t>was</w:t>
      </w:r>
      <w:r w:rsidR="00210845" w:rsidRPr="000E2B99">
        <w:rPr>
          <w:rFonts w:eastAsiaTheme="minorHAnsi"/>
          <w:szCs w:val="26"/>
          <w:lang w:val="en-GB"/>
        </w:rPr>
        <w:t xml:space="preserve"> August 1, 2019</w:t>
      </w:r>
      <w:r w:rsidR="00223B7A" w:rsidRPr="000E2B99">
        <w:rPr>
          <w:rFonts w:eastAsiaTheme="minorHAnsi"/>
          <w:szCs w:val="26"/>
          <w:lang w:val="en-GB"/>
        </w:rPr>
        <w:t>.</w:t>
      </w:r>
      <w:r w:rsidR="00210845" w:rsidRPr="000E2B99">
        <w:rPr>
          <w:rStyle w:val="FootnoteReference"/>
          <w:rFonts w:eastAsiaTheme="minorHAnsi"/>
          <w:szCs w:val="26"/>
          <w:lang w:val="en-GB"/>
        </w:rPr>
        <w:footnoteReference w:id="5"/>
      </w:r>
      <w:r w:rsidR="00087E1F" w:rsidRPr="000E2B99">
        <w:rPr>
          <w:rFonts w:eastAsiaTheme="minorHAnsi"/>
          <w:szCs w:val="26"/>
          <w:lang w:val="en-GB"/>
        </w:rPr>
        <w:t xml:space="preserve">  </w:t>
      </w:r>
      <w:r w:rsidR="00087E1F" w:rsidRPr="000E2B99">
        <w:rPr>
          <w:szCs w:val="26"/>
        </w:rPr>
        <w:lastRenderedPageBreak/>
        <w:t xml:space="preserve">Because no </w:t>
      </w:r>
      <w:r w:rsidR="00087E1F">
        <w:rPr>
          <w:szCs w:val="26"/>
        </w:rPr>
        <w:t>Exceptions were filed by the required due date</w:t>
      </w:r>
      <w:r w:rsidR="00087E1F" w:rsidRPr="004B5EBC">
        <w:rPr>
          <w:szCs w:val="26"/>
        </w:rPr>
        <w:t xml:space="preserve">, </w:t>
      </w:r>
      <w:r w:rsidR="003E5DCC">
        <w:rPr>
          <w:szCs w:val="26"/>
        </w:rPr>
        <w:t>by operation of law pursuant to 66 Pa. C.S. § 332(h),</w:t>
      </w:r>
      <w:r w:rsidR="003E5DCC">
        <w:rPr>
          <w:rStyle w:val="FootnoteReference"/>
          <w:szCs w:val="26"/>
        </w:rPr>
        <w:footnoteReference w:id="6"/>
      </w:r>
      <w:r w:rsidR="003E5DCC">
        <w:rPr>
          <w:szCs w:val="26"/>
        </w:rPr>
        <w:t xml:space="preserve"> </w:t>
      </w:r>
      <w:r w:rsidR="00087E1F" w:rsidRPr="004B5EBC">
        <w:rPr>
          <w:szCs w:val="26"/>
        </w:rPr>
        <w:t xml:space="preserve">the </w:t>
      </w:r>
      <w:r w:rsidR="00087E1F">
        <w:rPr>
          <w:szCs w:val="26"/>
        </w:rPr>
        <w:t>Initial D</w:t>
      </w:r>
      <w:r w:rsidR="00087E1F" w:rsidRPr="004B5EBC">
        <w:rPr>
          <w:szCs w:val="26"/>
        </w:rPr>
        <w:t xml:space="preserve">ecision of </w:t>
      </w:r>
      <w:r w:rsidR="00087E1F">
        <w:rPr>
          <w:szCs w:val="26"/>
        </w:rPr>
        <w:t xml:space="preserve">ALJ Barnes </w:t>
      </w:r>
      <w:r w:rsidR="00087E1F" w:rsidRPr="004B5EBC">
        <w:rPr>
          <w:szCs w:val="26"/>
        </w:rPr>
        <w:t>became final without further Commission</w:t>
      </w:r>
      <w:r w:rsidR="002E5BE0">
        <w:rPr>
          <w:szCs w:val="26"/>
        </w:rPr>
        <w:t xml:space="preserve"> action</w:t>
      </w:r>
      <w:r w:rsidR="003E5DCC">
        <w:rPr>
          <w:szCs w:val="26"/>
        </w:rPr>
        <w:t>.</w:t>
      </w:r>
      <w:r w:rsidR="00087E1F">
        <w:rPr>
          <w:szCs w:val="26"/>
        </w:rPr>
        <w:t xml:space="preserve"> </w:t>
      </w:r>
      <w:r w:rsidR="004E4B12">
        <w:rPr>
          <w:szCs w:val="26"/>
        </w:rPr>
        <w:t xml:space="preserve"> </w:t>
      </w:r>
      <w:r w:rsidR="00871B09">
        <w:rPr>
          <w:szCs w:val="26"/>
        </w:rPr>
        <w:t>O</w:t>
      </w:r>
      <w:r w:rsidR="00087E1F">
        <w:rPr>
          <w:szCs w:val="26"/>
        </w:rPr>
        <w:t>n August 23, 20</w:t>
      </w:r>
      <w:r w:rsidR="00871B09">
        <w:rPr>
          <w:szCs w:val="26"/>
        </w:rPr>
        <w:t>19</w:t>
      </w:r>
      <w:r w:rsidR="00087E1F">
        <w:rPr>
          <w:szCs w:val="26"/>
        </w:rPr>
        <w:t>, a Final Order was entered by the Commission, stating as much</w:t>
      </w:r>
      <w:r w:rsidR="004E4B12">
        <w:rPr>
          <w:szCs w:val="26"/>
        </w:rPr>
        <w:t>,</w:t>
      </w:r>
      <w:r w:rsidR="005E2B7C">
        <w:rPr>
          <w:szCs w:val="26"/>
        </w:rPr>
        <w:t xml:space="preserve"> and dismissing the Complaint</w:t>
      </w:r>
      <w:r w:rsidR="00087E1F">
        <w:rPr>
          <w:szCs w:val="26"/>
        </w:rPr>
        <w:t xml:space="preserve">.  </w:t>
      </w:r>
      <w:r w:rsidR="000E3AA9">
        <w:rPr>
          <w:szCs w:val="26"/>
        </w:rPr>
        <w:t xml:space="preserve">Mr. Smiles </w:t>
      </w:r>
      <w:r w:rsidR="00087E1F">
        <w:rPr>
          <w:rFonts w:eastAsiaTheme="minorHAnsi"/>
          <w:szCs w:val="26"/>
          <w:lang w:val="en-GB"/>
        </w:rPr>
        <w:t xml:space="preserve">filed the instant Petitions on August 19, 2019, which was a total of eighteen days </w:t>
      </w:r>
      <w:r w:rsidR="00087E1F" w:rsidRPr="00466270">
        <w:rPr>
          <w:rFonts w:eastAsiaTheme="minorHAnsi"/>
          <w:szCs w:val="26"/>
          <w:lang w:val="en-GB"/>
        </w:rPr>
        <w:t xml:space="preserve">after </w:t>
      </w:r>
      <w:r w:rsidR="00087E1F">
        <w:rPr>
          <w:rFonts w:eastAsiaTheme="minorHAnsi"/>
          <w:szCs w:val="26"/>
          <w:lang w:val="en-GB"/>
        </w:rPr>
        <w:t xml:space="preserve">the </w:t>
      </w:r>
      <w:r w:rsidR="002B73BF">
        <w:rPr>
          <w:rFonts w:eastAsiaTheme="minorHAnsi"/>
          <w:szCs w:val="26"/>
          <w:lang w:val="en-GB"/>
        </w:rPr>
        <w:t xml:space="preserve">date the </w:t>
      </w:r>
      <w:r w:rsidR="00466270">
        <w:rPr>
          <w:rFonts w:eastAsiaTheme="minorHAnsi"/>
          <w:szCs w:val="26"/>
          <w:lang w:val="en-GB"/>
        </w:rPr>
        <w:t xml:space="preserve">Initial Decision become final by operation of law.  However, the </w:t>
      </w:r>
      <w:r w:rsidR="001F6049">
        <w:rPr>
          <w:rFonts w:eastAsiaTheme="minorHAnsi"/>
          <w:szCs w:val="26"/>
          <w:lang w:val="en-GB"/>
        </w:rPr>
        <w:t xml:space="preserve">timing </w:t>
      </w:r>
      <w:r w:rsidR="000E2B99">
        <w:rPr>
          <w:rFonts w:eastAsiaTheme="minorHAnsi"/>
          <w:szCs w:val="26"/>
          <w:lang w:val="en-GB"/>
        </w:rPr>
        <w:t xml:space="preserve">of the filings </w:t>
      </w:r>
      <w:r w:rsidR="0036522A">
        <w:rPr>
          <w:rFonts w:eastAsiaTheme="minorHAnsi"/>
          <w:szCs w:val="26"/>
          <w:lang w:val="en-GB"/>
        </w:rPr>
        <w:t>was</w:t>
      </w:r>
      <w:r w:rsidR="00466270">
        <w:rPr>
          <w:rFonts w:eastAsiaTheme="minorHAnsi"/>
          <w:szCs w:val="26"/>
          <w:lang w:val="en-GB"/>
        </w:rPr>
        <w:t xml:space="preserve"> </w:t>
      </w:r>
      <w:r w:rsidR="000E2B99">
        <w:rPr>
          <w:rFonts w:eastAsiaTheme="minorHAnsi"/>
          <w:szCs w:val="26"/>
          <w:lang w:val="en-GB"/>
        </w:rPr>
        <w:t>also p</w:t>
      </w:r>
      <w:r w:rsidR="001F6049">
        <w:rPr>
          <w:rFonts w:eastAsiaTheme="minorHAnsi"/>
          <w:szCs w:val="26"/>
          <w:lang w:val="en-GB"/>
        </w:rPr>
        <w:t>remature</w:t>
      </w:r>
      <w:r>
        <w:rPr>
          <w:rFonts w:eastAsiaTheme="minorHAnsi"/>
          <w:szCs w:val="26"/>
          <w:lang w:val="en-GB"/>
        </w:rPr>
        <w:t xml:space="preserve"> in that the</w:t>
      </w:r>
      <w:r w:rsidR="000E2B99">
        <w:rPr>
          <w:rFonts w:eastAsiaTheme="minorHAnsi"/>
          <w:szCs w:val="26"/>
          <w:lang w:val="en-GB"/>
        </w:rPr>
        <w:t xml:space="preserve"> Petitions were filed </w:t>
      </w:r>
      <w:r w:rsidR="0080099A">
        <w:rPr>
          <w:rFonts w:eastAsiaTheme="minorHAnsi"/>
          <w:szCs w:val="26"/>
          <w:lang w:val="en-GB"/>
        </w:rPr>
        <w:t>four days before t</w:t>
      </w:r>
      <w:r w:rsidR="0036522A">
        <w:rPr>
          <w:rFonts w:eastAsiaTheme="minorHAnsi"/>
          <w:szCs w:val="26"/>
          <w:lang w:val="en-GB"/>
        </w:rPr>
        <w:t>he Final Order</w:t>
      </w:r>
      <w:r w:rsidR="0080099A">
        <w:rPr>
          <w:rFonts w:eastAsiaTheme="minorHAnsi"/>
          <w:szCs w:val="26"/>
          <w:lang w:val="en-GB"/>
        </w:rPr>
        <w:t xml:space="preserve"> was entered</w:t>
      </w:r>
      <w:r w:rsidR="00087E1F">
        <w:rPr>
          <w:rFonts w:eastAsiaTheme="minorHAnsi"/>
          <w:szCs w:val="26"/>
          <w:lang w:val="en-GB"/>
        </w:rPr>
        <w:t xml:space="preserve">. </w:t>
      </w:r>
      <w:r w:rsidR="00436AF5">
        <w:rPr>
          <w:rFonts w:eastAsiaTheme="minorHAnsi"/>
          <w:szCs w:val="26"/>
          <w:lang w:val="en-GB"/>
        </w:rPr>
        <w:t xml:space="preserve"> Due to the</w:t>
      </w:r>
      <w:r w:rsidR="00D9417F">
        <w:rPr>
          <w:rFonts w:eastAsiaTheme="minorHAnsi"/>
          <w:szCs w:val="26"/>
          <w:lang w:val="en-GB"/>
        </w:rPr>
        <w:t>se</w:t>
      </w:r>
      <w:r w:rsidR="00436AF5">
        <w:rPr>
          <w:rFonts w:eastAsiaTheme="minorHAnsi"/>
          <w:szCs w:val="26"/>
          <w:lang w:val="en-GB"/>
        </w:rPr>
        <w:t xml:space="preserve"> </w:t>
      </w:r>
      <w:r>
        <w:rPr>
          <w:rFonts w:eastAsiaTheme="minorHAnsi"/>
          <w:szCs w:val="26"/>
          <w:lang w:val="en-GB"/>
        </w:rPr>
        <w:t>unique circumstances</w:t>
      </w:r>
      <w:r w:rsidR="00D9417F">
        <w:rPr>
          <w:rFonts w:eastAsiaTheme="minorHAnsi"/>
          <w:szCs w:val="26"/>
          <w:lang w:val="en-GB"/>
        </w:rPr>
        <w:t xml:space="preserve"> </w:t>
      </w:r>
      <w:r>
        <w:rPr>
          <w:rFonts w:eastAsiaTheme="minorHAnsi"/>
          <w:szCs w:val="26"/>
          <w:lang w:val="en-GB"/>
        </w:rPr>
        <w:t>regarding the timing</w:t>
      </w:r>
      <w:r w:rsidR="00436AF5">
        <w:rPr>
          <w:rFonts w:eastAsiaTheme="minorHAnsi"/>
          <w:szCs w:val="26"/>
          <w:lang w:val="en-GB"/>
        </w:rPr>
        <w:t xml:space="preserve"> of the filing of </w:t>
      </w:r>
      <w:r w:rsidR="000E3AA9">
        <w:rPr>
          <w:rFonts w:eastAsiaTheme="minorHAnsi"/>
          <w:szCs w:val="26"/>
          <w:lang w:val="en-GB"/>
        </w:rPr>
        <w:t>Mr. Smiles’</w:t>
      </w:r>
      <w:r w:rsidR="00D9417F">
        <w:rPr>
          <w:rFonts w:eastAsiaTheme="minorHAnsi"/>
          <w:szCs w:val="26"/>
          <w:lang w:val="en-GB"/>
        </w:rPr>
        <w:t xml:space="preserve"> </w:t>
      </w:r>
      <w:r w:rsidR="00436AF5">
        <w:rPr>
          <w:rFonts w:eastAsiaTheme="minorHAnsi"/>
          <w:szCs w:val="26"/>
          <w:lang w:val="en-GB"/>
        </w:rPr>
        <w:t xml:space="preserve">Petitions </w:t>
      </w:r>
      <w:r>
        <w:rPr>
          <w:rFonts w:eastAsiaTheme="minorHAnsi"/>
          <w:szCs w:val="26"/>
          <w:lang w:val="en-GB"/>
        </w:rPr>
        <w:t xml:space="preserve">(1) </w:t>
      </w:r>
      <w:r w:rsidR="00AE3F1F">
        <w:rPr>
          <w:rFonts w:eastAsiaTheme="minorHAnsi"/>
          <w:szCs w:val="26"/>
          <w:lang w:val="en-GB"/>
        </w:rPr>
        <w:t>after the Initial Decision became final by operation of law</w:t>
      </w:r>
      <w:r>
        <w:rPr>
          <w:rFonts w:eastAsiaTheme="minorHAnsi"/>
          <w:szCs w:val="26"/>
          <w:lang w:val="en-GB"/>
        </w:rPr>
        <w:t>,</w:t>
      </w:r>
      <w:r w:rsidR="00AE3F1F">
        <w:rPr>
          <w:rFonts w:eastAsiaTheme="minorHAnsi"/>
          <w:szCs w:val="26"/>
          <w:lang w:val="en-GB"/>
        </w:rPr>
        <w:t xml:space="preserve"> </w:t>
      </w:r>
      <w:r>
        <w:rPr>
          <w:rFonts w:eastAsiaTheme="minorHAnsi"/>
          <w:szCs w:val="26"/>
          <w:lang w:val="en-GB"/>
        </w:rPr>
        <w:t>but (2)</w:t>
      </w:r>
      <w:r w:rsidR="00AE3F1F">
        <w:rPr>
          <w:rFonts w:eastAsiaTheme="minorHAnsi"/>
          <w:szCs w:val="26"/>
          <w:lang w:val="en-GB"/>
        </w:rPr>
        <w:t xml:space="preserve"> </w:t>
      </w:r>
      <w:r w:rsidR="00436AF5">
        <w:rPr>
          <w:rFonts w:eastAsiaTheme="minorHAnsi"/>
          <w:szCs w:val="26"/>
          <w:lang w:val="en-GB"/>
        </w:rPr>
        <w:t xml:space="preserve">before the Final Order was entered, </w:t>
      </w:r>
      <w:r w:rsidR="00AE3F1F">
        <w:rPr>
          <w:rFonts w:eastAsiaTheme="minorHAnsi"/>
          <w:szCs w:val="26"/>
          <w:lang w:val="en-GB"/>
        </w:rPr>
        <w:t xml:space="preserve">in our discretion </w:t>
      </w:r>
      <w:r w:rsidR="00436AF5">
        <w:rPr>
          <w:rFonts w:eastAsiaTheme="minorHAnsi"/>
          <w:szCs w:val="26"/>
          <w:lang w:val="en-GB"/>
        </w:rPr>
        <w:t>we will deem the filings as timely under Section 5.572(c)</w:t>
      </w:r>
      <w:r w:rsidR="00AE3F1F">
        <w:rPr>
          <w:rFonts w:eastAsiaTheme="minorHAnsi"/>
          <w:szCs w:val="26"/>
          <w:lang w:val="en-GB"/>
        </w:rPr>
        <w:t xml:space="preserve"> (re:</w:t>
      </w:r>
      <w:r w:rsidR="002E4893">
        <w:rPr>
          <w:rFonts w:eastAsiaTheme="minorHAnsi"/>
          <w:szCs w:val="26"/>
          <w:lang w:val="en-GB"/>
        </w:rPr>
        <w:t> </w:t>
      </w:r>
      <w:r w:rsidR="00AE3F1F">
        <w:rPr>
          <w:rFonts w:eastAsiaTheme="minorHAnsi"/>
          <w:szCs w:val="26"/>
          <w:lang w:val="en-GB"/>
        </w:rPr>
        <w:t xml:space="preserve">petitions for </w:t>
      </w:r>
      <w:r w:rsidR="00D9417F">
        <w:rPr>
          <w:rFonts w:eastAsiaTheme="minorHAnsi"/>
          <w:szCs w:val="26"/>
          <w:lang w:val="en-GB"/>
        </w:rPr>
        <w:t xml:space="preserve">reconsideration, </w:t>
      </w:r>
      <w:r w:rsidR="00AE3F1F">
        <w:rPr>
          <w:rFonts w:eastAsiaTheme="minorHAnsi"/>
          <w:szCs w:val="26"/>
          <w:lang w:val="en-GB"/>
        </w:rPr>
        <w:t>rehearing</w:t>
      </w:r>
      <w:r w:rsidR="00D9417F">
        <w:rPr>
          <w:rFonts w:eastAsiaTheme="minorHAnsi"/>
          <w:szCs w:val="26"/>
          <w:lang w:val="en-GB"/>
        </w:rPr>
        <w:t>,</w:t>
      </w:r>
      <w:r w:rsidR="00AE3F1F">
        <w:rPr>
          <w:rFonts w:eastAsiaTheme="minorHAnsi"/>
          <w:szCs w:val="26"/>
          <w:lang w:val="en-GB"/>
        </w:rPr>
        <w:t xml:space="preserve"> or </w:t>
      </w:r>
      <w:r w:rsidR="00D9417F">
        <w:rPr>
          <w:rFonts w:eastAsiaTheme="minorHAnsi"/>
          <w:szCs w:val="26"/>
          <w:lang w:val="en-GB"/>
        </w:rPr>
        <w:t>clarification</w:t>
      </w:r>
      <w:r w:rsidR="00AE3F1F">
        <w:rPr>
          <w:rFonts w:eastAsiaTheme="minorHAnsi"/>
          <w:szCs w:val="26"/>
          <w:lang w:val="en-GB"/>
        </w:rPr>
        <w:t>)</w:t>
      </w:r>
      <w:r w:rsidR="00436AF5">
        <w:rPr>
          <w:rFonts w:eastAsiaTheme="minorHAnsi"/>
          <w:szCs w:val="26"/>
          <w:lang w:val="en-GB"/>
        </w:rPr>
        <w:t>.</w:t>
      </w:r>
      <w:r w:rsidR="00436AF5">
        <w:rPr>
          <w:rStyle w:val="FootnoteReference"/>
          <w:rFonts w:eastAsiaTheme="minorHAnsi"/>
          <w:szCs w:val="26"/>
          <w:lang w:val="en-GB"/>
        </w:rPr>
        <w:footnoteReference w:id="7"/>
      </w:r>
    </w:p>
    <w:p w14:paraId="6AA5C634" w14:textId="77777777" w:rsidR="00210845" w:rsidRDefault="00210845" w:rsidP="00210845">
      <w:pPr>
        <w:widowControl/>
        <w:spacing w:line="360" w:lineRule="auto"/>
        <w:rPr>
          <w:rFonts w:eastAsiaTheme="minorHAnsi"/>
          <w:szCs w:val="26"/>
          <w:lang w:val="en-GB"/>
        </w:rPr>
      </w:pPr>
    </w:p>
    <w:p w14:paraId="4F0ED0BB" w14:textId="457F08B4" w:rsidR="00D9417F" w:rsidRDefault="004B3761" w:rsidP="004203A9">
      <w:pPr>
        <w:widowControl/>
        <w:spacing w:line="360" w:lineRule="auto"/>
        <w:ind w:firstLine="1440"/>
        <w:rPr>
          <w:rFonts w:eastAsiaTheme="minorHAnsi"/>
          <w:szCs w:val="26"/>
          <w:lang w:val="en-GB"/>
        </w:rPr>
      </w:pPr>
      <w:r>
        <w:rPr>
          <w:rFonts w:eastAsiaTheme="minorHAnsi"/>
          <w:szCs w:val="26"/>
          <w:lang w:val="en-GB"/>
        </w:rPr>
        <w:t>As for</w:t>
      </w:r>
      <w:r w:rsidR="00436AF5">
        <w:rPr>
          <w:rFonts w:eastAsiaTheme="minorHAnsi"/>
          <w:szCs w:val="26"/>
          <w:lang w:val="en-GB"/>
        </w:rPr>
        <w:t xml:space="preserve"> the substantive arguments raised in each Petition, we </w:t>
      </w:r>
      <w:r>
        <w:rPr>
          <w:rFonts w:eastAsiaTheme="minorHAnsi"/>
          <w:szCs w:val="26"/>
          <w:lang w:val="en-GB"/>
        </w:rPr>
        <w:t xml:space="preserve">note </w:t>
      </w:r>
      <w:r w:rsidR="000E3AA9">
        <w:rPr>
          <w:rFonts w:eastAsiaTheme="minorHAnsi"/>
          <w:szCs w:val="26"/>
          <w:lang w:val="en-GB"/>
        </w:rPr>
        <w:t>Mr. Smiles’</w:t>
      </w:r>
      <w:r w:rsidR="00871B09">
        <w:rPr>
          <w:rFonts w:eastAsiaTheme="minorHAnsi"/>
          <w:szCs w:val="26"/>
          <w:lang w:val="en-GB"/>
        </w:rPr>
        <w:t xml:space="preserve"> </w:t>
      </w:r>
      <w:r w:rsidR="00466270">
        <w:rPr>
          <w:rFonts w:eastAsiaTheme="minorHAnsi"/>
          <w:szCs w:val="26"/>
          <w:lang w:val="en-GB"/>
        </w:rPr>
        <w:t xml:space="preserve">First </w:t>
      </w:r>
      <w:r w:rsidR="00546677">
        <w:rPr>
          <w:rFonts w:eastAsiaTheme="minorHAnsi"/>
          <w:szCs w:val="26"/>
          <w:lang w:val="en-GB"/>
        </w:rPr>
        <w:t>Petition</w:t>
      </w:r>
      <w:r w:rsidR="00210845">
        <w:rPr>
          <w:rFonts w:eastAsiaTheme="minorHAnsi"/>
          <w:szCs w:val="26"/>
          <w:lang w:val="en-GB"/>
        </w:rPr>
        <w:t xml:space="preserve"> i</w:t>
      </w:r>
      <w:r w:rsidR="00223B7A">
        <w:rPr>
          <w:rFonts w:eastAsiaTheme="minorHAnsi"/>
          <w:szCs w:val="26"/>
          <w:lang w:val="en-GB"/>
        </w:rPr>
        <w:t xml:space="preserve">s titled, in part, as a </w:t>
      </w:r>
      <w:r w:rsidR="00546677">
        <w:rPr>
          <w:rFonts w:eastAsiaTheme="minorHAnsi"/>
          <w:szCs w:val="26"/>
          <w:lang w:val="en-GB"/>
        </w:rPr>
        <w:t>“</w:t>
      </w:r>
      <w:r w:rsidR="00223B7A">
        <w:rPr>
          <w:rFonts w:eastAsiaTheme="minorHAnsi"/>
          <w:szCs w:val="26"/>
          <w:lang w:val="en-GB"/>
        </w:rPr>
        <w:t>Petition for Rehearing and/or Reconsideration.</w:t>
      </w:r>
      <w:r w:rsidR="00546677">
        <w:rPr>
          <w:rFonts w:eastAsiaTheme="minorHAnsi"/>
          <w:szCs w:val="26"/>
          <w:lang w:val="en-GB"/>
        </w:rPr>
        <w:t>”</w:t>
      </w:r>
      <w:r w:rsidR="00223B7A">
        <w:rPr>
          <w:rFonts w:eastAsiaTheme="minorHAnsi"/>
          <w:szCs w:val="26"/>
          <w:lang w:val="en-GB"/>
        </w:rPr>
        <w:t xml:space="preserve"> </w:t>
      </w:r>
      <w:r w:rsidR="00546677">
        <w:rPr>
          <w:rFonts w:eastAsiaTheme="minorHAnsi"/>
          <w:szCs w:val="26"/>
          <w:lang w:val="en-GB"/>
        </w:rPr>
        <w:t xml:space="preserve"> In his </w:t>
      </w:r>
      <w:r w:rsidR="00A62FA4">
        <w:rPr>
          <w:rFonts w:eastAsiaTheme="minorHAnsi"/>
          <w:szCs w:val="26"/>
          <w:lang w:val="en-GB"/>
        </w:rPr>
        <w:t>First Petition</w:t>
      </w:r>
      <w:r w:rsidR="00546677">
        <w:rPr>
          <w:rFonts w:eastAsiaTheme="minorHAnsi"/>
          <w:szCs w:val="26"/>
          <w:lang w:val="en-GB"/>
        </w:rPr>
        <w:t xml:space="preserve">, </w:t>
      </w:r>
      <w:r w:rsidR="000E3AA9">
        <w:rPr>
          <w:rFonts w:eastAsiaTheme="minorHAnsi"/>
          <w:szCs w:val="26"/>
          <w:lang w:val="en-GB"/>
        </w:rPr>
        <w:t>Mr. Smiles</w:t>
      </w:r>
      <w:r w:rsidR="00546677">
        <w:rPr>
          <w:rFonts w:eastAsiaTheme="minorHAnsi"/>
          <w:szCs w:val="26"/>
          <w:lang w:val="en-GB"/>
        </w:rPr>
        <w:t xml:space="preserve"> claims he was not afforded due process in this proceeding because he never received service of the Initial Decision from the Commission.  </w:t>
      </w:r>
      <w:r w:rsidR="004203A9">
        <w:rPr>
          <w:rFonts w:eastAsiaTheme="minorHAnsi"/>
          <w:szCs w:val="26"/>
          <w:lang w:val="en-GB"/>
        </w:rPr>
        <w:t xml:space="preserve">First Petition at 1-2, 4.  </w:t>
      </w:r>
      <w:r w:rsidR="00307A5B">
        <w:rPr>
          <w:rFonts w:eastAsiaTheme="minorHAnsi"/>
          <w:szCs w:val="26"/>
          <w:lang w:val="en-GB"/>
        </w:rPr>
        <w:t xml:space="preserve">He also requests a rehearing because he claims he “was forced to participate in [the] hearing while in a debilitated condition.”  </w:t>
      </w:r>
      <w:r w:rsidR="004203A9">
        <w:rPr>
          <w:rFonts w:eastAsiaTheme="minorHAnsi"/>
          <w:szCs w:val="26"/>
          <w:lang w:val="en-GB"/>
        </w:rPr>
        <w:t xml:space="preserve">First Petition at 3.  </w:t>
      </w:r>
      <w:r w:rsidR="00307A5B">
        <w:rPr>
          <w:rFonts w:eastAsiaTheme="minorHAnsi"/>
          <w:szCs w:val="26"/>
          <w:lang w:val="en-GB"/>
        </w:rPr>
        <w:t xml:space="preserve">He does not, however, request the Commission </w:t>
      </w:r>
      <w:r w:rsidR="003B7EE7">
        <w:rPr>
          <w:rFonts w:eastAsiaTheme="minorHAnsi"/>
          <w:szCs w:val="26"/>
          <w:lang w:val="en-GB"/>
        </w:rPr>
        <w:t xml:space="preserve">to </w:t>
      </w:r>
      <w:r w:rsidR="00307A5B">
        <w:rPr>
          <w:rFonts w:eastAsiaTheme="minorHAnsi"/>
          <w:szCs w:val="26"/>
          <w:lang w:val="en-GB"/>
        </w:rPr>
        <w:t xml:space="preserve">reopen the record for the </w:t>
      </w:r>
      <w:r w:rsidR="00307A5B">
        <w:rPr>
          <w:rFonts w:eastAsiaTheme="minorHAnsi"/>
          <w:szCs w:val="26"/>
          <w:lang w:val="en-GB"/>
        </w:rPr>
        <w:lastRenderedPageBreak/>
        <w:t>purpose of taking additional evidence.</w:t>
      </w:r>
      <w:r w:rsidR="00466270">
        <w:rPr>
          <w:rStyle w:val="FootnoteReference"/>
          <w:rFonts w:eastAsiaTheme="minorHAnsi"/>
          <w:szCs w:val="26"/>
          <w:lang w:val="en-GB"/>
        </w:rPr>
        <w:footnoteReference w:id="8"/>
      </w:r>
      <w:r w:rsidR="00307A5B">
        <w:rPr>
          <w:rFonts w:eastAsiaTheme="minorHAnsi"/>
          <w:szCs w:val="26"/>
          <w:lang w:val="en-GB"/>
        </w:rPr>
        <w:t xml:space="preserve">  </w:t>
      </w:r>
      <w:r w:rsidR="00466270">
        <w:rPr>
          <w:rFonts w:eastAsiaTheme="minorHAnsi"/>
          <w:szCs w:val="26"/>
          <w:lang w:val="en-GB"/>
        </w:rPr>
        <w:t xml:space="preserve">Thus, based </w:t>
      </w:r>
      <w:r w:rsidR="001D3BA7">
        <w:rPr>
          <w:rFonts w:eastAsiaTheme="minorHAnsi"/>
          <w:szCs w:val="26"/>
          <w:lang w:val="en-GB"/>
        </w:rPr>
        <w:t xml:space="preserve">on </w:t>
      </w:r>
      <w:r w:rsidR="00466270">
        <w:rPr>
          <w:rFonts w:eastAsiaTheme="minorHAnsi"/>
          <w:szCs w:val="26"/>
          <w:lang w:val="en-GB"/>
        </w:rPr>
        <w:t>the substance of the arguments raised in the First Petition, we will review the First Petition as a petition for reconsideration and rehearin</w:t>
      </w:r>
      <w:r>
        <w:rPr>
          <w:rFonts w:eastAsiaTheme="minorHAnsi"/>
          <w:szCs w:val="26"/>
          <w:lang w:val="en-GB"/>
        </w:rPr>
        <w:t>g</w:t>
      </w:r>
      <w:r w:rsidR="00466270">
        <w:rPr>
          <w:rFonts w:eastAsiaTheme="minorHAnsi"/>
          <w:szCs w:val="26"/>
          <w:lang w:val="en-GB"/>
        </w:rPr>
        <w:t>.</w:t>
      </w:r>
      <w:r>
        <w:rPr>
          <w:rFonts w:eastAsiaTheme="minorHAnsi"/>
          <w:szCs w:val="26"/>
          <w:lang w:val="en-GB"/>
        </w:rPr>
        <w:t xml:space="preserve">  </w:t>
      </w:r>
    </w:p>
    <w:p w14:paraId="3E401A3B" w14:textId="77777777" w:rsidR="00D9417F" w:rsidRDefault="00D9417F" w:rsidP="004203A9">
      <w:pPr>
        <w:widowControl/>
        <w:spacing w:line="360" w:lineRule="auto"/>
        <w:ind w:firstLine="1440"/>
        <w:rPr>
          <w:rFonts w:eastAsiaTheme="minorHAnsi"/>
          <w:szCs w:val="26"/>
          <w:lang w:val="en-GB"/>
        </w:rPr>
      </w:pPr>
    </w:p>
    <w:p w14:paraId="612656F8" w14:textId="6D8442D7" w:rsidR="00A9565C" w:rsidRDefault="004B3761" w:rsidP="004203A9">
      <w:pPr>
        <w:widowControl/>
        <w:spacing w:line="360" w:lineRule="auto"/>
        <w:ind w:firstLine="1440"/>
        <w:rPr>
          <w:szCs w:val="26"/>
        </w:rPr>
      </w:pPr>
      <w:r>
        <w:rPr>
          <w:szCs w:val="26"/>
        </w:rPr>
        <w:t>Meanwhile, i</w:t>
      </w:r>
      <w:r w:rsidR="00C03B19">
        <w:rPr>
          <w:szCs w:val="26"/>
        </w:rPr>
        <w:t xml:space="preserve">n his Second Petition, </w:t>
      </w:r>
      <w:r w:rsidR="000E3AA9">
        <w:rPr>
          <w:szCs w:val="26"/>
        </w:rPr>
        <w:t>Mr. Smiles</w:t>
      </w:r>
      <w:r w:rsidR="00C03B19">
        <w:rPr>
          <w:szCs w:val="26"/>
        </w:rPr>
        <w:t xml:space="preserve"> </w:t>
      </w:r>
      <w:r w:rsidR="004203A9">
        <w:rPr>
          <w:szCs w:val="26"/>
        </w:rPr>
        <w:t xml:space="preserve">“calls for clarification of jurisdiction” of </w:t>
      </w:r>
      <w:r w:rsidR="00C03B19">
        <w:rPr>
          <w:szCs w:val="26"/>
        </w:rPr>
        <w:t>the Commission</w:t>
      </w:r>
      <w:r w:rsidR="004203A9">
        <w:rPr>
          <w:szCs w:val="26"/>
        </w:rPr>
        <w:t>’s authority</w:t>
      </w:r>
      <w:r w:rsidR="00AE3F1F">
        <w:rPr>
          <w:szCs w:val="26"/>
        </w:rPr>
        <w:t xml:space="preserve"> to</w:t>
      </w:r>
      <w:r w:rsidR="00A9565C">
        <w:rPr>
          <w:szCs w:val="26"/>
        </w:rPr>
        <w:t xml:space="preserve"> adjudicate</w:t>
      </w:r>
      <w:r>
        <w:rPr>
          <w:szCs w:val="26"/>
        </w:rPr>
        <w:t xml:space="preserve"> his</w:t>
      </w:r>
      <w:r w:rsidR="00A9565C">
        <w:rPr>
          <w:szCs w:val="26"/>
        </w:rPr>
        <w:t xml:space="preserve"> smart meter</w:t>
      </w:r>
      <w:r>
        <w:rPr>
          <w:szCs w:val="26"/>
        </w:rPr>
        <w:t xml:space="preserve"> Complaint</w:t>
      </w:r>
      <w:r w:rsidR="004203A9">
        <w:rPr>
          <w:szCs w:val="26"/>
        </w:rPr>
        <w:t xml:space="preserve">, essentially arguing that the Commission </w:t>
      </w:r>
      <w:r w:rsidR="00BF2A85">
        <w:rPr>
          <w:szCs w:val="26"/>
        </w:rPr>
        <w:t xml:space="preserve">lacks jurisdiction to adjudicate this smart meter Complaint.  </w:t>
      </w:r>
      <w:r w:rsidR="004203A9">
        <w:rPr>
          <w:szCs w:val="26"/>
        </w:rPr>
        <w:t xml:space="preserve">Second Petition at 1-3.  </w:t>
      </w:r>
      <w:r w:rsidR="00C03B19">
        <w:rPr>
          <w:szCs w:val="26"/>
        </w:rPr>
        <w:t xml:space="preserve">Additionally, </w:t>
      </w:r>
      <w:r w:rsidR="000E3AA9">
        <w:rPr>
          <w:szCs w:val="26"/>
        </w:rPr>
        <w:t>he</w:t>
      </w:r>
      <w:r w:rsidR="00A551DE">
        <w:rPr>
          <w:szCs w:val="26"/>
        </w:rPr>
        <w:t xml:space="preserve"> </w:t>
      </w:r>
      <w:r w:rsidR="00C03B19">
        <w:rPr>
          <w:szCs w:val="26"/>
        </w:rPr>
        <w:t>challenges the Commission’s</w:t>
      </w:r>
      <w:r w:rsidR="00BE742E">
        <w:rPr>
          <w:szCs w:val="26"/>
        </w:rPr>
        <w:t xml:space="preserve"> </w:t>
      </w:r>
      <w:r w:rsidR="00C03B19">
        <w:rPr>
          <w:szCs w:val="26"/>
        </w:rPr>
        <w:t>interpretation of Act 129</w:t>
      </w:r>
      <w:r w:rsidR="004203A9">
        <w:rPr>
          <w:szCs w:val="26"/>
        </w:rPr>
        <w:t>, arguing that the Commission’s prior determinations that Act</w:t>
      </w:r>
      <w:r w:rsidR="002E4893">
        <w:rPr>
          <w:szCs w:val="26"/>
        </w:rPr>
        <w:t> </w:t>
      </w:r>
      <w:r w:rsidR="004203A9">
        <w:rPr>
          <w:szCs w:val="26"/>
        </w:rPr>
        <w:t>129 does not provide customers a general right to “opt-out” of smart meter installation is an error of law violative of the Act’s plain language</w:t>
      </w:r>
      <w:r w:rsidR="00C03B19">
        <w:rPr>
          <w:szCs w:val="26"/>
        </w:rPr>
        <w:t>.</w:t>
      </w:r>
      <w:r w:rsidR="004203A9">
        <w:rPr>
          <w:szCs w:val="26"/>
        </w:rPr>
        <w:t xml:space="preserve">  Second Petition at</w:t>
      </w:r>
      <w:r w:rsidR="002E4893">
        <w:rPr>
          <w:szCs w:val="26"/>
        </w:rPr>
        <w:t> </w:t>
      </w:r>
      <w:r w:rsidR="004203A9">
        <w:rPr>
          <w:szCs w:val="26"/>
        </w:rPr>
        <w:t>2</w:t>
      </w:r>
      <w:r w:rsidR="002E4893">
        <w:rPr>
          <w:szCs w:val="26"/>
        </w:rPr>
        <w:noBreakHyphen/>
      </w:r>
      <w:r w:rsidR="004203A9">
        <w:rPr>
          <w:szCs w:val="26"/>
        </w:rPr>
        <w:t xml:space="preserve">3. </w:t>
      </w:r>
      <w:r>
        <w:rPr>
          <w:szCs w:val="26"/>
        </w:rPr>
        <w:t xml:space="preserve"> </w:t>
      </w:r>
      <w:r w:rsidR="004203A9">
        <w:rPr>
          <w:szCs w:val="26"/>
        </w:rPr>
        <w:t>I</w:t>
      </w:r>
      <w:r w:rsidR="00C03B19" w:rsidRPr="002710B2">
        <w:rPr>
          <w:color w:val="000000"/>
          <w:szCs w:val="26"/>
        </w:rPr>
        <w:t xml:space="preserve">n the present case, </w:t>
      </w:r>
      <w:r>
        <w:rPr>
          <w:color w:val="000000"/>
          <w:szCs w:val="26"/>
        </w:rPr>
        <w:t>a</w:t>
      </w:r>
      <w:r w:rsidR="00C03B19" w:rsidRPr="002710B2">
        <w:rPr>
          <w:color w:val="000000"/>
          <w:szCs w:val="26"/>
        </w:rPr>
        <w:t>ny issue concerning the Commission</w:t>
      </w:r>
      <w:r w:rsidR="00AE3F1F">
        <w:rPr>
          <w:color w:val="000000"/>
          <w:szCs w:val="26"/>
        </w:rPr>
        <w:t>’s jurisdiction</w:t>
      </w:r>
      <w:r w:rsidR="00C03B19" w:rsidRPr="002710B2">
        <w:rPr>
          <w:color w:val="000000"/>
          <w:szCs w:val="26"/>
        </w:rPr>
        <w:t xml:space="preserve"> to adjudicate Mr. Smiles’ </w:t>
      </w:r>
      <w:r w:rsidR="00BE742E">
        <w:rPr>
          <w:color w:val="000000"/>
          <w:szCs w:val="26"/>
        </w:rPr>
        <w:t xml:space="preserve">smart meter </w:t>
      </w:r>
      <w:r w:rsidR="00C03B19" w:rsidRPr="002710B2">
        <w:rPr>
          <w:color w:val="000000"/>
          <w:szCs w:val="26"/>
        </w:rPr>
        <w:t>Complaint</w:t>
      </w:r>
      <w:r>
        <w:rPr>
          <w:color w:val="000000"/>
          <w:szCs w:val="26"/>
        </w:rPr>
        <w:t xml:space="preserve"> or the Commission’s statutory </w:t>
      </w:r>
      <w:r w:rsidR="00BE742E">
        <w:rPr>
          <w:color w:val="000000"/>
          <w:szCs w:val="26"/>
        </w:rPr>
        <w:t>interpretation</w:t>
      </w:r>
      <w:r>
        <w:rPr>
          <w:color w:val="000000"/>
          <w:szCs w:val="26"/>
        </w:rPr>
        <w:t xml:space="preserve"> of Act 129</w:t>
      </w:r>
      <w:r w:rsidR="00C03B19">
        <w:rPr>
          <w:color w:val="000000"/>
          <w:szCs w:val="26"/>
        </w:rPr>
        <w:t xml:space="preserve">, </w:t>
      </w:r>
      <w:r w:rsidR="00BE742E">
        <w:rPr>
          <w:color w:val="000000"/>
          <w:szCs w:val="26"/>
        </w:rPr>
        <w:t>was</w:t>
      </w:r>
      <w:r w:rsidR="00C03B19" w:rsidRPr="002710B2">
        <w:rPr>
          <w:color w:val="000000"/>
          <w:szCs w:val="26"/>
        </w:rPr>
        <w:t xml:space="preserve"> resolved </w:t>
      </w:r>
      <w:r w:rsidR="00BE742E">
        <w:rPr>
          <w:color w:val="000000"/>
          <w:szCs w:val="26"/>
        </w:rPr>
        <w:t xml:space="preserve">through </w:t>
      </w:r>
      <w:r w:rsidR="00762886">
        <w:rPr>
          <w:color w:val="000000"/>
          <w:szCs w:val="26"/>
        </w:rPr>
        <w:t>our</w:t>
      </w:r>
      <w:r w:rsidR="00D9417F">
        <w:rPr>
          <w:color w:val="000000"/>
          <w:szCs w:val="26"/>
        </w:rPr>
        <w:t xml:space="preserve"> adoption of the ALJ</w:t>
      </w:r>
      <w:r w:rsidR="00762886">
        <w:rPr>
          <w:color w:val="000000"/>
          <w:szCs w:val="26"/>
        </w:rPr>
        <w:t xml:space="preserve"> Barnes</w:t>
      </w:r>
      <w:r w:rsidR="00D9417F">
        <w:rPr>
          <w:color w:val="000000"/>
          <w:szCs w:val="26"/>
        </w:rPr>
        <w:t>’ Initial Decision and</w:t>
      </w:r>
      <w:r w:rsidR="00BE742E">
        <w:rPr>
          <w:color w:val="000000"/>
          <w:szCs w:val="26"/>
        </w:rPr>
        <w:t xml:space="preserve"> </w:t>
      </w:r>
      <w:r w:rsidR="00762886">
        <w:rPr>
          <w:color w:val="000000"/>
          <w:szCs w:val="26"/>
        </w:rPr>
        <w:t xml:space="preserve">our </w:t>
      </w:r>
      <w:r w:rsidR="00BE742E">
        <w:rPr>
          <w:color w:val="000000"/>
          <w:szCs w:val="26"/>
        </w:rPr>
        <w:t>dismissal of the Complaint</w:t>
      </w:r>
      <w:r w:rsidR="00D9417F">
        <w:rPr>
          <w:color w:val="000000"/>
          <w:szCs w:val="26"/>
        </w:rPr>
        <w:t xml:space="preserve"> in the Final Order</w:t>
      </w:r>
      <w:r>
        <w:rPr>
          <w:color w:val="000000"/>
          <w:szCs w:val="26"/>
        </w:rPr>
        <w:t xml:space="preserve">.  Thus, we will consider </w:t>
      </w:r>
      <w:r w:rsidR="000E3AA9">
        <w:rPr>
          <w:color w:val="000000"/>
          <w:szCs w:val="26"/>
        </w:rPr>
        <w:t>Mr. Smiles’</w:t>
      </w:r>
      <w:r>
        <w:rPr>
          <w:color w:val="000000"/>
          <w:szCs w:val="26"/>
        </w:rPr>
        <w:t xml:space="preserve"> arguments</w:t>
      </w:r>
      <w:r w:rsidR="004203A9">
        <w:rPr>
          <w:color w:val="000000"/>
          <w:szCs w:val="26"/>
        </w:rPr>
        <w:t xml:space="preserve"> in the Second Petition</w:t>
      </w:r>
      <w:r>
        <w:rPr>
          <w:color w:val="000000"/>
          <w:szCs w:val="26"/>
        </w:rPr>
        <w:t xml:space="preserve"> regarding </w:t>
      </w:r>
      <w:r w:rsidR="00A9565C">
        <w:rPr>
          <w:color w:val="000000"/>
          <w:szCs w:val="26"/>
        </w:rPr>
        <w:t xml:space="preserve">our </w:t>
      </w:r>
      <w:r>
        <w:rPr>
          <w:color w:val="000000"/>
          <w:szCs w:val="26"/>
        </w:rPr>
        <w:t xml:space="preserve">jurisdiction and </w:t>
      </w:r>
      <w:r w:rsidR="00A9565C">
        <w:rPr>
          <w:color w:val="000000"/>
          <w:szCs w:val="26"/>
        </w:rPr>
        <w:t xml:space="preserve">our </w:t>
      </w:r>
      <w:r>
        <w:rPr>
          <w:color w:val="000000"/>
          <w:szCs w:val="26"/>
        </w:rPr>
        <w:t>statutory interpretation</w:t>
      </w:r>
      <w:r w:rsidR="00A9565C">
        <w:rPr>
          <w:color w:val="000000"/>
          <w:szCs w:val="26"/>
        </w:rPr>
        <w:t xml:space="preserve"> of Act 129</w:t>
      </w:r>
      <w:r>
        <w:rPr>
          <w:color w:val="000000"/>
          <w:szCs w:val="26"/>
        </w:rPr>
        <w:t xml:space="preserve"> </w:t>
      </w:r>
      <w:r>
        <w:rPr>
          <w:rFonts w:eastAsiaTheme="minorHAnsi"/>
          <w:szCs w:val="26"/>
          <w:lang w:val="en-GB"/>
        </w:rPr>
        <w:t>under the Commission’s standard of review for petitions for reconsideration</w:t>
      </w:r>
      <w:r w:rsidR="005836B1">
        <w:rPr>
          <w:rFonts w:eastAsiaTheme="minorHAnsi"/>
          <w:szCs w:val="26"/>
          <w:lang w:val="en-GB"/>
        </w:rPr>
        <w:t xml:space="preserve"> and clarification</w:t>
      </w:r>
      <w:r>
        <w:rPr>
          <w:rFonts w:eastAsiaTheme="minorHAnsi"/>
          <w:szCs w:val="26"/>
          <w:lang w:val="en-GB"/>
        </w:rPr>
        <w:t>.</w:t>
      </w:r>
    </w:p>
    <w:p w14:paraId="5940C577" w14:textId="77777777" w:rsidR="004203A9" w:rsidRPr="004203A9" w:rsidRDefault="004203A9" w:rsidP="004203A9">
      <w:pPr>
        <w:widowControl/>
        <w:spacing w:line="360" w:lineRule="auto"/>
        <w:ind w:firstLine="1440"/>
        <w:rPr>
          <w:szCs w:val="26"/>
        </w:rPr>
      </w:pPr>
    </w:p>
    <w:p w14:paraId="7C0D8767" w14:textId="72F70DEC" w:rsidR="0045762F" w:rsidRDefault="0045762F" w:rsidP="00204D9B">
      <w:pPr>
        <w:pStyle w:val="ListParagraph"/>
        <w:numPr>
          <w:ilvl w:val="0"/>
          <w:numId w:val="4"/>
        </w:numPr>
        <w:spacing w:line="360" w:lineRule="auto"/>
        <w:ind w:hanging="720"/>
        <w:contextualSpacing w:val="0"/>
        <w:rPr>
          <w:b/>
          <w:bCs/>
        </w:rPr>
      </w:pPr>
      <w:r>
        <w:rPr>
          <w:b/>
          <w:bCs/>
        </w:rPr>
        <w:t>Legal Standards</w:t>
      </w:r>
    </w:p>
    <w:p w14:paraId="61F601A6" w14:textId="47A027FB" w:rsidR="0045762F" w:rsidRPr="0045762F" w:rsidRDefault="0045762F" w:rsidP="00223B7A">
      <w:pPr>
        <w:spacing w:line="360" w:lineRule="auto"/>
      </w:pPr>
    </w:p>
    <w:p w14:paraId="1856F84E" w14:textId="23DC0191" w:rsidR="00723805" w:rsidRDefault="0045762F" w:rsidP="00504AB3">
      <w:pPr>
        <w:widowControl/>
        <w:spacing w:line="360" w:lineRule="auto"/>
        <w:ind w:firstLine="1440"/>
      </w:pPr>
      <w:r w:rsidRPr="0045762F">
        <w:t>The Code establishes a party’s right to seek relief following the issuance of our final decisions pursuant to Subsections 703(f) and (g), 66 Pa. C.S. § 703(f) and § 703(g), relating to rehearing, as well as the rescission and amendment of orders.  Such requests for relief must be consistent with Section 5.572 of our Regulations, 52 Pa. Code § 5.572, relating to petitions for relief following the issuance of a final decision.</w:t>
      </w:r>
      <w:r w:rsidR="00504AB3">
        <w:t xml:space="preserve"> </w:t>
      </w:r>
    </w:p>
    <w:p w14:paraId="47129495" w14:textId="70664619" w:rsidR="001D3BA7" w:rsidRPr="00504AB3" w:rsidRDefault="00882BF8" w:rsidP="00504AB3">
      <w:pPr>
        <w:widowControl/>
        <w:spacing w:line="360" w:lineRule="auto"/>
        <w:ind w:firstLine="1440"/>
      </w:pPr>
      <w:r>
        <w:rPr>
          <w:szCs w:val="26"/>
        </w:rPr>
        <w:lastRenderedPageBreak/>
        <w:t xml:space="preserve">As explained by the Pennsylvania </w:t>
      </w:r>
      <w:r w:rsidR="001D3BA7">
        <w:rPr>
          <w:szCs w:val="26"/>
        </w:rPr>
        <w:t>Supreme Court</w:t>
      </w:r>
      <w:r>
        <w:rPr>
          <w:szCs w:val="26"/>
        </w:rPr>
        <w:t xml:space="preserve">, petitions </w:t>
      </w:r>
      <w:r w:rsidR="00504AB3">
        <w:rPr>
          <w:szCs w:val="26"/>
        </w:rPr>
        <w:t xml:space="preserve">to reconsider, </w:t>
      </w:r>
      <w:r w:rsidR="00BF2A85">
        <w:rPr>
          <w:szCs w:val="26"/>
        </w:rPr>
        <w:t xml:space="preserve">clarify, </w:t>
      </w:r>
      <w:r w:rsidR="00504AB3">
        <w:rPr>
          <w:szCs w:val="26"/>
        </w:rPr>
        <w:t>amend or rescind</w:t>
      </w:r>
      <w:r>
        <w:rPr>
          <w:szCs w:val="26"/>
        </w:rPr>
        <w:t xml:space="preserve"> a final agency action may only be “</w:t>
      </w:r>
      <w:r w:rsidR="001D3BA7" w:rsidRPr="001E0F20">
        <w:rPr>
          <w:rFonts w:eastAsiaTheme="minorHAnsi"/>
          <w:szCs w:val="26"/>
        </w:rPr>
        <w:t>granted judiciously</w:t>
      </w:r>
      <w:r>
        <w:rPr>
          <w:rFonts w:eastAsiaTheme="minorHAnsi"/>
          <w:szCs w:val="26"/>
        </w:rPr>
        <w:t>”</w:t>
      </w:r>
      <w:r w:rsidR="001D3BA7" w:rsidRPr="001E0F20">
        <w:rPr>
          <w:rFonts w:eastAsiaTheme="minorHAnsi"/>
          <w:szCs w:val="26"/>
        </w:rPr>
        <w:t xml:space="preserve"> and </w:t>
      </w:r>
      <w:r>
        <w:rPr>
          <w:rFonts w:eastAsiaTheme="minorHAnsi"/>
          <w:szCs w:val="26"/>
        </w:rPr>
        <w:t>“</w:t>
      </w:r>
      <w:r w:rsidR="001D3BA7" w:rsidRPr="001E0F20">
        <w:rPr>
          <w:rFonts w:eastAsiaTheme="minorHAnsi"/>
          <w:szCs w:val="26"/>
        </w:rPr>
        <w:t>under appropriate circumstances”</w:t>
      </w:r>
      <w:r>
        <w:rPr>
          <w:rFonts w:eastAsiaTheme="minorHAnsi"/>
          <w:szCs w:val="26"/>
        </w:rPr>
        <w:t xml:space="preserve"> because such action results in the disturbance of final agency orders.</w:t>
      </w:r>
      <w:r w:rsidR="001D3BA7" w:rsidRPr="001E0F20">
        <w:rPr>
          <w:rFonts w:eastAsiaTheme="minorHAnsi"/>
          <w:szCs w:val="26"/>
        </w:rPr>
        <w:t xml:space="preserve">  </w:t>
      </w:r>
      <w:r w:rsidR="001D3BA7" w:rsidRPr="00E95541">
        <w:rPr>
          <w:i/>
          <w:szCs w:val="26"/>
        </w:rPr>
        <w:t>See City of Pittsburgh v. Pennsylvania Department of Transportation</w:t>
      </w:r>
      <w:r w:rsidR="001D3BA7" w:rsidRPr="002E4893">
        <w:rPr>
          <w:iCs/>
          <w:szCs w:val="26"/>
        </w:rPr>
        <w:t xml:space="preserve">, </w:t>
      </w:r>
      <w:r w:rsidR="001D3BA7" w:rsidRPr="00E95541">
        <w:rPr>
          <w:szCs w:val="26"/>
        </w:rPr>
        <w:t>490 Pa. 264, 416 A.2d 461 (1980)</w:t>
      </w:r>
      <w:r w:rsidR="00BA289F">
        <w:rPr>
          <w:szCs w:val="26"/>
        </w:rPr>
        <w:t xml:space="preserve"> (</w:t>
      </w:r>
      <w:r w:rsidR="00BA289F" w:rsidRPr="00BA289F">
        <w:rPr>
          <w:i/>
          <w:iCs/>
          <w:szCs w:val="26"/>
        </w:rPr>
        <w:t>City of Pittsburgh</w:t>
      </w:r>
      <w:r w:rsidR="00BA289F">
        <w:rPr>
          <w:szCs w:val="26"/>
        </w:rPr>
        <w:t>)</w:t>
      </w:r>
      <w:r w:rsidR="00723805">
        <w:rPr>
          <w:szCs w:val="26"/>
        </w:rPr>
        <w:t>.</w:t>
      </w:r>
      <w:r w:rsidR="002500D1">
        <w:rPr>
          <w:rStyle w:val="FootnoteReference"/>
          <w:szCs w:val="26"/>
        </w:rPr>
        <w:footnoteReference w:id="9"/>
      </w:r>
      <w:r w:rsidR="00FC4E42" w:rsidRPr="00FC4E42">
        <w:rPr>
          <w:rFonts w:eastAsia="Calibri"/>
          <w:szCs w:val="26"/>
        </w:rPr>
        <w:t xml:space="preserve"> </w:t>
      </w:r>
    </w:p>
    <w:p w14:paraId="2139807E" w14:textId="77777777" w:rsidR="001D3BA7" w:rsidRDefault="001D3BA7" w:rsidP="0045762F">
      <w:pPr>
        <w:widowControl/>
        <w:spacing w:line="360" w:lineRule="auto"/>
        <w:ind w:firstLine="1440"/>
        <w:rPr>
          <w:rFonts w:eastAsia="Calibri"/>
          <w:szCs w:val="26"/>
        </w:rPr>
      </w:pPr>
    </w:p>
    <w:p w14:paraId="37CDF5CE" w14:textId="17ABC839" w:rsidR="0045762F" w:rsidRPr="0045762F" w:rsidRDefault="0045762F" w:rsidP="0045762F">
      <w:pPr>
        <w:widowControl/>
        <w:spacing w:line="360" w:lineRule="auto"/>
        <w:ind w:firstLine="1440"/>
      </w:pPr>
      <w:r w:rsidRPr="0045762F">
        <w:t xml:space="preserve">The </w:t>
      </w:r>
      <w:r w:rsidR="00882BF8">
        <w:t xml:space="preserve">Commission’s </w:t>
      </w:r>
      <w:r w:rsidRPr="0045762F">
        <w:t>standard</w:t>
      </w:r>
      <w:r w:rsidR="00882BF8">
        <w:t xml:space="preserve"> </w:t>
      </w:r>
      <w:r w:rsidRPr="0045762F">
        <w:t xml:space="preserve">for </w:t>
      </w:r>
      <w:r w:rsidR="00882BF8">
        <w:t xml:space="preserve">reviewing </w:t>
      </w:r>
      <w:r w:rsidR="00D9417F">
        <w:t xml:space="preserve">any </w:t>
      </w:r>
      <w:r w:rsidR="00882BF8">
        <w:t xml:space="preserve">petition for </w:t>
      </w:r>
      <w:r w:rsidR="00D9417F">
        <w:t xml:space="preserve">reconsideration, </w:t>
      </w:r>
      <w:r w:rsidR="00882BF8">
        <w:t>rehearing</w:t>
      </w:r>
      <w:r w:rsidR="005836B1">
        <w:t>,</w:t>
      </w:r>
      <w:r w:rsidR="00882BF8">
        <w:rPr>
          <w:rStyle w:val="FootnoteReference"/>
        </w:rPr>
        <w:footnoteReference w:id="10"/>
      </w:r>
      <w:r w:rsidR="005836B1">
        <w:t xml:space="preserve"> and clarification</w:t>
      </w:r>
      <w:r w:rsidR="00882BF8">
        <w:t xml:space="preserve"> following </w:t>
      </w:r>
      <w:r w:rsidR="00D9417F">
        <w:t xml:space="preserve">a </w:t>
      </w:r>
      <w:r w:rsidR="00882BF8">
        <w:t>final order</w:t>
      </w:r>
      <w:r w:rsidR="00D9417F">
        <w:t xml:space="preserve"> </w:t>
      </w:r>
      <w:r w:rsidR="00882BF8">
        <w:t xml:space="preserve">is </w:t>
      </w:r>
      <w:r w:rsidRPr="0045762F">
        <w:t>set forth in</w:t>
      </w:r>
      <w:r w:rsidR="00D9417F">
        <w:t xml:space="preserve"> the Commission’s Order entered in</w:t>
      </w:r>
      <w:r w:rsidRPr="0045762F">
        <w:t xml:space="preserve"> </w:t>
      </w:r>
      <w:proofErr w:type="spellStart"/>
      <w:r w:rsidRPr="0045762F">
        <w:rPr>
          <w:i/>
        </w:rPr>
        <w:t>Duick</w:t>
      </w:r>
      <w:proofErr w:type="spellEnd"/>
      <w:r w:rsidRPr="0045762F">
        <w:rPr>
          <w:i/>
        </w:rPr>
        <w:t> v. Pennsylvania Gas and Water Company</w:t>
      </w:r>
      <w:r w:rsidRPr="0045762F">
        <w:t xml:space="preserve">, </w:t>
      </w:r>
      <w:r w:rsidRPr="0045762F">
        <w:rPr>
          <w:szCs w:val="24"/>
        </w:rPr>
        <w:t>56 Pa. P.U.C. 553</w:t>
      </w:r>
      <w:r w:rsidRPr="0045762F">
        <w:t xml:space="preserve"> (1982)</w:t>
      </w:r>
      <w:r w:rsidR="00D9417F">
        <w:t xml:space="preserve"> (</w:t>
      </w:r>
      <w:proofErr w:type="spellStart"/>
      <w:r w:rsidR="00D9417F" w:rsidRPr="00D9417F">
        <w:rPr>
          <w:i/>
          <w:iCs/>
        </w:rPr>
        <w:t>Duick</w:t>
      </w:r>
      <w:proofErr w:type="spellEnd"/>
      <w:r w:rsidR="00D9417F">
        <w:t xml:space="preserve">).  In </w:t>
      </w:r>
      <w:proofErr w:type="spellStart"/>
      <w:r w:rsidR="00D9417F" w:rsidRPr="00D9417F">
        <w:rPr>
          <w:i/>
          <w:iCs/>
        </w:rPr>
        <w:t>Duick</w:t>
      </w:r>
      <w:proofErr w:type="spellEnd"/>
      <w:r w:rsidR="00D9417F">
        <w:t>, we stated as follows</w:t>
      </w:r>
      <w:r w:rsidRPr="0045762F">
        <w:t>:</w:t>
      </w:r>
    </w:p>
    <w:p w14:paraId="735BBA7F" w14:textId="77777777" w:rsidR="0045762F" w:rsidRPr="0045762F" w:rsidRDefault="0045762F" w:rsidP="0045762F">
      <w:pPr>
        <w:widowControl/>
      </w:pPr>
    </w:p>
    <w:p w14:paraId="210E9219" w14:textId="01BF0AC6" w:rsidR="0045762F" w:rsidRPr="0045762F" w:rsidRDefault="0045762F" w:rsidP="0045762F">
      <w:pPr>
        <w:keepNext/>
        <w:widowControl/>
        <w:ind w:left="1440" w:right="1440"/>
      </w:pPr>
      <w:r w:rsidRPr="0045762F">
        <w:t xml:space="preserve">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w:t>
      </w:r>
      <w:r w:rsidRPr="0045762F">
        <w:rPr>
          <w:i/>
        </w:rPr>
        <w:t>Pennsylvania Railroad Company</w:t>
      </w:r>
      <w:r w:rsidRPr="0045762F">
        <w:t xml:space="preserve"> case, wherein it was stated that “[p]arties . . . cannot be permitted by a second motion to review and reconsider, to raise the same questions which were specifically decided against them . . . .”  What we expect to see raised in such petitions are new and novel arguments, not previously heard, or considera</w:t>
      </w:r>
      <w:r w:rsidRPr="0045762F">
        <w:softHyphen/>
        <w:t xml:space="preserve">tions which appear to have been overlooked by the Commission.  </w:t>
      </w:r>
    </w:p>
    <w:p w14:paraId="47079B94" w14:textId="77777777" w:rsidR="0045762F" w:rsidRPr="0045762F" w:rsidRDefault="0045762F" w:rsidP="00C04B73">
      <w:pPr>
        <w:widowControl/>
        <w:spacing w:line="360" w:lineRule="auto"/>
        <w:ind w:right="1440"/>
      </w:pPr>
    </w:p>
    <w:p w14:paraId="45E91657" w14:textId="69218EF5" w:rsidR="0045762F" w:rsidRPr="00723805" w:rsidRDefault="0045762F" w:rsidP="00723805">
      <w:pPr>
        <w:keepNext/>
        <w:widowControl/>
        <w:spacing w:line="360" w:lineRule="auto"/>
        <w:rPr>
          <w:szCs w:val="24"/>
        </w:rPr>
      </w:pPr>
      <w:proofErr w:type="spellStart"/>
      <w:r w:rsidRPr="0045762F">
        <w:rPr>
          <w:i/>
        </w:rPr>
        <w:t>Duick</w:t>
      </w:r>
      <w:proofErr w:type="spellEnd"/>
      <w:r w:rsidRPr="002E4893">
        <w:rPr>
          <w:iCs/>
        </w:rPr>
        <w:t>,</w:t>
      </w:r>
      <w:r w:rsidRPr="0045762F">
        <w:t xml:space="preserve"> </w:t>
      </w:r>
      <w:r w:rsidRPr="0045762F">
        <w:rPr>
          <w:szCs w:val="24"/>
        </w:rPr>
        <w:t xml:space="preserve">56 Pa. P.U.C. at 559 (quoting </w:t>
      </w:r>
      <w:r w:rsidRPr="0045762F">
        <w:rPr>
          <w:i/>
          <w:szCs w:val="24"/>
        </w:rPr>
        <w:t>Pennsylvania Railroad Co. v. Pennsylvania Public Service Commission</w:t>
      </w:r>
      <w:r w:rsidRPr="0045762F">
        <w:rPr>
          <w:szCs w:val="24"/>
        </w:rPr>
        <w:t>, 179 A. 850, 854 (Pa. Super. Ct. 1935)).</w:t>
      </w:r>
      <w:r w:rsidR="00723805">
        <w:rPr>
          <w:szCs w:val="24"/>
        </w:rPr>
        <w:t xml:space="preserve">  </w:t>
      </w:r>
      <w:r w:rsidRPr="0045762F">
        <w:rPr>
          <w:color w:val="000000"/>
          <w:u w:color="000000"/>
        </w:rPr>
        <w:t xml:space="preserve">Under the standards of </w:t>
      </w:r>
      <w:proofErr w:type="spellStart"/>
      <w:r w:rsidRPr="0045762F">
        <w:rPr>
          <w:i/>
          <w:color w:val="000000"/>
          <w:u w:color="000000"/>
        </w:rPr>
        <w:lastRenderedPageBreak/>
        <w:t>Duick</w:t>
      </w:r>
      <w:proofErr w:type="spellEnd"/>
      <w:r w:rsidRPr="0045762F">
        <w:rPr>
          <w:color w:val="000000"/>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r w:rsidRPr="0045762F">
        <w:rPr>
          <w:i/>
          <w:color w:val="000000"/>
          <w:u w:color="000000"/>
        </w:rPr>
        <w:t>Duick</w:t>
      </w:r>
      <w:proofErr w:type="spellEnd"/>
      <w:r w:rsidRPr="0045762F">
        <w:rPr>
          <w:color w:val="000000"/>
          <w:u w:color="000000"/>
        </w:rPr>
        <w:t>, 56 Pa. P.U.C. at 559.</w:t>
      </w:r>
    </w:p>
    <w:p w14:paraId="1A0AD336" w14:textId="77777777" w:rsidR="0045762F" w:rsidRPr="0045762F" w:rsidRDefault="0045762F" w:rsidP="0045762F">
      <w:pPr>
        <w:widowControl/>
        <w:suppressAutoHyphens/>
        <w:spacing w:line="360" w:lineRule="auto"/>
        <w:rPr>
          <w:color w:val="000000"/>
          <w:u w:color="000000"/>
        </w:rPr>
      </w:pPr>
    </w:p>
    <w:p w14:paraId="716DC579" w14:textId="2A5AE9F2" w:rsidR="007B588C" w:rsidRDefault="00504AB3" w:rsidP="007B588C">
      <w:pPr>
        <w:widowControl/>
        <w:suppressAutoHyphens/>
        <w:spacing w:line="360" w:lineRule="auto"/>
        <w:ind w:firstLine="1440"/>
        <w:rPr>
          <w:i/>
          <w:iCs/>
          <w:szCs w:val="26"/>
        </w:rPr>
      </w:pPr>
      <w:r>
        <w:rPr>
          <w:szCs w:val="26"/>
        </w:rPr>
        <w:t>W</w:t>
      </w:r>
      <w:r w:rsidR="0045762F" w:rsidRPr="0045762F">
        <w:rPr>
          <w:szCs w:val="26"/>
        </w:rPr>
        <w:t xml:space="preserve">e note that the considerations of </w:t>
      </w:r>
      <w:proofErr w:type="spellStart"/>
      <w:r w:rsidR="0045762F" w:rsidRPr="0045762F">
        <w:rPr>
          <w:i/>
          <w:iCs/>
          <w:szCs w:val="26"/>
        </w:rPr>
        <w:t>Duick</w:t>
      </w:r>
      <w:proofErr w:type="spellEnd"/>
      <w:r w:rsidR="0045762F" w:rsidRPr="0045762F">
        <w:rPr>
          <w:szCs w:val="26"/>
        </w:rPr>
        <w:t xml:space="preserve">, on application, essentially, require a two-step analysis.  </w:t>
      </w:r>
      <w:r w:rsidR="0045762F" w:rsidRPr="0045762F">
        <w:rPr>
          <w:i/>
          <w:iCs/>
          <w:szCs w:val="26"/>
        </w:rPr>
        <w:t>See</w:t>
      </w:r>
      <w:r w:rsidR="003E3808">
        <w:rPr>
          <w:i/>
          <w:iCs/>
          <w:szCs w:val="26"/>
        </w:rPr>
        <w:t>,</w:t>
      </w:r>
      <w:r w:rsidR="0045762F" w:rsidRPr="0045762F">
        <w:rPr>
          <w:i/>
          <w:iCs/>
          <w:szCs w:val="26"/>
        </w:rPr>
        <w:t xml:space="preserve"> e.g.</w:t>
      </w:r>
      <w:r w:rsidR="003E3808">
        <w:rPr>
          <w:i/>
          <w:iCs/>
          <w:szCs w:val="26"/>
        </w:rPr>
        <w:t>,</w:t>
      </w:r>
      <w:r w:rsidR="0045762F" w:rsidRPr="0045762F">
        <w:rPr>
          <w:i/>
          <w:iCs/>
          <w:szCs w:val="26"/>
        </w:rPr>
        <w:t xml:space="preserve"> SBG Management Services, Inc./ Colonial Garden Realty Co., L.P. v. Philadelphia Gas Works</w:t>
      </w:r>
      <w:r w:rsidR="0045762F" w:rsidRPr="0045762F">
        <w:rPr>
          <w:szCs w:val="26"/>
        </w:rPr>
        <w:t>, Docket No. C</w:t>
      </w:r>
      <w:r w:rsidR="0045762F" w:rsidRPr="0045762F">
        <w:rPr>
          <w:szCs w:val="26"/>
        </w:rPr>
        <w:noBreakHyphen/>
        <w:t>2012</w:t>
      </w:r>
      <w:r w:rsidR="0045762F" w:rsidRPr="0045762F">
        <w:rPr>
          <w:szCs w:val="26"/>
        </w:rPr>
        <w:noBreakHyphen/>
        <w:t xml:space="preserve">2304183 (Order entered May 19, 2019) (discussing </w:t>
      </w:r>
      <w:r w:rsidR="0045762F" w:rsidRPr="0045762F">
        <w:rPr>
          <w:i/>
          <w:iCs/>
          <w:szCs w:val="26"/>
        </w:rPr>
        <w:t>Application of La Mexicana Express Service, LLC, to transport persons in paratransit service, between points within Berks County</w:t>
      </w:r>
      <w:r w:rsidR="0045762F" w:rsidRPr="0045762F">
        <w:rPr>
          <w:szCs w:val="26"/>
        </w:rPr>
        <w:t xml:space="preserve">, Docket No. A-2012-2329717; A-6415209 (Order entered September 11, 2014)). </w:t>
      </w:r>
      <w:r w:rsidR="003E3808">
        <w:rPr>
          <w:szCs w:val="26"/>
        </w:rPr>
        <w:t xml:space="preserve"> </w:t>
      </w:r>
      <w:r w:rsidR="0045762F" w:rsidRPr="0045762F">
        <w:rPr>
          <w:szCs w:val="26"/>
        </w:rPr>
        <w:t xml:space="preserve">The first step is that we determine whether a party has offered new and novel arguments or identified considerations that appear to have been overlooked or not addressed by the Commission in its previous order.  </w:t>
      </w:r>
      <w:r w:rsidR="0045762F" w:rsidRPr="0045762F">
        <w:rPr>
          <w:i/>
          <w:iCs/>
          <w:szCs w:val="26"/>
        </w:rPr>
        <w:t>Id.</w:t>
      </w:r>
      <w:r w:rsidR="0045762F" w:rsidRPr="0045762F">
        <w:rPr>
          <w:szCs w:val="26"/>
        </w:rPr>
        <w:t xml:space="preserve">  The second step of the </w:t>
      </w:r>
      <w:proofErr w:type="spellStart"/>
      <w:r w:rsidR="0045762F" w:rsidRPr="0045762F">
        <w:rPr>
          <w:i/>
          <w:iCs/>
          <w:szCs w:val="26"/>
        </w:rPr>
        <w:t>Duick</w:t>
      </w:r>
      <w:proofErr w:type="spellEnd"/>
      <w:r w:rsidR="0045762F" w:rsidRPr="0045762F">
        <w:rPr>
          <w:szCs w:val="26"/>
        </w:rPr>
        <w:t xml:space="preserve"> analysis is to evaluate the new or novel argument, or overlooked consideration that is alleged, in order to determine whether to modify our previous decision.  </w:t>
      </w:r>
      <w:r w:rsidR="0045762F" w:rsidRPr="0045762F">
        <w:rPr>
          <w:i/>
          <w:iCs/>
          <w:szCs w:val="26"/>
        </w:rPr>
        <w:t>Id.</w:t>
      </w:r>
      <w:r w:rsidR="0045762F" w:rsidRPr="0045762F">
        <w:rPr>
          <w:szCs w:val="26"/>
        </w:rPr>
        <w:t xml:space="preserve">  We will not necessarily modify our prior decision just because a party offers a new and novel argument or identifies a consideration that was overlooked or not addressed by the Commission in its previous order.  </w:t>
      </w:r>
      <w:r w:rsidR="0045762F" w:rsidRPr="0045762F">
        <w:rPr>
          <w:i/>
          <w:iCs/>
          <w:szCs w:val="26"/>
        </w:rPr>
        <w:t>Id.</w:t>
      </w:r>
    </w:p>
    <w:p w14:paraId="5B1917AB" w14:textId="77777777" w:rsidR="002500D1" w:rsidRPr="003141D9" w:rsidRDefault="002500D1" w:rsidP="002500D1">
      <w:pPr>
        <w:widowControl/>
        <w:suppressAutoHyphens/>
        <w:spacing w:line="360" w:lineRule="auto"/>
        <w:rPr>
          <w:i/>
          <w:iCs/>
          <w:szCs w:val="26"/>
        </w:rPr>
      </w:pPr>
    </w:p>
    <w:p w14:paraId="2AD95DCE" w14:textId="357F5019" w:rsidR="0045762F" w:rsidRPr="0045762F" w:rsidRDefault="0045762F" w:rsidP="002710B2">
      <w:pPr>
        <w:widowControl/>
        <w:suppressAutoHyphens/>
        <w:spacing w:line="360" w:lineRule="auto"/>
        <w:ind w:firstLine="1440"/>
        <w:rPr>
          <w:szCs w:val="26"/>
        </w:rPr>
      </w:pPr>
      <w:r w:rsidRPr="0045762F">
        <w:rPr>
          <w:szCs w:val="26"/>
        </w:rPr>
        <w:t xml:space="preserve">Finally, we note that any arguments not specifically discussed shall be deemed to have been duly considered and denied without further discussion.  The Commission is not required to consider expressly or at length each contention or argument raised by the parties.  </w:t>
      </w:r>
      <w:r w:rsidRPr="0045762F">
        <w:rPr>
          <w:i/>
          <w:szCs w:val="26"/>
        </w:rPr>
        <w:t>Consolidated Rail Corp. v. Pa. Public Utility Commission</w:t>
      </w:r>
      <w:r w:rsidRPr="0045762F">
        <w:rPr>
          <w:iCs/>
          <w:szCs w:val="26"/>
        </w:rPr>
        <w:t>,</w:t>
      </w:r>
      <w:r w:rsidRPr="0045762F">
        <w:rPr>
          <w:i/>
          <w:szCs w:val="26"/>
        </w:rPr>
        <w:t xml:space="preserve"> </w:t>
      </w:r>
      <w:r w:rsidRPr="0045762F">
        <w:rPr>
          <w:szCs w:val="26"/>
        </w:rPr>
        <w:t>625 A.2d 741 (Pa. Cmwlth. 1993).</w:t>
      </w:r>
    </w:p>
    <w:p w14:paraId="76D150DB" w14:textId="77777777" w:rsidR="0045762F" w:rsidRPr="0045762F" w:rsidRDefault="0045762F" w:rsidP="002710B2">
      <w:pPr>
        <w:spacing w:line="360" w:lineRule="auto"/>
      </w:pPr>
    </w:p>
    <w:p w14:paraId="31F78296" w14:textId="4083A506" w:rsidR="0045762F" w:rsidRDefault="0045762F" w:rsidP="00C04B73">
      <w:pPr>
        <w:pStyle w:val="ListParagraph"/>
        <w:numPr>
          <w:ilvl w:val="0"/>
          <w:numId w:val="4"/>
        </w:numPr>
        <w:spacing w:line="360" w:lineRule="auto"/>
        <w:ind w:hanging="720"/>
        <w:contextualSpacing w:val="0"/>
        <w:rPr>
          <w:b/>
          <w:bCs/>
        </w:rPr>
      </w:pPr>
      <w:r>
        <w:rPr>
          <w:b/>
          <w:bCs/>
        </w:rPr>
        <w:lastRenderedPageBreak/>
        <w:t xml:space="preserve"> </w:t>
      </w:r>
      <w:r w:rsidR="00450727">
        <w:rPr>
          <w:b/>
          <w:bCs/>
        </w:rPr>
        <w:t>ALJ’s Initial Decision</w:t>
      </w:r>
      <w:r w:rsidR="00AC28AB" w:rsidRPr="00AC28AB">
        <w:rPr>
          <w:rStyle w:val="FootnoteReference"/>
        </w:rPr>
        <w:footnoteReference w:id="11"/>
      </w:r>
    </w:p>
    <w:p w14:paraId="120482FE" w14:textId="77777777" w:rsidR="0045762F" w:rsidRDefault="0045762F" w:rsidP="002710B2">
      <w:pPr>
        <w:spacing w:line="360" w:lineRule="auto"/>
      </w:pPr>
    </w:p>
    <w:p w14:paraId="1CD712F2" w14:textId="32088627" w:rsidR="00223B7A" w:rsidRPr="00E674DB" w:rsidRDefault="00223B7A" w:rsidP="00223B7A">
      <w:pPr>
        <w:widowControl/>
        <w:spacing w:line="360" w:lineRule="auto"/>
        <w:ind w:firstLine="1440"/>
        <w:rPr>
          <w:color w:val="000000" w:themeColor="text1"/>
          <w:szCs w:val="26"/>
        </w:rPr>
      </w:pPr>
      <w:r w:rsidRPr="00B83871">
        <w:rPr>
          <w:color w:val="000000" w:themeColor="text1"/>
          <w:szCs w:val="26"/>
        </w:rPr>
        <w:t xml:space="preserve">In </w:t>
      </w:r>
      <w:r w:rsidR="00450727" w:rsidRPr="00B83871">
        <w:rPr>
          <w:color w:val="000000" w:themeColor="text1"/>
          <w:szCs w:val="26"/>
        </w:rPr>
        <w:t xml:space="preserve">her </w:t>
      </w:r>
      <w:r w:rsidRPr="00B83871">
        <w:rPr>
          <w:color w:val="000000" w:themeColor="text1"/>
          <w:szCs w:val="26"/>
        </w:rPr>
        <w:t>Initial Decision</w:t>
      </w:r>
      <w:r w:rsidR="00450727" w:rsidRPr="00B83871">
        <w:rPr>
          <w:color w:val="000000" w:themeColor="text1"/>
          <w:szCs w:val="26"/>
        </w:rPr>
        <w:t xml:space="preserve">, </w:t>
      </w:r>
      <w:r w:rsidRPr="00B83871">
        <w:rPr>
          <w:color w:val="000000" w:themeColor="text1"/>
          <w:szCs w:val="26"/>
        </w:rPr>
        <w:t xml:space="preserve">ALJ Barnes made </w:t>
      </w:r>
      <w:r w:rsidR="00722FD3" w:rsidRPr="00B83871">
        <w:rPr>
          <w:color w:val="000000" w:themeColor="text1"/>
          <w:szCs w:val="26"/>
        </w:rPr>
        <w:t>fifty-one</w:t>
      </w:r>
      <w:r w:rsidRPr="00B83871">
        <w:rPr>
          <w:color w:val="000000" w:themeColor="text1"/>
          <w:szCs w:val="26"/>
        </w:rPr>
        <w:t xml:space="preserve"> Findings of Fact (FOF) and reached </w:t>
      </w:r>
      <w:r w:rsidR="00722FD3" w:rsidRPr="00B83871">
        <w:rPr>
          <w:color w:val="000000" w:themeColor="text1"/>
          <w:szCs w:val="26"/>
        </w:rPr>
        <w:t>sixteen</w:t>
      </w:r>
      <w:r w:rsidRPr="00B83871">
        <w:rPr>
          <w:color w:val="000000" w:themeColor="text1"/>
          <w:szCs w:val="26"/>
        </w:rPr>
        <w:t xml:space="preserve"> Conclusions of Law (COL).  I.D. at 3-</w:t>
      </w:r>
      <w:r w:rsidR="00722FD3" w:rsidRPr="00B83871">
        <w:rPr>
          <w:color w:val="000000" w:themeColor="text1"/>
          <w:szCs w:val="26"/>
        </w:rPr>
        <w:t>9</w:t>
      </w:r>
      <w:r w:rsidRPr="00B83871">
        <w:rPr>
          <w:color w:val="000000" w:themeColor="text1"/>
          <w:szCs w:val="26"/>
        </w:rPr>
        <w:t>, 2</w:t>
      </w:r>
      <w:r w:rsidR="00722FD3" w:rsidRPr="00B83871">
        <w:rPr>
          <w:color w:val="000000" w:themeColor="text1"/>
          <w:szCs w:val="26"/>
        </w:rPr>
        <w:t>1</w:t>
      </w:r>
      <w:r w:rsidRPr="00B83871">
        <w:rPr>
          <w:color w:val="000000" w:themeColor="text1"/>
          <w:szCs w:val="26"/>
        </w:rPr>
        <w:t xml:space="preserve">-23.  </w:t>
      </w:r>
    </w:p>
    <w:p w14:paraId="65B7F01E" w14:textId="5C838B22" w:rsidR="00722FD3" w:rsidRPr="00722FD3" w:rsidRDefault="00722FD3" w:rsidP="00997938">
      <w:pPr>
        <w:widowControl/>
        <w:spacing w:line="360" w:lineRule="auto"/>
        <w:rPr>
          <w:color w:val="000000" w:themeColor="text1"/>
          <w:szCs w:val="26"/>
          <w:u w:val="single"/>
        </w:rPr>
      </w:pPr>
    </w:p>
    <w:p w14:paraId="3D7D8832" w14:textId="54F0B163" w:rsidR="00722FD3" w:rsidRPr="00722FD3" w:rsidRDefault="00722FD3" w:rsidP="00D750C0">
      <w:pPr>
        <w:keepNext/>
        <w:keepLines/>
        <w:widowControl/>
        <w:spacing w:line="360" w:lineRule="auto"/>
        <w:rPr>
          <w:color w:val="000000" w:themeColor="text1"/>
          <w:szCs w:val="26"/>
          <w:u w:val="single"/>
        </w:rPr>
      </w:pPr>
      <w:r w:rsidRPr="00722FD3">
        <w:rPr>
          <w:color w:val="000000" w:themeColor="text1"/>
          <w:szCs w:val="26"/>
        </w:rPr>
        <w:tab/>
      </w:r>
      <w:r w:rsidRPr="00722FD3">
        <w:rPr>
          <w:color w:val="000000" w:themeColor="text1"/>
          <w:szCs w:val="26"/>
          <w:u w:val="single"/>
        </w:rPr>
        <w:t>Legal Standards Applicable to the Complaint</w:t>
      </w:r>
    </w:p>
    <w:p w14:paraId="30D21083" w14:textId="05D03A80" w:rsidR="00722FD3" w:rsidRPr="00722FD3" w:rsidRDefault="00722FD3" w:rsidP="00D750C0">
      <w:pPr>
        <w:keepNext/>
        <w:keepLines/>
        <w:widowControl/>
        <w:spacing w:line="360" w:lineRule="auto"/>
        <w:ind w:firstLine="1440"/>
        <w:rPr>
          <w:color w:val="000000" w:themeColor="text1"/>
          <w:szCs w:val="26"/>
        </w:rPr>
      </w:pPr>
    </w:p>
    <w:p w14:paraId="2060E9DD" w14:textId="65DB4677" w:rsidR="00722FD3" w:rsidRDefault="00722FD3" w:rsidP="00677650">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The ALJ explained the legal standards applicable to the Complaint.  I.D.</w:t>
      </w:r>
      <w:r w:rsidR="00D15086">
        <w:rPr>
          <w:rFonts w:eastAsiaTheme="minorHAnsi"/>
          <w:color w:val="000000"/>
          <w:szCs w:val="26"/>
        </w:rPr>
        <w:t> </w:t>
      </w:r>
      <w:r>
        <w:rPr>
          <w:rFonts w:eastAsiaTheme="minorHAnsi"/>
          <w:color w:val="000000"/>
          <w:szCs w:val="26"/>
        </w:rPr>
        <w:t>at</w:t>
      </w:r>
      <w:r w:rsidR="005A1AEB">
        <w:rPr>
          <w:rFonts w:eastAsiaTheme="minorHAnsi"/>
          <w:color w:val="000000"/>
          <w:szCs w:val="26"/>
        </w:rPr>
        <w:t> </w:t>
      </w:r>
      <w:r>
        <w:rPr>
          <w:rFonts w:eastAsiaTheme="minorHAnsi"/>
          <w:color w:val="000000"/>
          <w:szCs w:val="26"/>
        </w:rPr>
        <w:t>9-</w:t>
      </w:r>
      <w:r w:rsidR="00C269B1">
        <w:rPr>
          <w:rFonts w:eastAsiaTheme="minorHAnsi"/>
          <w:color w:val="000000"/>
          <w:szCs w:val="26"/>
        </w:rPr>
        <w:t xml:space="preserve">13.  </w:t>
      </w:r>
      <w:r>
        <w:rPr>
          <w:rFonts w:eastAsiaTheme="minorHAnsi"/>
          <w:color w:val="000000"/>
          <w:szCs w:val="26"/>
        </w:rPr>
        <w:t>In summary, the ALJ explained that u</w:t>
      </w:r>
      <w:r w:rsidRPr="00722FD3">
        <w:rPr>
          <w:rFonts w:eastAsiaTheme="minorHAnsi"/>
          <w:color w:val="000000"/>
          <w:szCs w:val="26"/>
        </w:rPr>
        <w:t>nder Section 332(a) of the Code, 66</w:t>
      </w:r>
      <w:r w:rsidR="00D15086">
        <w:rPr>
          <w:rFonts w:eastAsiaTheme="minorHAnsi"/>
          <w:color w:val="000000"/>
          <w:szCs w:val="26"/>
        </w:rPr>
        <w:t> </w:t>
      </w:r>
      <w:r w:rsidRPr="00722FD3">
        <w:rPr>
          <w:rFonts w:eastAsiaTheme="minorHAnsi"/>
          <w:color w:val="000000"/>
          <w:szCs w:val="26"/>
        </w:rPr>
        <w:t xml:space="preserve">Pa. C.S. § 332(a), the proponent of a rule or order has the burden of proof </w:t>
      </w:r>
      <w:r>
        <w:rPr>
          <w:rFonts w:eastAsiaTheme="minorHAnsi"/>
          <w:color w:val="000000"/>
          <w:szCs w:val="26"/>
        </w:rPr>
        <w:t>and that i</w:t>
      </w:r>
      <w:r w:rsidRPr="00722FD3">
        <w:rPr>
          <w:rFonts w:eastAsiaTheme="minorHAnsi"/>
          <w:color w:val="000000"/>
          <w:szCs w:val="26"/>
        </w:rPr>
        <w:t xml:space="preserve">t is well-established that </w:t>
      </w:r>
      <w:r w:rsidR="00C269B1">
        <w:rPr>
          <w:rFonts w:eastAsiaTheme="minorHAnsi"/>
          <w:color w:val="000000"/>
          <w:szCs w:val="26"/>
        </w:rPr>
        <w:t xml:space="preserve">the burden </w:t>
      </w:r>
      <w:r w:rsidRPr="00722FD3">
        <w:rPr>
          <w:rFonts w:eastAsiaTheme="minorHAnsi"/>
          <w:color w:val="000000"/>
          <w:szCs w:val="26"/>
        </w:rPr>
        <w:t xml:space="preserve">of proof before administrative tribunals </w:t>
      </w:r>
      <w:r w:rsidR="00C269B1">
        <w:rPr>
          <w:rFonts w:eastAsiaTheme="minorHAnsi"/>
          <w:color w:val="000000"/>
          <w:szCs w:val="26"/>
        </w:rPr>
        <w:t xml:space="preserve">is the </w:t>
      </w:r>
      <w:r w:rsidRPr="00722FD3">
        <w:rPr>
          <w:rFonts w:eastAsiaTheme="minorHAnsi"/>
          <w:color w:val="000000"/>
          <w:szCs w:val="26"/>
        </w:rPr>
        <w:t xml:space="preserve">preponderance of evidence </w:t>
      </w:r>
      <w:r w:rsidR="00C269B1">
        <w:rPr>
          <w:rFonts w:eastAsiaTheme="minorHAnsi"/>
          <w:color w:val="000000"/>
          <w:szCs w:val="26"/>
        </w:rPr>
        <w:t>standard, satisfied by s</w:t>
      </w:r>
      <w:r w:rsidRPr="00722FD3">
        <w:rPr>
          <w:rFonts w:eastAsiaTheme="minorHAnsi"/>
          <w:color w:val="000000"/>
          <w:szCs w:val="26"/>
        </w:rPr>
        <w:t>ubstantial and legally credible</w:t>
      </w:r>
      <w:r w:rsidR="00C269B1">
        <w:rPr>
          <w:rFonts w:eastAsiaTheme="minorHAnsi"/>
          <w:color w:val="000000"/>
          <w:szCs w:val="26"/>
        </w:rPr>
        <w:t xml:space="preserve"> evidence</w:t>
      </w:r>
      <w:r w:rsidRPr="00722FD3">
        <w:rPr>
          <w:rFonts w:eastAsiaTheme="minorHAnsi"/>
          <w:color w:val="000000"/>
          <w:szCs w:val="26"/>
        </w:rPr>
        <w:t>.</w:t>
      </w:r>
      <w:r w:rsidR="00C269B1">
        <w:rPr>
          <w:rFonts w:eastAsiaTheme="minorHAnsi"/>
          <w:color w:val="000000"/>
          <w:szCs w:val="26"/>
        </w:rPr>
        <w:t xml:space="preserve">  </w:t>
      </w:r>
      <w:r w:rsidRPr="00722FD3">
        <w:rPr>
          <w:rFonts w:eastAsiaTheme="minorHAnsi"/>
          <w:color w:val="000000"/>
          <w:szCs w:val="26"/>
        </w:rPr>
        <w:t>The</w:t>
      </w:r>
      <w:r w:rsidR="00C269B1">
        <w:rPr>
          <w:rFonts w:eastAsiaTheme="minorHAnsi"/>
          <w:color w:val="000000"/>
          <w:szCs w:val="26"/>
        </w:rPr>
        <w:t xml:space="preserve"> ALJ explained that the</w:t>
      </w:r>
      <w:r w:rsidRPr="00722FD3">
        <w:rPr>
          <w:rFonts w:eastAsiaTheme="minorHAnsi"/>
          <w:color w:val="000000"/>
          <w:szCs w:val="26"/>
        </w:rPr>
        <w:t xml:space="preserve"> preponderance of evidence standard requires proof by a greater weight of the evidence.</w:t>
      </w:r>
      <w:r w:rsidR="003E3808">
        <w:rPr>
          <w:rFonts w:eastAsiaTheme="minorHAnsi"/>
          <w:color w:val="000000"/>
          <w:szCs w:val="26"/>
        </w:rPr>
        <w:t xml:space="preserve"> </w:t>
      </w:r>
      <w:r w:rsidRPr="00722FD3">
        <w:rPr>
          <w:rFonts w:eastAsiaTheme="minorHAnsi"/>
          <w:color w:val="000000"/>
          <w:szCs w:val="26"/>
        </w:rPr>
        <w:t xml:space="preserve"> This standard is satisfied by presenting evidence more convincing, by even the smallest amount, than that presented by another party.</w:t>
      </w:r>
      <w:r w:rsidR="00C269B1">
        <w:rPr>
          <w:rFonts w:eastAsiaTheme="minorHAnsi"/>
          <w:color w:val="000000"/>
          <w:szCs w:val="26"/>
        </w:rPr>
        <w:t xml:space="preserve"> </w:t>
      </w:r>
      <w:r w:rsidR="003E3808">
        <w:rPr>
          <w:rFonts w:eastAsiaTheme="minorHAnsi"/>
          <w:color w:val="000000"/>
          <w:szCs w:val="26"/>
        </w:rPr>
        <w:t xml:space="preserve"> </w:t>
      </w:r>
      <w:r w:rsidR="00C269B1">
        <w:rPr>
          <w:rFonts w:eastAsiaTheme="minorHAnsi"/>
          <w:color w:val="000000"/>
          <w:szCs w:val="26"/>
        </w:rPr>
        <w:t>I.D.</w:t>
      </w:r>
      <w:r w:rsidR="00D15086">
        <w:rPr>
          <w:rFonts w:eastAsiaTheme="minorHAnsi"/>
          <w:color w:val="000000"/>
          <w:szCs w:val="26"/>
        </w:rPr>
        <w:t> </w:t>
      </w:r>
      <w:r w:rsidR="00C269B1">
        <w:rPr>
          <w:rFonts w:eastAsiaTheme="minorHAnsi"/>
          <w:color w:val="000000"/>
          <w:szCs w:val="26"/>
        </w:rPr>
        <w:t>at 9 (citations omitted).</w:t>
      </w:r>
      <w:r w:rsidR="00C269B1">
        <w:rPr>
          <w:rStyle w:val="FootnoteReference"/>
          <w:rFonts w:eastAsiaTheme="minorHAnsi"/>
          <w:color w:val="000000"/>
          <w:szCs w:val="26"/>
        </w:rPr>
        <w:footnoteReference w:id="12"/>
      </w:r>
      <w:r w:rsidR="00677650">
        <w:rPr>
          <w:rFonts w:eastAsiaTheme="minorHAnsi"/>
          <w:color w:val="000000"/>
          <w:szCs w:val="26"/>
        </w:rPr>
        <w:t xml:space="preserve">  </w:t>
      </w:r>
      <w:r w:rsidRPr="00722FD3">
        <w:rPr>
          <w:rFonts w:eastAsiaTheme="minorHAnsi"/>
          <w:color w:val="000000"/>
          <w:szCs w:val="26"/>
        </w:rPr>
        <w:t xml:space="preserve">If the party seeking a rule or order from the Commission sets forth a </w:t>
      </w:r>
      <w:r w:rsidRPr="00722FD3">
        <w:rPr>
          <w:rFonts w:eastAsiaTheme="minorHAnsi"/>
          <w:i/>
          <w:iCs/>
          <w:color w:val="000000"/>
          <w:szCs w:val="26"/>
        </w:rPr>
        <w:t xml:space="preserve">prima facie </w:t>
      </w:r>
      <w:r w:rsidRPr="00722FD3">
        <w:rPr>
          <w:rFonts w:eastAsiaTheme="minorHAnsi"/>
          <w:color w:val="000000"/>
          <w:szCs w:val="26"/>
        </w:rPr>
        <w:t>case, then the burden shifts to the opponent.</w:t>
      </w:r>
      <w:r w:rsidR="0045579C">
        <w:rPr>
          <w:rFonts w:eastAsiaTheme="minorHAnsi"/>
          <w:color w:val="000000"/>
          <w:szCs w:val="26"/>
        </w:rPr>
        <w:t xml:space="preserve">  </w:t>
      </w:r>
      <w:r w:rsidRPr="00722FD3">
        <w:rPr>
          <w:rFonts w:eastAsiaTheme="minorHAnsi"/>
          <w:color w:val="000000"/>
          <w:szCs w:val="26"/>
        </w:rPr>
        <w:t xml:space="preserve">Establishing a </w:t>
      </w:r>
      <w:r w:rsidRPr="00722FD3">
        <w:rPr>
          <w:rFonts w:eastAsiaTheme="minorHAnsi"/>
          <w:i/>
          <w:iCs/>
          <w:color w:val="000000"/>
          <w:szCs w:val="26"/>
        </w:rPr>
        <w:t xml:space="preserve">prima facie </w:t>
      </w:r>
      <w:r w:rsidRPr="00722FD3">
        <w:rPr>
          <w:rFonts w:eastAsiaTheme="minorHAnsi"/>
          <w:color w:val="000000"/>
          <w:szCs w:val="26"/>
        </w:rPr>
        <w:t>case requires either evidence sufficient to make a finding of fact permissible or evidence to create a presumption against an opponent which, if not met, results in an obligatory decision for the proponent.</w:t>
      </w:r>
      <w:r w:rsidR="00677650">
        <w:rPr>
          <w:rFonts w:eastAsiaTheme="minorHAnsi"/>
          <w:color w:val="000000"/>
          <w:szCs w:val="26"/>
        </w:rPr>
        <w:t xml:space="preserve">  </w:t>
      </w:r>
      <w:r w:rsidRPr="00722FD3">
        <w:rPr>
          <w:rFonts w:eastAsiaTheme="minorHAnsi"/>
          <w:color w:val="000000"/>
          <w:szCs w:val="26"/>
        </w:rPr>
        <w:t xml:space="preserve">Once a </w:t>
      </w:r>
      <w:r w:rsidRPr="00722FD3">
        <w:rPr>
          <w:rFonts w:eastAsiaTheme="minorHAnsi"/>
          <w:i/>
          <w:iCs/>
          <w:color w:val="000000"/>
          <w:szCs w:val="26"/>
        </w:rPr>
        <w:t xml:space="preserve">prima facie </w:t>
      </w:r>
      <w:r w:rsidRPr="00722FD3">
        <w:rPr>
          <w:rFonts w:eastAsiaTheme="minorHAnsi"/>
          <w:color w:val="000000"/>
          <w:szCs w:val="26"/>
        </w:rPr>
        <w:t>case has been established, if contrary evidence is not presented, there is no requirement that the party seeking a rule or order from the Commission must produce additional evidence to sustain its burden of proof.</w:t>
      </w:r>
      <w:r w:rsidR="00C269B1">
        <w:rPr>
          <w:rFonts w:eastAsiaTheme="minorHAnsi"/>
          <w:color w:val="000000"/>
          <w:szCs w:val="26"/>
        </w:rPr>
        <w:t xml:space="preserve">  I.D. at 9-10 (citations omitted).</w:t>
      </w:r>
    </w:p>
    <w:p w14:paraId="44F59535" w14:textId="1C69EAD2" w:rsidR="00C269B1" w:rsidRPr="00C269B1" w:rsidRDefault="00C269B1" w:rsidP="00722FD3">
      <w:pPr>
        <w:widowControl/>
        <w:spacing w:line="360" w:lineRule="auto"/>
        <w:ind w:firstLine="1440"/>
        <w:rPr>
          <w:rFonts w:eastAsiaTheme="minorHAnsi"/>
          <w:color w:val="000000"/>
          <w:szCs w:val="26"/>
        </w:rPr>
      </w:pPr>
    </w:p>
    <w:p w14:paraId="26624897" w14:textId="508A3D19" w:rsidR="00C269B1" w:rsidRPr="00C269B1" w:rsidRDefault="00C269B1" w:rsidP="00722FD3">
      <w:pPr>
        <w:widowControl/>
        <w:spacing w:line="360" w:lineRule="auto"/>
        <w:ind w:firstLine="1440"/>
        <w:rPr>
          <w:szCs w:val="26"/>
        </w:rPr>
      </w:pPr>
      <w:r w:rsidRPr="00C269B1">
        <w:rPr>
          <w:szCs w:val="26"/>
        </w:rPr>
        <w:lastRenderedPageBreak/>
        <w:t xml:space="preserve">In addition, the ALJ explained that a person does not sustain his or her burden of proof in an electric and magnetic field exposure case when the record evidence, “taken as a whole, leads to the ultimate finding and conclusion that the scientific studies at present are inconclusive.”  I.D. at 10 (citing </w:t>
      </w:r>
      <w:r w:rsidRPr="00C269B1">
        <w:rPr>
          <w:i/>
          <w:iCs/>
          <w:szCs w:val="26"/>
        </w:rPr>
        <w:t>Letter of Notification of Phila. Elec. Co. Relative to the Reconstructing and Rebuilding of the Existing 138 kV Line to Operate as the Woodbourne-Heaton 230 kV Line in Montgomery and Bucks Counties</w:t>
      </w:r>
      <w:r w:rsidRPr="00C269B1">
        <w:rPr>
          <w:szCs w:val="26"/>
        </w:rPr>
        <w:t>, 1992 Pa.</w:t>
      </w:r>
      <w:r w:rsidR="00D15086">
        <w:rPr>
          <w:szCs w:val="26"/>
        </w:rPr>
        <w:t> </w:t>
      </w:r>
      <w:r w:rsidRPr="00C269B1">
        <w:rPr>
          <w:szCs w:val="26"/>
        </w:rPr>
        <w:t xml:space="preserve">PUC </w:t>
      </w:r>
      <w:r w:rsidR="00D15086">
        <w:rPr>
          <w:szCs w:val="26"/>
        </w:rPr>
        <w:t>LEXIS</w:t>
      </w:r>
      <w:r w:rsidRPr="00C269B1">
        <w:rPr>
          <w:szCs w:val="26"/>
        </w:rPr>
        <w:t xml:space="preserve"> 160, at *210-11 (June 29, 1992) (Initial Decision) (“</w:t>
      </w:r>
      <w:r w:rsidRPr="00C269B1">
        <w:rPr>
          <w:i/>
          <w:iCs/>
          <w:szCs w:val="26"/>
        </w:rPr>
        <w:t>Woodbourne-Heaton</w:t>
      </w:r>
      <w:r w:rsidRPr="00C269B1">
        <w:rPr>
          <w:szCs w:val="26"/>
        </w:rPr>
        <w:t>”)). Rather, the person must demonstrate by a preponderance of the evidence that such exposure actually causes adverse health effects.</w:t>
      </w:r>
      <w:r w:rsidR="00EF16DB">
        <w:rPr>
          <w:szCs w:val="26"/>
        </w:rPr>
        <w:t xml:space="preserve">  </w:t>
      </w:r>
      <w:r w:rsidRPr="00C269B1">
        <w:rPr>
          <w:i/>
          <w:iCs/>
          <w:szCs w:val="26"/>
        </w:rPr>
        <w:t xml:space="preserve">Id. </w:t>
      </w:r>
      <w:r w:rsidRPr="00C269B1">
        <w:rPr>
          <w:szCs w:val="26"/>
        </w:rPr>
        <w:t>at *211.</w:t>
      </w:r>
      <w:r w:rsidR="00F006A4">
        <w:rPr>
          <w:szCs w:val="26"/>
        </w:rPr>
        <w:t xml:space="preserve"> </w:t>
      </w:r>
      <w:r w:rsidRPr="00C269B1">
        <w:rPr>
          <w:szCs w:val="26"/>
        </w:rPr>
        <w:t xml:space="preserve"> Specifically, in AMI meter-related matters, the Commission has held that “[t]he Complainant will have the burden of proof during the proceeding to demonstrate, by a preponderance of the evidence, that [the utility] is responsible or accountable for the problem described in the Complaint.”</w:t>
      </w:r>
      <w:r w:rsidR="00F006A4">
        <w:rPr>
          <w:szCs w:val="26"/>
        </w:rPr>
        <w:t xml:space="preserve"> </w:t>
      </w:r>
      <w:r w:rsidRPr="00C269B1">
        <w:rPr>
          <w:szCs w:val="26"/>
        </w:rPr>
        <w:t xml:space="preserve"> I.D. at</w:t>
      </w:r>
      <w:r w:rsidR="005A1AEB">
        <w:rPr>
          <w:szCs w:val="26"/>
        </w:rPr>
        <w:t> </w:t>
      </w:r>
      <w:r w:rsidRPr="00C269B1">
        <w:rPr>
          <w:szCs w:val="26"/>
        </w:rPr>
        <w:t xml:space="preserve">10 (citing </w:t>
      </w:r>
      <w:r w:rsidRPr="00C269B1">
        <w:rPr>
          <w:i/>
          <w:iCs/>
          <w:szCs w:val="26"/>
        </w:rPr>
        <w:t>Kreider v. PECO Energy Co.</w:t>
      </w:r>
      <w:r w:rsidRPr="00C269B1">
        <w:rPr>
          <w:szCs w:val="26"/>
        </w:rPr>
        <w:t>, Docket No. P-2015-2495064, p. 18 (Order entered Sept. 3, 2015) (</w:t>
      </w:r>
      <w:r w:rsidRPr="00C269B1">
        <w:rPr>
          <w:i/>
          <w:iCs/>
          <w:szCs w:val="26"/>
        </w:rPr>
        <w:t>Kreider</w:t>
      </w:r>
      <w:proofErr w:type="gramStart"/>
      <w:r w:rsidRPr="00C269B1">
        <w:rPr>
          <w:szCs w:val="26"/>
        </w:rPr>
        <w:t>);</w:t>
      </w:r>
      <w:proofErr w:type="gramEnd"/>
      <w:r w:rsidRPr="00C269B1">
        <w:rPr>
          <w:szCs w:val="26"/>
        </w:rPr>
        <w:t xml:space="preserve"> citing also</w:t>
      </w:r>
      <w:r w:rsidRPr="00C269B1">
        <w:rPr>
          <w:i/>
          <w:iCs/>
          <w:szCs w:val="26"/>
        </w:rPr>
        <w:t xml:space="preserve"> Romeo v. Pa. </w:t>
      </w:r>
      <w:r w:rsidR="005A1AEB">
        <w:rPr>
          <w:i/>
          <w:iCs/>
          <w:szCs w:val="26"/>
        </w:rPr>
        <w:t>PUC</w:t>
      </w:r>
      <w:r w:rsidRPr="00C269B1">
        <w:rPr>
          <w:szCs w:val="26"/>
        </w:rPr>
        <w:t>, 154 A.3d 422, 429 (Pa.</w:t>
      </w:r>
      <w:r w:rsidR="005A1AEB">
        <w:rPr>
          <w:szCs w:val="26"/>
        </w:rPr>
        <w:t> </w:t>
      </w:r>
      <w:r w:rsidRPr="00C269B1">
        <w:rPr>
          <w:szCs w:val="26"/>
        </w:rPr>
        <w:t>Cmwlth. 2017) (finding that the smart meter complainant should have a hearing to try to prove his claim through “the testimony of others as well as other evidence that goes to that issue”)).</w:t>
      </w:r>
    </w:p>
    <w:p w14:paraId="67C180E0" w14:textId="057A0871" w:rsidR="00C269B1" w:rsidRPr="00C269B1" w:rsidRDefault="00C269B1" w:rsidP="00722FD3">
      <w:pPr>
        <w:widowControl/>
        <w:spacing w:line="360" w:lineRule="auto"/>
        <w:ind w:firstLine="1440"/>
        <w:rPr>
          <w:szCs w:val="26"/>
        </w:rPr>
      </w:pPr>
    </w:p>
    <w:p w14:paraId="35A27C37" w14:textId="384EC2FF" w:rsidR="00C269B1" w:rsidRPr="00C269B1" w:rsidRDefault="00C269B1" w:rsidP="00722FD3">
      <w:pPr>
        <w:widowControl/>
        <w:spacing w:line="360" w:lineRule="auto"/>
        <w:ind w:firstLine="1440"/>
        <w:rPr>
          <w:szCs w:val="26"/>
        </w:rPr>
      </w:pPr>
      <w:r w:rsidRPr="00C269B1">
        <w:rPr>
          <w:szCs w:val="26"/>
        </w:rPr>
        <w:t xml:space="preserve">The ALJ explained that Section 701 of the Code ,66 Pa. C.S. § 701, provides that “any person . . . having an interest in the subject matter . . . may complain in writing, setting forth any act or thing done or omitted to be done by any public utility in violation, or claimed violation, of any law which the commission has jurisdiction to administer, or of any regulation or order of the commission.”  I.D. at 10-11. </w:t>
      </w:r>
      <w:r w:rsidR="00F006A4">
        <w:rPr>
          <w:szCs w:val="26"/>
        </w:rPr>
        <w:t xml:space="preserve"> </w:t>
      </w:r>
      <w:r w:rsidRPr="00C269B1">
        <w:rPr>
          <w:szCs w:val="26"/>
        </w:rPr>
        <w:t xml:space="preserve">Therefore, a complainant must generally demonstrate that the public utility violated the Code or a Commission </w:t>
      </w:r>
      <w:r w:rsidR="00F006A4">
        <w:rPr>
          <w:szCs w:val="26"/>
        </w:rPr>
        <w:t>R</w:t>
      </w:r>
      <w:r w:rsidRPr="00C269B1">
        <w:rPr>
          <w:szCs w:val="26"/>
        </w:rPr>
        <w:t>egulation or order.  I.D. at 11.</w:t>
      </w:r>
    </w:p>
    <w:p w14:paraId="444129E5" w14:textId="12F102FF" w:rsidR="00C269B1" w:rsidRPr="00C269B1" w:rsidRDefault="00C269B1" w:rsidP="00722FD3">
      <w:pPr>
        <w:widowControl/>
        <w:spacing w:line="360" w:lineRule="auto"/>
        <w:ind w:firstLine="1440"/>
        <w:rPr>
          <w:szCs w:val="26"/>
        </w:rPr>
      </w:pPr>
    </w:p>
    <w:p w14:paraId="430CAB15" w14:textId="7003CB1D" w:rsidR="00C269B1" w:rsidRPr="00C269B1" w:rsidRDefault="00C269B1" w:rsidP="00722FD3">
      <w:pPr>
        <w:widowControl/>
        <w:spacing w:line="360" w:lineRule="auto"/>
        <w:ind w:firstLine="1440"/>
        <w:rPr>
          <w:szCs w:val="26"/>
        </w:rPr>
      </w:pPr>
      <w:r w:rsidRPr="00C269B1">
        <w:rPr>
          <w:szCs w:val="26"/>
        </w:rPr>
        <w:t>The ALJ explained that the Commission has exclusive jurisdiction to adjudicate “issues involving the reasonableness, adequacy, and sufficiency” of a public utility’s facilities and services.  I.D. at 11 (citing</w:t>
      </w:r>
      <w:r w:rsidRPr="00C269B1">
        <w:rPr>
          <w:i/>
          <w:iCs/>
          <w:szCs w:val="26"/>
        </w:rPr>
        <w:t xml:space="preserve"> Elkin v. Bell of Pa.</w:t>
      </w:r>
      <w:r w:rsidRPr="00C269B1">
        <w:rPr>
          <w:szCs w:val="26"/>
        </w:rPr>
        <w:t xml:space="preserve">, 420 A.2d 371, 374 </w:t>
      </w:r>
      <w:r w:rsidRPr="00C269B1">
        <w:rPr>
          <w:szCs w:val="26"/>
        </w:rPr>
        <w:lastRenderedPageBreak/>
        <w:t>(Pa. 1980)).  The ALJ explained that Section 1501 of the Code states, in pertinent part, that:</w:t>
      </w:r>
    </w:p>
    <w:p w14:paraId="5C940A40" w14:textId="365A16B0" w:rsidR="00C269B1" w:rsidRPr="00C269B1" w:rsidRDefault="00C269B1" w:rsidP="005A1AEB">
      <w:pPr>
        <w:widowControl/>
        <w:ind w:firstLine="1440"/>
        <w:rPr>
          <w:szCs w:val="26"/>
        </w:rPr>
      </w:pPr>
    </w:p>
    <w:p w14:paraId="12148731" w14:textId="77777777" w:rsidR="00C269B1" w:rsidRPr="00C269B1" w:rsidRDefault="00C269B1" w:rsidP="00C269B1">
      <w:pPr>
        <w:widowControl/>
        <w:autoSpaceDE w:val="0"/>
        <w:autoSpaceDN w:val="0"/>
        <w:adjustRightInd w:val="0"/>
        <w:ind w:left="1440" w:right="1440"/>
        <w:rPr>
          <w:rFonts w:eastAsiaTheme="minorHAnsi"/>
          <w:color w:val="000000"/>
          <w:szCs w:val="26"/>
        </w:rPr>
      </w:pPr>
      <w:r w:rsidRPr="00C269B1">
        <w:rPr>
          <w:rFonts w:eastAsiaTheme="minorHAnsi"/>
          <w:color w:val="000000"/>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 . </w:t>
      </w:r>
    </w:p>
    <w:p w14:paraId="2EE2A5BA" w14:textId="77777777" w:rsidR="00C269B1" w:rsidRPr="00C269B1" w:rsidRDefault="00C269B1" w:rsidP="005A1AEB">
      <w:pPr>
        <w:widowControl/>
        <w:spacing w:line="360" w:lineRule="auto"/>
        <w:rPr>
          <w:rFonts w:eastAsiaTheme="minorHAnsi"/>
          <w:color w:val="000000"/>
          <w:szCs w:val="26"/>
        </w:rPr>
      </w:pPr>
    </w:p>
    <w:p w14:paraId="392524D2" w14:textId="6843EF02" w:rsidR="00C269B1" w:rsidRPr="009E13A9" w:rsidRDefault="00C269B1" w:rsidP="005A1AEB">
      <w:pPr>
        <w:widowControl/>
        <w:spacing w:line="360" w:lineRule="auto"/>
        <w:rPr>
          <w:rFonts w:eastAsiaTheme="minorHAnsi"/>
          <w:color w:val="000000"/>
          <w:szCs w:val="26"/>
        </w:rPr>
      </w:pPr>
      <w:r w:rsidRPr="009E13A9">
        <w:rPr>
          <w:rFonts w:eastAsiaTheme="minorHAnsi"/>
          <w:color w:val="000000"/>
          <w:szCs w:val="26"/>
        </w:rPr>
        <w:t>I.D. at 11 (citing 66 Pa. C.S. § 1501).</w:t>
      </w:r>
    </w:p>
    <w:p w14:paraId="1293DEFC" w14:textId="77777777" w:rsidR="009E13A9" w:rsidRPr="009E13A9" w:rsidRDefault="009E13A9" w:rsidP="005A1AEB">
      <w:pPr>
        <w:widowControl/>
        <w:autoSpaceDE w:val="0"/>
        <w:autoSpaceDN w:val="0"/>
        <w:adjustRightInd w:val="0"/>
        <w:spacing w:line="360" w:lineRule="auto"/>
        <w:rPr>
          <w:rFonts w:eastAsiaTheme="minorHAnsi"/>
          <w:color w:val="000000"/>
          <w:szCs w:val="26"/>
        </w:rPr>
      </w:pPr>
    </w:p>
    <w:p w14:paraId="718E35A7" w14:textId="126C2897" w:rsidR="009E13A9" w:rsidRPr="009E13A9" w:rsidRDefault="009E13A9" w:rsidP="005A1AEB">
      <w:pPr>
        <w:widowControl/>
        <w:autoSpaceDE w:val="0"/>
        <w:autoSpaceDN w:val="0"/>
        <w:adjustRightInd w:val="0"/>
        <w:spacing w:line="360" w:lineRule="auto"/>
        <w:ind w:firstLine="1440"/>
        <w:rPr>
          <w:rFonts w:eastAsiaTheme="minorHAnsi"/>
          <w:color w:val="000000"/>
          <w:szCs w:val="26"/>
        </w:rPr>
      </w:pPr>
      <w:r w:rsidRPr="009E13A9">
        <w:rPr>
          <w:rFonts w:eastAsiaTheme="minorHAnsi"/>
          <w:color w:val="000000"/>
          <w:szCs w:val="26"/>
        </w:rPr>
        <w:t xml:space="preserve">Additionally, the ALJ explained that Section 57.28(a)(1) of the Commission’s Regulations provides: </w:t>
      </w:r>
    </w:p>
    <w:p w14:paraId="5F0E0CB6" w14:textId="77777777" w:rsidR="009E13A9" w:rsidRPr="009E13A9" w:rsidRDefault="009E13A9" w:rsidP="00D15086">
      <w:pPr>
        <w:widowControl/>
        <w:autoSpaceDE w:val="0"/>
        <w:autoSpaceDN w:val="0"/>
        <w:adjustRightInd w:val="0"/>
        <w:rPr>
          <w:rFonts w:eastAsiaTheme="minorHAnsi"/>
          <w:color w:val="000000"/>
          <w:szCs w:val="26"/>
        </w:rPr>
      </w:pPr>
    </w:p>
    <w:p w14:paraId="77AD3715" w14:textId="1AD02375" w:rsidR="009E13A9" w:rsidRDefault="009E13A9" w:rsidP="009E13A9">
      <w:pPr>
        <w:widowControl/>
        <w:autoSpaceDE w:val="0"/>
        <w:autoSpaceDN w:val="0"/>
        <w:adjustRightInd w:val="0"/>
        <w:ind w:left="1440" w:right="1440"/>
        <w:rPr>
          <w:rFonts w:eastAsiaTheme="minorHAnsi"/>
          <w:color w:val="000000"/>
          <w:szCs w:val="26"/>
        </w:rPr>
      </w:pPr>
      <w:r w:rsidRPr="009E13A9">
        <w:rPr>
          <w:rFonts w:eastAsiaTheme="minorHAnsi"/>
          <w:color w:val="000000"/>
          <w:szCs w:val="26"/>
        </w:rPr>
        <w:t xml:space="preserve">An electric utility shall use reasonable effort to properly warn and protect the public from danger, and shall exercise reasonable care to reduce the hazards to which employees, customers, the public and others may be subjected to by reason of its provision of electric utility service and its associated equipment and facilities. </w:t>
      </w:r>
    </w:p>
    <w:p w14:paraId="3DED0351" w14:textId="77777777" w:rsidR="00C04B73" w:rsidRPr="009E13A9" w:rsidRDefault="00C04B73" w:rsidP="005A1AEB">
      <w:pPr>
        <w:widowControl/>
        <w:autoSpaceDE w:val="0"/>
        <w:autoSpaceDN w:val="0"/>
        <w:adjustRightInd w:val="0"/>
        <w:spacing w:line="360" w:lineRule="auto"/>
        <w:ind w:left="1440" w:right="1440"/>
        <w:rPr>
          <w:rFonts w:eastAsiaTheme="minorHAnsi"/>
          <w:color w:val="000000"/>
          <w:szCs w:val="26"/>
        </w:rPr>
      </w:pPr>
    </w:p>
    <w:p w14:paraId="79B0349D" w14:textId="77777777" w:rsidR="009E13A9" w:rsidRDefault="009E13A9" w:rsidP="005A1AEB">
      <w:pPr>
        <w:widowControl/>
        <w:spacing w:line="360" w:lineRule="auto"/>
        <w:rPr>
          <w:rFonts w:eastAsiaTheme="minorHAnsi"/>
          <w:color w:val="000000"/>
          <w:szCs w:val="26"/>
        </w:rPr>
      </w:pPr>
      <w:r>
        <w:rPr>
          <w:rFonts w:eastAsiaTheme="minorHAnsi"/>
          <w:color w:val="000000"/>
          <w:szCs w:val="26"/>
        </w:rPr>
        <w:t xml:space="preserve">I.D. at 11 (citing </w:t>
      </w:r>
      <w:r w:rsidRPr="009E13A9">
        <w:rPr>
          <w:rFonts w:eastAsiaTheme="minorHAnsi"/>
          <w:color w:val="000000"/>
          <w:szCs w:val="26"/>
        </w:rPr>
        <w:t>52 Pa. Code § 57.28(a)(1)</w:t>
      </w:r>
      <w:r>
        <w:rPr>
          <w:rFonts w:eastAsiaTheme="minorHAnsi"/>
          <w:color w:val="000000"/>
          <w:szCs w:val="26"/>
        </w:rPr>
        <w:t>)</w:t>
      </w:r>
      <w:r w:rsidRPr="009E13A9">
        <w:rPr>
          <w:rFonts w:eastAsiaTheme="minorHAnsi"/>
          <w:color w:val="000000"/>
          <w:szCs w:val="26"/>
        </w:rPr>
        <w:t>.</w:t>
      </w:r>
    </w:p>
    <w:p w14:paraId="4D9E1D76" w14:textId="77777777" w:rsidR="009E13A9" w:rsidRPr="00AC0D84" w:rsidRDefault="009E13A9" w:rsidP="005A1AEB">
      <w:pPr>
        <w:widowControl/>
        <w:spacing w:line="360" w:lineRule="auto"/>
        <w:rPr>
          <w:rFonts w:eastAsiaTheme="minorHAnsi"/>
          <w:color w:val="000000"/>
          <w:szCs w:val="26"/>
        </w:rPr>
      </w:pPr>
    </w:p>
    <w:p w14:paraId="5F1D0CB1" w14:textId="35D8C6B8" w:rsidR="009E13A9" w:rsidRPr="00AC0D84" w:rsidRDefault="009E13A9" w:rsidP="009E13A9">
      <w:pPr>
        <w:widowControl/>
        <w:spacing w:line="360" w:lineRule="auto"/>
        <w:ind w:firstLine="1440"/>
        <w:rPr>
          <w:rFonts w:eastAsiaTheme="minorHAnsi"/>
          <w:color w:val="000000"/>
          <w:szCs w:val="26"/>
        </w:rPr>
      </w:pPr>
      <w:r w:rsidRPr="00AC0D84">
        <w:rPr>
          <w:rFonts w:eastAsiaTheme="minorHAnsi"/>
          <w:color w:val="000000"/>
          <w:szCs w:val="26"/>
        </w:rPr>
        <w:t>The ALJ explained that w</w:t>
      </w:r>
      <w:r w:rsidRPr="00AC0D84">
        <w:rPr>
          <w:szCs w:val="26"/>
        </w:rPr>
        <w:t xml:space="preserve">hen presented with a challenge to an AMI meter installation, the Commission has pronounced that “[t]he ALJ’s [Administrative Law Judge’s] role . . . will be to determine based on the record in this particular case, whether there is sufficient evidence to support a finding that the Complainant was adversely </w:t>
      </w:r>
      <w:r w:rsidRPr="00AC0D84">
        <w:rPr>
          <w:szCs w:val="26"/>
        </w:rPr>
        <w:lastRenderedPageBreak/>
        <w:t xml:space="preserve">affected by the smart meter or whether [the utility’s] use of a smart meter will constitute unsafe or unreasonable service in violation of Section 1501 under the circumstances in this case.” </w:t>
      </w:r>
      <w:r w:rsidR="00F006A4">
        <w:rPr>
          <w:szCs w:val="26"/>
        </w:rPr>
        <w:t xml:space="preserve"> </w:t>
      </w:r>
      <w:r w:rsidRPr="00AC0D84">
        <w:rPr>
          <w:szCs w:val="26"/>
        </w:rPr>
        <w:t xml:space="preserve">I.D. at 11-12 (citing </w:t>
      </w:r>
      <w:r w:rsidRPr="00AC0D84">
        <w:rPr>
          <w:i/>
          <w:iCs/>
          <w:szCs w:val="26"/>
        </w:rPr>
        <w:t xml:space="preserve">Kreider </w:t>
      </w:r>
      <w:r w:rsidRPr="00AC0D84">
        <w:rPr>
          <w:szCs w:val="26"/>
        </w:rPr>
        <w:t xml:space="preserve">(citing </w:t>
      </w:r>
      <w:r w:rsidRPr="00AC0D84">
        <w:rPr>
          <w:i/>
          <w:iCs/>
          <w:szCs w:val="26"/>
        </w:rPr>
        <w:t>Woodbourne-Heaton</w:t>
      </w:r>
      <w:r w:rsidRPr="00AC0D84">
        <w:rPr>
          <w:szCs w:val="26"/>
        </w:rPr>
        <w:t xml:space="preserve">, 1992 Pa. PUC </w:t>
      </w:r>
      <w:r w:rsidR="00D15086" w:rsidRPr="00AC0D84">
        <w:rPr>
          <w:szCs w:val="26"/>
        </w:rPr>
        <w:t>LEXIS</w:t>
      </w:r>
      <w:r w:rsidRPr="00AC0D84">
        <w:rPr>
          <w:szCs w:val="26"/>
        </w:rPr>
        <w:t xml:space="preserve"> 160, at *12-13); citing also </w:t>
      </w:r>
      <w:proofErr w:type="spellStart"/>
      <w:r w:rsidRPr="00AC0D84">
        <w:rPr>
          <w:i/>
          <w:iCs/>
          <w:szCs w:val="26"/>
        </w:rPr>
        <w:t>Frompovich</w:t>
      </w:r>
      <w:proofErr w:type="spellEnd"/>
      <w:r w:rsidRPr="00AC0D84">
        <w:rPr>
          <w:i/>
          <w:iCs/>
          <w:szCs w:val="26"/>
        </w:rPr>
        <w:t xml:space="preserve"> v. PECO Energy Co., </w:t>
      </w:r>
      <w:r w:rsidRPr="00AC0D84">
        <w:rPr>
          <w:szCs w:val="26"/>
        </w:rPr>
        <w:t>Docket No. C</w:t>
      </w:r>
      <w:r w:rsidR="005A1AEB">
        <w:rPr>
          <w:szCs w:val="26"/>
        </w:rPr>
        <w:noBreakHyphen/>
      </w:r>
      <w:r w:rsidRPr="00AC0D84">
        <w:rPr>
          <w:szCs w:val="26"/>
        </w:rPr>
        <w:t>2015</w:t>
      </w:r>
      <w:r w:rsidR="005A1AEB">
        <w:rPr>
          <w:szCs w:val="26"/>
        </w:rPr>
        <w:noBreakHyphen/>
      </w:r>
      <w:r w:rsidRPr="00AC0D84">
        <w:rPr>
          <w:szCs w:val="26"/>
        </w:rPr>
        <w:t>2474602 at 10 (Opinion and Order entered May 3, 2018)).</w:t>
      </w:r>
    </w:p>
    <w:p w14:paraId="01FE88BD" w14:textId="77777777" w:rsidR="00223B7A" w:rsidRPr="00AC0D84" w:rsidRDefault="00223B7A" w:rsidP="00223B7A">
      <w:pPr>
        <w:widowControl/>
        <w:spacing w:line="360" w:lineRule="auto"/>
        <w:ind w:firstLine="1440"/>
        <w:rPr>
          <w:color w:val="000000" w:themeColor="text1"/>
          <w:szCs w:val="26"/>
        </w:rPr>
      </w:pPr>
    </w:p>
    <w:p w14:paraId="7A021E20" w14:textId="77777777" w:rsidR="00F14E55" w:rsidRPr="00AC0D84" w:rsidRDefault="00223B7A" w:rsidP="00F14E55">
      <w:pPr>
        <w:widowControl/>
        <w:spacing w:line="360" w:lineRule="auto"/>
        <w:rPr>
          <w:szCs w:val="26"/>
          <w:u w:val="single"/>
        </w:rPr>
      </w:pPr>
      <w:bookmarkStart w:id="3" w:name="_Hlk44428554"/>
      <w:r w:rsidRPr="00AC0D84">
        <w:rPr>
          <w:szCs w:val="26"/>
        </w:rPr>
        <w:t xml:space="preserve">  </w:t>
      </w:r>
      <w:r w:rsidRPr="00AC0D84">
        <w:rPr>
          <w:szCs w:val="26"/>
        </w:rPr>
        <w:tab/>
      </w:r>
      <w:r w:rsidR="00F14E55" w:rsidRPr="00AC0D84">
        <w:rPr>
          <w:szCs w:val="26"/>
          <w:u w:val="single"/>
        </w:rPr>
        <w:t>Smart Meter Opt-out Request</w:t>
      </w:r>
    </w:p>
    <w:p w14:paraId="3E4AAE62" w14:textId="77777777" w:rsidR="00F14E55" w:rsidRPr="00AC0D84" w:rsidRDefault="00F14E55" w:rsidP="00F14E55">
      <w:pPr>
        <w:widowControl/>
        <w:spacing w:line="360" w:lineRule="auto"/>
        <w:contextualSpacing/>
        <w:rPr>
          <w:color w:val="000000" w:themeColor="text1"/>
          <w:szCs w:val="26"/>
        </w:rPr>
      </w:pPr>
    </w:p>
    <w:p w14:paraId="197317F2" w14:textId="1FDC9300" w:rsidR="00F14E55" w:rsidRPr="00AC0D84" w:rsidRDefault="00F14E55" w:rsidP="00F14E55">
      <w:pPr>
        <w:widowControl/>
        <w:spacing w:line="360" w:lineRule="auto"/>
        <w:ind w:firstLine="1440"/>
        <w:contextualSpacing/>
        <w:rPr>
          <w:szCs w:val="26"/>
        </w:rPr>
      </w:pPr>
      <w:r w:rsidRPr="00AC0D84">
        <w:rPr>
          <w:szCs w:val="26"/>
        </w:rPr>
        <w:t>The ALJ explained that Act 129 amended Chapter 28 of the Code, 66</w:t>
      </w:r>
      <w:r w:rsidR="005A1AEB">
        <w:rPr>
          <w:szCs w:val="26"/>
        </w:rPr>
        <w:t> </w:t>
      </w:r>
      <w:r w:rsidRPr="00AC0D84">
        <w:rPr>
          <w:szCs w:val="26"/>
        </w:rPr>
        <w:t>Pa.</w:t>
      </w:r>
      <w:r w:rsidR="005A1AEB">
        <w:rPr>
          <w:szCs w:val="26"/>
        </w:rPr>
        <w:t> </w:t>
      </w:r>
      <w:r w:rsidRPr="00AC0D84">
        <w:rPr>
          <w:szCs w:val="26"/>
        </w:rPr>
        <w:t xml:space="preserve">C.S. §§ 2801-2815, and required </w:t>
      </w:r>
      <w:r w:rsidR="00382D94">
        <w:rPr>
          <w:szCs w:val="26"/>
        </w:rPr>
        <w:t>electric distribution companies (</w:t>
      </w:r>
      <w:r w:rsidRPr="00AC0D84">
        <w:rPr>
          <w:szCs w:val="26"/>
        </w:rPr>
        <w:t>EDCs</w:t>
      </w:r>
      <w:r w:rsidR="00382D94">
        <w:rPr>
          <w:szCs w:val="26"/>
        </w:rPr>
        <w:t>)</w:t>
      </w:r>
      <w:r w:rsidRPr="00AC0D84">
        <w:rPr>
          <w:szCs w:val="26"/>
        </w:rPr>
        <w:t xml:space="preserve"> with more than 100,000 customers to file smart meter technology procurement and installation plans for Commission approval and to furnish smart meter technology within its service territory in accordance with the provisions of the Act. </w:t>
      </w:r>
      <w:r w:rsidR="00F006A4">
        <w:rPr>
          <w:szCs w:val="26"/>
        </w:rPr>
        <w:t xml:space="preserve"> </w:t>
      </w:r>
      <w:r w:rsidRPr="00AC0D84">
        <w:rPr>
          <w:szCs w:val="26"/>
        </w:rPr>
        <w:t>While Act 129 does not provide customers a general “opt-out” right from smart meter installation at a customer’s residence, a customer’s formal complaint that raises a claim under Section 1501 of the Code, 66 Pa. C.S. § 1501, related to the safety of a utility’s installation and use of a smart meter at the customer’s residence is legally sufficient to proceed to an evidentiary hearing before an ALJ.  I.D. at 12 (citing</w:t>
      </w:r>
      <w:r w:rsidRPr="00AC0D84">
        <w:rPr>
          <w:i/>
          <w:iCs/>
          <w:szCs w:val="26"/>
        </w:rPr>
        <w:t xml:space="preserve"> </w:t>
      </w:r>
      <w:proofErr w:type="spellStart"/>
      <w:r w:rsidRPr="00AC0D84">
        <w:rPr>
          <w:i/>
          <w:iCs/>
          <w:szCs w:val="26"/>
        </w:rPr>
        <w:t>Povacz</w:t>
      </w:r>
      <w:proofErr w:type="spellEnd"/>
      <w:r w:rsidRPr="00AC0D84">
        <w:rPr>
          <w:i/>
          <w:iCs/>
          <w:szCs w:val="26"/>
        </w:rPr>
        <w:t xml:space="preserve"> v. PECO Energy Company</w:t>
      </w:r>
      <w:r w:rsidRPr="00AC0D84">
        <w:rPr>
          <w:szCs w:val="26"/>
        </w:rPr>
        <w:t>, Docket No. C</w:t>
      </w:r>
      <w:r w:rsidR="005A1AEB">
        <w:rPr>
          <w:szCs w:val="26"/>
        </w:rPr>
        <w:noBreakHyphen/>
      </w:r>
      <w:r w:rsidRPr="00AC0D84">
        <w:rPr>
          <w:szCs w:val="26"/>
        </w:rPr>
        <w:t>2012</w:t>
      </w:r>
      <w:r w:rsidR="005A1AEB">
        <w:rPr>
          <w:szCs w:val="26"/>
        </w:rPr>
        <w:noBreakHyphen/>
      </w:r>
      <w:r w:rsidRPr="00AC0D84">
        <w:rPr>
          <w:szCs w:val="26"/>
        </w:rPr>
        <w:t>2317176 (Order entered January 24, 2013) (</w:t>
      </w:r>
      <w:r w:rsidRPr="00AC0D84">
        <w:rPr>
          <w:i/>
          <w:iCs/>
          <w:szCs w:val="26"/>
        </w:rPr>
        <w:t xml:space="preserve">2013 </w:t>
      </w:r>
      <w:proofErr w:type="spellStart"/>
      <w:r w:rsidRPr="00AC0D84">
        <w:rPr>
          <w:i/>
          <w:iCs/>
          <w:szCs w:val="26"/>
        </w:rPr>
        <w:t>Povacz</w:t>
      </w:r>
      <w:proofErr w:type="spellEnd"/>
      <w:r w:rsidRPr="00AC0D84">
        <w:rPr>
          <w:i/>
          <w:iCs/>
          <w:szCs w:val="26"/>
        </w:rPr>
        <w:t xml:space="preserve"> Order</w:t>
      </w:r>
      <w:proofErr w:type="gramStart"/>
      <w:r w:rsidRPr="00AC0D84">
        <w:rPr>
          <w:szCs w:val="26"/>
        </w:rPr>
        <w:t>);</w:t>
      </w:r>
      <w:proofErr w:type="gramEnd"/>
      <w:r w:rsidRPr="00AC0D84">
        <w:rPr>
          <w:szCs w:val="26"/>
        </w:rPr>
        <w:t xml:space="preserve"> citing also</w:t>
      </w:r>
      <w:r w:rsidRPr="00AC0D84">
        <w:rPr>
          <w:i/>
          <w:iCs/>
          <w:szCs w:val="26"/>
        </w:rPr>
        <w:t xml:space="preserve"> Kreider</w:t>
      </w:r>
      <w:r w:rsidRPr="00AC0D84">
        <w:rPr>
          <w:szCs w:val="26"/>
        </w:rPr>
        <w:t>).</w:t>
      </w:r>
    </w:p>
    <w:p w14:paraId="36A70F80" w14:textId="420A70A0" w:rsidR="00F14E55" w:rsidRPr="00AC0D84" w:rsidRDefault="00F14E55" w:rsidP="00F14E55">
      <w:pPr>
        <w:widowControl/>
        <w:spacing w:line="360" w:lineRule="auto"/>
        <w:ind w:firstLine="1440"/>
        <w:contextualSpacing/>
        <w:rPr>
          <w:szCs w:val="26"/>
        </w:rPr>
      </w:pPr>
    </w:p>
    <w:p w14:paraId="258F7CC6" w14:textId="1F70E9AE" w:rsidR="00F14E55" w:rsidRPr="00AC0D84" w:rsidRDefault="00F14E55" w:rsidP="00F14E55">
      <w:pPr>
        <w:widowControl/>
        <w:spacing w:line="360" w:lineRule="auto"/>
        <w:ind w:firstLine="1440"/>
        <w:contextualSpacing/>
        <w:rPr>
          <w:szCs w:val="26"/>
        </w:rPr>
      </w:pPr>
      <w:r w:rsidRPr="00AC0D84">
        <w:rPr>
          <w:szCs w:val="26"/>
        </w:rPr>
        <w:t>The ALJ also explained that the Commission has held that it has no authority, absent directive in the form of legislation, to prohibit an EDC from installing a smart meter where a customer does not want one.  I.D. at 12 (citing</w:t>
      </w:r>
      <w:r w:rsidRPr="00AC0D84">
        <w:rPr>
          <w:i/>
          <w:iCs/>
          <w:szCs w:val="26"/>
        </w:rPr>
        <w:t xml:space="preserve"> 2013 </w:t>
      </w:r>
      <w:proofErr w:type="spellStart"/>
      <w:r w:rsidRPr="00AC0D84">
        <w:rPr>
          <w:i/>
          <w:iCs/>
          <w:szCs w:val="26"/>
        </w:rPr>
        <w:t>Povacz</w:t>
      </w:r>
      <w:proofErr w:type="spellEnd"/>
      <w:r w:rsidRPr="00AC0D84">
        <w:rPr>
          <w:i/>
          <w:iCs/>
          <w:szCs w:val="26"/>
        </w:rPr>
        <w:t xml:space="preserve"> Order</w:t>
      </w:r>
      <w:r w:rsidRPr="00AC0D84">
        <w:rPr>
          <w:szCs w:val="26"/>
        </w:rPr>
        <w:t>).  The ALJ explained that PPL would be in violation of the law if they did not install a smart meter at similarly situated residences.  The ALJ explained that the Commission has held that there is no provision in Pennsylvania law to allow a customer to opt out from the installation of an AMI meter, and thus, this requested relief is outside of the Commission’s jurisdiction and authority.</w:t>
      </w:r>
      <w:r w:rsidR="00F006A4">
        <w:rPr>
          <w:szCs w:val="26"/>
        </w:rPr>
        <w:t xml:space="preserve"> </w:t>
      </w:r>
      <w:r w:rsidRPr="00AC0D84">
        <w:rPr>
          <w:szCs w:val="26"/>
        </w:rPr>
        <w:t xml:space="preserve"> I.D. at 12 (citation omitted).</w:t>
      </w:r>
    </w:p>
    <w:p w14:paraId="461987A3" w14:textId="5D09F4B6" w:rsidR="00F14E55" w:rsidRPr="00AC0D84" w:rsidRDefault="00F14E55" w:rsidP="00F14E55">
      <w:pPr>
        <w:widowControl/>
        <w:spacing w:line="360" w:lineRule="auto"/>
        <w:ind w:firstLine="1440"/>
        <w:contextualSpacing/>
        <w:rPr>
          <w:szCs w:val="26"/>
        </w:rPr>
      </w:pPr>
      <w:r w:rsidRPr="00AC0D84">
        <w:rPr>
          <w:szCs w:val="26"/>
        </w:rPr>
        <w:lastRenderedPageBreak/>
        <w:t xml:space="preserve">The ALJ further explained that, to the extent that </w:t>
      </w:r>
      <w:r w:rsidR="000E3AA9">
        <w:rPr>
          <w:szCs w:val="26"/>
        </w:rPr>
        <w:t xml:space="preserve">Mr. Smiles </w:t>
      </w:r>
      <w:r w:rsidRPr="00AC0D84">
        <w:rPr>
          <w:szCs w:val="26"/>
        </w:rPr>
        <w:t xml:space="preserve">desires the ability to “opt out” of the smart meter installation, he could advocate for such ability before the General Assembly, which is considering amending Section 2807(f) in some pending bills including: </w:t>
      </w:r>
      <w:r w:rsidR="00196C8E">
        <w:rPr>
          <w:szCs w:val="26"/>
        </w:rPr>
        <w:t xml:space="preserve"> (1) </w:t>
      </w:r>
      <w:r w:rsidRPr="00AC0D84">
        <w:rPr>
          <w:szCs w:val="26"/>
        </w:rPr>
        <w:t xml:space="preserve">PA House Bill Nos. 1564 and 1565; and </w:t>
      </w:r>
      <w:r w:rsidR="00196C8E">
        <w:rPr>
          <w:szCs w:val="26"/>
        </w:rPr>
        <w:t xml:space="preserve">(2) </w:t>
      </w:r>
      <w:r w:rsidRPr="00AC0D84">
        <w:rPr>
          <w:szCs w:val="26"/>
        </w:rPr>
        <w:t>Senate Bill No.</w:t>
      </w:r>
      <w:r w:rsidR="005A1AEB">
        <w:rPr>
          <w:szCs w:val="26"/>
        </w:rPr>
        <w:t> </w:t>
      </w:r>
      <w:r w:rsidRPr="00AC0D84">
        <w:rPr>
          <w:szCs w:val="26"/>
        </w:rPr>
        <w:t xml:space="preserve">443.  The ALJ noted, however, that these bills are not law.  The ALJ found that there is no legal requirement that PPL be required to wait until legislation is passed allowing customers to opt out of a smart meter installation.  I.D. at 12.  Based on all the foregoing, the ALJ found in favor of PPL </w:t>
      </w:r>
      <w:r w:rsidR="00487F7A" w:rsidRPr="00AC0D84">
        <w:rPr>
          <w:szCs w:val="26"/>
        </w:rPr>
        <w:t xml:space="preserve">with respect to </w:t>
      </w:r>
      <w:r w:rsidR="000E3AA9">
        <w:rPr>
          <w:szCs w:val="26"/>
        </w:rPr>
        <w:t>Mr. Smiles’</w:t>
      </w:r>
      <w:r w:rsidR="00487F7A" w:rsidRPr="00AC0D84">
        <w:rPr>
          <w:szCs w:val="26"/>
        </w:rPr>
        <w:t xml:space="preserve"> request to opt-out of smart meter installation.</w:t>
      </w:r>
      <w:r w:rsidR="006C3C13">
        <w:rPr>
          <w:szCs w:val="26"/>
        </w:rPr>
        <w:t xml:space="preserve">  </w:t>
      </w:r>
      <w:r w:rsidR="00487F7A" w:rsidRPr="00AC0D84">
        <w:rPr>
          <w:szCs w:val="26"/>
        </w:rPr>
        <w:t xml:space="preserve">I.D. at 12. </w:t>
      </w:r>
    </w:p>
    <w:p w14:paraId="5EA4D068" w14:textId="73DBFD4B" w:rsidR="00487F7A" w:rsidRPr="00AC0D84" w:rsidRDefault="00487F7A" w:rsidP="00F14E55">
      <w:pPr>
        <w:widowControl/>
        <w:spacing w:line="360" w:lineRule="auto"/>
        <w:ind w:firstLine="1440"/>
        <w:contextualSpacing/>
        <w:rPr>
          <w:szCs w:val="26"/>
        </w:rPr>
      </w:pPr>
    </w:p>
    <w:p w14:paraId="6E1C0EC0" w14:textId="00012E23" w:rsidR="00F14E55" w:rsidRDefault="00487F7A" w:rsidP="00AC0D84">
      <w:pPr>
        <w:widowControl/>
        <w:spacing w:line="360" w:lineRule="auto"/>
        <w:ind w:firstLine="1440"/>
        <w:contextualSpacing/>
        <w:rPr>
          <w:szCs w:val="26"/>
        </w:rPr>
      </w:pPr>
      <w:r w:rsidRPr="00AC0D84">
        <w:rPr>
          <w:szCs w:val="26"/>
        </w:rPr>
        <w:t xml:space="preserve">The ALJ further explained that a public utility’s Commission-approved tariff is </w:t>
      </w:r>
      <w:r w:rsidRPr="00AC0D84">
        <w:rPr>
          <w:i/>
          <w:iCs/>
          <w:szCs w:val="26"/>
        </w:rPr>
        <w:t>prima facie</w:t>
      </w:r>
      <w:r w:rsidRPr="00AC0D84">
        <w:rPr>
          <w:szCs w:val="26"/>
        </w:rPr>
        <w:t xml:space="preserve"> reasonable, has the full force of law and is binding on the utility and the customer. </w:t>
      </w:r>
      <w:r w:rsidR="00F006A4">
        <w:rPr>
          <w:szCs w:val="26"/>
        </w:rPr>
        <w:t xml:space="preserve"> </w:t>
      </w:r>
      <w:r w:rsidRPr="00AC0D84">
        <w:rPr>
          <w:szCs w:val="26"/>
        </w:rPr>
        <w:t>I.D. at 14 (</w:t>
      </w:r>
      <w:r w:rsidR="00AC0D84" w:rsidRPr="00AC0D84">
        <w:rPr>
          <w:szCs w:val="26"/>
        </w:rPr>
        <w:t>citations</w:t>
      </w:r>
      <w:r w:rsidRPr="00AC0D84">
        <w:rPr>
          <w:szCs w:val="26"/>
        </w:rPr>
        <w:t xml:space="preserve"> omitted).  After finding PPL’s Tariff Rule 4(I)(1) and (2) to be binding upon the parties and that </w:t>
      </w:r>
      <w:r w:rsidR="000E3AA9">
        <w:rPr>
          <w:szCs w:val="26"/>
        </w:rPr>
        <w:t>Mr. Smiles</w:t>
      </w:r>
      <w:r w:rsidRPr="00AC0D84">
        <w:rPr>
          <w:szCs w:val="26"/>
        </w:rPr>
        <w:t xml:space="preserve"> failed to show the tariff provision to be unreasonable, </w:t>
      </w:r>
      <w:r w:rsidR="00AC0D84" w:rsidRPr="00AC0D84">
        <w:rPr>
          <w:szCs w:val="26"/>
        </w:rPr>
        <w:t xml:space="preserve">the ALJ explained that under these tariff provisions </w:t>
      </w:r>
      <w:r w:rsidR="000E3AA9">
        <w:rPr>
          <w:szCs w:val="26"/>
        </w:rPr>
        <w:t xml:space="preserve">Mr. Smiles </w:t>
      </w:r>
      <w:r w:rsidRPr="00AC0D84">
        <w:rPr>
          <w:szCs w:val="26"/>
        </w:rPr>
        <w:t xml:space="preserve">has the option of relocating his meter to a different location because while PPL chooses the type of meter, the customer chooses the location of the meter board and socket. </w:t>
      </w:r>
      <w:r w:rsidR="00F006A4">
        <w:rPr>
          <w:szCs w:val="26"/>
        </w:rPr>
        <w:t xml:space="preserve"> </w:t>
      </w:r>
      <w:r w:rsidR="00AC0D84" w:rsidRPr="00AC0D84">
        <w:rPr>
          <w:szCs w:val="26"/>
        </w:rPr>
        <w:t>I.D.</w:t>
      </w:r>
      <w:r w:rsidR="00D15086">
        <w:rPr>
          <w:szCs w:val="26"/>
        </w:rPr>
        <w:t> </w:t>
      </w:r>
      <w:r w:rsidR="00AC0D84" w:rsidRPr="00AC0D84">
        <w:rPr>
          <w:szCs w:val="26"/>
        </w:rPr>
        <w:t>at</w:t>
      </w:r>
      <w:r w:rsidR="005A1AEB">
        <w:rPr>
          <w:szCs w:val="26"/>
        </w:rPr>
        <w:t> </w:t>
      </w:r>
      <w:r w:rsidR="00AC0D84" w:rsidRPr="00AC0D84">
        <w:rPr>
          <w:szCs w:val="26"/>
        </w:rPr>
        <w:t>14.  The ALJ explained that i</w:t>
      </w:r>
      <w:r w:rsidRPr="00AC0D84">
        <w:rPr>
          <w:szCs w:val="26"/>
        </w:rPr>
        <w:t>f Mr. Smiles would like a different location for the AMI meter, he can hire an electrician to move the meter board/socket to a new location on the service property.</w:t>
      </w:r>
      <w:r w:rsidR="00F006A4">
        <w:rPr>
          <w:szCs w:val="26"/>
        </w:rPr>
        <w:t xml:space="preserve"> </w:t>
      </w:r>
      <w:r w:rsidRPr="00AC0D84">
        <w:rPr>
          <w:szCs w:val="26"/>
        </w:rPr>
        <w:t xml:space="preserve"> This will, in some situations, require work on the PPL system as well to extend its conductors to the new meter board location.</w:t>
      </w:r>
      <w:r w:rsidR="00F006A4">
        <w:rPr>
          <w:szCs w:val="26"/>
        </w:rPr>
        <w:t xml:space="preserve"> </w:t>
      </w:r>
      <w:r w:rsidRPr="00AC0D84">
        <w:rPr>
          <w:szCs w:val="26"/>
        </w:rPr>
        <w:t xml:space="preserve"> PPL will limit charges for relocation of distribution system facilities to estimated contractor costs, estimated direct labor and estimated material costs, less an amount equal to any estimated maintenance expense avoided as a result of the relocation in accordance with its tariffed provisions.</w:t>
      </w:r>
      <w:r w:rsidR="00334FED">
        <w:rPr>
          <w:szCs w:val="26"/>
        </w:rPr>
        <w:t xml:space="preserve">  </w:t>
      </w:r>
      <w:r w:rsidR="00AC0D84" w:rsidRPr="00AC0D84">
        <w:rPr>
          <w:szCs w:val="26"/>
        </w:rPr>
        <w:t xml:space="preserve">I.D. at 14.  </w:t>
      </w:r>
      <w:r w:rsidRPr="00AC0D84">
        <w:rPr>
          <w:szCs w:val="26"/>
        </w:rPr>
        <w:t xml:space="preserve">However, </w:t>
      </w:r>
      <w:r w:rsidR="00AC0D84" w:rsidRPr="00AC0D84">
        <w:rPr>
          <w:szCs w:val="26"/>
        </w:rPr>
        <w:t xml:space="preserve">the ALJ found </w:t>
      </w:r>
      <w:r w:rsidRPr="00AC0D84">
        <w:rPr>
          <w:szCs w:val="26"/>
        </w:rPr>
        <w:t xml:space="preserve">there is no tariff provision requiring PPL to move an AMI meter solely at the EDC’s expense. </w:t>
      </w:r>
      <w:r w:rsidR="00AC0D84" w:rsidRPr="00AC0D84">
        <w:rPr>
          <w:szCs w:val="26"/>
        </w:rPr>
        <w:t xml:space="preserve"> I.D. at 14.</w:t>
      </w:r>
    </w:p>
    <w:p w14:paraId="470A87A2" w14:textId="77777777" w:rsidR="00F14E55" w:rsidRDefault="00F14E55" w:rsidP="00223B7A">
      <w:pPr>
        <w:widowControl/>
        <w:spacing w:line="360" w:lineRule="auto"/>
        <w:rPr>
          <w:szCs w:val="26"/>
        </w:rPr>
      </w:pPr>
    </w:p>
    <w:p w14:paraId="1CD05E54" w14:textId="66896DF6" w:rsidR="00223B7A" w:rsidRPr="00223B7A" w:rsidRDefault="00223B7A" w:rsidP="00E452F9">
      <w:pPr>
        <w:keepNext/>
        <w:widowControl/>
        <w:spacing w:line="360" w:lineRule="auto"/>
        <w:ind w:firstLine="720"/>
        <w:rPr>
          <w:szCs w:val="26"/>
          <w:u w:val="single"/>
        </w:rPr>
      </w:pPr>
      <w:r w:rsidRPr="00223B7A">
        <w:rPr>
          <w:szCs w:val="26"/>
          <w:u w:val="single"/>
        </w:rPr>
        <w:lastRenderedPageBreak/>
        <w:t>Health and Safety C</w:t>
      </w:r>
      <w:r w:rsidR="00E06EF0">
        <w:rPr>
          <w:szCs w:val="26"/>
          <w:u w:val="single"/>
        </w:rPr>
        <w:t>laims</w:t>
      </w:r>
    </w:p>
    <w:bookmarkEnd w:id="3"/>
    <w:p w14:paraId="00BF81AE" w14:textId="77777777" w:rsidR="00223B7A" w:rsidRPr="00C46D15" w:rsidRDefault="00223B7A" w:rsidP="00E452F9">
      <w:pPr>
        <w:keepNext/>
        <w:widowControl/>
        <w:spacing w:line="360" w:lineRule="auto"/>
        <w:ind w:firstLine="1440"/>
        <w:rPr>
          <w:color w:val="000000" w:themeColor="text1"/>
          <w:szCs w:val="26"/>
        </w:rPr>
      </w:pPr>
    </w:p>
    <w:p w14:paraId="515E3376" w14:textId="5451BB84" w:rsidR="001A0024" w:rsidRPr="00DC21D1" w:rsidRDefault="00223B7A" w:rsidP="00E452F9">
      <w:pPr>
        <w:keepNext/>
        <w:widowControl/>
        <w:spacing w:line="360" w:lineRule="auto"/>
        <w:ind w:firstLine="1440"/>
        <w:rPr>
          <w:szCs w:val="26"/>
        </w:rPr>
      </w:pPr>
      <w:r w:rsidRPr="00C46D15">
        <w:rPr>
          <w:color w:val="000000" w:themeColor="text1"/>
          <w:szCs w:val="26"/>
        </w:rPr>
        <w:t>The ALJ</w:t>
      </w:r>
      <w:r w:rsidR="004C69DA" w:rsidRPr="00C46D15">
        <w:rPr>
          <w:color w:val="000000" w:themeColor="text1"/>
          <w:szCs w:val="26"/>
        </w:rPr>
        <w:t xml:space="preserve"> </w:t>
      </w:r>
      <w:r w:rsidRPr="00C46D15">
        <w:rPr>
          <w:color w:val="000000" w:themeColor="text1"/>
          <w:szCs w:val="26"/>
        </w:rPr>
        <w:t xml:space="preserve">addressed </w:t>
      </w:r>
      <w:r w:rsidR="000E3AA9">
        <w:rPr>
          <w:color w:val="000000" w:themeColor="text1"/>
          <w:szCs w:val="26"/>
        </w:rPr>
        <w:t>Mr. Smiles’</w:t>
      </w:r>
      <w:r w:rsidRPr="00C46D15">
        <w:rPr>
          <w:color w:val="000000" w:themeColor="text1"/>
          <w:szCs w:val="26"/>
        </w:rPr>
        <w:t xml:space="preserve"> claim that the AMI meter will cause or contribute to negative health effects</w:t>
      </w:r>
      <w:r w:rsidR="004C69DA" w:rsidRPr="00C46D15">
        <w:rPr>
          <w:color w:val="000000" w:themeColor="text1"/>
          <w:szCs w:val="26"/>
        </w:rPr>
        <w:t>.</w:t>
      </w:r>
      <w:r w:rsidRPr="00C46D15">
        <w:rPr>
          <w:color w:val="000000" w:themeColor="text1"/>
          <w:szCs w:val="26"/>
        </w:rPr>
        <w:t xml:space="preserve"> </w:t>
      </w:r>
      <w:r w:rsidR="00EE7090">
        <w:rPr>
          <w:color w:val="000000" w:themeColor="text1"/>
          <w:szCs w:val="26"/>
        </w:rPr>
        <w:t xml:space="preserve"> </w:t>
      </w:r>
      <w:r w:rsidR="00C46D15" w:rsidRPr="00C46D15">
        <w:rPr>
          <w:color w:val="000000" w:themeColor="text1"/>
          <w:szCs w:val="26"/>
        </w:rPr>
        <w:t xml:space="preserve">I.D. at 14 (citing </w:t>
      </w:r>
      <w:r w:rsidR="00C46D15" w:rsidRPr="00C46D15">
        <w:rPr>
          <w:szCs w:val="26"/>
        </w:rPr>
        <w:t xml:space="preserve">Tr. 14). </w:t>
      </w:r>
      <w:r w:rsidR="00F006A4">
        <w:rPr>
          <w:szCs w:val="26"/>
        </w:rPr>
        <w:t xml:space="preserve"> </w:t>
      </w:r>
      <w:r w:rsidR="00C46D15" w:rsidRPr="00C46D15">
        <w:rPr>
          <w:szCs w:val="26"/>
        </w:rPr>
        <w:t xml:space="preserve">Regarding this issue, </w:t>
      </w:r>
      <w:r w:rsidR="000E3AA9">
        <w:rPr>
          <w:szCs w:val="26"/>
        </w:rPr>
        <w:t>Mr.</w:t>
      </w:r>
      <w:r w:rsidR="005A1AEB">
        <w:rPr>
          <w:szCs w:val="26"/>
        </w:rPr>
        <w:t> </w:t>
      </w:r>
      <w:r w:rsidR="000E3AA9">
        <w:rPr>
          <w:szCs w:val="26"/>
        </w:rPr>
        <w:t>Smiles</w:t>
      </w:r>
      <w:r w:rsidR="00C46D15" w:rsidRPr="00C46D15">
        <w:rPr>
          <w:szCs w:val="26"/>
        </w:rPr>
        <w:t xml:space="preserve"> mentions the </w:t>
      </w:r>
      <w:proofErr w:type="spellStart"/>
      <w:r w:rsidR="00C46D15" w:rsidRPr="00C46D15">
        <w:rPr>
          <w:szCs w:val="26"/>
        </w:rPr>
        <w:t>BioInitiative</w:t>
      </w:r>
      <w:proofErr w:type="spellEnd"/>
      <w:r w:rsidR="00C46D15" w:rsidRPr="00C46D15">
        <w:rPr>
          <w:szCs w:val="26"/>
        </w:rPr>
        <w:t xml:space="preserve"> Report in his discovery responses.</w:t>
      </w:r>
      <w:r w:rsidR="00EE7090">
        <w:rPr>
          <w:szCs w:val="26"/>
        </w:rPr>
        <w:t xml:space="preserve"> </w:t>
      </w:r>
      <w:r w:rsidR="00C46D15" w:rsidRPr="00C46D15">
        <w:rPr>
          <w:szCs w:val="26"/>
        </w:rPr>
        <w:t xml:space="preserve"> I.D. at 14 (citing PPL Electric </w:t>
      </w:r>
      <w:r w:rsidR="006A0533">
        <w:rPr>
          <w:szCs w:val="26"/>
        </w:rPr>
        <w:t>St.</w:t>
      </w:r>
      <w:r w:rsidR="00C46D15" w:rsidRPr="00C46D15">
        <w:rPr>
          <w:szCs w:val="26"/>
        </w:rPr>
        <w:t xml:space="preserve"> No. 2 at 16).</w:t>
      </w:r>
      <w:r w:rsidR="00DC21D1">
        <w:rPr>
          <w:szCs w:val="26"/>
        </w:rPr>
        <w:t xml:space="preserve">  </w:t>
      </w:r>
      <w:r w:rsidR="00C46D15" w:rsidRPr="00C46D15">
        <w:rPr>
          <w:szCs w:val="26"/>
        </w:rPr>
        <w:t xml:space="preserve">Conversely, PPL contended that </w:t>
      </w:r>
      <w:r w:rsidR="000E3AA9">
        <w:rPr>
          <w:szCs w:val="26"/>
        </w:rPr>
        <w:t>he</w:t>
      </w:r>
      <w:r w:rsidR="00C46D15" w:rsidRPr="00C46D15">
        <w:rPr>
          <w:szCs w:val="26"/>
        </w:rPr>
        <w:t xml:space="preserve"> has failed to meet his burden of proving the meter intended for his service property will cause deleterious health effects.</w:t>
      </w:r>
      <w:r w:rsidR="00F006A4">
        <w:rPr>
          <w:szCs w:val="26"/>
        </w:rPr>
        <w:t xml:space="preserve"> </w:t>
      </w:r>
      <w:r w:rsidR="00C46D15" w:rsidRPr="00C46D15">
        <w:rPr>
          <w:szCs w:val="26"/>
        </w:rPr>
        <w:t xml:space="preserve"> PPL argued the </w:t>
      </w:r>
      <w:proofErr w:type="spellStart"/>
      <w:r w:rsidR="00C46D15" w:rsidRPr="00C46D15">
        <w:rPr>
          <w:szCs w:val="26"/>
        </w:rPr>
        <w:t>BioInitiative</w:t>
      </w:r>
      <w:proofErr w:type="spellEnd"/>
      <w:r w:rsidR="00C46D15" w:rsidRPr="00C46D15">
        <w:rPr>
          <w:szCs w:val="26"/>
        </w:rPr>
        <w:t xml:space="preserve"> report is not an objective and balanced </w:t>
      </w:r>
      <w:r w:rsidR="00C46D15" w:rsidRPr="00DC21D1">
        <w:rPr>
          <w:szCs w:val="26"/>
        </w:rPr>
        <w:t xml:space="preserve">reflection of the current state of scientific knowledge.  PPL also argued the report does not provide grounds for revising the current views as to the risks of exposure to electromagnetic fields.  I.D. at 15 (citing PPL Electric </w:t>
      </w:r>
      <w:r w:rsidR="006A0533">
        <w:rPr>
          <w:szCs w:val="26"/>
        </w:rPr>
        <w:t>St.</w:t>
      </w:r>
      <w:r w:rsidR="00C46D15" w:rsidRPr="00DC21D1">
        <w:rPr>
          <w:szCs w:val="26"/>
        </w:rPr>
        <w:t xml:space="preserve"> No. 2 at 16).</w:t>
      </w:r>
    </w:p>
    <w:p w14:paraId="78D2E702" w14:textId="77777777" w:rsidR="001A0024" w:rsidRPr="00DC21D1" w:rsidRDefault="001A0024" w:rsidP="001A0024">
      <w:pPr>
        <w:widowControl/>
        <w:spacing w:line="360" w:lineRule="auto"/>
        <w:ind w:firstLine="1440"/>
        <w:rPr>
          <w:szCs w:val="26"/>
        </w:rPr>
      </w:pPr>
    </w:p>
    <w:p w14:paraId="341D548B" w14:textId="5CF01B62" w:rsidR="00DC21D1" w:rsidRDefault="001A0024" w:rsidP="00DC21D1">
      <w:pPr>
        <w:widowControl/>
        <w:spacing w:line="360" w:lineRule="auto"/>
        <w:ind w:firstLine="1440"/>
        <w:rPr>
          <w:szCs w:val="26"/>
        </w:rPr>
      </w:pPr>
      <w:r w:rsidRPr="00DC21D1">
        <w:rPr>
          <w:szCs w:val="26"/>
        </w:rPr>
        <w:t xml:space="preserve">The ALJ explained that </w:t>
      </w:r>
      <w:r w:rsidR="000E3AA9">
        <w:rPr>
          <w:szCs w:val="26"/>
        </w:rPr>
        <w:t>Mr. Smiles</w:t>
      </w:r>
      <w:r w:rsidRPr="00DC21D1">
        <w:rPr>
          <w:szCs w:val="26"/>
        </w:rPr>
        <w:t xml:space="preserve"> in this proceeding is neither a medical doctor nor an engineer. </w:t>
      </w:r>
      <w:r w:rsidR="00DC21D1">
        <w:rPr>
          <w:szCs w:val="26"/>
        </w:rPr>
        <w:t xml:space="preserve"> I.D. at 15 (citing </w:t>
      </w:r>
      <w:r w:rsidRPr="00DC21D1">
        <w:rPr>
          <w:szCs w:val="26"/>
        </w:rPr>
        <w:t>Tr. 10-11</w:t>
      </w:r>
      <w:r w:rsidR="00DC21D1">
        <w:rPr>
          <w:szCs w:val="26"/>
        </w:rPr>
        <w:t>)</w:t>
      </w:r>
      <w:r w:rsidRPr="00DC21D1">
        <w:rPr>
          <w:szCs w:val="26"/>
        </w:rPr>
        <w:t xml:space="preserve">. </w:t>
      </w:r>
      <w:r w:rsidR="00DC21D1">
        <w:rPr>
          <w:szCs w:val="26"/>
        </w:rPr>
        <w:t xml:space="preserve"> The ALJ noted that</w:t>
      </w:r>
      <w:r w:rsidR="000E3AA9">
        <w:rPr>
          <w:szCs w:val="26"/>
        </w:rPr>
        <w:t xml:space="preserve"> Mr. Smiles </w:t>
      </w:r>
      <w:r w:rsidRPr="00DC21D1">
        <w:rPr>
          <w:szCs w:val="26"/>
        </w:rPr>
        <w:t xml:space="preserve">offered no medical exhibits and no expert witnesses in medicine or biophysics to support his claim that an AMI smart meter will cause adverse health and safety consequences. </w:t>
      </w:r>
      <w:r w:rsidR="00F006A4">
        <w:rPr>
          <w:szCs w:val="26"/>
        </w:rPr>
        <w:t xml:space="preserve"> </w:t>
      </w:r>
      <w:r w:rsidR="00DC21D1">
        <w:rPr>
          <w:szCs w:val="26"/>
        </w:rPr>
        <w:t xml:space="preserve">I.D. at 15, 18.  </w:t>
      </w:r>
      <w:r w:rsidR="00DC21D1" w:rsidRPr="00DC21D1">
        <w:rPr>
          <w:szCs w:val="26"/>
        </w:rPr>
        <w:t xml:space="preserve">The ALJ concluded that </w:t>
      </w:r>
      <w:r w:rsidR="000E3AA9">
        <w:rPr>
          <w:szCs w:val="26"/>
        </w:rPr>
        <w:t>Mr. Smiles</w:t>
      </w:r>
      <w:r w:rsidR="00DC21D1" w:rsidRPr="00DC21D1">
        <w:rPr>
          <w:szCs w:val="26"/>
        </w:rPr>
        <w:t xml:space="preserve"> had not established a </w:t>
      </w:r>
      <w:r w:rsidR="00DC21D1" w:rsidRPr="00DC21D1">
        <w:rPr>
          <w:i/>
          <w:iCs/>
          <w:szCs w:val="26"/>
        </w:rPr>
        <w:t xml:space="preserve">prima facie </w:t>
      </w:r>
      <w:r w:rsidR="00DC21D1" w:rsidRPr="00DC21D1">
        <w:rPr>
          <w:szCs w:val="26"/>
        </w:rPr>
        <w:t xml:space="preserve">case to show that any RF exposure levels from a Landis + </w:t>
      </w:r>
      <w:proofErr w:type="spellStart"/>
      <w:r w:rsidR="00DC21D1" w:rsidRPr="00DC21D1">
        <w:rPr>
          <w:szCs w:val="26"/>
        </w:rPr>
        <w:t>Gyr</w:t>
      </w:r>
      <w:proofErr w:type="spellEnd"/>
      <w:r w:rsidR="00DC21D1" w:rsidRPr="00DC21D1">
        <w:rPr>
          <w:szCs w:val="26"/>
        </w:rPr>
        <w:t xml:space="preserve"> Focus AXR-SD meter will cause him to experience adverse health effects. </w:t>
      </w:r>
      <w:r w:rsidR="00DC21D1">
        <w:rPr>
          <w:szCs w:val="26"/>
        </w:rPr>
        <w:t xml:space="preserve"> I.D. at 18.  The ALJ concluded that </w:t>
      </w:r>
      <w:r w:rsidR="000E3AA9">
        <w:rPr>
          <w:szCs w:val="26"/>
        </w:rPr>
        <w:t>Mr. Smiles’</w:t>
      </w:r>
      <w:r w:rsidR="00A551DE">
        <w:rPr>
          <w:szCs w:val="26"/>
        </w:rPr>
        <w:t xml:space="preserve"> </w:t>
      </w:r>
      <w:r w:rsidR="00DC21D1" w:rsidRPr="00DC21D1">
        <w:rPr>
          <w:szCs w:val="26"/>
        </w:rPr>
        <w:t xml:space="preserve">assertions that his health will deteriorate because of radiofrequency fields emitted by an AMI meter are bald assertions, which do not constitute evidence. </w:t>
      </w:r>
      <w:r w:rsidR="00F006A4">
        <w:rPr>
          <w:szCs w:val="26"/>
        </w:rPr>
        <w:t xml:space="preserve"> </w:t>
      </w:r>
      <w:r w:rsidR="00DC21D1">
        <w:rPr>
          <w:szCs w:val="26"/>
        </w:rPr>
        <w:t xml:space="preserve">I.D. at 18 (citing </w:t>
      </w:r>
      <w:proofErr w:type="spellStart"/>
      <w:r w:rsidR="00DC21D1" w:rsidRPr="00DC21D1">
        <w:rPr>
          <w:i/>
          <w:iCs/>
          <w:szCs w:val="26"/>
        </w:rPr>
        <w:t>Bervinchak</w:t>
      </w:r>
      <w:proofErr w:type="spellEnd"/>
      <w:r w:rsidR="00DC21D1" w:rsidRPr="00DC21D1">
        <w:rPr>
          <w:i/>
          <w:iCs/>
          <w:szCs w:val="26"/>
        </w:rPr>
        <w:t xml:space="preserve"> v. PPL Electric Utilities Corporation</w:t>
      </w:r>
      <w:r w:rsidR="00DC21D1" w:rsidRPr="00DC21D1">
        <w:rPr>
          <w:szCs w:val="26"/>
        </w:rPr>
        <w:t>, Docket No. C-2016-2572824 (Final Order entered on October 2, 2018)</w:t>
      </w:r>
      <w:r w:rsidR="00DC21D1">
        <w:rPr>
          <w:szCs w:val="26"/>
        </w:rPr>
        <w:t>; citing also</w:t>
      </w:r>
      <w:r w:rsidR="00DC21D1" w:rsidRPr="00DC21D1">
        <w:rPr>
          <w:i/>
          <w:iCs/>
          <w:szCs w:val="26"/>
        </w:rPr>
        <w:t xml:space="preserve"> Pa. Bureau of Corrections v. City of Pittsburgh</w:t>
      </w:r>
      <w:r w:rsidR="00DC21D1" w:rsidRPr="00DC21D1">
        <w:rPr>
          <w:szCs w:val="26"/>
        </w:rPr>
        <w:t>, 532 A.2d. 12 (Pa. 1987)</w:t>
      </w:r>
      <w:r w:rsidR="00DC21D1">
        <w:rPr>
          <w:szCs w:val="26"/>
        </w:rPr>
        <w:t>)</w:t>
      </w:r>
      <w:r w:rsidR="00DC21D1" w:rsidRPr="00DC21D1">
        <w:rPr>
          <w:szCs w:val="26"/>
        </w:rPr>
        <w:t>.</w:t>
      </w:r>
    </w:p>
    <w:p w14:paraId="113F2401" w14:textId="77777777" w:rsidR="002500D1" w:rsidRDefault="002500D1" w:rsidP="00DC21D1">
      <w:pPr>
        <w:widowControl/>
        <w:spacing w:line="360" w:lineRule="auto"/>
        <w:ind w:firstLine="1440"/>
        <w:rPr>
          <w:szCs w:val="26"/>
        </w:rPr>
      </w:pPr>
    </w:p>
    <w:p w14:paraId="23D1A212" w14:textId="52F28CAC" w:rsidR="001A0024" w:rsidRPr="00DC21D1" w:rsidRDefault="00DC21D1" w:rsidP="001A0024">
      <w:pPr>
        <w:widowControl/>
        <w:spacing w:line="360" w:lineRule="auto"/>
        <w:ind w:firstLine="1440"/>
        <w:rPr>
          <w:szCs w:val="26"/>
        </w:rPr>
      </w:pPr>
      <w:r>
        <w:rPr>
          <w:szCs w:val="26"/>
        </w:rPr>
        <w:t>Moreover, t</w:t>
      </w:r>
      <w:r w:rsidR="001A0024" w:rsidRPr="00DC21D1">
        <w:rPr>
          <w:szCs w:val="26"/>
        </w:rPr>
        <w:t xml:space="preserve">he ALJ found that </w:t>
      </w:r>
      <w:r w:rsidR="000E3AA9">
        <w:rPr>
          <w:szCs w:val="26"/>
        </w:rPr>
        <w:t>Mr. Smiles’</w:t>
      </w:r>
      <w:r w:rsidR="001A0024" w:rsidRPr="00DC21D1">
        <w:rPr>
          <w:szCs w:val="26"/>
        </w:rPr>
        <w:t xml:space="preserve"> lay testimony that there will be deleterious health effects if a smart meter is placed on his property is refuted by the credible expert testimonies of Dr. Mark Israel and Dr. Christopher Davis.  I.D. at 15</w:t>
      </w:r>
      <w:r>
        <w:rPr>
          <w:szCs w:val="26"/>
        </w:rPr>
        <w:t>, 18</w:t>
      </w:r>
      <w:r w:rsidR="001A0024" w:rsidRPr="00DC21D1">
        <w:rPr>
          <w:szCs w:val="26"/>
        </w:rPr>
        <w:t>.</w:t>
      </w:r>
    </w:p>
    <w:p w14:paraId="7D09B374" w14:textId="77777777" w:rsidR="001A0024" w:rsidRPr="00DC21D1" w:rsidRDefault="001A0024" w:rsidP="001A0024">
      <w:pPr>
        <w:widowControl/>
        <w:spacing w:line="360" w:lineRule="auto"/>
        <w:ind w:firstLine="1440"/>
        <w:rPr>
          <w:szCs w:val="26"/>
        </w:rPr>
      </w:pPr>
    </w:p>
    <w:p w14:paraId="5FC4B2F3" w14:textId="4E2E0A90" w:rsidR="00223B7A" w:rsidRPr="006C47FB" w:rsidRDefault="00DC21D1" w:rsidP="001A0024">
      <w:pPr>
        <w:widowControl/>
        <w:spacing w:line="360" w:lineRule="auto"/>
        <w:ind w:firstLine="1440"/>
        <w:rPr>
          <w:rFonts w:eastAsiaTheme="minorHAnsi"/>
          <w:color w:val="000000"/>
          <w:szCs w:val="26"/>
        </w:rPr>
      </w:pPr>
      <w:r>
        <w:rPr>
          <w:rFonts w:eastAsiaTheme="minorHAnsi"/>
          <w:color w:val="000000"/>
          <w:szCs w:val="26"/>
        </w:rPr>
        <w:lastRenderedPageBreak/>
        <w:t xml:space="preserve">Based on </w:t>
      </w:r>
      <w:r w:rsidRPr="00DC21D1">
        <w:rPr>
          <w:rFonts w:eastAsiaTheme="minorHAnsi"/>
          <w:color w:val="000000"/>
          <w:szCs w:val="26"/>
        </w:rPr>
        <w:t xml:space="preserve">the credible testimony of Dr. Israel, </w:t>
      </w:r>
      <w:r>
        <w:rPr>
          <w:rFonts w:eastAsiaTheme="minorHAnsi"/>
          <w:color w:val="000000"/>
          <w:szCs w:val="26"/>
        </w:rPr>
        <w:t>t</w:t>
      </w:r>
      <w:r w:rsidR="001A0024" w:rsidRPr="00DC21D1">
        <w:rPr>
          <w:szCs w:val="26"/>
        </w:rPr>
        <w:t xml:space="preserve">he ALJ found that </w:t>
      </w:r>
      <w:r w:rsidR="00456B8C">
        <w:rPr>
          <w:szCs w:val="26"/>
        </w:rPr>
        <w:t>electromagnetic hypersensitivity (</w:t>
      </w:r>
      <w:r w:rsidR="001A0024" w:rsidRPr="00DC21D1">
        <w:rPr>
          <w:rFonts w:eastAsiaTheme="minorHAnsi"/>
          <w:color w:val="000000"/>
          <w:szCs w:val="26"/>
        </w:rPr>
        <w:t>EHS</w:t>
      </w:r>
      <w:r w:rsidR="00456B8C">
        <w:rPr>
          <w:rFonts w:eastAsiaTheme="minorHAnsi"/>
          <w:color w:val="000000"/>
          <w:szCs w:val="26"/>
        </w:rPr>
        <w:t>)</w:t>
      </w:r>
      <w:r w:rsidR="001A0024" w:rsidRPr="00DC21D1">
        <w:rPr>
          <w:rFonts w:eastAsiaTheme="minorHAnsi"/>
          <w:color w:val="000000"/>
          <w:szCs w:val="26"/>
        </w:rPr>
        <w:t xml:space="preserve"> is not a medical diagnosis that is widely accepted among medical practitioners</w:t>
      </w:r>
      <w:r>
        <w:rPr>
          <w:rFonts w:eastAsiaTheme="minorHAnsi"/>
          <w:color w:val="000000"/>
          <w:szCs w:val="26"/>
        </w:rPr>
        <w:t>.  I.D. at 15</w:t>
      </w:r>
      <w:r w:rsidR="00A235C9">
        <w:rPr>
          <w:rFonts w:eastAsiaTheme="minorHAnsi"/>
          <w:color w:val="000000"/>
          <w:szCs w:val="26"/>
        </w:rPr>
        <w:t>, 19</w:t>
      </w:r>
      <w:r>
        <w:rPr>
          <w:rFonts w:eastAsiaTheme="minorHAnsi"/>
          <w:color w:val="000000"/>
          <w:szCs w:val="26"/>
        </w:rPr>
        <w:t>.  Dr. Israel testified that</w:t>
      </w:r>
      <w:r w:rsidR="001A0024" w:rsidRPr="00DC21D1">
        <w:rPr>
          <w:rFonts w:eastAsiaTheme="minorHAnsi"/>
          <w:color w:val="000000"/>
          <w:szCs w:val="26"/>
        </w:rPr>
        <w:t xml:space="preserve"> EHS </w:t>
      </w:r>
      <w:r>
        <w:rPr>
          <w:rFonts w:eastAsiaTheme="minorHAnsi"/>
          <w:color w:val="000000"/>
          <w:szCs w:val="26"/>
        </w:rPr>
        <w:t xml:space="preserve">is </w:t>
      </w:r>
      <w:r w:rsidR="001A0024" w:rsidRPr="00DC21D1">
        <w:rPr>
          <w:rFonts w:eastAsiaTheme="minorHAnsi"/>
          <w:color w:val="000000"/>
          <w:szCs w:val="26"/>
        </w:rPr>
        <w:t>an idiopathic environmental intolerance</w:t>
      </w:r>
      <w:r>
        <w:rPr>
          <w:rFonts w:eastAsiaTheme="minorHAnsi"/>
          <w:color w:val="000000"/>
          <w:szCs w:val="26"/>
        </w:rPr>
        <w:t xml:space="preserve"> (IEI)</w:t>
      </w:r>
      <w:r w:rsidR="001A0024" w:rsidRPr="00DC21D1">
        <w:rPr>
          <w:rFonts w:eastAsiaTheme="minorHAnsi"/>
          <w:color w:val="000000"/>
          <w:szCs w:val="26"/>
        </w:rPr>
        <w:t xml:space="preserve">, which has an unknown cause. </w:t>
      </w:r>
      <w:r w:rsidR="00F006A4">
        <w:rPr>
          <w:rFonts w:eastAsiaTheme="minorHAnsi"/>
          <w:color w:val="000000"/>
          <w:szCs w:val="26"/>
        </w:rPr>
        <w:t xml:space="preserve"> </w:t>
      </w:r>
      <w:r>
        <w:rPr>
          <w:rFonts w:eastAsiaTheme="minorHAnsi"/>
          <w:color w:val="000000"/>
          <w:szCs w:val="26"/>
        </w:rPr>
        <w:t>I.D. at 15-1</w:t>
      </w:r>
      <w:r w:rsidR="00A235C9">
        <w:rPr>
          <w:rFonts w:eastAsiaTheme="minorHAnsi"/>
          <w:color w:val="000000"/>
          <w:szCs w:val="26"/>
        </w:rPr>
        <w:t>9</w:t>
      </w:r>
      <w:r>
        <w:rPr>
          <w:rFonts w:eastAsiaTheme="minorHAnsi"/>
          <w:color w:val="000000"/>
          <w:szCs w:val="26"/>
        </w:rPr>
        <w:t xml:space="preserve">.  </w:t>
      </w:r>
      <w:r w:rsidR="001A0024" w:rsidRPr="00DC21D1">
        <w:rPr>
          <w:rFonts w:eastAsiaTheme="minorHAnsi"/>
          <w:color w:val="000000"/>
          <w:szCs w:val="26"/>
        </w:rPr>
        <w:t xml:space="preserve">Dr. Israel opined that </w:t>
      </w:r>
      <w:r w:rsidR="000E3AA9">
        <w:rPr>
          <w:rFonts w:eastAsiaTheme="minorHAnsi"/>
          <w:color w:val="000000"/>
          <w:szCs w:val="26"/>
        </w:rPr>
        <w:t>Mr. Smiles’</w:t>
      </w:r>
      <w:r w:rsidR="001A0024" w:rsidRPr="00DC21D1">
        <w:rPr>
          <w:rFonts w:eastAsiaTheme="minorHAnsi"/>
          <w:color w:val="000000"/>
          <w:szCs w:val="26"/>
        </w:rPr>
        <w:t xml:space="preserve"> insomnia was not caused by radio frequency waves emitting from his neighbor’s smart meter. </w:t>
      </w:r>
      <w:r w:rsidR="00F006A4">
        <w:rPr>
          <w:rFonts w:eastAsiaTheme="minorHAnsi"/>
          <w:color w:val="000000"/>
          <w:szCs w:val="26"/>
        </w:rPr>
        <w:t xml:space="preserve"> </w:t>
      </w:r>
      <w:r w:rsidR="001A0024" w:rsidRPr="00DC21D1">
        <w:rPr>
          <w:rFonts w:eastAsiaTheme="minorHAnsi"/>
          <w:color w:val="000000"/>
          <w:szCs w:val="26"/>
        </w:rPr>
        <w:t xml:space="preserve">While stating she was persuaded to find </w:t>
      </w:r>
      <w:r w:rsidR="000E3AA9">
        <w:rPr>
          <w:rFonts w:eastAsiaTheme="minorHAnsi"/>
          <w:color w:val="000000"/>
          <w:szCs w:val="26"/>
        </w:rPr>
        <w:t>he</w:t>
      </w:r>
      <w:r w:rsidR="001A0024" w:rsidRPr="00DC21D1">
        <w:rPr>
          <w:rFonts w:eastAsiaTheme="minorHAnsi"/>
          <w:color w:val="000000"/>
          <w:szCs w:val="26"/>
        </w:rPr>
        <w:t xml:space="preserve"> had insomnia, the ALJ explained that she was not convinced EHS has a scientific basis as it appears to be based entirely upon self-reporting of adverse reactions to electromagnetic fields at intensities well below the maximum levels permitted by the </w:t>
      </w:r>
      <w:r w:rsidR="008C0988">
        <w:rPr>
          <w:rFonts w:eastAsiaTheme="minorHAnsi"/>
          <w:color w:val="000000"/>
          <w:szCs w:val="26"/>
        </w:rPr>
        <w:t>Federal Communications Commission’s (</w:t>
      </w:r>
      <w:r w:rsidR="001A0024" w:rsidRPr="00DC21D1">
        <w:rPr>
          <w:rFonts w:eastAsiaTheme="minorHAnsi"/>
          <w:color w:val="000000"/>
          <w:szCs w:val="26"/>
        </w:rPr>
        <w:t>FCC’s</w:t>
      </w:r>
      <w:r w:rsidR="008C0988">
        <w:rPr>
          <w:rFonts w:eastAsiaTheme="minorHAnsi"/>
          <w:color w:val="000000"/>
          <w:szCs w:val="26"/>
        </w:rPr>
        <w:t>)</w:t>
      </w:r>
      <w:r w:rsidR="001A0024" w:rsidRPr="00DC21D1">
        <w:rPr>
          <w:rFonts w:eastAsiaTheme="minorHAnsi"/>
          <w:color w:val="000000"/>
          <w:szCs w:val="26"/>
        </w:rPr>
        <w:t xml:space="preserve"> radiation safety standards. </w:t>
      </w:r>
      <w:r w:rsidR="00F006A4">
        <w:rPr>
          <w:rFonts w:eastAsiaTheme="minorHAnsi"/>
          <w:color w:val="000000"/>
          <w:szCs w:val="26"/>
        </w:rPr>
        <w:t xml:space="preserve"> </w:t>
      </w:r>
      <w:r w:rsidR="001A0024" w:rsidRPr="00DC21D1">
        <w:rPr>
          <w:rFonts w:eastAsiaTheme="minorHAnsi"/>
          <w:color w:val="000000"/>
          <w:szCs w:val="26"/>
        </w:rPr>
        <w:t xml:space="preserve">The symptoms of EHS seem to vary widely and there is a psychological component to EHS. In giving his opinion, Dr. Israel relied on reports, “It is the IEI-EMF individuals’ belief that exposure to RF </w:t>
      </w:r>
      <w:r w:rsidR="001A0024" w:rsidRPr="006C47FB">
        <w:rPr>
          <w:rFonts w:eastAsiaTheme="minorHAnsi"/>
          <w:color w:val="000000"/>
          <w:szCs w:val="26"/>
        </w:rPr>
        <w:t xml:space="preserve">EMFs will cause harm, rather than actual exposure itself, that results in the presence of symptoms in IEI-EMF individuals.”  I.D. at 15 (citing PPL Electric </w:t>
      </w:r>
      <w:r w:rsidR="006A0533">
        <w:rPr>
          <w:rFonts w:eastAsiaTheme="minorHAnsi"/>
          <w:color w:val="000000"/>
          <w:szCs w:val="26"/>
        </w:rPr>
        <w:t>St.</w:t>
      </w:r>
      <w:r w:rsidR="001A0024" w:rsidRPr="006C47FB">
        <w:rPr>
          <w:rFonts w:eastAsiaTheme="minorHAnsi"/>
          <w:color w:val="000000"/>
          <w:szCs w:val="26"/>
        </w:rPr>
        <w:t xml:space="preserve"> No.</w:t>
      </w:r>
      <w:r w:rsidR="000B3F34">
        <w:rPr>
          <w:rFonts w:eastAsiaTheme="minorHAnsi"/>
          <w:color w:val="000000"/>
          <w:szCs w:val="26"/>
        </w:rPr>
        <w:t> </w:t>
      </w:r>
      <w:r w:rsidR="001A0024" w:rsidRPr="006C47FB">
        <w:rPr>
          <w:rFonts w:eastAsiaTheme="minorHAnsi"/>
          <w:color w:val="000000"/>
          <w:szCs w:val="26"/>
        </w:rPr>
        <w:t>2).</w:t>
      </w:r>
    </w:p>
    <w:p w14:paraId="116ACF77" w14:textId="49A5BCD4" w:rsidR="006C47FB" w:rsidRPr="006C47FB" w:rsidRDefault="006C47FB" w:rsidP="001A0024">
      <w:pPr>
        <w:widowControl/>
        <w:spacing w:line="360" w:lineRule="auto"/>
        <w:ind w:firstLine="1440"/>
        <w:rPr>
          <w:rFonts w:eastAsiaTheme="minorHAnsi"/>
          <w:color w:val="000000"/>
          <w:szCs w:val="26"/>
        </w:rPr>
      </w:pPr>
    </w:p>
    <w:p w14:paraId="0FB4C35A" w14:textId="6F4CD1AA" w:rsidR="006C47FB" w:rsidRPr="006C47FB" w:rsidRDefault="006C47FB" w:rsidP="006C47FB">
      <w:pPr>
        <w:widowControl/>
        <w:spacing w:line="360" w:lineRule="auto"/>
        <w:ind w:firstLine="1440"/>
        <w:rPr>
          <w:szCs w:val="26"/>
        </w:rPr>
      </w:pPr>
      <w:r w:rsidRPr="006C47FB">
        <w:rPr>
          <w:szCs w:val="26"/>
        </w:rPr>
        <w:t xml:space="preserve">Dr. Israel </w:t>
      </w:r>
      <w:r w:rsidR="004A5ADF">
        <w:rPr>
          <w:szCs w:val="26"/>
        </w:rPr>
        <w:t xml:space="preserve">further </w:t>
      </w:r>
      <w:r w:rsidRPr="006C47FB">
        <w:rPr>
          <w:szCs w:val="26"/>
        </w:rPr>
        <w:t>testified that several state public health authorities in the United States also have investigated claims about health effects from smart meters and have concluded that there is no credible scientific evidence that RF fields from smart meters will cause or contribute to any adverse health effects.  I.D. at 1</w:t>
      </w:r>
      <w:r w:rsidR="00A235C9">
        <w:rPr>
          <w:szCs w:val="26"/>
        </w:rPr>
        <w:t>9</w:t>
      </w:r>
      <w:r w:rsidRPr="006C47FB">
        <w:rPr>
          <w:szCs w:val="26"/>
        </w:rPr>
        <w:t xml:space="preserve"> (citing PPL Electric </w:t>
      </w:r>
      <w:r w:rsidR="006A0533">
        <w:rPr>
          <w:szCs w:val="26"/>
        </w:rPr>
        <w:t>St.</w:t>
      </w:r>
      <w:r w:rsidRPr="006C47FB">
        <w:rPr>
          <w:szCs w:val="26"/>
        </w:rPr>
        <w:t xml:space="preserve"> No. 2 at 11, PPL Electric Exhibit MI-2).  Dr. Israel opined that there is no reliable medical basis to conclude that RF fields from the AMI meters intended for installation by PPL will cause or contribute to the development of illness or disease.</w:t>
      </w:r>
      <w:r w:rsidR="00F006A4">
        <w:rPr>
          <w:szCs w:val="26"/>
        </w:rPr>
        <w:t xml:space="preserve"> </w:t>
      </w:r>
      <w:r w:rsidRPr="006C47FB">
        <w:rPr>
          <w:szCs w:val="26"/>
        </w:rPr>
        <w:t xml:space="preserve"> I.D.</w:t>
      </w:r>
      <w:r w:rsidR="005A1AEB">
        <w:rPr>
          <w:szCs w:val="26"/>
        </w:rPr>
        <w:t> </w:t>
      </w:r>
      <w:r w:rsidRPr="006C47FB">
        <w:rPr>
          <w:szCs w:val="26"/>
        </w:rPr>
        <w:t xml:space="preserve">at 18 (citing PPL Electric </w:t>
      </w:r>
      <w:r w:rsidR="006A0533">
        <w:rPr>
          <w:szCs w:val="26"/>
        </w:rPr>
        <w:t>St.</w:t>
      </w:r>
      <w:r w:rsidRPr="006C47FB">
        <w:rPr>
          <w:szCs w:val="26"/>
        </w:rPr>
        <w:t xml:space="preserve"> No. 2).  More specifically, Dr. Israel opined there is no reliable medical basis to conclude that RF fields from the AMI meters being used by PPL would cause, contribute to, or exacerbate any of the symptoms claimed by </w:t>
      </w:r>
      <w:r w:rsidR="000E3AA9">
        <w:rPr>
          <w:szCs w:val="26"/>
        </w:rPr>
        <w:t>Mr. Smiles</w:t>
      </w:r>
      <w:r w:rsidRPr="006C47FB">
        <w:rPr>
          <w:szCs w:val="26"/>
        </w:rPr>
        <w:t>, or any other adverse health effects.</w:t>
      </w:r>
      <w:r w:rsidR="00F006A4">
        <w:rPr>
          <w:szCs w:val="26"/>
        </w:rPr>
        <w:t xml:space="preserve"> </w:t>
      </w:r>
      <w:r w:rsidRPr="006C47FB">
        <w:rPr>
          <w:szCs w:val="26"/>
        </w:rPr>
        <w:t xml:space="preserve"> I.D. at 18 (citing PPL Electric </w:t>
      </w:r>
      <w:r w:rsidR="006A0533">
        <w:rPr>
          <w:szCs w:val="26"/>
        </w:rPr>
        <w:t>St.</w:t>
      </w:r>
      <w:r w:rsidRPr="006C47FB">
        <w:rPr>
          <w:szCs w:val="26"/>
        </w:rPr>
        <w:t xml:space="preserve"> No. 2 at 14-15). </w:t>
      </w:r>
    </w:p>
    <w:p w14:paraId="11392CD9" w14:textId="597A452A" w:rsidR="001A0024" w:rsidRPr="00DC21D1" w:rsidRDefault="001A0024" w:rsidP="006C47FB">
      <w:pPr>
        <w:widowControl/>
        <w:spacing w:line="360" w:lineRule="auto"/>
        <w:rPr>
          <w:rFonts w:eastAsiaTheme="minorHAnsi"/>
          <w:color w:val="000000"/>
          <w:szCs w:val="26"/>
        </w:rPr>
      </w:pPr>
    </w:p>
    <w:p w14:paraId="7D6D5599" w14:textId="123AD048" w:rsidR="001A0024" w:rsidRPr="00DC21D1" w:rsidRDefault="001A0024" w:rsidP="001A0024">
      <w:pPr>
        <w:widowControl/>
        <w:spacing w:line="360" w:lineRule="auto"/>
        <w:ind w:firstLine="1440"/>
        <w:rPr>
          <w:szCs w:val="26"/>
        </w:rPr>
      </w:pPr>
      <w:r w:rsidRPr="00DC21D1">
        <w:rPr>
          <w:szCs w:val="26"/>
        </w:rPr>
        <w:lastRenderedPageBreak/>
        <w:t xml:space="preserve">Moreover, the ALJ found that </w:t>
      </w:r>
      <w:r w:rsidR="000E3AA9">
        <w:rPr>
          <w:szCs w:val="26"/>
        </w:rPr>
        <w:t>M</w:t>
      </w:r>
      <w:r w:rsidR="003B4262">
        <w:rPr>
          <w:szCs w:val="26"/>
        </w:rPr>
        <w:t>r</w:t>
      </w:r>
      <w:r w:rsidR="000E3AA9">
        <w:rPr>
          <w:szCs w:val="26"/>
        </w:rPr>
        <w:t>. Smiles’</w:t>
      </w:r>
      <w:r w:rsidRPr="00DC21D1">
        <w:rPr>
          <w:szCs w:val="26"/>
        </w:rPr>
        <w:t xml:space="preserve"> testimony was also refuted by PPL’s expert witness Dr. Davis, who has qualified as an expert in the fields of Physics, Biophysics, Electrical Engineering, </w:t>
      </w:r>
      <w:proofErr w:type="spellStart"/>
      <w:r w:rsidRPr="00DC21D1">
        <w:rPr>
          <w:szCs w:val="26"/>
        </w:rPr>
        <w:t>Bioelectromagnetics</w:t>
      </w:r>
      <w:proofErr w:type="spellEnd"/>
      <w:r w:rsidRPr="00DC21D1">
        <w:rPr>
          <w:szCs w:val="26"/>
        </w:rPr>
        <w:t xml:space="preserve"> and RF </w:t>
      </w:r>
      <w:proofErr w:type="spellStart"/>
      <w:r w:rsidRPr="00DC21D1">
        <w:rPr>
          <w:szCs w:val="26"/>
        </w:rPr>
        <w:t>Bioelectromagnetics</w:t>
      </w:r>
      <w:proofErr w:type="spellEnd"/>
      <w:r w:rsidRPr="00DC21D1">
        <w:rPr>
          <w:szCs w:val="26"/>
        </w:rPr>
        <w:t xml:space="preserve">.  I.D. at 16 (citing PPL Electric </w:t>
      </w:r>
      <w:r w:rsidR="006A0533">
        <w:rPr>
          <w:szCs w:val="26"/>
        </w:rPr>
        <w:t>St.</w:t>
      </w:r>
      <w:r w:rsidRPr="00DC21D1">
        <w:rPr>
          <w:szCs w:val="26"/>
        </w:rPr>
        <w:t xml:space="preserve"> No. 1 at 1-5).</w:t>
      </w:r>
    </w:p>
    <w:p w14:paraId="67A321EC" w14:textId="77777777" w:rsidR="001A0024" w:rsidRPr="00DC21D1" w:rsidRDefault="001A0024" w:rsidP="001A0024">
      <w:pPr>
        <w:widowControl/>
        <w:spacing w:line="360" w:lineRule="auto"/>
        <w:ind w:firstLine="1440"/>
        <w:rPr>
          <w:szCs w:val="26"/>
        </w:rPr>
      </w:pPr>
    </w:p>
    <w:p w14:paraId="1E9D7540" w14:textId="297C457E" w:rsidR="00544F71" w:rsidRPr="00DC21D1" w:rsidRDefault="001A0024" w:rsidP="00544F71">
      <w:pPr>
        <w:widowControl/>
        <w:spacing w:line="360" w:lineRule="auto"/>
        <w:ind w:firstLine="1440"/>
        <w:rPr>
          <w:rFonts w:eastAsiaTheme="minorHAnsi"/>
          <w:color w:val="000000"/>
          <w:szCs w:val="26"/>
        </w:rPr>
      </w:pPr>
      <w:r w:rsidRPr="00DC21D1">
        <w:rPr>
          <w:rFonts w:eastAsiaTheme="minorHAnsi"/>
          <w:color w:val="000000"/>
          <w:szCs w:val="26"/>
        </w:rPr>
        <w:t xml:space="preserve">The ALJ explained that </w:t>
      </w:r>
      <w:r w:rsidRPr="001A0024">
        <w:rPr>
          <w:rFonts w:eastAsiaTheme="minorHAnsi"/>
          <w:color w:val="000000"/>
          <w:szCs w:val="26"/>
        </w:rPr>
        <w:t xml:space="preserve">Dr. Davis conducted a substantial amount of research on RF fields of the type produced by the AMI meters being used by PPL. </w:t>
      </w:r>
      <w:r w:rsidRPr="00DC21D1">
        <w:rPr>
          <w:rFonts w:eastAsiaTheme="minorHAnsi"/>
          <w:color w:val="000000"/>
          <w:szCs w:val="26"/>
        </w:rPr>
        <w:t xml:space="preserve"> I.D.</w:t>
      </w:r>
      <w:r w:rsidR="005A1AEB">
        <w:rPr>
          <w:rFonts w:eastAsiaTheme="minorHAnsi"/>
          <w:color w:val="000000"/>
          <w:szCs w:val="26"/>
        </w:rPr>
        <w:t> </w:t>
      </w:r>
      <w:r w:rsidRPr="00DC21D1">
        <w:rPr>
          <w:rFonts w:eastAsiaTheme="minorHAnsi"/>
          <w:color w:val="000000"/>
          <w:szCs w:val="26"/>
        </w:rPr>
        <w:t>at</w:t>
      </w:r>
      <w:r w:rsidR="005A1AEB">
        <w:rPr>
          <w:rFonts w:eastAsiaTheme="minorHAnsi"/>
          <w:color w:val="000000"/>
          <w:szCs w:val="26"/>
        </w:rPr>
        <w:t> </w:t>
      </w:r>
      <w:r w:rsidRPr="00DC21D1">
        <w:rPr>
          <w:rFonts w:eastAsiaTheme="minorHAnsi"/>
          <w:color w:val="000000"/>
          <w:szCs w:val="26"/>
        </w:rPr>
        <w:t xml:space="preserve">16 (citing </w:t>
      </w:r>
      <w:r w:rsidRPr="001A0024">
        <w:rPr>
          <w:rFonts w:eastAsiaTheme="minorHAnsi"/>
          <w:color w:val="000000"/>
          <w:szCs w:val="26"/>
        </w:rPr>
        <w:t xml:space="preserve">PPL Electric </w:t>
      </w:r>
      <w:r w:rsidR="006A0533">
        <w:rPr>
          <w:rFonts w:eastAsiaTheme="minorHAnsi"/>
          <w:color w:val="000000"/>
          <w:szCs w:val="26"/>
        </w:rPr>
        <w:t>St.</w:t>
      </w:r>
      <w:r w:rsidRPr="001A0024">
        <w:rPr>
          <w:rFonts w:eastAsiaTheme="minorHAnsi"/>
          <w:color w:val="000000"/>
          <w:szCs w:val="26"/>
        </w:rPr>
        <w:t xml:space="preserve"> No. 1 at 3</w:t>
      </w:r>
      <w:r w:rsidRPr="00DC21D1">
        <w:rPr>
          <w:rFonts w:eastAsiaTheme="minorHAnsi"/>
          <w:color w:val="000000"/>
          <w:szCs w:val="26"/>
        </w:rPr>
        <w:t>)</w:t>
      </w:r>
      <w:r w:rsidRPr="001A0024">
        <w:rPr>
          <w:rFonts w:eastAsiaTheme="minorHAnsi"/>
          <w:color w:val="000000"/>
          <w:szCs w:val="26"/>
        </w:rPr>
        <w:t xml:space="preserve">. </w:t>
      </w:r>
      <w:r w:rsidRPr="00DC21D1">
        <w:rPr>
          <w:rFonts w:eastAsiaTheme="minorHAnsi"/>
          <w:color w:val="000000"/>
          <w:szCs w:val="26"/>
        </w:rPr>
        <w:t xml:space="preserve"> </w:t>
      </w:r>
      <w:r w:rsidRPr="001A0024">
        <w:rPr>
          <w:rFonts w:eastAsiaTheme="minorHAnsi"/>
          <w:color w:val="000000"/>
          <w:szCs w:val="26"/>
        </w:rPr>
        <w:t>RF fields are part of the lower energy, non-ionizing portion of the electromagnetic spectrum which consists of lower frequency signals that do not have enough energy to break chemical bonds in cells or DNA.</w:t>
      </w:r>
      <w:r w:rsidR="00F006A4">
        <w:rPr>
          <w:rFonts w:eastAsiaTheme="minorHAnsi"/>
          <w:color w:val="000000"/>
          <w:szCs w:val="26"/>
        </w:rPr>
        <w:t xml:space="preserve"> </w:t>
      </w:r>
      <w:r w:rsidRPr="001A0024">
        <w:rPr>
          <w:rFonts w:eastAsiaTheme="minorHAnsi"/>
          <w:color w:val="000000"/>
          <w:szCs w:val="26"/>
        </w:rPr>
        <w:t xml:space="preserve"> </w:t>
      </w:r>
      <w:r w:rsidRPr="00DC21D1">
        <w:rPr>
          <w:rFonts w:eastAsiaTheme="minorHAnsi"/>
          <w:color w:val="000000"/>
          <w:szCs w:val="26"/>
        </w:rPr>
        <w:t>I.D.</w:t>
      </w:r>
      <w:r w:rsidR="005A1AEB">
        <w:rPr>
          <w:rFonts w:eastAsiaTheme="minorHAnsi"/>
          <w:color w:val="000000"/>
          <w:szCs w:val="26"/>
        </w:rPr>
        <w:t> </w:t>
      </w:r>
      <w:r w:rsidRPr="00DC21D1">
        <w:rPr>
          <w:rFonts w:eastAsiaTheme="minorHAnsi"/>
          <w:color w:val="000000"/>
          <w:szCs w:val="26"/>
        </w:rPr>
        <w:t>at</w:t>
      </w:r>
      <w:r w:rsidR="005A1AEB">
        <w:rPr>
          <w:rFonts w:eastAsiaTheme="minorHAnsi"/>
          <w:color w:val="000000"/>
          <w:szCs w:val="26"/>
        </w:rPr>
        <w:t> </w:t>
      </w:r>
      <w:r w:rsidRPr="00DC21D1">
        <w:rPr>
          <w:rFonts w:eastAsiaTheme="minorHAnsi"/>
          <w:color w:val="000000"/>
          <w:szCs w:val="26"/>
        </w:rPr>
        <w:t xml:space="preserve">16 (citing </w:t>
      </w:r>
      <w:r w:rsidRPr="001A0024">
        <w:rPr>
          <w:rFonts w:eastAsiaTheme="minorHAnsi"/>
          <w:color w:val="000000"/>
          <w:szCs w:val="26"/>
        </w:rPr>
        <w:t xml:space="preserve">PPL Electric </w:t>
      </w:r>
      <w:r w:rsidR="006A0533">
        <w:rPr>
          <w:rFonts w:eastAsiaTheme="minorHAnsi"/>
          <w:color w:val="000000"/>
          <w:szCs w:val="26"/>
        </w:rPr>
        <w:t>St.</w:t>
      </w:r>
      <w:r w:rsidRPr="001A0024">
        <w:rPr>
          <w:rFonts w:eastAsiaTheme="minorHAnsi"/>
          <w:color w:val="000000"/>
          <w:szCs w:val="26"/>
        </w:rPr>
        <w:t xml:space="preserve"> No. 1 at 5-6</w:t>
      </w:r>
      <w:r w:rsidRPr="00DC21D1">
        <w:rPr>
          <w:rFonts w:eastAsiaTheme="minorHAnsi"/>
          <w:color w:val="000000"/>
          <w:szCs w:val="26"/>
        </w:rPr>
        <w:t>)</w:t>
      </w:r>
      <w:r w:rsidRPr="001A0024">
        <w:rPr>
          <w:rFonts w:eastAsiaTheme="minorHAnsi"/>
          <w:color w:val="000000"/>
          <w:szCs w:val="26"/>
        </w:rPr>
        <w:t xml:space="preserve">. </w:t>
      </w:r>
      <w:r w:rsidR="00F006A4">
        <w:rPr>
          <w:rFonts w:eastAsiaTheme="minorHAnsi"/>
          <w:color w:val="000000"/>
          <w:szCs w:val="26"/>
        </w:rPr>
        <w:t xml:space="preserve"> </w:t>
      </w:r>
      <w:r w:rsidRPr="001A0024">
        <w:rPr>
          <w:rFonts w:eastAsiaTheme="minorHAnsi"/>
          <w:color w:val="000000"/>
          <w:szCs w:val="26"/>
        </w:rPr>
        <w:t xml:space="preserve">RF fields come from many sources in our everyday environments, including AM/FM radio, television broadcast, cell phones and their communication networks, portable phones, garage door openers and Wi-Fi networks. </w:t>
      </w:r>
      <w:r w:rsidR="00544F71" w:rsidRPr="00DC21D1">
        <w:rPr>
          <w:rFonts w:eastAsiaTheme="minorHAnsi"/>
          <w:color w:val="000000"/>
          <w:szCs w:val="26"/>
        </w:rPr>
        <w:t xml:space="preserve"> I.D. at 16 (citing </w:t>
      </w:r>
      <w:r w:rsidRPr="001A0024">
        <w:rPr>
          <w:rFonts w:eastAsiaTheme="minorHAnsi"/>
          <w:color w:val="000000"/>
          <w:szCs w:val="26"/>
        </w:rPr>
        <w:t xml:space="preserve">PPL Electric </w:t>
      </w:r>
      <w:r w:rsidR="006A0533">
        <w:rPr>
          <w:rFonts w:eastAsiaTheme="minorHAnsi"/>
          <w:color w:val="000000"/>
          <w:szCs w:val="26"/>
        </w:rPr>
        <w:t>St.</w:t>
      </w:r>
      <w:r w:rsidRPr="001A0024">
        <w:rPr>
          <w:rFonts w:eastAsiaTheme="minorHAnsi"/>
          <w:color w:val="000000"/>
          <w:szCs w:val="26"/>
        </w:rPr>
        <w:t xml:space="preserve"> No. 1 at 5-7, 12</w:t>
      </w:r>
      <w:r w:rsidR="00544F71" w:rsidRPr="00DC21D1">
        <w:rPr>
          <w:rFonts w:eastAsiaTheme="minorHAnsi"/>
          <w:color w:val="000000"/>
          <w:szCs w:val="26"/>
        </w:rPr>
        <w:t>)</w:t>
      </w:r>
      <w:r w:rsidRPr="001A0024">
        <w:rPr>
          <w:rFonts w:eastAsiaTheme="minorHAnsi"/>
          <w:color w:val="000000"/>
          <w:szCs w:val="26"/>
        </w:rPr>
        <w:t>.</w:t>
      </w:r>
      <w:r w:rsidR="00544F71" w:rsidRPr="00DC21D1">
        <w:rPr>
          <w:rFonts w:eastAsiaTheme="minorHAnsi"/>
          <w:color w:val="000000"/>
          <w:szCs w:val="26"/>
        </w:rPr>
        <w:t xml:space="preserve">  </w:t>
      </w:r>
    </w:p>
    <w:p w14:paraId="58F125B1" w14:textId="77777777" w:rsidR="00544F71" w:rsidRPr="00DC21D1" w:rsidRDefault="00544F71" w:rsidP="00544F71">
      <w:pPr>
        <w:widowControl/>
        <w:spacing w:line="360" w:lineRule="auto"/>
        <w:ind w:firstLine="1440"/>
        <w:rPr>
          <w:rFonts w:eastAsiaTheme="minorHAnsi"/>
          <w:color w:val="000000"/>
          <w:szCs w:val="26"/>
        </w:rPr>
      </w:pPr>
    </w:p>
    <w:p w14:paraId="259E677B" w14:textId="3E1EF48C" w:rsidR="001A0024" w:rsidRPr="001A0024" w:rsidRDefault="00544F71" w:rsidP="00544F71">
      <w:pPr>
        <w:widowControl/>
        <w:spacing w:line="360" w:lineRule="auto"/>
        <w:ind w:firstLine="1440"/>
        <w:rPr>
          <w:rFonts w:eastAsiaTheme="minorHAnsi"/>
          <w:color w:val="000000"/>
          <w:szCs w:val="26"/>
        </w:rPr>
      </w:pPr>
      <w:r w:rsidRPr="00DC21D1">
        <w:rPr>
          <w:rFonts w:eastAsiaTheme="minorHAnsi"/>
          <w:color w:val="000000"/>
          <w:szCs w:val="26"/>
        </w:rPr>
        <w:t xml:space="preserve">The ALJ further explained that </w:t>
      </w:r>
      <w:r w:rsidR="001A0024" w:rsidRPr="001A0024">
        <w:rPr>
          <w:rFonts w:eastAsiaTheme="minorHAnsi"/>
          <w:color w:val="000000"/>
          <w:szCs w:val="26"/>
        </w:rPr>
        <w:t>“</w:t>
      </w:r>
      <w:r w:rsidRPr="00DC21D1">
        <w:rPr>
          <w:rFonts w:eastAsiaTheme="minorHAnsi"/>
          <w:color w:val="000000"/>
          <w:szCs w:val="26"/>
        </w:rPr>
        <w:t>d</w:t>
      </w:r>
      <w:r w:rsidR="001A0024" w:rsidRPr="001A0024">
        <w:rPr>
          <w:rFonts w:eastAsiaTheme="minorHAnsi"/>
          <w:color w:val="000000"/>
          <w:szCs w:val="26"/>
        </w:rPr>
        <w:t xml:space="preserve">irty electricity” is a non-scientific term that sometimes is used to refer to electrical characteristics (harmonics and transients) that can be found on household wiring. </w:t>
      </w:r>
      <w:r w:rsidR="00F006A4">
        <w:rPr>
          <w:rFonts w:eastAsiaTheme="minorHAnsi"/>
          <w:color w:val="000000"/>
          <w:szCs w:val="26"/>
        </w:rPr>
        <w:t xml:space="preserve"> </w:t>
      </w:r>
      <w:r w:rsidRPr="00DC21D1">
        <w:rPr>
          <w:rFonts w:eastAsiaTheme="minorHAnsi"/>
          <w:color w:val="000000"/>
          <w:szCs w:val="26"/>
        </w:rPr>
        <w:t xml:space="preserve">I.D. at 16 (citing </w:t>
      </w:r>
      <w:r w:rsidR="001A0024" w:rsidRPr="001A0024">
        <w:rPr>
          <w:rFonts w:eastAsiaTheme="minorHAnsi"/>
          <w:color w:val="000000"/>
          <w:szCs w:val="26"/>
        </w:rPr>
        <w:t xml:space="preserve">PPL Electric </w:t>
      </w:r>
      <w:r w:rsidR="006A0533">
        <w:rPr>
          <w:rFonts w:eastAsiaTheme="minorHAnsi"/>
          <w:color w:val="000000"/>
          <w:szCs w:val="26"/>
        </w:rPr>
        <w:t>St.</w:t>
      </w:r>
      <w:r w:rsidR="001A0024" w:rsidRPr="001A0024">
        <w:rPr>
          <w:rFonts w:eastAsiaTheme="minorHAnsi"/>
          <w:color w:val="000000"/>
          <w:szCs w:val="26"/>
        </w:rPr>
        <w:t xml:space="preserve"> No. 1 at 8</w:t>
      </w:r>
      <w:r w:rsidRPr="00DC21D1">
        <w:rPr>
          <w:rFonts w:eastAsiaTheme="minorHAnsi"/>
          <w:color w:val="000000"/>
          <w:szCs w:val="26"/>
        </w:rPr>
        <w:t>)</w:t>
      </w:r>
      <w:r w:rsidR="001A0024" w:rsidRPr="001A0024">
        <w:rPr>
          <w:rFonts w:eastAsiaTheme="minorHAnsi"/>
          <w:color w:val="000000"/>
          <w:szCs w:val="26"/>
        </w:rPr>
        <w:t xml:space="preserve">. </w:t>
      </w:r>
      <w:r w:rsidR="00F006A4">
        <w:rPr>
          <w:rFonts w:eastAsiaTheme="minorHAnsi"/>
          <w:color w:val="000000"/>
          <w:szCs w:val="26"/>
        </w:rPr>
        <w:t xml:space="preserve"> </w:t>
      </w:r>
      <w:r w:rsidR="001A0024" w:rsidRPr="001A0024">
        <w:rPr>
          <w:rFonts w:eastAsiaTheme="minorHAnsi"/>
          <w:color w:val="000000"/>
          <w:szCs w:val="26"/>
        </w:rPr>
        <w:t>AMI</w:t>
      </w:r>
      <w:r w:rsidR="005A1AEB">
        <w:rPr>
          <w:rFonts w:eastAsiaTheme="minorHAnsi"/>
          <w:color w:val="000000"/>
          <w:szCs w:val="26"/>
        </w:rPr>
        <w:t> </w:t>
      </w:r>
      <w:r w:rsidR="001A0024" w:rsidRPr="001A0024">
        <w:rPr>
          <w:rFonts w:eastAsiaTheme="minorHAnsi"/>
          <w:color w:val="000000"/>
          <w:szCs w:val="26"/>
        </w:rPr>
        <w:t xml:space="preserve">meters do not generate electricity, do not generate harmonics and transients that are significant compared to the harmonics and transients already present on the 60 Hz power coming into the home and do not interfere with the operation of household wiring. </w:t>
      </w:r>
      <w:r w:rsidR="00F006A4">
        <w:rPr>
          <w:rFonts w:eastAsiaTheme="minorHAnsi"/>
          <w:color w:val="000000"/>
          <w:szCs w:val="26"/>
        </w:rPr>
        <w:t xml:space="preserve"> </w:t>
      </w:r>
      <w:r w:rsidRPr="00DC21D1">
        <w:rPr>
          <w:rFonts w:eastAsiaTheme="minorHAnsi"/>
          <w:color w:val="000000"/>
          <w:szCs w:val="26"/>
        </w:rPr>
        <w:t>I.D.</w:t>
      </w:r>
      <w:r w:rsidR="005A1AEB">
        <w:rPr>
          <w:rFonts w:eastAsiaTheme="minorHAnsi"/>
          <w:color w:val="000000"/>
          <w:szCs w:val="26"/>
        </w:rPr>
        <w:t> </w:t>
      </w:r>
      <w:r w:rsidRPr="00DC21D1">
        <w:rPr>
          <w:rFonts w:eastAsiaTheme="minorHAnsi"/>
          <w:color w:val="000000"/>
          <w:szCs w:val="26"/>
        </w:rPr>
        <w:t>at</w:t>
      </w:r>
      <w:r w:rsidR="000B3F34">
        <w:rPr>
          <w:rFonts w:eastAsiaTheme="minorHAnsi"/>
          <w:color w:val="000000"/>
          <w:szCs w:val="26"/>
        </w:rPr>
        <w:t> </w:t>
      </w:r>
      <w:r w:rsidRPr="00DC21D1">
        <w:rPr>
          <w:rFonts w:eastAsiaTheme="minorHAnsi"/>
          <w:color w:val="000000"/>
          <w:szCs w:val="26"/>
        </w:rPr>
        <w:t xml:space="preserve">16. </w:t>
      </w:r>
    </w:p>
    <w:p w14:paraId="4CFE98F1" w14:textId="77777777" w:rsidR="00544F71" w:rsidRPr="00DC21D1" w:rsidRDefault="00544F71" w:rsidP="001A0024">
      <w:pPr>
        <w:widowControl/>
        <w:spacing w:line="360" w:lineRule="auto"/>
        <w:ind w:firstLine="1440"/>
        <w:rPr>
          <w:rFonts w:eastAsiaTheme="minorHAnsi"/>
          <w:color w:val="000000"/>
          <w:szCs w:val="26"/>
        </w:rPr>
      </w:pPr>
    </w:p>
    <w:p w14:paraId="2525B445" w14:textId="4CE94EA2" w:rsidR="001A0024" w:rsidRPr="00DC21D1" w:rsidRDefault="00544F71" w:rsidP="001A0024">
      <w:pPr>
        <w:widowControl/>
        <w:spacing w:line="360" w:lineRule="auto"/>
        <w:ind w:firstLine="1440"/>
        <w:rPr>
          <w:rFonts w:eastAsiaTheme="minorHAnsi"/>
          <w:color w:val="000000"/>
          <w:szCs w:val="26"/>
        </w:rPr>
      </w:pPr>
      <w:r w:rsidRPr="00DC21D1">
        <w:rPr>
          <w:rFonts w:eastAsiaTheme="minorHAnsi"/>
          <w:color w:val="000000"/>
          <w:szCs w:val="26"/>
        </w:rPr>
        <w:t>The ALJ further explained that t</w:t>
      </w:r>
      <w:r w:rsidR="001A0024" w:rsidRPr="00DC21D1">
        <w:rPr>
          <w:rFonts w:eastAsiaTheme="minorHAnsi"/>
          <w:color w:val="000000"/>
          <w:szCs w:val="26"/>
        </w:rPr>
        <w:t>he FCC has determined safe public exposure levels for RF fields from devices that transmit RF signals, such as the AMI meters.</w:t>
      </w:r>
      <w:r w:rsidR="00F006A4">
        <w:rPr>
          <w:rFonts w:eastAsiaTheme="minorHAnsi"/>
          <w:color w:val="000000"/>
          <w:szCs w:val="26"/>
        </w:rPr>
        <w:t xml:space="preserve"> </w:t>
      </w:r>
      <w:r w:rsidR="001A0024" w:rsidRPr="00DC21D1">
        <w:rPr>
          <w:rFonts w:eastAsiaTheme="minorHAnsi"/>
          <w:color w:val="000000"/>
          <w:szCs w:val="26"/>
        </w:rPr>
        <w:t xml:space="preserve"> </w:t>
      </w:r>
      <w:r w:rsidRPr="00DC21D1">
        <w:rPr>
          <w:rFonts w:eastAsiaTheme="minorHAnsi"/>
          <w:color w:val="000000"/>
          <w:szCs w:val="26"/>
        </w:rPr>
        <w:t xml:space="preserve">I.D. at 16 (citing </w:t>
      </w:r>
      <w:r w:rsidR="001A0024" w:rsidRPr="00DC21D1">
        <w:rPr>
          <w:rFonts w:eastAsiaTheme="minorHAnsi"/>
          <w:color w:val="000000"/>
          <w:szCs w:val="26"/>
        </w:rPr>
        <w:t xml:space="preserve">PPL Electric </w:t>
      </w:r>
      <w:r w:rsidR="006A0533">
        <w:rPr>
          <w:rFonts w:eastAsiaTheme="minorHAnsi"/>
          <w:color w:val="000000"/>
          <w:szCs w:val="26"/>
        </w:rPr>
        <w:t>St.</w:t>
      </w:r>
      <w:r w:rsidR="001A0024" w:rsidRPr="00DC21D1">
        <w:rPr>
          <w:rFonts w:eastAsiaTheme="minorHAnsi"/>
          <w:color w:val="000000"/>
          <w:szCs w:val="26"/>
        </w:rPr>
        <w:t xml:space="preserve"> No. 1 at 9-10</w:t>
      </w:r>
      <w:r w:rsidRPr="00DC21D1">
        <w:rPr>
          <w:rFonts w:eastAsiaTheme="minorHAnsi"/>
          <w:color w:val="000000"/>
          <w:szCs w:val="26"/>
        </w:rPr>
        <w:t>)</w:t>
      </w:r>
      <w:r w:rsidR="001A0024" w:rsidRPr="00DC21D1">
        <w:rPr>
          <w:rFonts w:eastAsiaTheme="minorHAnsi"/>
          <w:color w:val="000000"/>
          <w:szCs w:val="26"/>
        </w:rPr>
        <w:t xml:space="preserve">. </w:t>
      </w:r>
      <w:r w:rsidRPr="00DC21D1">
        <w:rPr>
          <w:rFonts w:eastAsiaTheme="minorHAnsi"/>
          <w:color w:val="000000"/>
          <w:szCs w:val="26"/>
        </w:rPr>
        <w:t xml:space="preserve"> </w:t>
      </w:r>
      <w:r w:rsidR="001A0024" w:rsidRPr="00DC21D1">
        <w:rPr>
          <w:rFonts w:eastAsiaTheme="minorHAnsi"/>
          <w:color w:val="000000"/>
          <w:szCs w:val="26"/>
        </w:rPr>
        <w:t xml:space="preserve">The FCC safe public exposure limits are based on evaluations of the body of scientific research on RF fields and were adopted in consultation with other federal agencies, including the Food and Drug </w:t>
      </w:r>
      <w:r w:rsidR="001A0024" w:rsidRPr="00DC21D1">
        <w:rPr>
          <w:rFonts w:eastAsiaTheme="minorHAnsi"/>
          <w:color w:val="000000"/>
          <w:szCs w:val="26"/>
        </w:rPr>
        <w:lastRenderedPageBreak/>
        <w:t xml:space="preserve">Administration (FDA) and the Environmental Protection Agency (EPA). </w:t>
      </w:r>
      <w:r w:rsidR="00F006A4">
        <w:rPr>
          <w:rFonts w:eastAsiaTheme="minorHAnsi"/>
          <w:color w:val="000000"/>
          <w:szCs w:val="26"/>
        </w:rPr>
        <w:t xml:space="preserve"> </w:t>
      </w:r>
      <w:r w:rsidRPr="00DC21D1">
        <w:rPr>
          <w:rFonts w:eastAsiaTheme="minorHAnsi"/>
          <w:color w:val="000000"/>
          <w:szCs w:val="26"/>
        </w:rPr>
        <w:t xml:space="preserve">I.D. at 16 (citing </w:t>
      </w:r>
      <w:r w:rsidR="001A0024" w:rsidRPr="00DC21D1">
        <w:rPr>
          <w:rFonts w:eastAsiaTheme="minorHAnsi"/>
          <w:color w:val="000000"/>
          <w:szCs w:val="26"/>
        </w:rPr>
        <w:t xml:space="preserve">PPL Electric </w:t>
      </w:r>
      <w:r w:rsidR="006A0533">
        <w:rPr>
          <w:rFonts w:eastAsiaTheme="minorHAnsi"/>
          <w:color w:val="000000"/>
          <w:szCs w:val="26"/>
        </w:rPr>
        <w:t>St.</w:t>
      </w:r>
      <w:r w:rsidR="001A0024" w:rsidRPr="00DC21D1">
        <w:rPr>
          <w:rFonts w:eastAsiaTheme="minorHAnsi"/>
          <w:color w:val="000000"/>
          <w:szCs w:val="26"/>
        </w:rPr>
        <w:t xml:space="preserve"> No. 1 at 9-10</w:t>
      </w:r>
      <w:r w:rsidRPr="00DC21D1">
        <w:rPr>
          <w:rFonts w:eastAsiaTheme="minorHAnsi"/>
          <w:color w:val="000000"/>
          <w:szCs w:val="26"/>
        </w:rPr>
        <w:t>)</w:t>
      </w:r>
      <w:r w:rsidR="001A0024" w:rsidRPr="00DC21D1">
        <w:rPr>
          <w:rFonts w:eastAsiaTheme="minorHAnsi"/>
          <w:color w:val="000000"/>
          <w:szCs w:val="26"/>
        </w:rPr>
        <w:t>.</w:t>
      </w:r>
    </w:p>
    <w:p w14:paraId="4D6BB942" w14:textId="38AEECE6" w:rsidR="00544F71" w:rsidRPr="00DC21D1" w:rsidRDefault="00544F71" w:rsidP="001A0024">
      <w:pPr>
        <w:widowControl/>
        <w:spacing w:line="360" w:lineRule="auto"/>
        <w:ind w:firstLine="1440"/>
        <w:rPr>
          <w:rFonts w:eastAsiaTheme="minorHAnsi"/>
          <w:color w:val="000000"/>
          <w:szCs w:val="26"/>
        </w:rPr>
      </w:pPr>
    </w:p>
    <w:p w14:paraId="037D3506" w14:textId="28F8697B" w:rsidR="00544F71" w:rsidRDefault="00544F71" w:rsidP="00544F71">
      <w:pPr>
        <w:widowControl/>
        <w:spacing w:line="360" w:lineRule="auto"/>
        <w:ind w:firstLine="1440"/>
        <w:rPr>
          <w:szCs w:val="26"/>
        </w:rPr>
      </w:pPr>
      <w:r w:rsidRPr="00DC21D1">
        <w:rPr>
          <w:szCs w:val="26"/>
        </w:rPr>
        <w:t xml:space="preserve">The ALJ explained that Dr. Davis opined that the levels of RF fields from the Landis + </w:t>
      </w:r>
      <w:proofErr w:type="spellStart"/>
      <w:r w:rsidRPr="00DC21D1">
        <w:rPr>
          <w:szCs w:val="26"/>
        </w:rPr>
        <w:t>Gyr</w:t>
      </w:r>
      <w:proofErr w:type="spellEnd"/>
      <w:r w:rsidRPr="00DC21D1">
        <w:rPr>
          <w:szCs w:val="26"/>
        </w:rPr>
        <w:t xml:space="preserve"> Focus AX-SD AMI meters are 98,000 times lower than the RF exposure safety limits established by the FCC.</w:t>
      </w:r>
      <w:r w:rsidR="00F006A4">
        <w:rPr>
          <w:szCs w:val="26"/>
        </w:rPr>
        <w:t xml:space="preserve"> </w:t>
      </w:r>
      <w:r w:rsidRPr="00DC21D1">
        <w:rPr>
          <w:szCs w:val="26"/>
        </w:rPr>
        <w:t xml:space="preserve"> PPL Electric </w:t>
      </w:r>
      <w:r w:rsidR="006A0533">
        <w:rPr>
          <w:szCs w:val="26"/>
        </w:rPr>
        <w:t>St.</w:t>
      </w:r>
      <w:r w:rsidRPr="00DC21D1">
        <w:rPr>
          <w:szCs w:val="26"/>
        </w:rPr>
        <w:t xml:space="preserve"> No. 1 at 15</w:t>
      </w:r>
      <w:r w:rsidR="00F006A4">
        <w:rPr>
          <w:szCs w:val="26"/>
        </w:rPr>
        <w:t>;</w:t>
      </w:r>
      <w:r w:rsidRPr="00DC21D1">
        <w:rPr>
          <w:szCs w:val="26"/>
        </w:rPr>
        <w:t xml:space="preserve"> PPL Electric Exhibit CD2. </w:t>
      </w:r>
      <w:r w:rsidR="00F006A4">
        <w:rPr>
          <w:szCs w:val="26"/>
        </w:rPr>
        <w:t xml:space="preserve"> </w:t>
      </w:r>
      <w:r w:rsidRPr="00DC21D1">
        <w:rPr>
          <w:szCs w:val="26"/>
        </w:rPr>
        <w:t xml:space="preserve">RF signals from the AMI meter are of very short duration and will occur for only a total of 84 seconds over a 24-hour period.  I.D. at 16-17 (citing PPL Electric </w:t>
      </w:r>
      <w:r w:rsidR="006A0533">
        <w:rPr>
          <w:szCs w:val="26"/>
        </w:rPr>
        <w:t>St.</w:t>
      </w:r>
      <w:r w:rsidRPr="00DC21D1">
        <w:rPr>
          <w:szCs w:val="26"/>
        </w:rPr>
        <w:t xml:space="preserve"> No. 1 at 7).</w:t>
      </w:r>
    </w:p>
    <w:p w14:paraId="3FB7FD8B" w14:textId="77777777" w:rsidR="00DC21D1" w:rsidRPr="00DC21D1" w:rsidRDefault="00DC21D1" w:rsidP="00544F71">
      <w:pPr>
        <w:widowControl/>
        <w:spacing w:line="360" w:lineRule="auto"/>
        <w:ind w:firstLine="1440"/>
        <w:rPr>
          <w:szCs w:val="26"/>
        </w:rPr>
      </w:pPr>
    </w:p>
    <w:p w14:paraId="3C1DB27A" w14:textId="29BCCCCB" w:rsidR="00544F71" w:rsidRPr="00544F71" w:rsidRDefault="00544F71" w:rsidP="00544F71">
      <w:pPr>
        <w:widowControl/>
        <w:spacing w:line="360" w:lineRule="auto"/>
        <w:ind w:firstLine="1440"/>
        <w:rPr>
          <w:szCs w:val="26"/>
        </w:rPr>
      </w:pPr>
      <w:r w:rsidRPr="00DC21D1">
        <w:rPr>
          <w:rFonts w:eastAsiaTheme="minorHAnsi"/>
          <w:color w:val="000000"/>
          <w:szCs w:val="26"/>
        </w:rPr>
        <w:t>The ALJ found that t</w:t>
      </w:r>
      <w:r w:rsidRPr="00544F71">
        <w:rPr>
          <w:rFonts w:eastAsiaTheme="minorHAnsi"/>
          <w:color w:val="000000"/>
          <w:szCs w:val="26"/>
        </w:rPr>
        <w:t>he RF field exposure 30 feet from a person using a cell phone are three times larger than the RF fields from the AMI meter.</w:t>
      </w:r>
      <w:r w:rsidRPr="00DC21D1">
        <w:rPr>
          <w:rFonts w:eastAsiaTheme="minorHAnsi"/>
          <w:color w:val="000000"/>
          <w:szCs w:val="26"/>
        </w:rPr>
        <w:t xml:space="preserve"> </w:t>
      </w:r>
      <w:r w:rsidR="00F006A4">
        <w:rPr>
          <w:rFonts w:eastAsiaTheme="minorHAnsi"/>
          <w:color w:val="000000"/>
          <w:szCs w:val="26"/>
        </w:rPr>
        <w:t xml:space="preserve"> </w:t>
      </w:r>
      <w:r w:rsidRPr="00DC21D1">
        <w:rPr>
          <w:rFonts w:eastAsiaTheme="minorHAnsi"/>
          <w:color w:val="000000"/>
          <w:szCs w:val="26"/>
        </w:rPr>
        <w:t>I.D. at 17 (citing</w:t>
      </w:r>
      <w:r w:rsidRPr="00544F71">
        <w:rPr>
          <w:rFonts w:eastAsiaTheme="minorHAnsi"/>
          <w:color w:val="000000"/>
          <w:szCs w:val="26"/>
        </w:rPr>
        <w:t xml:space="preserve"> PPL Electric </w:t>
      </w:r>
      <w:r w:rsidR="006A0533">
        <w:rPr>
          <w:rFonts w:eastAsiaTheme="minorHAnsi"/>
          <w:color w:val="000000"/>
          <w:szCs w:val="26"/>
        </w:rPr>
        <w:t>St.</w:t>
      </w:r>
      <w:r w:rsidRPr="00544F71">
        <w:rPr>
          <w:rFonts w:eastAsiaTheme="minorHAnsi"/>
          <w:color w:val="000000"/>
          <w:szCs w:val="26"/>
        </w:rPr>
        <w:t xml:space="preserve"> No. 1 at 14</w:t>
      </w:r>
      <w:r w:rsidR="00F006A4">
        <w:rPr>
          <w:rFonts w:eastAsiaTheme="minorHAnsi"/>
          <w:color w:val="000000"/>
          <w:szCs w:val="26"/>
        </w:rPr>
        <w:t>;</w:t>
      </w:r>
      <w:r w:rsidRPr="00544F71">
        <w:rPr>
          <w:rFonts w:eastAsiaTheme="minorHAnsi"/>
          <w:color w:val="000000"/>
          <w:szCs w:val="26"/>
        </w:rPr>
        <w:t xml:space="preserve"> PPL Electric Exhibit CD</w:t>
      </w:r>
      <w:r w:rsidR="00DC21D1" w:rsidRPr="00DC21D1">
        <w:rPr>
          <w:rFonts w:eastAsiaTheme="minorHAnsi"/>
          <w:color w:val="000000"/>
          <w:szCs w:val="26"/>
        </w:rPr>
        <w:t>-</w:t>
      </w:r>
      <w:r w:rsidRPr="00544F71">
        <w:rPr>
          <w:rFonts w:eastAsiaTheme="minorHAnsi"/>
          <w:color w:val="000000"/>
          <w:szCs w:val="26"/>
        </w:rPr>
        <w:t>4</w:t>
      </w:r>
      <w:r w:rsidRPr="00DC21D1">
        <w:rPr>
          <w:rFonts w:eastAsiaTheme="minorHAnsi"/>
          <w:color w:val="000000"/>
          <w:szCs w:val="26"/>
        </w:rPr>
        <w:t>)</w:t>
      </w:r>
      <w:r w:rsidRPr="00544F71">
        <w:rPr>
          <w:rFonts w:eastAsiaTheme="minorHAnsi"/>
          <w:color w:val="000000"/>
          <w:szCs w:val="26"/>
        </w:rPr>
        <w:t>.</w:t>
      </w:r>
      <w:r w:rsidR="00F006A4">
        <w:rPr>
          <w:rFonts w:eastAsiaTheme="minorHAnsi"/>
          <w:color w:val="000000"/>
          <w:szCs w:val="26"/>
        </w:rPr>
        <w:t xml:space="preserve"> </w:t>
      </w:r>
      <w:r w:rsidRPr="00544F71">
        <w:rPr>
          <w:rFonts w:eastAsiaTheme="minorHAnsi"/>
          <w:color w:val="000000"/>
          <w:szCs w:val="26"/>
        </w:rPr>
        <w:t xml:space="preserve"> RF fields from using cell phones near the head can be over 260,000 times higher than the RF fields from the AMI meter.</w:t>
      </w:r>
      <w:r w:rsidR="00F006A4">
        <w:rPr>
          <w:rFonts w:eastAsiaTheme="minorHAnsi"/>
          <w:color w:val="000000"/>
          <w:szCs w:val="26"/>
        </w:rPr>
        <w:t xml:space="preserve"> </w:t>
      </w:r>
      <w:r w:rsidRPr="00544F71">
        <w:rPr>
          <w:rFonts w:eastAsiaTheme="minorHAnsi"/>
          <w:color w:val="000000"/>
          <w:szCs w:val="26"/>
        </w:rPr>
        <w:t xml:space="preserve"> </w:t>
      </w:r>
      <w:r w:rsidRPr="00DC21D1">
        <w:rPr>
          <w:rFonts w:eastAsiaTheme="minorHAnsi"/>
          <w:color w:val="000000"/>
          <w:szCs w:val="26"/>
        </w:rPr>
        <w:t xml:space="preserve">I.D. at 17 (citing </w:t>
      </w:r>
      <w:r w:rsidRPr="00544F71">
        <w:rPr>
          <w:rFonts w:eastAsiaTheme="minorHAnsi"/>
          <w:color w:val="000000"/>
          <w:szCs w:val="26"/>
        </w:rPr>
        <w:t>PPL Electric Exhibit CD</w:t>
      </w:r>
      <w:r w:rsidR="00DC21D1" w:rsidRPr="00DC21D1">
        <w:rPr>
          <w:rFonts w:eastAsiaTheme="minorHAnsi"/>
          <w:color w:val="000000"/>
          <w:szCs w:val="26"/>
        </w:rPr>
        <w:t>-</w:t>
      </w:r>
      <w:r w:rsidRPr="00544F71">
        <w:rPr>
          <w:rFonts w:eastAsiaTheme="minorHAnsi"/>
          <w:color w:val="000000"/>
          <w:szCs w:val="26"/>
        </w:rPr>
        <w:t>4</w:t>
      </w:r>
      <w:r w:rsidRPr="00DC21D1">
        <w:rPr>
          <w:rFonts w:eastAsiaTheme="minorHAnsi"/>
          <w:color w:val="000000"/>
          <w:szCs w:val="26"/>
        </w:rPr>
        <w:t>)</w:t>
      </w:r>
      <w:r w:rsidRPr="00544F71">
        <w:rPr>
          <w:rFonts w:eastAsiaTheme="minorHAnsi"/>
          <w:color w:val="000000"/>
          <w:szCs w:val="26"/>
        </w:rPr>
        <w:t>.</w:t>
      </w:r>
      <w:r w:rsidR="007C43A8">
        <w:rPr>
          <w:rFonts w:eastAsiaTheme="minorHAnsi"/>
          <w:color w:val="000000"/>
          <w:szCs w:val="26"/>
        </w:rPr>
        <w:t xml:space="preserve">  </w:t>
      </w:r>
      <w:r w:rsidR="000E3AA9">
        <w:rPr>
          <w:rFonts w:eastAsiaTheme="minorHAnsi"/>
          <w:color w:val="000000"/>
          <w:szCs w:val="26"/>
        </w:rPr>
        <w:t>Mr. Smiles</w:t>
      </w:r>
      <w:r w:rsidRPr="00544F71">
        <w:rPr>
          <w:rFonts w:eastAsiaTheme="minorHAnsi"/>
          <w:color w:val="000000"/>
          <w:szCs w:val="26"/>
        </w:rPr>
        <w:t xml:space="preserve"> has a </w:t>
      </w:r>
      <w:proofErr w:type="spellStart"/>
      <w:r w:rsidRPr="00544F71">
        <w:rPr>
          <w:rFonts w:eastAsiaTheme="minorHAnsi"/>
          <w:color w:val="000000"/>
          <w:szCs w:val="26"/>
        </w:rPr>
        <w:t>Tracphone</w:t>
      </w:r>
      <w:proofErr w:type="spellEnd"/>
      <w:r w:rsidRPr="00544F71">
        <w:rPr>
          <w:rFonts w:eastAsiaTheme="minorHAnsi"/>
          <w:color w:val="000000"/>
          <w:szCs w:val="26"/>
        </w:rPr>
        <w:t xml:space="preserve"> cell phone that he uses for emergencies while driving. </w:t>
      </w:r>
      <w:r w:rsidR="00F006A4">
        <w:rPr>
          <w:rFonts w:eastAsiaTheme="minorHAnsi"/>
          <w:color w:val="000000"/>
          <w:szCs w:val="26"/>
        </w:rPr>
        <w:t xml:space="preserve"> </w:t>
      </w:r>
      <w:r w:rsidRPr="00DC21D1">
        <w:rPr>
          <w:rFonts w:eastAsiaTheme="minorHAnsi"/>
          <w:color w:val="000000"/>
          <w:szCs w:val="26"/>
        </w:rPr>
        <w:t xml:space="preserve">I.D. at 17 (citing </w:t>
      </w:r>
      <w:r w:rsidRPr="00544F71">
        <w:rPr>
          <w:rFonts w:eastAsiaTheme="minorHAnsi"/>
          <w:color w:val="000000"/>
          <w:szCs w:val="26"/>
        </w:rPr>
        <w:t xml:space="preserve">Tr. </w:t>
      </w:r>
      <w:r w:rsidRPr="00DC21D1">
        <w:rPr>
          <w:rFonts w:eastAsiaTheme="minorHAnsi"/>
          <w:color w:val="000000"/>
          <w:szCs w:val="26"/>
        </w:rPr>
        <w:t xml:space="preserve">at </w:t>
      </w:r>
      <w:r w:rsidRPr="00544F71">
        <w:rPr>
          <w:rFonts w:eastAsiaTheme="minorHAnsi"/>
          <w:color w:val="000000"/>
          <w:szCs w:val="26"/>
        </w:rPr>
        <w:t>15</w:t>
      </w:r>
      <w:r w:rsidRPr="00DC21D1">
        <w:rPr>
          <w:rFonts w:eastAsiaTheme="minorHAnsi"/>
          <w:color w:val="000000"/>
          <w:szCs w:val="26"/>
        </w:rPr>
        <w:t>)</w:t>
      </w:r>
      <w:r w:rsidRPr="00544F71">
        <w:rPr>
          <w:rFonts w:eastAsiaTheme="minorHAnsi"/>
          <w:color w:val="000000"/>
          <w:szCs w:val="26"/>
        </w:rPr>
        <w:t>.</w:t>
      </w:r>
      <w:r w:rsidR="00F006A4">
        <w:rPr>
          <w:rFonts w:eastAsiaTheme="minorHAnsi"/>
          <w:color w:val="000000"/>
          <w:szCs w:val="26"/>
        </w:rPr>
        <w:t xml:space="preserve"> </w:t>
      </w:r>
      <w:r w:rsidRPr="00544F71">
        <w:rPr>
          <w:rFonts w:eastAsiaTheme="minorHAnsi"/>
          <w:color w:val="000000"/>
          <w:szCs w:val="26"/>
        </w:rPr>
        <w:t xml:space="preserve"> </w:t>
      </w:r>
      <w:r w:rsidRPr="00DC21D1">
        <w:rPr>
          <w:rFonts w:eastAsiaTheme="minorHAnsi"/>
          <w:color w:val="000000"/>
          <w:szCs w:val="26"/>
        </w:rPr>
        <w:t xml:space="preserve">The ALJ found that </w:t>
      </w:r>
      <w:r w:rsidR="000E3AA9">
        <w:rPr>
          <w:rFonts w:eastAsiaTheme="minorHAnsi"/>
          <w:color w:val="000000"/>
          <w:szCs w:val="26"/>
        </w:rPr>
        <w:t xml:space="preserve">he </w:t>
      </w:r>
      <w:r w:rsidRPr="00544F71">
        <w:rPr>
          <w:rFonts w:eastAsiaTheme="minorHAnsi"/>
          <w:color w:val="000000"/>
          <w:szCs w:val="26"/>
        </w:rPr>
        <w:t xml:space="preserve">is receiving </w:t>
      </w:r>
      <w:r w:rsidRPr="00DC21D1">
        <w:rPr>
          <w:rFonts w:eastAsiaTheme="minorHAnsi"/>
          <w:color w:val="000000"/>
          <w:szCs w:val="26"/>
        </w:rPr>
        <w:t>RF f</w:t>
      </w:r>
      <w:r w:rsidRPr="00544F71">
        <w:rPr>
          <w:rFonts w:eastAsiaTheme="minorHAnsi"/>
          <w:color w:val="000000"/>
          <w:szCs w:val="26"/>
        </w:rPr>
        <w:t xml:space="preserve">ields at a much higher level while using his </w:t>
      </w:r>
      <w:proofErr w:type="spellStart"/>
      <w:r w:rsidRPr="00544F71">
        <w:rPr>
          <w:rFonts w:eastAsiaTheme="minorHAnsi"/>
          <w:color w:val="000000"/>
          <w:szCs w:val="26"/>
        </w:rPr>
        <w:t>Tracphone</w:t>
      </w:r>
      <w:proofErr w:type="spellEnd"/>
      <w:r w:rsidRPr="00544F71">
        <w:rPr>
          <w:rFonts w:eastAsiaTheme="minorHAnsi"/>
          <w:color w:val="000000"/>
          <w:szCs w:val="26"/>
        </w:rPr>
        <w:t xml:space="preserve"> next to his head than he would be living in a house with an RF Mesh meter attached to it on an outside wall. </w:t>
      </w:r>
      <w:r w:rsidR="00F006A4">
        <w:rPr>
          <w:rFonts w:eastAsiaTheme="minorHAnsi"/>
          <w:color w:val="000000"/>
          <w:szCs w:val="26"/>
        </w:rPr>
        <w:t xml:space="preserve"> </w:t>
      </w:r>
      <w:r w:rsidRPr="00DC21D1">
        <w:rPr>
          <w:rFonts w:eastAsiaTheme="minorHAnsi"/>
          <w:color w:val="000000"/>
          <w:szCs w:val="26"/>
        </w:rPr>
        <w:t xml:space="preserve">I.D. at 17.  </w:t>
      </w:r>
      <w:r w:rsidRPr="00544F71">
        <w:rPr>
          <w:rFonts w:eastAsiaTheme="minorHAnsi"/>
          <w:color w:val="000000"/>
          <w:szCs w:val="26"/>
        </w:rPr>
        <w:t xml:space="preserve">The World Health Organization and a number of other public health authorities have concluded that the scientific research on RF exposures from cell phone use, which are far higher than the RF from PPL’s smart meters, has not shown that RF fields cause adverse health effects. </w:t>
      </w:r>
      <w:r w:rsidRPr="00DC21D1">
        <w:rPr>
          <w:rFonts w:eastAsiaTheme="minorHAnsi"/>
          <w:color w:val="000000"/>
          <w:szCs w:val="26"/>
        </w:rPr>
        <w:t xml:space="preserve"> I.D. at 17 (citing </w:t>
      </w:r>
      <w:r w:rsidRPr="00544F71">
        <w:rPr>
          <w:rFonts w:eastAsiaTheme="minorHAnsi"/>
          <w:color w:val="000000"/>
          <w:szCs w:val="26"/>
        </w:rPr>
        <w:t xml:space="preserve">PPL Electric </w:t>
      </w:r>
      <w:r w:rsidR="006A0533">
        <w:rPr>
          <w:rFonts w:eastAsiaTheme="minorHAnsi"/>
          <w:color w:val="000000"/>
          <w:szCs w:val="26"/>
        </w:rPr>
        <w:t>St.</w:t>
      </w:r>
      <w:r w:rsidRPr="00544F71">
        <w:rPr>
          <w:rFonts w:eastAsiaTheme="minorHAnsi"/>
          <w:color w:val="000000"/>
          <w:szCs w:val="26"/>
        </w:rPr>
        <w:t xml:space="preserve"> No.</w:t>
      </w:r>
      <w:r w:rsidR="005A1AEB">
        <w:rPr>
          <w:rFonts w:eastAsiaTheme="minorHAnsi"/>
          <w:color w:val="000000"/>
          <w:szCs w:val="26"/>
        </w:rPr>
        <w:t> </w:t>
      </w:r>
      <w:r w:rsidRPr="00544F71">
        <w:rPr>
          <w:rFonts w:eastAsiaTheme="minorHAnsi"/>
          <w:color w:val="000000"/>
          <w:szCs w:val="26"/>
        </w:rPr>
        <w:t>2 at 10-15</w:t>
      </w:r>
      <w:r w:rsidR="00F006A4">
        <w:rPr>
          <w:rFonts w:eastAsiaTheme="minorHAnsi"/>
          <w:color w:val="000000"/>
          <w:szCs w:val="26"/>
        </w:rPr>
        <w:t>;</w:t>
      </w:r>
      <w:r w:rsidRPr="00544F71">
        <w:rPr>
          <w:rFonts w:eastAsiaTheme="minorHAnsi"/>
          <w:color w:val="000000"/>
          <w:szCs w:val="26"/>
        </w:rPr>
        <w:t xml:space="preserve"> PPL Electric Exhibit MI-1</w:t>
      </w:r>
      <w:r w:rsidRPr="00DC21D1">
        <w:rPr>
          <w:rFonts w:eastAsiaTheme="minorHAnsi"/>
          <w:color w:val="000000"/>
          <w:szCs w:val="26"/>
        </w:rPr>
        <w:t>)</w:t>
      </w:r>
      <w:r w:rsidRPr="00544F71">
        <w:rPr>
          <w:rFonts w:eastAsiaTheme="minorHAnsi"/>
          <w:color w:val="000000"/>
          <w:szCs w:val="26"/>
        </w:rPr>
        <w:t xml:space="preserve">. </w:t>
      </w:r>
    </w:p>
    <w:p w14:paraId="325915CA" w14:textId="77777777" w:rsidR="00544F71" w:rsidRPr="00DC21D1" w:rsidRDefault="00544F71" w:rsidP="00544F71">
      <w:pPr>
        <w:widowControl/>
        <w:spacing w:line="360" w:lineRule="auto"/>
        <w:ind w:firstLine="1440"/>
        <w:rPr>
          <w:rFonts w:eastAsiaTheme="minorHAnsi"/>
          <w:color w:val="000000"/>
          <w:szCs w:val="26"/>
        </w:rPr>
      </w:pPr>
    </w:p>
    <w:p w14:paraId="2D05086A" w14:textId="1CF34C37" w:rsidR="00DC21D1" w:rsidRDefault="00544F71" w:rsidP="00DC21D1">
      <w:pPr>
        <w:widowControl/>
        <w:spacing w:line="360" w:lineRule="auto"/>
        <w:ind w:firstLine="1440"/>
        <w:rPr>
          <w:szCs w:val="26"/>
        </w:rPr>
      </w:pPr>
      <w:r w:rsidRPr="00DC21D1">
        <w:rPr>
          <w:rFonts w:eastAsiaTheme="minorHAnsi"/>
          <w:color w:val="000000"/>
          <w:szCs w:val="26"/>
        </w:rPr>
        <w:t xml:space="preserve">Additionally, the ALJ found there are eight television broadcast towers within a 50-mile radius of </w:t>
      </w:r>
      <w:r w:rsidR="000E3AA9">
        <w:rPr>
          <w:rFonts w:eastAsiaTheme="minorHAnsi"/>
          <w:color w:val="000000"/>
          <w:szCs w:val="26"/>
        </w:rPr>
        <w:t>Mr. Smiles’</w:t>
      </w:r>
      <w:r w:rsidRPr="00DC21D1">
        <w:rPr>
          <w:rFonts w:eastAsiaTheme="minorHAnsi"/>
          <w:color w:val="000000"/>
          <w:szCs w:val="26"/>
        </w:rPr>
        <w:t xml:space="preserve"> location in Sinking Springs, Pennsylvania.</w:t>
      </w:r>
      <w:r w:rsidR="00F006A4">
        <w:rPr>
          <w:rFonts w:eastAsiaTheme="minorHAnsi"/>
          <w:color w:val="000000"/>
          <w:szCs w:val="26"/>
        </w:rPr>
        <w:t xml:space="preserve"> </w:t>
      </w:r>
      <w:r w:rsidRPr="00DC21D1">
        <w:rPr>
          <w:rFonts w:eastAsiaTheme="minorHAnsi"/>
          <w:color w:val="000000"/>
          <w:szCs w:val="26"/>
        </w:rPr>
        <w:t xml:space="preserve"> I.D.</w:t>
      </w:r>
      <w:r w:rsidR="005A1AEB">
        <w:rPr>
          <w:rFonts w:eastAsiaTheme="minorHAnsi"/>
          <w:color w:val="000000"/>
          <w:szCs w:val="26"/>
        </w:rPr>
        <w:t> </w:t>
      </w:r>
      <w:r w:rsidRPr="00DC21D1">
        <w:rPr>
          <w:rFonts w:eastAsiaTheme="minorHAnsi"/>
          <w:color w:val="000000"/>
          <w:szCs w:val="26"/>
        </w:rPr>
        <w:t>at</w:t>
      </w:r>
      <w:r w:rsidR="005A1AEB">
        <w:rPr>
          <w:rFonts w:eastAsiaTheme="minorHAnsi"/>
          <w:color w:val="000000"/>
          <w:szCs w:val="26"/>
        </w:rPr>
        <w:t> </w:t>
      </w:r>
      <w:r w:rsidRPr="00DC21D1">
        <w:rPr>
          <w:rFonts w:eastAsiaTheme="minorHAnsi"/>
          <w:color w:val="000000"/>
          <w:szCs w:val="26"/>
        </w:rPr>
        <w:t xml:space="preserve">17 (citing PPL Electric </w:t>
      </w:r>
      <w:r w:rsidR="006A0533">
        <w:rPr>
          <w:rFonts w:eastAsiaTheme="minorHAnsi"/>
          <w:color w:val="000000"/>
          <w:szCs w:val="26"/>
        </w:rPr>
        <w:t>St.</w:t>
      </w:r>
      <w:r w:rsidRPr="00DC21D1">
        <w:rPr>
          <w:rFonts w:eastAsiaTheme="minorHAnsi"/>
          <w:color w:val="000000"/>
          <w:szCs w:val="26"/>
        </w:rPr>
        <w:t xml:space="preserve"> No. 1 at 15). </w:t>
      </w:r>
      <w:r w:rsidR="00F006A4">
        <w:rPr>
          <w:rFonts w:eastAsiaTheme="minorHAnsi"/>
          <w:color w:val="000000"/>
          <w:szCs w:val="26"/>
        </w:rPr>
        <w:t xml:space="preserve"> </w:t>
      </w:r>
      <w:r w:rsidRPr="00DC21D1">
        <w:rPr>
          <w:rFonts w:eastAsiaTheme="minorHAnsi"/>
          <w:color w:val="000000"/>
          <w:szCs w:val="26"/>
        </w:rPr>
        <w:t xml:space="preserve">Based on the locations of each tower and their RF power outputs, the constant background level of RF fields at </w:t>
      </w:r>
      <w:r w:rsidR="000E3AA9">
        <w:rPr>
          <w:rFonts w:eastAsiaTheme="minorHAnsi"/>
          <w:color w:val="000000"/>
          <w:szCs w:val="26"/>
        </w:rPr>
        <w:t>his</w:t>
      </w:r>
      <w:r w:rsidRPr="00DC21D1">
        <w:rPr>
          <w:rFonts w:eastAsiaTheme="minorHAnsi"/>
          <w:color w:val="000000"/>
          <w:szCs w:val="26"/>
        </w:rPr>
        <w:t xml:space="preserve"> residence are 6.7 times higher than the RF signals from the AMI meter. </w:t>
      </w:r>
      <w:r w:rsidR="00DC21D1" w:rsidRPr="00DC21D1">
        <w:rPr>
          <w:rFonts w:eastAsiaTheme="minorHAnsi"/>
          <w:color w:val="000000"/>
          <w:szCs w:val="26"/>
        </w:rPr>
        <w:t xml:space="preserve"> I.D. at 17 (citing </w:t>
      </w:r>
      <w:r w:rsidRPr="00DC21D1">
        <w:rPr>
          <w:rFonts w:eastAsiaTheme="minorHAnsi"/>
          <w:color w:val="000000"/>
          <w:szCs w:val="26"/>
        </w:rPr>
        <w:t xml:space="preserve">PPL Electric </w:t>
      </w:r>
      <w:r w:rsidR="006A0533">
        <w:rPr>
          <w:rFonts w:eastAsiaTheme="minorHAnsi"/>
          <w:color w:val="000000"/>
          <w:szCs w:val="26"/>
        </w:rPr>
        <w:lastRenderedPageBreak/>
        <w:t>St.</w:t>
      </w:r>
      <w:r w:rsidRPr="00DC21D1">
        <w:rPr>
          <w:rFonts w:eastAsiaTheme="minorHAnsi"/>
          <w:color w:val="000000"/>
          <w:szCs w:val="26"/>
        </w:rPr>
        <w:t xml:space="preserve"> No. 1 at 15</w:t>
      </w:r>
      <w:r w:rsidR="00F006A4">
        <w:rPr>
          <w:rFonts w:eastAsiaTheme="minorHAnsi"/>
          <w:color w:val="000000"/>
          <w:szCs w:val="26"/>
        </w:rPr>
        <w:t>;</w:t>
      </w:r>
      <w:r w:rsidRPr="00DC21D1">
        <w:rPr>
          <w:rFonts w:eastAsiaTheme="minorHAnsi"/>
          <w:color w:val="000000"/>
          <w:szCs w:val="26"/>
        </w:rPr>
        <w:t xml:space="preserve"> PPL Electric Exhibit CD-5</w:t>
      </w:r>
      <w:r w:rsidR="00DC21D1" w:rsidRPr="00DC21D1">
        <w:rPr>
          <w:rFonts w:eastAsiaTheme="minorHAnsi"/>
          <w:color w:val="000000"/>
          <w:szCs w:val="26"/>
        </w:rPr>
        <w:t>)</w:t>
      </w:r>
      <w:r w:rsidRPr="00DC21D1">
        <w:rPr>
          <w:rFonts w:eastAsiaTheme="minorHAnsi"/>
          <w:color w:val="000000"/>
          <w:szCs w:val="26"/>
        </w:rPr>
        <w:t xml:space="preserve">. </w:t>
      </w:r>
      <w:r w:rsidR="00F006A4">
        <w:rPr>
          <w:rFonts w:eastAsiaTheme="minorHAnsi"/>
          <w:color w:val="000000"/>
          <w:szCs w:val="26"/>
        </w:rPr>
        <w:t xml:space="preserve"> </w:t>
      </w:r>
      <w:r w:rsidRPr="00DC21D1">
        <w:rPr>
          <w:rFonts w:eastAsiaTheme="minorHAnsi"/>
          <w:color w:val="000000"/>
          <w:szCs w:val="26"/>
        </w:rPr>
        <w:t xml:space="preserve">Thus, given the background RF exposure to the service property compared to the minimal RF exposure from the AMI meter, </w:t>
      </w:r>
      <w:r w:rsidR="00DC21D1" w:rsidRPr="00DC21D1">
        <w:rPr>
          <w:rFonts w:eastAsiaTheme="minorHAnsi"/>
          <w:color w:val="000000"/>
          <w:szCs w:val="26"/>
        </w:rPr>
        <w:t xml:space="preserve">the ALJ stated she was </w:t>
      </w:r>
      <w:r w:rsidRPr="00DC21D1">
        <w:rPr>
          <w:rFonts w:eastAsiaTheme="minorHAnsi"/>
          <w:color w:val="000000"/>
          <w:szCs w:val="26"/>
        </w:rPr>
        <w:t xml:space="preserve">not persuaded to conclude the AMI meter will cause a deleterious health effect to </w:t>
      </w:r>
      <w:r w:rsidR="000E3AA9">
        <w:rPr>
          <w:rFonts w:eastAsiaTheme="minorHAnsi"/>
          <w:color w:val="000000"/>
          <w:szCs w:val="26"/>
        </w:rPr>
        <w:t>Mr. Smiles</w:t>
      </w:r>
      <w:r w:rsidRPr="00DC21D1">
        <w:rPr>
          <w:rFonts w:eastAsiaTheme="minorHAnsi"/>
          <w:color w:val="000000"/>
          <w:szCs w:val="26"/>
        </w:rPr>
        <w:t>.</w:t>
      </w:r>
      <w:r w:rsidR="00DC21D1" w:rsidRPr="00DC21D1">
        <w:rPr>
          <w:rFonts w:eastAsiaTheme="minorHAnsi"/>
          <w:color w:val="000000"/>
          <w:szCs w:val="26"/>
        </w:rPr>
        <w:t xml:space="preserve">  I.D. at 17.</w:t>
      </w:r>
    </w:p>
    <w:p w14:paraId="4DBAA40A" w14:textId="77777777" w:rsidR="006C47FB" w:rsidRDefault="006C47FB" w:rsidP="000646B3">
      <w:pPr>
        <w:widowControl/>
        <w:spacing w:line="360" w:lineRule="auto"/>
        <w:rPr>
          <w:sz w:val="23"/>
          <w:szCs w:val="23"/>
        </w:rPr>
      </w:pPr>
    </w:p>
    <w:p w14:paraId="3B6DE16B" w14:textId="16C77CB2" w:rsidR="006C47FB" w:rsidRDefault="00223B7A" w:rsidP="00223B7A">
      <w:pPr>
        <w:widowControl/>
        <w:spacing w:line="360" w:lineRule="auto"/>
        <w:ind w:firstLine="1440"/>
        <w:contextualSpacing/>
        <w:rPr>
          <w:szCs w:val="26"/>
        </w:rPr>
      </w:pPr>
      <w:r w:rsidRPr="00223B7A">
        <w:rPr>
          <w:szCs w:val="26"/>
        </w:rPr>
        <w:t xml:space="preserve">Based on all of the above, </w:t>
      </w:r>
      <w:r w:rsidR="006C47FB">
        <w:rPr>
          <w:szCs w:val="26"/>
        </w:rPr>
        <w:t xml:space="preserve">the ALJ found in favor of PPL on the health and safety claims raised in the Complaint.  </w:t>
      </w:r>
      <w:r w:rsidR="000646B3">
        <w:rPr>
          <w:szCs w:val="26"/>
        </w:rPr>
        <w:t>I.D. at 19.</w:t>
      </w:r>
    </w:p>
    <w:p w14:paraId="64DCE310" w14:textId="77777777" w:rsidR="006C47FB" w:rsidRDefault="006C47FB" w:rsidP="00223B7A">
      <w:pPr>
        <w:widowControl/>
        <w:spacing w:line="360" w:lineRule="auto"/>
        <w:ind w:firstLine="1440"/>
        <w:contextualSpacing/>
        <w:rPr>
          <w:szCs w:val="26"/>
        </w:rPr>
      </w:pPr>
    </w:p>
    <w:p w14:paraId="14CE0686" w14:textId="5BFB7CA1" w:rsidR="00997938" w:rsidRDefault="006C47FB" w:rsidP="005B63C5">
      <w:pPr>
        <w:keepNext/>
        <w:keepLines/>
        <w:widowControl/>
        <w:spacing w:line="360" w:lineRule="auto"/>
        <w:contextualSpacing/>
        <w:rPr>
          <w:szCs w:val="26"/>
          <w:u w:val="single"/>
        </w:rPr>
      </w:pPr>
      <w:r>
        <w:rPr>
          <w:szCs w:val="26"/>
        </w:rPr>
        <w:tab/>
      </w:r>
      <w:r w:rsidRPr="00E674DB">
        <w:rPr>
          <w:szCs w:val="26"/>
          <w:u w:val="single"/>
        </w:rPr>
        <w:t>Data Privacy</w:t>
      </w:r>
      <w:r w:rsidR="00396EF4">
        <w:rPr>
          <w:szCs w:val="26"/>
          <w:u w:val="single"/>
        </w:rPr>
        <w:t xml:space="preserve"> Claims</w:t>
      </w:r>
    </w:p>
    <w:p w14:paraId="3CCDFA5C" w14:textId="77777777" w:rsidR="00997938" w:rsidRDefault="00997938" w:rsidP="005B63C5">
      <w:pPr>
        <w:keepNext/>
        <w:keepLines/>
        <w:widowControl/>
        <w:spacing w:line="360" w:lineRule="auto"/>
        <w:contextualSpacing/>
        <w:rPr>
          <w:szCs w:val="26"/>
          <w:u w:val="single"/>
        </w:rPr>
      </w:pPr>
    </w:p>
    <w:p w14:paraId="7371DABE" w14:textId="5C93DF07" w:rsidR="006C47FB" w:rsidRPr="00997938" w:rsidRDefault="00E674DB" w:rsidP="00997938">
      <w:pPr>
        <w:widowControl/>
        <w:spacing w:line="360" w:lineRule="auto"/>
        <w:ind w:firstLine="1440"/>
        <w:contextualSpacing/>
        <w:rPr>
          <w:szCs w:val="26"/>
          <w:u w:val="single"/>
        </w:rPr>
      </w:pPr>
      <w:r w:rsidRPr="00E674DB">
        <w:rPr>
          <w:rFonts w:eastAsiaTheme="minorHAnsi"/>
          <w:color w:val="000000"/>
          <w:szCs w:val="26"/>
        </w:rPr>
        <w:t xml:space="preserve">The ALJ noted that </w:t>
      </w:r>
      <w:r w:rsidR="000E3AA9">
        <w:rPr>
          <w:rFonts w:eastAsiaTheme="minorHAnsi"/>
          <w:color w:val="000000"/>
          <w:szCs w:val="26"/>
        </w:rPr>
        <w:t>Mr. Smiles</w:t>
      </w:r>
      <w:r w:rsidR="006C47FB" w:rsidRPr="006C47FB">
        <w:rPr>
          <w:rFonts w:eastAsiaTheme="minorHAnsi"/>
          <w:color w:val="000000"/>
          <w:szCs w:val="26"/>
        </w:rPr>
        <w:t xml:space="preserve"> contend</w:t>
      </w:r>
      <w:r w:rsidRPr="00E674DB">
        <w:rPr>
          <w:rFonts w:eastAsiaTheme="minorHAnsi"/>
          <w:color w:val="000000"/>
          <w:szCs w:val="26"/>
        </w:rPr>
        <w:t>ed</w:t>
      </w:r>
      <w:r w:rsidR="006C47FB" w:rsidRPr="006C47FB">
        <w:rPr>
          <w:rFonts w:eastAsiaTheme="minorHAnsi"/>
          <w:color w:val="000000"/>
          <w:szCs w:val="26"/>
        </w:rPr>
        <w:t xml:space="preserve"> it is unreasonable that the new AMI meter invades his privacy and that the meters are not cyber-secure.</w:t>
      </w:r>
      <w:r w:rsidRPr="00E674DB">
        <w:rPr>
          <w:rFonts w:eastAsiaTheme="minorHAnsi"/>
          <w:color w:val="000000"/>
          <w:szCs w:val="26"/>
        </w:rPr>
        <w:t xml:space="preserve">  </w:t>
      </w:r>
      <w:r w:rsidR="006C47FB" w:rsidRPr="00E674DB">
        <w:rPr>
          <w:rFonts w:eastAsiaTheme="minorHAnsi"/>
          <w:color w:val="000000"/>
          <w:szCs w:val="26"/>
        </w:rPr>
        <w:t>Conversely, PPL contend</w:t>
      </w:r>
      <w:r w:rsidRPr="00E674DB">
        <w:rPr>
          <w:rFonts w:eastAsiaTheme="minorHAnsi"/>
          <w:color w:val="000000"/>
          <w:szCs w:val="26"/>
        </w:rPr>
        <w:t xml:space="preserve">ed </w:t>
      </w:r>
      <w:r w:rsidR="006C47FB" w:rsidRPr="00E674DB">
        <w:rPr>
          <w:rFonts w:eastAsiaTheme="minorHAnsi"/>
          <w:color w:val="000000"/>
          <w:szCs w:val="26"/>
        </w:rPr>
        <w:t>that</w:t>
      </w:r>
      <w:r w:rsidRPr="00E674DB">
        <w:rPr>
          <w:rFonts w:eastAsiaTheme="minorHAnsi"/>
          <w:color w:val="000000"/>
          <w:szCs w:val="26"/>
        </w:rPr>
        <w:t xml:space="preserve"> </w:t>
      </w:r>
      <w:r w:rsidR="000E3AA9">
        <w:rPr>
          <w:rFonts w:eastAsiaTheme="minorHAnsi"/>
          <w:color w:val="000000"/>
          <w:szCs w:val="26"/>
        </w:rPr>
        <w:t>his</w:t>
      </w:r>
      <w:r w:rsidR="006C47FB" w:rsidRPr="00E674DB">
        <w:rPr>
          <w:rFonts w:eastAsiaTheme="minorHAnsi"/>
          <w:color w:val="000000"/>
          <w:szCs w:val="26"/>
        </w:rPr>
        <w:t xml:space="preserve"> assertion that the meter is unsecure is a bald assertion unsupported by any evidence other than hearsay.</w:t>
      </w:r>
      <w:r w:rsidR="006A18D0">
        <w:rPr>
          <w:rFonts w:eastAsiaTheme="minorHAnsi"/>
          <w:color w:val="000000"/>
          <w:szCs w:val="26"/>
        </w:rPr>
        <w:t xml:space="preserve">  </w:t>
      </w:r>
      <w:r w:rsidRPr="00E674DB">
        <w:rPr>
          <w:rFonts w:eastAsiaTheme="minorHAnsi"/>
          <w:color w:val="000000"/>
          <w:szCs w:val="26"/>
        </w:rPr>
        <w:t xml:space="preserve">PPL pointed out that </w:t>
      </w:r>
      <w:r w:rsidR="000E3AA9">
        <w:rPr>
          <w:rFonts w:eastAsiaTheme="minorHAnsi"/>
          <w:color w:val="000000"/>
          <w:szCs w:val="26"/>
        </w:rPr>
        <w:t>M</w:t>
      </w:r>
      <w:r w:rsidR="00286F6B">
        <w:rPr>
          <w:rFonts w:eastAsiaTheme="minorHAnsi"/>
          <w:color w:val="000000"/>
          <w:szCs w:val="26"/>
        </w:rPr>
        <w:t>r</w:t>
      </w:r>
      <w:r w:rsidR="000E3AA9">
        <w:rPr>
          <w:rFonts w:eastAsiaTheme="minorHAnsi"/>
          <w:color w:val="000000"/>
          <w:szCs w:val="26"/>
        </w:rPr>
        <w:t>. Smiles</w:t>
      </w:r>
      <w:r w:rsidR="006C47FB" w:rsidRPr="00E674DB">
        <w:rPr>
          <w:rFonts w:eastAsiaTheme="minorHAnsi"/>
          <w:color w:val="000000"/>
          <w:szCs w:val="26"/>
        </w:rPr>
        <w:t xml:space="preserve"> has no</w:t>
      </w:r>
      <w:r w:rsidRPr="00E674DB">
        <w:rPr>
          <w:szCs w:val="26"/>
        </w:rPr>
        <w:t xml:space="preserve"> education in cyber-security.</w:t>
      </w:r>
      <w:r w:rsidR="006A18D0">
        <w:rPr>
          <w:szCs w:val="26"/>
        </w:rPr>
        <w:t xml:space="preserve">  </w:t>
      </w:r>
      <w:r w:rsidRPr="00E674DB">
        <w:rPr>
          <w:szCs w:val="26"/>
        </w:rPr>
        <w:t xml:space="preserve">PPL contended its meters are cyber-secure and do not constitute an unreasonable search or invasion of </w:t>
      </w:r>
      <w:r w:rsidR="000E3AA9">
        <w:rPr>
          <w:szCs w:val="26"/>
        </w:rPr>
        <w:t>his</w:t>
      </w:r>
      <w:r w:rsidRPr="00E674DB">
        <w:rPr>
          <w:szCs w:val="26"/>
        </w:rPr>
        <w:t xml:space="preserve"> privacy.</w:t>
      </w:r>
      <w:r w:rsidR="009275BE">
        <w:rPr>
          <w:szCs w:val="26"/>
        </w:rPr>
        <w:t xml:space="preserve">  I.D. at 19-20.</w:t>
      </w:r>
    </w:p>
    <w:p w14:paraId="78DD288A" w14:textId="6D7171F2" w:rsidR="006C47FB" w:rsidRPr="00E674DB" w:rsidRDefault="006C47FB" w:rsidP="00223B7A">
      <w:pPr>
        <w:widowControl/>
        <w:spacing w:line="360" w:lineRule="auto"/>
        <w:ind w:firstLine="1440"/>
        <w:contextualSpacing/>
        <w:rPr>
          <w:szCs w:val="26"/>
        </w:rPr>
      </w:pPr>
    </w:p>
    <w:p w14:paraId="342D431B" w14:textId="729486B3" w:rsidR="00E674DB" w:rsidRPr="00E674DB" w:rsidRDefault="00AF36E5" w:rsidP="00223B7A">
      <w:pPr>
        <w:widowControl/>
        <w:spacing w:line="360" w:lineRule="auto"/>
        <w:ind w:firstLine="1440"/>
        <w:contextualSpacing/>
        <w:rPr>
          <w:szCs w:val="26"/>
        </w:rPr>
      </w:pPr>
      <w:r>
        <w:rPr>
          <w:szCs w:val="26"/>
        </w:rPr>
        <w:t>The ALJ explained that, a</w:t>
      </w:r>
      <w:r w:rsidR="00E674DB" w:rsidRPr="00E674DB">
        <w:rPr>
          <w:szCs w:val="26"/>
        </w:rPr>
        <w:t xml:space="preserve">s a part of its Smart Meter Plan proceeding, PPL filed a detailed AMI Customer Privacy Policy, which sets forth the data PPL will collect through the new smart meter, the steps </w:t>
      </w:r>
      <w:r w:rsidR="0008489C">
        <w:rPr>
          <w:szCs w:val="26"/>
        </w:rPr>
        <w:t>it</w:t>
      </w:r>
      <w:r w:rsidR="00E674DB" w:rsidRPr="00E674DB">
        <w:rPr>
          <w:szCs w:val="26"/>
        </w:rPr>
        <w:t xml:space="preserve"> will take to protect the data, and the ways in which PPL will use the data.</w:t>
      </w:r>
      <w:r w:rsidR="000F1E03">
        <w:rPr>
          <w:szCs w:val="26"/>
        </w:rPr>
        <w:t xml:space="preserve">  </w:t>
      </w:r>
      <w:r>
        <w:rPr>
          <w:szCs w:val="26"/>
        </w:rPr>
        <w:t xml:space="preserve">I.D. at 20 (citing </w:t>
      </w:r>
      <w:r w:rsidR="00E674DB" w:rsidRPr="00E674DB">
        <w:rPr>
          <w:szCs w:val="26"/>
        </w:rPr>
        <w:t>PPL Electric Exhibit No. DV-1</w:t>
      </w:r>
      <w:r>
        <w:rPr>
          <w:szCs w:val="26"/>
        </w:rPr>
        <w:t>)</w:t>
      </w:r>
      <w:r w:rsidR="00E674DB" w:rsidRPr="00E674DB">
        <w:rPr>
          <w:szCs w:val="26"/>
        </w:rPr>
        <w:t xml:space="preserve">. PPL uses firewalls to prevent anyone from obtaining unauthorized access to the AMI network. </w:t>
      </w:r>
      <w:r>
        <w:rPr>
          <w:szCs w:val="26"/>
        </w:rPr>
        <w:t xml:space="preserve"> I.D.</w:t>
      </w:r>
      <w:r w:rsidR="00D15086">
        <w:rPr>
          <w:szCs w:val="26"/>
        </w:rPr>
        <w:t> </w:t>
      </w:r>
      <w:r>
        <w:rPr>
          <w:szCs w:val="26"/>
        </w:rPr>
        <w:t xml:space="preserve">at 20 (citing </w:t>
      </w:r>
      <w:r w:rsidR="00E674DB" w:rsidRPr="00E674DB">
        <w:rPr>
          <w:szCs w:val="26"/>
        </w:rPr>
        <w:t xml:space="preserve">PPL </w:t>
      </w:r>
      <w:r w:rsidR="006A0533">
        <w:rPr>
          <w:szCs w:val="26"/>
        </w:rPr>
        <w:t>St.</w:t>
      </w:r>
      <w:r w:rsidR="00E674DB" w:rsidRPr="00E674DB">
        <w:rPr>
          <w:szCs w:val="26"/>
        </w:rPr>
        <w:t xml:space="preserve"> No. 4 at 7-8</w:t>
      </w:r>
      <w:r>
        <w:rPr>
          <w:szCs w:val="26"/>
        </w:rPr>
        <w:t>)</w:t>
      </w:r>
      <w:r w:rsidR="00E674DB" w:rsidRPr="00E674DB">
        <w:rPr>
          <w:szCs w:val="26"/>
        </w:rPr>
        <w:t>.</w:t>
      </w:r>
      <w:r w:rsidR="00F006A4">
        <w:rPr>
          <w:szCs w:val="26"/>
        </w:rPr>
        <w:t xml:space="preserve"> </w:t>
      </w:r>
      <w:r w:rsidR="00E674DB" w:rsidRPr="00E674DB">
        <w:rPr>
          <w:szCs w:val="26"/>
        </w:rPr>
        <w:t xml:space="preserve"> Customer data is encrypted to make the data readable to only PPL personnel who can decode the encryption. </w:t>
      </w:r>
      <w:r w:rsidR="00F006A4">
        <w:rPr>
          <w:szCs w:val="26"/>
        </w:rPr>
        <w:t xml:space="preserve"> </w:t>
      </w:r>
      <w:r>
        <w:rPr>
          <w:szCs w:val="26"/>
        </w:rPr>
        <w:t xml:space="preserve">I.D. at 20 (citing </w:t>
      </w:r>
      <w:r w:rsidR="00E674DB" w:rsidRPr="00E674DB">
        <w:rPr>
          <w:szCs w:val="26"/>
        </w:rPr>
        <w:t xml:space="preserve">PPL </w:t>
      </w:r>
      <w:r w:rsidR="006A0533">
        <w:rPr>
          <w:szCs w:val="26"/>
        </w:rPr>
        <w:t>St.</w:t>
      </w:r>
      <w:r w:rsidR="00E674DB" w:rsidRPr="00E674DB">
        <w:rPr>
          <w:szCs w:val="26"/>
        </w:rPr>
        <w:t xml:space="preserve"> No. 4 at 7-8</w:t>
      </w:r>
      <w:r>
        <w:rPr>
          <w:szCs w:val="26"/>
        </w:rPr>
        <w:t>)</w:t>
      </w:r>
      <w:r w:rsidR="00E674DB" w:rsidRPr="00E674DB">
        <w:rPr>
          <w:szCs w:val="26"/>
        </w:rPr>
        <w:t xml:space="preserve">. </w:t>
      </w:r>
      <w:r>
        <w:rPr>
          <w:szCs w:val="26"/>
        </w:rPr>
        <w:t xml:space="preserve"> </w:t>
      </w:r>
      <w:r w:rsidR="00E674DB" w:rsidRPr="00E674DB">
        <w:rPr>
          <w:szCs w:val="26"/>
        </w:rPr>
        <w:t xml:space="preserve">PPL’s cybersecurity and data privacy policies are consistent with the national standards for the industry. </w:t>
      </w:r>
      <w:r>
        <w:rPr>
          <w:szCs w:val="26"/>
        </w:rPr>
        <w:t xml:space="preserve"> I.D. at 20 (citing </w:t>
      </w:r>
      <w:r w:rsidR="00E674DB" w:rsidRPr="00E674DB">
        <w:rPr>
          <w:szCs w:val="26"/>
        </w:rPr>
        <w:t xml:space="preserve">PPL </w:t>
      </w:r>
      <w:r w:rsidR="006A0533">
        <w:rPr>
          <w:szCs w:val="26"/>
        </w:rPr>
        <w:t>St.</w:t>
      </w:r>
      <w:r w:rsidR="00E674DB" w:rsidRPr="00E674DB">
        <w:rPr>
          <w:szCs w:val="26"/>
        </w:rPr>
        <w:t xml:space="preserve"> No. 4 at 7-8</w:t>
      </w:r>
      <w:r>
        <w:rPr>
          <w:szCs w:val="26"/>
        </w:rPr>
        <w:t>)</w:t>
      </w:r>
      <w:r w:rsidR="00E674DB" w:rsidRPr="00E674DB">
        <w:rPr>
          <w:szCs w:val="26"/>
        </w:rPr>
        <w:t xml:space="preserve">. </w:t>
      </w:r>
      <w:r>
        <w:rPr>
          <w:szCs w:val="26"/>
        </w:rPr>
        <w:t xml:space="preserve"> </w:t>
      </w:r>
      <w:r w:rsidR="00E674DB" w:rsidRPr="00E674DB">
        <w:rPr>
          <w:szCs w:val="26"/>
        </w:rPr>
        <w:t xml:space="preserve">Additionally, if </w:t>
      </w:r>
      <w:r w:rsidR="000E3AA9">
        <w:rPr>
          <w:szCs w:val="26"/>
        </w:rPr>
        <w:t>Mr. Smiles</w:t>
      </w:r>
      <w:r w:rsidR="00E674DB" w:rsidRPr="00AF36E5">
        <w:rPr>
          <w:szCs w:val="26"/>
        </w:rPr>
        <w:t xml:space="preserve"> is concerned about the AMI meter’s connection to smart appliances in h</w:t>
      </w:r>
      <w:r w:rsidR="004200E8">
        <w:rPr>
          <w:szCs w:val="26"/>
        </w:rPr>
        <w:t>is</w:t>
      </w:r>
      <w:r w:rsidR="00E674DB" w:rsidRPr="00AF36E5">
        <w:rPr>
          <w:szCs w:val="26"/>
        </w:rPr>
        <w:t xml:space="preserve"> home, he can decline to have the ZigBee radio activated.</w:t>
      </w:r>
      <w:r w:rsidRPr="00AF36E5">
        <w:rPr>
          <w:szCs w:val="26"/>
        </w:rPr>
        <w:t xml:space="preserve">  I.D. at 20 (citing</w:t>
      </w:r>
      <w:r w:rsidR="00E674DB" w:rsidRPr="00AF36E5">
        <w:rPr>
          <w:i/>
          <w:iCs/>
          <w:szCs w:val="26"/>
        </w:rPr>
        <w:t xml:space="preserve"> </w:t>
      </w:r>
      <w:proofErr w:type="spellStart"/>
      <w:r w:rsidR="00E674DB" w:rsidRPr="00AF36E5">
        <w:rPr>
          <w:i/>
          <w:iCs/>
          <w:szCs w:val="26"/>
        </w:rPr>
        <w:t>Lesniewski</w:t>
      </w:r>
      <w:proofErr w:type="spellEnd"/>
      <w:r w:rsidR="00E674DB" w:rsidRPr="00AF36E5">
        <w:rPr>
          <w:i/>
          <w:iCs/>
          <w:szCs w:val="26"/>
        </w:rPr>
        <w:t xml:space="preserve"> </w:t>
      </w:r>
      <w:r w:rsidRPr="00AF36E5">
        <w:rPr>
          <w:i/>
          <w:iCs/>
          <w:szCs w:val="26"/>
        </w:rPr>
        <w:t>v. PPL Electric Utilities Corporation</w:t>
      </w:r>
      <w:r w:rsidRPr="00AF36E5">
        <w:rPr>
          <w:szCs w:val="26"/>
        </w:rPr>
        <w:t xml:space="preserve">, </w:t>
      </w:r>
      <w:r w:rsidR="00D15086">
        <w:rPr>
          <w:szCs w:val="26"/>
        </w:rPr>
        <w:t xml:space="preserve">Docket No. </w:t>
      </w:r>
      <w:r w:rsidRPr="00AF36E5">
        <w:rPr>
          <w:szCs w:val="26"/>
        </w:rPr>
        <w:t xml:space="preserve">C-2018-3004594 (Final Order entered </w:t>
      </w:r>
      <w:r w:rsidRPr="00AF36E5">
        <w:rPr>
          <w:szCs w:val="26"/>
        </w:rPr>
        <w:lastRenderedPageBreak/>
        <w:t xml:space="preserve">April 29, 2019, adopting Initial Decision issued March 25, 2019) </w:t>
      </w:r>
      <w:r w:rsidR="00E674DB" w:rsidRPr="00AF36E5">
        <w:rPr>
          <w:szCs w:val="26"/>
        </w:rPr>
        <w:t>at 24</w:t>
      </w:r>
      <w:r w:rsidRPr="00AF36E5">
        <w:rPr>
          <w:szCs w:val="26"/>
        </w:rPr>
        <w:t>) (finding i</w:t>
      </w:r>
      <w:r w:rsidR="00E674DB" w:rsidRPr="00AF36E5">
        <w:rPr>
          <w:szCs w:val="26"/>
        </w:rPr>
        <w:t>n favor of PPL regarding the same data privacy issue</w:t>
      </w:r>
      <w:r w:rsidRPr="00AF36E5">
        <w:rPr>
          <w:szCs w:val="26"/>
        </w:rPr>
        <w:t xml:space="preserve"> because the complainant </w:t>
      </w:r>
      <w:r w:rsidR="00E674DB" w:rsidRPr="00AF36E5">
        <w:rPr>
          <w:szCs w:val="26"/>
        </w:rPr>
        <w:t>had an option to decline activation of the ZigBee radio device located within the AMI meter</w:t>
      </w:r>
      <w:r w:rsidRPr="00AF36E5">
        <w:rPr>
          <w:szCs w:val="26"/>
        </w:rPr>
        <w:t>)</w:t>
      </w:r>
      <w:r w:rsidR="00E674DB" w:rsidRPr="00AF36E5">
        <w:rPr>
          <w:szCs w:val="26"/>
        </w:rPr>
        <w:t xml:space="preserve">. </w:t>
      </w:r>
      <w:r>
        <w:rPr>
          <w:szCs w:val="26"/>
        </w:rPr>
        <w:t xml:space="preserve"> </w:t>
      </w:r>
      <w:r w:rsidR="00E674DB" w:rsidRPr="00AF36E5">
        <w:rPr>
          <w:szCs w:val="26"/>
        </w:rPr>
        <w:t xml:space="preserve">For these reasons, </w:t>
      </w:r>
      <w:r>
        <w:rPr>
          <w:szCs w:val="26"/>
        </w:rPr>
        <w:t xml:space="preserve">the ALJ found </w:t>
      </w:r>
      <w:r w:rsidR="00E674DB" w:rsidRPr="00AF36E5">
        <w:rPr>
          <w:szCs w:val="26"/>
        </w:rPr>
        <w:t xml:space="preserve">in favor of </w:t>
      </w:r>
      <w:r>
        <w:rPr>
          <w:szCs w:val="26"/>
        </w:rPr>
        <w:t>PPL on t</w:t>
      </w:r>
      <w:r w:rsidR="00E674DB" w:rsidRPr="00AF36E5">
        <w:rPr>
          <w:szCs w:val="26"/>
        </w:rPr>
        <w:t>his data privacy issue.</w:t>
      </w:r>
      <w:r>
        <w:rPr>
          <w:szCs w:val="26"/>
        </w:rPr>
        <w:t xml:space="preserve">  I.D. at 20. </w:t>
      </w:r>
    </w:p>
    <w:p w14:paraId="5FA4636C" w14:textId="77777777" w:rsidR="00E674DB" w:rsidRPr="00E674DB" w:rsidRDefault="00E674DB" w:rsidP="00223B7A">
      <w:pPr>
        <w:widowControl/>
        <w:spacing w:line="360" w:lineRule="auto"/>
        <w:ind w:firstLine="1440"/>
        <w:contextualSpacing/>
        <w:rPr>
          <w:szCs w:val="26"/>
        </w:rPr>
      </w:pPr>
    </w:p>
    <w:p w14:paraId="5BDC5AC3" w14:textId="75CFCFC4" w:rsidR="00544F71" w:rsidRDefault="006C47FB" w:rsidP="00997938">
      <w:pPr>
        <w:widowControl/>
        <w:spacing w:line="360" w:lineRule="auto"/>
        <w:ind w:firstLine="1440"/>
        <w:contextualSpacing/>
        <w:rPr>
          <w:szCs w:val="26"/>
        </w:rPr>
      </w:pPr>
      <w:r w:rsidRPr="00E674DB">
        <w:rPr>
          <w:szCs w:val="26"/>
        </w:rPr>
        <w:t xml:space="preserve">Based on all of the above, the ALJ dismissed the Complaint for failure to prove, by a preponderance of evidence, </w:t>
      </w:r>
      <w:r w:rsidR="00223B7A" w:rsidRPr="00E674DB">
        <w:rPr>
          <w:szCs w:val="26"/>
        </w:rPr>
        <w:t>that the installation of a smart meter constitutes unsafe or unreasonable service under</w:t>
      </w:r>
      <w:r w:rsidR="00223B7A" w:rsidRPr="00223B7A">
        <w:rPr>
          <w:szCs w:val="26"/>
        </w:rPr>
        <w:t xml:space="preserve"> 66 Pa.</w:t>
      </w:r>
      <w:r w:rsidR="00F006A4">
        <w:rPr>
          <w:szCs w:val="26"/>
        </w:rPr>
        <w:t xml:space="preserve"> </w:t>
      </w:r>
      <w:r w:rsidR="00223B7A" w:rsidRPr="00223B7A">
        <w:rPr>
          <w:szCs w:val="26"/>
        </w:rPr>
        <w:t xml:space="preserve">C.S. § 1501, or a violation of the Code, a Commission Order or Regulation or a Commission-approved tariff of the </w:t>
      </w:r>
      <w:r w:rsidR="0008489C">
        <w:rPr>
          <w:szCs w:val="26"/>
        </w:rPr>
        <w:t>c</w:t>
      </w:r>
      <w:r w:rsidR="00223B7A" w:rsidRPr="00223B7A">
        <w:rPr>
          <w:szCs w:val="26"/>
        </w:rPr>
        <w:t>ompany.  I.D.</w:t>
      </w:r>
      <w:r w:rsidR="00D15086">
        <w:rPr>
          <w:szCs w:val="26"/>
        </w:rPr>
        <w:t> </w:t>
      </w:r>
      <w:r w:rsidR="00223B7A" w:rsidRPr="00223B7A">
        <w:rPr>
          <w:szCs w:val="26"/>
        </w:rPr>
        <w:t xml:space="preserve">at 20.  </w:t>
      </w:r>
      <w:r w:rsidR="00E97215">
        <w:rPr>
          <w:szCs w:val="26"/>
        </w:rPr>
        <w:t>Accordingly, the ALJ denied and dismissed the Complaint.  I.D. at 24.</w:t>
      </w:r>
    </w:p>
    <w:p w14:paraId="59551777" w14:textId="77777777" w:rsidR="0045762F" w:rsidRPr="0045762F" w:rsidRDefault="0045762F" w:rsidP="004A5ADF">
      <w:pPr>
        <w:spacing w:line="360" w:lineRule="auto"/>
      </w:pPr>
    </w:p>
    <w:p w14:paraId="72EA1EFF" w14:textId="1D0A54C8" w:rsidR="003C71F7" w:rsidRDefault="0045762F" w:rsidP="000F1669">
      <w:pPr>
        <w:pStyle w:val="ListParagraph"/>
        <w:keepNext/>
        <w:widowControl/>
        <w:numPr>
          <w:ilvl w:val="0"/>
          <w:numId w:val="4"/>
        </w:numPr>
        <w:spacing w:line="360" w:lineRule="auto"/>
        <w:ind w:hanging="720"/>
        <w:contextualSpacing w:val="0"/>
        <w:rPr>
          <w:b/>
          <w:bCs/>
        </w:rPr>
      </w:pPr>
      <w:r>
        <w:rPr>
          <w:b/>
          <w:bCs/>
        </w:rPr>
        <w:t xml:space="preserve"> </w:t>
      </w:r>
      <w:r w:rsidR="003C71F7">
        <w:rPr>
          <w:b/>
          <w:bCs/>
        </w:rPr>
        <w:t>Final Order</w:t>
      </w:r>
    </w:p>
    <w:p w14:paraId="3063383A" w14:textId="030C4C1F" w:rsidR="00E674DB" w:rsidRDefault="00E674DB" w:rsidP="00CE17A9">
      <w:pPr>
        <w:keepNext/>
        <w:widowControl/>
        <w:spacing w:line="360" w:lineRule="auto"/>
        <w:rPr>
          <w:b/>
          <w:bCs/>
        </w:rPr>
      </w:pPr>
    </w:p>
    <w:p w14:paraId="3157FC2E" w14:textId="1FA31C99" w:rsidR="00E674DB" w:rsidRPr="00B83871" w:rsidRDefault="00E674DB" w:rsidP="00D15086">
      <w:pPr>
        <w:widowControl/>
        <w:spacing w:line="360" w:lineRule="auto"/>
        <w:ind w:firstLine="1440"/>
      </w:pPr>
      <w:r>
        <w:rPr>
          <w:szCs w:val="26"/>
        </w:rPr>
        <w:t xml:space="preserve">As noted above, on August 23, 2019, the Commission entered a Final Order </w:t>
      </w:r>
      <w:r>
        <w:t>stating that, i</w:t>
      </w:r>
      <w:r w:rsidRPr="00FB6879">
        <w:rPr>
          <w:spacing w:val="-3"/>
          <w:szCs w:val="24"/>
        </w:rPr>
        <w:t>n accordance wit</w:t>
      </w:r>
      <w:smartTag w:uri="urn:schemas-microsoft-com:office:smarttags" w:element="PersonName">
        <w:r w:rsidRPr="00FB6879">
          <w:rPr>
            <w:spacing w:val="-3"/>
            <w:szCs w:val="24"/>
          </w:rPr>
          <w:t>h</w:t>
        </w:r>
      </w:smartTag>
      <w:r w:rsidRPr="00FB6879">
        <w:rPr>
          <w:spacing w:val="-3"/>
          <w:szCs w:val="24"/>
        </w:rPr>
        <w:t xml:space="preserve"> t</w:t>
      </w:r>
      <w:smartTag w:uri="urn:schemas-microsoft-com:office:smarttags" w:element="PersonName">
        <w:r w:rsidRPr="00FB6879">
          <w:rPr>
            <w:spacing w:val="-3"/>
            <w:szCs w:val="24"/>
          </w:rPr>
          <w:t>h</w:t>
        </w:r>
      </w:smartTag>
      <w:r w:rsidRPr="00FB6879">
        <w:rPr>
          <w:spacing w:val="-3"/>
          <w:szCs w:val="24"/>
        </w:rPr>
        <w:t>e provisions of Section 332(</w:t>
      </w:r>
      <w:smartTag w:uri="urn:schemas-microsoft-com:office:smarttags" w:element="PersonName">
        <w:r w:rsidRPr="00FB6879">
          <w:rPr>
            <w:spacing w:val="-3"/>
            <w:szCs w:val="24"/>
          </w:rPr>
          <w:t>h</w:t>
        </w:r>
      </w:smartTag>
      <w:r w:rsidRPr="00FB6879">
        <w:rPr>
          <w:spacing w:val="-3"/>
          <w:szCs w:val="24"/>
        </w:rPr>
        <w:t>) of t</w:t>
      </w:r>
      <w:smartTag w:uri="urn:schemas-microsoft-com:office:smarttags" w:element="PersonName">
        <w:r w:rsidRPr="00FB6879">
          <w:rPr>
            <w:spacing w:val="-3"/>
            <w:szCs w:val="24"/>
          </w:rPr>
          <w:t>h</w:t>
        </w:r>
      </w:smartTag>
      <w:r w:rsidRPr="00FB6879">
        <w:rPr>
          <w:spacing w:val="-3"/>
          <w:szCs w:val="24"/>
        </w:rPr>
        <w:t>e Code, 66 Pa. C.S. §</w:t>
      </w:r>
      <w:r w:rsidR="00D15086">
        <w:rPr>
          <w:spacing w:val="-3"/>
          <w:szCs w:val="24"/>
        </w:rPr>
        <w:t> </w:t>
      </w:r>
      <w:r w:rsidRPr="00FB6879">
        <w:rPr>
          <w:spacing w:val="-3"/>
          <w:szCs w:val="24"/>
        </w:rPr>
        <w:t xml:space="preserve">332(h), the </w:t>
      </w:r>
      <w:r>
        <w:rPr>
          <w:spacing w:val="-3"/>
          <w:szCs w:val="24"/>
        </w:rPr>
        <w:t>Initial D</w:t>
      </w:r>
      <w:r w:rsidRPr="00FB6879">
        <w:rPr>
          <w:spacing w:val="-3"/>
          <w:szCs w:val="24"/>
        </w:rPr>
        <w:t xml:space="preserve">ecision of </w:t>
      </w:r>
      <w:r>
        <w:rPr>
          <w:spacing w:val="-3"/>
          <w:szCs w:val="24"/>
        </w:rPr>
        <w:t>ALJ Barnes issued July 12, 2019, “</w:t>
      </w:r>
      <w:r w:rsidRPr="00FB6879">
        <w:rPr>
          <w:spacing w:val="-3"/>
          <w:szCs w:val="24"/>
        </w:rPr>
        <w:t>has become final without further Commission action</w:t>
      </w:r>
      <w:r>
        <w:rPr>
          <w:spacing w:val="-3"/>
          <w:szCs w:val="24"/>
        </w:rPr>
        <w:t xml:space="preserve">.”  </w:t>
      </w:r>
      <w:r w:rsidR="00E97215">
        <w:rPr>
          <w:spacing w:val="-3"/>
          <w:szCs w:val="24"/>
        </w:rPr>
        <w:t>T</w:t>
      </w:r>
      <w:r>
        <w:t xml:space="preserve">he Final Order, </w:t>
      </w:r>
      <w:r w:rsidRPr="00DF61E9">
        <w:rPr>
          <w:i/>
          <w:iCs/>
        </w:rPr>
        <w:t>inter alia</w:t>
      </w:r>
      <w:r>
        <w:t xml:space="preserve">, </w:t>
      </w:r>
      <w:r>
        <w:rPr>
          <w:szCs w:val="26"/>
        </w:rPr>
        <w:t xml:space="preserve">denied and dismissed </w:t>
      </w:r>
      <w:r w:rsidRPr="00B83871">
        <w:rPr>
          <w:szCs w:val="26"/>
        </w:rPr>
        <w:t>the Complaint and marked the proceeding closed.</w:t>
      </w:r>
      <w:r w:rsidRPr="00B83871">
        <w:t xml:space="preserve">  </w:t>
      </w:r>
    </w:p>
    <w:p w14:paraId="0F77A00B" w14:textId="77777777" w:rsidR="003C71F7" w:rsidRPr="003C71F7" w:rsidRDefault="003C71F7" w:rsidP="00D15086">
      <w:pPr>
        <w:spacing w:line="360" w:lineRule="auto"/>
        <w:rPr>
          <w:b/>
          <w:bCs/>
        </w:rPr>
      </w:pPr>
    </w:p>
    <w:p w14:paraId="29FAC0AB" w14:textId="5E3455D0" w:rsidR="000F7A63" w:rsidRDefault="000F7A63" w:rsidP="00D15086">
      <w:pPr>
        <w:pStyle w:val="ListParagraph"/>
        <w:numPr>
          <w:ilvl w:val="0"/>
          <w:numId w:val="4"/>
        </w:numPr>
        <w:spacing w:line="360" w:lineRule="auto"/>
        <w:ind w:hanging="720"/>
        <w:contextualSpacing w:val="0"/>
        <w:rPr>
          <w:b/>
          <w:bCs/>
        </w:rPr>
      </w:pPr>
      <w:r>
        <w:rPr>
          <w:b/>
          <w:bCs/>
        </w:rPr>
        <w:t>First Petition,</w:t>
      </w:r>
      <w:r w:rsidR="002500D1">
        <w:rPr>
          <w:b/>
          <w:bCs/>
        </w:rPr>
        <w:t xml:space="preserve"> </w:t>
      </w:r>
      <w:r>
        <w:rPr>
          <w:b/>
          <w:bCs/>
        </w:rPr>
        <w:t>Answer, and Disposition</w:t>
      </w:r>
    </w:p>
    <w:p w14:paraId="1DD65B00" w14:textId="77777777" w:rsidR="000F7A63" w:rsidRDefault="000F7A63" w:rsidP="00D15086">
      <w:pPr>
        <w:spacing w:line="360" w:lineRule="auto"/>
        <w:ind w:firstLine="1440"/>
        <w:rPr>
          <w:rFonts w:eastAsiaTheme="minorHAnsi"/>
          <w:szCs w:val="26"/>
          <w:lang w:val="en-GB"/>
        </w:rPr>
      </w:pPr>
    </w:p>
    <w:p w14:paraId="4C58E4F5" w14:textId="072E74EA" w:rsidR="000F7A63" w:rsidRPr="000F7A63" w:rsidRDefault="000F7A63" w:rsidP="00D15086">
      <w:pPr>
        <w:spacing w:line="360" w:lineRule="auto"/>
        <w:ind w:firstLine="1440"/>
        <w:rPr>
          <w:rFonts w:eastAsiaTheme="minorHAnsi"/>
          <w:szCs w:val="26"/>
          <w:lang w:val="en-GB"/>
        </w:rPr>
      </w:pPr>
      <w:r w:rsidRPr="000F7A63">
        <w:rPr>
          <w:rFonts w:eastAsiaTheme="minorHAnsi"/>
          <w:szCs w:val="26"/>
          <w:lang w:val="en-GB"/>
        </w:rPr>
        <w:t xml:space="preserve">In his First Petition, </w:t>
      </w:r>
      <w:r w:rsidR="000E3AA9">
        <w:rPr>
          <w:rFonts w:eastAsiaTheme="minorHAnsi"/>
          <w:szCs w:val="26"/>
          <w:lang w:val="en-GB"/>
        </w:rPr>
        <w:t>Mr.</w:t>
      </w:r>
      <w:r w:rsidR="002500D1">
        <w:rPr>
          <w:rFonts w:eastAsiaTheme="minorHAnsi"/>
          <w:szCs w:val="26"/>
          <w:lang w:val="en-GB"/>
        </w:rPr>
        <w:t xml:space="preserve"> </w:t>
      </w:r>
      <w:r w:rsidR="000E3AA9">
        <w:rPr>
          <w:rFonts w:eastAsiaTheme="minorHAnsi"/>
          <w:szCs w:val="26"/>
          <w:lang w:val="en-GB"/>
        </w:rPr>
        <w:t>Smiles</w:t>
      </w:r>
      <w:r w:rsidRPr="000F7A63">
        <w:rPr>
          <w:rFonts w:eastAsiaTheme="minorHAnsi"/>
          <w:szCs w:val="26"/>
          <w:lang w:val="en-GB"/>
        </w:rPr>
        <w:t xml:space="preserve"> claims </w:t>
      </w:r>
      <w:bookmarkStart w:id="4" w:name="_Hlk47626306"/>
      <w:r w:rsidRPr="000F7A63">
        <w:rPr>
          <w:rFonts w:eastAsiaTheme="minorHAnsi"/>
          <w:szCs w:val="26"/>
          <w:lang w:val="en-GB"/>
        </w:rPr>
        <w:t>he was not afforded due process in this proceeding</w:t>
      </w:r>
      <w:r w:rsidR="0057298A">
        <w:rPr>
          <w:rFonts w:eastAsiaTheme="minorHAnsi"/>
          <w:szCs w:val="26"/>
          <w:lang w:val="en-GB"/>
        </w:rPr>
        <w:t xml:space="preserve"> to file Exceptions</w:t>
      </w:r>
      <w:r w:rsidRPr="000F7A63">
        <w:rPr>
          <w:rFonts w:eastAsiaTheme="minorHAnsi"/>
          <w:szCs w:val="26"/>
          <w:lang w:val="en-GB"/>
        </w:rPr>
        <w:t xml:space="preserve"> because he never received service of the Initial Decision from the Commission.  </w:t>
      </w:r>
      <w:bookmarkEnd w:id="4"/>
      <w:r w:rsidRPr="000F7A63">
        <w:rPr>
          <w:rFonts w:eastAsiaTheme="minorHAnsi"/>
          <w:szCs w:val="26"/>
          <w:lang w:val="en-GB"/>
        </w:rPr>
        <w:t xml:space="preserve">First Petition at 1-2, 4.  Additionally, </w:t>
      </w:r>
      <w:r w:rsidR="000E3AA9">
        <w:rPr>
          <w:rFonts w:eastAsiaTheme="minorHAnsi"/>
          <w:szCs w:val="26"/>
          <w:lang w:val="en-GB"/>
        </w:rPr>
        <w:t xml:space="preserve">he </w:t>
      </w:r>
      <w:r w:rsidRPr="000F7A63">
        <w:rPr>
          <w:rFonts w:eastAsiaTheme="minorHAnsi"/>
          <w:szCs w:val="26"/>
          <w:lang w:val="en-GB"/>
        </w:rPr>
        <w:t xml:space="preserve">claims he “was forced to participate in [the] hearing while in a debilitated condition” because he was suffering from a migraine headache.  First Petition at 3.  </w:t>
      </w:r>
      <w:r w:rsidR="00CD4D2E">
        <w:rPr>
          <w:rFonts w:eastAsiaTheme="minorHAnsi"/>
          <w:szCs w:val="26"/>
          <w:lang w:val="en-GB"/>
        </w:rPr>
        <w:t xml:space="preserve">Additionally, </w:t>
      </w:r>
      <w:r w:rsidR="000E3AA9">
        <w:rPr>
          <w:rFonts w:eastAsiaTheme="minorHAnsi"/>
          <w:szCs w:val="26"/>
          <w:lang w:val="en-GB"/>
        </w:rPr>
        <w:t>Mr. Smiles</w:t>
      </w:r>
      <w:r w:rsidR="00CD4D2E">
        <w:rPr>
          <w:rFonts w:eastAsiaTheme="minorHAnsi"/>
          <w:szCs w:val="26"/>
          <w:lang w:val="en-GB"/>
        </w:rPr>
        <w:t xml:space="preserve"> submits he propounded interrogatories on PPL but never receive</w:t>
      </w:r>
      <w:r w:rsidR="005A5F3F">
        <w:rPr>
          <w:rFonts w:eastAsiaTheme="minorHAnsi"/>
          <w:szCs w:val="26"/>
          <w:lang w:val="en-GB"/>
        </w:rPr>
        <w:t>d</w:t>
      </w:r>
      <w:r w:rsidR="00CD4D2E">
        <w:rPr>
          <w:rFonts w:eastAsiaTheme="minorHAnsi"/>
          <w:szCs w:val="26"/>
          <w:lang w:val="en-GB"/>
        </w:rPr>
        <w:t xml:space="preserve"> an answer.  </w:t>
      </w:r>
      <w:r w:rsidRPr="000F7A63">
        <w:rPr>
          <w:rFonts w:eastAsiaTheme="minorHAnsi"/>
          <w:szCs w:val="26"/>
          <w:lang w:val="en-GB"/>
        </w:rPr>
        <w:t xml:space="preserve">For these reasons, </w:t>
      </w:r>
      <w:r w:rsidR="000E3AA9">
        <w:rPr>
          <w:rFonts w:eastAsiaTheme="minorHAnsi"/>
          <w:szCs w:val="26"/>
          <w:lang w:val="en-GB"/>
        </w:rPr>
        <w:t>he</w:t>
      </w:r>
      <w:r w:rsidRPr="000F7A63">
        <w:rPr>
          <w:rFonts w:eastAsiaTheme="minorHAnsi"/>
          <w:szCs w:val="26"/>
          <w:lang w:val="en-GB"/>
        </w:rPr>
        <w:t xml:space="preserve"> requests rehearing, reconsideration, or both.  First Petition at 1-3. </w:t>
      </w:r>
    </w:p>
    <w:p w14:paraId="095477CE" w14:textId="77777777" w:rsidR="000F7A63" w:rsidRPr="000F7A63" w:rsidRDefault="000F7A63" w:rsidP="004D0A53">
      <w:pPr>
        <w:spacing w:line="360" w:lineRule="auto"/>
        <w:ind w:firstLine="1440"/>
        <w:rPr>
          <w:rFonts w:eastAsiaTheme="minorHAnsi"/>
          <w:szCs w:val="26"/>
          <w:lang w:val="en-GB"/>
        </w:rPr>
      </w:pPr>
    </w:p>
    <w:p w14:paraId="36347F9E" w14:textId="22461975" w:rsidR="004D0A53" w:rsidRPr="004D0A53" w:rsidRDefault="000F7A63" w:rsidP="004D0A53">
      <w:pPr>
        <w:spacing w:line="360" w:lineRule="auto"/>
        <w:ind w:firstLine="1440"/>
        <w:rPr>
          <w:color w:val="000000"/>
          <w:sz w:val="24"/>
          <w:szCs w:val="22"/>
        </w:rPr>
      </w:pPr>
      <w:r w:rsidRPr="000F7A63">
        <w:rPr>
          <w:rFonts w:eastAsiaTheme="minorHAnsi"/>
          <w:szCs w:val="26"/>
          <w:lang w:val="en-GB"/>
        </w:rPr>
        <w:lastRenderedPageBreak/>
        <w:t xml:space="preserve">In its Answer, PPL submits </w:t>
      </w:r>
      <w:r w:rsidR="000E3AA9">
        <w:rPr>
          <w:rFonts w:eastAsiaTheme="minorHAnsi"/>
          <w:szCs w:val="26"/>
          <w:lang w:val="en-GB"/>
        </w:rPr>
        <w:t>Mr. Smiles’</w:t>
      </w:r>
      <w:r w:rsidRPr="000F7A63">
        <w:rPr>
          <w:color w:val="000000"/>
          <w:szCs w:val="26"/>
        </w:rPr>
        <w:t xml:space="preserve">s Petition is without merit and should be denied for several reasons.  </w:t>
      </w:r>
      <w:r w:rsidR="004D0A53" w:rsidRPr="000F7A63">
        <w:rPr>
          <w:color w:val="000000"/>
          <w:szCs w:val="26"/>
        </w:rPr>
        <w:t>Answer to First Petition at 5</w:t>
      </w:r>
      <w:r w:rsidR="004D0A53">
        <w:rPr>
          <w:color w:val="000000"/>
          <w:szCs w:val="26"/>
        </w:rPr>
        <w:t xml:space="preserve">.  </w:t>
      </w:r>
      <w:r w:rsidRPr="000F7A63">
        <w:rPr>
          <w:color w:val="000000"/>
          <w:szCs w:val="26"/>
        </w:rPr>
        <w:t xml:space="preserve">First, PPL asserts </w:t>
      </w:r>
      <w:r w:rsidR="000E3AA9">
        <w:rPr>
          <w:color w:val="000000"/>
          <w:szCs w:val="26"/>
        </w:rPr>
        <w:t>he</w:t>
      </w:r>
      <w:r w:rsidRPr="000F7A63">
        <w:rPr>
          <w:color w:val="000000"/>
          <w:szCs w:val="26"/>
        </w:rPr>
        <w:t xml:space="preserve"> waived all of the issues and arguments that he raises in the Petition because he failed to file Exceptions to the Initial Decision.  </w:t>
      </w:r>
      <w:r w:rsidR="004D0A53" w:rsidRPr="004D0A53">
        <w:rPr>
          <w:i/>
          <w:iCs/>
          <w:color w:val="000000"/>
          <w:szCs w:val="26"/>
        </w:rPr>
        <w:t>Id</w:t>
      </w:r>
      <w:r w:rsidR="004D0A53">
        <w:rPr>
          <w:color w:val="000000"/>
          <w:szCs w:val="26"/>
        </w:rPr>
        <w:t>.</w:t>
      </w:r>
      <w:r w:rsidRPr="000F7A63">
        <w:rPr>
          <w:color w:val="000000"/>
          <w:szCs w:val="26"/>
        </w:rPr>
        <w:t xml:space="preserve"> at 5 </w:t>
      </w:r>
      <w:bookmarkStart w:id="5" w:name="_Hlk47627224"/>
      <w:r w:rsidRPr="000F7A63">
        <w:rPr>
          <w:color w:val="000000"/>
          <w:szCs w:val="26"/>
        </w:rPr>
        <w:t xml:space="preserve">(citing </w:t>
      </w:r>
      <w:r w:rsidRPr="000F7A63">
        <w:rPr>
          <w:i/>
          <w:iCs/>
          <w:color w:val="000000"/>
          <w:szCs w:val="26"/>
        </w:rPr>
        <w:t>Merritt v. Duquesne Light Co</w:t>
      </w:r>
      <w:r w:rsidRPr="000F7A63">
        <w:rPr>
          <w:color w:val="000000"/>
          <w:szCs w:val="26"/>
        </w:rPr>
        <w:t>., 2011 Pa. PUC LEXIS 1197, at *9-10 (Order entered Mar. 31, 2011)</w:t>
      </w:r>
      <w:r w:rsidR="0050077F">
        <w:rPr>
          <w:color w:val="000000"/>
          <w:szCs w:val="26"/>
        </w:rPr>
        <w:t xml:space="preserve"> (</w:t>
      </w:r>
      <w:r w:rsidR="0050077F" w:rsidRPr="0050077F">
        <w:rPr>
          <w:i/>
          <w:iCs/>
          <w:color w:val="000000"/>
          <w:szCs w:val="26"/>
        </w:rPr>
        <w:t>Merritt</w:t>
      </w:r>
      <w:r w:rsidR="0050077F">
        <w:rPr>
          <w:color w:val="000000"/>
          <w:szCs w:val="26"/>
        </w:rPr>
        <w:t>)</w:t>
      </w:r>
      <w:r w:rsidRPr="000F7A63">
        <w:rPr>
          <w:color w:val="000000"/>
          <w:szCs w:val="26"/>
        </w:rPr>
        <w:t xml:space="preserve"> (holding that parties waive any arguments that they fail to raise in their Exceptions and properly preserve for appeal)</w:t>
      </w:r>
      <w:r w:rsidR="00286F6B">
        <w:rPr>
          <w:color w:val="000000"/>
          <w:szCs w:val="26"/>
        </w:rPr>
        <w:t>)</w:t>
      </w:r>
      <w:r w:rsidRPr="000F7A63">
        <w:rPr>
          <w:color w:val="000000"/>
          <w:szCs w:val="26"/>
        </w:rPr>
        <w:t xml:space="preserve">.  </w:t>
      </w:r>
      <w:bookmarkEnd w:id="5"/>
      <w:r w:rsidRPr="000F7A63">
        <w:rPr>
          <w:color w:val="000000"/>
          <w:szCs w:val="26"/>
        </w:rPr>
        <w:t xml:space="preserve">Second, PPL argues that </w:t>
      </w:r>
      <w:r w:rsidR="000E3AA9">
        <w:rPr>
          <w:color w:val="000000"/>
          <w:szCs w:val="26"/>
        </w:rPr>
        <w:t>Mr. Smiles’</w:t>
      </w:r>
      <w:r w:rsidRPr="000F7A63">
        <w:rPr>
          <w:color w:val="000000"/>
          <w:szCs w:val="26"/>
        </w:rPr>
        <w:t xml:space="preserve"> failure to obtain a copy of the Initial Decision was </w:t>
      </w:r>
      <w:r w:rsidR="000E3AA9">
        <w:rPr>
          <w:color w:val="000000"/>
          <w:szCs w:val="26"/>
        </w:rPr>
        <w:t>his</w:t>
      </w:r>
      <w:r w:rsidRPr="000F7A63">
        <w:rPr>
          <w:color w:val="000000"/>
          <w:szCs w:val="26"/>
        </w:rPr>
        <w:t xml:space="preserve"> own fault as </w:t>
      </w:r>
      <w:r w:rsidR="000E3AA9">
        <w:rPr>
          <w:color w:val="000000"/>
          <w:szCs w:val="26"/>
        </w:rPr>
        <w:t>he</w:t>
      </w:r>
      <w:r w:rsidRPr="000F7A63">
        <w:rPr>
          <w:color w:val="000000"/>
          <w:szCs w:val="26"/>
        </w:rPr>
        <w:t xml:space="preserve"> was given a full and fair opportunity to obtain a copy of the Initial Decision and Secretarial Letter. </w:t>
      </w:r>
      <w:r w:rsidR="004D0A53">
        <w:rPr>
          <w:color w:val="000000"/>
          <w:szCs w:val="26"/>
        </w:rPr>
        <w:t xml:space="preserve"> </w:t>
      </w:r>
      <w:bookmarkStart w:id="6" w:name="_Hlk47624896"/>
      <w:r w:rsidR="004D0A53">
        <w:rPr>
          <w:color w:val="000000"/>
          <w:szCs w:val="26"/>
        </w:rPr>
        <w:t xml:space="preserve">Answer to First Petition at 5-6. </w:t>
      </w:r>
      <w:r w:rsidRPr="000F7A63">
        <w:rPr>
          <w:color w:val="000000"/>
          <w:szCs w:val="26"/>
        </w:rPr>
        <w:t xml:space="preserve"> </w:t>
      </w:r>
      <w:bookmarkEnd w:id="6"/>
      <w:r w:rsidRPr="000F7A63">
        <w:rPr>
          <w:color w:val="000000"/>
          <w:szCs w:val="26"/>
        </w:rPr>
        <w:t>PPL</w:t>
      </w:r>
      <w:r w:rsidR="00D15086">
        <w:rPr>
          <w:color w:val="000000"/>
          <w:szCs w:val="26"/>
        </w:rPr>
        <w:t> </w:t>
      </w:r>
      <w:r w:rsidRPr="000F7A63">
        <w:rPr>
          <w:color w:val="000000"/>
          <w:szCs w:val="26"/>
        </w:rPr>
        <w:t xml:space="preserve">notes that the Commission did, in fact, serve the Initial Decision on </w:t>
      </w:r>
      <w:r w:rsidR="000E3AA9">
        <w:rPr>
          <w:color w:val="000000"/>
          <w:szCs w:val="26"/>
        </w:rPr>
        <w:t>Mr. Smiles</w:t>
      </w:r>
      <w:r w:rsidRPr="000F7A63">
        <w:rPr>
          <w:color w:val="000000"/>
          <w:szCs w:val="26"/>
        </w:rPr>
        <w:t xml:space="preserve"> via certified mail on July 12, 2019.  </w:t>
      </w:r>
      <w:r w:rsidR="004D0A53" w:rsidRPr="004D0A53">
        <w:rPr>
          <w:i/>
          <w:iCs/>
          <w:color w:val="000000"/>
          <w:szCs w:val="26"/>
        </w:rPr>
        <w:t>Id</w:t>
      </w:r>
      <w:r w:rsidR="004D0A53">
        <w:rPr>
          <w:color w:val="000000"/>
          <w:szCs w:val="26"/>
        </w:rPr>
        <w:t xml:space="preserve">. </w:t>
      </w:r>
      <w:r w:rsidRPr="000F7A63">
        <w:rPr>
          <w:color w:val="000000"/>
          <w:szCs w:val="26"/>
        </w:rPr>
        <w:t xml:space="preserve">at 5.  PPL attached a copy of the Commission’s envelope and noted that while it showed </w:t>
      </w:r>
      <w:r w:rsidR="00B31B29">
        <w:rPr>
          <w:color w:val="000000"/>
          <w:szCs w:val="26"/>
        </w:rPr>
        <w:t xml:space="preserve">Mr. Smiles </w:t>
      </w:r>
      <w:r w:rsidRPr="000F7A63">
        <w:rPr>
          <w:color w:val="000000"/>
          <w:szCs w:val="26"/>
        </w:rPr>
        <w:t xml:space="preserve">failed to sign for the certified mail after several attempts, and that the certified envelope was ultimately returned to the Commission as unclaimed, the Commission re-sent the Initial Decision by regular mail.  </w:t>
      </w:r>
      <w:r w:rsidR="004D0A53" w:rsidRPr="004D0A53">
        <w:rPr>
          <w:i/>
          <w:iCs/>
          <w:color w:val="000000"/>
          <w:szCs w:val="26"/>
        </w:rPr>
        <w:t>Id</w:t>
      </w:r>
      <w:r w:rsidR="004D0A53">
        <w:rPr>
          <w:color w:val="000000"/>
          <w:szCs w:val="26"/>
        </w:rPr>
        <w:t>.</w:t>
      </w:r>
      <w:r w:rsidRPr="000F7A63">
        <w:rPr>
          <w:color w:val="000000"/>
          <w:szCs w:val="26"/>
        </w:rPr>
        <w:t xml:space="preserve"> at 5-6.  PPL also notes that the Initial Decision </w:t>
      </w:r>
      <w:r w:rsidRPr="004D0A53">
        <w:rPr>
          <w:color w:val="000000"/>
          <w:szCs w:val="26"/>
        </w:rPr>
        <w:t xml:space="preserve">and the Secretarial Letter have been publicly available since July 12, 2019, on the Commission’s website.  </w:t>
      </w:r>
      <w:r w:rsidRPr="004D0A53">
        <w:rPr>
          <w:i/>
          <w:iCs/>
          <w:color w:val="000000"/>
          <w:szCs w:val="26"/>
        </w:rPr>
        <w:t>Id</w:t>
      </w:r>
      <w:r w:rsidRPr="004D0A53">
        <w:rPr>
          <w:color w:val="000000"/>
          <w:szCs w:val="26"/>
        </w:rPr>
        <w:t>. at 6.</w:t>
      </w:r>
      <w:r w:rsidR="004D0A53" w:rsidRPr="004D0A53">
        <w:rPr>
          <w:color w:val="000000"/>
          <w:szCs w:val="26"/>
        </w:rPr>
        <w:t xml:space="preserve">  </w:t>
      </w:r>
      <w:r w:rsidR="004D0A53" w:rsidRPr="004D0A53">
        <w:rPr>
          <w:szCs w:val="26"/>
        </w:rPr>
        <w:t xml:space="preserve">Third, PPL submits </w:t>
      </w:r>
      <w:r w:rsidR="00B31B29">
        <w:rPr>
          <w:szCs w:val="26"/>
        </w:rPr>
        <w:t xml:space="preserve">he </w:t>
      </w:r>
      <w:r w:rsidR="004D0A53" w:rsidRPr="004D0A53">
        <w:rPr>
          <w:szCs w:val="26"/>
        </w:rPr>
        <w:t xml:space="preserve">was afforded due process during this proceeding.  </w:t>
      </w:r>
      <w:r w:rsidR="004D0A53" w:rsidRPr="004D0A53">
        <w:rPr>
          <w:i/>
          <w:iCs/>
          <w:szCs w:val="26"/>
        </w:rPr>
        <w:t>Id</w:t>
      </w:r>
      <w:r w:rsidR="004D0A53" w:rsidRPr="004D0A53">
        <w:rPr>
          <w:szCs w:val="26"/>
        </w:rPr>
        <w:t xml:space="preserve">. at 6 (citing </w:t>
      </w:r>
      <w:r w:rsidR="004D0A53" w:rsidRPr="004D0A53">
        <w:rPr>
          <w:i/>
          <w:iCs/>
          <w:szCs w:val="26"/>
        </w:rPr>
        <w:t>Hess v. Pa. PUC</w:t>
      </w:r>
      <w:r w:rsidR="004D0A53" w:rsidRPr="004D0A53">
        <w:rPr>
          <w:szCs w:val="26"/>
        </w:rPr>
        <w:t xml:space="preserve">, 107 A.3d 246, 266 (Pa. Cmwlth. 2014)).  </w:t>
      </w:r>
      <w:r w:rsidR="004D0A53" w:rsidRPr="004D0A53">
        <w:rPr>
          <w:color w:val="000000"/>
          <w:szCs w:val="26"/>
        </w:rPr>
        <w:t xml:space="preserve">Here, PPL submits that </w:t>
      </w:r>
      <w:r w:rsidR="00B31B29">
        <w:rPr>
          <w:color w:val="000000"/>
          <w:szCs w:val="26"/>
        </w:rPr>
        <w:t>Mr. Smiles</w:t>
      </w:r>
      <w:r w:rsidR="004D0A53" w:rsidRPr="004D0A53">
        <w:rPr>
          <w:color w:val="000000"/>
          <w:szCs w:val="26"/>
        </w:rPr>
        <w:t xml:space="preserve"> was given the opportunity to present his evidence, testify about the issues, and cross-examine all of PPL</w:t>
      </w:r>
      <w:r w:rsidR="008D2D38">
        <w:rPr>
          <w:color w:val="000000"/>
          <w:szCs w:val="26"/>
        </w:rPr>
        <w:t>’s</w:t>
      </w:r>
      <w:r w:rsidR="004D0A53" w:rsidRPr="004D0A53">
        <w:rPr>
          <w:color w:val="000000"/>
          <w:szCs w:val="26"/>
        </w:rPr>
        <w:t xml:space="preserve"> witnesses at the evidentiary hearing on May 24, 2019.  Moreover, PPL submits that it had served its written testimony and exhibits on April 24, 2019, </w:t>
      </w:r>
      <w:r w:rsidR="004D0A53" w:rsidRPr="004D0A53">
        <w:rPr>
          <w:i/>
          <w:iCs/>
          <w:color w:val="000000"/>
          <w:szCs w:val="26"/>
        </w:rPr>
        <w:t>i.e</w:t>
      </w:r>
      <w:r w:rsidR="004D0A53" w:rsidRPr="004D0A53">
        <w:rPr>
          <w:color w:val="000000"/>
          <w:szCs w:val="26"/>
        </w:rPr>
        <w:t>.,</w:t>
      </w:r>
      <w:r w:rsidR="00D15086">
        <w:rPr>
          <w:color w:val="000000"/>
          <w:szCs w:val="26"/>
        </w:rPr>
        <w:t> </w:t>
      </w:r>
      <w:r w:rsidR="004D0A53" w:rsidRPr="004D0A53">
        <w:rPr>
          <w:color w:val="000000"/>
          <w:szCs w:val="26"/>
        </w:rPr>
        <w:t xml:space="preserve">one month before the hearing on May 24, 2019, providing </w:t>
      </w:r>
      <w:r w:rsidR="00B31B29">
        <w:rPr>
          <w:color w:val="000000"/>
          <w:szCs w:val="26"/>
        </w:rPr>
        <w:t xml:space="preserve">Mr. Smiles </w:t>
      </w:r>
      <w:r w:rsidR="004D0A53" w:rsidRPr="004D0A53">
        <w:rPr>
          <w:color w:val="000000"/>
          <w:szCs w:val="26"/>
        </w:rPr>
        <w:t xml:space="preserve">with more than enough time to review the witnesses' testimony and exhibits in advance of the hearing and prepare questions to ask them on cross-examination. </w:t>
      </w:r>
      <w:r w:rsidR="007E5E81">
        <w:rPr>
          <w:color w:val="000000"/>
          <w:szCs w:val="26"/>
        </w:rPr>
        <w:t xml:space="preserve"> </w:t>
      </w:r>
      <w:r w:rsidR="004D0A53">
        <w:rPr>
          <w:color w:val="000000"/>
          <w:szCs w:val="26"/>
        </w:rPr>
        <w:t xml:space="preserve">Answer to First Petition at 6. </w:t>
      </w:r>
      <w:r w:rsidR="004D0A53" w:rsidRPr="000F7A63">
        <w:rPr>
          <w:color w:val="000000"/>
          <w:szCs w:val="26"/>
        </w:rPr>
        <w:t xml:space="preserve"> </w:t>
      </w:r>
      <w:r w:rsidR="00CD4D2E">
        <w:t xml:space="preserve">Additionally, even though PPL acknowledges that it did not answer his discovery requests prior to the hearing due to a clerical error, the ALJ agreed with PPL that </w:t>
      </w:r>
      <w:r w:rsidR="00B31B29">
        <w:t xml:space="preserve">Mr. Smiles </w:t>
      </w:r>
      <w:r w:rsidR="00CD4D2E">
        <w:t xml:space="preserve">could simply ask all of those questions at the evidentiary hearing.  </w:t>
      </w:r>
      <w:r w:rsidR="00CD4D2E" w:rsidRPr="00CD4D2E">
        <w:rPr>
          <w:i/>
          <w:iCs/>
        </w:rPr>
        <w:t>Id</w:t>
      </w:r>
      <w:r w:rsidR="00CD4D2E">
        <w:t>. at 7 (citing Tr. at 8)</w:t>
      </w:r>
      <w:r w:rsidR="00D15086">
        <w:t>.</w:t>
      </w:r>
    </w:p>
    <w:p w14:paraId="18EFD5FC" w14:textId="43F0D2DA" w:rsidR="000F7A63" w:rsidRDefault="000F7A63" w:rsidP="00AC28AB">
      <w:pPr>
        <w:spacing w:line="360" w:lineRule="auto"/>
        <w:rPr>
          <w:color w:val="000000"/>
          <w:szCs w:val="26"/>
        </w:rPr>
      </w:pPr>
    </w:p>
    <w:p w14:paraId="78DFE8CA" w14:textId="539CE7ED" w:rsidR="0057298A" w:rsidRDefault="0057298A" w:rsidP="000F7A63">
      <w:pPr>
        <w:widowControl/>
        <w:spacing w:line="360" w:lineRule="auto"/>
        <w:ind w:firstLine="1440"/>
        <w:rPr>
          <w:rFonts w:eastAsiaTheme="minorHAnsi"/>
          <w:szCs w:val="26"/>
          <w:lang w:val="en-GB"/>
        </w:rPr>
      </w:pPr>
      <w:r>
        <w:rPr>
          <w:rFonts w:eastAsiaTheme="minorHAnsi"/>
          <w:szCs w:val="26"/>
          <w:lang w:val="en-GB"/>
        </w:rPr>
        <w:lastRenderedPageBreak/>
        <w:t xml:space="preserve">Based on our review of </w:t>
      </w:r>
      <w:r w:rsidR="00B31B29">
        <w:rPr>
          <w:rFonts w:eastAsiaTheme="minorHAnsi"/>
          <w:szCs w:val="26"/>
          <w:lang w:val="en-GB"/>
        </w:rPr>
        <w:t>Mr. Smiles’</w:t>
      </w:r>
      <w:r>
        <w:rPr>
          <w:rFonts w:eastAsiaTheme="minorHAnsi"/>
          <w:szCs w:val="26"/>
          <w:lang w:val="en-GB"/>
        </w:rPr>
        <w:t xml:space="preserve"> First Petition, PPL’s Answer, the record</w:t>
      </w:r>
      <w:r w:rsidR="00A158DE">
        <w:rPr>
          <w:rFonts w:eastAsiaTheme="minorHAnsi"/>
          <w:szCs w:val="26"/>
          <w:lang w:val="en-GB"/>
        </w:rPr>
        <w:t>,</w:t>
      </w:r>
      <w:r>
        <w:rPr>
          <w:rFonts w:eastAsiaTheme="minorHAnsi"/>
          <w:szCs w:val="26"/>
          <w:lang w:val="en-GB"/>
        </w:rPr>
        <w:t xml:space="preserve"> and the Commission’s docketing system, we reject </w:t>
      </w:r>
      <w:r w:rsidR="00B31B29">
        <w:rPr>
          <w:rFonts w:eastAsiaTheme="minorHAnsi"/>
          <w:szCs w:val="26"/>
          <w:lang w:val="en-GB"/>
        </w:rPr>
        <w:t>Mr. Smiles’</w:t>
      </w:r>
      <w:r>
        <w:rPr>
          <w:rFonts w:eastAsiaTheme="minorHAnsi"/>
          <w:szCs w:val="26"/>
          <w:lang w:val="en-GB"/>
        </w:rPr>
        <w:t xml:space="preserve"> argument that </w:t>
      </w:r>
      <w:r w:rsidRPr="000F7A63">
        <w:rPr>
          <w:rFonts w:eastAsiaTheme="minorHAnsi"/>
          <w:szCs w:val="26"/>
          <w:lang w:val="en-GB"/>
        </w:rPr>
        <w:t xml:space="preserve">he was not afforded due process </w:t>
      </w:r>
      <w:r>
        <w:rPr>
          <w:rFonts w:eastAsiaTheme="minorHAnsi"/>
          <w:szCs w:val="26"/>
          <w:lang w:val="en-GB"/>
        </w:rPr>
        <w:t>to file Exceptions</w:t>
      </w:r>
      <w:r w:rsidRPr="000F7A63">
        <w:rPr>
          <w:rFonts w:eastAsiaTheme="minorHAnsi"/>
          <w:szCs w:val="26"/>
          <w:lang w:val="en-GB"/>
        </w:rPr>
        <w:t xml:space="preserve"> </w:t>
      </w:r>
      <w:r w:rsidR="005A5F3F">
        <w:rPr>
          <w:rFonts w:eastAsiaTheme="minorHAnsi"/>
          <w:szCs w:val="26"/>
          <w:lang w:val="en-GB"/>
        </w:rPr>
        <w:t xml:space="preserve">to the Initial Decision based on his claim that </w:t>
      </w:r>
      <w:r w:rsidRPr="000F7A63">
        <w:rPr>
          <w:rFonts w:eastAsiaTheme="minorHAnsi"/>
          <w:szCs w:val="26"/>
          <w:lang w:val="en-GB"/>
        </w:rPr>
        <w:t xml:space="preserve">he never received service of the Initial Decision from the Commission.  </w:t>
      </w:r>
      <w:r w:rsidR="005A5F3F">
        <w:rPr>
          <w:rFonts w:eastAsiaTheme="minorHAnsi"/>
          <w:szCs w:val="26"/>
          <w:lang w:val="en-GB"/>
        </w:rPr>
        <w:t xml:space="preserve">As explained </w:t>
      </w:r>
      <w:r w:rsidR="004B1148">
        <w:rPr>
          <w:rFonts w:eastAsiaTheme="minorHAnsi"/>
          <w:szCs w:val="26"/>
          <w:lang w:val="en-GB"/>
        </w:rPr>
        <w:t>in more depth</w:t>
      </w:r>
      <w:r w:rsidR="005A5F3F">
        <w:rPr>
          <w:rFonts w:eastAsiaTheme="minorHAnsi"/>
          <w:szCs w:val="26"/>
          <w:lang w:val="en-GB"/>
        </w:rPr>
        <w:t xml:space="preserve"> below, </w:t>
      </w:r>
      <w:r w:rsidR="005A5F3F" w:rsidRPr="00794B83">
        <w:rPr>
          <w:rFonts w:eastAsiaTheme="minorHAnsi"/>
          <w:szCs w:val="26"/>
        </w:rPr>
        <w:t xml:space="preserve">we find that </w:t>
      </w:r>
      <w:r w:rsidR="00B31B29">
        <w:rPr>
          <w:rFonts w:eastAsiaTheme="minorHAnsi"/>
          <w:szCs w:val="26"/>
        </w:rPr>
        <w:t>he</w:t>
      </w:r>
      <w:r w:rsidR="007F7C42">
        <w:rPr>
          <w:rFonts w:eastAsiaTheme="minorHAnsi"/>
          <w:szCs w:val="26"/>
        </w:rPr>
        <w:t xml:space="preserve"> is presumed to have received the</w:t>
      </w:r>
      <w:r w:rsidR="005A5F3F">
        <w:rPr>
          <w:rFonts w:eastAsiaTheme="minorHAnsi"/>
          <w:szCs w:val="26"/>
        </w:rPr>
        <w:t xml:space="preserve"> Initial Decision and the Secretarial Letter </w:t>
      </w:r>
      <w:r w:rsidR="007F7C42">
        <w:rPr>
          <w:rFonts w:eastAsiaTheme="minorHAnsi"/>
          <w:szCs w:val="26"/>
        </w:rPr>
        <w:t>and nothing</w:t>
      </w:r>
      <w:r w:rsidR="00A158DE">
        <w:rPr>
          <w:rFonts w:eastAsiaTheme="minorHAnsi"/>
          <w:szCs w:val="26"/>
        </w:rPr>
        <w:t xml:space="preserve"> shown</w:t>
      </w:r>
      <w:r w:rsidR="007F7C42">
        <w:rPr>
          <w:rFonts w:eastAsiaTheme="minorHAnsi"/>
          <w:szCs w:val="26"/>
        </w:rPr>
        <w:t xml:space="preserve"> in his First Petition overcomes that presumption.</w:t>
      </w:r>
      <w:r w:rsidR="005A5F3F">
        <w:rPr>
          <w:rFonts w:eastAsiaTheme="minorHAnsi"/>
          <w:szCs w:val="26"/>
        </w:rPr>
        <w:t xml:space="preserve"> </w:t>
      </w:r>
      <w:r w:rsidR="005A5F3F" w:rsidRPr="00794B83">
        <w:rPr>
          <w:rFonts w:eastAsiaTheme="minorHAnsi"/>
          <w:szCs w:val="26"/>
        </w:rPr>
        <w:t xml:space="preserve"> </w:t>
      </w:r>
    </w:p>
    <w:p w14:paraId="440685BA" w14:textId="77777777" w:rsidR="000F7A63" w:rsidRPr="00794B83" w:rsidRDefault="000F7A63" w:rsidP="000F7A63">
      <w:pPr>
        <w:widowControl/>
        <w:spacing w:line="360" w:lineRule="auto"/>
        <w:ind w:firstLine="1440"/>
        <w:rPr>
          <w:rFonts w:eastAsiaTheme="minorHAnsi"/>
          <w:szCs w:val="26"/>
          <w:lang w:val="en-GB"/>
        </w:rPr>
      </w:pPr>
    </w:p>
    <w:p w14:paraId="44D1A6F3" w14:textId="5B04695A" w:rsidR="0057298A" w:rsidRDefault="007F7C42" w:rsidP="0057298A">
      <w:pPr>
        <w:widowControl/>
        <w:spacing w:line="360" w:lineRule="auto"/>
        <w:ind w:firstLine="1440"/>
        <w:rPr>
          <w:rFonts w:eastAsiaTheme="minorHAnsi"/>
          <w:szCs w:val="26"/>
          <w:lang w:val="en-GB"/>
        </w:rPr>
      </w:pPr>
      <w:r w:rsidRPr="00794B83">
        <w:rPr>
          <w:rFonts w:eastAsiaTheme="minorHAnsi"/>
          <w:szCs w:val="26"/>
          <w:lang w:val="en-GB"/>
        </w:rPr>
        <w:t>Section 703(e) of the Code</w:t>
      </w:r>
      <w:r>
        <w:rPr>
          <w:rFonts w:eastAsiaTheme="minorHAnsi"/>
          <w:szCs w:val="26"/>
          <w:lang w:val="en-GB"/>
        </w:rPr>
        <w:t>,</w:t>
      </w:r>
      <w:r w:rsidRPr="00794B83">
        <w:rPr>
          <w:rFonts w:eastAsiaTheme="minorHAnsi"/>
          <w:szCs w:val="26"/>
          <w:lang w:val="en-GB"/>
        </w:rPr>
        <w:t xml:space="preserve"> </w:t>
      </w:r>
      <w:r w:rsidRPr="00794B83">
        <w:rPr>
          <w:rFonts w:eastAsiaTheme="minorHAnsi"/>
          <w:szCs w:val="26"/>
        </w:rPr>
        <w:t>66 Pa.</w:t>
      </w:r>
      <w:r w:rsidR="007E5E81">
        <w:rPr>
          <w:rFonts w:eastAsiaTheme="minorHAnsi"/>
          <w:szCs w:val="26"/>
        </w:rPr>
        <w:t xml:space="preserve"> </w:t>
      </w:r>
      <w:r w:rsidRPr="00794B83">
        <w:rPr>
          <w:rFonts w:eastAsiaTheme="minorHAnsi"/>
          <w:szCs w:val="26"/>
        </w:rPr>
        <w:t>C.S. § 703(e)</w:t>
      </w:r>
      <w:r>
        <w:rPr>
          <w:rFonts w:eastAsiaTheme="minorHAnsi"/>
          <w:szCs w:val="26"/>
        </w:rPr>
        <w:t>,</w:t>
      </w:r>
      <w:r w:rsidRPr="00794B83">
        <w:rPr>
          <w:rFonts w:eastAsiaTheme="minorHAnsi"/>
          <w:szCs w:val="26"/>
        </w:rPr>
        <w:t xml:space="preserve"> </w:t>
      </w:r>
      <w:r w:rsidRPr="00794B83">
        <w:rPr>
          <w:rFonts w:eastAsiaTheme="minorHAnsi"/>
          <w:szCs w:val="26"/>
          <w:lang w:val="en-GB"/>
        </w:rPr>
        <w:t>requires the Commission to serve all parties to a proceeding with their order and opinion by registered or certified mail,</w:t>
      </w:r>
      <w:r>
        <w:rPr>
          <w:rFonts w:eastAsiaTheme="minorHAnsi"/>
          <w:szCs w:val="26"/>
          <w:lang w:val="en-GB"/>
        </w:rPr>
        <w:t xml:space="preserve"> but</w:t>
      </w:r>
      <w:r w:rsidRPr="00794B83">
        <w:rPr>
          <w:rFonts w:eastAsiaTheme="minorHAnsi"/>
          <w:szCs w:val="26"/>
          <w:lang w:val="en-GB"/>
        </w:rPr>
        <w:t xml:space="preserve"> </w:t>
      </w:r>
      <w:r>
        <w:rPr>
          <w:rFonts w:eastAsiaTheme="minorHAnsi"/>
          <w:szCs w:val="26"/>
          <w:lang w:val="en-GB"/>
        </w:rPr>
        <w:t>t</w:t>
      </w:r>
      <w:r w:rsidRPr="00794B83">
        <w:rPr>
          <w:rFonts w:eastAsiaTheme="minorHAnsi"/>
          <w:szCs w:val="26"/>
        </w:rPr>
        <w:t xml:space="preserve">his requirement only applies to the first service of the initial order.  </w:t>
      </w:r>
      <w:r w:rsidRPr="0057298A">
        <w:rPr>
          <w:rFonts w:eastAsiaTheme="minorHAnsi"/>
          <w:i/>
          <w:iCs/>
          <w:szCs w:val="26"/>
        </w:rPr>
        <w:t>See</w:t>
      </w:r>
      <w:r>
        <w:rPr>
          <w:rFonts w:eastAsiaTheme="minorHAnsi"/>
          <w:szCs w:val="26"/>
        </w:rPr>
        <w:t xml:space="preserve"> </w:t>
      </w:r>
      <w:r w:rsidRPr="00794B83">
        <w:rPr>
          <w:rFonts w:eastAsiaTheme="minorHAnsi"/>
          <w:i/>
          <w:iCs/>
          <w:szCs w:val="26"/>
        </w:rPr>
        <w:t xml:space="preserve">Mazza v. </w:t>
      </w:r>
      <w:r w:rsidR="00982DEA">
        <w:rPr>
          <w:rFonts w:eastAsiaTheme="minorHAnsi"/>
          <w:i/>
          <w:iCs/>
          <w:szCs w:val="26"/>
        </w:rPr>
        <w:t>Pa. PUC</w:t>
      </w:r>
      <w:r w:rsidRPr="00794B83">
        <w:rPr>
          <w:rFonts w:eastAsiaTheme="minorHAnsi"/>
          <w:szCs w:val="26"/>
        </w:rPr>
        <w:t>, No. 1418 C.D. 2012, 2013 WL 3973797, at *2 (Pa. Cmwlth. 2013)</w:t>
      </w:r>
      <w:r w:rsidR="00982DEA">
        <w:rPr>
          <w:rFonts w:eastAsiaTheme="minorHAnsi"/>
          <w:szCs w:val="26"/>
        </w:rPr>
        <w:t xml:space="preserve"> </w:t>
      </w:r>
      <w:r w:rsidRPr="00794B83">
        <w:rPr>
          <w:rFonts w:eastAsiaTheme="minorHAnsi"/>
          <w:szCs w:val="26"/>
        </w:rPr>
        <w:t xml:space="preserve">(quoting </w:t>
      </w:r>
      <w:r w:rsidRPr="00794B83">
        <w:rPr>
          <w:rFonts w:eastAsiaTheme="minorHAnsi"/>
          <w:i/>
          <w:iCs/>
          <w:szCs w:val="26"/>
        </w:rPr>
        <w:t>Pennsylvania State Police, Bureau of Liquor Control Enforcement v. Can</w:t>
      </w:r>
      <w:r w:rsidRPr="00794B83">
        <w:rPr>
          <w:rFonts w:eastAsiaTheme="minorHAnsi"/>
          <w:szCs w:val="26"/>
        </w:rPr>
        <w:t xml:space="preserve"> </w:t>
      </w:r>
      <w:r w:rsidRPr="00794B83">
        <w:rPr>
          <w:rFonts w:eastAsiaTheme="minorHAnsi"/>
          <w:i/>
          <w:iCs/>
          <w:szCs w:val="26"/>
        </w:rPr>
        <w:t>Inc.</w:t>
      </w:r>
      <w:r w:rsidRPr="00794B83">
        <w:rPr>
          <w:rFonts w:eastAsiaTheme="minorHAnsi"/>
          <w:szCs w:val="26"/>
        </w:rPr>
        <w:t>, 651</w:t>
      </w:r>
      <w:r w:rsidR="00982DEA">
        <w:rPr>
          <w:rFonts w:eastAsiaTheme="minorHAnsi"/>
          <w:szCs w:val="26"/>
        </w:rPr>
        <w:t> </w:t>
      </w:r>
      <w:r w:rsidRPr="00794B83">
        <w:rPr>
          <w:rFonts w:eastAsiaTheme="minorHAnsi"/>
          <w:szCs w:val="26"/>
        </w:rPr>
        <w:t>A.2d</w:t>
      </w:r>
      <w:r w:rsidR="00982DEA">
        <w:rPr>
          <w:rFonts w:eastAsiaTheme="minorHAnsi"/>
          <w:szCs w:val="26"/>
        </w:rPr>
        <w:t> </w:t>
      </w:r>
      <w:r w:rsidRPr="00794B83">
        <w:rPr>
          <w:rFonts w:eastAsiaTheme="minorHAnsi"/>
          <w:szCs w:val="26"/>
        </w:rPr>
        <w:t>1160, 1164 (Pa. Cmwlth. 1994)</w:t>
      </w:r>
      <w:r>
        <w:rPr>
          <w:rFonts w:eastAsiaTheme="minorHAnsi"/>
          <w:szCs w:val="26"/>
        </w:rPr>
        <w:t xml:space="preserve"> (</w:t>
      </w:r>
      <w:r w:rsidR="00982DEA">
        <w:rPr>
          <w:rFonts w:eastAsiaTheme="minorHAnsi"/>
          <w:szCs w:val="26"/>
        </w:rPr>
        <w:t>“</w:t>
      </w:r>
      <w:r w:rsidRPr="00794B83">
        <w:rPr>
          <w:rFonts w:eastAsiaTheme="minorHAnsi"/>
          <w:szCs w:val="26"/>
        </w:rPr>
        <w:t>[r]emission of notice by certified mail is sufficient compliance although notice is returned unclaimed and a second notice is never received.</w:t>
      </w:r>
      <w:r w:rsidR="00982DEA">
        <w:rPr>
          <w:rFonts w:eastAsiaTheme="minorHAnsi"/>
          <w:szCs w:val="26"/>
        </w:rPr>
        <w:t>”</w:t>
      </w:r>
      <w:r>
        <w:rPr>
          <w:rFonts w:eastAsiaTheme="minorHAnsi"/>
          <w:szCs w:val="26"/>
        </w:rPr>
        <w:t>)</w:t>
      </w:r>
      <w:r w:rsidR="00A43D07">
        <w:rPr>
          <w:rFonts w:eastAsiaTheme="minorHAnsi"/>
          <w:szCs w:val="26"/>
        </w:rPr>
        <w:t>)</w:t>
      </w:r>
      <w:r>
        <w:rPr>
          <w:rFonts w:eastAsiaTheme="minorHAnsi"/>
          <w:szCs w:val="26"/>
        </w:rPr>
        <w:t>.</w:t>
      </w:r>
      <w:r w:rsidRPr="00794B83">
        <w:rPr>
          <w:rFonts w:eastAsiaTheme="minorHAnsi"/>
          <w:szCs w:val="26"/>
        </w:rPr>
        <w:t xml:space="preserve">  </w:t>
      </w:r>
      <w:r w:rsidR="000F7A63" w:rsidRPr="00794B83">
        <w:rPr>
          <w:rFonts w:eastAsiaTheme="minorHAnsi"/>
          <w:szCs w:val="26"/>
          <w:lang w:val="en-GB"/>
        </w:rPr>
        <w:t xml:space="preserve">Notice mailed to a party's last known address and not returned by the post office is presumed to have been received.  </w:t>
      </w:r>
      <w:r w:rsidR="000F7A63" w:rsidRPr="00794B83">
        <w:rPr>
          <w:rFonts w:eastAsiaTheme="minorHAnsi"/>
          <w:i/>
          <w:iCs/>
          <w:szCs w:val="26"/>
          <w:lang w:val="en-GB"/>
        </w:rPr>
        <w:t>Berkowitz v. Mayflower Securities, Inc.</w:t>
      </w:r>
      <w:r w:rsidR="000F7A63" w:rsidRPr="00794B83">
        <w:rPr>
          <w:rFonts w:eastAsiaTheme="minorHAnsi"/>
          <w:szCs w:val="26"/>
          <w:lang w:val="en-GB"/>
        </w:rPr>
        <w:t>, 455</w:t>
      </w:r>
      <w:r w:rsidR="00982DEA">
        <w:rPr>
          <w:rFonts w:eastAsiaTheme="minorHAnsi"/>
          <w:szCs w:val="26"/>
          <w:lang w:val="en-GB"/>
        </w:rPr>
        <w:t> </w:t>
      </w:r>
      <w:r w:rsidR="000F7A63" w:rsidRPr="00794B83">
        <w:rPr>
          <w:rFonts w:eastAsiaTheme="minorHAnsi"/>
          <w:szCs w:val="26"/>
          <w:lang w:val="en-GB"/>
        </w:rPr>
        <w:t xml:space="preserve">Pa. 531, 317 A.2d 584 (1974); </w:t>
      </w:r>
      <w:r w:rsidR="000F7A63" w:rsidRPr="00794B83">
        <w:rPr>
          <w:rFonts w:eastAsiaTheme="minorHAnsi"/>
          <w:i/>
          <w:iCs/>
          <w:szCs w:val="26"/>
          <w:lang w:val="en-GB"/>
        </w:rPr>
        <w:t>Geary v. Verizon Pennsylvania Inc.</w:t>
      </w:r>
      <w:r w:rsidR="000F7A63" w:rsidRPr="00982DEA">
        <w:rPr>
          <w:rFonts w:eastAsiaTheme="minorHAnsi"/>
          <w:szCs w:val="26"/>
          <w:lang w:val="en-GB"/>
        </w:rPr>
        <w:t>,</w:t>
      </w:r>
      <w:r w:rsidR="000F7A63" w:rsidRPr="00794B83">
        <w:rPr>
          <w:rFonts w:eastAsiaTheme="minorHAnsi"/>
          <w:szCs w:val="26"/>
          <w:lang w:val="en-GB"/>
        </w:rPr>
        <w:t xml:space="preserve"> Docket No. C</w:t>
      </w:r>
      <w:r w:rsidR="00982DEA">
        <w:rPr>
          <w:rFonts w:eastAsiaTheme="minorHAnsi"/>
          <w:szCs w:val="26"/>
          <w:lang w:val="en-GB"/>
        </w:rPr>
        <w:noBreakHyphen/>
      </w:r>
      <w:r w:rsidR="000F7A63" w:rsidRPr="00794B83">
        <w:rPr>
          <w:rFonts w:eastAsiaTheme="minorHAnsi"/>
          <w:szCs w:val="26"/>
          <w:lang w:val="en-GB"/>
        </w:rPr>
        <w:t xml:space="preserve">2009-2118625 (Order entered September 16, 2010). </w:t>
      </w:r>
      <w:r w:rsidR="000F7A63" w:rsidRPr="00794B83">
        <w:rPr>
          <w:rFonts w:eastAsia="Calibri"/>
          <w:szCs w:val="26"/>
        </w:rPr>
        <w:t xml:space="preserve">“Once this presumption is established, the party alleging that it did not receive the letter has the burden of establishing such, and merely asserting that the letter was not received, without corroboration, is insufficient to overcome the presumption of receipt.”  </w:t>
      </w:r>
      <w:r w:rsidR="000F7A63" w:rsidRPr="00794B83">
        <w:rPr>
          <w:rFonts w:eastAsia="Calibri"/>
          <w:i/>
          <w:iCs/>
          <w:szCs w:val="26"/>
        </w:rPr>
        <w:t>Donegal Mut. Ins. Co. v. Insurance Dept</w:t>
      </w:r>
      <w:r w:rsidR="000F7A63" w:rsidRPr="00794B83">
        <w:rPr>
          <w:rFonts w:eastAsia="Calibri"/>
          <w:szCs w:val="26"/>
        </w:rPr>
        <w:t>., 719 A.2d 825, 827 (Pa. Cmwlth. 1998).</w:t>
      </w:r>
      <w:r w:rsidR="000F7A63" w:rsidRPr="00794B83">
        <w:rPr>
          <w:rFonts w:eastAsiaTheme="minorHAnsi"/>
          <w:szCs w:val="26"/>
          <w:lang w:val="en-GB"/>
        </w:rPr>
        <w:t xml:space="preserve">  </w:t>
      </w:r>
    </w:p>
    <w:p w14:paraId="7369BAE6" w14:textId="77777777" w:rsidR="0057298A" w:rsidRDefault="0057298A" w:rsidP="0057298A">
      <w:pPr>
        <w:widowControl/>
        <w:spacing w:line="360" w:lineRule="auto"/>
        <w:ind w:firstLine="1440"/>
        <w:rPr>
          <w:rFonts w:eastAsiaTheme="minorHAnsi"/>
          <w:szCs w:val="26"/>
          <w:lang w:val="en-GB"/>
        </w:rPr>
      </w:pPr>
    </w:p>
    <w:p w14:paraId="26BA9801" w14:textId="4E69FE2F" w:rsidR="009B0235" w:rsidRDefault="0057298A" w:rsidP="0057298A">
      <w:pPr>
        <w:widowControl/>
        <w:spacing w:line="360" w:lineRule="auto"/>
        <w:ind w:firstLine="1440"/>
        <w:rPr>
          <w:rFonts w:eastAsiaTheme="minorHAnsi"/>
          <w:szCs w:val="26"/>
        </w:rPr>
      </w:pPr>
      <w:r>
        <w:rPr>
          <w:rFonts w:eastAsiaTheme="minorHAnsi"/>
          <w:szCs w:val="26"/>
        </w:rPr>
        <w:t>Here, t</w:t>
      </w:r>
      <w:r w:rsidRPr="00794B83">
        <w:rPr>
          <w:rFonts w:eastAsiaTheme="minorHAnsi"/>
          <w:szCs w:val="26"/>
          <w:lang w:val="en-GB"/>
        </w:rPr>
        <w:t>he Commission satisfied th</w:t>
      </w:r>
      <w:r>
        <w:rPr>
          <w:rFonts w:eastAsiaTheme="minorHAnsi"/>
          <w:szCs w:val="26"/>
          <w:lang w:val="en-GB"/>
        </w:rPr>
        <w:t>e</w:t>
      </w:r>
      <w:r w:rsidRPr="00794B83">
        <w:rPr>
          <w:rFonts w:eastAsiaTheme="minorHAnsi"/>
          <w:szCs w:val="26"/>
          <w:lang w:val="en-GB"/>
        </w:rPr>
        <w:t xml:space="preserve"> requirement</w:t>
      </w:r>
      <w:r>
        <w:rPr>
          <w:rFonts w:eastAsiaTheme="minorHAnsi"/>
          <w:szCs w:val="26"/>
          <w:lang w:val="en-GB"/>
        </w:rPr>
        <w:t xml:space="preserve"> to serve the Initial Decision and Secretarial Letter by certified mail.  </w:t>
      </w:r>
      <w:r w:rsidR="009B0235" w:rsidRPr="00794B83">
        <w:rPr>
          <w:rFonts w:eastAsiaTheme="minorHAnsi"/>
          <w:szCs w:val="26"/>
        </w:rPr>
        <w:t>66 Pa.</w:t>
      </w:r>
      <w:r w:rsidR="007E5E81">
        <w:rPr>
          <w:rFonts w:eastAsiaTheme="minorHAnsi"/>
          <w:szCs w:val="26"/>
        </w:rPr>
        <w:t xml:space="preserve"> </w:t>
      </w:r>
      <w:r w:rsidR="009B0235" w:rsidRPr="00794B83">
        <w:rPr>
          <w:rFonts w:eastAsiaTheme="minorHAnsi"/>
          <w:szCs w:val="26"/>
        </w:rPr>
        <w:t>C.S. § 703(e)</w:t>
      </w:r>
      <w:r w:rsidR="009B0235">
        <w:rPr>
          <w:rFonts w:eastAsiaTheme="minorHAnsi"/>
          <w:szCs w:val="26"/>
        </w:rPr>
        <w:t xml:space="preserve">.  </w:t>
      </w:r>
      <w:r w:rsidR="008931F8">
        <w:rPr>
          <w:rFonts w:eastAsiaTheme="minorHAnsi"/>
          <w:szCs w:val="26"/>
        </w:rPr>
        <w:t>T</w:t>
      </w:r>
      <w:r w:rsidRPr="00794B83">
        <w:rPr>
          <w:rFonts w:eastAsiaTheme="minorHAnsi"/>
          <w:szCs w:val="26"/>
          <w:lang w:val="en-GB"/>
        </w:rPr>
        <w:t xml:space="preserve">he </w:t>
      </w:r>
      <w:r>
        <w:rPr>
          <w:rFonts w:eastAsiaTheme="minorHAnsi"/>
          <w:szCs w:val="26"/>
          <w:lang w:val="en-GB"/>
        </w:rPr>
        <w:t>c</w:t>
      </w:r>
      <w:r w:rsidRPr="00794B83">
        <w:rPr>
          <w:rFonts w:eastAsiaTheme="minorHAnsi"/>
          <w:szCs w:val="26"/>
          <w:lang w:val="en-GB"/>
        </w:rPr>
        <w:t xml:space="preserve">ertified </w:t>
      </w:r>
      <w:r>
        <w:rPr>
          <w:rFonts w:eastAsiaTheme="minorHAnsi"/>
          <w:szCs w:val="26"/>
          <w:lang w:val="en-GB"/>
        </w:rPr>
        <w:t>m</w:t>
      </w:r>
      <w:r w:rsidRPr="00794B83">
        <w:rPr>
          <w:rFonts w:eastAsiaTheme="minorHAnsi"/>
          <w:szCs w:val="26"/>
          <w:lang w:val="en-GB"/>
        </w:rPr>
        <w:t xml:space="preserve">ail envelope containing the </w:t>
      </w:r>
      <w:r>
        <w:rPr>
          <w:rFonts w:eastAsiaTheme="minorHAnsi"/>
          <w:szCs w:val="26"/>
          <w:lang w:val="en-GB"/>
        </w:rPr>
        <w:t xml:space="preserve">Initial Decision and the </w:t>
      </w:r>
      <w:r w:rsidRPr="00794B83">
        <w:rPr>
          <w:rFonts w:eastAsiaTheme="minorHAnsi"/>
          <w:szCs w:val="26"/>
          <w:lang w:val="en-GB"/>
        </w:rPr>
        <w:t>Secretarial Letter</w:t>
      </w:r>
      <w:r>
        <w:rPr>
          <w:rFonts w:eastAsiaTheme="minorHAnsi"/>
          <w:szCs w:val="26"/>
          <w:lang w:val="en-GB"/>
        </w:rPr>
        <w:t xml:space="preserve"> </w:t>
      </w:r>
      <w:r w:rsidRPr="00794B83">
        <w:rPr>
          <w:rFonts w:eastAsiaTheme="minorHAnsi"/>
          <w:szCs w:val="26"/>
          <w:lang w:val="en-GB"/>
        </w:rPr>
        <w:t xml:space="preserve">was returned to the Commission on </w:t>
      </w:r>
      <w:r>
        <w:rPr>
          <w:rFonts w:eastAsiaTheme="minorHAnsi"/>
          <w:szCs w:val="26"/>
          <w:lang w:val="en-GB"/>
        </w:rPr>
        <w:t>August 9, 2019,</w:t>
      </w:r>
      <w:r w:rsidRPr="00794B83">
        <w:rPr>
          <w:rFonts w:eastAsiaTheme="minorHAnsi"/>
          <w:szCs w:val="26"/>
          <w:lang w:val="en-GB"/>
        </w:rPr>
        <w:t xml:space="preserve"> indicating that it was </w:t>
      </w:r>
      <w:r w:rsidR="005A5F3F">
        <w:rPr>
          <w:rFonts w:eastAsiaTheme="minorHAnsi"/>
          <w:szCs w:val="26"/>
          <w:lang w:val="en-GB"/>
        </w:rPr>
        <w:t>“</w:t>
      </w:r>
      <w:r w:rsidRPr="00794B83">
        <w:rPr>
          <w:rFonts w:eastAsiaTheme="minorHAnsi"/>
          <w:szCs w:val="26"/>
          <w:lang w:val="en-GB"/>
        </w:rPr>
        <w:t>unclaimed</w:t>
      </w:r>
      <w:r w:rsidR="005A5F3F">
        <w:rPr>
          <w:rFonts w:eastAsiaTheme="minorHAnsi"/>
          <w:szCs w:val="26"/>
          <w:lang w:val="en-GB"/>
        </w:rPr>
        <w:t>”</w:t>
      </w:r>
      <w:r w:rsidRPr="00794B83">
        <w:rPr>
          <w:rFonts w:eastAsiaTheme="minorHAnsi"/>
          <w:szCs w:val="26"/>
          <w:lang w:val="en-GB"/>
        </w:rPr>
        <w:t xml:space="preserve"> by </w:t>
      </w:r>
      <w:r w:rsidR="003C60FE">
        <w:rPr>
          <w:rFonts w:eastAsiaTheme="minorHAnsi"/>
          <w:szCs w:val="26"/>
          <w:lang w:val="en-GB"/>
        </w:rPr>
        <w:t>Mr. Smiles</w:t>
      </w:r>
      <w:r w:rsidRPr="00794B83">
        <w:rPr>
          <w:rFonts w:eastAsiaTheme="minorHAnsi"/>
          <w:szCs w:val="26"/>
          <w:lang w:val="en-GB"/>
        </w:rPr>
        <w:t xml:space="preserve"> and</w:t>
      </w:r>
      <w:r w:rsidR="005A5F3F">
        <w:rPr>
          <w:rFonts w:eastAsiaTheme="minorHAnsi"/>
          <w:szCs w:val="26"/>
          <w:lang w:val="en-GB"/>
        </w:rPr>
        <w:t xml:space="preserve"> </w:t>
      </w:r>
      <w:r w:rsidR="009B0235">
        <w:rPr>
          <w:rFonts w:eastAsiaTheme="minorHAnsi"/>
          <w:szCs w:val="26"/>
          <w:lang w:val="en-GB"/>
        </w:rPr>
        <w:t xml:space="preserve">that </w:t>
      </w:r>
      <w:r w:rsidR="005A5F3F">
        <w:rPr>
          <w:rFonts w:eastAsiaTheme="minorHAnsi"/>
          <w:szCs w:val="26"/>
          <w:lang w:val="en-GB"/>
        </w:rPr>
        <w:t>the post office was “</w:t>
      </w:r>
      <w:r w:rsidRPr="00794B83">
        <w:rPr>
          <w:rFonts w:eastAsiaTheme="minorHAnsi"/>
          <w:szCs w:val="26"/>
          <w:lang w:val="en-GB"/>
        </w:rPr>
        <w:t>unable to forward.</w:t>
      </w:r>
      <w:r w:rsidR="005A5F3F">
        <w:rPr>
          <w:rFonts w:eastAsiaTheme="minorHAnsi"/>
          <w:szCs w:val="26"/>
          <w:lang w:val="en-GB"/>
        </w:rPr>
        <w:t>”</w:t>
      </w:r>
      <w:r w:rsidRPr="00794B83">
        <w:rPr>
          <w:rFonts w:eastAsiaTheme="minorHAnsi"/>
          <w:szCs w:val="26"/>
          <w:lang w:val="en-GB"/>
        </w:rPr>
        <w:t xml:space="preserve">  </w:t>
      </w:r>
      <w:r w:rsidR="004B1148">
        <w:rPr>
          <w:rFonts w:eastAsiaTheme="minorHAnsi"/>
          <w:szCs w:val="26"/>
          <w:lang w:val="en-GB"/>
        </w:rPr>
        <w:t>However, w</w:t>
      </w:r>
      <w:r>
        <w:rPr>
          <w:rFonts w:eastAsiaTheme="minorHAnsi"/>
          <w:szCs w:val="26"/>
          <w:lang w:val="en-GB"/>
        </w:rPr>
        <w:t xml:space="preserve">hen the certified mail envelope </w:t>
      </w:r>
      <w:r>
        <w:rPr>
          <w:rFonts w:eastAsiaTheme="minorHAnsi"/>
          <w:szCs w:val="26"/>
          <w:lang w:val="en-GB"/>
        </w:rPr>
        <w:lastRenderedPageBreak/>
        <w:t xml:space="preserve">was returned as unclaimed, </w:t>
      </w:r>
      <w:r w:rsidR="005A5F3F">
        <w:rPr>
          <w:rFonts w:eastAsiaTheme="minorHAnsi"/>
          <w:szCs w:val="26"/>
          <w:lang w:val="en-GB"/>
        </w:rPr>
        <w:t>the Secretary’s Bureau</w:t>
      </w:r>
      <w:r>
        <w:rPr>
          <w:rFonts w:eastAsiaTheme="minorHAnsi"/>
          <w:szCs w:val="26"/>
          <w:lang w:val="en-GB"/>
        </w:rPr>
        <w:t xml:space="preserve"> re-served these documents by regular mail</w:t>
      </w:r>
      <w:r w:rsidRPr="0057298A">
        <w:rPr>
          <w:rFonts w:eastAsiaTheme="minorHAnsi"/>
          <w:szCs w:val="26"/>
          <w:lang w:val="en-GB"/>
        </w:rPr>
        <w:t xml:space="preserve"> </w:t>
      </w:r>
      <w:r>
        <w:rPr>
          <w:rFonts w:eastAsiaTheme="minorHAnsi"/>
          <w:szCs w:val="26"/>
          <w:lang w:val="en-GB"/>
        </w:rPr>
        <w:t xml:space="preserve">to </w:t>
      </w:r>
      <w:r w:rsidR="003C60FE">
        <w:rPr>
          <w:rFonts w:eastAsiaTheme="minorHAnsi"/>
          <w:szCs w:val="26"/>
          <w:lang w:val="en-GB"/>
        </w:rPr>
        <w:t>his</w:t>
      </w:r>
      <w:r>
        <w:rPr>
          <w:rFonts w:eastAsiaTheme="minorHAnsi"/>
          <w:szCs w:val="26"/>
          <w:lang w:val="en-GB"/>
        </w:rPr>
        <w:t xml:space="preserve"> </w:t>
      </w:r>
      <w:r w:rsidRPr="00794B83">
        <w:rPr>
          <w:rFonts w:eastAsiaTheme="minorHAnsi"/>
          <w:szCs w:val="26"/>
          <w:lang w:val="en-GB"/>
        </w:rPr>
        <w:t>last known address</w:t>
      </w:r>
      <w:r>
        <w:rPr>
          <w:rFonts w:eastAsiaTheme="minorHAnsi"/>
          <w:szCs w:val="26"/>
          <w:lang w:val="en-GB"/>
        </w:rPr>
        <w:t xml:space="preserve"> (his service address</w:t>
      </w:r>
      <w:r w:rsidR="004B1148">
        <w:rPr>
          <w:rFonts w:eastAsiaTheme="minorHAnsi"/>
          <w:szCs w:val="26"/>
          <w:lang w:val="en-GB"/>
        </w:rPr>
        <w:t xml:space="preserve"> on file in this proceeding</w:t>
      </w:r>
      <w:r>
        <w:rPr>
          <w:rFonts w:eastAsiaTheme="minorHAnsi"/>
          <w:szCs w:val="26"/>
          <w:lang w:val="en-GB"/>
        </w:rPr>
        <w:t xml:space="preserve">). </w:t>
      </w:r>
      <w:r w:rsidRPr="00794B83">
        <w:rPr>
          <w:rFonts w:eastAsiaTheme="minorHAnsi"/>
          <w:szCs w:val="26"/>
          <w:lang w:val="en-GB"/>
        </w:rPr>
        <w:t xml:space="preserve"> </w:t>
      </w:r>
      <w:r>
        <w:rPr>
          <w:rFonts w:eastAsiaTheme="minorHAnsi"/>
          <w:szCs w:val="26"/>
          <w:lang w:val="en-GB"/>
        </w:rPr>
        <w:t>T</w:t>
      </w:r>
      <w:r w:rsidRPr="00794B83">
        <w:rPr>
          <w:rFonts w:eastAsiaTheme="minorHAnsi"/>
          <w:szCs w:val="26"/>
          <w:lang w:val="en-GB"/>
        </w:rPr>
        <w:t xml:space="preserve">here is no indication in the Commission’s file that the second mailing was returned </w:t>
      </w:r>
      <w:r w:rsidR="005A5F3F">
        <w:rPr>
          <w:rFonts w:eastAsiaTheme="minorHAnsi"/>
          <w:szCs w:val="26"/>
          <w:lang w:val="en-GB"/>
        </w:rPr>
        <w:t xml:space="preserve">to the Commission </w:t>
      </w:r>
      <w:r>
        <w:rPr>
          <w:rFonts w:eastAsiaTheme="minorHAnsi"/>
          <w:szCs w:val="26"/>
          <w:lang w:val="en-GB"/>
        </w:rPr>
        <w:t>as undeliverable</w:t>
      </w:r>
      <w:r w:rsidRPr="00794B83">
        <w:rPr>
          <w:rFonts w:eastAsiaTheme="minorHAnsi"/>
          <w:szCs w:val="26"/>
          <w:lang w:val="en-GB"/>
        </w:rPr>
        <w:t xml:space="preserve">.  </w:t>
      </w:r>
      <w:r w:rsidR="009B0235">
        <w:rPr>
          <w:rFonts w:eastAsiaTheme="minorHAnsi"/>
          <w:szCs w:val="26"/>
          <w:lang w:val="en-GB"/>
        </w:rPr>
        <w:t>I</w:t>
      </w:r>
      <w:r w:rsidR="005A5F3F">
        <w:rPr>
          <w:rFonts w:eastAsiaTheme="minorHAnsi"/>
          <w:szCs w:val="26"/>
          <w:lang w:val="en-GB"/>
        </w:rPr>
        <w:t xml:space="preserve">n his </w:t>
      </w:r>
      <w:r w:rsidR="009B0235">
        <w:rPr>
          <w:rFonts w:eastAsiaTheme="minorHAnsi"/>
          <w:szCs w:val="26"/>
          <w:lang w:val="en-GB"/>
        </w:rPr>
        <w:t xml:space="preserve">First </w:t>
      </w:r>
      <w:r w:rsidR="005A5F3F">
        <w:rPr>
          <w:rFonts w:eastAsiaTheme="minorHAnsi"/>
          <w:szCs w:val="26"/>
          <w:lang w:val="en-GB"/>
        </w:rPr>
        <w:t xml:space="preserve">Petition, other than </w:t>
      </w:r>
      <w:r w:rsidR="004B1148">
        <w:rPr>
          <w:rFonts w:eastAsiaTheme="minorHAnsi"/>
          <w:szCs w:val="26"/>
          <w:lang w:val="en-GB"/>
        </w:rPr>
        <w:t xml:space="preserve">making </w:t>
      </w:r>
      <w:r w:rsidR="005A5F3F">
        <w:rPr>
          <w:rFonts w:eastAsiaTheme="minorHAnsi"/>
          <w:szCs w:val="26"/>
          <w:lang w:val="en-GB"/>
        </w:rPr>
        <w:t xml:space="preserve">his bald assertion </w:t>
      </w:r>
      <w:r w:rsidR="009B0235">
        <w:rPr>
          <w:rFonts w:eastAsiaTheme="minorHAnsi"/>
          <w:szCs w:val="26"/>
          <w:lang w:val="en-GB"/>
        </w:rPr>
        <w:t>that</w:t>
      </w:r>
      <w:r w:rsidR="005A5F3F">
        <w:rPr>
          <w:rFonts w:eastAsiaTheme="minorHAnsi"/>
          <w:szCs w:val="26"/>
          <w:lang w:val="en-GB"/>
        </w:rPr>
        <w:t xml:space="preserve"> he did not receive the Initial Decision,</w:t>
      </w:r>
      <w:r w:rsidR="00F66F97">
        <w:rPr>
          <w:rFonts w:eastAsiaTheme="minorHAnsi"/>
          <w:szCs w:val="26"/>
          <w:lang w:val="en-GB"/>
        </w:rPr>
        <w:t xml:space="preserve"> which does not constitute evidence,</w:t>
      </w:r>
      <w:r w:rsidR="00F66F97">
        <w:rPr>
          <w:rStyle w:val="FootnoteReference"/>
          <w:rFonts w:eastAsiaTheme="minorHAnsi"/>
          <w:szCs w:val="26"/>
          <w:lang w:val="en-GB"/>
        </w:rPr>
        <w:footnoteReference w:id="13"/>
      </w:r>
      <w:r w:rsidR="005A5F3F">
        <w:rPr>
          <w:rFonts w:eastAsiaTheme="minorHAnsi"/>
          <w:szCs w:val="26"/>
          <w:lang w:val="en-GB"/>
        </w:rPr>
        <w:t xml:space="preserve"> </w:t>
      </w:r>
      <w:r w:rsidR="003258D0">
        <w:rPr>
          <w:rFonts w:eastAsiaTheme="minorHAnsi"/>
          <w:szCs w:val="26"/>
          <w:lang w:val="en-GB"/>
        </w:rPr>
        <w:t>he</w:t>
      </w:r>
      <w:r w:rsidR="000F7A63" w:rsidRPr="00794B83">
        <w:rPr>
          <w:rFonts w:eastAsiaTheme="minorHAnsi"/>
          <w:szCs w:val="26"/>
        </w:rPr>
        <w:t xml:space="preserve"> provided no </w:t>
      </w:r>
      <w:r w:rsidR="00F66F97">
        <w:rPr>
          <w:rFonts w:eastAsiaTheme="minorHAnsi"/>
          <w:szCs w:val="26"/>
        </w:rPr>
        <w:t xml:space="preserve">credible </w:t>
      </w:r>
      <w:r w:rsidR="000F7A63" w:rsidRPr="00794B83">
        <w:rPr>
          <w:rFonts w:eastAsiaTheme="minorHAnsi"/>
          <w:szCs w:val="26"/>
        </w:rPr>
        <w:t xml:space="preserve">evidence </w:t>
      </w:r>
      <w:r>
        <w:rPr>
          <w:rFonts w:eastAsiaTheme="minorHAnsi"/>
          <w:szCs w:val="26"/>
        </w:rPr>
        <w:t xml:space="preserve">to show </w:t>
      </w:r>
      <w:r w:rsidR="000F7A63" w:rsidRPr="00794B83">
        <w:rPr>
          <w:rFonts w:eastAsiaTheme="minorHAnsi"/>
          <w:szCs w:val="26"/>
        </w:rPr>
        <w:t xml:space="preserve">that he did not receive </w:t>
      </w:r>
      <w:r w:rsidR="005A5F3F">
        <w:rPr>
          <w:rFonts w:eastAsiaTheme="minorHAnsi"/>
          <w:szCs w:val="26"/>
        </w:rPr>
        <w:t xml:space="preserve">service </w:t>
      </w:r>
      <w:r w:rsidR="000F7A63" w:rsidRPr="00794B83">
        <w:rPr>
          <w:rFonts w:eastAsiaTheme="minorHAnsi"/>
          <w:szCs w:val="26"/>
        </w:rPr>
        <w:t xml:space="preserve">by regular mail.  </w:t>
      </w:r>
      <w:r>
        <w:rPr>
          <w:rFonts w:eastAsiaTheme="minorHAnsi"/>
          <w:szCs w:val="26"/>
        </w:rPr>
        <w:t>Accordingly,</w:t>
      </w:r>
      <w:r>
        <w:rPr>
          <w:rFonts w:eastAsiaTheme="minorHAnsi"/>
          <w:szCs w:val="26"/>
          <w:lang w:val="en-GB"/>
        </w:rPr>
        <w:t xml:space="preserve"> he </w:t>
      </w:r>
      <w:r w:rsidRPr="00794B83">
        <w:rPr>
          <w:rFonts w:eastAsiaTheme="minorHAnsi"/>
          <w:szCs w:val="26"/>
          <w:lang w:val="en-GB"/>
        </w:rPr>
        <w:t xml:space="preserve">is </w:t>
      </w:r>
      <w:r>
        <w:rPr>
          <w:rFonts w:eastAsiaTheme="minorHAnsi"/>
          <w:szCs w:val="26"/>
          <w:lang w:val="en-GB"/>
        </w:rPr>
        <w:t xml:space="preserve">presumed to have </w:t>
      </w:r>
      <w:r w:rsidRPr="00794B83">
        <w:rPr>
          <w:rFonts w:eastAsiaTheme="minorHAnsi"/>
          <w:szCs w:val="26"/>
          <w:lang w:val="en-GB"/>
        </w:rPr>
        <w:t>received the re-served</w:t>
      </w:r>
      <w:r>
        <w:rPr>
          <w:rFonts w:eastAsiaTheme="minorHAnsi"/>
          <w:szCs w:val="26"/>
          <w:lang w:val="en-GB"/>
        </w:rPr>
        <w:t xml:space="preserve"> Initial Decision and Secretarial Letter </w:t>
      </w:r>
      <w:r w:rsidRPr="00794B83">
        <w:rPr>
          <w:rFonts w:eastAsiaTheme="minorHAnsi"/>
          <w:szCs w:val="26"/>
          <w:lang w:val="en-GB"/>
        </w:rPr>
        <w:t xml:space="preserve">by regular mail. </w:t>
      </w:r>
      <w:r>
        <w:rPr>
          <w:rFonts w:eastAsiaTheme="minorHAnsi"/>
          <w:szCs w:val="26"/>
          <w:lang w:val="en-GB"/>
        </w:rPr>
        <w:t xml:space="preserve"> </w:t>
      </w:r>
      <w:r w:rsidR="009B0235">
        <w:rPr>
          <w:rFonts w:eastAsiaTheme="minorHAnsi"/>
          <w:szCs w:val="26"/>
        </w:rPr>
        <w:t xml:space="preserve">Therefore, we reject </w:t>
      </w:r>
      <w:r w:rsidR="003258D0">
        <w:rPr>
          <w:rFonts w:eastAsiaTheme="minorHAnsi"/>
          <w:szCs w:val="26"/>
        </w:rPr>
        <w:t>Mr. Smiles’</w:t>
      </w:r>
      <w:r w:rsidR="002500D1">
        <w:rPr>
          <w:rFonts w:eastAsiaTheme="minorHAnsi"/>
          <w:szCs w:val="26"/>
        </w:rPr>
        <w:t xml:space="preserve"> </w:t>
      </w:r>
      <w:r w:rsidR="009B0235">
        <w:rPr>
          <w:rFonts w:eastAsiaTheme="minorHAnsi"/>
          <w:szCs w:val="26"/>
        </w:rPr>
        <w:t xml:space="preserve">claim that he did not receive service of the Initial Decision.  </w:t>
      </w:r>
    </w:p>
    <w:p w14:paraId="6E228499" w14:textId="5CAD9FA4" w:rsidR="009B0235" w:rsidRDefault="009B0235" w:rsidP="0057298A">
      <w:pPr>
        <w:widowControl/>
        <w:spacing w:line="360" w:lineRule="auto"/>
        <w:ind w:firstLine="1440"/>
        <w:rPr>
          <w:rFonts w:eastAsiaTheme="minorHAnsi"/>
          <w:szCs w:val="26"/>
        </w:rPr>
      </w:pPr>
    </w:p>
    <w:p w14:paraId="4EFF2020" w14:textId="58BA6DD7" w:rsidR="00617825" w:rsidRDefault="008931F8" w:rsidP="00617825">
      <w:pPr>
        <w:widowControl/>
        <w:spacing w:line="360" w:lineRule="auto"/>
        <w:ind w:firstLine="1440"/>
        <w:rPr>
          <w:color w:val="000000"/>
          <w:szCs w:val="26"/>
        </w:rPr>
      </w:pPr>
      <w:r>
        <w:rPr>
          <w:rFonts w:eastAsiaTheme="minorHAnsi"/>
          <w:szCs w:val="26"/>
        </w:rPr>
        <w:t xml:space="preserve">Based on the foregoing, we find that </w:t>
      </w:r>
      <w:r w:rsidR="003258D0">
        <w:rPr>
          <w:rFonts w:eastAsiaTheme="minorHAnsi"/>
          <w:szCs w:val="26"/>
        </w:rPr>
        <w:t>Mr. Smiles</w:t>
      </w:r>
      <w:r w:rsidR="005836B1">
        <w:rPr>
          <w:rFonts w:eastAsiaTheme="minorHAnsi"/>
          <w:szCs w:val="26"/>
        </w:rPr>
        <w:t xml:space="preserve"> was provided a full and fair opportunity to file Exceptions to the Initial Decision</w:t>
      </w:r>
      <w:r>
        <w:rPr>
          <w:rFonts w:eastAsiaTheme="minorHAnsi"/>
          <w:szCs w:val="26"/>
        </w:rPr>
        <w:t xml:space="preserve">.  However, </w:t>
      </w:r>
      <w:r w:rsidR="003258D0">
        <w:rPr>
          <w:rFonts w:eastAsiaTheme="minorHAnsi"/>
          <w:szCs w:val="26"/>
        </w:rPr>
        <w:t>he</w:t>
      </w:r>
      <w:r w:rsidR="005836B1">
        <w:rPr>
          <w:rFonts w:eastAsiaTheme="minorHAnsi"/>
          <w:szCs w:val="26"/>
        </w:rPr>
        <w:t xml:space="preserve"> failed to</w:t>
      </w:r>
      <w:r>
        <w:rPr>
          <w:rFonts w:eastAsiaTheme="minorHAnsi"/>
          <w:szCs w:val="26"/>
        </w:rPr>
        <w:t xml:space="preserve"> file Exceptions in this proceeding.</w:t>
      </w:r>
      <w:r w:rsidR="005836B1">
        <w:rPr>
          <w:rFonts w:eastAsiaTheme="minorHAnsi"/>
          <w:szCs w:val="26"/>
        </w:rPr>
        <w:t xml:space="preserve">  Other than </w:t>
      </w:r>
      <w:r>
        <w:rPr>
          <w:rFonts w:eastAsiaTheme="minorHAnsi"/>
          <w:szCs w:val="26"/>
        </w:rPr>
        <w:t>relying on his rejected claim that he did not receive the</w:t>
      </w:r>
      <w:r w:rsidR="005836B1">
        <w:rPr>
          <w:rFonts w:eastAsiaTheme="minorHAnsi"/>
          <w:szCs w:val="26"/>
        </w:rPr>
        <w:t xml:space="preserve"> Initial Decision</w:t>
      </w:r>
      <w:r>
        <w:rPr>
          <w:rFonts w:eastAsiaTheme="minorHAnsi"/>
          <w:szCs w:val="26"/>
        </w:rPr>
        <w:t xml:space="preserve">, </w:t>
      </w:r>
      <w:r w:rsidR="003258D0">
        <w:rPr>
          <w:rFonts w:eastAsiaTheme="minorHAnsi"/>
          <w:szCs w:val="26"/>
        </w:rPr>
        <w:t>Mr. Smiles</w:t>
      </w:r>
      <w:r w:rsidR="009B0235">
        <w:rPr>
          <w:rFonts w:eastAsiaTheme="minorHAnsi"/>
          <w:szCs w:val="26"/>
        </w:rPr>
        <w:t xml:space="preserve"> </w:t>
      </w:r>
      <w:r>
        <w:rPr>
          <w:rFonts w:eastAsiaTheme="minorHAnsi"/>
          <w:szCs w:val="26"/>
        </w:rPr>
        <w:t>provides</w:t>
      </w:r>
      <w:r w:rsidR="009B0235">
        <w:rPr>
          <w:rFonts w:eastAsiaTheme="minorHAnsi"/>
          <w:szCs w:val="26"/>
        </w:rPr>
        <w:t xml:space="preserve"> no other reason</w:t>
      </w:r>
      <w:r w:rsidR="005836B1">
        <w:rPr>
          <w:rFonts w:eastAsiaTheme="minorHAnsi"/>
          <w:szCs w:val="26"/>
        </w:rPr>
        <w:t xml:space="preserve"> </w:t>
      </w:r>
      <w:r w:rsidR="009B0235">
        <w:rPr>
          <w:rFonts w:eastAsiaTheme="minorHAnsi"/>
          <w:szCs w:val="26"/>
        </w:rPr>
        <w:t xml:space="preserve">to explain </w:t>
      </w:r>
      <w:r>
        <w:rPr>
          <w:rFonts w:eastAsiaTheme="minorHAnsi"/>
          <w:szCs w:val="26"/>
        </w:rPr>
        <w:t>why he did not</w:t>
      </w:r>
      <w:r w:rsidR="009B0235">
        <w:rPr>
          <w:rFonts w:eastAsiaTheme="minorHAnsi"/>
          <w:szCs w:val="26"/>
        </w:rPr>
        <w:t xml:space="preserve"> file Exceptions.  </w:t>
      </w:r>
      <w:r w:rsidR="005836B1">
        <w:rPr>
          <w:rFonts w:eastAsiaTheme="minorHAnsi"/>
          <w:szCs w:val="26"/>
        </w:rPr>
        <w:t xml:space="preserve">In his First Petition, </w:t>
      </w:r>
      <w:r w:rsidR="003258D0">
        <w:rPr>
          <w:rFonts w:eastAsiaTheme="minorHAnsi"/>
          <w:szCs w:val="26"/>
        </w:rPr>
        <w:t>he</w:t>
      </w:r>
      <w:r w:rsidR="005836B1" w:rsidRPr="000F7A63">
        <w:rPr>
          <w:rFonts w:eastAsiaTheme="minorHAnsi"/>
          <w:szCs w:val="26"/>
          <w:lang w:val="en-GB"/>
        </w:rPr>
        <w:t xml:space="preserve"> </w:t>
      </w:r>
      <w:r w:rsidR="005836B1">
        <w:rPr>
          <w:rFonts w:eastAsiaTheme="minorHAnsi"/>
          <w:szCs w:val="26"/>
          <w:lang w:val="en-GB"/>
        </w:rPr>
        <w:t xml:space="preserve">additionally </w:t>
      </w:r>
      <w:r w:rsidR="005836B1" w:rsidRPr="000F7A63">
        <w:rPr>
          <w:rFonts w:eastAsiaTheme="minorHAnsi"/>
          <w:szCs w:val="26"/>
          <w:lang w:val="en-GB"/>
        </w:rPr>
        <w:t>claims he “was forced to participate in [the] hearing while in a debilitated condition” because he was suffering from a migraine headache</w:t>
      </w:r>
      <w:r w:rsidR="005836B1">
        <w:rPr>
          <w:rFonts w:eastAsiaTheme="minorHAnsi"/>
          <w:szCs w:val="26"/>
          <w:lang w:val="en-GB"/>
        </w:rPr>
        <w:t xml:space="preserve"> and that he never received answers from PPL to his propounded interrogatories.</w:t>
      </w:r>
      <w:r w:rsidR="007E5E81">
        <w:rPr>
          <w:rFonts w:eastAsiaTheme="minorHAnsi"/>
          <w:szCs w:val="26"/>
          <w:lang w:val="en-GB"/>
        </w:rPr>
        <w:t xml:space="preserve"> </w:t>
      </w:r>
      <w:r w:rsidR="005836B1">
        <w:rPr>
          <w:rFonts w:eastAsiaTheme="minorHAnsi"/>
          <w:szCs w:val="26"/>
          <w:lang w:val="en-GB"/>
        </w:rPr>
        <w:t xml:space="preserve"> </w:t>
      </w:r>
      <w:r w:rsidR="007339C7">
        <w:rPr>
          <w:rFonts w:eastAsiaTheme="minorHAnsi"/>
          <w:szCs w:val="26"/>
          <w:lang w:val="en-GB"/>
        </w:rPr>
        <w:t xml:space="preserve">First Petition at 3. </w:t>
      </w:r>
      <w:r w:rsidR="005836B1">
        <w:rPr>
          <w:rFonts w:eastAsiaTheme="minorHAnsi"/>
          <w:szCs w:val="26"/>
          <w:lang w:val="en-GB"/>
        </w:rPr>
        <w:t xml:space="preserve"> </w:t>
      </w:r>
      <w:r>
        <w:rPr>
          <w:rFonts w:eastAsiaTheme="minorHAnsi"/>
          <w:szCs w:val="26"/>
          <w:lang w:val="en-GB"/>
        </w:rPr>
        <w:t xml:space="preserve">However, </w:t>
      </w:r>
      <w:r w:rsidR="002500D1">
        <w:rPr>
          <w:rFonts w:eastAsiaTheme="minorHAnsi"/>
          <w:szCs w:val="26"/>
          <w:lang w:val="en-GB"/>
        </w:rPr>
        <w:t>because</w:t>
      </w:r>
      <w:r w:rsidR="002500D1">
        <w:rPr>
          <w:rFonts w:eastAsiaTheme="minorHAnsi"/>
          <w:szCs w:val="26"/>
        </w:rPr>
        <w:t xml:space="preserve"> </w:t>
      </w:r>
      <w:r w:rsidR="003258D0">
        <w:rPr>
          <w:rFonts w:eastAsiaTheme="minorHAnsi"/>
          <w:szCs w:val="26"/>
        </w:rPr>
        <w:t>Mr. Smiles</w:t>
      </w:r>
      <w:r w:rsidR="00B93A29">
        <w:rPr>
          <w:rFonts w:eastAsiaTheme="minorHAnsi"/>
          <w:szCs w:val="26"/>
        </w:rPr>
        <w:t xml:space="preserve"> did not file Exceptions, he failed to raise </w:t>
      </w:r>
      <w:r w:rsidR="005836B1">
        <w:rPr>
          <w:rFonts w:eastAsiaTheme="minorHAnsi"/>
          <w:szCs w:val="26"/>
        </w:rPr>
        <w:t xml:space="preserve">these </w:t>
      </w:r>
      <w:r w:rsidR="00B93A29">
        <w:rPr>
          <w:rFonts w:eastAsiaTheme="minorHAnsi"/>
          <w:szCs w:val="26"/>
        </w:rPr>
        <w:t>arguments</w:t>
      </w:r>
      <w:r w:rsidR="005836B1">
        <w:rPr>
          <w:rFonts w:eastAsiaTheme="minorHAnsi"/>
          <w:szCs w:val="26"/>
        </w:rPr>
        <w:t xml:space="preserve"> at the appropriate stage of the proceeding</w:t>
      </w:r>
      <w:r w:rsidR="00617825">
        <w:rPr>
          <w:rFonts w:eastAsiaTheme="minorHAnsi"/>
          <w:szCs w:val="26"/>
        </w:rPr>
        <w:t>.  Accordingly, we have the discretion</w:t>
      </w:r>
      <w:r w:rsidR="00D51266">
        <w:rPr>
          <w:rFonts w:eastAsiaTheme="minorHAnsi"/>
          <w:szCs w:val="26"/>
        </w:rPr>
        <w:t>, as PPL argues,</w:t>
      </w:r>
      <w:r w:rsidR="00617825">
        <w:rPr>
          <w:rFonts w:eastAsiaTheme="minorHAnsi"/>
          <w:szCs w:val="26"/>
        </w:rPr>
        <w:t xml:space="preserve"> to find that </w:t>
      </w:r>
      <w:r w:rsidR="003258D0">
        <w:rPr>
          <w:rFonts w:eastAsiaTheme="minorHAnsi"/>
          <w:szCs w:val="26"/>
        </w:rPr>
        <w:t>he</w:t>
      </w:r>
      <w:r w:rsidR="002500D1">
        <w:rPr>
          <w:rFonts w:eastAsiaTheme="minorHAnsi"/>
          <w:szCs w:val="26"/>
        </w:rPr>
        <w:t xml:space="preserve"> </w:t>
      </w:r>
      <w:r w:rsidR="00B93A29">
        <w:rPr>
          <w:rFonts w:eastAsiaTheme="minorHAnsi"/>
          <w:szCs w:val="26"/>
        </w:rPr>
        <w:t>waived the</w:t>
      </w:r>
      <w:r w:rsidR="00617825">
        <w:rPr>
          <w:rFonts w:eastAsiaTheme="minorHAnsi"/>
          <w:szCs w:val="26"/>
        </w:rPr>
        <w:t>se arguments</w:t>
      </w:r>
      <w:r w:rsidR="00B93A29">
        <w:rPr>
          <w:rFonts w:eastAsiaTheme="minorHAnsi"/>
          <w:szCs w:val="26"/>
        </w:rPr>
        <w:t>.</w:t>
      </w:r>
      <w:r w:rsidR="007339C7">
        <w:rPr>
          <w:rFonts w:eastAsiaTheme="minorHAnsi"/>
          <w:szCs w:val="26"/>
        </w:rPr>
        <w:t xml:space="preserve"> </w:t>
      </w:r>
      <w:r w:rsidR="00B93A29">
        <w:rPr>
          <w:rFonts w:eastAsiaTheme="minorHAnsi"/>
          <w:szCs w:val="26"/>
        </w:rPr>
        <w:t xml:space="preserve"> </w:t>
      </w:r>
      <w:r w:rsidR="00B93A29" w:rsidRPr="00B93A29">
        <w:rPr>
          <w:rFonts w:eastAsiaTheme="minorHAnsi"/>
          <w:i/>
          <w:iCs/>
          <w:szCs w:val="26"/>
        </w:rPr>
        <w:t xml:space="preserve">See </w:t>
      </w:r>
      <w:r w:rsidR="00B93A29" w:rsidRPr="0050077F">
        <w:rPr>
          <w:i/>
          <w:iCs/>
          <w:color w:val="000000"/>
          <w:szCs w:val="26"/>
        </w:rPr>
        <w:t>Merritt</w:t>
      </w:r>
      <w:r w:rsidR="0050077F" w:rsidRPr="0050077F">
        <w:rPr>
          <w:i/>
          <w:iCs/>
          <w:color w:val="000000"/>
          <w:szCs w:val="26"/>
        </w:rPr>
        <w:t>, supra</w:t>
      </w:r>
      <w:r w:rsidR="0050077F">
        <w:rPr>
          <w:i/>
          <w:iCs/>
          <w:color w:val="000000"/>
          <w:szCs w:val="26"/>
        </w:rPr>
        <w:t>,</w:t>
      </w:r>
      <w:r w:rsidR="00B93A29" w:rsidRPr="000F7A63">
        <w:rPr>
          <w:i/>
          <w:iCs/>
          <w:color w:val="000000"/>
          <w:szCs w:val="26"/>
        </w:rPr>
        <w:t xml:space="preserve"> </w:t>
      </w:r>
      <w:r w:rsidR="00B93A29" w:rsidRPr="000F7A63">
        <w:rPr>
          <w:color w:val="000000"/>
          <w:szCs w:val="26"/>
        </w:rPr>
        <w:t xml:space="preserve">at *9-10.  </w:t>
      </w:r>
      <w:r w:rsidR="007339C7">
        <w:rPr>
          <w:color w:val="000000"/>
          <w:szCs w:val="26"/>
        </w:rPr>
        <w:t>Nevertheless</w:t>
      </w:r>
      <w:r w:rsidR="00617825">
        <w:rPr>
          <w:color w:val="000000"/>
          <w:szCs w:val="26"/>
        </w:rPr>
        <w:t xml:space="preserve">, because </w:t>
      </w:r>
      <w:r w:rsidR="003258D0">
        <w:rPr>
          <w:color w:val="000000"/>
          <w:szCs w:val="26"/>
        </w:rPr>
        <w:t>Mr. Smiles</w:t>
      </w:r>
      <w:r w:rsidR="00617825">
        <w:rPr>
          <w:color w:val="000000"/>
          <w:szCs w:val="26"/>
        </w:rPr>
        <w:t xml:space="preserve"> is </w:t>
      </w:r>
      <w:r w:rsidR="00617825" w:rsidRPr="00617825">
        <w:rPr>
          <w:i/>
          <w:iCs/>
          <w:color w:val="000000"/>
          <w:szCs w:val="26"/>
        </w:rPr>
        <w:t>pro se</w:t>
      </w:r>
      <w:r w:rsidR="00617825">
        <w:rPr>
          <w:color w:val="000000"/>
          <w:szCs w:val="26"/>
        </w:rPr>
        <w:t xml:space="preserve">, we will provide further explanation as to why we reject </w:t>
      </w:r>
      <w:r>
        <w:rPr>
          <w:color w:val="000000"/>
          <w:szCs w:val="26"/>
        </w:rPr>
        <w:t>his</w:t>
      </w:r>
      <w:r w:rsidR="00617825">
        <w:rPr>
          <w:color w:val="000000"/>
          <w:szCs w:val="26"/>
        </w:rPr>
        <w:t xml:space="preserve"> claim</w:t>
      </w:r>
      <w:r>
        <w:rPr>
          <w:color w:val="000000"/>
          <w:szCs w:val="26"/>
        </w:rPr>
        <w:t xml:space="preserve"> regarding his hearing</w:t>
      </w:r>
      <w:r w:rsidR="00617825">
        <w:rPr>
          <w:color w:val="000000"/>
          <w:szCs w:val="26"/>
        </w:rPr>
        <w:t xml:space="preserve"> on </w:t>
      </w:r>
      <w:r>
        <w:rPr>
          <w:color w:val="000000"/>
          <w:szCs w:val="26"/>
        </w:rPr>
        <w:t>the</w:t>
      </w:r>
      <w:r w:rsidR="00617825">
        <w:rPr>
          <w:color w:val="000000"/>
          <w:szCs w:val="26"/>
        </w:rPr>
        <w:t xml:space="preserve"> merits.</w:t>
      </w:r>
    </w:p>
    <w:p w14:paraId="267ABAB0" w14:textId="4D58BE97" w:rsidR="00617825" w:rsidRDefault="00617825" w:rsidP="00617825">
      <w:pPr>
        <w:widowControl/>
        <w:spacing w:line="360" w:lineRule="auto"/>
        <w:ind w:firstLine="1440"/>
        <w:rPr>
          <w:color w:val="000000"/>
          <w:szCs w:val="26"/>
        </w:rPr>
      </w:pPr>
    </w:p>
    <w:p w14:paraId="6EC5EFCD" w14:textId="09B455E9" w:rsidR="00B17DAC" w:rsidRDefault="008931F8" w:rsidP="00617825">
      <w:pPr>
        <w:widowControl/>
        <w:spacing w:line="360" w:lineRule="auto"/>
        <w:ind w:firstLine="1440"/>
        <w:rPr>
          <w:color w:val="000000"/>
          <w:szCs w:val="26"/>
        </w:rPr>
      </w:pPr>
      <w:r>
        <w:rPr>
          <w:color w:val="000000"/>
          <w:szCs w:val="26"/>
        </w:rPr>
        <w:t>Upon review of the transcript</w:t>
      </w:r>
      <w:r w:rsidR="00AE44CA">
        <w:rPr>
          <w:color w:val="000000"/>
          <w:szCs w:val="26"/>
        </w:rPr>
        <w:t xml:space="preserve">, we note that </w:t>
      </w:r>
      <w:r w:rsidR="003258D0">
        <w:rPr>
          <w:color w:val="000000"/>
          <w:szCs w:val="26"/>
        </w:rPr>
        <w:t>Mr. Smiles</w:t>
      </w:r>
      <w:r>
        <w:rPr>
          <w:color w:val="000000"/>
          <w:szCs w:val="26"/>
        </w:rPr>
        <w:t xml:space="preserve"> </w:t>
      </w:r>
      <w:r w:rsidR="00AE44CA">
        <w:rPr>
          <w:color w:val="000000"/>
          <w:szCs w:val="26"/>
        </w:rPr>
        <w:t xml:space="preserve">began his request </w:t>
      </w:r>
      <w:r w:rsidR="00B17DAC">
        <w:rPr>
          <w:color w:val="000000"/>
          <w:szCs w:val="26"/>
        </w:rPr>
        <w:t xml:space="preserve">for continuance by </w:t>
      </w:r>
      <w:r w:rsidR="00AE44CA">
        <w:rPr>
          <w:color w:val="000000"/>
          <w:szCs w:val="26"/>
        </w:rPr>
        <w:t xml:space="preserve">stating he was disadvantaged because he was not represented by </w:t>
      </w:r>
      <w:r w:rsidR="00AE44CA">
        <w:rPr>
          <w:color w:val="000000"/>
          <w:szCs w:val="26"/>
        </w:rPr>
        <w:lastRenderedPageBreak/>
        <w:t xml:space="preserve">counsel.  Tr. at 9.  Specifically, he stated: “I would be testifying without the assistance of counsel, and I’m really not – if I could request a continuance of this hearing, I would, because I am at a disadvantage.”  Tr. at 9.  However, individuals have the right to represent themselves before the Commission.  52 Pa. Code § 1.21(a).  </w:t>
      </w:r>
      <w:r w:rsidR="003258D0">
        <w:rPr>
          <w:color w:val="000000"/>
          <w:szCs w:val="26"/>
        </w:rPr>
        <w:t>Mr</w:t>
      </w:r>
      <w:r w:rsidR="006B5B9B">
        <w:rPr>
          <w:color w:val="000000"/>
          <w:szCs w:val="26"/>
        </w:rPr>
        <w:t>.</w:t>
      </w:r>
      <w:r w:rsidR="003258D0">
        <w:rPr>
          <w:color w:val="000000"/>
          <w:szCs w:val="26"/>
        </w:rPr>
        <w:t xml:space="preserve"> Smiles</w:t>
      </w:r>
      <w:r w:rsidR="007E05B4">
        <w:rPr>
          <w:color w:val="000000"/>
          <w:szCs w:val="26"/>
        </w:rPr>
        <w:t xml:space="preserve"> continued by claiming </w:t>
      </w:r>
      <w:r w:rsidR="00AE44CA">
        <w:rPr>
          <w:color w:val="000000"/>
          <w:szCs w:val="26"/>
        </w:rPr>
        <w:t xml:space="preserve">he was </w:t>
      </w:r>
      <w:r w:rsidR="007E05B4">
        <w:rPr>
          <w:color w:val="000000"/>
          <w:szCs w:val="26"/>
        </w:rPr>
        <w:t>then-</w:t>
      </w:r>
      <w:r w:rsidR="00AE44CA">
        <w:rPr>
          <w:color w:val="000000"/>
          <w:szCs w:val="26"/>
        </w:rPr>
        <w:t xml:space="preserve">experiencing a “very severe headache” and admitted to not having taken his medication for it.  Tr. at 9.  </w:t>
      </w:r>
      <w:r w:rsidR="00541F8B">
        <w:rPr>
          <w:color w:val="000000"/>
          <w:szCs w:val="26"/>
        </w:rPr>
        <w:t>H</w:t>
      </w:r>
      <w:r w:rsidR="00AE44CA">
        <w:rPr>
          <w:color w:val="000000"/>
          <w:szCs w:val="26"/>
        </w:rPr>
        <w:t>e stated:  “[I]f you want to continue, I’ll try, but you know, I could tell you right off, I’m probably not going to do a very good job.”  Tr. at 9.  PPL objected to a hearing continuance, noting that</w:t>
      </w:r>
      <w:r w:rsidR="00E61BE2">
        <w:rPr>
          <w:color w:val="000000"/>
          <w:szCs w:val="26"/>
        </w:rPr>
        <w:t>:</w:t>
      </w:r>
      <w:r w:rsidR="00AE44CA">
        <w:rPr>
          <w:color w:val="000000"/>
          <w:szCs w:val="26"/>
        </w:rPr>
        <w:t xml:space="preserve"> </w:t>
      </w:r>
      <w:r w:rsidR="00541F8B">
        <w:rPr>
          <w:color w:val="000000"/>
          <w:szCs w:val="26"/>
        </w:rPr>
        <w:t>(</w:t>
      </w:r>
      <w:r w:rsidR="00AE44CA">
        <w:rPr>
          <w:color w:val="000000"/>
          <w:szCs w:val="26"/>
        </w:rPr>
        <w:t>1) a hearing continuance must be submitted in writing at least five days in advance of the hearing</w:t>
      </w:r>
      <w:r w:rsidR="00063A20">
        <w:rPr>
          <w:color w:val="000000"/>
          <w:szCs w:val="26"/>
        </w:rPr>
        <w:t xml:space="preserve"> per the ALJ’s Prehearing Order</w:t>
      </w:r>
      <w:r w:rsidR="007E5E81">
        <w:rPr>
          <w:color w:val="000000"/>
          <w:szCs w:val="26"/>
        </w:rPr>
        <w:t>;</w:t>
      </w:r>
      <w:r w:rsidR="00AE44CA">
        <w:rPr>
          <w:color w:val="000000"/>
          <w:szCs w:val="26"/>
        </w:rPr>
        <w:t xml:space="preserve"> </w:t>
      </w:r>
      <w:r w:rsidR="00541F8B">
        <w:rPr>
          <w:color w:val="000000"/>
          <w:szCs w:val="26"/>
        </w:rPr>
        <w:t>(</w:t>
      </w:r>
      <w:r w:rsidR="00AE44CA">
        <w:rPr>
          <w:color w:val="000000"/>
          <w:szCs w:val="26"/>
        </w:rPr>
        <w:t xml:space="preserve">2) the Complaint had been active for some time, providing several months for all </w:t>
      </w:r>
      <w:r w:rsidR="005726CE">
        <w:rPr>
          <w:color w:val="000000"/>
          <w:szCs w:val="26"/>
        </w:rPr>
        <w:t xml:space="preserve">the </w:t>
      </w:r>
      <w:r w:rsidR="00AE44CA">
        <w:rPr>
          <w:color w:val="000000"/>
          <w:szCs w:val="26"/>
        </w:rPr>
        <w:t xml:space="preserve">Parties to prepare for the evidentiary hearing; and </w:t>
      </w:r>
      <w:r w:rsidR="00541F8B">
        <w:rPr>
          <w:color w:val="000000"/>
          <w:szCs w:val="26"/>
        </w:rPr>
        <w:t>(</w:t>
      </w:r>
      <w:r w:rsidR="00AE44CA">
        <w:rPr>
          <w:color w:val="000000"/>
          <w:szCs w:val="26"/>
        </w:rPr>
        <w:t xml:space="preserve">3) the Company had served all of its written testimony and exhibits in </w:t>
      </w:r>
      <w:r w:rsidR="00063A20">
        <w:rPr>
          <w:color w:val="000000"/>
          <w:szCs w:val="26"/>
        </w:rPr>
        <w:t xml:space="preserve">advance to </w:t>
      </w:r>
      <w:r w:rsidR="003258D0">
        <w:rPr>
          <w:color w:val="000000"/>
          <w:szCs w:val="26"/>
        </w:rPr>
        <w:t xml:space="preserve">Mr. Smiles </w:t>
      </w:r>
      <w:r w:rsidR="00063A20">
        <w:rPr>
          <w:color w:val="000000"/>
          <w:szCs w:val="26"/>
        </w:rPr>
        <w:t xml:space="preserve">providing </w:t>
      </w:r>
      <w:r w:rsidR="003258D0">
        <w:rPr>
          <w:color w:val="000000"/>
          <w:szCs w:val="26"/>
        </w:rPr>
        <w:t>him with</w:t>
      </w:r>
      <w:r w:rsidR="00063A20">
        <w:rPr>
          <w:color w:val="000000"/>
          <w:szCs w:val="26"/>
        </w:rPr>
        <w:t xml:space="preserve"> sufficient time to prepare questions for PPL’s witnesses during cross-examination.  Tr. at 9-10.  </w:t>
      </w:r>
      <w:r w:rsidR="00B17DAC">
        <w:rPr>
          <w:color w:val="000000"/>
          <w:szCs w:val="26"/>
        </w:rPr>
        <w:t xml:space="preserve">After listening to both Parties, </w:t>
      </w:r>
      <w:r w:rsidR="00063A20">
        <w:rPr>
          <w:color w:val="000000"/>
          <w:szCs w:val="26"/>
        </w:rPr>
        <w:t xml:space="preserve">ALJ Barnes stated </w:t>
      </w:r>
      <w:r w:rsidR="00B17DAC">
        <w:rPr>
          <w:color w:val="000000"/>
          <w:szCs w:val="26"/>
        </w:rPr>
        <w:t xml:space="preserve">that </w:t>
      </w:r>
      <w:r w:rsidR="00063A20">
        <w:rPr>
          <w:color w:val="000000"/>
          <w:szCs w:val="26"/>
        </w:rPr>
        <w:t>she agreed with PPL</w:t>
      </w:r>
      <w:r w:rsidR="00541F8B">
        <w:rPr>
          <w:color w:val="000000"/>
          <w:szCs w:val="26"/>
        </w:rPr>
        <w:t xml:space="preserve">’s arguments </w:t>
      </w:r>
      <w:r w:rsidR="00B17DAC">
        <w:rPr>
          <w:color w:val="000000"/>
          <w:szCs w:val="26"/>
        </w:rPr>
        <w:t xml:space="preserve">and </w:t>
      </w:r>
      <w:r w:rsidR="00063A20">
        <w:rPr>
          <w:color w:val="000000"/>
          <w:szCs w:val="26"/>
        </w:rPr>
        <w:t xml:space="preserve">she ruled to deny </w:t>
      </w:r>
      <w:r w:rsidR="003258D0">
        <w:rPr>
          <w:color w:val="000000"/>
          <w:szCs w:val="26"/>
        </w:rPr>
        <w:t>his</w:t>
      </w:r>
      <w:r w:rsidR="00063A20">
        <w:rPr>
          <w:color w:val="000000"/>
          <w:szCs w:val="26"/>
        </w:rPr>
        <w:t xml:space="preserve"> request for a hearing continuance.  Tr. at 10. </w:t>
      </w:r>
      <w:r w:rsidR="00541F8B">
        <w:rPr>
          <w:color w:val="000000"/>
          <w:szCs w:val="26"/>
        </w:rPr>
        <w:t xml:space="preserve"> </w:t>
      </w:r>
    </w:p>
    <w:p w14:paraId="61FAEBC4" w14:textId="77777777" w:rsidR="00B17DAC" w:rsidRDefault="00B17DAC" w:rsidP="00617825">
      <w:pPr>
        <w:widowControl/>
        <w:spacing w:line="360" w:lineRule="auto"/>
        <w:ind w:firstLine="1440"/>
        <w:rPr>
          <w:color w:val="000000"/>
          <w:szCs w:val="26"/>
        </w:rPr>
      </w:pPr>
    </w:p>
    <w:p w14:paraId="609479B9" w14:textId="1EC1E56C" w:rsidR="00617825" w:rsidRDefault="00541F8B" w:rsidP="00617825">
      <w:pPr>
        <w:widowControl/>
        <w:spacing w:line="360" w:lineRule="auto"/>
        <w:ind w:firstLine="1440"/>
        <w:rPr>
          <w:color w:val="000000"/>
          <w:szCs w:val="26"/>
        </w:rPr>
      </w:pPr>
      <w:r>
        <w:rPr>
          <w:color w:val="000000"/>
          <w:szCs w:val="26"/>
        </w:rPr>
        <w:t xml:space="preserve">Upon review of the transcript, we find no error in the ALJ’s ruling, especially given that </w:t>
      </w:r>
      <w:r w:rsidR="003258D0">
        <w:rPr>
          <w:color w:val="000000"/>
          <w:szCs w:val="26"/>
        </w:rPr>
        <w:t xml:space="preserve">Mr. Smiles </w:t>
      </w:r>
      <w:r>
        <w:rPr>
          <w:color w:val="000000"/>
          <w:szCs w:val="26"/>
        </w:rPr>
        <w:t>never stated he was unable to proceed at the hearing due</w:t>
      </w:r>
      <w:r w:rsidR="00B17DAC">
        <w:rPr>
          <w:color w:val="000000"/>
          <w:szCs w:val="26"/>
        </w:rPr>
        <w:t xml:space="preserve"> to </w:t>
      </w:r>
      <w:r>
        <w:rPr>
          <w:color w:val="000000"/>
          <w:szCs w:val="26"/>
        </w:rPr>
        <w:t>physical incapacitation</w:t>
      </w:r>
      <w:r w:rsidR="00B17DAC">
        <w:rPr>
          <w:color w:val="000000"/>
          <w:szCs w:val="26"/>
        </w:rPr>
        <w:t xml:space="preserve"> </w:t>
      </w:r>
      <w:r w:rsidR="007E05B4">
        <w:rPr>
          <w:color w:val="000000"/>
          <w:szCs w:val="26"/>
        </w:rPr>
        <w:t xml:space="preserve">and </w:t>
      </w:r>
      <w:r w:rsidR="00A158DE">
        <w:rPr>
          <w:color w:val="000000"/>
          <w:szCs w:val="26"/>
        </w:rPr>
        <w:t xml:space="preserve">a </w:t>
      </w:r>
      <w:r w:rsidR="007E05B4">
        <w:rPr>
          <w:color w:val="000000"/>
          <w:szCs w:val="26"/>
        </w:rPr>
        <w:t>need to</w:t>
      </w:r>
      <w:r w:rsidR="00A158DE">
        <w:rPr>
          <w:color w:val="000000"/>
          <w:szCs w:val="26"/>
        </w:rPr>
        <w:t xml:space="preserve"> </w:t>
      </w:r>
      <w:r w:rsidR="00B17DAC">
        <w:rPr>
          <w:color w:val="000000"/>
          <w:szCs w:val="26"/>
        </w:rPr>
        <w:t>seek</w:t>
      </w:r>
      <w:r w:rsidR="00A158DE">
        <w:rPr>
          <w:color w:val="000000"/>
          <w:szCs w:val="26"/>
        </w:rPr>
        <w:t xml:space="preserve"> </w:t>
      </w:r>
      <w:r w:rsidR="007E05B4">
        <w:rPr>
          <w:color w:val="000000"/>
          <w:szCs w:val="26"/>
        </w:rPr>
        <w:t xml:space="preserve">emergency </w:t>
      </w:r>
      <w:r w:rsidR="00B17DAC">
        <w:rPr>
          <w:color w:val="000000"/>
          <w:szCs w:val="26"/>
        </w:rPr>
        <w:t>medical attentio</w:t>
      </w:r>
      <w:r w:rsidR="007E05B4">
        <w:rPr>
          <w:color w:val="000000"/>
          <w:szCs w:val="26"/>
        </w:rPr>
        <w:t>n</w:t>
      </w:r>
      <w:r w:rsidR="00A158DE">
        <w:rPr>
          <w:color w:val="000000"/>
          <w:szCs w:val="26"/>
        </w:rPr>
        <w:t xml:space="preserve">.  </w:t>
      </w:r>
      <w:r>
        <w:rPr>
          <w:color w:val="000000"/>
          <w:szCs w:val="26"/>
        </w:rPr>
        <w:t xml:space="preserve">Rather, he stated he was willing to try to proceed at the hearing </w:t>
      </w:r>
      <w:r w:rsidR="00B17DAC">
        <w:rPr>
          <w:color w:val="000000"/>
          <w:szCs w:val="26"/>
        </w:rPr>
        <w:t xml:space="preserve">while predicting </w:t>
      </w:r>
      <w:r>
        <w:rPr>
          <w:color w:val="000000"/>
          <w:szCs w:val="26"/>
        </w:rPr>
        <w:t>that the quality of his performance would not be “very good.”  Based on th</w:t>
      </w:r>
      <w:r w:rsidR="00B17DAC">
        <w:rPr>
          <w:color w:val="000000"/>
          <w:szCs w:val="26"/>
        </w:rPr>
        <w:t xml:space="preserve">e statements made by </w:t>
      </w:r>
      <w:r w:rsidR="003258D0">
        <w:rPr>
          <w:color w:val="000000"/>
          <w:szCs w:val="26"/>
        </w:rPr>
        <w:t>him</w:t>
      </w:r>
      <w:r w:rsidR="002500D1">
        <w:rPr>
          <w:color w:val="000000"/>
          <w:szCs w:val="26"/>
        </w:rPr>
        <w:t xml:space="preserve"> </w:t>
      </w:r>
      <w:r w:rsidR="00B17DAC">
        <w:rPr>
          <w:color w:val="000000"/>
          <w:szCs w:val="26"/>
        </w:rPr>
        <w:t>to support his request for a hearing continuance</w:t>
      </w:r>
      <w:r w:rsidR="007E05B4">
        <w:rPr>
          <w:color w:val="000000"/>
          <w:szCs w:val="26"/>
        </w:rPr>
        <w:t xml:space="preserve"> - which</w:t>
      </w:r>
      <w:r>
        <w:rPr>
          <w:color w:val="000000"/>
          <w:szCs w:val="26"/>
        </w:rPr>
        <w:t>, in our opinion,</w:t>
      </w:r>
      <w:r w:rsidR="007E05B4">
        <w:rPr>
          <w:color w:val="000000"/>
          <w:szCs w:val="26"/>
        </w:rPr>
        <w:t xml:space="preserve"> did not amount to exigent circumstances – </w:t>
      </w:r>
      <w:r>
        <w:rPr>
          <w:color w:val="000000"/>
          <w:szCs w:val="26"/>
        </w:rPr>
        <w:t xml:space="preserve">the ALJ did not abuse her discretion in </w:t>
      </w:r>
      <w:r w:rsidR="00B17DAC">
        <w:rPr>
          <w:color w:val="000000"/>
          <w:szCs w:val="26"/>
        </w:rPr>
        <w:t xml:space="preserve">agreeing with PPL’s arguments and </w:t>
      </w:r>
      <w:r>
        <w:rPr>
          <w:color w:val="000000"/>
          <w:szCs w:val="26"/>
        </w:rPr>
        <w:t xml:space="preserve">denying </w:t>
      </w:r>
      <w:r w:rsidR="003258D0">
        <w:rPr>
          <w:color w:val="000000"/>
          <w:szCs w:val="26"/>
        </w:rPr>
        <w:t>his</w:t>
      </w:r>
      <w:r>
        <w:rPr>
          <w:color w:val="000000"/>
          <w:szCs w:val="26"/>
        </w:rPr>
        <w:t xml:space="preserve"> request at the hearing to reschedule the hearing.   </w:t>
      </w:r>
    </w:p>
    <w:p w14:paraId="4BA37C94" w14:textId="77777777" w:rsidR="00754977" w:rsidRDefault="00754977" w:rsidP="00754977">
      <w:pPr>
        <w:widowControl/>
        <w:spacing w:line="360" w:lineRule="auto"/>
        <w:ind w:firstLine="1440"/>
        <w:rPr>
          <w:color w:val="000000"/>
          <w:szCs w:val="26"/>
        </w:rPr>
      </w:pPr>
    </w:p>
    <w:p w14:paraId="3BBA5850" w14:textId="3AD8C689" w:rsidR="002117DC" w:rsidRDefault="00754977" w:rsidP="00754977">
      <w:pPr>
        <w:widowControl/>
        <w:spacing w:line="360" w:lineRule="auto"/>
        <w:ind w:firstLine="1440"/>
      </w:pPr>
      <w:r>
        <w:rPr>
          <w:color w:val="000000"/>
          <w:szCs w:val="26"/>
        </w:rPr>
        <w:t xml:space="preserve">Finally, </w:t>
      </w:r>
      <w:r w:rsidR="00A70CC8">
        <w:rPr>
          <w:color w:val="000000"/>
          <w:szCs w:val="26"/>
        </w:rPr>
        <w:t>we will address</w:t>
      </w:r>
      <w:r>
        <w:rPr>
          <w:color w:val="000000"/>
          <w:szCs w:val="26"/>
        </w:rPr>
        <w:t xml:space="preserve"> </w:t>
      </w:r>
      <w:r w:rsidR="003258D0">
        <w:rPr>
          <w:color w:val="000000"/>
          <w:szCs w:val="26"/>
        </w:rPr>
        <w:t>Mr. Smiles’</w:t>
      </w:r>
      <w:r w:rsidR="002500D1">
        <w:rPr>
          <w:color w:val="000000"/>
          <w:szCs w:val="26"/>
        </w:rPr>
        <w:t xml:space="preserve"> </w:t>
      </w:r>
      <w:r w:rsidR="00A70CC8">
        <w:rPr>
          <w:color w:val="000000"/>
          <w:szCs w:val="26"/>
        </w:rPr>
        <w:t xml:space="preserve">claim </w:t>
      </w:r>
      <w:r>
        <w:rPr>
          <w:color w:val="000000"/>
          <w:szCs w:val="26"/>
        </w:rPr>
        <w:t xml:space="preserve">that he never received PPL’s written responses to his interrogatories before the hearing.  This issue was discussed at the hearing.  </w:t>
      </w:r>
      <w:r w:rsidRPr="0084689E">
        <w:rPr>
          <w:i/>
          <w:iCs/>
          <w:color w:val="000000"/>
          <w:szCs w:val="26"/>
        </w:rPr>
        <w:t>See</w:t>
      </w:r>
      <w:r>
        <w:rPr>
          <w:color w:val="000000"/>
          <w:szCs w:val="26"/>
        </w:rPr>
        <w:t xml:space="preserve"> Tr. at 8.  </w:t>
      </w:r>
      <w:r>
        <w:t xml:space="preserve">PPL acknowledged that it did not answer his discovery </w:t>
      </w:r>
      <w:r>
        <w:lastRenderedPageBreak/>
        <w:t xml:space="preserve">requests prior to the hearing due to a clerical error, but explained that </w:t>
      </w:r>
      <w:r w:rsidR="003258D0">
        <w:t>Mr. Smiles</w:t>
      </w:r>
      <w:r>
        <w:t xml:space="preserve"> may directly ask </w:t>
      </w:r>
      <w:r w:rsidR="00A70CC8">
        <w:t>his</w:t>
      </w:r>
      <w:r>
        <w:t xml:space="preserve"> interrogator</w:t>
      </w:r>
      <w:r w:rsidR="00A70CC8">
        <w:t>y questions</w:t>
      </w:r>
      <w:r>
        <w:t xml:space="preserve"> of the Company’s witnesses since all of the witnesses were available at the hearing.  </w:t>
      </w:r>
      <w:r w:rsidR="0084689E">
        <w:t xml:space="preserve">Tr. at 8; Answer to First Petition at 7.  </w:t>
      </w:r>
      <w:r>
        <w:t xml:space="preserve">The ALJ agreed with PPL’s approach and indicated that </w:t>
      </w:r>
      <w:r w:rsidR="00C90E6E">
        <w:t>Mr. Smiles</w:t>
      </w:r>
      <w:r>
        <w:t xml:space="preserve"> could directly ask the witnesses all of his interrogatory questions during the hearing.</w:t>
      </w:r>
      <w:r w:rsidR="00096165">
        <w:t xml:space="preserve">  </w:t>
      </w:r>
      <w:r>
        <w:t>Tr. at 8.  Upon review of the transcript and the ALJ’s ruling, we find there was no error in the ALJ’s ruling</w:t>
      </w:r>
      <w:r w:rsidR="00A70CC8">
        <w:t>,</w:t>
      </w:r>
      <w:r>
        <w:t xml:space="preserve"> as </w:t>
      </w:r>
      <w:r w:rsidR="00C90E6E">
        <w:t>Mr. Smiles</w:t>
      </w:r>
      <w:r>
        <w:t xml:space="preserve"> had the full opportunity to ask his interrogatories directly to the Company witnesses at hearing.</w:t>
      </w:r>
      <w:r w:rsidR="00A70CC8">
        <w:t xml:space="preserve">  </w:t>
      </w:r>
    </w:p>
    <w:p w14:paraId="54E696D5" w14:textId="2D355EF1" w:rsidR="00CA22D9" w:rsidRDefault="00CA22D9" w:rsidP="00754977">
      <w:pPr>
        <w:widowControl/>
        <w:spacing w:line="360" w:lineRule="auto"/>
        <w:ind w:firstLine="1440"/>
      </w:pPr>
    </w:p>
    <w:p w14:paraId="73881D2A" w14:textId="29454AD1" w:rsidR="00CA22D9" w:rsidRDefault="00BA289F" w:rsidP="00754977">
      <w:pPr>
        <w:widowControl/>
        <w:spacing w:line="360" w:lineRule="auto"/>
        <w:ind w:firstLine="1440"/>
        <w:rPr>
          <w:color w:val="000000"/>
          <w:szCs w:val="26"/>
        </w:rPr>
      </w:pPr>
      <w:r>
        <w:t>Thus,</w:t>
      </w:r>
      <w:r w:rsidR="00CA22D9">
        <w:t xml:space="preserve"> while </w:t>
      </w:r>
      <w:r w:rsidR="00C90E6E">
        <w:t>Mr. Smiles</w:t>
      </w:r>
      <w:r w:rsidR="00CA22D9">
        <w:t xml:space="preserve"> may have raised </w:t>
      </w:r>
      <w:r w:rsidR="00CA22D9" w:rsidRPr="0045762F">
        <w:rPr>
          <w:szCs w:val="26"/>
        </w:rPr>
        <w:t>new or novel argument</w:t>
      </w:r>
      <w:r w:rsidR="00CA22D9">
        <w:rPr>
          <w:szCs w:val="26"/>
        </w:rPr>
        <w:t>s</w:t>
      </w:r>
      <w:r>
        <w:rPr>
          <w:szCs w:val="26"/>
        </w:rPr>
        <w:t xml:space="preserve"> for our consideration</w:t>
      </w:r>
      <w:r w:rsidR="00CA22D9" w:rsidRPr="0045762F">
        <w:rPr>
          <w:szCs w:val="26"/>
        </w:rPr>
        <w:t>,</w:t>
      </w:r>
      <w:r w:rsidR="00CA22D9">
        <w:rPr>
          <w:szCs w:val="26"/>
        </w:rPr>
        <w:t xml:space="preserve"> upon evaluation of those argument</w:t>
      </w:r>
      <w:r>
        <w:rPr>
          <w:szCs w:val="26"/>
        </w:rPr>
        <w:t>s</w:t>
      </w:r>
      <w:r w:rsidR="00CA22D9">
        <w:rPr>
          <w:szCs w:val="26"/>
        </w:rPr>
        <w:t xml:space="preserve">, </w:t>
      </w:r>
      <w:r>
        <w:rPr>
          <w:szCs w:val="26"/>
        </w:rPr>
        <w:t xml:space="preserve">for all of the foregoing reasons discussed above, </w:t>
      </w:r>
      <w:r w:rsidR="00CA22D9">
        <w:rPr>
          <w:szCs w:val="26"/>
        </w:rPr>
        <w:t xml:space="preserve">we </w:t>
      </w:r>
      <w:r>
        <w:rPr>
          <w:szCs w:val="26"/>
        </w:rPr>
        <w:t xml:space="preserve">do not find the “appropriate circumstances” exist to disturb our Final Order in this proceeding.  </w:t>
      </w:r>
      <w:r w:rsidR="00823387" w:rsidRPr="00823387">
        <w:rPr>
          <w:i/>
          <w:iCs/>
          <w:szCs w:val="26"/>
        </w:rPr>
        <w:t>City of Pittsburgh</w:t>
      </w:r>
      <w:r w:rsidR="00A01FC8">
        <w:rPr>
          <w:szCs w:val="26"/>
        </w:rPr>
        <w:t xml:space="preserve">, </w:t>
      </w:r>
      <w:r w:rsidR="00A01FC8" w:rsidRPr="001A1D9C">
        <w:rPr>
          <w:rFonts w:eastAsia="Calibri"/>
          <w:szCs w:val="26"/>
        </w:rPr>
        <w:t>416 A.2d</w:t>
      </w:r>
      <w:r w:rsidR="00A01FC8">
        <w:rPr>
          <w:rFonts w:eastAsia="Calibri"/>
          <w:szCs w:val="26"/>
        </w:rPr>
        <w:t xml:space="preserve"> at 465.</w:t>
      </w:r>
      <w:r w:rsidR="00A01FC8" w:rsidRPr="001A1D9C">
        <w:rPr>
          <w:rFonts w:eastAsia="Calibri"/>
          <w:szCs w:val="26"/>
        </w:rPr>
        <w:t xml:space="preserve"> </w:t>
      </w:r>
      <w:r w:rsidR="00A01FC8">
        <w:rPr>
          <w:rFonts w:eastAsia="Calibri"/>
          <w:szCs w:val="26"/>
        </w:rPr>
        <w:t xml:space="preserve"> </w:t>
      </w:r>
      <w:r w:rsidR="00823387">
        <w:rPr>
          <w:szCs w:val="26"/>
        </w:rPr>
        <w:t xml:space="preserve">Accordingly, we shall deny </w:t>
      </w:r>
      <w:r w:rsidR="00C90E6E">
        <w:rPr>
          <w:szCs w:val="26"/>
        </w:rPr>
        <w:t>Mr. Smiles</w:t>
      </w:r>
      <w:r w:rsidR="00823387">
        <w:rPr>
          <w:szCs w:val="26"/>
        </w:rPr>
        <w:t xml:space="preserve">’ First Petition. </w:t>
      </w:r>
    </w:p>
    <w:p w14:paraId="0C0C3BA5" w14:textId="77777777" w:rsidR="000F7A63" w:rsidRPr="000F7A63" w:rsidRDefault="000F7A63" w:rsidP="000F7A63">
      <w:pPr>
        <w:spacing w:line="360" w:lineRule="auto"/>
        <w:rPr>
          <w:b/>
          <w:bCs/>
        </w:rPr>
      </w:pPr>
    </w:p>
    <w:p w14:paraId="3B66F702" w14:textId="5C16064B" w:rsidR="0045762F" w:rsidRDefault="000F7A63" w:rsidP="00641124">
      <w:pPr>
        <w:pStyle w:val="ListParagraph"/>
        <w:numPr>
          <w:ilvl w:val="0"/>
          <w:numId w:val="4"/>
        </w:numPr>
        <w:spacing w:line="360" w:lineRule="auto"/>
        <w:ind w:hanging="720"/>
        <w:contextualSpacing w:val="0"/>
        <w:rPr>
          <w:b/>
          <w:bCs/>
        </w:rPr>
      </w:pPr>
      <w:r>
        <w:rPr>
          <w:b/>
          <w:bCs/>
        </w:rPr>
        <w:t xml:space="preserve">Second </w:t>
      </w:r>
      <w:r w:rsidR="0045762F">
        <w:rPr>
          <w:b/>
          <w:bCs/>
        </w:rPr>
        <w:t>Petitio</w:t>
      </w:r>
      <w:r w:rsidR="00464410">
        <w:rPr>
          <w:b/>
          <w:bCs/>
        </w:rPr>
        <w:t>n</w:t>
      </w:r>
      <w:r w:rsidR="0045762F">
        <w:rPr>
          <w:b/>
          <w:bCs/>
        </w:rPr>
        <w:t>, Answer, and Disposition</w:t>
      </w:r>
    </w:p>
    <w:p w14:paraId="1C1E5237" w14:textId="62AA25C4" w:rsidR="0045762F" w:rsidRPr="0045762F" w:rsidRDefault="0045762F" w:rsidP="002710B2">
      <w:pPr>
        <w:spacing w:line="360" w:lineRule="auto"/>
        <w:ind w:left="360"/>
      </w:pPr>
    </w:p>
    <w:p w14:paraId="7147EF32" w14:textId="6253ED9E" w:rsidR="000F7A63" w:rsidRDefault="00A62FA4" w:rsidP="000F7A63">
      <w:pPr>
        <w:spacing w:line="360" w:lineRule="auto"/>
        <w:ind w:firstLine="1440"/>
        <w:rPr>
          <w:szCs w:val="26"/>
        </w:rPr>
      </w:pPr>
      <w:r>
        <w:rPr>
          <w:szCs w:val="26"/>
        </w:rPr>
        <w:t xml:space="preserve">In his Second Petition, </w:t>
      </w:r>
      <w:r w:rsidR="00C90E6E">
        <w:rPr>
          <w:szCs w:val="26"/>
        </w:rPr>
        <w:t>Mr. Smiles</w:t>
      </w:r>
      <w:r>
        <w:rPr>
          <w:szCs w:val="26"/>
        </w:rPr>
        <w:t xml:space="preserve"> “calls for clarification of jurisdiction” of the Commission’s authority to adjudicate his smart meter Complaint, essentially arguing that the Commission lacks jurisdiction to adjudicate this smart meter Complaint.  Second Petition at 1-3.  </w:t>
      </w:r>
      <w:r w:rsidR="000F7A63">
        <w:rPr>
          <w:szCs w:val="26"/>
        </w:rPr>
        <w:t xml:space="preserve">Additionally, </w:t>
      </w:r>
      <w:r w:rsidR="00C90E6E">
        <w:rPr>
          <w:szCs w:val="26"/>
        </w:rPr>
        <w:t>Mr. Smiles</w:t>
      </w:r>
      <w:r w:rsidR="000F7A63">
        <w:rPr>
          <w:szCs w:val="26"/>
        </w:rPr>
        <w:t xml:space="preserve"> challenges the Commission’s interpretation of Act 129, arguing that the Commission’s prior determinations that Act 129 does not provide customers a general right to “opt-out” of smart meter installation is an error of law</w:t>
      </w:r>
      <w:r w:rsidR="009A02FB">
        <w:rPr>
          <w:szCs w:val="26"/>
        </w:rPr>
        <w:t>,</w:t>
      </w:r>
      <w:r w:rsidR="000F7A63">
        <w:rPr>
          <w:szCs w:val="26"/>
        </w:rPr>
        <w:t xml:space="preserve"> violative of the Act’s plain language.  Second Petition at 2-3.  </w:t>
      </w:r>
      <w:r w:rsidR="002F4040">
        <w:rPr>
          <w:szCs w:val="26"/>
        </w:rPr>
        <w:t xml:space="preserve">Specifically, he argues that the plain language of Act 129 mandates the installation of a smart meter at the customer’s request.  Second Petition at 2.  He argues it is a maxim of statutory construction that a statute be interpreted according to its plain language, “not…abused at the behest of lawyers or for profit utility companies.”  Second Petition at 2-3.  </w:t>
      </w:r>
    </w:p>
    <w:p w14:paraId="5A621291" w14:textId="77777777" w:rsidR="000F7A63" w:rsidRDefault="000F7A63" w:rsidP="000F7A63">
      <w:pPr>
        <w:spacing w:line="360" w:lineRule="auto"/>
        <w:ind w:firstLine="1440"/>
        <w:rPr>
          <w:szCs w:val="26"/>
        </w:rPr>
      </w:pPr>
    </w:p>
    <w:p w14:paraId="676D7BBA" w14:textId="68B50083" w:rsidR="000F7A63" w:rsidRDefault="000F7A63" w:rsidP="000F7A63">
      <w:pPr>
        <w:spacing w:line="360" w:lineRule="auto"/>
        <w:ind w:firstLine="1440"/>
      </w:pPr>
      <w:r>
        <w:rPr>
          <w:szCs w:val="26"/>
        </w:rPr>
        <w:lastRenderedPageBreak/>
        <w:t xml:space="preserve">In its Answer, PPL </w:t>
      </w:r>
      <w:r w:rsidR="003378AB">
        <w:rPr>
          <w:szCs w:val="26"/>
        </w:rPr>
        <w:t>submits that the Commission</w:t>
      </w:r>
      <w:r w:rsidR="00D93E45">
        <w:rPr>
          <w:szCs w:val="26"/>
        </w:rPr>
        <w:t xml:space="preserve"> clearly</w:t>
      </w:r>
      <w:r w:rsidR="003378AB">
        <w:rPr>
          <w:szCs w:val="26"/>
        </w:rPr>
        <w:t xml:space="preserve"> ha</w:t>
      </w:r>
      <w:r w:rsidR="005310BC">
        <w:rPr>
          <w:szCs w:val="26"/>
        </w:rPr>
        <w:t>d</w:t>
      </w:r>
      <w:r w:rsidR="003378AB">
        <w:rPr>
          <w:szCs w:val="26"/>
        </w:rPr>
        <w:t xml:space="preserve"> jurisdiction over the Complaint </w:t>
      </w:r>
      <w:r w:rsidR="00FC3824">
        <w:rPr>
          <w:szCs w:val="26"/>
        </w:rPr>
        <w:t xml:space="preserve">pursuant to Sections 701 and 1501 of the Code, 66 Pa. C.S. §§ 701, 1501. </w:t>
      </w:r>
      <w:r w:rsidR="00311D39">
        <w:rPr>
          <w:szCs w:val="26"/>
        </w:rPr>
        <w:t xml:space="preserve"> Answer to Second Petition at 4</w:t>
      </w:r>
      <w:r w:rsidR="00D93E45">
        <w:rPr>
          <w:szCs w:val="26"/>
        </w:rPr>
        <w:t>-5</w:t>
      </w:r>
      <w:r w:rsidR="00311D39">
        <w:rPr>
          <w:szCs w:val="26"/>
        </w:rPr>
        <w:t xml:space="preserve">. </w:t>
      </w:r>
      <w:r w:rsidR="00B90608">
        <w:rPr>
          <w:szCs w:val="26"/>
        </w:rPr>
        <w:t xml:space="preserve"> </w:t>
      </w:r>
      <w:r w:rsidR="00311D39">
        <w:rPr>
          <w:szCs w:val="26"/>
        </w:rPr>
        <w:t>PPL argues that</w:t>
      </w:r>
      <w:r w:rsidR="00B90608">
        <w:rPr>
          <w:szCs w:val="26"/>
        </w:rPr>
        <w:t>, p</w:t>
      </w:r>
      <w:r w:rsidR="00311D39">
        <w:rPr>
          <w:szCs w:val="26"/>
        </w:rPr>
        <w:t>ursuant to th</w:t>
      </w:r>
      <w:r w:rsidR="0019573D">
        <w:rPr>
          <w:szCs w:val="26"/>
        </w:rPr>
        <w:t>e</w:t>
      </w:r>
      <w:r w:rsidR="00311D39">
        <w:rPr>
          <w:szCs w:val="26"/>
        </w:rPr>
        <w:t xml:space="preserve"> statutory authority</w:t>
      </w:r>
      <w:r w:rsidR="0019573D">
        <w:rPr>
          <w:szCs w:val="26"/>
        </w:rPr>
        <w:t xml:space="preserve"> granted by Sections 701 and 1501 of the Code</w:t>
      </w:r>
      <w:r w:rsidR="00311D39">
        <w:rPr>
          <w:szCs w:val="26"/>
        </w:rPr>
        <w:t xml:space="preserve">, </w:t>
      </w:r>
      <w:r w:rsidR="00B90608">
        <w:rPr>
          <w:szCs w:val="26"/>
        </w:rPr>
        <w:t xml:space="preserve">it is well-established that the Commission has exclusive jurisdiction </w:t>
      </w:r>
      <w:r w:rsidR="00C1770F">
        <w:rPr>
          <w:szCs w:val="26"/>
        </w:rPr>
        <w:t xml:space="preserve">to adjudicate “issues involving the reasonableness, adequacy, and sufficiency” of a public utility’s facilities and services.  </w:t>
      </w:r>
      <w:r w:rsidR="00C1770F" w:rsidRPr="00C1770F">
        <w:rPr>
          <w:i/>
          <w:iCs/>
          <w:szCs w:val="26"/>
        </w:rPr>
        <w:t>Id</w:t>
      </w:r>
      <w:r w:rsidR="00C1770F">
        <w:rPr>
          <w:szCs w:val="26"/>
        </w:rPr>
        <w:t xml:space="preserve">. at 4-5 (citing </w:t>
      </w:r>
      <w:r w:rsidR="00C1770F" w:rsidRPr="00C1770F">
        <w:rPr>
          <w:i/>
          <w:iCs/>
          <w:szCs w:val="26"/>
        </w:rPr>
        <w:t>Elkin v. Bell of Pa</w:t>
      </w:r>
      <w:r w:rsidR="00C1770F">
        <w:rPr>
          <w:szCs w:val="26"/>
        </w:rPr>
        <w:t>., 420 A.2d 371, 374 (Pa. 1980)</w:t>
      </w:r>
      <w:r w:rsidR="00A50A33">
        <w:rPr>
          <w:szCs w:val="26"/>
        </w:rPr>
        <w:t xml:space="preserve"> (</w:t>
      </w:r>
      <w:r w:rsidR="00A50A33" w:rsidRPr="00A50A33">
        <w:rPr>
          <w:i/>
          <w:iCs/>
          <w:szCs w:val="26"/>
        </w:rPr>
        <w:t>Elkin</w:t>
      </w:r>
      <w:r w:rsidR="00A50A33">
        <w:rPr>
          <w:szCs w:val="26"/>
        </w:rPr>
        <w:t>)</w:t>
      </w:r>
      <w:r w:rsidR="00C1770F">
        <w:rPr>
          <w:szCs w:val="26"/>
        </w:rPr>
        <w:t>).</w:t>
      </w:r>
      <w:r w:rsidR="00B41881">
        <w:rPr>
          <w:szCs w:val="26"/>
        </w:rPr>
        <w:t xml:space="preserve">  PPL explains that </w:t>
      </w:r>
      <w:r w:rsidR="00C90E6E">
        <w:rPr>
          <w:szCs w:val="26"/>
        </w:rPr>
        <w:t>Mr. Smiles</w:t>
      </w:r>
      <w:r w:rsidR="00B41881">
        <w:rPr>
          <w:szCs w:val="26"/>
        </w:rPr>
        <w:t xml:space="preserve"> alleged that the installation of the new AMI meter at his service address violated Section 1501 of the Code.  Answer to Second Petition at 5.  PPL submits that, after reviewing the evidence and arguments of the Parties, the ALJ properly found that: </w:t>
      </w:r>
      <w:r w:rsidR="00A43D07">
        <w:rPr>
          <w:szCs w:val="26"/>
        </w:rPr>
        <w:t xml:space="preserve"> </w:t>
      </w:r>
      <w:r w:rsidR="00B41881">
        <w:rPr>
          <w:szCs w:val="26"/>
        </w:rPr>
        <w:t xml:space="preserve">(1) there is no “opt-out” of the AMI meter installations under Act 129; and (2) </w:t>
      </w:r>
      <w:r w:rsidR="00C90E6E">
        <w:rPr>
          <w:szCs w:val="26"/>
        </w:rPr>
        <w:t>Mr. Smiles</w:t>
      </w:r>
      <w:r w:rsidR="00B41881">
        <w:rPr>
          <w:szCs w:val="26"/>
        </w:rPr>
        <w:t xml:space="preserve"> failed to meet his burden to prove </w:t>
      </w:r>
      <w:r w:rsidR="00144176">
        <w:rPr>
          <w:szCs w:val="26"/>
        </w:rPr>
        <w:t>that PPL’s installation of</w:t>
      </w:r>
      <w:r w:rsidR="00426BE5">
        <w:rPr>
          <w:szCs w:val="26"/>
        </w:rPr>
        <w:t xml:space="preserve"> the meter violated Section 1501 or any other provision of the Code, a Commission Order or Regulation, or a Commission-approved tariff.  </w:t>
      </w:r>
      <w:r w:rsidR="00D93E45" w:rsidRPr="00D93E45">
        <w:rPr>
          <w:i/>
          <w:iCs/>
          <w:szCs w:val="26"/>
        </w:rPr>
        <w:t>Id</w:t>
      </w:r>
      <w:r w:rsidR="00D93E45">
        <w:rPr>
          <w:szCs w:val="26"/>
        </w:rPr>
        <w:t>. at 5 (citing I.D. at 12-20).</w:t>
      </w:r>
    </w:p>
    <w:p w14:paraId="0E23418A" w14:textId="7995F58A" w:rsidR="0099711F" w:rsidRDefault="0099711F" w:rsidP="00ED1303">
      <w:pPr>
        <w:spacing w:line="360" w:lineRule="auto"/>
        <w:rPr>
          <w:szCs w:val="26"/>
        </w:rPr>
      </w:pPr>
    </w:p>
    <w:p w14:paraId="6CAE94A9" w14:textId="3B03FC35" w:rsidR="0099711F" w:rsidRPr="00CF1D4A" w:rsidRDefault="00CF1D4A" w:rsidP="00CF1D4A">
      <w:pPr>
        <w:widowControl/>
        <w:spacing w:line="360" w:lineRule="auto"/>
        <w:ind w:firstLine="1440"/>
        <w:rPr>
          <w:color w:val="000000" w:themeColor="text1"/>
          <w:szCs w:val="26"/>
        </w:rPr>
      </w:pPr>
      <w:r>
        <w:rPr>
          <w:szCs w:val="26"/>
        </w:rPr>
        <w:t xml:space="preserve">Regarding </w:t>
      </w:r>
      <w:r w:rsidR="00C90E6E">
        <w:rPr>
          <w:szCs w:val="26"/>
        </w:rPr>
        <w:t>Mr. Smiles’</w:t>
      </w:r>
      <w:r>
        <w:rPr>
          <w:szCs w:val="26"/>
        </w:rPr>
        <w:t xml:space="preserve"> request for clarification </w:t>
      </w:r>
      <w:r w:rsidR="008C627C">
        <w:rPr>
          <w:szCs w:val="26"/>
        </w:rPr>
        <w:t xml:space="preserve">regarding our </w:t>
      </w:r>
      <w:r>
        <w:rPr>
          <w:szCs w:val="26"/>
        </w:rPr>
        <w:t>jurisdiction to adjudicate his Complaint, we reject th</w:t>
      </w:r>
      <w:r w:rsidR="008C627C">
        <w:rPr>
          <w:szCs w:val="26"/>
        </w:rPr>
        <w:t xml:space="preserve">e Second Petition </w:t>
      </w:r>
      <w:r>
        <w:rPr>
          <w:szCs w:val="26"/>
        </w:rPr>
        <w:t>for fail</w:t>
      </w:r>
      <w:r w:rsidR="00405D03">
        <w:rPr>
          <w:szCs w:val="26"/>
        </w:rPr>
        <w:t>ing</w:t>
      </w:r>
      <w:r>
        <w:rPr>
          <w:szCs w:val="26"/>
        </w:rPr>
        <w:t xml:space="preserve"> to meet the </w:t>
      </w:r>
      <w:proofErr w:type="spellStart"/>
      <w:r w:rsidRPr="008C627C">
        <w:rPr>
          <w:i/>
          <w:iCs/>
          <w:szCs w:val="26"/>
        </w:rPr>
        <w:t>Duick</w:t>
      </w:r>
      <w:proofErr w:type="spellEnd"/>
      <w:r>
        <w:rPr>
          <w:szCs w:val="26"/>
        </w:rPr>
        <w:t xml:space="preserve"> standard</w:t>
      </w:r>
      <w:r w:rsidR="00405D03">
        <w:rPr>
          <w:szCs w:val="26"/>
        </w:rPr>
        <w:t xml:space="preserve"> for granting clarification</w:t>
      </w:r>
      <w:r>
        <w:rPr>
          <w:szCs w:val="26"/>
        </w:rPr>
        <w:t xml:space="preserve">.  </w:t>
      </w:r>
      <w:r w:rsidR="0019573D" w:rsidRPr="003B08BF">
        <w:rPr>
          <w:color w:val="000000" w:themeColor="text1"/>
          <w:szCs w:val="26"/>
        </w:rPr>
        <w:t>In the Final Order, the Commission adopted the ALJ’s Initial Decision as its final action in this matter, which included the adoption of t</w:t>
      </w:r>
      <w:r w:rsidR="0099711F" w:rsidRPr="003B08BF">
        <w:rPr>
          <w:color w:val="000000" w:themeColor="text1"/>
          <w:szCs w:val="26"/>
        </w:rPr>
        <w:t xml:space="preserve">he ALJ’s </w:t>
      </w:r>
      <w:r w:rsidR="00D13FC4">
        <w:rPr>
          <w:color w:val="000000" w:themeColor="text1"/>
          <w:szCs w:val="26"/>
        </w:rPr>
        <w:t>FOF and COL</w:t>
      </w:r>
      <w:r w:rsidR="0099711F" w:rsidRPr="003B08BF">
        <w:rPr>
          <w:color w:val="000000" w:themeColor="text1"/>
          <w:szCs w:val="26"/>
        </w:rPr>
        <w:t xml:space="preserve"> without modification.</w:t>
      </w:r>
      <w:r w:rsidR="0019573D" w:rsidRPr="003B08BF">
        <w:rPr>
          <w:color w:val="000000" w:themeColor="text1"/>
          <w:szCs w:val="26"/>
        </w:rPr>
        <w:t xml:space="preserve">  </w:t>
      </w:r>
      <w:r w:rsidR="00AC4A66" w:rsidRPr="003B08BF">
        <w:rPr>
          <w:color w:val="000000" w:themeColor="text1"/>
          <w:szCs w:val="26"/>
        </w:rPr>
        <w:t>T</w:t>
      </w:r>
      <w:r w:rsidR="0099711F" w:rsidRPr="003B08BF">
        <w:rPr>
          <w:color w:val="000000" w:themeColor="text1"/>
          <w:szCs w:val="26"/>
        </w:rPr>
        <w:t xml:space="preserve">he </w:t>
      </w:r>
      <w:r w:rsidR="0099711F" w:rsidRPr="003B08BF">
        <w:rPr>
          <w:szCs w:val="26"/>
        </w:rPr>
        <w:t xml:space="preserve">ALJ </w:t>
      </w:r>
      <w:r w:rsidR="00405D03">
        <w:rPr>
          <w:szCs w:val="26"/>
        </w:rPr>
        <w:t xml:space="preserve">clearly </w:t>
      </w:r>
      <w:r w:rsidR="0099711F" w:rsidRPr="003B08BF">
        <w:rPr>
          <w:szCs w:val="26"/>
        </w:rPr>
        <w:t xml:space="preserve">concluded that the Commission has jurisdiction over the </w:t>
      </w:r>
      <w:r w:rsidR="004C55F1">
        <w:rPr>
          <w:szCs w:val="26"/>
        </w:rPr>
        <w:t>P</w:t>
      </w:r>
      <w:r w:rsidR="0099711F" w:rsidRPr="003B08BF">
        <w:rPr>
          <w:szCs w:val="26"/>
        </w:rPr>
        <w:t>arties and the subject matter in this proceeding</w:t>
      </w:r>
      <w:r w:rsidR="00AC4A66" w:rsidRPr="003B08BF">
        <w:rPr>
          <w:szCs w:val="26"/>
        </w:rPr>
        <w:t xml:space="preserve"> pursuant to Section 701 of the Code</w:t>
      </w:r>
      <w:r w:rsidR="0099711F" w:rsidRPr="003B08BF">
        <w:rPr>
          <w:szCs w:val="26"/>
        </w:rPr>
        <w:t>.</w:t>
      </w:r>
      <w:r w:rsidR="000C3EB5">
        <w:rPr>
          <w:szCs w:val="26"/>
        </w:rPr>
        <w:t xml:space="preserve">  </w:t>
      </w:r>
      <w:r w:rsidR="0099711F" w:rsidRPr="003B08BF">
        <w:rPr>
          <w:szCs w:val="26"/>
        </w:rPr>
        <w:t>I.D. at 21; COL No</w:t>
      </w:r>
      <w:r w:rsidR="00AC4A66" w:rsidRPr="003B08BF">
        <w:rPr>
          <w:szCs w:val="26"/>
        </w:rPr>
        <w:t>s</w:t>
      </w:r>
      <w:r w:rsidR="0099711F" w:rsidRPr="003B08BF">
        <w:rPr>
          <w:szCs w:val="26"/>
        </w:rPr>
        <w:t>. 1</w:t>
      </w:r>
      <w:r w:rsidR="00AC4A66" w:rsidRPr="003B08BF">
        <w:rPr>
          <w:szCs w:val="26"/>
        </w:rPr>
        <w:t>, 7</w:t>
      </w:r>
      <w:r w:rsidR="0099711F" w:rsidRPr="003B08BF">
        <w:rPr>
          <w:szCs w:val="26"/>
        </w:rPr>
        <w:t xml:space="preserve"> (citing 66 Pa. C.S. § 701).  </w:t>
      </w:r>
      <w:r w:rsidR="0024348B" w:rsidRPr="003B08BF">
        <w:rPr>
          <w:szCs w:val="26"/>
        </w:rPr>
        <w:t xml:space="preserve">The ALJ </w:t>
      </w:r>
      <w:r w:rsidR="00E57726" w:rsidRPr="003B08BF">
        <w:rPr>
          <w:szCs w:val="26"/>
        </w:rPr>
        <w:t xml:space="preserve">further </w:t>
      </w:r>
      <w:r w:rsidR="0024348B" w:rsidRPr="003B08BF">
        <w:rPr>
          <w:szCs w:val="26"/>
        </w:rPr>
        <w:t xml:space="preserve">concluded that the Commission has exclusive jurisdiction to adjudicate “issues involving the reasonableness, adequacy, and sufficiency” of a public utility’s facilities and services.  I.D. at 22; COL No. 9 (citing </w:t>
      </w:r>
      <w:r w:rsidR="0024348B" w:rsidRPr="003B08BF">
        <w:rPr>
          <w:i/>
          <w:iCs/>
          <w:szCs w:val="26"/>
        </w:rPr>
        <w:t>Elkin</w:t>
      </w:r>
      <w:r w:rsidR="0024348B" w:rsidRPr="003B08BF">
        <w:rPr>
          <w:szCs w:val="26"/>
        </w:rPr>
        <w:t>).</w:t>
      </w:r>
      <w:r w:rsidR="00A50A33" w:rsidRPr="003B08BF">
        <w:rPr>
          <w:szCs w:val="26"/>
        </w:rPr>
        <w:t xml:space="preserve"> </w:t>
      </w:r>
      <w:r w:rsidR="007E5E81">
        <w:rPr>
          <w:szCs w:val="26"/>
        </w:rPr>
        <w:t xml:space="preserve"> </w:t>
      </w:r>
      <w:r w:rsidR="00E57726" w:rsidRPr="003B08BF">
        <w:rPr>
          <w:szCs w:val="26"/>
        </w:rPr>
        <w:t xml:space="preserve">The ALJ concluded that </w:t>
      </w:r>
      <w:r w:rsidR="00C90E6E">
        <w:rPr>
          <w:szCs w:val="26"/>
        </w:rPr>
        <w:t>Mr. Smiles</w:t>
      </w:r>
      <w:r w:rsidR="00E57726" w:rsidRPr="003B08BF">
        <w:rPr>
          <w:szCs w:val="26"/>
        </w:rPr>
        <w:t xml:space="preserve"> failed to sustain his burden of proof that PPL violated Section 1501 of the Code </w:t>
      </w:r>
      <w:r w:rsidR="00F85E58" w:rsidRPr="003B08BF">
        <w:rPr>
          <w:szCs w:val="26"/>
        </w:rPr>
        <w:t>or would violate any other provision of the Code or any Commission Regulation or Order</w:t>
      </w:r>
      <w:r w:rsidR="00E57726" w:rsidRPr="003B08BF">
        <w:rPr>
          <w:szCs w:val="26"/>
        </w:rPr>
        <w:t>.  I.D. at 22</w:t>
      </w:r>
      <w:r w:rsidR="00F85E58" w:rsidRPr="003B08BF">
        <w:rPr>
          <w:szCs w:val="26"/>
        </w:rPr>
        <w:t>-23</w:t>
      </w:r>
      <w:r w:rsidR="00E57726" w:rsidRPr="003B08BF">
        <w:rPr>
          <w:szCs w:val="26"/>
        </w:rPr>
        <w:t>; COL No. 8</w:t>
      </w:r>
      <w:r w:rsidR="00F85E58" w:rsidRPr="003B08BF">
        <w:rPr>
          <w:szCs w:val="26"/>
        </w:rPr>
        <w:t>, 11</w:t>
      </w:r>
      <w:r w:rsidR="00E57726" w:rsidRPr="003B08BF">
        <w:rPr>
          <w:szCs w:val="26"/>
        </w:rPr>
        <w:t xml:space="preserve"> (citing 66 Pa. C.S. </w:t>
      </w:r>
      <w:r w:rsidR="00F85E58" w:rsidRPr="003B08BF">
        <w:rPr>
          <w:szCs w:val="26"/>
        </w:rPr>
        <w:t xml:space="preserve">§§ 332(a), 701, </w:t>
      </w:r>
      <w:r w:rsidR="00E57726" w:rsidRPr="003B08BF">
        <w:rPr>
          <w:szCs w:val="26"/>
        </w:rPr>
        <w:t xml:space="preserve">1501).  </w:t>
      </w:r>
      <w:r w:rsidR="009E13B4">
        <w:rPr>
          <w:szCs w:val="26"/>
        </w:rPr>
        <w:t>In our opinion,</w:t>
      </w:r>
      <w:r w:rsidR="00790CE6">
        <w:rPr>
          <w:szCs w:val="26"/>
        </w:rPr>
        <w:t xml:space="preserve"> with respect to </w:t>
      </w:r>
      <w:r w:rsidR="00C90E6E">
        <w:rPr>
          <w:szCs w:val="26"/>
        </w:rPr>
        <w:t>Mr. Smiles’</w:t>
      </w:r>
      <w:r w:rsidR="00790CE6">
        <w:rPr>
          <w:szCs w:val="26"/>
        </w:rPr>
        <w:t xml:space="preserve"> request for clarification as to our jurisdiction,</w:t>
      </w:r>
      <w:r w:rsidR="009E13B4">
        <w:rPr>
          <w:szCs w:val="26"/>
        </w:rPr>
        <w:t xml:space="preserve"> the Second </w:t>
      </w:r>
      <w:r w:rsidR="009E13B4">
        <w:rPr>
          <w:szCs w:val="26"/>
        </w:rPr>
        <w:lastRenderedPageBreak/>
        <w:t>Petition does not raise any new or novel arguments for our consideration</w:t>
      </w:r>
      <w:r w:rsidR="00790CE6">
        <w:rPr>
          <w:szCs w:val="26"/>
        </w:rPr>
        <w:t>, f</w:t>
      </w:r>
      <w:r w:rsidR="009E13B4">
        <w:rPr>
          <w:szCs w:val="26"/>
        </w:rPr>
        <w:t>ail</w:t>
      </w:r>
      <w:r w:rsidR="00790CE6">
        <w:rPr>
          <w:szCs w:val="26"/>
        </w:rPr>
        <w:t>ing</w:t>
      </w:r>
      <w:r w:rsidR="009E13B4">
        <w:rPr>
          <w:szCs w:val="26"/>
        </w:rPr>
        <w:t xml:space="preserve"> to meet the </w:t>
      </w:r>
      <w:proofErr w:type="spellStart"/>
      <w:r w:rsidR="009E13B4" w:rsidRPr="008C627C">
        <w:rPr>
          <w:i/>
          <w:iCs/>
          <w:szCs w:val="26"/>
        </w:rPr>
        <w:t>Duick</w:t>
      </w:r>
      <w:proofErr w:type="spellEnd"/>
      <w:r w:rsidR="009E13B4">
        <w:rPr>
          <w:szCs w:val="26"/>
        </w:rPr>
        <w:t xml:space="preserve"> standard.  </w:t>
      </w:r>
    </w:p>
    <w:p w14:paraId="6BCE17A2" w14:textId="5C6D80B6" w:rsidR="00807AE5" w:rsidRDefault="00807AE5" w:rsidP="0099711F">
      <w:pPr>
        <w:widowControl/>
        <w:spacing w:line="360" w:lineRule="auto"/>
        <w:ind w:firstLine="1440"/>
        <w:rPr>
          <w:szCs w:val="26"/>
        </w:rPr>
      </w:pPr>
    </w:p>
    <w:p w14:paraId="24311FD8" w14:textId="642EBBF4" w:rsidR="00641124" w:rsidRDefault="00F8026D" w:rsidP="006B5B9B">
      <w:pPr>
        <w:widowControl/>
        <w:spacing w:line="360" w:lineRule="auto"/>
        <w:ind w:firstLine="1440"/>
        <w:contextualSpacing/>
        <w:rPr>
          <w:szCs w:val="26"/>
        </w:rPr>
      </w:pPr>
      <w:r>
        <w:rPr>
          <w:szCs w:val="26"/>
        </w:rPr>
        <w:t xml:space="preserve">Regarding </w:t>
      </w:r>
      <w:r w:rsidR="002500D1">
        <w:rPr>
          <w:szCs w:val="26"/>
        </w:rPr>
        <w:t>his</w:t>
      </w:r>
      <w:r>
        <w:rPr>
          <w:szCs w:val="26"/>
        </w:rPr>
        <w:t xml:space="preserve"> “opt-out” request, </w:t>
      </w:r>
      <w:r w:rsidR="002F4040">
        <w:rPr>
          <w:szCs w:val="26"/>
        </w:rPr>
        <w:t xml:space="preserve">to support his argument that there is an opt-out, </w:t>
      </w:r>
      <w:r w:rsidR="002500D1">
        <w:rPr>
          <w:szCs w:val="26"/>
        </w:rPr>
        <w:t>Mr. Smiles</w:t>
      </w:r>
      <w:r w:rsidR="002F4040">
        <w:rPr>
          <w:szCs w:val="26"/>
        </w:rPr>
        <w:t xml:space="preserve"> </w:t>
      </w:r>
      <w:r w:rsidR="00405D03">
        <w:rPr>
          <w:szCs w:val="26"/>
        </w:rPr>
        <w:t>raises an argument focused e</w:t>
      </w:r>
      <w:r w:rsidR="002F4040">
        <w:rPr>
          <w:szCs w:val="26"/>
        </w:rPr>
        <w:t>ntirely on a portion of the language appearing in Section 2807(f)(2)(</w:t>
      </w:r>
      <w:proofErr w:type="spellStart"/>
      <w:r w:rsidR="002F4040">
        <w:rPr>
          <w:szCs w:val="26"/>
        </w:rPr>
        <w:t>i</w:t>
      </w:r>
      <w:proofErr w:type="spellEnd"/>
      <w:r w:rsidR="002F4040">
        <w:rPr>
          <w:szCs w:val="26"/>
        </w:rPr>
        <w:t>), which states that the EDCs shall furnish smart meter technology “[u]</w:t>
      </w:r>
      <w:proofErr w:type="spellStart"/>
      <w:r w:rsidR="002F4040">
        <w:rPr>
          <w:szCs w:val="26"/>
        </w:rPr>
        <w:t>pon</w:t>
      </w:r>
      <w:proofErr w:type="spellEnd"/>
      <w:r w:rsidR="002F4040">
        <w:rPr>
          <w:szCs w:val="26"/>
        </w:rPr>
        <w:t xml:space="preserve"> request from a customer that agrees to pay the cost of the smart meter at the time of the request.”  66 Pa. C.S. § 2807(f)(2)(</w:t>
      </w:r>
      <w:proofErr w:type="spellStart"/>
      <w:r w:rsidR="002F4040">
        <w:rPr>
          <w:szCs w:val="26"/>
        </w:rPr>
        <w:t>i</w:t>
      </w:r>
      <w:proofErr w:type="spellEnd"/>
      <w:r w:rsidR="002F4040">
        <w:rPr>
          <w:szCs w:val="26"/>
        </w:rPr>
        <w:t xml:space="preserve">).  </w:t>
      </w:r>
      <w:r w:rsidR="00192BF2">
        <w:rPr>
          <w:szCs w:val="26"/>
        </w:rPr>
        <w:t xml:space="preserve">He focuses solely on the “upon request from a customer” portion of this language without regarding the entirety of Section 2807(f).  </w:t>
      </w:r>
      <w:r w:rsidR="0017409D">
        <w:rPr>
          <w:szCs w:val="26"/>
        </w:rPr>
        <w:t>I</w:t>
      </w:r>
      <w:r w:rsidR="007441E0">
        <w:rPr>
          <w:szCs w:val="26"/>
        </w:rPr>
        <w:t>n our opinion,</w:t>
      </w:r>
      <w:r w:rsidR="002F4040">
        <w:rPr>
          <w:szCs w:val="26"/>
        </w:rPr>
        <w:t xml:space="preserve"> </w:t>
      </w:r>
      <w:r w:rsidR="00C90E6E">
        <w:rPr>
          <w:szCs w:val="26"/>
        </w:rPr>
        <w:t xml:space="preserve">Mr. Smiles </w:t>
      </w:r>
      <w:r w:rsidR="002F4040">
        <w:rPr>
          <w:szCs w:val="26"/>
        </w:rPr>
        <w:t>incorrectly interpret</w:t>
      </w:r>
      <w:r w:rsidR="007441E0">
        <w:rPr>
          <w:szCs w:val="26"/>
        </w:rPr>
        <w:t>s</w:t>
      </w:r>
      <w:r w:rsidR="002F4040">
        <w:rPr>
          <w:szCs w:val="26"/>
        </w:rPr>
        <w:t xml:space="preserve"> th</w:t>
      </w:r>
      <w:r w:rsidR="00192BF2">
        <w:rPr>
          <w:szCs w:val="26"/>
        </w:rPr>
        <w:t>is</w:t>
      </w:r>
      <w:r w:rsidR="002F4040">
        <w:rPr>
          <w:szCs w:val="26"/>
        </w:rPr>
        <w:t xml:space="preserve"> provision.  Section</w:t>
      </w:r>
      <w:r w:rsidR="00D15086">
        <w:rPr>
          <w:szCs w:val="26"/>
        </w:rPr>
        <w:t> </w:t>
      </w:r>
      <w:r w:rsidR="002F4040">
        <w:rPr>
          <w:szCs w:val="26"/>
        </w:rPr>
        <w:t>2807(f) of the Code</w:t>
      </w:r>
      <w:r w:rsidR="009C4693">
        <w:rPr>
          <w:szCs w:val="26"/>
        </w:rPr>
        <w:t>, in its entirety,</w:t>
      </w:r>
      <w:r w:rsidR="002F4040">
        <w:rPr>
          <w:szCs w:val="26"/>
        </w:rPr>
        <w:t xml:space="preserve"> prescribes that EDCs must file smart meter plans and “shall furnish smart meter technology” in any of the following situations: </w:t>
      </w:r>
      <w:r w:rsidR="00352013">
        <w:rPr>
          <w:szCs w:val="26"/>
        </w:rPr>
        <w:t xml:space="preserve"> </w:t>
      </w:r>
      <w:r w:rsidR="002F4040">
        <w:rPr>
          <w:szCs w:val="26"/>
        </w:rPr>
        <w:t>(</w:t>
      </w:r>
      <w:proofErr w:type="spellStart"/>
      <w:r w:rsidR="002F4040">
        <w:rPr>
          <w:szCs w:val="26"/>
        </w:rPr>
        <w:t>i</w:t>
      </w:r>
      <w:proofErr w:type="spellEnd"/>
      <w:r w:rsidR="002F4040">
        <w:rPr>
          <w:szCs w:val="26"/>
        </w:rPr>
        <w:t>) “[u]</w:t>
      </w:r>
      <w:proofErr w:type="spellStart"/>
      <w:r w:rsidR="002F4040">
        <w:rPr>
          <w:szCs w:val="26"/>
        </w:rPr>
        <w:t>pon</w:t>
      </w:r>
      <w:proofErr w:type="spellEnd"/>
      <w:r w:rsidR="002F4040">
        <w:rPr>
          <w:szCs w:val="26"/>
        </w:rPr>
        <w:t xml:space="preserve"> request from a customer that agrees to pay the cost of the smart meter at the time of the request”; (ii) “[</w:t>
      </w:r>
      <w:proofErr w:type="spellStart"/>
      <w:r w:rsidR="002F4040">
        <w:rPr>
          <w:szCs w:val="26"/>
        </w:rPr>
        <w:t>i</w:t>
      </w:r>
      <w:proofErr w:type="spellEnd"/>
      <w:r w:rsidR="002F4040">
        <w:rPr>
          <w:szCs w:val="26"/>
        </w:rPr>
        <w:t>]n new building construction”; and (iii) “[</w:t>
      </w:r>
      <w:proofErr w:type="spellStart"/>
      <w:r w:rsidR="002F4040">
        <w:rPr>
          <w:szCs w:val="26"/>
        </w:rPr>
        <w:t>i</w:t>
      </w:r>
      <w:proofErr w:type="spellEnd"/>
      <w:r w:rsidR="002F4040">
        <w:rPr>
          <w:szCs w:val="26"/>
        </w:rPr>
        <w:t>]n accordance with a depreciation schedule not to exceed 15 years.”  66 Pa. C.S. § 2807(f)(1)-(2).  We previously concluded that</w:t>
      </w:r>
      <w:r w:rsidR="002F4040" w:rsidRPr="00667DA5">
        <w:rPr>
          <w:szCs w:val="26"/>
        </w:rPr>
        <w:t xml:space="preserve"> the use of the word “shall” in </w:t>
      </w:r>
      <w:r w:rsidR="002F4040">
        <w:rPr>
          <w:szCs w:val="26"/>
        </w:rPr>
        <w:t>Section 2807(f)</w:t>
      </w:r>
      <w:r w:rsidR="002F4040" w:rsidRPr="00667DA5">
        <w:rPr>
          <w:szCs w:val="26"/>
        </w:rPr>
        <w:t xml:space="preserve"> indicates the General Assembly’s direction that all customers will receive a smart meter.</w:t>
      </w:r>
      <w:r w:rsidR="002F4040">
        <w:rPr>
          <w:szCs w:val="26"/>
        </w:rPr>
        <w:t xml:space="preserve">  </w:t>
      </w:r>
      <w:r w:rsidR="002F4040" w:rsidRPr="006B1849">
        <w:rPr>
          <w:i/>
          <w:iCs/>
          <w:szCs w:val="26"/>
        </w:rPr>
        <w:t xml:space="preserve">2013 </w:t>
      </w:r>
      <w:proofErr w:type="spellStart"/>
      <w:r w:rsidR="002F4040" w:rsidRPr="006B1849">
        <w:rPr>
          <w:i/>
          <w:iCs/>
          <w:szCs w:val="26"/>
        </w:rPr>
        <w:t>Povacz</w:t>
      </w:r>
      <w:proofErr w:type="spellEnd"/>
      <w:r w:rsidR="002F4040" w:rsidRPr="006B1849">
        <w:rPr>
          <w:i/>
          <w:iCs/>
          <w:szCs w:val="26"/>
        </w:rPr>
        <w:t xml:space="preserve"> Order</w:t>
      </w:r>
      <w:r w:rsidR="002F4040">
        <w:rPr>
          <w:szCs w:val="26"/>
        </w:rPr>
        <w:t xml:space="preserve"> at 10.  In our opinion, when comprehensively reading Section 2807(f)(2)(</w:t>
      </w:r>
      <w:proofErr w:type="spellStart"/>
      <w:r w:rsidR="002F4040">
        <w:rPr>
          <w:szCs w:val="26"/>
        </w:rPr>
        <w:t>i</w:t>
      </w:r>
      <w:proofErr w:type="spellEnd"/>
      <w:r w:rsidR="002F4040">
        <w:rPr>
          <w:szCs w:val="26"/>
        </w:rPr>
        <w:t>) and (iii) together, subsection (</w:t>
      </w:r>
      <w:proofErr w:type="spellStart"/>
      <w:r w:rsidR="002F4040">
        <w:rPr>
          <w:szCs w:val="26"/>
        </w:rPr>
        <w:t>i</w:t>
      </w:r>
      <w:proofErr w:type="spellEnd"/>
      <w:r w:rsidR="002F4040">
        <w:rPr>
          <w:szCs w:val="26"/>
        </w:rPr>
        <w:t xml:space="preserve">) directs an EDC to install a smart meter upon the request of a customer in the event the customer desires a smart meter to be installed at the customer’s premises in advance of the time the EDC will install a smart meter at the customer’s premises in accordance with the EDC’s Commission-approved depreciation or deployment schedule. </w:t>
      </w:r>
      <w:r w:rsidR="007E5E81">
        <w:rPr>
          <w:szCs w:val="26"/>
        </w:rPr>
        <w:t xml:space="preserve"> </w:t>
      </w:r>
      <w:r w:rsidR="002F4040">
        <w:rPr>
          <w:szCs w:val="26"/>
        </w:rPr>
        <w:t>This interpretation is based on the language in (</w:t>
      </w:r>
      <w:proofErr w:type="spellStart"/>
      <w:r w:rsidR="002F4040">
        <w:rPr>
          <w:szCs w:val="26"/>
        </w:rPr>
        <w:t>i</w:t>
      </w:r>
      <w:proofErr w:type="spellEnd"/>
      <w:r w:rsidR="002F4040">
        <w:rPr>
          <w:szCs w:val="26"/>
        </w:rPr>
        <w:t xml:space="preserve">) requiring the customer to agree to pay the cost for the installation of the smart meter at the time of the request.  In contrast, the depreciation schedule referenced in subsection (iii) addresses the length of time the EDCs will recover the depreciation expense in socialized utility rates </w:t>
      </w:r>
    </w:p>
    <w:p w14:paraId="7B7EEE97" w14:textId="77777777" w:rsidR="00641124" w:rsidRDefault="00641124">
      <w:pPr>
        <w:widowControl/>
        <w:spacing w:after="160" w:line="259" w:lineRule="auto"/>
        <w:rPr>
          <w:szCs w:val="26"/>
        </w:rPr>
      </w:pPr>
      <w:r>
        <w:rPr>
          <w:szCs w:val="26"/>
        </w:rPr>
        <w:br w:type="page"/>
      </w:r>
    </w:p>
    <w:p w14:paraId="74E5697F" w14:textId="6F4C396B" w:rsidR="00A57869" w:rsidRPr="006B5B9B" w:rsidRDefault="002F4040" w:rsidP="00D15086">
      <w:pPr>
        <w:widowControl/>
        <w:spacing w:line="360" w:lineRule="auto"/>
        <w:contextualSpacing/>
        <w:rPr>
          <w:iCs/>
          <w:szCs w:val="26"/>
        </w:rPr>
      </w:pPr>
      <w:r>
        <w:rPr>
          <w:szCs w:val="26"/>
        </w:rPr>
        <w:lastRenderedPageBreak/>
        <w:t>associated with the capital investment in deploying smart meters system-wide.</w:t>
      </w:r>
      <w:r>
        <w:rPr>
          <w:rStyle w:val="FootnoteReference"/>
          <w:szCs w:val="26"/>
        </w:rPr>
        <w:footnoteReference w:id="14"/>
      </w:r>
      <w:r>
        <w:rPr>
          <w:szCs w:val="26"/>
        </w:rPr>
        <w:t xml:space="preserve">  Indeed, we declared that EDCs must “deploy smart meters system-wide” because of the requirement that smart meters be deployed “in accordance with a depreciation schedule not to exceed 15 years.”</w:t>
      </w:r>
      <w:r w:rsidRPr="00CB0D2A">
        <w:rPr>
          <w:rStyle w:val="FootnoteReference"/>
          <w:szCs w:val="26"/>
        </w:rPr>
        <w:t xml:space="preserve"> </w:t>
      </w:r>
      <w:r w:rsidR="007E5E81">
        <w:rPr>
          <w:szCs w:val="26"/>
        </w:rPr>
        <w:t xml:space="preserve"> </w:t>
      </w:r>
      <w:r w:rsidRPr="00E308F4">
        <w:rPr>
          <w:i/>
          <w:iCs/>
          <w:szCs w:val="26"/>
        </w:rPr>
        <w:t>Smart Meter Installation Order</w:t>
      </w:r>
      <w:r>
        <w:rPr>
          <w:szCs w:val="26"/>
        </w:rPr>
        <w:t xml:space="preserve"> at 14.  We also “recognize[d] that deployment of smart meters on a piecemeal or individual basis could involve greater costs than a systematic system-wide deployment.</w:t>
      </w:r>
      <w:r w:rsidR="00CE669E">
        <w:rPr>
          <w:szCs w:val="26"/>
        </w:rPr>
        <w:t>”</w:t>
      </w:r>
      <w:r>
        <w:rPr>
          <w:szCs w:val="26"/>
        </w:rPr>
        <w:t xml:space="preserve">  </w:t>
      </w:r>
      <w:r w:rsidRPr="00E308F4">
        <w:rPr>
          <w:i/>
          <w:iCs/>
          <w:szCs w:val="26"/>
        </w:rPr>
        <w:t>Smart Meter Installation Order</w:t>
      </w:r>
      <w:r>
        <w:rPr>
          <w:i/>
          <w:iCs/>
          <w:szCs w:val="26"/>
        </w:rPr>
        <w:t xml:space="preserve"> </w:t>
      </w:r>
      <w:r w:rsidRPr="00105C8D">
        <w:rPr>
          <w:szCs w:val="26"/>
        </w:rPr>
        <w:t>at</w:t>
      </w:r>
      <w:r w:rsidR="00D15086">
        <w:rPr>
          <w:szCs w:val="26"/>
        </w:rPr>
        <w:t> </w:t>
      </w:r>
      <w:r w:rsidRPr="00105C8D">
        <w:rPr>
          <w:szCs w:val="26"/>
        </w:rPr>
        <w:t>9,</w:t>
      </w:r>
      <w:r w:rsidR="00D15086">
        <w:rPr>
          <w:szCs w:val="26"/>
        </w:rPr>
        <w:t> </w:t>
      </w:r>
      <w:r w:rsidRPr="00105C8D">
        <w:rPr>
          <w:szCs w:val="26"/>
        </w:rPr>
        <w:t>14</w:t>
      </w:r>
      <w:r>
        <w:rPr>
          <w:szCs w:val="26"/>
        </w:rPr>
        <w:t xml:space="preserve">.  </w:t>
      </w:r>
      <w:r w:rsidR="00717039">
        <w:rPr>
          <w:szCs w:val="26"/>
        </w:rPr>
        <w:t xml:space="preserve">Moreover, we </w:t>
      </w:r>
      <w:r w:rsidR="00CB0B14">
        <w:rPr>
          <w:szCs w:val="26"/>
        </w:rPr>
        <w:t xml:space="preserve">specifically approved PPL’s </w:t>
      </w:r>
      <w:r w:rsidR="00A446E1">
        <w:rPr>
          <w:szCs w:val="26"/>
        </w:rPr>
        <w:t>plan to complete the installment</w:t>
      </w:r>
      <w:r w:rsidR="00AF3EFB">
        <w:rPr>
          <w:szCs w:val="26"/>
        </w:rPr>
        <w:t xml:space="preserve"> of smart meters </w:t>
      </w:r>
      <w:r w:rsidR="00AE156F" w:rsidRPr="00E308F4">
        <w:rPr>
          <w:szCs w:val="26"/>
        </w:rPr>
        <w:t xml:space="preserve">for substantially all customers within its service territory by the end of 2019.  </w:t>
      </w:r>
      <w:r w:rsidR="00AE156F" w:rsidRPr="00E308F4">
        <w:rPr>
          <w:i/>
          <w:szCs w:val="26"/>
        </w:rPr>
        <w:t>See</w:t>
      </w:r>
      <w:r w:rsidR="00AE156F" w:rsidRPr="00E308F4">
        <w:rPr>
          <w:szCs w:val="26"/>
        </w:rPr>
        <w:t xml:space="preserve"> </w:t>
      </w:r>
      <w:r w:rsidR="00AE156F" w:rsidRPr="00E308F4">
        <w:rPr>
          <w:i/>
          <w:szCs w:val="26"/>
        </w:rPr>
        <w:t>Petition of PPL Electric Utilities Corp. for Approval of its Smart Meter Technology Procurement and Installation Plan</w:t>
      </w:r>
      <w:r w:rsidR="00AE156F" w:rsidRPr="00D15086">
        <w:rPr>
          <w:iCs/>
          <w:szCs w:val="26"/>
        </w:rPr>
        <w:t>,</w:t>
      </w:r>
      <w:r w:rsidR="00AE156F" w:rsidRPr="00E308F4">
        <w:rPr>
          <w:i/>
          <w:szCs w:val="26"/>
        </w:rPr>
        <w:t xml:space="preserve"> </w:t>
      </w:r>
      <w:r w:rsidR="00AE156F" w:rsidRPr="00E308F4">
        <w:rPr>
          <w:iCs/>
          <w:szCs w:val="26"/>
        </w:rPr>
        <w:t>Docket No. M-2014-2430781 (Order entered September 3, 2015)</w:t>
      </w:r>
      <w:r w:rsidR="00AE156F" w:rsidRPr="00E308F4">
        <w:rPr>
          <w:i/>
          <w:szCs w:val="26"/>
        </w:rPr>
        <w:t xml:space="preserve">.  </w:t>
      </w:r>
      <w:r w:rsidR="000B62A4">
        <w:rPr>
          <w:iCs/>
          <w:szCs w:val="26"/>
        </w:rPr>
        <w:t xml:space="preserve">Thus, </w:t>
      </w:r>
      <w:r w:rsidR="000B62A4">
        <w:rPr>
          <w:szCs w:val="26"/>
        </w:rPr>
        <w:t xml:space="preserve">with respect to </w:t>
      </w:r>
      <w:r w:rsidR="00C90E6E">
        <w:rPr>
          <w:szCs w:val="26"/>
        </w:rPr>
        <w:t>Mr. Smiles’</w:t>
      </w:r>
      <w:r w:rsidR="000B62A4">
        <w:rPr>
          <w:szCs w:val="26"/>
        </w:rPr>
        <w:t xml:space="preserve"> statutory construction argument of Act 129, the Second Petition does not raise any new</w:t>
      </w:r>
      <w:r w:rsidR="00405D03">
        <w:rPr>
          <w:szCs w:val="26"/>
        </w:rPr>
        <w:t xml:space="preserve">, </w:t>
      </w:r>
      <w:r w:rsidR="000B62A4">
        <w:rPr>
          <w:szCs w:val="26"/>
        </w:rPr>
        <w:t>novel</w:t>
      </w:r>
      <w:r w:rsidR="00405D03">
        <w:rPr>
          <w:szCs w:val="26"/>
        </w:rPr>
        <w:t xml:space="preserve"> or overlooked</w:t>
      </w:r>
      <w:r w:rsidR="000B62A4">
        <w:rPr>
          <w:szCs w:val="26"/>
        </w:rPr>
        <w:t xml:space="preserve"> arguments </w:t>
      </w:r>
      <w:r w:rsidR="00405D03">
        <w:rPr>
          <w:szCs w:val="26"/>
        </w:rPr>
        <w:t>or considerations</w:t>
      </w:r>
      <w:r w:rsidR="000B62A4">
        <w:rPr>
          <w:szCs w:val="26"/>
        </w:rPr>
        <w:t>,</w:t>
      </w:r>
      <w:r w:rsidR="00405D03">
        <w:rPr>
          <w:szCs w:val="26"/>
        </w:rPr>
        <w:t xml:space="preserve"> and therefore fails </w:t>
      </w:r>
      <w:r w:rsidR="000B62A4">
        <w:rPr>
          <w:szCs w:val="26"/>
        </w:rPr>
        <w:t xml:space="preserve">to meet the </w:t>
      </w:r>
      <w:proofErr w:type="spellStart"/>
      <w:r w:rsidR="000B62A4" w:rsidRPr="008C627C">
        <w:rPr>
          <w:i/>
          <w:iCs/>
          <w:szCs w:val="26"/>
        </w:rPr>
        <w:t>Duick</w:t>
      </w:r>
      <w:proofErr w:type="spellEnd"/>
      <w:r w:rsidR="000B62A4">
        <w:rPr>
          <w:szCs w:val="26"/>
        </w:rPr>
        <w:t xml:space="preserve"> standard.  </w:t>
      </w:r>
    </w:p>
    <w:p w14:paraId="0B8CFAE4" w14:textId="77777777" w:rsidR="006B5B9B" w:rsidRPr="00A57869" w:rsidRDefault="006B5B9B" w:rsidP="00D15086">
      <w:pPr>
        <w:widowControl/>
        <w:spacing w:line="360" w:lineRule="auto"/>
        <w:ind w:firstLine="1440"/>
        <w:contextualSpacing/>
        <w:rPr>
          <w:iCs/>
          <w:szCs w:val="26"/>
        </w:rPr>
      </w:pPr>
    </w:p>
    <w:p w14:paraId="7A9BC8A6" w14:textId="3C5795F5" w:rsidR="0045762F" w:rsidRPr="000B62A4" w:rsidRDefault="0045762F" w:rsidP="00D15086">
      <w:pPr>
        <w:pStyle w:val="ListParagraph"/>
        <w:numPr>
          <w:ilvl w:val="0"/>
          <w:numId w:val="3"/>
        </w:numPr>
        <w:spacing w:line="360" w:lineRule="auto"/>
        <w:ind w:left="0" w:firstLine="0"/>
        <w:jc w:val="center"/>
        <w:rPr>
          <w:b/>
          <w:bCs/>
        </w:rPr>
      </w:pPr>
      <w:r w:rsidRPr="000B62A4">
        <w:rPr>
          <w:b/>
          <w:bCs/>
        </w:rPr>
        <w:t>Conclusion</w:t>
      </w:r>
    </w:p>
    <w:p w14:paraId="7BC16D81" w14:textId="77777777" w:rsidR="0045762F" w:rsidRPr="000B62A4" w:rsidRDefault="0045762F" w:rsidP="00D15086">
      <w:pPr>
        <w:widowControl/>
        <w:spacing w:line="360" w:lineRule="auto"/>
        <w:ind w:firstLine="1440"/>
        <w:rPr>
          <w:szCs w:val="26"/>
        </w:rPr>
      </w:pPr>
    </w:p>
    <w:p w14:paraId="1441B6E7" w14:textId="2540A931" w:rsidR="0045762F" w:rsidRPr="0045762F" w:rsidRDefault="0045762F" w:rsidP="00D15086">
      <w:pPr>
        <w:widowControl/>
        <w:spacing w:line="360" w:lineRule="auto"/>
        <w:ind w:firstLine="1440"/>
        <w:rPr>
          <w:szCs w:val="26"/>
        </w:rPr>
      </w:pPr>
      <w:r w:rsidRPr="000B62A4">
        <w:rPr>
          <w:szCs w:val="26"/>
        </w:rPr>
        <w:t xml:space="preserve">Upon our review and consideration of the </w:t>
      </w:r>
      <w:r w:rsidR="008111FB">
        <w:rPr>
          <w:szCs w:val="26"/>
        </w:rPr>
        <w:t xml:space="preserve">First </w:t>
      </w:r>
      <w:r w:rsidRPr="000B62A4">
        <w:rPr>
          <w:szCs w:val="26"/>
        </w:rPr>
        <w:t>Petition</w:t>
      </w:r>
      <w:r w:rsidRPr="0045762F">
        <w:rPr>
          <w:szCs w:val="26"/>
        </w:rPr>
        <w:t xml:space="preserve">, </w:t>
      </w:r>
      <w:r w:rsidR="008111FB">
        <w:rPr>
          <w:szCs w:val="26"/>
        </w:rPr>
        <w:t xml:space="preserve">the Second Petition, PPL’s Answers thereto, </w:t>
      </w:r>
      <w:r w:rsidRPr="0045762F">
        <w:rPr>
          <w:szCs w:val="26"/>
        </w:rPr>
        <w:t xml:space="preserve">the </w:t>
      </w:r>
      <w:r w:rsidR="008111FB">
        <w:rPr>
          <w:szCs w:val="26"/>
        </w:rPr>
        <w:t xml:space="preserve">Initial Decision, and the </w:t>
      </w:r>
      <w:r w:rsidRPr="0045762F">
        <w:rPr>
          <w:szCs w:val="26"/>
        </w:rPr>
        <w:t xml:space="preserve">record evidence in this proceeding, we shall deny </w:t>
      </w:r>
      <w:r w:rsidR="002500D1">
        <w:rPr>
          <w:szCs w:val="26"/>
        </w:rPr>
        <w:t>Mr. Smiles’</w:t>
      </w:r>
      <w:r w:rsidR="008111FB">
        <w:rPr>
          <w:szCs w:val="26"/>
        </w:rPr>
        <w:t xml:space="preserve"> </w:t>
      </w:r>
      <w:r w:rsidR="006B5B9B">
        <w:rPr>
          <w:szCs w:val="26"/>
        </w:rPr>
        <w:t xml:space="preserve">First </w:t>
      </w:r>
      <w:r w:rsidRPr="0045762F">
        <w:rPr>
          <w:szCs w:val="26"/>
        </w:rPr>
        <w:t>Petition</w:t>
      </w:r>
      <w:r w:rsidR="006B5B9B">
        <w:rPr>
          <w:szCs w:val="26"/>
        </w:rPr>
        <w:t xml:space="preserve"> and Second Petition</w:t>
      </w:r>
      <w:r w:rsidRPr="0045762F">
        <w:rPr>
          <w:szCs w:val="26"/>
        </w:rPr>
        <w:t xml:space="preserve"> because </w:t>
      </w:r>
      <w:r w:rsidR="002500D1">
        <w:rPr>
          <w:szCs w:val="26"/>
        </w:rPr>
        <w:t>neither Petition</w:t>
      </w:r>
      <w:r w:rsidRPr="0045762F">
        <w:rPr>
          <w:szCs w:val="26"/>
        </w:rPr>
        <w:t xml:space="preserve"> provided sufficient grounds under the </w:t>
      </w:r>
      <w:proofErr w:type="spellStart"/>
      <w:r w:rsidRPr="0045762F">
        <w:rPr>
          <w:i/>
          <w:szCs w:val="26"/>
        </w:rPr>
        <w:t>Duick</w:t>
      </w:r>
      <w:proofErr w:type="spellEnd"/>
      <w:r w:rsidRPr="0045762F">
        <w:rPr>
          <w:i/>
          <w:szCs w:val="26"/>
        </w:rPr>
        <w:t xml:space="preserve"> </w:t>
      </w:r>
      <w:r w:rsidRPr="0045762F">
        <w:rPr>
          <w:szCs w:val="26"/>
        </w:rPr>
        <w:t xml:space="preserve">standards to support </w:t>
      </w:r>
      <w:r w:rsidR="002500D1">
        <w:rPr>
          <w:szCs w:val="26"/>
        </w:rPr>
        <w:t>the</w:t>
      </w:r>
      <w:r w:rsidRPr="0045762F">
        <w:rPr>
          <w:szCs w:val="26"/>
        </w:rPr>
        <w:t xml:space="preserve"> request</w:t>
      </w:r>
      <w:r w:rsidR="002500D1">
        <w:rPr>
          <w:szCs w:val="26"/>
        </w:rPr>
        <w:t>s</w:t>
      </w:r>
      <w:r w:rsidRPr="0045762F">
        <w:rPr>
          <w:szCs w:val="26"/>
        </w:rPr>
        <w:t xml:space="preserve"> for reconsideration</w:t>
      </w:r>
      <w:r w:rsidR="008111FB">
        <w:rPr>
          <w:szCs w:val="26"/>
        </w:rPr>
        <w:t>, clarification</w:t>
      </w:r>
      <w:r w:rsidRPr="0045762F">
        <w:rPr>
          <w:szCs w:val="26"/>
        </w:rPr>
        <w:t xml:space="preserve"> or rehearing</w:t>
      </w:r>
      <w:r w:rsidR="006B5B9B">
        <w:rPr>
          <w:szCs w:val="26"/>
        </w:rPr>
        <w:t xml:space="preserve"> stated therein</w:t>
      </w:r>
      <w:r w:rsidRPr="0045762F">
        <w:rPr>
          <w:szCs w:val="26"/>
        </w:rPr>
        <w:t xml:space="preserve">; </w:t>
      </w:r>
      <w:r w:rsidRPr="0045762F">
        <w:rPr>
          <w:b/>
          <w:szCs w:val="26"/>
        </w:rPr>
        <w:t>THEREFORE,</w:t>
      </w:r>
    </w:p>
    <w:p w14:paraId="381266A1" w14:textId="77777777" w:rsidR="0045762F" w:rsidRPr="0045762F" w:rsidRDefault="0045762F" w:rsidP="0045762F">
      <w:pPr>
        <w:widowControl/>
        <w:spacing w:line="360" w:lineRule="auto"/>
        <w:rPr>
          <w:szCs w:val="26"/>
        </w:rPr>
      </w:pPr>
    </w:p>
    <w:p w14:paraId="34F7F67F" w14:textId="77777777" w:rsidR="0045762F" w:rsidRPr="0045762F" w:rsidRDefault="0045762F" w:rsidP="00D15086">
      <w:pPr>
        <w:keepNext/>
        <w:widowControl/>
        <w:spacing w:line="360" w:lineRule="auto"/>
        <w:ind w:firstLine="1440"/>
        <w:rPr>
          <w:b/>
          <w:szCs w:val="26"/>
        </w:rPr>
      </w:pPr>
      <w:r w:rsidRPr="0045762F">
        <w:rPr>
          <w:b/>
          <w:szCs w:val="26"/>
        </w:rPr>
        <w:lastRenderedPageBreak/>
        <w:t>IT IS ORDERED:</w:t>
      </w:r>
    </w:p>
    <w:p w14:paraId="27B82EF8" w14:textId="77777777" w:rsidR="0045762F" w:rsidRPr="0045762F" w:rsidRDefault="0045762F" w:rsidP="00D15086">
      <w:pPr>
        <w:keepNext/>
        <w:widowControl/>
        <w:spacing w:line="360" w:lineRule="auto"/>
        <w:rPr>
          <w:szCs w:val="26"/>
        </w:rPr>
      </w:pPr>
    </w:p>
    <w:p w14:paraId="36200751" w14:textId="44ED7EFF" w:rsidR="008111FB" w:rsidRPr="008111FB" w:rsidRDefault="008111FB" w:rsidP="00D15086">
      <w:pPr>
        <w:keepNext/>
        <w:keepLines/>
        <w:widowControl/>
        <w:tabs>
          <w:tab w:val="left" w:pos="-720"/>
        </w:tabs>
        <w:spacing w:line="360" w:lineRule="auto"/>
        <w:ind w:firstLine="1440"/>
        <w:rPr>
          <w:b/>
          <w:szCs w:val="26"/>
        </w:rPr>
      </w:pPr>
      <w:r>
        <w:t>1.</w:t>
      </w:r>
      <w:r>
        <w:tab/>
        <w:t xml:space="preserve">That the Petition titled “Notice to the Court; Objection to Initial Decision Not Received and Petition for Rehearing and/or Reconsideration” filed by Jeffrey Smiles on August 19, 2019, in the above-captioned proceeding at Docket No. </w:t>
      </w:r>
      <w:r w:rsidRPr="0028639A">
        <w:rPr>
          <w:szCs w:val="26"/>
        </w:rPr>
        <w:t>C</w:t>
      </w:r>
      <w:r w:rsidR="00D15086">
        <w:rPr>
          <w:szCs w:val="26"/>
        </w:rPr>
        <w:noBreakHyphen/>
      </w:r>
      <w:r w:rsidRPr="0028639A">
        <w:rPr>
          <w:szCs w:val="26"/>
        </w:rPr>
        <w:t>201</w:t>
      </w:r>
      <w:r>
        <w:rPr>
          <w:szCs w:val="26"/>
        </w:rPr>
        <w:t>8-3003895</w:t>
      </w:r>
      <w:r>
        <w:t xml:space="preserve">, is denied.   </w:t>
      </w:r>
    </w:p>
    <w:p w14:paraId="61A6E352" w14:textId="77777777" w:rsidR="008111FB" w:rsidRDefault="008111FB" w:rsidP="00D15086">
      <w:pPr>
        <w:keepNext/>
        <w:keepLines/>
        <w:widowControl/>
        <w:tabs>
          <w:tab w:val="left" w:pos="-720"/>
        </w:tabs>
        <w:spacing w:line="360" w:lineRule="auto"/>
        <w:ind w:firstLine="1440"/>
      </w:pPr>
    </w:p>
    <w:p w14:paraId="144574F9" w14:textId="2FC161BD" w:rsidR="008111FB" w:rsidRPr="008111FB" w:rsidRDefault="008111FB" w:rsidP="00D15086">
      <w:pPr>
        <w:keepNext/>
        <w:keepLines/>
        <w:widowControl/>
        <w:tabs>
          <w:tab w:val="left" w:pos="-720"/>
        </w:tabs>
        <w:spacing w:line="360" w:lineRule="auto"/>
        <w:ind w:firstLine="1440"/>
        <w:rPr>
          <w:b/>
          <w:szCs w:val="26"/>
        </w:rPr>
      </w:pPr>
      <w:r>
        <w:t>2.</w:t>
      </w:r>
      <w:r>
        <w:tab/>
        <w:t>That the Petition tiled “Notice and Petition for Judicial Determination of Jurisdiction”</w:t>
      </w:r>
      <w:r w:rsidRPr="008111FB">
        <w:t xml:space="preserve"> </w:t>
      </w:r>
      <w:r>
        <w:t xml:space="preserve">filed by Jeffrey Smiles on August 19, 2019, in the above-captioned proceeding at Docket No. </w:t>
      </w:r>
      <w:r w:rsidRPr="0028639A">
        <w:rPr>
          <w:szCs w:val="26"/>
        </w:rPr>
        <w:t>C-201</w:t>
      </w:r>
      <w:r>
        <w:rPr>
          <w:szCs w:val="26"/>
        </w:rPr>
        <w:t>8-3003895</w:t>
      </w:r>
      <w:r>
        <w:t xml:space="preserve">, is denied.     </w:t>
      </w:r>
    </w:p>
    <w:p w14:paraId="26BD44B4" w14:textId="662DC3D1" w:rsidR="008111FB" w:rsidRDefault="008111FB" w:rsidP="008111FB">
      <w:pPr>
        <w:keepNext/>
        <w:keepLines/>
        <w:widowControl/>
        <w:tabs>
          <w:tab w:val="left" w:pos="-720"/>
        </w:tabs>
        <w:rPr>
          <w:b/>
          <w:szCs w:val="26"/>
        </w:rPr>
      </w:pPr>
    </w:p>
    <w:p w14:paraId="04BE1833" w14:textId="77777777" w:rsidR="00D15086" w:rsidRPr="0045762F" w:rsidRDefault="00D15086" w:rsidP="008111FB">
      <w:pPr>
        <w:keepNext/>
        <w:keepLines/>
        <w:widowControl/>
        <w:tabs>
          <w:tab w:val="left" w:pos="-720"/>
        </w:tabs>
        <w:rPr>
          <w:b/>
          <w:szCs w:val="26"/>
        </w:rPr>
      </w:pPr>
    </w:p>
    <w:p w14:paraId="1524AD75" w14:textId="7A152E54" w:rsidR="0045762F" w:rsidRPr="0045762F" w:rsidRDefault="004921FA" w:rsidP="0045762F">
      <w:pPr>
        <w:keepNext/>
        <w:keepLines/>
        <w:widowControl/>
        <w:tabs>
          <w:tab w:val="left" w:pos="-720"/>
        </w:tabs>
        <w:ind w:firstLine="5040"/>
        <w:rPr>
          <w:szCs w:val="26"/>
        </w:rPr>
      </w:pPr>
      <w:bookmarkStart w:id="8" w:name="_GoBack"/>
      <w:r w:rsidRPr="009F01BA">
        <w:rPr>
          <w:b/>
          <w:noProof/>
          <w:sz w:val="20"/>
        </w:rPr>
        <w:drawing>
          <wp:anchor distT="0" distB="0" distL="114300" distR="114300" simplePos="0" relativeHeight="251659264" behindDoc="1" locked="0" layoutInCell="1" allowOverlap="1" wp14:anchorId="16CF2A82" wp14:editId="18BFD2AF">
            <wp:simplePos x="0" y="0"/>
            <wp:positionH relativeFrom="column">
              <wp:posOffset>3200400</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8"/>
      <w:r w:rsidR="0045762F" w:rsidRPr="0045762F">
        <w:rPr>
          <w:b/>
          <w:szCs w:val="26"/>
        </w:rPr>
        <w:t>BY THE COMMISSION,</w:t>
      </w:r>
    </w:p>
    <w:p w14:paraId="3B1F270A" w14:textId="7BBC9203" w:rsidR="0045762F" w:rsidRPr="0045762F" w:rsidRDefault="0045762F" w:rsidP="0045762F">
      <w:pPr>
        <w:keepNext/>
        <w:keepLines/>
        <w:widowControl/>
        <w:tabs>
          <w:tab w:val="left" w:pos="-720"/>
        </w:tabs>
        <w:rPr>
          <w:szCs w:val="26"/>
        </w:rPr>
      </w:pPr>
    </w:p>
    <w:p w14:paraId="352973B0" w14:textId="6DABFCFC" w:rsidR="0045762F" w:rsidRPr="0045762F" w:rsidRDefault="0045762F" w:rsidP="0045762F">
      <w:pPr>
        <w:keepNext/>
        <w:keepLines/>
        <w:widowControl/>
        <w:tabs>
          <w:tab w:val="left" w:pos="-720"/>
        </w:tabs>
        <w:rPr>
          <w:szCs w:val="26"/>
        </w:rPr>
      </w:pPr>
    </w:p>
    <w:p w14:paraId="1248049A" w14:textId="77777777" w:rsidR="0045762F" w:rsidRPr="0045762F" w:rsidRDefault="0045762F" w:rsidP="0045762F">
      <w:pPr>
        <w:keepNext/>
        <w:keepLines/>
        <w:widowControl/>
        <w:tabs>
          <w:tab w:val="left" w:pos="-720"/>
        </w:tabs>
        <w:rPr>
          <w:szCs w:val="26"/>
        </w:rPr>
      </w:pPr>
    </w:p>
    <w:p w14:paraId="6FE53D5E" w14:textId="77777777" w:rsidR="0045762F" w:rsidRPr="0045762F" w:rsidRDefault="0045762F" w:rsidP="0045762F">
      <w:pPr>
        <w:keepNext/>
        <w:keepLines/>
        <w:widowControl/>
        <w:tabs>
          <w:tab w:val="left" w:pos="-720"/>
        </w:tabs>
        <w:rPr>
          <w:szCs w:val="26"/>
        </w:rPr>
      </w:pPr>
    </w:p>
    <w:p w14:paraId="48702C8B" w14:textId="77777777" w:rsidR="0045762F" w:rsidRPr="0045762F" w:rsidRDefault="0045762F" w:rsidP="006B5B9B">
      <w:pPr>
        <w:keepNext/>
        <w:keepLines/>
        <w:widowControl/>
        <w:tabs>
          <w:tab w:val="left" w:pos="-720"/>
        </w:tabs>
        <w:spacing w:line="276" w:lineRule="auto"/>
        <w:ind w:firstLine="5040"/>
        <w:rPr>
          <w:b/>
          <w:szCs w:val="26"/>
        </w:rPr>
      </w:pPr>
      <w:r w:rsidRPr="0045762F">
        <w:rPr>
          <w:szCs w:val="26"/>
        </w:rPr>
        <w:t>Rosemary Chiavetta</w:t>
      </w:r>
    </w:p>
    <w:p w14:paraId="1269B1D5" w14:textId="77777777" w:rsidR="0045762F" w:rsidRPr="0045762F" w:rsidRDefault="0045762F" w:rsidP="006B5B9B">
      <w:pPr>
        <w:keepNext/>
        <w:keepLines/>
        <w:widowControl/>
        <w:tabs>
          <w:tab w:val="left" w:pos="-720"/>
        </w:tabs>
        <w:spacing w:line="276" w:lineRule="auto"/>
        <w:ind w:firstLine="5040"/>
        <w:rPr>
          <w:szCs w:val="26"/>
        </w:rPr>
      </w:pPr>
      <w:r w:rsidRPr="0045762F">
        <w:rPr>
          <w:szCs w:val="26"/>
        </w:rPr>
        <w:t>Secretary</w:t>
      </w:r>
    </w:p>
    <w:p w14:paraId="7BD7E9FA" w14:textId="77777777" w:rsidR="0045762F" w:rsidRPr="0045762F" w:rsidRDefault="0045762F" w:rsidP="0045762F">
      <w:pPr>
        <w:keepNext/>
        <w:keepLines/>
        <w:widowControl/>
        <w:tabs>
          <w:tab w:val="left" w:pos="-720"/>
        </w:tabs>
        <w:rPr>
          <w:szCs w:val="26"/>
        </w:rPr>
      </w:pPr>
    </w:p>
    <w:p w14:paraId="25382577" w14:textId="77777777" w:rsidR="0045762F" w:rsidRPr="0045762F" w:rsidRDefault="0045762F" w:rsidP="0045762F">
      <w:pPr>
        <w:keepNext/>
        <w:keepLines/>
        <w:widowControl/>
        <w:tabs>
          <w:tab w:val="left" w:pos="-720"/>
        </w:tabs>
        <w:rPr>
          <w:szCs w:val="26"/>
        </w:rPr>
      </w:pPr>
    </w:p>
    <w:p w14:paraId="760213A1" w14:textId="77777777" w:rsidR="0045762F" w:rsidRPr="0045762F" w:rsidRDefault="0045762F" w:rsidP="0045762F">
      <w:pPr>
        <w:keepNext/>
        <w:keepLines/>
        <w:widowControl/>
        <w:tabs>
          <w:tab w:val="left" w:pos="-720"/>
        </w:tabs>
        <w:rPr>
          <w:szCs w:val="26"/>
        </w:rPr>
      </w:pPr>
      <w:r w:rsidRPr="0045762F">
        <w:rPr>
          <w:szCs w:val="26"/>
        </w:rPr>
        <w:t>(SEAL)</w:t>
      </w:r>
    </w:p>
    <w:p w14:paraId="48B7F9AE" w14:textId="77777777" w:rsidR="0045762F" w:rsidRPr="0045762F" w:rsidRDefault="0045762F" w:rsidP="0045762F">
      <w:pPr>
        <w:keepNext/>
        <w:keepLines/>
        <w:widowControl/>
        <w:tabs>
          <w:tab w:val="left" w:pos="-720"/>
        </w:tabs>
        <w:rPr>
          <w:szCs w:val="26"/>
        </w:rPr>
      </w:pPr>
    </w:p>
    <w:p w14:paraId="54F25B28" w14:textId="77777777" w:rsidR="0045762F" w:rsidRPr="0045762F" w:rsidRDefault="0045762F" w:rsidP="0045762F">
      <w:pPr>
        <w:keepNext/>
        <w:keepLines/>
        <w:widowControl/>
        <w:tabs>
          <w:tab w:val="left" w:pos="-720"/>
        </w:tabs>
        <w:rPr>
          <w:szCs w:val="26"/>
        </w:rPr>
      </w:pPr>
      <w:r w:rsidRPr="0045762F">
        <w:rPr>
          <w:szCs w:val="26"/>
        </w:rPr>
        <w:t>ORDER ADOPTED:  August 27, 2020</w:t>
      </w:r>
    </w:p>
    <w:p w14:paraId="709FEA4A" w14:textId="77777777" w:rsidR="0045762F" w:rsidRPr="0045762F" w:rsidRDefault="0045762F" w:rsidP="0045762F">
      <w:pPr>
        <w:keepNext/>
        <w:keepLines/>
        <w:widowControl/>
        <w:tabs>
          <w:tab w:val="left" w:pos="-720"/>
        </w:tabs>
        <w:rPr>
          <w:szCs w:val="26"/>
        </w:rPr>
      </w:pPr>
    </w:p>
    <w:p w14:paraId="41EC1424" w14:textId="10FC5FF5" w:rsidR="0045762F" w:rsidRPr="0045762F" w:rsidRDefault="0045762F" w:rsidP="0045762F">
      <w:pPr>
        <w:keepNext/>
        <w:keepLines/>
        <w:widowControl/>
        <w:tabs>
          <w:tab w:val="left" w:pos="-720"/>
        </w:tabs>
        <w:rPr>
          <w:szCs w:val="26"/>
        </w:rPr>
      </w:pPr>
      <w:r w:rsidRPr="0045762F">
        <w:rPr>
          <w:szCs w:val="26"/>
        </w:rPr>
        <w:t xml:space="preserve">ORDER ENTERED:  </w:t>
      </w:r>
      <w:r w:rsidR="004921FA">
        <w:rPr>
          <w:szCs w:val="26"/>
        </w:rPr>
        <w:t>August 27, 2020</w:t>
      </w:r>
    </w:p>
    <w:p w14:paraId="3F5CEFBA" w14:textId="77777777" w:rsidR="0045762F" w:rsidRDefault="0045762F"/>
    <w:sectPr w:rsidR="0045762F" w:rsidSect="00CF186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053D2" w14:textId="77777777" w:rsidR="00EB3853" w:rsidRDefault="00EB3853" w:rsidP="00B6362E">
      <w:r>
        <w:separator/>
      </w:r>
    </w:p>
  </w:endnote>
  <w:endnote w:type="continuationSeparator" w:id="0">
    <w:p w14:paraId="78BFDE04" w14:textId="77777777" w:rsidR="00EB3853" w:rsidRDefault="00EB3853" w:rsidP="00B6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417590"/>
      <w:docPartObj>
        <w:docPartGallery w:val="Page Numbers (Bottom of Page)"/>
        <w:docPartUnique/>
      </w:docPartObj>
    </w:sdtPr>
    <w:sdtEndPr>
      <w:rPr>
        <w:noProof/>
      </w:rPr>
    </w:sdtEndPr>
    <w:sdtContent>
      <w:p w14:paraId="39D7E7CC" w14:textId="47BF44B4" w:rsidR="00CF186C" w:rsidRDefault="00CF186C" w:rsidP="003A235C">
        <w:pPr>
          <w:pStyle w:val="Footer"/>
          <w:tabs>
            <w:tab w:val="clear" w:pos="4680"/>
          </w:tabs>
          <w:jc w:val="center"/>
        </w:pPr>
        <w:r>
          <w:fldChar w:fldCharType="begin"/>
        </w:r>
        <w:r>
          <w:instrText xml:space="preserve"> PAGE   \* MERGEFORMAT </w:instrText>
        </w:r>
        <w:r>
          <w:fldChar w:fldCharType="separate"/>
        </w:r>
        <w:r w:rsidR="003258D0">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7B784" w14:textId="77777777" w:rsidR="00EB3853" w:rsidRDefault="00EB3853" w:rsidP="00B6362E">
      <w:r>
        <w:separator/>
      </w:r>
    </w:p>
  </w:footnote>
  <w:footnote w:type="continuationSeparator" w:id="0">
    <w:p w14:paraId="599E9C1D" w14:textId="77777777" w:rsidR="00EB3853" w:rsidRDefault="00EB3853" w:rsidP="00B6362E">
      <w:r>
        <w:continuationSeparator/>
      </w:r>
    </w:p>
  </w:footnote>
  <w:footnote w:id="1">
    <w:p w14:paraId="229A99C9" w14:textId="5E5278D5" w:rsidR="004203A9" w:rsidRPr="0066038F" w:rsidRDefault="004203A9" w:rsidP="002500D1">
      <w:pPr>
        <w:pStyle w:val="FootnoteText"/>
        <w:widowControl/>
        <w:spacing w:after="120"/>
        <w:ind w:firstLine="720"/>
        <w:rPr>
          <w:sz w:val="26"/>
          <w:szCs w:val="26"/>
        </w:rPr>
      </w:pPr>
      <w:r w:rsidRPr="0066038F">
        <w:rPr>
          <w:rStyle w:val="FootnoteReference"/>
          <w:sz w:val="26"/>
          <w:szCs w:val="26"/>
        </w:rPr>
        <w:footnoteRef/>
      </w:r>
      <w:r w:rsidRPr="0066038F">
        <w:rPr>
          <w:sz w:val="26"/>
          <w:szCs w:val="26"/>
        </w:rPr>
        <w:t xml:space="preserve"> </w:t>
      </w:r>
      <w:r w:rsidRPr="0066038F">
        <w:rPr>
          <w:sz w:val="26"/>
          <w:szCs w:val="26"/>
        </w:rPr>
        <w:tab/>
        <w:t xml:space="preserve">The Complaint was served upon PPL on August 8, 2018.  </w:t>
      </w:r>
    </w:p>
  </w:footnote>
  <w:footnote w:id="2">
    <w:p w14:paraId="21AF8589" w14:textId="73CC12D4" w:rsidR="004203A9" w:rsidRPr="000368BE" w:rsidRDefault="004203A9" w:rsidP="000368BE">
      <w:pPr>
        <w:pStyle w:val="Default"/>
        <w:ind w:firstLine="720"/>
        <w:rPr>
          <w:color w:val="auto"/>
          <w:sz w:val="26"/>
          <w:szCs w:val="26"/>
        </w:rPr>
      </w:pPr>
      <w:r w:rsidRPr="0066038F">
        <w:rPr>
          <w:rStyle w:val="FootnoteReference"/>
          <w:sz w:val="26"/>
          <w:szCs w:val="26"/>
        </w:rPr>
        <w:footnoteRef/>
      </w:r>
      <w:r w:rsidRPr="0066038F">
        <w:rPr>
          <w:sz w:val="26"/>
          <w:szCs w:val="26"/>
        </w:rPr>
        <w:t xml:space="preserve"> </w:t>
      </w:r>
      <w:r w:rsidRPr="0066038F">
        <w:rPr>
          <w:sz w:val="26"/>
          <w:szCs w:val="26"/>
        </w:rPr>
        <w:tab/>
        <w:t>On September 10, 2018, the Parties were served with a Hearing Notice, scheduling a telephonic hearing on March 8, 2019, and assigning Administrative Law Judge (ALJ) Barnes as presiding officer.</w:t>
      </w:r>
      <w:r w:rsidR="003E3808">
        <w:rPr>
          <w:sz w:val="26"/>
          <w:szCs w:val="26"/>
        </w:rPr>
        <w:t xml:space="preserve"> </w:t>
      </w:r>
      <w:r w:rsidRPr="0066038F">
        <w:rPr>
          <w:sz w:val="26"/>
          <w:szCs w:val="26"/>
        </w:rPr>
        <w:t xml:space="preserve"> Also, on September 10, 2018, ALJ Barnes issued a Prehearing Order.  On February 6, 2019, PPL requested a continuance of the March 8, 2019 hearing to June 11, 2019. </w:t>
      </w:r>
      <w:r w:rsidR="003E3808">
        <w:rPr>
          <w:sz w:val="26"/>
          <w:szCs w:val="26"/>
        </w:rPr>
        <w:t xml:space="preserve"> </w:t>
      </w:r>
      <w:r w:rsidRPr="0066038F">
        <w:rPr>
          <w:sz w:val="26"/>
          <w:szCs w:val="26"/>
        </w:rPr>
        <w:t>On February 19, 2019, a Call-In Telephone Cancellation/Reschedule Hearing Notice was issued, rescheduling the hearing to May</w:t>
      </w:r>
      <w:r w:rsidR="002E4893">
        <w:rPr>
          <w:sz w:val="26"/>
          <w:szCs w:val="26"/>
        </w:rPr>
        <w:t> </w:t>
      </w:r>
      <w:r w:rsidRPr="0066038F">
        <w:rPr>
          <w:sz w:val="26"/>
          <w:szCs w:val="26"/>
        </w:rPr>
        <w:t>24,</w:t>
      </w:r>
      <w:r w:rsidR="002E4893">
        <w:rPr>
          <w:sz w:val="26"/>
          <w:szCs w:val="26"/>
        </w:rPr>
        <w:t> </w:t>
      </w:r>
      <w:r w:rsidRPr="0066038F">
        <w:rPr>
          <w:sz w:val="26"/>
          <w:szCs w:val="26"/>
        </w:rPr>
        <w:t xml:space="preserve">2019.  We note that the foregoing Hearing Notice, Prehearing Order, Reschedule Hearing Notice, as issued by the Commission, were served on </w:t>
      </w:r>
      <w:r w:rsidR="000E3AA9">
        <w:rPr>
          <w:sz w:val="26"/>
          <w:szCs w:val="26"/>
        </w:rPr>
        <w:t>Mr. Smiles</w:t>
      </w:r>
      <w:r w:rsidRPr="0066038F">
        <w:rPr>
          <w:sz w:val="26"/>
          <w:szCs w:val="26"/>
        </w:rPr>
        <w:t xml:space="preserve"> at the service address on record and not returned to the Commission as undeliverable. </w:t>
      </w:r>
    </w:p>
  </w:footnote>
  <w:footnote w:id="3">
    <w:p w14:paraId="78085CAF" w14:textId="30BF3CA4" w:rsidR="004203A9" w:rsidRPr="003712D5" w:rsidRDefault="004203A9" w:rsidP="002500D1">
      <w:pPr>
        <w:pStyle w:val="FootnoteText"/>
        <w:spacing w:after="120"/>
        <w:ind w:firstLine="720"/>
        <w:rPr>
          <w:sz w:val="26"/>
          <w:szCs w:val="26"/>
        </w:rPr>
      </w:pPr>
      <w:r w:rsidRPr="003712D5">
        <w:rPr>
          <w:rStyle w:val="FootnoteReference"/>
          <w:sz w:val="26"/>
          <w:szCs w:val="26"/>
        </w:rPr>
        <w:footnoteRef/>
      </w:r>
      <w:r w:rsidRPr="003712D5">
        <w:rPr>
          <w:sz w:val="26"/>
          <w:szCs w:val="26"/>
        </w:rPr>
        <w:t xml:space="preserve">  </w:t>
      </w:r>
      <w:r w:rsidRPr="003712D5">
        <w:rPr>
          <w:sz w:val="26"/>
          <w:szCs w:val="26"/>
        </w:rPr>
        <w:tab/>
        <w:t xml:space="preserve">All transcript citations reference the hearing transcript dated May 24, 2019.  </w:t>
      </w:r>
    </w:p>
  </w:footnote>
  <w:footnote w:id="4">
    <w:p w14:paraId="25F3849D" w14:textId="77777777" w:rsidR="002500D1" w:rsidRPr="002500D1" w:rsidRDefault="002500D1" w:rsidP="002500D1">
      <w:pPr>
        <w:pStyle w:val="Default"/>
        <w:ind w:firstLine="720"/>
        <w:rPr>
          <w:sz w:val="26"/>
          <w:szCs w:val="26"/>
        </w:rPr>
      </w:pPr>
      <w:r w:rsidRPr="002500D1">
        <w:rPr>
          <w:rStyle w:val="FootnoteReference"/>
          <w:sz w:val="26"/>
          <w:szCs w:val="26"/>
        </w:rPr>
        <w:footnoteRef/>
      </w:r>
      <w:r w:rsidRPr="002500D1">
        <w:rPr>
          <w:sz w:val="26"/>
          <w:szCs w:val="26"/>
        </w:rPr>
        <w:t xml:space="preserve"> </w:t>
      </w:r>
      <w:r w:rsidRPr="002500D1">
        <w:rPr>
          <w:sz w:val="26"/>
          <w:szCs w:val="26"/>
        </w:rPr>
        <w:tab/>
        <w:t>The Errata amended the word “Mifflintown” on page seventeen to state “Sinking Springs.”</w:t>
      </w:r>
      <w:r>
        <w:rPr>
          <w:sz w:val="26"/>
          <w:szCs w:val="26"/>
        </w:rPr>
        <w:t xml:space="preserve">  Errata at 1.</w:t>
      </w:r>
    </w:p>
  </w:footnote>
  <w:footnote w:id="5">
    <w:p w14:paraId="2D43082A" w14:textId="2472267B" w:rsidR="004203A9" w:rsidRPr="003E5DCC" w:rsidRDefault="004203A9" w:rsidP="002500D1">
      <w:pPr>
        <w:pStyle w:val="FootnoteText"/>
        <w:spacing w:after="120"/>
        <w:ind w:firstLine="720"/>
        <w:rPr>
          <w:sz w:val="26"/>
          <w:szCs w:val="26"/>
        </w:rPr>
      </w:pPr>
      <w:r w:rsidRPr="00210845">
        <w:rPr>
          <w:rStyle w:val="FootnoteReference"/>
          <w:sz w:val="26"/>
          <w:szCs w:val="26"/>
        </w:rPr>
        <w:footnoteRef/>
      </w:r>
      <w:r w:rsidRPr="00210845">
        <w:rPr>
          <w:sz w:val="26"/>
          <w:szCs w:val="26"/>
        </w:rPr>
        <w:t xml:space="preserve"> </w:t>
      </w:r>
      <w:r w:rsidRPr="00210845">
        <w:rPr>
          <w:sz w:val="26"/>
          <w:szCs w:val="26"/>
        </w:rPr>
        <w:tab/>
      </w:r>
      <w:r w:rsidRPr="00210845">
        <w:rPr>
          <w:rFonts w:eastAsiaTheme="minorHAnsi"/>
          <w:sz w:val="26"/>
          <w:szCs w:val="26"/>
          <w:lang w:val="en-GB"/>
        </w:rPr>
        <w:t xml:space="preserve">Additionally, we note that </w:t>
      </w:r>
      <w:r w:rsidR="000E3AA9">
        <w:rPr>
          <w:rFonts w:eastAsiaTheme="minorHAnsi"/>
          <w:sz w:val="26"/>
          <w:szCs w:val="26"/>
          <w:lang w:val="en-GB"/>
        </w:rPr>
        <w:t>Mr. Smiles</w:t>
      </w:r>
      <w:r w:rsidRPr="00210845">
        <w:rPr>
          <w:rFonts w:eastAsiaTheme="minorHAnsi"/>
          <w:sz w:val="26"/>
          <w:szCs w:val="26"/>
          <w:lang w:val="en-GB"/>
        </w:rPr>
        <w:t xml:space="preserve"> did not attempt to file Exceptions </w:t>
      </w:r>
      <w:proofErr w:type="spellStart"/>
      <w:r w:rsidRPr="00210845">
        <w:rPr>
          <w:rFonts w:eastAsiaTheme="minorHAnsi"/>
          <w:i/>
          <w:iCs/>
          <w:sz w:val="26"/>
          <w:szCs w:val="26"/>
          <w:lang w:val="en-GB"/>
        </w:rPr>
        <w:t>nunc</w:t>
      </w:r>
      <w:proofErr w:type="spellEnd"/>
      <w:r w:rsidRPr="00210845">
        <w:rPr>
          <w:rFonts w:eastAsiaTheme="minorHAnsi"/>
          <w:i/>
          <w:iCs/>
          <w:sz w:val="26"/>
          <w:szCs w:val="26"/>
          <w:lang w:val="en-GB"/>
        </w:rPr>
        <w:t xml:space="preserve"> pro </w:t>
      </w:r>
      <w:proofErr w:type="spellStart"/>
      <w:r w:rsidRPr="00210845">
        <w:rPr>
          <w:rFonts w:eastAsiaTheme="minorHAnsi"/>
          <w:i/>
          <w:iCs/>
          <w:sz w:val="26"/>
          <w:szCs w:val="26"/>
          <w:lang w:val="en-GB"/>
        </w:rPr>
        <w:t>tunc</w:t>
      </w:r>
      <w:proofErr w:type="spellEnd"/>
      <w:r w:rsidRPr="00210845">
        <w:rPr>
          <w:rFonts w:eastAsiaTheme="minorHAnsi"/>
          <w:sz w:val="26"/>
          <w:szCs w:val="26"/>
          <w:lang w:val="en-GB"/>
        </w:rPr>
        <w:t xml:space="preserve">.  In prior cases, upon request and when good cause is shown, we have considered late-filed exceptions.  </w:t>
      </w:r>
      <w:r w:rsidRPr="00210845">
        <w:rPr>
          <w:rFonts w:eastAsiaTheme="minorHAnsi"/>
          <w:i/>
          <w:iCs/>
          <w:sz w:val="26"/>
          <w:szCs w:val="26"/>
          <w:lang w:val="en-GB"/>
        </w:rPr>
        <w:t>See</w:t>
      </w:r>
      <w:r w:rsidR="003E3808">
        <w:rPr>
          <w:rFonts w:eastAsiaTheme="minorHAnsi"/>
          <w:i/>
          <w:iCs/>
          <w:sz w:val="26"/>
          <w:szCs w:val="26"/>
          <w:lang w:val="en-GB"/>
        </w:rPr>
        <w:t>,</w:t>
      </w:r>
      <w:r w:rsidRPr="00210845">
        <w:rPr>
          <w:rFonts w:eastAsiaTheme="minorHAnsi"/>
          <w:sz w:val="26"/>
          <w:szCs w:val="26"/>
          <w:lang w:val="en-GB"/>
        </w:rPr>
        <w:t xml:space="preserve"> </w:t>
      </w:r>
      <w:r w:rsidRPr="00210845">
        <w:rPr>
          <w:rFonts w:eastAsiaTheme="minorHAnsi"/>
          <w:i/>
          <w:iCs/>
          <w:sz w:val="26"/>
          <w:szCs w:val="26"/>
          <w:lang w:val="en-GB"/>
        </w:rPr>
        <w:t>e.g.</w:t>
      </w:r>
      <w:r w:rsidR="003E3808">
        <w:rPr>
          <w:rFonts w:eastAsiaTheme="minorHAnsi"/>
          <w:i/>
          <w:iCs/>
          <w:sz w:val="26"/>
          <w:szCs w:val="26"/>
          <w:lang w:val="en-GB"/>
        </w:rPr>
        <w:t>,</w:t>
      </w:r>
      <w:r w:rsidRPr="00210845">
        <w:rPr>
          <w:rFonts w:eastAsiaTheme="minorHAnsi"/>
          <w:sz w:val="26"/>
          <w:szCs w:val="26"/>
          <w:lang w:val="en-GB"/>
        </w:rPr>
        <w:t xml:space="preserve"> </w:t>
      </w:r>
      <w:r w:rsidRPr="00210845">
        <w:rPr>
          <w:rFonts w:eastAsiaTheme="minorHAnsi"/>
          <w:i/>
          <w:iCs/>
          <w:sz w:val="26"/>
          <w:szCs w:val="26"/>
          <w:lang w:val="en-GB"/>
        </w:rPr>
        <w:t>Murphy et al. v. PECO Energy Co.</w:t>
      </w:r>
      <w:r w:rsidRPr="00210845">
        <w:rPr>
          <w:rFonts w:eastAsiaTheme="minorHAnsi"/>
          <w:sz w:val="26"/>
          <w:szCs w:val="26"/>
          <w:lang w:val="en-GB"/>
        </w:rPr>
        <w:t xml:space="preserve">, </w:t>
      </w:r>
      <w:r w:rsidR="00D15086">
        <w:rPr>
          <w:rFonts w:eastAsiaTheme="minorHAnsi"/>
          <w:sz w:val="26"/>
          <w:szCs w:val="26"/>
          <w:lang w:val="en-GB"/>
        </w:rPr>
        <w:t xml:space="preserve">Docket </w:t>
      </w:r>
      <w:r w:rsidRPr="00210845">
        <w:rPr>
          <w:rFonts w:eastAsiaTheme="minorHAnsi"/>
          <w:sz w:val="26"/>
          <w:szCs w:val="26"/>
          <w:lang w:val="en-GB"/>
        </w:rPr>
        <w:t>No.</w:t>
      </w:r>
      <w:r w:rsidR="002E4893">
        <w:rPr>
          <w:rFonts w:eastAsiaTheme="minorHAnsi"/>
          <w:sz w:val="26"/>
          <w:szCs w:val="26"/>
          <w:lang w:val="en-GB"/>
        </w:rPr>
        <w:t> </w:t>
      </w:r>
      <w:r w:rsidRPr="00210845">
        <w:rPr>
          <w:rFonts w:eastAsiaTheme="minorHAnsi"/>
          <w:sz w:val="26"/>
          <w:szCs w:val="26"/>
          <w:lang w:val="en-GB"/>
        </w:rPr>
        <w:t>C</w:t>
      </w:r>
      <w:r w:rsidR="00204D9B">
        <w:rPr>
          <w:rFonts w:eastAsiaTheme="minorHAnsi"/>
          <w:sz w:val="26"/>
          <w:szCs w:val="26"/>
          <w:lang w:val="en-GB"/>
        </w:rPr>
        <w:noBreakHyphen/>
      </w:r>
      <w:r w:rsidRPr="00210845">
        <w:rPr>
          <w:rFonts w:eastAsiaTheme="minorHAnsi"/>
          <w:sz w:val="26"/>
          <w:szCs w:val="26"/>
          <w:lang w:val="en-GB"/>
        </w:rPr>
        <w:t xml:space="preserve">2015-2475023, 2018 WL 1745264, (Mar. 26, 2018); </w:t>
      </w:r>
      <w:r w:rsidR="00A551DE" w:rsidRPr="00A551DE">
        <w:rPr>
          <w:rFonts w:eastAsiaTheme="minorHAnsi"/>
          <w:i/>
          <w:iCs/>
          <w:sz w:val="26"/>
          <w:szCs w:val="26"/>
          <w:lang w:val="en-GB"/>
        </w:rPr>
        <w:t>see also</w:t>
      </w:r>
      <w:r w:rsidR="00A551DE">
        <w:rPr>
          <w:rFonts w:eastAsiaTheme="minorHAnsi"/>
          <w:i/>
          <w:iCs/>
          <w:sz w:val="26"/>
          <w:szCs w:val="26"/>
          <w:lang w:val="en-GB"/>
        </w:rPr>
        <w:t>, e.g.,</w:t>
      </w:r>
      <w:r w:rsidR="00A551DE">
        <w:rPr>
          <w:rFonts w:eastAsiaTheme="minorHAnsi"/>
          <w:sz w:val="26"/>
          <w:szCs w:val="26"/>
          <w:lang w:val="en-GB"/>
        </w:rPr>
        <w:t xml:space="preserve"> </w:t>
      </w:r>
      <w:proofErr w:type="spellStart"/>
      <w:r w:rsidRPr="00210845">
        <w:rPr>
          <w:rFonts w:eastAsiaTheme="minorHAnsi"/>
          <w:i/>
          <w:iCs/>
          <w:sz w:val="26"/>
          <w:szCs w:val="26"/>
          <w:lang w:val="en-GB"/>
        </w:rPr>
        <w:t>Grainda</w:t>
      </w:r>
      <w:proofErr w:type="spellEnd"/>
      <w:r w:rsidRPr="00210845">
        <w:rPr>
          <w:rFonts w:eastAsiaTheme="minorHAnsi"/>
          <w:i/>
          <w:iCs/>
          <w:sz w:val="26"/>
          <w:szCs w:val="26"/>
          <w:lang w:val="en-GB"/>
        </w:rPr>
        <w:t xml:space="preserve"> v. Penn. Elec. Co.</w:t>
      </w:r>
      <w:r w:rsidRPr="00210845">
        <w:rPr>
          <w:rFonts w:eastAsiaTheme="minorHAnsi"/>
          <w:sz w:val="26"/>
          <w:szCs w:val="26"/>
          <w:lang w:val="en-GB"/>
        </w:rPr>
        <w:t>,</w:t>
      </w:r>
      <w:r w:rsidR="00D15086">
        <w:rPr>
          <w:rFonts w:eastAsiaTheme="minorHAnsi"/>
          <w:sz w:val="26"/>
          <w:szCs w:val="26"/>
          <w:lang w:val="en-GB"/>
        </w:rPr>
        <w:t xml:space="preserve"> Docket</w:t>
      </w:r>
      <w:r w:rsidRPr="00210845">
        <w:rPr>
          <w:rFonts w:eastAsiaTheme="minorHAnsi"/>
          <w:sz w:val="26"/>
          <w:szCs w:val="26"/>
          <w:lang w:val="en-GB"/>
        </w:rPr>
        <w:t xml:space="preserve"> No. C-2018-3000992, 2018 WL 6931985, (Dec. 20, 2018).  </w:t>
      </w:r>
    </w:p>
  </w:footnote>
  <w:footnote w:id="6">
    <w:p w14:paraId="319B4C6F" w14:textId="5D9B1683" w:rsidR="004203A9" w:rsidRDefault="004203A9" w:rsidP="002500D1">
      <w:pPr>
        <w:pStyle w:val="FootnoteText"/>
        <w:spacing w:after="120"/>
        <w:ind w:firstLine="720"/>
      </w:pPr>
      <w:r w:rsidRPr="003E5DCC">
        <w:rPr>
          <w:rStyle w:val="FootnoteReference"/>
          <w:sz w:val="26"/>
          <w:szCs w:val="26"/>
        </w:rPr>
        <w:footnoteRef/>
      </w:r>
      <w:r w:rsidRPr="003E5DCC">
        <w:rPr>
          <w:sz w:val="26"/>
          <w:szCs w:val="26"/>
        </w:rPr>
        <w:t xml:space="preserve"> </w:t>
      </w:r>
      <w:r w:rsidRPr="003E5DCC">
        <w:rPr>
          <w:sz w:val="26"/>
          <w:szCs w:val="26"/>
        </w:rPr>
        <w:tab/>
        <w:t xml:space="preserve">Section 332(h) states: </w:t>
      </w:r>
      <w:r w:rsidR="00A551DE">
        <w:rPr>
          <w:sz w:val="26"/>
          <w:szCs w:val="26"/>
        </w:rPr>
        <w:t xml:space="preserve"> </w:t>
      </w:r>
      <w:r w:rsidRPr="003E5DCC">
        <w:rPr>
          <w:sz w:val="26"/>
          <w:szCs w:val="26"/>
        </w:rPr>
        <w:t>“If no exceptions are filed, the decision shall become final, without further commission action, unless two or more commissioners within 15 days after the decision request that the commission review the decision and make such other order, within 90 days of such request, as it shall determine.”  66 Pa. C.S. § 332(h).</w:t>
      </w:r>
      <w:r w:rsidR="00447D1F">
        <w:rPr>
          <w:sz w:val="26"/>
          <w:szCs w:val="26"/>
        </w:rPr>
        <w:t xml:space="preserve">  </w:t>
      </w:r>
      <w:r>
        <w:rPr>
          <w:sz w:val="26"/>
          <w:szCs w:val="26"/>
        </w:rPr>
        <w:t xml:space="preserve">By its plain language, there is an exception to the rule that the Initial Decision will become final without further Commission action in the event no exceptions are filed: that is, if two or more Commissioners, upon their own motion, call up the decision for review and determine to modify, reverse, or remand the decision. </w:t>
      </w:r>
      <w:r w:rsidR="003E3808">
        <w:rPr>
          <w:sz w:val="26"/>
          <w:szCs w:val="26"/>
        </w:rPr>
        <w:t xml:space="preserve"> </w:t>
      </w:r>
      <w:r>
        <w:rPr>
          <w:sz w:val="26"/>
          <w:szCs w:val="26"/>
        </w:rPr>
        <w:t xml:space="preserve">Here, the exception does not apply, as evidenced by the entry of the Commission’s Final Order on August 23, 2019.  </w:t>
      </w:r>
    </w:p>
  </w:footnote>
  <w:footnote w:id="7">
    <w:p w14:paraId="3D3E9B36" w14:textId="7C940E5E" w:rsidR="004203A9" w:rsidRPr="00466270" w:rsidRDefault="004203A9" w:rsidP="002500D1">
      <w:pPr>
        <w:pStyle w:val="FootnoteText"/>
        <w:spacing w:after="120"/>
        <w:ind w:firstLine="720"/>
        <w:rPr>
          <w:sz w:val="26"/>
          <w:szCs w:val="26"/>
        </w:rPr>
      </w:pPr>
      <w:r w:rsidRPr="00466270">
        <w:rPr>
          <w:rStyle w:val="FootnoteReference"/>
          <w:sz w:val="26"/>
          <w:szCs w:val="26"/>
        </w:rPr>
        <w:footnoteRef/>
      </w:r>
      <w:r w:rsidRPr="00466270">
        <w:rPr>
          <w:sz w:val="26"/>
          <w:szCs w:val="26"/>
        </w:rPr>
        <w:t xml:space="preserve"> </w:t>
      </w:r>
      <w:r w:rsidRPr="00466270">
        <w:rPr>
          <w:sz w:val="26"/>
          <w:szCs w:val="26"/>
        </w:rPr>
        <w:tab/>
      </w:r>
      <w:r w:rsidRPr="00466270">
        <w:rPr>
          <w:rFonts w:eastAsiaTheme="minorHAnsi"/>
          <w:sz w:val="26"/>
          <w:szCs w:val="26"/>
          <w:lang w:val="en-GB"/>
        </w:rPr>
        <w:t xml:space="preserve">Section 5.572(c) of the Commission’s Regulations permits petitions for </w:t>
      </w:r>
      <w:r w:rsidR="00BF2A85" w:rsidRPr="0084201A">
        <w:rPr>
          <w:sz w:val="26"/>
          <w:szCs w:val="26"/>
        </w:rPr>
        <w:t>rehearing, re</w:t>
      </w:r>
      <w:r w:rsidR="00BF2A85">
        <w:rPr>
          <w:sz w:val="26"/>
          <w:szCs w:val="26"/>
        </w:rPr>
        <w:t>-</w:t>
      </w:r>
      <w:r w:rsidR="00BF2A85" w:rsidRPr="0084201A">
        <w:rPr>
          <w:sz w:val="26"/>
          <w:szCs w:val="26"/>
        </w:rPr>
        <w:t>argument, reconsideration, clarification, supersedeas, or the like</w:t>
      </w:r>
      <w:r w:rsidR="00BF2A85">
        <w:rPr>
          <w:rFonts w:eastAsiaTheme="minorHAnsi"/>
          <w:sz w:val="26"/>
          <w:szCs w:val="26"/>
          <w:lang w:val="en-GB"/>
        </w:rPr>
        <w:t>,</w:t>
      </w:r>
      <w:r w:rsidRPr="00466270">
        <w:rPr>
          <w:rFonts w:eastAsiaTheme="minorHAnsi"/>
          <w:sz w:val="26"/>
          <w:szCs w:val="26"/>
          <w:lang w:val="en-GB"/>
        </w:rPr>
        <w:t xml:space="preserve"> to be filed within fifteen days after a final order is entered or otherwise becomes final.  </w:t>
      </w:r>
    </w:p>
  </w:footnote>
  <w:footnote w:id="8">
    <w:p w14:paraId="1FABD947" w14:textId="0D207836" w:rsidR="004203A9" w:rsidRPr="00466270" w:rsidRDefault="004203A9" w:rsidP="00466270">
      <w:pPr>
        <w:pStyle w:val="FootnoteText"/>
        <w:ind w:firstLine="720"/>
        <w:rPr>
          <w:sz w:val="26"/>
          <w:szCs w:val="26"/>
        </w:rPr>
      </w:pPr>
      <w:r w:rsidRPr="00C03B19">
        <w:rPr>
          <w:rStyle w:val="FootnoteReference"/>
          <w:sz w:val="26"/>
          <w:szCs w:val="26"/>
        </w:rPr>
        <w:footnoteRef/>
      </w:r>
      <w:r w:rsidRPr="00C03B19">
        <w:rPr>
          <w:sz w:val="26"/>
          <w:szCs w:val="26"/>
        </w:rPr>
        <w:t xml:space="preserve"> </w:t>
      </w:r>
      <w:r w:rsidRPr="00C03B19">
        <w:rPr>
          <w:sz w:val="26"/>
          <w:szCs w:val="26"/>
        </w:rPr>
        <w:tab/>
        <w:t>Section 5.571(a) states that a petition to reopen the record may be filed “[a]t</w:t>
      </w:r>
      <w:r w:rsidR="002E4893">
        <w:rPr>
          <w:sz w:val="26"/>
          <w:szCs w:val="26"/>
        </w:rPr>
        <w:t> </w:t>
      </w:r>
      <w:r w:rsidRPr="00C03B19">
        <w:rPr>
          <w:sz w:val="26"/>
          <w:szCs w:val="26"/>
        </w:rPr>
        <w:t>any time after the record is closed but before a final decision is issued...for the purpose of taking additional evidence.”  52 Pa. Code § 5.571(a).</w:t>
      </w:r>
    </w:p>
  </w:footnote>
  <w:footnote w:id="9">
    <w:p w14:paraId="242450B1" w14:textId="65C73F1B" w:rsidR="002500D1" w:rsidRDefault="002500D1" w:rsidP="002500D1">
      <w:pPr>
        <w:widowControl/>
        <w:suppressAutoHyphens/>
        <w:ind w:firstLine="720"/>
        <w:rPr>
          <w:rFonts w:eastAsia="Calibri"/>
          <w:szCs w:val="26"/>
        </w:rPr>
      </w:pPr>
      <w:r>
        <w:rPr>
          <w:rStyle w:val="FootnoteReference"/>
        </w:rPr>
        <w:footnoteRef/>
      </w:r>
      <w:r>
        <w:t xml:space="preserve"> </w:t>
      </w:r>
      <w:r>
        <w:tab/>
        <w:t xml:space="preserve">Meanwhile, </w:t>
      </w:r>
      <w:r>
        <w:rPr>
          <w:rFonts w:eastAsia="Calibri"/>
          <w:szCs w:val="26"/>
        </w:rPr>
        <w:t>a</w:t>
      </w:r>
      <w:r w:rsidRPr="001A1D9C">
        <w:rPr>
          <w:rFonts w:eastAsia="Calibri"/>
          <w:szCs w:val="26"/>
        </w:rPr>
        <w:t xml:space="preserve"> decision to deny relief is a matter squarely within our discretion, subject to being overturned only where a reviewing court finds “the agency’s decision demonstrates evidence of bad faith, fraud, capricious action or abuse of power.”  </w:t>
      </w:r>
      <w:r w:rsidRPr="001A1D9C">
        <w:rPr>
          <w:rFonts w:eastAsia="Calibri"/>
          <w:i/>
          <w:iCs/>
          <w:szCs w:val="26"/>
        </w:rPr>
        <w:t>West Penn Power Co. v. Pa. PUC</w:t>
      </w:r>
      <w:r w:rsidRPr="001A1D9C">
        <w:rPr>
          <w:rFonts w:eastAsia="Calibri"/>
          <w:szCs w:val="26"/>
        </w:rPr>
        <w:t>, 659 A.2d 1055, 1065 (Pa. Cmwlth. 1995).</w:t>
      </w:r>
    </w:p>
    <w:p w14:paraId="1E9C21BF" w14:textId="203867AD" w:rsidR="002500D1" w:rsidRDefault="002500D1">
      <w:pPr>
        <w:pStyle w:val="FootnoteText"/>
      </w:pPr>
    </w:p>
  </w:footnote>
  <w:footnote w:id="10">
    <w:p w14:paraId="701DEBC0" w14:textId="0CFBB3C3" w:rsidR="004203A9" w:rsidRDefault="004203A9" w:rsidP="005836B1">
      <w:pPr>
        <w:pStyle w:val="FootnoteText"/>
        <w:keepNext/>
        <w:keepLines/>
        <w:widowControl/>
        <w:ind w:firstLine="720"/>
      </w:pPr>
      <w:r w:rsidRPr="00BA6EF6">
        <w:rPr>
          <w:rStyle w:val="FootnoteReference"/>
          <w:sz w:val="26"/>
          <w:szCs w:val="26"/>
        </w:rPr>
        <w:footnoteRef/>
      </w:r>
      <w:r w:rsidRPr="00BA6EF6">
        <w:rPr>
          <w:sz w:val="26"/>
          <w:szCs w:val="26"/>
        </w:rPr>
        <w:t xml:space="preserve">  </w:t>
      </w:r>
      <w:r>
        <w:rPr>
          <w:sz w:val="26"/>
          <w:szCs w:val="26"/>
        </w:rPr>
        <w:tab/>
      </w:r>
      <w:r w:rsidRPr="00BA6EF6">
        <w:rPr>
          <w:i/>
          <w:iCs/>
          <w:sz w:val="26"/>
          <w:szCs w:val="26"/>
        </w:rPr>
        <w:t>See Joint Petition of Metropolitan Edison Co., Pennsylvania Electric Co., Pennsylvania Power Co. and West Penn Power Co. for Approval of their Default Service Programs</w:t>
      </w:r>
      <w:r w:rsidRPr="00BA6EF6">
        <w:rPr>
          <w:sz w:val="26"/>
          <w:szCs w:val="26"/>
        </w:rPr>
        <w:t xml:space="preserve">, 2012 Pa. PUC LEXIS 1533, at *4-5 (Order entered Sept. 27, 2012) (explaining that the </w:t>
      </w:r>
      <w:proofErr w:type="spellStart"/>
      <w:r w:rsidRPr="00BA6EF6">
        <w:rPr>
          <w:sz w:val="26"/>
          <w:szCs w:val="26"/>
        </w:rPr>
        <w:t>Duick</w:t>
      </w:r>
      <w:proofErr w:type="spellEnd"/>
      <w:r w:rsidRPr="00BA6EF6">
        <w:rPr>
          <w:sz w:val="26"/>
          <w:szCs w:val="26"/>
        </w:rPr>
        <w:t xml:space="preserve"> standards applies to “petitions for rehearing, </w:t>
      </w:r>
      <w:proofErr w:type="spellStart"/>
      <w:r w:rsidRPr="00BA6EF6">
        <w:rPr>
          <w:sz w:val="26"/>
          <w:szCs w:val="26"/>
        </w:rPr>
        <w:t>reargument</w:t>
      </w:r>
      <w:proofErr w:type="spellEnd"/>
      <w:r w:rsidRPr="00BA6EF6">
        <w:rPr>
          <w:sz w:val="26"/>
          <w:szCs w:val="26"/>
        </w:rPr>
        <w:t>, and clarification” as well).</w:t>
      </w:r>
      <w:r>
        <w:t xml:space="preserve"> </w:t>
      </w:r>
    </w:p>
  </w:footnote>
  <w:footnote w:id="11">
    <w:p w14:paraId="155EBFEF" w14:textId="4726FB61" w:rsidR="00AC28AB" w:rsidRPr="00AC28AB" w:rsidRDefault="00AC28AB" w:rsidP="002500D1">
      <w:pPr>
        <w:keepNext/>
        <w:keepLines/>
        <w:widowControl/>
        <w:spacing w:after="120"/>
        <w:ind w:firstLine="720"/>
        <w:rPr>
          <w:szCs w:val="26"/>
        </w:rPr>
      </w:pPr>
      <w:r w:rsidRPr="00D750C0">
        <w:rPr>
          <w:rStyle w:val="FootnoteReference"/>
          <w:szCs w:val="26"/>
        </w:rPr>
        <w:footnoteRef/>
      </w:r>
      <w:r w:rsidRPr="00D750C0">
        <w:rPr>
          <w:szCs w:val="26"/>
        </w:rPr>
        <w:t xml:space="preserve"> </w:t>
      </w:r>
      <w:r w:rsidRPr="00D750C0">
        <w:rPr>
          <w:szCs w:val="26"/>
        </w:rPr>
        <w:tab/>
      </w:r>
      <w:r w:rsidR="00D750C0" w:rsidRPr="00D750C0">
        <w:rPr>
          <w:szCs w:val="26"/>
        </w:rPr>
        <w:t>As noted above, on July</w:t>
      </w:r>
      <w:r w:rsidR="00D750C0">
        <w:rPr>
          <w:szCs w:val="26"/>
        </w:rPr>
        <w:t xml:space="preserve"> 22, 2019, the Commission issued a one-page Errata to the Initial Decision, correcting a typographical error on page seventeen of the Initial Decision and otherwise stating that: “In all other respects the Initial Decision remains in full force and effect in its entirety.”  Errata at 1. </w:t>
      </w:r>
    </w:p>
  </w:footnote>
  <w:footnote w:id="12">
    <w:p w14:paraId="467177AF" w14:textId="1E0BCBCE" w:rsidR="004203A9" w:rsidRPr="00C269B1" w:rsidRDefault="004203A9" w:rsidP="00C269B1">
      <w:pPr>
        <w:pStyle w:val="FootnoteText"/>
        <w:ind w:firstLine="720"/>
        <w:rPr>
          <w:sz w:val="26"/>
          <w:szCs w:val="26"/>
        </w:rPr>
      </w:pPr>
      <w:r w:rsidRPr="00C269B1">
        <w:rPr>
          <w:rStyle w:val="FootnoteReference"/>
          <w:sz w:val="26"/>
          <w:szCs w:val="26"/>
        </w:rPr>
        <w:footnoteRef/>
      </w:r>
      <w:r w:rsidRPr="00C269B1">
        <w:rPr>
          <w:sz w:val="26"/>
          <w:szCs w:val="26"/>
        </w:rPr>
        <w:t xml:space="preserve">  </w:t>
      </w:r>
      <w:r>
        <w:rPr>
          <w:sz w:val="26"/>
          <w:szCs w:val="26"/>
        </w:rPr>
        <w:tab/>
      </w:r>
      <w:r w:rsidRPr="00C269B1">
        <w:rPr>
          <w:sz w:val="26"/>
          <w:szCs w:val="26"/>
        </w:rPr>
        <w:t>For the omitted citations, please refer to ALJ Barnes’ Initial Decision.</w:t>
      </w:r>
    </w:p>
  </w:footnote>
  <w:footnote w:id="13">
    <w:p w14:paraId="61DCD219" w14:textId="24F0FC48" w:rsidR="00F66F97" w:rsidRPr="00F66F97" w:rsidRDefault="00F66F97" w:rsidP="00B17DAC">
      <w:pPr>
        <w:pStyle w:val="FootnoteText"/>
        <w:keepNext/>
        <w:keepLines/>
        <w:widowControl/>
        <w:ind w:firstLine="720"/>
        <w:rPr>
          <w:sz w:val="26"/>
          <w:szCs w:val="26"/>
        </w:rPr>
      </w:pPr>
      <w:r w:rsidRPr="00F66F97">
        <w:rPr>
          <w:rStyle w:val="FootnoteReference"/>
          <w:sz w:val="26"/>
          <w:szCs w:val="26"/>
        </w:rPr>
        <w:footnoteRef/>
      </w:r>
      <w:r w:rsidRPr="00F66F97">
        <w:rPr>
          <w:sz w:val="26"/>
          <w:szCs w:val="26"/>
        </w:rPr>
        <w:t xml:space="preserve"> </w:t>
      </w:r>
      <w:r w:rsidRPr="00F66F97">
        <w:rPr>
          <w:sz w:val="26"/>
          <w:szCs w:val="26"/>
        </w:rPr>
        <w:tab/>
      </w:r>
      <w:r w:rsidRPr="00F66F97">
        <w:rPr>
          <w:i/>
          <w:iCs/>
          <w:sz w:val="26"/>
          <w:szCs w:val="26"/>
        </w:rPr>
        <w:t xml:space="preserve">See </w:t>
      </w:r>
      <w:proofErr w:type="spellStart"/>
      <w:r w:rsidRPr="00F66F97">
        <w:rPr>
          <w:i/>
          <w:iCs/>
          <w:sz w:val="26"/>
          <w:szCs w:val="26"/>
        </w:rPr>
        <w:t>Bervinchak</w:t>
      </w:r>
      <w:proofErr w:type="spellEnd"/>
      <w:r w:rsidRPr="00F66F97">
        <w:rPr>
          <w:i/>
          <w:iCs/>
          <w:sz w:val="26"/>
          <w:szCs w:val="26"/>
        </w:rPr>
        <w:t xml:space="preserve"> v. PPL Electric Utilities Corporation</w:t>
      </w:r>
      <w:r w:rsidRPr="00F66F97">
        <w:rPr>
          <w:sz w:val="26"/>
          <w:szCs w:val="26"/>
        </w:rPr>
        <w:t>, Docket No. C</w:t>
      </w:r>
      <w:r w:rsidR="00D15086">
        <w:rPr>
          <w:sz w:val="26"/>
          <w:szCs w:val="26"/>
        </w:rPr>
        <w:noBreakHyphen/>
      </w:r>
      <w:r w:rsidRPr="00F66F97">
        <w:rPr>
          <w:sz w:val="26"/>
          <w:szCs w:val="26"/>
        </w:rPr>
        <w:t>2016</w:t>
      </w:r>
      <w:r w:rsidR="00D15086">
        <w:rPr>
          <w:sz w:val="26"/>
          <w:szCs w:val="26"/>
        </w:rPr>
        <w:noBreakHyphen/>
      </w:r>
      <w:r w:rsidRPr="00F66F97">
        <w:rPr>
          <w:sz w:val="26"/>
          <w:szCs w:val="26"/>
        </w:rPr>
        <w:t xml:space="preserve">2572824 (Final Order entered on October 2, 2018); </w:t>
      </w:r>
      <w:r w:rsidR="002500D1" w:rsidRPr="002500D1">
        <w:rPr>
          <w:i/>
          <w:iCs/>
          <w:sz w:val="26"/>
          <w:szCs w:val="26"/>
        </w:rPr>
        <w:t>see</w:t>
      </w:r>
      <w:r w:rsidRPr="002500D1">
        <w:rPr>
          <w:i/>
          <w:iCs/>
          <w:sz w:val="26"/>
          <w:szCs w:val="26"/>
        </w:rPr>
        <w:t xml:space="preserve"> also</w:t>
      </w:r>
      <w:r w:rsidRPr="00F66F97">
        <w:rPr>
          <w:i/>
          <w:iCs/>
          <w:sz w:val="26"/>
          <w:szCs w:val="26"/>
        </w:rPr>
        <w:t xml:space="preserve"> Pa. Bureau of Corrections v. City of Pittsburgh</w:t>
      </w:r>
      <w:r w:rsidRPr="00F66F97">
        <w:rPr>
          <w:sz w:val="26"/>
          <w:szCs w:val="26"/>
        </w:rPr>
        <w:t>, 532 A.2d. 12 (Pa. 1987)).</w:t>
      </w:r>
    </w:p>
  </w:footnote>
  <w:footnote w:id="14">
    <w:p w14:paraId="76B8F6F1" w14:textId="2FE3F2CA" w:rsidR="002F4040" w:rsidRPr="00AE156F" w:rsidRDefault="002F4040" w:rsidP="002F4040">
      <w:pPr>
        <w:pStyle w:val="FootnoteText"/>
        <w:ind w:firstLine="720"/>
        <w:rPr>
          <w:sz w:val="26"/>
          <w:szCs w:val="26"/>
        </w:rPr>
      </w:pPr>
      <w:r w:rsidRPr="00AE156F">
        <w:rPr>
          <w:rStyle w:val="FootnoteReference"/>
          <w:sz w:val="26"/>
          <w:szCs w:val="26"/>
        </w:rPr>
        <w:footnoteRef/>
      </w:r>
      <w:r w:rsidRPr="00AE156F">
        <w:rPr>
          <w:sz w:val="26"/>
          <w:szCs w:val="26"/>
        </w:rPr>
        <w:t xml:space="preserve"> </w:t>
      </w:r>
      <w:r w:rsidRPr="00AE156F">
        <w:rPr>
          <w:sz w:val="26"/>
          <w:szCs w:val="26"/>
        </w:rPr>
        <w:tab/>
        <w:t xml:space="preserve">In the </w:t>
      </w:r>
      <w:r w:rsidR="00CB0B14" w:rsidRPr="00AE156F">
        <w:rPr>
          <w:i/>
          <w:iCs/>
          <w:sz w:val="26"/>
          <w:szCs w:val="26"/>
        </w:rPr>
        <w:t>Smart Meter Procurement and Installation</w:t>
      </w:r>
      <w:r w:rsidR="00CB0B14" w:rsidRPr="00AE156F">
        <w:rPr>
          <w:sz w:val="26"/>
          <w:szCs w:val="26"/>
        </w:rPr>
        <w:t>, Docket No. M</w:t>
      </w:r>
      <w:r w:rsidR="00D15086">
        <w:rPr>
          <w:sz w:val="26"/>
          <w:szCs w:val="26"/>
        </w:rPr>
        <w:noBreakHyphen/>
      </w:r>
      <w:r w:rsidR="00CB0B14" w:rsidRPr="00AE156F">
        <w:rPr>
          <w:sz w:val="26"/>
          <w:szCs w:val="26"/>
        </w:rPr>
        <w:t>2009</w:t>
      </w:r>
      <w:r w:rsidR="00D15086">
        <w:rPr>
          <w:sz w:val="26"/>
          <w:szCs w:val="26"/>
        </w:rPr>
        <w:noBreakHyphen/>
      </w:r>
      <w:r w:rsidR="00CB0B14" w:rsidRPr="00AE156F">
        <w:rPr>
          <w:sz w:val="26"/>
          <w:szCs w:val="26"/>
        </w:rPr>
        <w:t>2092655 (Implementation Order entered June 24, 2009) (</w:t>
      </w:r>
      <w:bookmarkStart w:id="7" w:name="_Hlk40681082"/>
      <w:r w:rsidR="00CB0B14" w:rsidRPr="00AE156F">
        <w:rPr>
          <w:i/>
          <w:iCs/>
          <w:sz w:val="26"/>
          <w:szCs w:val="26"/>
        </w:rPr>
        <w:t>Smart Meter Installation Order</w:t>
      </w:r>
      <w:r w:rsidR="00CB0B14" w:rsidRPr="00AE156F">
        <w:rPr>
          <w:sz w:val="26"/>
          <w:szCs w:val="26"/>
        </w:rPr>
        <w:t>)</w:t>
      </w:r>
      <w:bookmarkEnd w:id="7"/>
      <w:r w:rsidRPr="00AE156F">
        <w:rPr>
          <w:sz w:val="26"/>
          <w:szCs w:val="26"/>
        </w:rPr>
        <w:t xml:space="preserve">, we recognized that the EDCs needed time to select the technology, train personnel, and deploy the entire AMI network, including any associated hardware and software.  </w:t>
      </w:r>
      <w:r w:rsidRPr="00AE156F">
        <w:rPr>
          <w:i/>
          <w:iCs/>
          <w:sz w:val="26"/>
          <w:szCs w:val="26"/>
        </w:rPr>
        <w:t>Smart Meter Installation Order</w:t>
      </w:r>
      <w:r w:rsidRPr="00AE156F">
        <w:rPr>
          <w:sz w:val="26"/>
          <w:szCs w:val="26"/>
        </w:rPr>
        <w:t xml:space="preserve"> at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370"/>
    <w:multiLevelType w:val="hybridMultilevel"/>
    <w:tmpl w:val="2B5A900A"/>
    <w:lvl w:ilvl="0" w:tplc="3B269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15478"/>
    <w:multiLevelType w:val="hybridMultilevel"/>
    <w:tmpl w:val="3A180E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C1606"/>
    <w:multiLevelType w:val="hybridMultilevel"/>
    <w:tmpl w:val="186AD8E2"/>
    <w:lvl w:ilvl="0" w:tplc="3B269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4" w15:restartNumberingAfterBreak="0">
    <w:nsid w:val="6078225E"/>
    <w:multiLevelType w:val="hybridMultilevel"/>
    <w:tmpl w:val="E5B260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2E"/>
    <w:rsid w:val="00011096"/>
    <w:rsid w:val="000368BE"/>
    <w:rsid w:val="00056E9A"/>
    <w:rsid w:val="0006091B"/>
    <w:rsid w:val="00063A20"/>
    <w:rsid w:val="000646B3"/>
    <w:rsid w:val="0008489C"/>
    <w:rsid w:val="00087E1F"/>
    <w:rsid w:val="00096165"/>
    <w:rsid w:val="000B3F34"/>
    <w:rsid w:val="000B486B"/>
    <w:rsid w:val="000B62A4"/>
    <w:rsid w:val="000C2267"/>
    <w:rsid w:val="000C3EB5"/>
    <w:rsid w:val="000D1A2E"/>
    <w:rsid w:val="000E2B99"/>
    <w:rsid w:val="000E3AA9"/>
    <w:rsid w:val="000F1669"/>
    <w:rsid w:val="000F1E03"/>
    <w:rsid w:val="000F7A63"/>
    <w:rsid w:val="00136783"/>
    <w:rsid w:val="00144176"/>
    <w:rsid w:val="0015653E"/>
    <w:rsid w:val="00161704"/>
    <w:rsid w:val="0017409D"/>
    <w:rsid w:val="00192BF2"/>
    <w:rsid w:val="0019573D"/>
    <w:rsid w:val="00196C8E"/>
    <w:rsid w:val="001A0024"/>
    <w:rsid w:val="001D017B"/>
    <w:rsid w:val="001D3BA7"/>
    <w:rsid w:val="001E2E65"/>
    <w:rsid w:val="001F6049"/>
    <w:rsid w:val="00204D9B"/>
    <w:rsid w:val="00206DF0"/>
    <w:rsid w:val="00210845"/>
    <w:rsid w:val="002117DC"/>
    <w:rsid w:val="00223B7A"/>
    <w:rsid w:val="002410A2"/>
    <w:rsid w:val="00241FE5"/>
    <w:rsid w:val="00242C4E"/>
    <w:rsid w:val="0024348B"/>
    <w:rsid w:val="002500D1"/>
    <w:rsid w:val="00261CA2"/>
    <w:rsid w:val="002710B2"/>
    <w:rsid w:val="00272F6F"/>
    <w:rsid w:val="002757F4"/>
    <w:rsid w:val="00286F6B"/>
    <w:rsid w:val="002A1BAD"/>
    <w:rsid w:val="002A5032"/>
    <w:rsid w:val="002B73BF"/>
    <w:rsid w:val="002C69DB"/>
    <w:rsid w:val="002E4893"/>
    <w:rsid w:val="002E5BE0"/>
    <w:rsid w:val="002F4040"/>
    <w:rsid w:val="00307A5B"/>
    <w:rsid w:val="00311D39"/>
    <w:rsid w:val="003141D9"/>
    <w:rsid w:val="003258D0"/>
    <w:rsid w:val="00325D39"/>
    <w:rsid w:val="003271B2"/>
    <w:rsid w:val="00334FED"/>
    <w:rsid w:val="003378AB"/>
    <w:rsid w:val="00352013"/>
    <w:rsid w:val="0036522A"/>
    <w:rsid w:val="003672A2"/>
    <w:rsid w:val="003712D5"/>
    <w:rsid w:val="00382D94"/>
    <w:rsid w:val="00391027"/>
    <w:rsid w:val="00396EF4"/>
    <w:rsid w:val="003A235C"/>
    <w:rsid w:val="003A473D"/>
    <w:rsid w:val="003B08BF"/>
    <w:rsid w:val="003B4262"/>
    <w:rsid w:val="003B7EE7"/>
    <w:rsid w:val="003C60FE"/>
    <w:rsid w:val="003C71F7"/>
    <w:rsid w:val="003D08DF"/>
    <w:rsid w:val="003D6B94"/>
    <w:rsid w:val="003E3808"/>
    <w:rsid w:val="003E5DCC"/>
    <w:rsid w:val="00405D03"/>
    <w:rsid w:val="00407484"/>
    <w:rsid w:val="00411E62"/>
    <w:rsid w:val="004200E8"/>
    <w:rsid w:val="004203A9"/>
    <w:rsid w:val="00426BE5"/>
    <w:rsid w:val="00436AF5"/>
    <w:rsid w:val="00447D1F"/>
    <w:rsid w:val="00450727"/>
    <w:rsid w:val="00452857"/>
    <w:rsid w:val="0045579C"/>
    <w:rsid w:val="00456B8C"/>
    <w:rsid w:val="0045762F"/>
    <w:rsid w:val="00464410"/>
    <w:rsid w:val="00466270"/>
    <w:rsid w:val="00487C47"/>
    <w:rsid w:val="00487F7A"/>
    <w:rsid w:val="004921FA"/>
    <w:rsid w:val="00494195"/>
    <w:rsid w:val="004A0E8A"/>
    <w:rsid w:val="004A49BC"/>
    <w:rsid w:val="004A5ADF"/>
    <w:rsid w:val="004B1148"/>
    <w:rsid w:val="004B3761"/>
    <w:rsid w:val="004B7EF3"/>
    <w:rsid w:val="004C55F1"/>
    <w:rsid w:val="004C69DA"/>
    <w:rsid w:val="004D0A53"/>
    <w:rsid w:val="004D54E7"/>
    <w:rsid w:val="004D62BE"/>
    <w:rsid w:val="004E07FE"/>
    <w:rsid w:val="004E4B12"/>
    <w:rsid w:val="004F068F"/>
    <w:rsid w:val="0050077F"/>
    <w:rsid w:val="00504AB3"/>
    <w:rsid w:val="00512EEE"/>
    <w:rsid w:val="0051701D"/>
    <w:rsid w:val="005310BC"/>
    <w:rsid w:val="00532E67"/>
    <w:rsid w:val="00541F8B"/>
    <w:rsid w:val="00544F71"/>
    <w:rsid w:val="00546677"/>
    <w:rsid w:val="00550766"/>
    <w:rsid w:val="005513EC"/>
    <w:rsid w:val="00554F92"/>
    <w:rsid w:val="005726CE"/>
    <w:rsid w:val="0057298A"/>
    <w:rsid w:val="005836B1"/>
    <w:rsid w:val="00585B6B"/>
    <w:rsid w:val="005A1AEB"/>
    <w:rsid w:val="005A5F3F"/>
    <w:rsid w:val="005B63C5"/>
    <w:rsid w:val="005E2B7C"/>
    <w:rsid w:val="005F2547"/>
    <w:rsid w:val="00603A72"/>
    <w:rsid w:val="00605BC8"/>
    <w:rsid w:val="00617825"/>
    <w:rsid w:val="006274D1"/>
    <w:rsid w:val="00641124"/>
    <w:rsid w:val="0066038F"/>
    <w:rsid w:val="00672299"/>
    <w:rsid w:val="006749BE"/>
    <w:rsid w:val="00676197"/>
    <w:rsid w:val="00677650"/>
    <w:rsid w:val="00680485"/>
    <w:rsid w:val="006A0533"/>
    <w:rsid w:val="006A18D0"/>
    <w:rsid w:val="006B5B9B"/>
    <w:rsid w:val="006C3C13"/>
    <w:rsid w:val="006C47FB"/>
    <w:rsid w:val="006D7407"/>
    <w:rsid w:val="006E149E"/>
    <w:rsid w:val="006E5DD5"/>
    <w:rsid w:val="006F2784"/>
    <w:rsid w:val="00701D61"/>
    <w:rsid w:val="00717039"/>
    <w:rsid w:val="00722FD3"/>
    <w:rsid w:val="00723805"/>
    <w:rsid w:val="00723A4D"/>
    <w:rsid w:val="00725F76"/>
    <w:rsid w:val="007312BA"/>
    <w:rsid w:val="007339C7"/>
    <w:rsid w:val="007441E0"/>
    <w:rsid w:val="00754977"/>
    <w:rsid w:val="00762886"/>
    <w:rsid w:val="00770E0A"/>
    <w:rsid w:val="00776099"/>
    <w:rsid w:val="00780018"/>
    <w:rsid w:val="00787FE2"/>
    <w:rsid w:val="00790CE6"/>
    <w:rsid w:val="00794B83"/>
    <w:rsid w:val="007A6625"/>
    <w:rsid w:val="007B226F"/>
    <w:rsid w:val="007B588C"/>
    <w:rsid w:val="007C43A8"/>
    <w:rsid w:val="007E05B4"/>
    <w:rsid w:val="007E5E81"/>
    <w:rsid w:val="007F0872"/>
    <w:rsid w:val="007F7C42"/>
    <w:rsid w:val="0080099A"/>
    <w:rsid w:val="00807AE5"/>
    <w:rsid w:val="008111FB"/>
    <w:rsid w:val="00812536"/>
    <w:rsid w:val="00814049"/>
    <w:rsid w:val="00823387"/>
    <w:rsid w:val="00823A67"/>
    <w:rsid w:val="00830A88"/>
    <w:rsid w:val="008344BD"/>
    <w:rsid w:val="008447C0"/>
    <w:rsid w:val="0084689E"/>
    <w:rsid w:val="0085569D"/>
    <w:rsid w:val="00871B09"/>
    <w:rsid w:val="00882BF8"/>
    <w:rsid w:val="008931F8"/>
    <w:rsid w:val="008C0080"/>
    <w:rsid w:val="008C0988"/>
    <w:rsid w:val="008C627C"/>
    <w:rsid w:val="008D2D38"/>
    <w:rsid w:val="008E428E"/>
    <w:rsid w:val="008F30F4"/>
    <w:rsid w:val="008F792E"/>
    <w:rsid w:val="009005B0"/>
    <w:rsid w:val="00903E23"/>
    <w:rsid w:val="00923D81"/>
    <w:rsid w:val="009275BE"/>
    <w:rsid w:val="00956EF1"/>
    <w:rsid w:val="00980931"/>
    <w:rsid w:val="00982DEA"/>
    <w:rsid w:val="00983F5C"/>
    <w:rsid w:val="00992FA4"/>
    <w:rsid w:val="0099711F"/>
    <w:rsid w:val="00997938"/>
    <w:rsid w:val="009A02FB"/>
    <w:rsid w:val="009A3420"/>
    <w:rsid w:val="009B0235"/>
    <w:rsid w:val="009B5934"/>
    <w:rsid w:val="009C4693"/>
    <w:rsid w:val="009D24CC"/>
    <w:rsid w:val="009D5B20"/>
    <w:rsid w:val="009E13A9"/>
    <w:rsid w:val="009E13B4"/>
    <w:rsid w:val="009E2A3C"/>
    <w:rsid w:val="009F0BA8"/>
    <w:rsid w:val="009F7005"/>
    <w:rsid w:val="00A01FC8"/>
    <w:rsid w:val="00A158DE"/>
    <w:rsid w:val="00A17842"/>
    <w:rsid w:val="00A235C9"/>
    <w:rsid w:val="00A43D07"/>
    <w:rsid w:val="00A446E1"/>
    <w:rsid w:val="00A50A33"/>
    <w:rsid w:val="00A551DE"/>
    <w:rsid w:val="00A55C48"/>
    <w:rsid w:val="00A57869"/>
    <w:rsid w:val="00A62FA4"/>
    <w:rsid w:val="00A70CC8"/>
    <w:rsid w:val="00A9565C"/>
    <w:rsid w:val="00AA3E31"/>
    <w:rsid w:val="00AB3DF6"/>
    <w:rsid w:val="00AC0D84"/>
    <w:rsid w:val="00AC1B2F"/>
    <w:rsid w:val="00AC28AB"/>
    <w:rsid w:val="00AC4A66"/>
    <w:rsid w:val="00AD0CA3"/>
    <w:rsid w:val="00AD0E69"/>
    <w:rsid w:val="00AE156F"/>
    <w:rsid w:val="00AE3F1F"/>
    <w:rsid w:val="00AE44CA"/>
    <w:rsid w:val="00AF36E5"/>
    <w:rsid w:val="00AF3EFB"/>
    <w:rsid w:val="00AF663F"/>
    <w:rsid w:val="00B02E0E"/>
    <w:rsid w:val="00B17DAC"/>
    <w:rsid w:val="00B226F0"/>
    <w:rsid w:val="00B2527B"/>
    <w:rsid w:val="00B31B29"/>
    <w:rsid w:val="00B41881"/>
    <w:rsid w:val="00B5136D"/>
    <w:rsid w:val="00B55ED6"/>
    <w:rsid w:val="00B62C09"/>
    <w:rsid w:val="00B6362E"/>
    <w:rsid w:val="00B823F2"/>
    <w:rsid w:val="00B83871"/>
    <w:rsid w:val="00B87E5E"/>
    <w:rsid w:val="00B90608"/>
    <w:rsid w:val="00B93A29"/>
    <w:rsid w:val="00BA289F"/>
    <w:rsid w:val="00BA2ED0"/>
    <w:rsid w:val="00BA2FBA"/>
    <w:rsid w:val="00BA6EF6"/>
    <w:rsid w:val="00BB5B7B"/>
    <w:rsid w:val="00BB5F31"/>
    <w:rsid w:val="00BD0FD9"/>
    <w:rsid w:val="00BE742E"/>
    <w:rsid w:val="00BF2A85"/>
    <w:rsid w:val="00BF73A1"/>
    <w:rsid w:val="00C03B19"/>
    <w:rsid w:val="00C04B73"/>
    <w:rsid w:val="00C1770F"/>
    <w:rsid w:val="00C2468E"/>
    <w:rsid w:val="00C25353"/>
    <w:rsid w:val="00C269B1"/>
    <w:rsid w:val="00C32CB5"/>
    <w:rsid w:val="00C46D15"/>
    <w:rsid w:val="00C50C45"/>
    <w:rsid w:val="00C90E6E"/>
    <w:rsid w:val="00CA22D9"/>
    <w:rsid w:val="00CB0B14"/>
    <w:rsid w:val="00CB4086"/>
    <w:rsid w:val="00CB448F"/>
    <w:rsid w:val="00CD1BE2"/>
    <w:rsid w:val="00CD4D2E"/>
    <w:rsid w:val="00CE17A9"/>
    <w:rsid w:val="00CE46AB"/>
    <w:rsid w:val="00CE669E"/>
    <w:rsid w:val="00CF186C"/>
    <w:rsid w:val="00CF1D4A"/>
    <w:rsid w:val="00D13FC4"/>
    <w:rsid w:val="00D15086"/>
    <w:rsid w:val="00D25521"/>
    <w:rsid w:val="00D344C8"/>
    <w:rsid w:val="00D36F24"/>
    <w:rsid w:val="00D47F00"/>
    <w:rsid w:val="00D51266"/>
    <w:rsid w:val="00D750C0"/>
    <w:rsid w:val="00D82FFB"/>
    <w:rsid w:val="00D93E45"/>
    <w:rsid w:val="00D9417F"/>
    <w:rsid w:val="00D9577B"/>
    <w:rsid w:val="00DB300C"/>
    <w:rsid w:val="00DC21D1"/>
    <w:rsid w:val="00DC27C8"/>
    <w:rsid w:val="00DD7071"/>
    <w:rsid w:val="00DF61E9"/>
    <w:rsid w:val="00DF7241"/>
    <w:rsid w:val="00E06EF0"/>
    <w:rsid w:val="00E12B0F"/>
    <w:rsid w:val="00E139F2"/>
    <w:rsid w:val="00E14E61"/>
    <w:rsid w:val="00E232F2"/>
    <w:rsid w:val="00E305EC"/>
    <w:rsid w:val="00E452F9"/>
    <w:rsid w:val="00E4694B"/>
    <w:rsid w:val="00E5112B"/>
    <w:rsid w:val="00E57726"/>
    <w:rsid w:val="00E61BE2"/>
    <w:rsid w:val="00E64304"/>
    <w:rsid w:val="00E66183"/>
    <w:rsid w:val="00E674DB"/>
    <w:rsid w:val="00E67997"/>
    <w:rsid w:val="00E731B9"/>
    <w:rsid w:val="00E82B7E"/>
    <w:rsid w:val="00E91FE0"/>
    <w:rsid w:val="00E97215"/>
    <w:rsid w:val="00E974A6"/>
    <w:rsid w:val="00EB0701"/>
    <w:rsid w:val="00EB11E1"/>
    <w:rsid w:val="00EB3853"/>
    <w:rsid w:val="00ED1303"/>
    <w:rsid w:val="00ED2DE6"/>
    <w:rsid w:val="00EE7090"/>
    <w:rsid w:val="00EF16DB"/>
    <w:rsid w:val="00EF459E"/>
    <w:rsid w:val="00F006A4"/>
    <w:rsid w:val="00F14E55"/>
    <w:rsid w:val="00F17C9A"/>
    <w:rsid w:val="00F406BB"/>
    <w:rsid w:val="00F44BD8"/>
    <w:rsid w:val="00F459F9"/>
    <w:rsid w:val="00F66F97"/>
    <w:rsid w:val="00F8026D"/>
    <w:rsid w:val="00F815D1"/>
    <w:rsid w:val="00F85E58"/>
    <w:rsid w:val="00F928D0"/>
    <w:rsid w:val="00FC0B7F"/>
    <w:rsid w:val="00FC3824"/>
    <w:rsid w:val="00FC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38B146"/>
  <w15:chartTrackingRefBased/>
  <w15:docId w15:val="{19DC8B16-3310-4092-8CDE-0A5247D2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2E"/>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B6362E"/>
    <w:pPr>
      <w:keepNext/>
      <w:keepLines/>
      <w:numPr>
        <w:numId w:val="1"/>
      </w:numPr>
      <w:spacing w:before="240"/>
      <w:ind w:left="108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62E"/>
    <w:rPr>
      <w:rFonts w:ascii="Times New Roman" w:eastAsiaTheme="majorEastAsia" w:hAnsi="Times New Roman" w:cstheme="majorBidi"/>
      <w:b/>
      <w:sz w:val="26"/>
      <w:szCs w:val="32"/>
    </w:rPr>
  </w:style>
  <w:style w:type="table" w:styleId="TableGrid">
    <w:name w:val="Table Grid"/>
    <w:basedOn w:val="TableNormal"/>
    <w:uiPriority w:val="59"/>
    <w:rsid w:val="00B636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63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62E"/>
    <w:rPr>
      <w:rFonts w:ascii="Segoe UI" w:eastAsia="Times New Roman" w:hAnsi="Segoe UI" w:cs="Segoe UI"/>
      <w:sz w:val="18"/>
      <w:szCs w:val="18"/>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B6362E"/>
    <w:rPr>
      <w:sz w:val="20"/>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B6362E"/>
    <w:rPr>
      <w:rFonts w:ascii="Times New Roman" w:eastAsia="Times New Roman" w:hAnsi="Times New Roman" w:cs="Times New Roman"/>
      <w:sz w:val="20"/>
      <w:szCs w:val="20"/>
    </w:rPr>
  </w:style>
  <w:style w:type="character" w:styleId="FootnoteReference">
    <w:name w:val="footnote reference"/>
    <w:aliases w:val="fr,o,Style 6,Style 20,Style 9,footnote text"/>
    <w:basedOn w:val="DefaultParagraphFont"/>
    <w:unhideWhenUsed/>
    <w:rsid w:val="00B6362E"/>
    <w:rPr>
      <w:vertAlign w:val="superscript"/>
    </w:rPr>
  </w:style>
  <w:style w:type="paragraph" w:styleId="ListParagraph">
    <w:name w:val="List Paragraph"/>
    <w:basedOn w:val="Normal"/>
    <w:uiPriority w:val="34"/>
    <w:qFormat/>
    <w:rsid w:val="0045762F"/>
    <w:pPr>
      <w:ind w:left="720"/>
      <w:contextualSpacing/>
    </w:pPr>
  </w:style>
  <w:style w:type="paragraph" w:customStyle="1" w:styleId="Default">
    <w:name w:val="Default"/>
    <w:rsid w:val="003712D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87E1F"/>
    <w:rPr>
      <w:sz w:val="16"/>
      <w:szCs w:val="16"/>
    </w:rPr>
  </w:style>
  <w:style w:type="paragraph" w:styleId="CommentText">
    <w:name w:val="annotation text"/>
    <w:basedOn w:val="Normal"/>
    <w:link w:val="CommentTextChar"/>
    <w:uiPriority w:val="99"/>
    <w:semiHidden/>
    <w:unhideWhenUsed/>
    <w:rsid w:val="00087E1F"/>
    <w:rPr>
      <w:sz w:val="20"/>
    </w:rPr>
  </w:style>
  <w:style w:type="character" w:customStyle="1" w:styleId="CommentTextChar">
    <w:name w:val="Comment Text Char"/>
    <w:basedOn w:val="DefaultParagraphFont"/>
    <w:link w:val="CommentText"/>
    <w:uiPriority w:val="99"/>
    <w:semiHidden/>
    <w:rsid w:val="00087E1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F186C"/>
    <w:pPr>
      <w:tabs>
        <w:tab w:val="center" w:pos="4680"/>
        <w:tab w:val="right" w:pos="9360"/>
      </w:tabs>
    </w:pPr>
  </w:style>
  <w:style w:type="character" w:customStyle="1" w:styleId="HeaderChar">
    <w:name w:val="Header Char"/>
    <w:basedOn w:val="DefaultParagraphFont"/>
    <w:link w:val="Header"/>
    <w:uiPriority w:val="99"/>
    <w:rsid w:val="00CF186C"/>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CF186C"/>
    <w:pPr>
      <w:tabs>
        <w:tab w:val="center" w:pos="4680"/>
        <w:tab w:val="right" w:pos="9360"/>
      </w:tabs>
    </w:pPr>
  </w:style>
  <w:style w:type="character" w:customStyle="1" w:styleId="FooterChar">
    <w:name w:val="Footer Char"/>
    <w:basedOn w:val="DefaultParagraphFont"/>
    <w:link w:val="Footer"/>
    <w:uiPriority w:val="99"/>
    <w:rsid w:val="00CF186C"/>
    <w:rPr>
      <w:rFonts w:ascii="Times New Roman" w:eastAsia="Times New Roman" w:hAnsi="Times New Roman" w:cs="Times New Roman"/>
      <w:sz w:val="26"/>
      <w:szCs w:val="20"/>
    </w:rPr>
  </w:style>
  <w:style w:type="paragraph" w:styleId="CommentSubject">
    <w:name w:val="annotation subject"/>
    <w:basedOn w:val="CommentText"/>
    <w:next w:val="CommentText"/>
    <w:link w:val="CommentSubjectChar"/>
    <w:uiPriority w:val="99"/>
    <w:semiHidden/>
    <w:unhideWhenUsed/>
    <w:rsid w:val="00E139F2"/>
    <w:rPr>
      <w:b/>
      <w:bCs/>
    </w:rPr>
  </w:style>
  <w:style w:type="character" w:customStyle="1" w:styleId="CommentSubjectChar">
    <w:name w:val="Comment Subject Char"/>
    <w:basedOn w:val="CommentTextChar"/>
    <w:link w:val="CommentSubject"/>
    <w:uiPriority w:val="99"/>
    <w:semiHidden/>
    <w:rsid w:val="00E139F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DE843C9D0F445AD93D60EEC9B0F51" ma:contentTypeVersion="9" ma:contentTypeDescription="Create a new document." ma:contentTypeScope="" ma:versionID="913b1d6b2f609b929f8407ec024aadff">
  <xsd:schema xmlns:xsd="http://www.w3.org/2001/XMLSchema" xmlns:xs="http://www.w3.org/2001/XMLSchema" xmlns:p="http://schemas.microsoft.com/office/2006/metadata/properties" xmlns:ns3="e26a153f-0dd4-4f8e-bc11-3c332dba2646" xmlns:ns4="b81dd349-3714-4f69-bf62-be8c5222f054" targetNamespace="http://schemas.microsoft.com/office/2006/metadata/properties" ma:root="true" ma:fieldsID="3859761d6020fd7c6a95c150d40e9060" ns3:_="" ns4:_="">
    <xsd:import namespace="e26a153f-0dd4-4f8e-bc11-3c332dba2646"/>
    <xsd:import namespace="b81dd349-3714-4f69-bf62-be8c5222f0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a153f-0dd4-4f8e-bc11-3c332dba2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d349-3714-4f69-bf62-be8c5222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9C0E-4664-43F0-A4F8-D47780BE9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a153f-0dd4-4f8e-bc11-3c332dba2646"/>
    <ds:schemaRef ds:uri="b81dd349-3714-4f69-bf62-be8c5222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15832-2265-46D1-822F-B015C3D656DA}">
  <ds:schemaRefs>
    <ds:schemaRef ds:uri="http://schemas.microsoft.com/sharepoint/v3/contenttype/forms"/>
  </ds:schemaRefs>
</ds:datastoreItem>
</file>

<file path=customXml/itemProps3.xml><?xml version="1.0" encoding="utf-8"?>
<ds:datastoreItem xmlns:ds="http://schemas.openxmlformats.org/officeDocument/2006/customXml" ds:itemID="{D6BB0992-E7DA-44F1-8E18-88A08FE3C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4EC86-3E0D-45C6-BBB5-94EF0A29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7596</Words>
  <Characters>43300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13</cp:revision>
  <dcterms:created xsi:type="dcterms:W3CDTF">2020-08-17T11:08:00Z</dcterms:created>
  <dcterms:modified xsi:type="dcterms:W3CDTF">2020-08-27T15:34:00Z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0x010100FA8DE843C9D0F445AD93D60EEC9B0F51</vt:lpwstr>
  </property>
</Properties>
</file>