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8E049" w14:textId="77777777" w:rsidR="00776AD2" w:rsidRPr="00E32C6C" w:rsidRDefault="00776AD2" w:rsidP="00E32C6C">
      <w:pPr>
        <w:widowControl/>
        <w:tabs>
          <w:tab w:val="center" w:pos="4680"/>
        </w:tabs>
        <w:suppressAutoHyphens/>
        <w:contextualSpacing/>
        <w:jc w:val="center"/>
        <w:rPr>
          <w:b/>
          <w:sz w:val="26"/>
          <w:szCs w:val="26"/>
        </w:rPr>
      </w:pPr>
      <w:r w:rsidRPr="00E32C6C">
        <w:rPr>
          <w:b/>
          <w:sz w:val="26"/>
          <w:szCs w:val="26"/>
        </w:rPr>
        <w:t>PENNSYLVANIA</w:t>
      </w:r>
    </w:p>
    <w:p w14:paraId="38410C3D" w14:textId="77777777" w:rsidR="00776AD2" w:rsidRPr="00E32C6C" w:rsidRDefault="00776AD2" w:rsidP="00E32C6C">
      <w:pPr>
        <w:widowControl/>
        <w:tabs>
          <w:tab w:val="center" w:pos="4680"/>
        </w:tabs>
        <w:suppressAutoHyphens/>
        <w:contextualSpacing/>
        <w:jc w:val="center"/>
        <w:rPr>
          <w:sz w:val="26"/>
          <w:szCs w:val="26"/>
        </w:rPr>
      </w:pPr>
      <w:r w:rsidRPr="00E32C6C">
        <w:rPr>
          <w:b/>
          <w:sz w:val="26"/>
          <w:szCs w:val="26"/>
        </w:rPr>
        <w:t>PUBLIC UTILITY COMMISSION</w:t>
      </w:r>
    </w:p>
    <w:p w14:paraId="327F5116" w14:textId="7B6C14B4" w:rsidR="00776AD2" w:rsidRPr="00E32C6C" w:rsidRDefault="00776AD2" w:rsidP="00E32C6C">
      <w:pPr>
        <w:widowControl/>
        <w:tabs>
          <w:tab w:val="center" w:pos="4680"/>
        </w:tabs>
        <w:suppressAutoHyphens/>
        <w:contextualSpacing/>
        <w:jc w:val="center"/>
        <w:rPr>
          <w:sz w:val="26"/>
          <w:szCs w:val="26"/>
        </w:rPr>
      </w:pPr>
      <w:r w:rsidRPr="00E32C6C">
        <w:rPr>
          <w:b/>
          <w:sz w:val="26"/>
          <w:szCs w:val="26"/>
        </w:rPr>
        <w:t>Harrisburg, PA 171</w:t>
      </w:r>
      <w:r w:rsidR="00B06497" w:rsidRPr="00E32C6C">
        <w:rPr>
          <w:b/>
          <w:sz w:val="26"/>
          <w:szCs w:val="26"/>
        </w:rPr>
        <w:t>20</w:t>
      </w:r>
    </w:p>
    <w:p w14:paraId="7170C77A" w14:textId="77777777" w:rsidR="00C50B7A" w:rsidRPr="00E32C6C" w:rsidRDefault="00C50B7A" w:rsidP="00E32C6C">
      <w:pPr>
        <w:widowControl/>
        <w:tabs>
          <w:tab w:val="left" w:pos="-720"/>
        </w:tabs>
        <w:suppressAutoHyphens/>
        <w:contextualSpacing/>
        <w:rPr>
          <w:sz w:val="26"/>
          <w:szCs w:val="26"/>
        </w:rPr>
      </w:pPr>
    </w:p>
    <w:p w14:paraId="0EA18896" w14:textId="77777777" w:rsidR="00C50B7A" w:rsidRPr="00E32C6C" w:rsidRDefault="00C50B7A" w:rsidP="00E32C6C">
      <w:pPr>
        <w:widowControl/>
        <w:tabs>
          <w:tab w:val="left" w:pos="-720"/>
        </w:tabs>
        <w:suppressAutoHyphens/>
        <w:contextualSpacing/>
        <w:rPr>
          <w:sz w:val="26"/>
          <w:szCs w:val="26"/>
        </w:rPr>
      </w:pPr>
    </w:p>
    <w:p w14:paraId="6601A04E" w14:textId="57194222" w:rsidR="00C50B7A" w:rsidRPr="00E32C6C" w:rsidRDefault="00C50B7A" w:rsidP="00E32C6C">
      <w:pPr>
        <w:widowControl/>
        <w:contextualSpacing/>
        <w:jc w:val="right"/>
        <w:rPr>
          <w:sz w:val="26"/>
          <w:szCs w:val="26"/>
        </w:rPr>
      </w:pPr>
      <w:r w:rsidRPr="00E32C6C">
        <w:rPr>
          <w:sz w:val="26"/>
          <w:szCs w:val="26"/>
        </w:rPr>
        <w:t xml:space="preserve">Public Meeting held </w:t>
      </w:r>
      <w:r w:rsidR="001925CF" w:rsidRPr="00E32C6C">
        <w:rPr>
          <w:sz w:val="26"/>
          <w:szCs w:val="26"/>
        </w:rPr>
        <w:t>August 27</w:t>
      </w:r>
      <w:r w:rsidRPr="00E32C6C">
        <w:rPr>
          <w:sz w:val="26"/>
          <w:szCs w:val="26"/>
        </w:rPr>
        <w:t>, 20</w:t>
      </w:r>
      <w:r w:rsidR="000913B0" w:rsidRPr="00E32C6C">
        <w:rPr>
          <w:sz w:val="26"/>
          <w:szCs w:val="26"/>
        </w:rPr>
        <w:t>20</w:t>
      </w:r>
    </w:p>
    <w:p w14:paraId="676FCAEB" w14:textId="77777777" w:rsidR="00C50B7A" w:rsidRPr="00E32C6C" w:rsidRDefault="00C50B7A" w:rsidP="00E32C6C">
      <w:pPr>
        <w:widowControl/>
        <w:contextualSpacing/>
        <w:rPr>
          <w:sz w:val="26"/>
          <w:szCs w:val="26"/>
        </w:rPr>
      </w:pPr>
    </w:p>
    <w:p w14:paraId="46C87981" w14:textId="77777777" w:rsidR="00C50B7A" w:rsidRPr="00E32C6C" w:rsidRDefault="00C50B7A" w:rsidP="00E32C6C">
      <w:pPr>
        <w:widowControl/>
        <w:contextualSpacing/>
        <w:rPr>
          <w:sz w:val="26"/>
          <w:szCs w:val="26"/>
        </w:rPr>
      </w:pPr>
    </w:p>
    <w:p w14:paraId="13EA256E" w14:textId="77777777" w:rsidR="00C50B7A" w:rsidRPr="00E32C6C" w:rsidRDefault="00C50B7A" w:rsidP="00E32C6C">
      <w:pPr>
        <w:widowControl/>
        <w:contextualSpacing/>
        <w:rPr>
          <w:sz w:val="26"/>
          <w:szCs w:val="26"/>
        </w:rPr>
      </w:pPr>
    </w:p>
    <w:p w14:paraId="18AA9F17" w14:textId="77777777" w:rsidR="00C50B7A" w:rsidRPr="00E32C6C" w:rsidRDefault="00C50B7A" w:rsidP="00E32C6C">
      <w:pPr>
        <w:widowControl/>
        <w:contextualSpacing/>
        <w:rPr>
          <w:sz w:val="26"/>
          <w:szCs w:val="26"/>
        </w:rPr>
      </w:pPr>
      <w:r w:rsidRPr="00E32C6C">
        <w:rPr>
          <w:sz w:val="26"/>
          <w:szCs w:val="26"/>
        </w:rPr>
        <w:t>Commissioners Present:</w:t>
      </w:r>
    </w:p>
    <w:p w14:paraId="64A5FCAF" w14:textId="77777777" w:rsidR="00C50B7A" w:rsidRPr="00E32C6C" w:rsidRDefault="00C50B7A" w:rsidP="00E32C6C">
      <w:pPr>
        <w:widowControl/>
        <w:contextualSpacing/>
        <w:rPr>
          <w:sz w:val="26"/>
          <w:szCs w:val="26"/>
        </w:rPr>
      </w:pPr>
    </w:p>
    <w:p w14:paraId="4EDBC2C7" w14:textId="635A44AC" w:rsidR="00C50B7A" w:rsidRPr="00E32C6C" w:rsidRDefault="00C50B7A" w:rsidP="00E32C6C">
      <w:pPr>
        <w:widowControl/>
        <w:tabs>
          <w:tab w:val="left" w:pos="705"/>
        </w:tabs>
        <w:ind w:left="432"/>
        <w:contextualSpacing/>
        <w:rPr>
          <w:sz w:val="26"/>
          <w:szCs w:val="26"/>
        </w:rPr>
      </w:pPr>
      <w:r w:rsidRPr="00E32C6C">
        <w:rPr>
          <w:sz w:val="26"/>
          <w:szCs w:val="26"/>
        </w:rPr>
        <w:t>Gladys Brown</w:t>
      </w:r>
      <w:r w:rsidR="00D57A52" w:rsidRPr="00E32C6C">
        <w:rPr>
          <w:sz w:val="26"/>
          <w:szCs w:val="26"/>
        </w:rPr>
        <w:t xml:space="preserve"> Dutrieuille</w:t>
      </w:r>
      <w:r w:rsidRPr="00E32C6C">
        <w:rPr>
          <w:sz w:val="26"/>
          <w:szCs w:val="26"/>
        </w:rPr>
        <w:t>, Chairman</w:t>
      </w:r>
    </w:p>
    <w:p w14:paraId="5FCC3A23" w14:textId="1F2267FC" w:rsidR="00C50B7A" w:rsidRPr="00E32C6C" w:rsidRDefault="00C50B7A" w:rsidP="00E32C6C">
      <w:pPr>
        <w:widowControl/>
        <w:tabs>
          <w:tab w:val="left" w:pos="705"/>
        </w:tabs>
        <w:ind w:left="432"/>
        <w:contextualSpacing/>
        <w:rPr>
          <w:sz w:val="26"/>
          <w:szCs w:val="26"/>
        </w:rPr>
      </w:pPr>
      <w:r w:rsidRPr="00E32C6C">
        <w:rPr>
          <w:sz w:val="26"/>
          <w:szCs w:val="26"/>
        </w:rPr>
        <w:t>David W. Sweet, Vice Chairman</w:t>
      </w:r>
    </w:p>
    <w:p w14:paraId="29923068" w14:textId="30702B84" w:rsidR="00C50B7A" w:rsidRPr="00E32C6C" w:rsidRDefault="00C50B7A" w:rsidP="00E32C6C">
      <w:pPr>
        <w:widowControl/>
        <w:tabs>
          <w:tab w:val="left" w:pos="705"/>
        </w:tabs>
        <w:ind w:left="432"/>
        <w:contextualSpacing/>
        <w:rPr>
          <w:sz w:val="26"/>
          <w:szCs w:val="26"/>
        </w:rPr>
      </w:pPr>
      <w:r w:rsidRPr="00E32C6C">
        <w:rPr>
          <w:sz w:val="26"/>
          <w:szCs w:val="26"/>
        </w:rPr>
        <w:t>John F. Coleman, Jr.</w:t>
      </w:r>
    </w:p>
    <w:p w14:paraId="09200281" w14:textId="78594A6D" w:rsidR="00C50B7A" w:rsidRPr="00E32C6C" w:rsidRDefault="000913B0" w:rsidP="00D710F0">
      <w:pPr>
        <w:widowControl/>
        <w:ind w:left="450"/>
        <w:contextualSpacing/>
        <w:rPr>
          <w:sz w:val="26"/>
          <w:szCs w:val="26"/>
        </w:rPr>
      </w:pPr>
      <w:r w:rsidRPr="00E32C6C">
        <w:rPr>
          <w:sz w:val="26"/>
          <w:szCs w:val="26"/>
        </w:rPr>
        <w:t>Ralph V. Yanora</w:t>
      </w:r>
    </w:p>
    <w:p w14:paraId="3A928E07" w14:textId="77777777" w:rsidR="00EF5835" w:rsidRDefault="00EF5835" w:rsidP="00E32C6C">
      <w:pPr>
        <w:widowControl/>
        <w:spacing w:after="200"/>
        <w:contextualSpacing/>
        <w:rPr>
          <w:rFonts w:eastAsiaTheme="minorHAnsi"/>
          <w:sz w:val="26"/>
          <w:szCs w:val="26"/>
        </w:rPr>
      </w:pPr>
    </w:p>
    <w:p w14:paraId="1F2E248E" w14:textId="77777777" w:rsidR="00EF5835" w:rsidRDefault="00EF5835" w:rsidP="00E32C6C">
      <w:pPr>
        <w:widowControl/>
        <w:spacing w:after="200"/>
        <w:contextualSpacing/>
        <w:rPr>
          <w:rFonts w:eastAsiaTheme="minorHAnsi"/>
          <w:sz w:val="26"/>
          <w:szCs w:val="26"/>
        </w:rPr>
      </w:pPr>
    </w:p>
    <w:p w14:paraId="01CD26AB" w14:textId="50A45120" w:rsidR="00C50B7A" w:rsidRPr="00E32C6C" w:rsidRDefault="00B06497" w:rsidP="00E32C6C">
      <w:pPr>
        <w:widowControl/>
        <w:spacing w:after="200"/>
        <w:contextualSpacing/>
        <w:rPr>
          <w:rFonts w:eastAsiaTheme="minorHAnsi"/>
          <w:sz w:val="26"/>
          <w:szCs w:val="26"/>
        </w:rPr>
      </w:pPr>
      <w:r w:rsidRPr="00E32C6C">
        <w:rPr>
          <w:rFonts w:eastAsiaTheme="minorHAnsi"/>
          <w:sz w:val="26"/>
          <w:szCs w:val="26"/>
        </w:rPr>
        <w:t xml:space="preserve">Thomas Maslar </w:t>
      </w:r>
      <w:r w:rsidR="00C50B7A" w:rsidRPr="00E32C6C">
        <w:rPr>
          <w:rFonts w:eastAsiaTheme="minorHAnsi"/>
          <w:sz w:val="26"/>
          <w:szCs w:val="26"/>
        </w:rPr>
        <w:tab/>
      </w:r>
      <w:r w:rsidR="00C50B7A" w:rsidRPr="00E32C6C">
        <w:rPr>
          <w:rFonts w:eastAsiaTheme="minorHAnsi"/>
          <w:sz w:val="26"/>
          <w:szCs w:val="26"/>
        </w:rPr>
        <w:tab/>
      </w:r>
      <w:r w:rsidR="00C50B7A" w:rsidRPr="00E32C6C">
        <w:rPr>
          <w:rFonts w:eastAsiaTheme="minorHAnsi"/>
          <w:sz w:val="26"/>
          <w:szCs w:val="26"/>
        </w:rPr>
        <w:tab/>
      </w:r>
      <w:r w:rsidR="00C50B7A" w:rsidRPr="00E32C6C">
        <w:rPr>
          <w:rFonts w:eastAsiaTheme="minorHAnsi"/>
          <w:sz w:val="26"/>
          <w:szCs w:val="26"/>
        </w:rPr>
        <w:tab/>
      </w:r>
      <w:r w:rsidR="00C50B7A" w:rsidRPr="00E32C6C">
        <w:rPr>
          <w:rFonts w:eastAsiaTheme="minorHAnsi"/>
          <w:sz w:val="26"/>
          <w:szCs w:val="26"/>
        </w:rPr>
        <w:tab/>
      </w:r>
      <w:r w:rsidRPr="00E32C6C">
        <w:rPr>
          <w:rFonts w:eastAsiaTheme="minorHAnsi"/>
          <w:sz w:val="26"/>
          <w:szCs w:val="26"/>
        </w:rPr>
        <w:tab/>
      </w:r>
      <w:r w:rsidRPr="00E32C6C">
        <w:rPr>
          <w:rFonts w:eastAsiaTheme="minorHAnsi"/>
          <w:sz w:val="26"/>
          <w:szCs w:val="26"/>
        </w:rPr>
        <w:tab/>
      </w:r>
      <w:r w:rsidRPr="00E32C6C">
        <w:rPr>
          <w:rFonts w:eastAsiaTheme="minorHAnsi"/>
          <w:sz w:val="26"/>
          <w:szCs w:val="26"/>
        </w:rPr>
        <w:tab/>
      </w:r>
      <w:r w:rsidR="00EF5835">
        <w:rPr>
          <w:rFonts w:eastAsiaTheme="minorHAnsi"/>
          <w:sz w:val="26"/>
          <w:szCs w:val="26"/>
        </w:rPr>
        <w:t xml:space="preserve">    </w:t>
      </w:r>
      <w:r w:rsidRPr="00E32C6C">
        <w:rPr>
          <w:rFonts w:eastAsiaTheme="minorHAnsi"/>
          <w:sz w:val="26"/>
          <w:szCs w:val="26"/>
        </w:rPr>
        <w:t>C</w:t>
      </w:r>
      <w:r w:rsidR="00C50B7A" w:rsidRPr="00E32C6C">
        <w:rPr>
          <w:rFonts w:eastAsiaTheme="minorHAnsi"/>
          <w:sz w:val="26"/>
          <w:szCs w:val="26"/>
        </w:rPr>
        <w:t>-2018-300</w:t>
      </w:r>
      <w:r w:rsidRPr="00E32C6C">
        <w:rPr>
          <w:rFonts w:eastAsiaTheme="minorHAnsi"/>
          <w:sz w:val="26"/>
          <w:szCs w:val="26"/>
        </w:rPr>
        <w:t>3075</w:t>
      </w:r>
    </w:p>
    <w:p w14:paraId="173E945D" w14:textId="77777777" w:rsidR="00B06497" w:rsidRPr="00E32C6C" w:rsidRDefault="00B06497" w:rsidP="00E32C6C">
      <w:pPr>
        <w:widowControl/>
        <w:spacing w:after="200"/>
        <w:contextualSpacing/>
        <w:rPr>
          <w:rFonts w:eastAsiaTheme="minorHAnsi"/>
          <w:sz w:val="26"/>
          <w:szCs w:val="26"/>
        </w:rPr>
      </w:pPr>
    </w:p>
    <w:p w14:paraId="444F206D" w14:textId="6A916219" w:rsidR="00C50B7A" w:rsidRPr="00E32C6C" w:rsidRDefault="00C50B7A" w:rsidP="00E32C6C">
      <w:pPr>
        <w:widowControl/>
        <w:spacing w:after="200"/>
        <w:contextualSpacing/>
        <w:rPr>
          <w:rFonts w:eastAsiaTheme="minorHAnsi"/>
          <w:sz w:val="26"/>
          <w:szCs w:val="26"/>
        </w:rPr>
      </w:pPr>
      <w:r w:rsidRPr="00E32C6C">
        <w:rPr>
          <w:rFonts w:eastAsiaTheme="minorHAnsi"/>
          <w:sz w:val="26"/>
          <w:szCs w:val="26"/>
        </w:rPr>
        <w:tab/>
        <w:t>v.</w:t>
      </w:r>
    </w:p>
    <w:p w14:paraId="2A9BC446" w14:textId="77777777" w:rsidR="00C50B7A" w:rsidRPr="00E32C6C" w:rsidRDefault="00C50B7A" w:rsidP="00E32C6C">
      <w:pPr>
        <w:widowControl/>
        <w:spacing w:after="200"/>
        <w:contextualSpacing/>
        <w:rPr>
          <w:rFonts w:eastAsiaTheme="minorHAnsi"/>
          <w:sz w:val="26"/>
          <w:szCs w:val="26"/>
        </w:rPr>
      </w:pPr>
    </w:p>
    <w:p w14:paraId="34C580A1" w14:textId="38F3BB99" w:rsidR="00C50B7A" w:rsidRPr="00E32C6C" w:rsidRDefault="00C50B7A" w:rsidP="00E32C6C">
      <w:pPr>
        <w:widowControl/>
        <w:spacing w:after="200"/>
        <w:contextualSpacing/>
        <w:rPr>
          <w:rFonts w:eastAsiaTheme="minorHAnsi"/>
          <w:sz w:val="26"/>
          <w:szCs w:val="26"/>
        </w:rPr>
      </w:pPr>
      <w:r w:rsidRPr="00E32C6C">
        <w:rPr>
          <w:rFonts w:eastAsiaTheme="minorHAnsi"/>
          <w:sz w:val="26"/>
          <w:szCs w:val="26"/>
        </w:rPr>
        <w:t>P</w:t>
      </w:r>
      <w:r w:rsidR="00B06497" w:rsidRPr="00E32C6C">
        <w:rPr>
          <w:rFonts w:eastAsiaTheme="minorHAnsi"/>
          <w:sz w:val="26"/>
          <w:szCs w:val="26"/>
        </w:rPr>
        <w:t xml:space="preserve">PL Electric Utilities Corporation </w:t>
      </w:r>
    </w:p>
    <w:p w14:paraId="64615F27" w14:textId="4AC92B91" w:rsidR="00C50B7A" w:rsidRDefault="00C50B7A" w:rsidP="00E32C6C">
      <w:pPr>
        <w:widowControl/>
        <w:spacing w:after="200"/>
        <w:contextualSpacing/>
        <w:rPr>
          <w:rFonts w:eastAsiaTheme="minorHAnsi"/>
          <w:sz w:val="26"/>
          <w:szCs w:val="26"/>
        </w:rPr>
      </w:pPr>
    </w:p>
    <w:p w14:paraId="22992595" w14:textId="77777777" w:rsidR="00EF5835" w:rsidRPr="00E32C6C" w:rsidRDefault="00EF5835" w:rsidP="00E32C6C">
      <w:pPr>
        <w:widowControl/>
        <w:spacing w:after="200"/>
        <w:contextualSpacing/>
        <w:rPr>
          <w:rFonts w:eastAsiaTheme="minorHAnsi"/>
          <w:sz w:val="26"/>
          <w:szCs w:val="26"/>
        </w:rPr>
      </w:pPr>
    </w:p>
    <w:p w14:paraId="3E906D24" w14:textId="77777777" w:rsidR="00E1416C" w:rsidRPr="00E32C6C" w:rsidRDefault="00E1416C" w:rsidP="00E32C6C">
      <w:pPr>
        <w:widowControl/>
        <w:tabs>
          <w:tab w:val="left" w:pos="-720"/>
        </w:tabs>
        <w:suppressAutoHyphens/>
        <w:contextualSpacing/>
        <w:rPr>
          <w:sz w:val="26"/>
          <w:szCs w:val="26"/>
        </w:rPr>
      </w:pPr>
    </w:p>
    <w:p w14:paraId="45B7D0F3" w14:textId="48E289D5" w:rsidR="00776AD2" w:rsidRDefault="00776AD2" w:rsidP="00EF5835">
      <w:pPr>
        <w:widowControl/>
        <w:spacing w:line="360" w:lineRule="auto"/>
        <w:contextualSpacing/>
        <w:jc w:val="center"/>
        <w:rPr>
          <w:b/>
          <w:sz w:val="26"/>
          <w:szCs w:val="26"/>
        </w:rPr>
      </w:pPr>
      <w:r w:rsidRPr="00E32C6C">
        <w:rPr>
          <w:b/>
          <w:sz w:val="26"/>
          <w:szCs w:val="26"/>
        </w:rPr>
        <w:t xml:space="preserve">OPINION </w:t>
      </w:r>
      <w:smartTag w:uri="urn:schemas-microsoft-com:office:smarttags" w:element="stockticker">
        <w:r w:rsidRPr="00E32C6C">
          <w:rPr>
            <w:b/>
            <w:sz w:val="26"/>
            <w:szCs w:val="26"/>
          </w:rPr>
          <w:t>AND</w:t>
        </w:r>
      </w:smartTag>
      <w:r w:rsidRPr="00E32C6C">
        <w:rPr>
          <w:b/>
          <w:sz w:val="26"/>
          <w:szCs w:val="26"/>
        </w:rPr>
        <w:t xml:space="preserve"> ORDER</w:t>
      </w:r>
    </w:p>
    <w:p w14:paraId="35CE92FC" w14:textId="77777777" w:rsidR="00EF5835" w:rsidRPr="00E32C6C" w:rsidRDefault="00EF5835" w:rsidP="00EF5835">
      <w:pPr>
        <w:widowControl/>
        <w:spacing w:line="360" w:lineRule="auto"/>
        <w:contextualSpacing/>
        <w:jc w:val="center"/>
        <w:rPr>
          <w:b/>
          <w:sz w:val="26"/>
          <w:szCs w:val="26"/>
        </w:rPr>
      </w:pPr>
    </w:p>
    <w:p w14:paraId="6D56C1D1" w14:textId="2F00D00D" w:rsidR="00494B81" w:rsidRDefault="00494B81" w:rsidP="00EF5835">
      <w:pPr>
        <w:widowControl/>
        <w:spacing w:line="360" w:lineRule="auto"/>
        <w:rPr>
          <w:b/>
          <w:sz w:val="26"/>
          <w:szCs w:val="26"/>
        </w:rPr>
      </w:pPr>
      <w:r w:rsidRPr="00E32C6C">
        <w:rPr>
          <w:b/>
          <w:sz w:val="26"/>
          <w:szCs w:val="26"/>
        </w:rPr>
        <w:t>BY THE COMMISSION:</w:t>
      </w:r>
    </w:p>
    <w:p w14:paraId="4D3A566B" w14:textId="77777777" w:rsidR="00EF5835" w:rsidRPr="00EF5835" w:rsidRDefault="00EF5835" w:rsidP="00EF5835">
      <w:pPr>
        <w:widowControl/>
        <w:rPr>
          <w:b/>
          <w:sz w:val="26"/>
          <w:szCs w:val="26"/>
        </w:rPr>
      </w:pPr>
    </w:p>
    <w:p w14:paraId="0309A9BA" w14:textId="6D401FB0" w:rsidR="008E2E38" w:rsidRPr="00E32C6C" w:rsidRDefault="000F1318" w:rsidP="00EF5835">
      <w:pPr>
        <w:widowControl/>
        <w:tabs>
          <w:tab w:val="left" w:pos="-720"/>
        </w:tabs>
        <w:suppressAutoHyphens/>
        <w:spacing w:line="360" w:lineRule="auto"/>
        <w:ind w:firstLine="1440"/>
        <w:contextualSpacing/>
        <w:rPr>
          <w:sz w:val="26"/>
          <w:szCs w:val="26"/>
        </w:rPr>
      </w:pPr>
      <w:r w:rsidRPr="00E32C6C">
        <w:rPr>
          <w:sz w:val="26"/>
          <w:szCs w:val="26"/>
        </w:rPr>
        <w:t xml:space="preserve">Before the </w:t>
      </w:r>
      <w:r w:rsidR="005C7928" w:rsidRPr="00E32C6C">
        <w:rPr>
          <w:sz w:val="26"/>
          <w:szCs w:val="26"/>
        </w:rPr>
        <w:t xml:space="preserve">Pennsylvania Public Utility </w:t>
      </w:r>
      <w:r w:rsidRPr="00E32C6C">
        <w:rPr>
          <w:sz w:val="26"/>
          <w:szCs w:val="26"/>
        </w:rPr>
        <w:t xml:space="preserve">Commission </w:t>
      </w:r>
      <w:r w:rsidR="005C7928" w:rsidRPr="00E32C6C">
        <w:rPr>
          <w:sz w:val="26"/>
          <w:szCs w:val="26"/>
        </w:rPr>
        <w:t xml:space="preserve">(Commission) </w:t>
      </w:r>
      <w:r w:rsidRPr="00E32C6C">
        <w:rPr>
          <w:sz w:val="26"/>
          <w:szCs w:val="26"/>
        </w:rPr>
        <w:t>for co</w:t>
      </w:r>
      <w:r w:rsidR="00893951" w:rsidRPr="00E32C6C">
        <w:rPr>
          <w:sz w:val="26"/>
          <w:szCs w:val="26"/>
        </w:rPr>
        <w:t xml:space="preserve">nsideration </w:t>
      </w:r>
      <w:r w:rsidR="00E1416C" w:rsidRPr="00E32C6C">
        <w:rPr>
          <w:sz w:val="26"/>
          <w:szCs w:val="26"/>
        </w:rPr>
        <w:t>is</w:t>
      </w:r>
      <w:r w:rsidR="00CE1198" w:rsidRPr="00E32C6C">
        <w:rPr>
          <w:sz w:val="26"/>
          <w:szCs w:val="26"/>
        </w:rPr>
        <w:t xml:space="preserve"> </w:t>
      </w:r>
      <w:r w:rsidR="00694DFF" w:rsidRPr="00E32C6C">
        <w:rPr>
          <w:sz w:val="26"/>
          <w:szCs w:val="26"/>
        </w:rPr>
        <w:t>the</w:t>
      </w:r>
      <w:r w:rsidRPr="00E32C6C">
        <w:rPr>
          <w:sz w:val="26"/>
          <w:szCs w:val="26"/>
        </w:rPr>
        <w:t xml:space="preserve"> Petition for Reconsideration</w:t>
      </w:r>
      <w:r w:rsidR="00461166" w:rsidRPr="00E32C6C">
        <w:rPr>
          <w:sz w:val="26"/>
          <w:szCs w:val="26"/>
        </w:rPr>
        <w:t xml:space="preserve"> </w:t>
      </w:r>
      <w:r w:rsidR="00D150BD" w:rsidRPr="00E32C6C">
        <w:rPr>
          <w:sz w:val="26"/>
          <w:szCs w:val="26"/>
        </w:rPr>
        <w:t xml:space="preserve">and Rehearing </w:t>
      </w:r>
      <w:r w:rsidRPr="00E32C6C">
        <w:rPr>
          <w:sz w:val="26"/>
          <w:szCs w:val="26"/>
        </w:rPr>
        <w:t>(Petition), filed by</w:t>
      </w:r>
      <w:r w:rsidR="00F248A4" w:rsidRPr="00E32C6C">
        <w:rPr>
          <w:sz w:val="26"/>
          <w:szCs w:val="26"/>
        </w:rPr>
        <w:t xml:space="preserve"> </w:t>
      </w:r>
      <w:bookmarkStart w:id="0" w:name="_Hlk534639008"/>
      <w:r w:rsidR="00B06497" w:rsidRPr="00E32C6C">
        <w:rPr>
          <w:sz w:val="26"/>
          <w:szCs w:val="26"/>
        </w:rPr>
        <w:t>Thomas Maslar (Complainant</w:t>
      </w:r>
      <w:r w:rsidR="00451FE4" w:rsidRPr="00E32C6C">
        <w:rPr>
          <w:sz w:val="26"/>
          <w:szCs w:val="26"/>
        </w:rPr>
        <w:t xml:space="preserve"> or Mr. Maslar</w:t>
      </w:r>
      <w:r w:rsidR="00B06497" w:rsidRPr="00E32C6C">
        <w:rPr>
          <w:sz w:val="26"/>
          <w:szCs w:val="26"/>
        </w:rPr>
        <w:t xml:space="preserve">) </w:t>
      </w:r>
      <w:bookmarkEnd w:id="0"/>
      <w:r w:rsidRPr="00E32C6C">
        <w:rPr>
          <w:sz w:val="26"/>
          <w:szCs w:val="26"/>
        </w:rPr>
        <w:t>on</w:t>
      </w:r>
      <w:r w:rsidR="003E22CB" w:rsidRPr="00E32C6C">
        <w:rPr>
          <w:sz w:val="26"/>
          <w:szCs w:val="26"/>
        </w:rPr>
        <w:t xml:space="preserve"> </w:t>
      </w:r>
      <w:r w:rsidR="00B06497" w:rsidRPr="00E32C6C">
        <w:rPr>
          <w:sz w:val="26"/>
          <w:szCs w:val="26"/>
        </w:rPr>
        <w:t>June 5, 2020</w:t>
      </w:r>
      <w:r w:rsidR="00AA548E" w:rsidRPr="00E32C6C">
        <w:rPr>
          <w:sz w:val="26"/>
          <w:szCs w:val="26"/>
        </w:rPr>
        <w:t>, seeking reconsideration</w:t>
      </w:r>
      <w:r w:rsidR="00461166" w:rsidRPr="00E32C6C">
        <w:rPr>
          <w:sz w:val="26"/>
          <w:szCs w:val="26"/>
        </w:rPr>
        <w:t xml:space="preserve"> </w:t>
      </w:r>
      <w:r w:rsidR="00175722" w:rsidRPr="00E32C6C">
        <w:rPr>
          <w:sz w:val="26"/>
          <w:szCs w:val="26"/>
        </w:rPr>
        <w:t>and</w:t>
      </w:r>
      <w:r w:rsidR="00461166" w:rsidRPr="00E32C6C">
        <w:rPr>
          <w:sz w:val="26"/>
          <w:szCs w:val="26"/>
        </w:rPr>
        <w:t xml:space="preserve"> clarification</w:t>
      </w:r>
      <w:r w:rsidR="00AA548E" w:rsidRPr="00E32C6C">
        <w:rPr>
          <w:sz w:val="26"/>
          <w:szCs w:val="26"/>
        </w:rPr>
        <w:t xml:space="preserve"> of</w:t>
      </w:r>
      <w:r w:rsidR="000505E5" w:rsidRPr="00E32C6C">
        <w:rPr>
          <w:sz w:val="26"/>
          <w:szCs w:val="26"/>
        </w:rPr>
        <w:t xml:space="preserve"> the </w:t>
      </w:r>
      <w:r w:rsidR="00364F96" w:rsidRPr="00E32C6C">
        <w:rPr>
          <w:sz w:val="26"/>
          <w:szCs w:val="26"/>
        </w:rPr>
        <w:t xml:space="preserve">Commission’s </w:t>
      </w:r>
      <w:r w:rsidRPr="00E32C6C">
        <w:rPr>
          <w:sz w:val="26"/>
          <w:szCs w:val="26"/>
        </w:rPr>
        <w:t xml:space="preserve">Opinion and Order entered </w:t>
      </w:r>
      <w:r w:rsidR="00B06497" w:rsidRPr="00E32C6C">
        <w:rPr>
          <w:sz w:val="26"/>
          <w:szCs w:val="26"/>
        </w:rPr>
        <w:t>May 21</w:t>
      </w:r>
      <w:r w:rsidR="00C50B7A" w:rsidRPr="00E32C6C">
        <w:rPr>
          <w:sz w:val="26"/>
          <w:szCs w:val="26"/>
        </w:rPr>
        <w:t>, 20</w:t>
      </w:r>
      <w:r w:rsidR="00B06497" w:rsidRPr="00E32C6C">
        <w:rPr>
          <w:sz w:val="26"/>
          <w:szCs w:val="26"/>
        </w:rPr>
        <w:t>20</w:t>
      </w:r>
      <w:r w:rsidR="00494B81" w:rsidRPr="00E32C6C">
        <w:rPr>
          <w:sz w:val="26"/>
          <w:szCs w:val="26"/>
        </w:rPr>
        <w:t xml:space="preserve"> (</w:t>
      </w:r>
      <w:r w:rsidR="00494B81" w:rsidRPr="00E32C6C">
        <w:rPr>
          <w:i/>
          <w:iCs/>
          <w:sz w:val="26"/>
          <w:szCs w:val="26"/>
        </w:rPr>
        <w:t>May</w:t>
      </w:r>
      <w:r w:rsidR="00E32C6C">
        <w:rPr>
          <w:i/>
          <w:iCs/>
          <w:sz w:val="26"/>
          <w:szCs w:val="26"/>
        </w:rPr>
        <w:t> </w:t>
      </w:r>
      <w:r w:rsidR="00494B81" w:rsidRPr="00E32C6C">
        <w:rPr>
          <w:i/>
          <w:iCs/>
          <w:sz w:val="26"/>
          <w:szCs w:val="26"/>
        </w:rPr>
        <w:t>2020 Order</w:t>
      </w:r>
      <w:r w:rsidR="00494B81" w:rsidRPr="00E32C6C">
        <w:rPr>
          <w:sz w:val="26"/>
          <w:szCs w:val="26"/>
        </w:rPr>
        <w:t>)</w:t>
      </w:r>
      <w:r w:rsidRPr="00E32C6C">
        <w:rPr>
          <w:sz w:val="26"/>
          <w:szCs w:val="26"/>
        </w:rPr>
        <w:t xml:space="preserve">, </w:t>
      </w:r>
      <w:r w:rsidR="006D50A0" w:rsidRPr="00E32C6C">
        <w:rPr>
          <w:sz w:val="26"/>
          <w:szCs w:val="26"/>
        </w:rPr>
        <w:t>in</w:t>
      </w:r>
      <w:r w:rsidR="009E5351" w:rsidRPr="00E32C6C">
        <w:rPr>
          <w:sz w:val="26"/>
          <w:szCs w:val="26"/>
        </w:rPr>
        <w:t xml:space="preserve"> the above-captioned proceeding</w:t>
      </w:r>
      <w:r w:rsidRPr="00E32C6C">
        <w:rPr>
          <w:sz w:val="26"/>
          <w:szCs w:val="26"/>
        </w:rPr>
        <w:t>.</w:t>
      </w:r>
      <w:r w:rsidR="00694DFF" w:rsidRPr="00E32C6C">
        <w:rPr>
          <w:sz w:val="26"/>
          <w:szCs w:val="26"/>
        </w:rPr>
        <w:t xml:space="preserve">  </w:t>
      </w:r>
      <w:r w:rsidR="00494B81" w:rsidRPr="00E32C6C">
        <w:rPr>
          <w:sz w:val="26"/>
          <w:szCs w:val="26"/>
        </w:rPr>
        <w:t xml:space="preserve">On June </w:t>
      </w:r>
      <w:r w:rsidR="00574320" w:rsidRPr="00E32C6C">
        <w:rPr>
          <w:sz w:val="26"/>
          <w:szCs w:val="26"/>
        </w:rPr>
        <w:t>15</w:t>
      </w:r>
      <w:r w:rsidR="00494B81" w:rsidRPr="00E32C6C">
        <w:rPr>
          <w:sz w:val="26"/>
          <w:szCs w:val="26"/>
        </w:rPr>
        <w:t>, 2020, PPL Electric Utilities Corporation (PPL or the Company) filed its Answer to the Petition.  For the reasons stated below, we shall deny the Complainant’s Petition.</w:t>
      </w:r>
    </w:p>
    <w:p w14:paraId="24C0E70A" w14:textId="77777777" w:rsidR="00E1416C" w:rsidRPr="00E32C6C" w:rsidRDefault="00E1416C" w:rsidP="00E32C6C">
      <w:pPr>
        <w:widowControl/>
        <w:tabs>
          <w:tab w:val="left" w:pos="-720"/>
        </w:tabs>
        <w:suppressAutoHyphens/>
        <w:spacing w:line="360" w:lineRule="auto"/>
        <w:ind w:firstLine="1440"/>
        <w:contextualSpacing/>
        <w:rPr>
          <w:sz w:val="26"/>
          <w:szCs w:val="26"/>
        </w:rPr>
      </w:pPr>
    </w:p>
    <w:p w14:paraId="67A09C4B" w14:textId="0D1B2D97" w:rsidR="00494B81" w:rsidRPr="00E32C6C" w:rsidRDefault="00494B81" w:rsidP="00E32C6C">
      <w:pPr>
        <w:keepNext/>
        <w:widowControl/>
        <w:spacing w:line="360" w:lineRule="auto"/>
        <w:jc w:val="center"/>
        <w:rPr>
          <w:b/>
          <w:sz w:val="26"/>
          <w:szCs w:val="26"/>
        </w:rPr>
      </w:pPr>
      <w:bookmarkStart w:id="1" w:name="OLE_LINK1"/>
      <w:bookmarkStart w:id="2" w:name="OLE_LINK2"/>
      <w:r w:rsidRPr="00E32C6C">
        <w:rPr>
          <w:b/>
          <w:sz w:val="26"/>
          <w:szCs w:val="26"/>
        </w:rPr>
        <w:lastRenderedPageBreak/>
        <w:t xml:space="preserve">I. </w:t>
      </w:r>
      <w:r w:rsidR="00E32C6C">
        <w:rPr>
          <w:b/>
          <w:sz w:val="26"/>
          <w:szCs w:val="26"/>
        </w:rPr>
        <w:tab/>
      </w:r>
      <w:r w:rsidRPr="00E32C6C">
        <w:rPr>
          <w:b/>
          <w:sz w:val="26"/>
          <w:szCs w:val="26"/>
        </w:rPr>
        <w:t>History of the Proceeding</w:t>
      </w:r>
      <w:r w:rsidRPr="00E32C6C">
        <w:rPr>
          <w:rStyle w:val="FootnoteReference"/>
          <w:bCs/>
          <w:sz w:val="26"/>
          <w:szCs w:val="26"/>
        </w:rPr>
        <w:footnoteReference w:id="1"/>
      </w:r>
    </w:p>
    <w:p w14:paraId="1798D239" w14:textId="77777777" w:rsidR="00494B81" w:rsidRPr="00E32C6C" w:rsidRDefault="00494B81" w:rsidP="00E32C6C">
      <w:pPr>
        <w:keepNext/>
        <w:widowControl/>
        <w:spacing w:line="360" w:lineRule="auto"/>
        <w:jc w:val="center"/>
        <w:rPr>
          <w:b/>
          <w:sz w:val="26"/>
          <w:szCs w:val="26"/>
        </w:rPr>
      </w:pPr>
    </w:p>
    <w:p w14:paraId="239B44B1" w14:textId="3E43CE35" w:rsidR="00494B81" w:rsidRPr="00E32C6C" w:rsidRDefault="00494B81" w:rsidP="00E32C6C">
      <w:pPr>
        <w:widowControl/>
        <w:spacing w:line="360" w:lineRule="auto"/>
        <w:ind w:firstLine="1440"/>
        <w:textAlignment w:val="baseline"/>
        <w:rPr>
          <w:color w:val="000000"/>
          <w:sz w:val="26"/>
          <w:szCs w:val="26"/>
        </w:rPr>
      </w:pPr>
      <w:r w:rsidRPr="00E32C6C">
        <w:rPr>
          <w:color w:val="000000"/>
          <w:sz w:val="26"/>
          <w:szCs w:val="26"/>
        </w:rPr>
        <w:t xml:space="preserve">On June 18, 2018, Mr. Maslar filed the instant Complaint requesting that PPL be precluded from installing an </w:t>
      </w:r>
      <w:r w:rsidR="00DB0CB6" w:rsidRPr="00E32C6C">
        <w:rPr>
          <w:color w:val="000000"/>
          <w:sz w:val="26"/>
          <w:szCs w:val="26"/>
        </w:rPr>
        <w:t>advanced metering infrastructure (AMI), or smart meter at</w:t>
      </w:r>
      <w:r w:rsidRPr="00E32C6C">
        <w:rPr>
          <w:color w:val="000000"/>
          <w:sz w:val="26"/>
          <w:szCs w:val="26"/>
        </w:rPr>
        <w:t xml:space="preserve"> </w:t>
      </w:r>
      <w:r w:rsidR="00DB0CB6" w:rsidRPr="00E32C6C">
        <w:rPr>
          <w:color w:val="000000"/>
          <w:sz w:val="26"/>
          <w:szCs w:val="26"/>
        </w:rPr>
        <w:t xml:space="preserve">the Complainant’s </w:t>
      </w:r>
      <w:r w:rsidRPr="00E32C6C">
        <w:rPr>
          <w:color w:val="000000"/>
          <w:sz w:val="26"/>
          <w:szCs w:val="26"/>
        </w:rPr>
        <w:t xml:space="preserve">residence </w:t>
      </w:r>
      <w:r w:rsidR="00DB0CB6" w:rsidRPr="00E32C6C">
        <w:rPr>
          <w:color w:val="000000"/>
          <w:sz w:val="26"/>
          <w:szCs w:val="26"/>
        </w:rPr>
        <w:t xml:space="preserve">and use in the ordinary course of business to measure the Complainants’ electricity consumption. </w:t>
      </w:r>
      <w:r w:rsidRPr="00E32C6C">
        <w:rPr>
          <w:color w:val="000000"/>
          <w:sz w:val="26"/>
          <w:szCs w:val="26"/>
        </w:rPr>
        <w:t xml:space="preserve"> I.D. at 1</w:t>
      </w:r>
      <w:r w:rsidR="00DB0CB6" w:rsidRPr="00E32C6C">
        <w:rPr>
          <w:color w:val="000000"/>
          <w:sz w:val="26"/>
          <w:szCs w:val="26"/>
        </w:rPr>
        <w:t>;</w:t>
      </w:r>
      <w:r w:rsidRPr="00E32C6C">
        <w:rPr>
          <w:color w:val="000000"/>
          <w:sz w:val="26"/>
          <w:szCs w:val="26"/>
        </w:rPr>
        <w:t xml:space="preserve"> Complaint at 2-3.</w:t>
      </w:r>
    </w:p>
    <w:p w14:paraId="16A6F3B3" w14:textId="77777777" w:rsidR="00494B81" w:rsidRPr="00E32C6C" w:rsidRDefault="00494B81" w:rsidP="00E32C6C">
      <w:pPr>
        <w:widowControl/>
        <w:spacing w:line="360" w:lineRule="auto"/>
        <w:ind w:firstLine="1440"/>
        <w:rPr>
          <w:color w:val="000000"/>
          <w:sz w:val="26"/>
          <w:szCs w:val="26"/>
        </w:rPr>
      </w:pPr>
    </w:p>
    <w:p w14:paraId="1DDFD2C0" w14:textId="5C15B3D2" w:rsidR="00494B81" w:rsidRPr="00E32C6C" w:rsidRDefault="00494B81" w:rsidP="00E32C6C">
      <w:pPr>
        <w:widowControl/>
        <w:spacing w:line="360" w:lineRule="auto"/>
        <w:ind w:firstLine="1440"/>
        <w:textAlignment w:val="baseline"/>
        <w:rPr>
          <w:color w:val="000000"/>
          <w:sz w:val="26"/>
          <w:szCs w:val="26"/>
        </w:rPr>
      </w:pPr>
      <w:r w:rsidRPr="00E32C6C">
        <w:rPr>
          <w:color w:val="000000"/>
          <w:sz w:val="26"/>
          <w:szCs w:val="26"/>
        </w:rPr>
        <w:t>On July 18, 2018, PPL filed an Answer.  In its Answer</w:t>
      </w:r>
      <w:r w:rsidR="00C57CAD" w:rsidRPr="00E32C6C">
        <w:rPr>
          <w:color w:val="000000"/>
          <w:sz w:val="26"/>
          <w:szCs w:val="26"/>
        </w:rPr>
        <w:t>,</w:t>
      </w:r>
      <w:r w:rsidRPr="00E32C6C">
        <w:rPr>
          <w:color w:val="000000"/>
          <w:sz w:val="26"/>
          <w:szCs w:val="26"/>
        </w:rPr>
        <w:t xml:space="preserve"> PPL </w:t>
      </w:r>
      <w:r w:rsidR="00DB0CB6" w:rsidRPr="00E32C6C">
        <w:rPr>
          <w:color w:val="000000"/>
          <w:sz w:val="26"/>
          <w:szCs w:val="26"/>
        </w:rPr>
        <w:t>admitted</w:t>
      </w:r>
      <w:r w:rsidRPr="00E32C6C">
        <w:rPr>
          <w:color w:val="000000"/>
          <w:sz w:val="26"/>
          <w:szCs w:val="26"/>
        </w:rPr>
        <w:t xml:space="preserve"> that it provided electric service to the Complainant at the Service Address and that it notified the Complainant that it would be installing a new AMI meter.  PPL contended that it is required to install AMI, or smart meters, for all </w:t>
      </w:r>
      <w:r w:rsidR="00DB0CB6" w:rsidRPr="00E32C6C">
        <w:rPr>
          <w:color w:val="000000"/>
          <w:sz w:val="26"/>
          <w:szCs w:val="26"/>
        </w:rPr>
        <w:t xml:space="preserve">customers that currently have an </w:t>
      </w:r>
      <w:r w:rsidRPr="00E32C6C">
        <w:rPr>
          <w:color w:val="000000"/>
          <w:sz w:val="26"/>
          <w:szCs w:val="26"/>
        </w:rPr>
        <w:t xml:space="preserve">automatic meter reading (AMR) </w:t>
      </w:r>
      <w:r w:rsidR="00DB0CB6" w:rsidRPr="00E32C6C">
        <w:rPr>
          <w:color w:val="000000"/>
          <w:sz w:val="26"/>
          <w:szCs w:val="26"/>
        </w:rPr>
        <w:t>meter</w:t>
      </w:r>
      <w:r w:rsidRPr="00E32C6C">
        <w:rPr>
          <w:color w:val="000000"/>
          <w:sz w:val="26"/>
          <w:szCs w:val="26"/>
        </w:rPr>
        <w:t>.  I.D. at 2; Answer at 1-2.</w:t>
      </w:r>
    </w:p>
    <w:p w14:paraId="2EA4D67C" w14:textId="77777777" w:rsidR="00494B81" w:rsidRPr="00E32C6C" w:rsidRDefault="00494B81" w:rsidP="00E32C6C">
      <w:pPr>
        <w:widowControl/>
        <w:spacing w:line="360" w:lineRule="auto"/>
        <w:ind w:firstLine="1440"/>
        <w:textAlignment w:val="baseline"/>
        <w:rPr>
          <w:color w:val="000000"/>
          <w:sz w:val="26"/>
          <w:szCs w:val="26"/>
        </w:rPr>
      </w:pPr>
    </w:p>
    <w:p w14:paraId="04C51882" w14:textId="6DEF9400" w:rsidR="00494B81" w:rsidRPr="00E32C6C" w:rsidRDefault="00494B81" w:rsidP="00E32C6C">
      <w:pPr>
        <w:widowControl/>
        <w:spacing w:line="360" w:lineRule="auto"/>
        <w:ind w:firstLine="1440"/>
        <w:textAlignment w:val="baseline"/>
        <w:rPr>
          <w:color w:val="000000"/>
          <w:sz w:val="26"/>
          <w:szCs w:val="26"/>
        </w:rPr>
      </w:pPr>
      <w:r w:rsidRPr="00E32C6C">
        <w:rPr>
          <w:color w:val="000000"/>
          <w:sz w:val="26"/>
          <w:szCs w:val="26"/>
        </w:rPr>
        <w:t xml:space="preserve">On November 10, 2018, the Complainant filed an Amended Complaint, alleging AMI meters cause harm including physical ailments such as headaches, heart palpitations, ringing in the ears, difficulty concentrating and inability to sleep at night. The Complainant averred he has medical conditions that may worsen with the installation of an AMI meter.  The Complainant stated his concerns with cybersecurity and data privacy.  The Complainant averred that the new AMI meters are not </w:t>
      </w:r>
      <w:r w:rsidRPr="00E32C6C">
        <w:rPr>
          <w:sz w:val="26"/>
          <w:szCs w:val="26"/>
        </w:rPr>
        <w:t>Underwriters Laboratories (</w:t>
      </w:r>
      <w:r w:rsidRPr="00E32C6C">
        <w:rPr>
          <w:color w:val="000000"/>
          <w:sz w:val="26"/>
          <w:szCs w:val="26"/>
        </w:rPr>
        <w:t>UL)</w:t>
      </w:r>
      <w:r w:rsidR="00C57CAD" w:rsidRPr="00E32C6C">
        <w:rPr>
          <w:color w:val="000000"/>
          <w:sz w:val="26"/>
          <w:szCs w:val="26"/>
        </w:rPr>
        <w:t xml:space="preserve"> </w:t>
      </w:r>
      <w:r w:rsidRPr="00E32C6C">
        <w:rPr>
          <w:color w:val="000000"/>
          <w:sz w:val="26"/>
          <w:szCs w:val="26"/>
        </w:rPr>
        <w:t>approved and have been known to cause fires.  He requested a delay in deployment of smart meters until Pennsylvania law is changed to allow an opt-out option at no charge to the customer.  Amended Complaint at 4-6; I.D. at 2.</w:t>
      </w:r>
    </w:p>
    <w:p w14:paraId="1849F551" w14:textId="77777777" w:rsidR="00494B81" w:rsidRPr="00E32C6C" w:rsidRDefault="00494B81" w:rsidP="00E32C6C">
      <w:pPr>
        <w:widowControl/>
        <w:spacing w:line="360" w:lineRule="auto"/>
        <w:ind w:firstLine="1440"/>
        <w:textAlignment w:val="baseline"/>
        <w:rPr>
          <w:color w:val="000000"/>
          <w:sz w:val="26"/>
          <w:szCs w:val="26"/>
        </w:rPr>
      </w:pPr>
    </w:p>
    <w:p w14:paraId="6854DFD7" w14:textId="77777777" w:rsidR="00494B81" w:rsidRPr="00E32C6C" w:rsidRDefault="00494B81" w:rsidP="00E32C6C">
      <w:pPr>
        <w:widowControl/>
        <w:spacing w:line="360" w:lineRule="auto"/>
        <w:ind w:firstLine="1440"/>
        <w:textAlignment w:val="baseline"/>
        <w:rPr>
          <w:color w:val="000000"/>
          <w:sz w:val="26"/>
          <w:szCs w:val="26"/>
        </w:rPr>
      </w:pPr>
      <w:r w:rsidRPr="00E32C6C">
        <w:rPr>
          <w:color w:val="000000"/>
          <w:sz w:val="26"/>
          <w:szCs w:val="26"/>
        </w:rPr>
        <w:t>On December 3, 2018, PPL filed an Answer to the Amended Complaint denying all of the material allegations of the Complaint.  Answer to Amended Complaint at 1-4; I.D. at 2.</w:t>
      </w:r>
    </w:p>
    <w:p w14:paraId="476FB067" w14:textId="0AB913FF" w:rsidR="00494B81" w:rsidRPr="00E32C6C" w:rsidRDefault="00494B81" w:rsidP="00E32C6C">
      <w:pPr>
        <w:widowControl/>
        <w:spacing w:line="360" w:lineRule="auto"/>
        <w:ind w:firstLine="1440"/>
        <w:textAlignment w:val="baseline"/>
        <w:rPr>
          <w:color w:val="000000"/>
          <w:sz w:val="26"/>
          <w:szCs w:val="26"/>
        </w:rPr>
      </w:pPr>
      <w:r w:rsidRPr="00E32C6C">
        <w:rPr>
          <w:color w:val="000000"/>
          <w:sz w:val="26"/>
          <w:szCs w:val="26"/>
        </w:rPr>
        <w:lastRenderedPageBreak/>
        <w:t xml:space="preserve">On May 28, 2019, an evidentiary hearing was held.  I.D. at 3.  The Complainant appeared in person and </w:t>
      </w:r>
      <w:r w:rsidRPr="00E32C6C">
        <w:rPr>
          <w:i/>
          <w:iCs/>
          <w:color w:val="000000"/>
          <w:sz w:val="26"/>
          <w:szCs w:val="26"/>
        </w:rPr>
        <w:t>pro se</w:t>
      </w:r>
      <w:r w:rsidRPr="00E32C6C">
        <w:rPr>
          <w:color w:val="000000"/>
          <w:sz w:val="26"/>
          <w:szCs w:val="26"/>
        </w:rPr>
        <w:t xml:space="preserve"> with three exhibits (articles pertaining to smart meters), but upon objection of PPL, the exhibits were not admitted into the record because the articles had not been provided to PPL prior to the hearing by the ordered deadline and constituted hearsay evidence.  I.D. at 3.  PPL appeared represented by counsel with four witnesses sponsoring written testimonies and fifteen exhibits</w:t>
      </w:r>
      <w:r w:rsidR="00C57CAD" w:rsidRPr="00E32C6C">
        <w:rPr>
          <w:color w:val="000000"/>
          <w:sz w:val="26"/>
          <w:szCs w:val="26"/>
        </w:rPr>
        <w:t xml:space="preserve">.  </w:t>
      </w:r>
      <w:r w:rsidRPr="00E32C6C">
        <w:rPr>
          <w:color w:val="000000"/>
          <w:sz w:val="26"/>
          <w:szCs w:val="26"/>
        </w:rPr>
        <w:t>A transcript consisting of eighty-seven pages was filed and the record closed on June</w:t>
      </w:r>
      <w:r w:rsidR="00E32C6C">
        <w:rPr>
          <w:color w:val="000000"/>
          <w:sz w:val="26"/>
          <w:szCs w:val="26"/>
        </w:rPr>
        <w:t> </w:t>
      </w:r>
      <w:r w:rsidRPr="00E32C6C">
        <w:rPr>
          <w:color w:val="000000"/>
          <w:sz w:val="26"/>
          <w:szCs w:val="26"/>
        </w:rPr>
        <w:t>20,</w:t>
      </w:r>
      <w:r w:rsidR="00E32C6C">
        <w:rPr>
          <w:color w:val="000000"/>
          <w:sz w:val="26"/>
          <w:szCs w:val="26"/>
        </w:rPr>
        <w:t> </w:t>
      </w:r>
      <w:r w:rsidRPr="00E32C6C">
        <w:rPr>
          <w:color w:val="000000"/>
          <w:sz w:val="26"/>
          <w:szCs w:val="26"/>
        </w:rPr>
        <w:t>2019.  I.D. at 3.</w:t>
      </w:r>
    </w:p>
    <w:p w14:paraId="40BD9971" w14:textId="77777777" w:rsidR="005455ED" w:rsidRPr="00E32C6C" w:rsidRDefault="005455ED" w:rsidP="00E32C6C">
      <w:pPr>
        <w:widowControl/>
        <w:spacing w:line="360" w:lineRule="auto"/>
        <w:ind w:firstLine="1440"/>
        <w:textAlignment w:val="baseline"/>
        <w:rPr>
          <w:color w:val="000000"/>
          <w:sz w:val="26"/>
          <w:szCs w:val="26"/>
        </w:rPr>
      </w:pPr>
    </w:p>
    <w:p w14:paraId="29474DB2" w14:textId="7940D6BB" w:rsidR="00494B81" w:rsidRPr="00E32C6C" w:rsidRDefault="00494B81" w:rsidP="00E32C6C">
      <w:pPr>
        <w:widowControl/>
        <w:spacing w:line="360" w:lineRule="auto"/>
        <w:ind w:firstLine="1440"/>
        <w:textAlignment w:val="baseline"/>
        <w:rPr>
          <w:sz w:val="26"/>
          <w:szCs w:val="26"/>
        </w:rPr>
      </w:pPr>
      <w:r w:rsidRPr="00E32C6C">
        <w:rPr>
          <w:sz w:val="26"/>
          <w:szCs w:val="26"/>
        </w:rPr>
        <w:t>In the Initial Decision, issued on Ju</w:t>
      </w:r>
      <w:r w:rsidR="005455ED" w:rsidRPr="00E32C6C">
        <w:rPr>
          <w:sz w:val="26"/>
          <w:szCs w:val="26"/>
        </w:rPr>
        <w:t>ly</w:t>
      </w:r>
      <w:r w:rsidRPr="00E32C6C">
        <w:rPr>
          <w:sz w:val="26"/>
          <w:szCs w:val="26"/>
        </w:rPr>
        <w:t xml:space="preserve"> </w:t>
      </w:r>
      <w:r w:rsidR="005455ED" w:rsidRPr="00E32C6C">
        <w:rPr>
          <w:sz w:val="26"/>
          <w:szCs w:val="26"/>
        </w:rPr>
        <w:t>12</w:t>
      </w:r>
      <w:r w:rsidRPr="00E32C6C">
        <w:rPr>
          <w:sz w:val="26"/>
          <w:szCs w:val="26"/>
        </w:rPr>
        <w:t>, 201</w:t>
      </w:r>
      <w:r w:rsidR="005455ED" w:rsidRPr="00E32C6C">
        <w:rPr>
          <w:sz w:val="26"/>
          <w:szCs w:val="26"/>
        </w:rPr>
        <w:t>9</w:t>
      </w:r>
      <w:r w:rsidRPr="00E32C6C">
        <w:rPr>
          <w:sz w:val="26"/>
          <w:szCs w:val="26"/>
        </w:rPr>
        <w:t xml:space="preserve">, the ALJ found that the Complainant did not </w:t>
      </w:r>
      <w:r w:rsidR="005455ED" w:rsidRPr="00E32C6C">
        <w:rPr>
          <w:color w:val="000000"/>
          <w:sz w:val="26"/>
          <w:szCs w:val="26"/>
        </w:rPr>
        <w:t>prove by a preponderance of evidence that the installation of the smart meter constitutes unsafe or unreasonable service under 66 Pa. C.S. § 1501 or otherwise violates the Public Utility Code</w:t>
      </w:r>
      <w:r w:rsidR="00533713" w:rsidRPr="00E32C6C">
        <w:rPr>
          <w:color w:val="000000"/>
          <w:sz w:val="26"/>
          <w:szCs w:val="26"/>
        </w:rPr>
        <w:t xml:space="preserve"> (Code)</w:t>
      </w:r>
      <w:r w:rsidR="005455ED" w:rsidRPr="00E32C6C">
        <w:rPr>
          <w:color w:val="000000"/>
          <w:sz w:val="26"/>
          <w:szCs w:val="26"/>
        </w:rPr>
        <w:t xml:space="preserve">, a Commission order, regulation, or a Commission-approved tariff of the company.  </w:t>
      </w:r>
      <w:r w:rsidRPr="00E32C6C">
        <w:rPr>
          <w:sz w:val="26"/>
          <w:szCs w:val="26"/>
        </w:rPr>
        <w:t>I.D. at 1.  Accordingly, the ALJ dismissed the Complaint.</w:t>
      </w:r>
    </w:p>
    <w:p w14:paraId="2F7C7CA8" w14:textId="77777777" w:rsidR="00494B81" w:rsidRPr="00E32C6C" w:rsidRDefault="00494B81" w:rsidP="00E32C6C">
      <w:pPr>
        <w:widowControl/>
        <w:tabs>
          <w:tab w:val="left" w:pos="-720"/>
          <w:tab w:val="left" w:pos="1440"/>
        </w:tabs>
        <w:suppressAutoHyphens/>
        <w:autoSpaceDE w:val="0"/>
        <w:autoSpaceDN w:val="0"/>
        <w:spacing w:line="360" w:lineRule="auto"/>
        <w:ind w:firstLine="1440"/>
        <w:rPr>
          <w:sz w:val="26"/>
          <w:szCs w:val="26"/>
        </w:rPr>
      </w:pPr>
    </w:p>
    <w:p w14:paraId="5C871590" w14:textId="3CD82362" w:rsidR="005455ED" w:rsidRPr="00E32C6C" w:rsidRDefault="005455ED" w:rsidP="00E32C6C">
      <w:pPr>
        <w:widowControl/>
        <w:tabs>
          <w:tab w:val="left" w:pos="-720"/>
          <w:tab w:val="left" w:pos="1440"/>
        </w:tabs>
        <w:suppressAutoHyphens/>
        <w:autoSpaceDE w:val="0"/>
        <w:autoSpaceDN w:val="0"/>
        <w:spacing w:line="360" w:lineRule="auto"/>
        <w:ind w:firstLine="1440"/>
        <w:rPr>
          <w:sz w:val="26"/>
          <w:szCs w:val="26"/>
        </w:rPr>
      </w:pPr>
      <w:r w:rsidRPr="00E32C6C">
        <w:rPr>
          <w:sz w:val="26"/>
          <w:szCs w:val="26"/>
        </w:rPr>
        <w:t>On August 1, 2019, the Complainant filed Exceptions to the Initial Decision.  On August 12, 2019, PPL filed Replies to Exceptions.</w:t>
      </w:r>
    </w:p>
    <w:p w14:paraId="2CAB925E" w14:textId="77777777" w:rsidR="005455ED" w:rsidRPr="00E32C6C" w:rsidRDefault="005455ED" w:rsidP="00E32C6C">
      <w:pPr>
        <w:widowControl/>
        <w:tabs>
          <w:tab w:val="left" w:pos="-720"/>
          <w:tab w:val="left" w:pos="1440"/>
        </w:tabs>
        <w:suppressAutoHyphens/>
        <w:autoSpaceDE w:val="0"/>
        <w:autoSpaceDN w:val="0"/>
        <w:spacing w:line="360" w:lineRule="auto"/>
        <w:ind w:firstLine="1440"/>
        <w:rPr>
          <w:sz w:val="26"/>
          <w:szCs w:val="26"/>
        </w:rPr>
      </w:pPr>
    </w:p>
    <w:p w14:paraId="55C70E73" w14:textId="57EFD513" w:rsidR="00494B81" w:rsidRPr="00E32C6C" w:rsidRDefault="00494B81" w:rsidP="00E32C6C">
      <w:pPr>
        <w:widowControl/>
        <w:tabs>
          <w:tab w:val="left" w:pos="-720"/>
          <w:tab w:val="left" w:pos="1440"/>
        </w:tabs>
        <w:suppressAutoHyphens/>
        <w:autoSpaceDE w:val="0"/>
        <w:autoSpaceDN w:val="0"/>
        <w:spacing w:line="360" w:lineRule="auto"/>
        <w:ind w:firstLine="1440"/>
        <w:rPr>
          <w:sz w:val="26"/>
          <w:szCs w:val="26"/>
        </w:rPr>
      </w:pPr>
      <w:r w:rsidRPr="00E32C6C">
        <w:rPr>
          <w:sz w:val="26"/>
          <w:szCs w:val="26"/>
        </w:rPr>
        <w:t xml:space="preserve">On </w:t>
      </w:r>
      <w:r w:rsidR="005455ED" w:rsidRPr="00E32C6C">
        <w:rPr>
          <w:sz w:val="26"/>
          <w:szCs w:val="26"/>
        </w:rPr>
        <w:t>May 21</w:t>
      </w:r>
      <w:r w:rsidRPr="00E32C6C">
        <w:rPr>
          <w:sz w:val="26"/>
          <w:szCs w:val="26"/>
        </w:rPr>
        <w:t>, 20</w:t>
      </w:r>
      <w:r w:rsidR="005455ED" w:rsidRPr="00E32C6C">
        <w:rPr>
          <w:sz w:val="26"/>
          <w:szCs w:val="26"/>
        </w:rPr>
        <w:t>20</w:t>
      </w:r>
      <w:r w:rsidRPr="00E32C6C">
        <w:rPr>
          <w:sz w:val="26"/>
          <w:szCs w:val="26"/>
        </w:rPr>
        <w:t xml:space="preserve">, the Commission entered the </w:t>
      </w:r>
      <w:r w:rsidR="005455ED" w:rsidRPr="00E32C6C">
        <w:rPr>
          <w:i/>
          <w:iCs/>
          <w:sz w:val="26"/>
          <w:szCs w:val="26"/>
        </w:rPr>
        <w:t>May 2020</w:t>
      </w:r>
      <w:r w:rsidRPr="00E32C6C">
        <w:rPr>
          <w:i/>
          <w:iCs/>
          <w:sz w:val="26"/>
          <w:szCs w:val="26"/>
        </w:rPr>
        <w:t xml:space="preserve"> Order</w:t>
      </w:r>
      <w:r w:rsidRPr="00E32C6C">
        <w:rPr>
          <w:sz w:val="26"/>
          <w:szCs w:val="26"/>
        </w:rPr>
        <w:t xml:space="preserve"> that denied the Complainant’s Exceptions and adopted the ALJ’s Initial Decision that dismissed the Complaint.</w:t>
      </w:r>
    </w:p>
    <w:p w14:paraId="24B1C152" w14:textId="77777777" w:rsidR="005455ED" w:rsidRPr="00E32C6C" w:rsidRDefault="005455ED" w:rsidP="00E32C6C">
      <w:pPr>
        <w:widowControl/>
        <w:tabs>
          <w:tab w:val="left" w:pos="-720"/>
          <w:tab w:val="left" w:pos="1440"/>
        </w:tabs>
        <w:suppressAutoHyphens/>
        <w:autoSpaceDE w:val="0"/>
        <w:autoSpaceDN w:val="0"/>
        <w:spacing w:line="360" w:lineRule="auto"/>
        <w:ind w:firstLine="1440"/>
        <w:rPr>
          <w:sz w:val="26"/>
          <w:szCs w:val="26"/>
        </w:rPr>
      </w:pPr>
    </w:p>
    <w:p w14:paraId="2D37996B" w14:textId="22E94E6C" w:rsidR="00494B81" w:rsidRPr="00E32C6C" w:rsidRDefault="00494B81" w:rsidP="00E32C6C">
      <w:pPr>
        <w:widowControl/>
        <w:tabs>
          <w:tab w:val="left" w:pos="-720"/>
          <w:tab w:val="left" w:pos="1440"/>
        </w:tabs>
        <w:suppressAutoHyphens/>
        <w:autoSpaceDE w:val="0"/>
        <w:autoSpaceDN w:val="0"/>
        <w:spacing w:line="360" w:lineRule="auto"/>
        <w:ind w:firstLine="1440"/>
        <w:rPr>
          <w:sz w:val="26"/>
          <w:szCs w:val="26"/>
        </w:rPr>
      </w:pPr>
      <w:r w:rsidRPr="00E32C6C">
        <w:rPr>
          <w:sz w:val="26"/>
          <w:szCs w:val="26"/>
        </w:rPr>
        <w:t xml:space="preserve">As noted, </w:t>
      </w:r>
      <w:r w:rsidR="00451FE4" w:rsidRPr="00E32C6C">
        <w:rPr>
          <w:sz w:val="26"/>
          <w:szCs w:val="26"/>
        </w:rPr>
        <w:t>Mr.</w:t>
      </w:r>
      <w:r w:rsidR="005455ED" w:rsidRPr="00E32C6C">
        <w:rPr>
          <w:sz w:val="26"/>
          <w:szCs w:val="26"/>
        </w:rPr>
        <w:t xml:space="preserve"> Maslar</w:t>
      </w:r>
      <w:r w:rsidRPr="00E32C6C">
        <w:rPr>
          <w:sz w:val="26"/>
          <w:szCs w:val="26"/>
        </w:rPr>
        <w:t xml:space="preserve"> filed a Petition for Reconsideration of the </w:t>
      </w:r>
      <w:r w:rsidR="005455ED" w:rsidRPr="00E32C6C">
        <w:rPr>
          <w:i/>
          <w:iCs/>
          <w:sz w:val="26"/>
          <w:szCs w:val="26"/>
        </w:rPr>
        <w:t>May 2020</w:t>
      </w:r>
      <w:r w:rsidRPr="00E32C6C">
        <w:rPr>
          <w:i/>
          <w:sz w:val="26"/>
          <w:szCs w:val="26"/>
        </w:rPr>
        <w:t xml:space="preserve"> Order </w:t>
      </w:r>
      <w:r w:rsidRPr="00E32C6C">
        <w:rPr>
          <w:sz w:val="26"/>
          <w:szCs w:val="26"/>
        </w:rPr>
        <w:t xml:space="preserve">on June </w:t>
      </w:r>
      <w:r w:rsidR="005455ED" w:rsidRPr="00E32C6C">
        <w:rPr>
          <w:sz w:val="26"/>
          <w:szCs w:val="26"/>
        </w:rPr>
        <w:t>5</w:t>
      </w:r>
      <w:r w:rsidRPr="00E32C6C">
        <w:rPr>
          <w:sz w:val="26"/>
          <w:szCs w:val="26"/>
        </w:rPr>
        <w:t>, 20</w:t>
      </w:r>
      <w:r w:rsidR="005455ED" w:rsidRPr="00E32C6C">
        <w:rPr>
          <w:sz w:val="26"/>
          <w:szCs w:val="26"/>
        </w:rPr>
        <w:t>20</w:t>
      </w:r>
      <w:r w:rsidRPr="00E32C6C">
        <w:rPr>
          <w:sz w:val="26"/>
          <w:szCs w:val="26"/>
        </w:rPr>
        <w:t>.  P</w:t>
      </w:r>
      <w:r w:rsidR="005455ED" w:rsidRPr="00E32C6C">
        <w:rPr>
          <w:sz w:val="26"/>
          <w:szCs w:val="26"/>
        </w:rPr>
        <w:t>PL</w:t>
      </w:r>
      <w:r w:rsidRPr="00E32C6C">
        <w:rPr>
          <w:sz w:val="26"/>
          <w:szCs w:val="26"/>
        </w:rPr>
        <w:t xml:space="preserve"> filed its Answer to the Petition on Ju</w:t>
      </w:r>
      <w:r w:rsidR="005455ED" w:rsidRPr="00E32C6C">
        <w:rPr>
          <w:sz w:val="26"/>
          <w:szCs w:val="26"/>
        </w:rPr>
        <w:t>ne 1</w:t>
      </w:r>
      <w:r w:rsidR="00394E43" w:rsidRPr="00E32C6C">
        <w:rPr>
          <w:sz w:val="26"/>
          <w:szCs w:val="26"/>
        </w:rPr>
        <w:t>5</w:t>
      </w:r>
      <w:r w:rsidR="005455ED" w:rsidRPr="00E32C6C">
        <w:rPr>
          <w:sz w:val="26"/>
          <w:szCs w:val="26"/>
        </w:rPr>
        <w:t>, 2020</w:t>
      </w:r>
      <w:r w:rsidRPr="00E32C6C">
        <w:rPr>
          <w:sz w:val="26"/>
          <w:szCs w:val="26"/>
        </w:rPr>
        <w:t>.  By Opinion and Order entered Ju</w:t>
      </w:r>
      <w:r w:rsidR="005455ED" w:rsidRPr="00E32C6C">
        <w:rPr>
          <w:sz w:val="26"/>
          <w:szCs w:val="26"/>
        </w:rPr>
        <w:t>ne</w:t>
      </w:r>
      <w:r w:rsidRPr="00E32C6C">
        <w:rPr>
          <w:sz w:val="26"/>
          <w:szCs w:val="26"/>
        </w:rPr>
        <w:t xml:space="preserve"> 1</w:t>
      </w:r>
      <w:r w:rsidR="005455ED" w:rsidRPr="00E32C6C">
        <w:rPr>
          <w:sz w:val="26"/>
          <w:szCs w:val="26"/>
        </w:rPr>
        <w:t>8</w:t>
      </w:r>
      <w:r w:rsidRPr="00E32C6C">
        <w:rPr>
          <w:sz w:val="26"/>
          <w:szCs w:val="26"/>
        </w:rPr>
        <w:t>, 20</w:t>
      </w:r>
      <w:r w:rsidR="005455ED" w:rsidRPr="00E32C6C">
        <w:rPr>
          <w:sz w:val="26"/>
          <w:szCs w:val="26"/>
        </w:rPr>
        <w:t>20</w:t>
      </w:r>
      <w:r w:rsidRPr="00E32C6C">
        <w:rPr>
          <w:sz w:val="26"/>
          <w:szCs w:val="26"/>
        </w:rPr>
        <w:t>, the Commission granted the Petition, pending further review of, and consideration on, the merits.</w:t>
      </w:r>
    </w:p>
    <w:p w14:paraId="490555FE" w14:textId="77777777" w:rsidR="00494B81" w:rsidRPr="00E32C6C" w:rsidRDefault="00494B81" w:rsidP="00E32C6C">
      <w:pPr>
        <w:widowControl/>
        <w:spacing w:line="360" w:lineRule="auto"/>
        <w:rPr>
          <w:sz w:val="26"/>
          <w:szCs w:val="26"/>
        </w:rPr>
      </w:pPr>
    </w:p>
    <w:bookmarkEnd w:id="1"/>
    <w:bookmarkEnd w:id="2"/>
    <w:p w14:paraId="6CC0CCFC" w14:textId="485F2B85" w:rsidR="00494B81" w:rsidRPr="00E32C6C" w:rsidRDefault="00494B81" w:rsidP="00C013DD">
      <w:pPr>
        <w:keepNext/>
        <w:widowControl/>
        <w:spacing w:line="360" w:lineRule="auto"/>
        <w:jc w:val="center"/>
        <w:rPr>
          <w:b/>
          <w:sz w:val="26"/>
          <w:szCs w:val="26"/>
        </w:rPr>
      </w:pPr>
      <w:r w:rsidRPr="00E32C6C">
        <w:rPr>
          <w:b/>
          <w:sz w:val="26"/>
          <w:szCs w:val="26"/>
        </w:rPr>
        <w:lastRenderedPageBreak/>
        <w:t xml:space="preserve">II. </w:t>
      </w:r>
      <w:r w:rsidR="00E32C6C">
        <w:rPr>
          <w:b/>
          <w:sz w:val="26"/>
          <w:szCs w:val="26"/>
        </w:rPr>
        <w:tab/>
      </w:r>
      <w:r w:rsidRPr="00E32C6C">
        <w:rPr>
          <w:b/>
          <w:sz w:val="26"/>
          <w:szCs w:val="26"/>
        </w:rPr>
        <w:t>Discussion</w:t>
      </w:r>
    </w:p>
    <w:p w14:paraId="3B84C5F9" w14:textId="77777777" w:rsidR="00494B81" w:rsidRPr="00E32C6C" w:rsidRDefault="00494B81" w:rsidP="00C013DD">
      <w:pPr>
        <w:keepNext/>
        <w:widowControl/>
        <w:spacing w:line="360" w:lineRule="auto"/>
        <w:rPr>
          <w:b/>
          <w:sz w:val="26"/>
          <w:szCs w:val="26"/>
        </w:rPr>
      </w:pPr>
    </w:p>
    <w:p w14:paraId="6FABC6FB" w14:textId="77777777" w:rsidR="00494B81" w:rsidRPr="00E32C6C" w:rsidRDefault="00494B81" w:rsidP="00C013DD">
      <w:pPr>
        <w:keepNext/>
        <w:widowControl/>
        <w:spacing w:line="360" w:lineRule="auto"/>
        <w:rPr>
          <w:b/>
          <w:sz w:val="26"/>
          <w:szCs w:val="26"/>
        </w:rPr>
      </w:pPr>
      <w:r w:rsidRPr="00E32C6C">
        <w:rPr>
          <w:b/>
          <w:sz w:val="26"/>
          <w:szCs w:val="26"/>
        </w:rPr>
        <w:t>A.</w:t>
      </w:r>
      <w:r w:rsidRPr="00E32C6C">
        <w:rPr>
          <w:b/>
          <w:sz w:val="26"/>
          <w:szCs w:val="26"/>
        </w:rPr>
        <w:tab/>
        <w:t>Legal Standards</w:t>
      </w:r>
    </w:p>
    <w:p w14:paraId="2105E376" w14:textId="77777777" w:rsidR="00494B81" w:rsidRPr="00E32C6C" w:rsidRDefault="00494B81" w:rsidP="00C013DD">
      <w:pPr>
        <w:widowControl/>
        <w:suppressAutoHyphens/>
        <w:spacing w:line="360" w:lineRule="auto"/>
        <w:ind w:firstLine="1440"/>
        <w:rPr>
          <w:sz w:val="26"/>
          <w:szCs w:val="26"/>
        </w:rPr>
      </w:pPr>
    </w:p>
    <w:p w14:paraId="79F3DD16" w14:textId="77777777" w:rsidR="00494B81" w:rsidRPr="00E32C6C" w:rsidRDefault="00494B81" w:rsidP="00C013DD">
      <w:pPr>
        <w:widowControl/>
        <w:spacing w:line="360" w:lineRule="auto"/>
        <w:ind w:firstLine="1440"/>
        <w:rPr>
          <w:sz w:val="26"/>
          <w:szCs w:val="26"/>
        </w:rPr>
      </w:pPr>
      <w:r w:rsidRPr="00E32C6C">
        <w:rPr>
          <w:sz w:val="26"/>
          <w:szCs w:val="26"/>
        </w:rPr>
        <w:t xml:space="preserve">The Code establishes a party’s right to seek relief following the issuance of our final decisions pursuant to Subsections 703(f) and (g), 66 Pa. C.S. § 703(f) </w:t>
      </w:r>
    </w:p>
    <w:p w14:paraId="1B75902D" w14:textId="67946F5E" w:rsidR="00494B81" w:rsidRPr="00E32C6C" w:rsidRDefault="00494B81" w:rsidP="00C013DD">
      <w:pPr>
        <w:widowControl/>
        <w:spacing w:line="360" w:lineRule="auto"/>
        <w:rPr>
          <w:sz w:val="26"/>
          <w:szCs w:val="26"/>
        </w:rPr>
      </w:pPr>
      <w:r w:rsidRPr="00E32C6C">
        <w:rPr>
          <w:sz w:val="26"/>
          <w:szCs w:val="26"/>
        </w:rPr>
        <w:t>and § 703(g), relating to rehearings, as well as the rescission and amendment of orders.  Such requests for relief must be consistent with Section 5.572 of our Regulations, 52</w:t>
      </w:r>
      <w:r w:rsidR="00EF5835">
        <w:rPr>
          <w:sz w:val="26"/>
          <w:szCs w:val="26"/>
        </w:rPr>
        <w:t> </w:t>
      </w:r>
      <w:r w:rsidRPr="00E32C6C">
        <w:rPr>
          <w:sz w:val="26"/>
          <w:szCs w:val="26"/>
        </w:rPr>
        <w:t>Pa.</w:t>
      </w:r>
      <w:r w:rsidR="00EF5835">
        <w:rPr>
          <w:sz w:val="26"/>
          <w:szCs w:val="26"/>
        </w:rPr>
        <w:t> </w:t>
      </w:r>
      <w:r w:rsidRPr="00E32C6C">
        <w:rPr>
          <w:sz w:val="26"/>
          <w:szCs w:val="26"/>
        </w:rPr>
        <w:t>Code § 5.572, relating to petitions for relief following the issuance of a final decision.</w:t>
      </w:r>
    </w:p>
    <w:p w14:paraId="0828D981" w14:textId="77777777" w:rsidR="00494B81" w:rsidRPr="00E32C6C" w:rsidRDefault="00494B81" w:rsidP="00E32C6C">
      <w:pPr>
        <w:widowControl/>
        <w:spacing w:line="360" w:lineRule="auto"/>
        <w:rPr>
          <w:sz w:val="26"/>
          <w:szCs w:val="26"/>
        </w:rPr>
      </w:pPr>
    </w:p>
    <w:p w14:paraId="039F31CC" w14:textId="3F1C67AD" w:rsidR="00AA0D4E" w:rsidRPr="00E32C6C" w:rsidRDefault="00AA0D4E" w:rsidP="00E32C6C">
      <w:pPr>
        <w:widowControl/>
        <w:spacing w:line="360" w:lineRule="auto"/>
        <w:ind w:firstLine="1440"/>
        <w:rPr>
          <w:sz w:val="26"/>
          <w:szCs w:val="26"/>
        </w:rPr>
      </w:pPr>
      <w:r w:rsidRPr="00E32C6C">
        <w:rPr>
          <w:sz w:val="26"/>
          <w:szCs w:val="26"/>
        </w:rPr>
        <w:t xml:space="preserve">In exercising Commission authority to amend or rescind an order pursuant to Section 703(g) of the Code, the Supreme Court of Pennsylvania has stated: “Because such relief may result in disturbance of final orders, it must be granted judiciously and only under appropriate circumstances.”  </w:t>
      </w:r>
      <w:r w:rsidRPr="00E32C6C">
        <w:rPr>
          <w:i/>
          <w:iCs/>
          <w:sz w:val="26"/>
          <w:szCs w:val="26"/>
        </w:rPr>
        <w:t>See</w:t>
      </w:r>
      <w:r w:rsidRPr="00E32C6C">
        <w:rPr>
          <w:sz w:val="26"/>
          <w:szCs w:val="26"/>
        </w:rPr>
        <w:t xml:space="preserve"> </w:t>
      </w:r>
      <w:r w:rsidRPr="00E32C6C">
        <w:rPr>
          <w:i/>
          <w:iCs/>
          <w:sz w:val="26"/>
          <w:szCs w:val="26"/>
        </w:rPr>
        <w:t>City of Pittsburgh v. Pennsylvania Department of Transportation</w:t>
      </w:r>
      <w:r w:rsidRPr="00E32C6C">
        <w:rPr>
          <w:sz w:val="26"/>
          <w:szCs w:val="26"/>
        </w:rPr>
        <w:t>, 490 Pa. 264, 416 A.2d 461 (1980).</w:t>
      </w:r>
    </w:p>
    <w:p w14:paraId="0D461164" w14:textId="77777777" w:rsidR="00AA0D4E" w:rsidRPr="00E32C6C" w:rsidRDefault="00AA0D4E" w:rsidP="00E32C6C">
      <w:pPr>
        <w:widowControl/>
        <w:spacing w:line="360" w:lineRule="auto"/>
        <w:rPr>
          <w:sz w:val="26"/>
          <w:szCs w:val="26"/>
        </w:rPr>
      </w:pPr>
    </w:p>
    <w:p w14:paraId="222CE476" w14:textId="77777777" w:rsidR="00494B81" w:rsidRPr="00E32C6C" w:rsidRDefault="00494B81" w:rsidP="00E32C6C">
      <w:pPr>
        <w:widowControl/>
        <w:spacing w:line="360" w:lineRule="auto"/>
        <w:ind w:firstLine="1440"/>
        <w:rPr>
          <w:sz w:val="26"/>
          <w:szCs w:val="26"/>
        </w:rPr>
      </w:pPr>
      <w:r w:rsidRPr="00E32C6C">
        <w:rPr>
          <w:sz w:val="26"/>
          <w:szCs w:val="26"/>
        </w:rPr>
        <w:t xml:space="preserve">The standards for granting a Petition for Reconsideration were set forth in </w:t>
      </w:r>
      <w:r w:rsidRPr="00E32C6C">
        <w:rPr>
          <w:i/>
          <w:sz w:val="26"/>
          <w:szCs w:val="26"/>
        </w:rPr>
        <w:t>Duick v. Pennsylvania Gas and Water Company</w:t>
      </w:r>
      <w:r w:rsidRPr="00E32C6C">
        <w:rPr>
          <w:sz w:val="26"/>
          <w:szCs w:val="26"/>
        </w:rPr>
        <w:t>, 56 Pa. P.U.C. 553 (1982):</w:t>
      </w:r>
    </w:p>
    <w:p w14:paraId="2F4537FE" w14:textId="77777777" w:rsidR="00494B81" w:rsidRPr="00E32C6C" w:rsidRDefault="00494B81" w:rsidP="00E32C6C">
      <w:pPr>
        <w:widowControl/>
        <w:rPr>
          <w:sz w:val="26"/>
          <w:szCs w:val="26"/>
        </w:rPr>
      </w:pPr>
    </w:p>
    <w:p w14:paraId="0D81DCCC" w14:textId="77777777" w:rsidR="00494B81" w:rsidRPr="00E32C6C" w:rsidRDefault="00494B81" w:rsidP="00E32C6C">
      <w:pPr>
        <w:widowControl/>
        <w:ind w:left="1440" w:right="1440"/>
        <w:rPr>
          <w:sz w:val="26"/>
          <w:szCs w:val="26"/>
        </w:rPr>
      </w:pPr>
      <w:r w:rsidRPr="00E32C6C">
        <w:rPr>
          <w:sz w:val="26"/>
          <w:szCs w:val="26"/>
        </w:rPr>
        <w:t xml:space="preserve">A Petition for Reconsideration, under the provisions of </w:t>
      </w:r>
    </w:p>
    <w:p w14:paraId="4A004990" w14:textId="77777777" w:rsidR="00494B81" w:rsidRPr="00E32C6C" w:rsidRDefault="00494B81" w:rsidP="00E32C6C">
      <w:pPr>
        <w:widowControl/>
        <w:ind w:left="1440" w:right="1440"/>
        <w:rPr>
          <w:sz w:val="26"/>
          <w:szCs w:val="26"/>
        </w:rPr>
      </w:pPr>
      <w:r w:rsidRPr="00E32C6C">
        <w:rPr>
          <w:sz w:val="26"/>
          <w:szCs w:val="26"/>
        </w:rPr>
        <w:t xml:space="preserve">66 Pa. C.S. § 703(g), may properly raise any matters designed to convince the Commission that it should exercise its discretion under this code section to rescind or amend a prior order in whole or in part.  </w:t>
      </w:r>
    </w:p>
    <w:p w14:paraId="0812EFC9" w14:textId="77777777" w:rsidR="00494B81" w:rsidRPr="00E32C6C" w:rsidRDefault="00494B81" w:rsidP="00E32C6C">
      <w:pPr>
        <w:widowControl/>
        <w:ind w:left="1440" w:right="1440"/>
        <w:rPr>
          <w:sz w:val="26"/>
          <w:szCs w:val="26"/>
        </w:rPr>
      </w:pPr>
    </w:p>
    <w:p w14:paraId="598596A9" w14:textId="77777777" w:rsidR="00494B81" w:rsidRPr="00E32C6C" w:rsidRDefault="00494B81" w:rsidP="00E32C6C">
      <w:pPr>
        <w:widowControl/>
        <w:ind w:left="1440" w:right="1440"/>
        <w:rPr>
          <w:sz w:val="26"/>
          <w:szCs w:val="26"/>
        </w:rPr>
      </w:pPr>
      <w:r w:rsidRPr="00E32C6C">
        <w:rPr>
          <w:sz w:val="26"/>
          <w:szCs w:val="26"/>
        </w:rPr>
        <w:tab/>
        <w:t>In this regard we agree with the court in the Pennsyl</w:t>
      </w:r>
      <w:r w:rsidRPr="00E32C6C">
        <w:rPr>
          <w:sz w:val="26"/>
          <w:szCs w:val="26"/>
        </w:rPr>
        <w:softHyphen/>
        <w:t>vania Railroad Company case, wherein it was stated that:</w:t>
      </w:r>
    </w:p>
    <w:p w14:paraId="74F1A46A" w14:textId="77777777" w:rsidR="00494B81" w:rsidRPr="00E32C6C" w:rsidRDefault="00494B81" w:rsidP="00E32C6C">
      <w:pPr>
        <w:widowControl/>
        <w:ind w:left="2160" w:right="2160"/>
        <w:rPr>
          <w:sz w:val="26"/>
          <w:szCs w:val="26"/>
        </w:rPr>
      </w:pPr>
    </w:p>
    <w:p w14:paraId="753D5A3C" w14:textId="77777777" w:rsidR="00494B81" w:rsidRPr="00E32C6C" w:rsidRDefault="00494B81" w:rsidP="00E32C6C">
      <w:pPr>
        <w:pStyle w:val="BlockText"/>
        <w:widowControl/>
        <w:spacing w:line="240" w:lineRule="auto"/>
        <w:ind w:left="2160"/>
        <w:rPr>
          <w:szCs w:val="26"/>
        </w:rPr>
      </w:pPr>
      <w:r w:rsidRPr="00E32C6C">
        <w:rPr>
          <w:szCs w:val="26"/>
        </w:rPr>
        <w:tab/>
        <w:t xml:space="preserve">Parties . . . cannot be permitted by a second motion to review and reconsider, to raise the same questions which were specifically decided against them . . . what we expect to see </w:t>
      </w:r>
      <w:r w:rsidRPr="00E32C6C">
        <w:rPr>
          <w:szCs w:val="26"/>
        </w:rPr>
        <w:lastRenderedPageBreak/>
        <w:t xml:space="preserve">raised in such petitions </w:t>
      </w:r>
      <w:bookmarkStart w:id="3" w:name="_Hlk2276757"/>
      <w:r w:rsidRPr="00E32C6C">
        <w:rPr>
          <w:szCs w:val="26"/>
        </w:rPr>
        <w:t>are new and novel arguments, not previously heard, or considera</w:t>
      </w:r>
      <w:r w:rsidRPr="00E32C6C">
        <w:rPr>
          <w:szCs w:val="26"/>
        </w:rPr>
        <w:softHyphen/>
        <w:t>tions which appear to have been overlooked by the Commission</w:t>
      </w:r>
      <w:bookmarkEnd w:id="3"/>
      <w:r w:rsidRPr="00E32C6C">
        <w:rPr>
          <w:szCs w:val="26"/>
        </w:rPr>
        <w:t>.</w:t>
      </w:r>
    </w:p>
    <w:p w14:paraId="3302D144" w14:textId="77777777" w:rsidR="00494B81" w:rsidRPr="00E32C6C" w:rsidRDefault="00494B81" w:rsidP="00EF5835">
      <w:pPr>
        <w:pStyle w:val="BlockText"/>
        <w:widowControl/>
        <w:ind w:left="0"/>
        <w:rPr>
          <w:szCs w:val="26"/>
        </w:rPr>
      </w:pPr>
    </w:p>
    <w:p w14:paraId="0E22F9DE" w14:textId="77777777" w:rsidR="00494B81" w:rsidRPr="00E32C6C" w:rsidRDefault="00494B81" w:rsidP="00E32C6C">
      <w:pPr>
        <w:widowControl/>
        <w:spacing w:line="360" w:lineRule="auto"/>
        <w:rPr>
          <w:sz w:val="26"/>
          <w:szCs w:val="26"/>
        </w:rPr>
      </w:pPr>
      <w:r w:rsidRPr="00E32C6C">
        <w:rPr>
          <w:i/>
          <w:sz w:val="26"/>
          <w:szCs w:val="26"/>
        </w:rPr>
        <w:t>Duick</w:t>
      </w:r>
      <w:r w:rsidRPr="00E32C6C">
        <w:rPr>
          <w:iCs/>
          <w:sz w:val="26"/>
          <w:szCs w:val="26"/>
        </w:rPr>
        <w:t>,</w:t>
      </w:r>
      <w:r w:rsidRPr="00E32C6C">
        <w:rPr>
          <w:sz w:val="26"/>
          <w:szCs w:val="26"/>
        </w:rPr>
        <w:t xml:space="preserve"> 56 Pa. P.U.C. at 559 (quoting </w:t>
      </w:r>
      <w:r w:rsidRPr="00E32C6C">
        <w:rPr>
          <w:i/>
          <w:sz w:val="26"/>
          <w:szCs w:val="26"/>
        </w:rPr>
        <w:t>Pennsylvania Railroad Co. v. Pennsylvania Public Service Commission</w:t>
      </w:r>
      <w:r w:rsidRPr="00E32C6C">
        <w:rPr>
          <w:sz w:val="26"/>
          <w:szCs w:val="26"/>
        </w:rPr>
        <w:t>, 179 A. 850, 854 (Pa. Super. Ct. 1935)).</w:t>
      </w:r>
    </w:p>
    <w:p w14:paraId="6ED87D28" w14:textId="77777777" w:rsidR="00494B81" w:rsidRPr="00E32C6C" w:rsidRDefault="00494B81" w:rsidP="00E32C6C">
      <w:pPr>
        <w:widowControl/>
        <w:spacing w:line="360" w:lineRule="auto"/>
        <w:rPr>
          <w:sz w:val="26"/>
          <w:szCs w:val="26"/>
        </w:rPr>
      </w:pPr>
    </w:p>
    <w:p w14:paraId="02465AA0" w14:textId="00F0EE0D" w:rsidR="00494B81" w:rsidRPr="00E32C6C" w:rsidRDefault="00494B81" w:rsidP="00E32C6C">
      <w:pPr>
        <w:widowControl/>
        <w:suppressAutoHyphens/>
        <w:spacing w:line="360" w:lineRule="auto"/>
        <w:rPr>
          <w:color w:val="000000"/>
          <w:sz w:val="26"/>
          <w:szCs w:val="26"/>
          <w:u w:color="000000"/>
        </w:rPr>
      </w:pPr>
      <w:r w:rsidRPr="00E32C6C">
        <w:rPr>
          <w:color w:val="000000"/>
          <w:sz w:val="26"/>
          <w:szCs w:val="26"/>
          <w:u w:color="000000"/>
        </w:rPr>
        <w:tab/>
      </w:r>
      <w:r w:rsidRPr="00E32C6C">
        <w:rPr>
          <w:color w:val="000000"/>
          <w:sz w:val="26"/>
          <w:szCs w:val="26"/>
          <w:u w:color="000000"/>
        </w:rPr>
        <w:tab/>
        <w:t xml:space="preserve">Under the standards of </w:t>
      </w:r>
      <w:r w:rsidRPr="00E32C6C">
        <w:rPr>
          <w:i/>
          <w:color w:val="000000"/>
          <w:sz w:val="26"/>
          <w:szCs w:val="26"/>
          <w:u w:color="000000"/>
        </w:rPr>
        <w:t>Duick</w:t>
      </w:r>
      <w:r w:rsidRPr="00E32C6C">
        <w:rPr>
          <w:color w:val="000000"/>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E32C6C">
        <w:rPr>
          <w:i/>
          <w:color w:val="000000"/>
          <w:sz w:val="26"/>
          <w:szCs w:val="26"/>
          <w:u w:color="000000"/>
        </w:rPr>
        <w:t>Duick</w:t>
      </w:r>
      <w:r w:rsidRPr="00E32C6C">
        <w:rPr>
          <w:color w:val="000000"/>
          <w:sz w:val="26"/>
          <w:szCs w:val="26"/>
          <w:u w:color="000000"/>
        </w:rPr>
        <w:t>, 56 Pa. P.U.C. at 559.</w:t>
      </w:r>
    </w:p>
    <w:p w14:paraId="35E914EF" w14:textId="49D4DD1E" w:rsidR="00CF16EA" w:rsidRPr="00E32C6C" w:rsidRDefault="00CF16EA" w:rsidP="00E32C6C">
      <w:pPr>
        <w:widowControl/>
        <w:suppressAutoHyphens/>
        <w:spacing w:line="360" w:lineRule="auto"/>
        <w:rPr>
          <w:color w:val="000000"/>
          <w:sz w:val="26"/>
          <w:szCs w:val="26"/>
          <w:u w:color="000000"/>
        </w:rPr>
      </w:pPr>
    </w:p>
    <w:p w14:paraId="05BC823E" w14:textId="2947A3D4" w:rsidR="00CF16EA" w:rsidRPr="00E32C6C" w:rsidRDefault="00CF16EA" w:rsidP="00E32C6C">
      <w:pPr>
        <w:widowControl/>
        <w:spacing w:line="360" w:lineRule="auto"/>
        <w:rPr>
          <w:sz w:val="26"/>
          <w:szCs w:val="26"/>
        </w:rPr>
      </w:pPr>
      <w:r w:rsidRPr="00E32C6C">
        <w:rPr>
          <w:i/>
          <w:sz w:val="26"/>
          <w:szCs w:val="26"/>
        </w:rPr>
        <w:tab/>
      </w:r>
      <w:r w:rsidRPr="00E32C6C">
        <w:rPr>
          <w:i/>
          <w:sz w:val="26"/>
          <w:szCs w:val="26"/>
        </w:rPr>
        <w:tab/>
        <w:t>Duick</w:t>
      </w:r>
      <w:r w:rsidRPr="00E32C6C">
        <w:rPr>
          <w:sz w:val="26"/>
          <w:szCs w:val="26"/>
        </w:rPr>
        <w:t xml:space="preserve"> held that a petition for rehearing under Subsection 703(f) of the Code, 66 Pa. C.S. § 703(f), must allege </w:t>
      </w:r>
      <w:r w:rsidR="00394E43" w:rsidRPr="00E32C6C">
        <w:rPr>
          <w:sz w:val="26"/>
          <w:szCs w:val="26"/>
        </w:rPr>
        <w:t>newly discovered</w:t>
      </w:r>
      <w:r w:rsidRPr="00E32C6C">
        <w:rPr>
          <w:sz w:val="26"/>
          <w:szCs w:val="26"/>
        </w:rPr>
        <w:t xml:space="preserve"> evidence not discoverable through the exercise of due diligence prior to the close of the record.  </w:t>
      </w:r>
      <w:r w:rsidRPr="00E32C6C">
        <w:rPr>
          <w:i/>
          <w:sz w:val="26"/>
          <w:szCs w:val="26"/>
        </w:rPr>
        <w:t>Duick</w:t>
      </w:r>
      <w:r w:rsidRPr="00E32C6C">
        <w:rPr>
          <w:sz w:val="26"/>
          <w:szCs w:val="26"/>
        </w:rPr>
        <w:t xml:space="preserve"> at 558.  </w:t>
      </w:r>
    </w:p>
    <w:p w14:paraId="3C64CB71" w14:textId="01DD7636" w:rsidR="00C949EC" w:rsidRPr="00E32C6C" w:rsidRDefault="00C949EC" w:rsidP="00E32C6C">
      <w:pPr>
        <w:widowControl/>
        <w:spacing w:line="360" w:lineRule="auto"/>
        <w:rPr>
          <w:sz w:val="26"/>
          <w:szCs w:val="26"/>
        </w:rPr>
      </w:pPr>
    </w:p>
    <w:p w14:paraId="0849F4B3" w14:textId="77777777" w:rsidR="00C949EC" w:rsidRPr="00E32C6C" w:rsidRDefault="00C949EC" w:rsidP="00E32C6C">
      <w:pPr>
        <w:widowControl/>
        <w:suppressAutoHyphens/>
        <w:spacing w:line="360" w:lineRule="auto"/>
        <w:ind w:firstLine="1440"/>
        <w:rPr>
          <w:sz w:val="26"/>
          <w:szCs w:val="26"/>
        </w:rPr>
      </w:pPr>
      <w:r w:rsidRPr="00E32C6C">
        <w:rPr>
          <w:sz w:val="26"/>
          <w:szCs w:val="26"/>
        </w:rPr>
        <w:t xml:space="preserve">We note that any argument not specifically discussed shall be deemed to have been duly considered and denied without further discussion.  The Commission is not required to consider expressly or at length each contention or argument raised by the parties.  </w:t>
      </w:r>
      <w:r w:rsidRPr="00E32C6C">
        <w:rPr>
          <w:i/>
          <w:sz w:val="26"/>
          <w:szCs w:val="26"/>
        </w:rPr>
        <w:t>Consolidated Rail Corp. v. Pa. PUC</w:t>
      </w:r>
      <w:r w:rsidRPr="00E32C6C">
        <w:rPr>
          <w:iCs/>
          <w:sz w:val="26"/>
          <w:szCs w:val="26"/>
        </w:rPr>
        <w:t>,</w:t>
      </w:r>
      <w:r w:rsidRPr="00E32C6C">
        <w:rPr>
          <w:i/>
          <w:sz w:val="26"/>
          <w:szCs w:val="26"/>
        </w:rPr>
        <w:t xml:space="preserve"> </w:t>
      </w:r>
      <w:r w:rsidRPr="00E32C6C">
        <w:rPr>
          <w:sz w:val="26"/>
          <w:szCs w:val="26"/>
        </w:rPr>
        <w:t>625 A.2d 741 (Pa. Cmwlth. 1993).</w:t>
      </w:r>
    </w:p>
    <w:p w14:paraId="0633A138" w14:textId="77777777" w:rsidR="00CF16EA" w:rsidRPr="00E32C6C" w:rsidRDefault="00CF16EA" w:rsidP="00E32C6C">
      <w:pPr>
        <w:widowControl/>
        <w:suppressAutoHyphens/>
        <w:spacing w:line="360" w:lineRule="auto"/>
        <w:rPr>
          <w:color w:val="000000"/>
          <w:sz w:val="26"/>
          <w:szCs w:val="26"/>
          <w:u w:color="000000"/>
        </w:rPr>
      </w:pPr>
    </w:p>
    <w:p w14:paraId="48D3689F" w14:textId="149540AE" w:rsidR="00494B81" w:rsidRPr="00E32C6C" w:rsidRDefault="00494B81" w:rsidP="00E32C6C">
      <w:pPr>
        <w:keepNext/>
        <w:keepLines/>
        <w:widowControl/>
        <w:suppressAutoHyphens/>
        <w:spacing w:line="360" w:lineRule="auto"/>
        <w:rPr>
          <w:b/>
          <w:i/>
          <w:color w:val="000000"/>
          <w:sz w:val="26"/>
          <w:szCs w:val="26"/>
          <w:u w:color="000000"/>
        </w:rPr>
      </w:pPr>
      <w:r w:rsidRPr="00E32C6C">
        <w:rPr>
          <w:b/>
          <w:color w:val="000000"/>
          <w:sz w:val="26"/>
          <w:szCs w:val="26"/>
          <w:u w:color="000000"/>
        </w:rPr>
        <w:t>B.</w:t>
      </w:r>
      <w:r w:rsidRPr="00E32C6C">
        <w:rPr>
          <w:b/>
          <w:color w:val="000000"/>
          <w:sz w:val="26"/>
          <w:szCs w:val="26"/>
          <w:u w:color="000000"/>
        </w:rPr>
        <w:tab/>
        <w:t xml:space="preserve">The </w:t>
      </w:r>
      <w:r w:rsidR="00CF16EA" w:rsidRPr="00E32C6C">
        <w:rPr>
          <w:b/>
          <w:i/>
          <w:iCs/>
          <w:color w:val="000000"/>
          <w:sz w:val="26"/>
          <w:szCs w:val="26"/>
          <w:u w:color="000000"/>
        </w:rPr>
        <w:t>May 2020</w:t>
      </w:r>
      <w:r w:rsidRPr="00E32C6C">
        <w:rPr>
          <w:b/>
          <w:i/>
          <w:color w:val="000000"/>
          <w:sz w:val="26"/>
          <w:szCs w:val="26"/>
          <w:u w:color="000000"/>
        </w:rPr>
        <w:t xml:space="preserve"> Order</w:t>
      </w:r>
    </w:p>
    <w:p w14:paraId="716165CA" w14:textId="77777777" w:rsidR="00494B81" w:rsidRPr="00E32C6C" w:rsidRDefault="00494B81" w:rsidP="00E32C6C">
      <w:pPr>
        <w:keepNext/>
        <w:keepLines/>
        <w:widowControl/>
        <w:suppressAutoHyphens/>
        <w:spacing w:line="360" w:lineRule="auto"/>
        <w:rPr>
          <w:color w:val="000000"/>
          <w:sz w:val="26"/>
          <w:szCs w:val="26"/>
          <w:u w:color="000000"/>
        </w:rPr>
      </w:pPr>
    </w:p>
    <w:p w14:paraId="408AE1E8" w14:textId="7F38912B" w:rsidR="00494B81" w:rsidRPr="00E32C6C" w:rsidRDefault="00494B81" w:rsidP="00E32C6C">
      <w:pPr>
        <w:widowControl/>
        <w:suppressAutoHyphens/>
        <w:spacing w:line="360" w:lineRule="auto"/>
        <w:rPr>
          <w:color w:val="000000"/>
          <w:sz w:val="26"/>
          <w:szCs w:val="26"/>
          <w:u w:color="000000"/>
        </w:rPr>
      </w:pPr>
      <w:r w:rsidRPr="00E32C6C">
        <w:rPr>
          <w:color w:val="000000"/>
          <w:sz w:val="26"/>
          <w:szCs w:val="26"/>
          <w:u w:color="000000"/>
        </w:rPr>
        <w:tab/>
      </w:r>
      <w:r w:rsidRPr="00E32C6C">
        <w:rPr>
          <w:color w:val="000000"/>
          <w:sz w:val="26"/>
          <w:szCs w:val="26"/>
          <w:u w:color="000000"/>
        </w:rPr>
        <w:tab/>
        <w:t xml:space="preserve">In </w:t>
      </w:r>
      <w:r w:rsidR="00B819C4" w:rsidRPr="00E32C6C">
        <w:rPr>
          <w:color w:val="000000"/>
          <w:sz w:val="26"/>
          <w:szCs w:val="26"/>
          <w:u w:color="000000"/>
        </w:rPr>
        <w:t>our</w:t>
      </w:r>
      <w:r w:rsidRPr="00E32C6C">
        <w:rPr>
          <w:color w:val="000000"/>
          <w:sz w:val="26"/>
          <w:szCs w:val="26"/>
          <w:u w:color="000000"/>
        </w:rPr>
        <w:t xml:space="preserve"> </w:t>
      </w:r>
      <w:r w:rsidR="00CF16EA" w:rsidRPr="00E32C6C">
        <w:rPr>
          <w:i/>
          <w:iCs/>
          <w:color w:val="000000"/>
          <w:sz w:val="26"/>
          <w:szCs w:val="26"/>
          <w:u w:color="000000"/>
        </w:rPr>
        <w:t>May</w:t>
      </w:r>
      <w:r w:rsidRPr="00E32C6C">
        <w:rPr>
          <w:i/>
          <w:iCs/>
          <w:color w:val="000000"/>
          <w:sz w:val="26"/>
          <w:szCs w:val="26"/>
          <w:u w:color="000000"/>
        </w:rPr>
        <w:t xml:space="preserve"> 20</w:t>
      </w:r>
      <w:r w:rsidR="00CF16EA" w:rsidRPr="00E32C6C">
        <w:rPr>
          <w:i/>
          <w:iCs/>
          <w:color w:val="000000"/>
          <w:sz w:val="26"/>
          <w:szCs w:val="26"/>
          <w:u w:color="000000"/>
        </w:rPr>
        <w:t>20</w:t>
      </w:r>
      <w:r w:rsidRPr="00E32C6C">
        <w:rPr>
          <w:i/>
          <w:color w:val="000000"/>
          <w:sz w:val="26"/>
          <w:szCs w:val="26"/>
          <w:u w:color="000000"/>
        </w:rPr>
        <w:t xml:space="preserve"> Order</w:t>
      </w:r>
      <w:r w:rsidRPr="00E32C6C">
        <w:rPr>
          <w:color w:val="000000"/>
          <w:sz w:val="26"/>
          <w:szCs w:val="26"/>
          <w:u w:color="000000"/>
        </w:rPr>
        <w:t xml:space="preserve">, we denied the Complainant’s Exceptions, adopted ALJ </w:t>
      </w:r>
      <w:r w:rsidR="00CF16EA" w:rsidRPr="00E32C6C">
        <w:rPr>
          <w:color w:val="000000"/>
          <w:sz w:val="26"/>
          <w:szCs w:val="26"/>
          <w:u w:color="000000"/>
        </w:rPr>
        <w:t>Barnes’</w:t>
      </w:r>
      <w:r w:rsidRPr="00E32C6C">
        <w:rPr>
          <w:color w:val="000000"/>
          <w:sz w:val="26"/>
          <w:szCs w:val="26"/>
          <w:u w:color="000000"/>
        </w:rPr>
        <w:t xml:space="preserve"> Initial Decision and dismissed the Complaint.  In h</w:t>
      </w:r>
      <w:r w:rsidR="00CF16EA" w:rsidRPr="00E32C6C">
        <w:rPr>
          <w:color w:val="000000"/>
          <w:sz w:val="26"/>
          <w:szCs w:val="26"/>
          <w:u w:color="000000"/>
        </w:rPr>
        <w:t>is</w:t>
      </w:r>
      <w:r w:rsidRPr="00E32C6C">
        <w:rPr>
          <w:color w:val="000000"/>
          <w:sz w:val="26"/>
          <w:szCs w:val="26"/>
          <w:u w:color="000000"/>
        </w:rPr>
        <w:t xml:space="preserve"> original Complaint, the Complainant stated that </w:t>
      </w:r>
      <w:r w:rsidR="00CE53DB" w:rsidRPr="00E32C6C">
        <w:rPr>
          <w:color w:val="000000"/>
          <w:sz w:val="26"/>
          <w:szCs w:val="26"/>
          <w:u w:color="000000"/>
        </w:rPr>
        <w:t>he did not want a smart meter installed</w:t>
      </w:r>
      <w:r w:rsidR="00BD676F" w:rsidRPr="00E32C6C">
        <w:rPr>
          <w:color w:val="000000"/>
          <w:sz w:val="26"/>
          <w:szCs w:val="26"/>
          <w:u w:color="000000"/>
        </w:rPr>
        <w:t xml:space="preserve"> at his residence</w:t>
      </w:r>
      <w:r w:rsidR="00CE53DB" w:rsidRPr="00E32C6C">
        <w:rPr>
          <w:color w:val="000000"/>
          <w:sz w:val="26"/>
          <w:szCs w:val="26"/>
          <w:u w:color="000000"/>
        </w:rPr>
        <w:t xml:space="preserve">.  </w:t>
      </w:r>
      <w:r w:rsidRPr="00E32C6C">
        <w:rPr>
          <w:color w:val="000000"/>
          <w:sz w:val="26"/>
          <w:szCs w:val="26"/>
          <w:u w:color="000000"/>
        </w:rPr>
        <w:t>In h</w:t>
      </w:r>
      <w:r w:rsidR="00CE53DB" w:rsidRPr="00E32C6C">
        <w:rPr>
          <w:color w:val="000000"/>
          <w:sz w:val="26"/>
          <w:szCs w:val="26"/>
          <w:u w:color="000000"/>
        </w:rPr>
        <w:t>is</w:t>
      </w:r>
      <w:r w:rsidRPr="00E32C6C">
        <w:rPr>
          <w:color w:val="000000"/>
          <w:sz w:val="26"/>
          <w:szCs w:val="26"/>
          <w:u w:color="000000"/>
        </w:rPr>
        <w:t xml:space="preserve"> Amended </w:t>
      </w:r>
      <w:r w:rsidR="00CE53DB" w:rsidRPr="00E32C6C">
        <w:rPr>
          <w:color w:val="000000"/>
          <w:sz w:val="26"/>
          <w:szCs w:val="26"/>
          <w:u w:color="000000"/>
        </w:rPr>
        <w:t xml:space="preserve">Formal </w:t>
      </w:r>
      <w:r w:rsidRPr="00E32C6C">
        <w:rPr>
          <w:color w:val="000000"/>
          <w:sz w:val="26"/>
          <w:szCs w:val="26"/>
          <w:u w:color="000000"/>
        </w:rPr>
        <w:t>Complaint, the Complainant expressed h</w:t>
      </w:r>
      <w:r w:rsidR="00CE53DB" w:rsidRPr="00E32C6C">
        <w:rPr>
          <w:color w:val="000000"/>
          <w:sz w:val="26"/>
          <w:szCs w:val="26"/>
          <w:u w:color="000000"/>
        </w:rPr>
        <w:t>is</w:t>
      </w:r>
      <w:r w:rsidRPr="00E32C6C">
        <w:rPr>
          <w:color w:val="000000"/>
          <w:sz w:val="26"/>
          <w:szCs w:val="26"/>
          <w:u w:color="000000"/>
        </w:rPr>
        <w:t xml:space="preserve"> concerns with the </w:t>
      </w:r>
      <w:r w:rsidR="00CE53DB" w:rsidRPr="00E32C6C">
        <w:rPr>
          <w:color w:val="000000"/>
          <w:sz w:val="26"/>
          <w:szCs w:val="26"/>
          <w:u w:color="000000"/>
        </w:rPr>
        <w:t xml:space="preserve">proposed </w:t>
      </w:r>
      <w:r w:rsidR="00CE53DB" w:rsidRPr="00E32C6C">
        <w:rPr>
          <w:color w:val="000000"/>
          <w:sz w:val="26"/>
          <w:szCs w:val="26"/>
          <w:u w:color="000000"/>
        </w:rPr>
        <w:lastRenderedPageBreak/>
        <w:t>AMI meter to be installed by PPL</w:t>
      </w:r>
      <w:r w:rsidR="002B6225" w:rsidRPr="00E32C6C">
        <w:rPr>
          <w:color w:val="000000"/>
          <w:sz w:val="26"/>
          <w:szCs w:val="26"/>
          <w:u w:color="000000"/>
        </w:rPr>
        <w:t xml:space="preserve"> included health, privacy, and safety</w:t>
      </w:r>
      <w:r w:rsidR="00CE53DB" w:rsidRPr="00E32C6C">
        <w:rPr>
          <w:color w:val="000000"/>
          <w:sz w:val="26"/>
          <w:szCs w:val="26"/>
          <w:u w:color="000000"/>
        </w:rPr>
        <w:t xml:space="preserve">.  </w:t>
      </w:r>
      <w:r w:rsidRPr="00E32C6C">
        <w:rPr>
          <w:color w:val="000000"/>
          <w:sz w:val="26"/>
          <w:szCs w:val="26"/>
          <w:u w:color="000000"/>
        </w:rPr>
        <w:t>For relief, he requested</w:t>
      </w:r>
      <w:r w:rsidR="00CE53DB" w:rsidRPr="00E32C6C">
        <w:rPr>
          <w:color w:val="000000"/>
          <w:sz w:val="26"/>
          <w:szCs w:val="26"/>
          <w:u w:color="000000"/>
        </w:rPr>
        <w:t>,</w:t>
      </w:r>
      <w:r w:rsidRPr="00E32C6C">
        <w:rPr>
          <w:color w:val="000000"/>
          <w:sz w:val="26"/>
          <w:szCs w:val="26"/>
          <w:u w:color="000000"/>
        </w:rPr>
        <w:t xml:space="preserve"> </w:t>
      </w:r>
      <w:r w:rsidR="00CE53DB" w:rsidRPr="00E32C6C">
        <w:rPr>
          <w:i/>
          <w:iCs/>
          <w:color w:val="000000"/>
          <w:sz w:val="26"/>
          <w:szCs w:val="26"/>
          <w:u w:color="000000"/>
        </w:rPr>
        <w:t>inter alia</w:t>
      </w:r>
      <w:r w:rsidR="00CE53DB" w:rsidRPr="00E32C6C">
        <w:rPr>
          <w:color w:val="000000"/>
          <w:sz w:val="26"/>
          <w:szCs w:val="26"/>
          <w:u w:color="000000"/>
        </w:rPr>
        <w:t xml:space="preserve">, </w:t>
      </w:r>
      <w:r w:rsidRPr="00E32C6C">
        <w:rPr>
          <w:color w:val="000000"/>
          <w:sz w:val="26"/>
          <w:szCs w:val="26"/>
          <w:u w:color="000000"/>
        </w:rPr>
        <w:t xml:space="preserve">that </w:t>
      </w:r>
      <w:r w:rsidR="00CE53DB" w:rsidRPr="00E32C6C">
        <w:rPr>
          <w:color w:val="000000"/>
          <w:sz w:val="26"/>
          <w:szCs w:val="26"/>
          <w:u w:color="000000"/>
        </w:rPr>
        <w:t xml:space="preserve">the Commission order PPL to delay the installation of an AMI meter at the service address until the </w:t>
      </w:r>
      <w:r w:rsidR="002B6225" w:rsidRPr="00E32C6C">
        <w:rPr>
          <w:color w:val="000000"/>
          <w:sz w:val="26"/>
          <w:szCs w:val="26"/>
          <w:u w:color="000000"/>
        </w:rPr>
        <w:t xml:space="preserve">Pennsylvania </w:t>
      </w:r>
      <w:r w:rsidR="00CE53DB" w:rsidRPr="00E32C6C">
        <w:rPr>
          <w:color w:val="000000"/>
          <w:sz w:val="26"/>
          <w:szCs w:val="26"/>
          <w:u w:color="000000"/>
        </w:rPr>
        <w:t xml:space="preserve">Legislature has provided a no-cost opt-out for customers such as the Complainant.  </w:t>
      </w:r>
    </w:p>
    <w:p w14:paraId="7A8FD91E" w14:textId="7B893E4B" w:rsidR="00874953" w:rsidRPr="00E32C6C" w:rsidRDefault="00874953" w:rsidP="00E32C6C">
      <w:pPr>
        <w:widowControl/>
        <w:suppressAutoHyphens/>
        <w:spacing w:line="360" w:lineRule="auto"/>
        <w:rPr>
          <w:color w:val="000000"/>
          <w:sz w:val="26"/>
          <w:szCs w:val="26"/>
          <w:u w:color="000000"/>
        </w:rPr>
      </w:pPr>
    </w:p>
    <w:p w14:paraId="1EFF9CB2" w14:textId="50DB7A33" w:rsidR="00494B81" w:rsidRPr="00E32C6C" w:rsidRDefault="00874953" w:rsidP="00E32C6C">
      <w:pPr>
        <w:widowControl/>
        <w:suppressAutoHyphens/>
        <w:spacing w:line="360" w:lineRule="auto"/>
        <w:rPr>
          <w:i/>
          <w:iCs/>
          <w:color w:val="000000"/>
          <w:sz w:val="26"/>
          <w:szCs w:val="26"/>
          <w:u w:color="000000"/>
        </w:rPr>
      </w:pPr>
      <w:r w:rsidRPr="00E32C6C">
        <w:rPr>
          <w:color w:val="000000"/>
          <w:sz w:val="26"/>
          <w:szCs w:val="26"/>
          <w:u w:color="000000"/>
        </w:rPr>
        <w:tab/>
      </w:r>
      <w:r w:rsidRPr="00E32C6C">
        <w:rPr>
          <w:color w:val="000000"/>
          <w:sz w:val="26"/>
          <w:szCs w:val="26"/>
          <w:u w:color="000000"/>
        </w:rPr>
        <w:tab/>
      </w:r>
      <w:r w:rsidR="00494B81" w:rsidRPr="00E32C6C">
        <w:rPr>
          <w:color w:val="000000"/>
          <w:sz w:val="26"/>
          <w:szCs w:val="26"/>
          <w:u w:color="000000"/>
        </w:rPr>
        <w:t xml:space="preserve">With regard to the </w:t>
      </w:r>
      <w:r w:rsidR="00AE09BA" w:rsidRPr="00E32C6C">
        <w:rPr>
          <w:color w:val="000000"/>
          <w:sz w:val="26"/>
          <w:szCs w:val="26"/>
          <w:u w:color="000000"/>
        </w:rPr>
        <w:t xml:space="preserve">Complainant’s exhibits offered at the hearing, </w:t>
      </w:r>
      <w:r w:rsidR="00494B81" w:rsidRPr="00E32C6C">
        <w:rPr>
          <w:color w:val="000000"/>
          <w:sz w:val="26"/>
          <w:szCs w:val="26"/>
          <w:u w:color="000000"/>
        </w:rPr>
        <w:t xml:space="preserve">we concluded that </w:t>
      </w:r>
      <w:r w:rsidR="00AE09BA" w:rsidRPr="00E32C6C">
        <w:rPr>
          <w:color w:val="000000"/>
          <w:sz w:val="26"/>
          <w:szCs w:val="26"/>
          <w:u w:color="000000"/>
        </w:rPr>
        <w:t xml:space="preserve">the documents were hearsay (out of court statements made by the authors of the documents that were offered by the Complainant to prove the truth of the matter asserted in the documents) and did not fall within one of the recognized exceptions to the rule against hearsay.  </w:t>
      </w:r>
      <w:r w:rsidR="00AE09BA" w:rsidRPr="00E32C6C">
        <w:rPr>
          <w:i/>
          <w:iCs/>
          <w:color w:val="000000"/>
          <w:sz w:val="26"/>
          <w:szCs w:val="26"/>
          <w:u w:color="000000"/>
        </w:rPr>
        <w:t>May 2020 Order</w:t>
      </w:r>
      <w:r w:rsidR="00AE09BA" w:rsidRPr="00E32C6C">
        <w:rPr>
          <w:color w:val="000000"/>
          <w:sz w:val="26"/>
          <w:szCs w:val="26"/>
          <w:u w:color="000000"/>
        </w:rPr>
        <w:t xml:space="preserve"> at 16 (citing Pa. R.E. 801, 802, 803, 803.1, and 804).</w:t>
      </w:r>
      <w:r w:rsidR="00494B81" w:rsidRPr="00E32C6C">
        <w:rPr>
          <w:color w:val="000000"/>
          <w:sz w:val="26"/>
          <w:szCs w:val="26"/>
          <w:u w:color="000000"/>
        </w:rPr>
        <w:t xml:space="preserve">  We further found that the </w:t>
      </w:r>
      <w:r w:rsidR="00AE09BA" w:rsidRPr="00E32C6C">
        <w:rPr>
          <w:color w:val="000000"/>
          <w:sz w:val="26"/>
          <w:szCs w:val="26"/>
          <w:u w:color="000000"/>
        </w:rPr>
        <w:t xml:space="preserve">documents would have been insufficient to support a finding of fact in this proceeding pursuant to the </w:t>
      </w:r>
      <w:r w:rsidR="00AE09BA" w:rsidRPr="00E32C6C">
        <w:rPr>
          <w:i/>
          <w:iCs/>
          <w:color w:val="000000"/>
          <w:sz w:val="26"/>
          <w:szCs w:val="26"/>
          <w:u w:color="000000"/>
        </w:rPr>
        <w:t>Walker/Chapman</w:t>
      </w:r>
      <w:r w:rsidR="00AE09BA" w:rsidRPr="00E32C6C">
        <w:rPr>
          <w:color w:val="000000"/>
          <w:sz w:val="26"/>
          <w:szCs w:val="26"/>
          <w:u w:color="000000"/>
        </w:rPr>
        <w:t xml:space="preserve"> rule because the Complainant did not present any other non-hearsay, competent evidence to corroborate the documents.  </w:t>
      </w:r>
      <w:r w:rsidR="00AE09BA" w:rsidRPr="00E32C6C">
        <w:rPr>
          <w:i/>
          <w:iCs/>
          <w:color w:val="000000"/>
          <w:sz w:val="26"/>
          <w:szCs w:val="26"/>
          <w:u w:color="000000"/>
        </w:rPr>
        <w:t>May 2020 Order</w:t>
      </w:r>
      <w:r w:rsidR="00AE09BA" w:rsidRPr="00E32C6C">
        <w:rPr>
          <w:color w:val="000000"/>
          <w:sz w:val="26"/>
          <w:szCs w:val="26"/>
          <w:u w:color="000000"/>
        </w:rPr>
        <w:t xml:space="preserve"> at 16</w:t>
      </w:r>
      <w:r w:rsidR="006C48E6" w:rsidRPr="00E32C6C">
        <w:rPr>
          <w:color w:val="000000"/>
          <w:sz w:val="26"/>
          <w:szCs w:val="26"/>
          <w:u w:color="000000"/>
        </w:rPr>
        <w:t>-17</w:t>
      </w:r>
      <w:r w:rsidR="00AE09BA" w:rsidRPr="00E32C6C">
        <w:rPr>
          <w:color w:val="000000"/>
          <w:sz w:val="26"/>
          <w:szCs w:val="26"/>
          <w:u w:color="000000"/>
        </w:rPr>
        <w:t xml:space="preserve"> (citing </w:t>
      </w:r>
      <w:r w:rsidR="00AE09BA" w:rsidRPr="00E32C6C">
        <w:rPr>
          <w:i/>
          <w:iCs/>
          <w:color w:val="000000"/>
          <w:sz w:val="26"/>
          <w:szCs w:val="26"/>
          <w:u w:color="000000"/>
        </w:rPr>
        <w:t>Walker v. Unemployment Compensation Board of Review</w:t>
      </w:r>
      <w:r w:rsidR="00AE09BA" w:rsidRPr="00E32C6C">
        <w:rPr>
          <w:color w:val="000000"/>
          <w:sz w:val="26"/>
          <w:szCs w:val="26"/>
          <w:u w:color="000000"/>
        </w:rPr>
        <w:t>,</w:t>
      </w:r>
      <w:r w:rsidR="00AE09BA" w:rsidRPr="00E32C6C">
        <w:rPr>
          <w:i/>
          <w:iCs/>
          <w:color w:val="000000"/>
          <w:sz w:val="26"/>
          <w:szCs w:val="26"/>
          <w:u w:color="000000"/>
        </w:rPr>
        <w:t xml:space="preserve"> </w:t>
      </w:r>
      <w:r w:rsidR="007B60AC" w:rsidRPr="00E32C6C">
        <w:rPr>
          <w:color w:val="000000"/>
          <w:sz w:val="26"/>
          <w:szCs w:val="26"/>
          <w:u w:color="000000"/>
        </w:rPr>
        <w:t>20 A.3d 603, n.8 (Pa. Cmwlth. 2011</w:t>
      </w:r>
      <w:r w:rsidR="00241D83">
        <w:rPr>
          <w:color w:val="000000"/>
          <w:sz w:val="26"/>
          <w:szCs w:val="26"/>
          <w:u w:color="000000"/>
        </w:rPr>
        <w:t>)</w:t>
      </w:r>
      <w:r w:rsidR="007B60AC" w:rsidRPr="00E32C6C">
        <w:rPr>
          <w:color w:val="000000"/>
          <w:sz w:val="26"/>
          <w:szCs w:val="26"/>
          <w:u w:color="000000"/>
        </w:rPr>
        <w:t xml:space="preserve"> (providing that simple hearsay evidence may support an agency’s finding of fact so long as the hearsay is admitted into the record without objection and is corroborated by competent evidence in the record)</w:t>
      </w:r>
      <w:r w:rsidR="00241D83">
        <w:rPr>
          <w:color w:val="000000"/>
          <w:sz w:val="26"/>
          <w:szCs w:val="26"/>
          <w:u w:color="000000"/>
        </w:rPr>
        <w:t>)</w:t>
      </w:r>
      <w:r w:rsidR="007B60AC" w:rsidRPr="00E32C6C">
        <w:rPr>
          <w:color w:val="000000"/>
          <w:sz w:val="26"/>
          <w:szCs w:val="26"/>
          <w:u w:color="000000"/>
        </w:rPr>
        <w:t xml:space="preserve">.  We stated that opinion testimony from a qualified expert witness in the relevant technical or medical fields based on the studies would have been required to support a finding of fact in this proceeding.  </w:t>
      </w:r>
      <w:r w:rsidR="007B60AC" w:rsidRPr="00E32C6C">
        <w:rPr>
          <w:i/>
          <w:iCs/>
          <w:color w:val="000000"/>
          <w:sz w:val="26"/>
          <w:szCs w:val="26"/>
          <w:u w:color="000000"/>
        </w:rPr>
        <w:t>May 2020 Order</w:t>
      </w:r>
      <w:r w:rsidR="007B60AC" w:rsidRPr="00E32C6C">
        <w:rPr>
          <w:color w:val="000000"/>
          <w:sz w:val="26"/>
          <w:szCs w:val="26"/>
          <w:u w:color="000000"/>
        </w:rPr>
        <w:t xml:space="preserve"> at 16</w:t>
      </w:r>
      <w:r w:rsidR="007F7A41" w:rsidRPr="00E32C6C">
        <w:rPr>
          <w:color w:val="000000"/>
          <w:sz w:val="26"/>
          <w:szCs w:val="26"/>
          <w:u w:color="000000"/>
        </w:rPr>
        <w:t>-17</w:t>
      </w:r>
      <w:r w:rsidR="007B60AC" w:rsidRPr="00E32C6C">
        <w:rPr>
          <w:color w:val="000000"/>
          <w:sz w:val="26"/>
          <w:szCs w:val="26"/>
          <w:u w:color="000000"/>
        </w:rPr>
        <w:t xml:space="preserve"> (citing Pa.</w:t>
      </w:r>
      <w:r w:rsidR="00E32C6C">
        <w:rPr>
          <w:color w:val="000000"/>
          <w:sz w:val="26"/>
          <w:szCs w:val="26"/>
          <w:u w:color="000000"/>
        </w:rPr>
        <w:t> </w:t>
      </w:r>
      <w:r w:rsidR="007B60AC" w:rsidRPr="00E32C6C">
        <w:rPr>
          <w:color w:val="000000"/>
          <w:sz w:val="26"/>
          <w:szCs w:val="26"/>
          <w:u w:color="000000"/>
        </w:rPr>
        <w:t>R.E.</w:t>
      </w:r>
      <w:r w:rsidR="00E32C6C">
        <w:rPr>
          <w:color w:val="000000"/>
          <w:sz w:val="26"/>
          <w:szCs w:val="26"/>
          <w:u w:color="000000"/>
        </w:rPr>
        <w:t> </w:t>
      </w:r>
      <w:r w:rsidR="007B60AC" w:rsidRPr="00E32C6C">
        <w:rPr>
          <w:color w:val="000000"/>
          <w:sz w:val="26"/>
          <w:szCs w:val="26"/>
          <w:u w:color="000000"/>
        </w:rPr>
        <w:t xml:space="preserve">702).  </w:t>
      </w:r>
    </w:p>
    <w:p w14:paraId="4F2B2E75" w14:textId="77777777" w:rsidR="00494B81" w:rsidRPr="00E32C6C" w:rsidRDefault="00494B81" w:rsidP="00E32C6C">
      <w:pPr>
        <w:widowControl/>
        <w:suppressAutoHyphens/>
        <w:spacing w:line="360" w:lineRule="auto"/>
        <w:rPr>
          <w:color w:val="000000"/>
          <w:sz w:val="26"/>
          <w:szCs w:val="26"/>
          <w:u w:color="000000"/>
        </w:rPr>
      </w:pPr>
    </w:p>
    <w:p w14:paraId="395046F4" w14:textId="16D0F7D9" w:rsidR="00BE162E" w:rsidRPr="00E32C6C" w:rsidRDefault="00494B81" w:rsidP="00E32C6C">
      <w:pPr>
        <w:widowControl/>
        <w:suppressAutoHyphens/>
        <w:spacing w:line="360" w:lineRule="auto"/>
        <w:rPr>
          <w:color w:val="000000"/>
          <w:sz w:val="26"/>
          <w:szCs w:val="26"/>
          <w:u w:color="000000"/>
        </w:rPr>
      </w:pPr>
      <w:r w:rsidRPr="00E32C6C">
        <w:rPr>
          <w:color w:val="000000"/>
          <w:sz w:val="26"/>
          <w:szCs w:val="26"/>
          <w:u w:color="000000"/>
        </w:rPr>
        <w:tab/>
      </w:r>
      <w:r w:rsidRPr="00E32C6C">
        <w:rPr>
          <w:color w:val="000000"/>
          <w:sz w:val="26"/>
          <w:szCs w:val="26"/>
          <w:u w:color="000000"/>
        </w:rPr>
        <w:tab/>
      </w:r>
      <w:r w:rsidR="00BE162E" w:rsidRPr="00E32C6C">
        <w:rPr>
          <w:color w:val="000000"/>
          <w:sz w:val="26"/>
          <w:szCs w:val="26"/>
          <w:u w:color="000000"/>
        </w:rPr>
        <w:t xml:space="preserve">In regard to the Complainant’s argument that the ALJ erred in Finding of Fact No. 9, we found that the Complainant was incorrect.  </w:t>
      </w:r>
      <w:r w:rsidR="00AA0D4E" w:rsidRPr="00E32C6C">
        <w:rPr>
          <w:color w:val="000000"/>
          <w:sz w:val="26"/>
          <w:szCs w:val="26"/>
          <w:u w:color="000000"/>
        </w:rPr>
        <w:t>We found t</w:t>
      </w:r>
      <w:r w:rsidR="00BE162E" w:rsidRPr="00E32C6C">
        <w:rPr>
          <w:color w:val="000000"/>
          <w:sz w:val="26"/>
          <w:szCs w:val="26"/>
          <w:u w:color="000000"/>
        </w:rPr>
        <w:t>here was no error in the ALJ’s conversion of 0.58 W/m</w:t>
      </w:r>
      <w:r w:rsidR="00BE162E" w:rsidRPr="00E32C6C">
        <w:rPr>
          <w:color w:val="000000"/>
          <w:sz w:val="26"/>
          <w:szCs w:val="26"/>
          <w:u w:color="000000"/>
          <w:vertAlign w:val="superscript"/>
        </w:rPr>
        <w:t>2</w:t>
      </w:r>
      <w:r w:rsidR="00BE162E" w:rsidRPr="00E32C6C">
        <w:rPr>
          <w:color w:val="000000"/>
          <w:sz w:val="26"/>
          <w:szCs w:val="26"/>
          <w:u w:color="000000"/>
        </w:rPr>
        <w:t xml:space="preserve"> to 0.58 mW/cm</w:t>
      </w:r>
      <w:r w:rsidR="00BE162E" w:rsidRPr="00E32C6C">
        <w:rPr>
          <w:color w:val="000000"/>
          <w:sz w:val="26"/>
          <w:szCs w:val="26"/>
          <w:u w:color="000000"/>
          <w:vertAlign w:val="superscript"/>
        </w:rPr>
        <w:t>2</w:t>
      </w:r>
      <w:r w:rsidR="00BE162E" w:rsidRPr="00E32C6C">
        <w:rPr>
          <w:color w:val="000000"/>
          <w:sz w:val="26"/>
          <w:szCs w:val="26"/>
          <w:u w:color="000000"/>
        </w:rPr>
        <w:t xml:space="preserve">.  </w:t>
      </w:r>
      <w:r w:rsidRPr="00E32C6C">
        <w:rPr>
          <w:color w:val="000000"/>
          <w:sz w:val="26"/>
          <w:szCs w:val="26"/>
          <w:u w:color="000000"/>
        </w:rPr>
        <w:t xml:space="preserve">With regard to the </w:t>
      </w:r>
      <w:r w:rsidR="007B60AC" w:rsidRPr="00E32C6C">
        <w:rPr>
          <w:color w:val="000000"/>
          <w:sz w:val="26"/>
          <w:szCs w:val="26"/>
          <w:u w:color="000000"/>
        </w:rPr>
        <w:t xml:space="preserve">specifications of the Cornet EDT88 Meter provided by the Complainant in his Exceptions, </w:t>
      </w:r>
      <w:r w:rsidRPr="00E32C6C">
        <w:rPr>
          <w:color w:val="000000"/>
          <w:sz w:val="26"/>
          <w:szCs w:val="26"/>
          <w:u w:color="000000"/>
        </w:rPr>
        <w:t xml:space="preserve">we ruled that </w:t>
      </w:r>
      <w:r w:rsidR="007B60AC" w:rsidRPr="00E32C6C">
        <w:rPr>
          <w:color w:val="000000"/>
          <w:sz w:val="26"/>
          <w:szCs w:val="26"/>
          <w:u w:color="000000"/>
        </w:rPr>
        <w:t xml:space="preserve">use of this extra-record information would violate PPL’s due process rights.  </w:t>
      </w:r>
      <w:r w:rsidR="00E2647E" w:rsidRPr="00E32C6C">
        <w:rPr>
          <w:color w:val="000000"/>
          <w:sz w:val="26"/>
          <w:szCs w:val="26"/>
          <w:u w:color="000000"/>
        </w:rPr>
        <w:t xml:space="preserve">Regardless of the specifications of the Cornet meter, we were not persuaded by the Complainant’s lay testimony regarding the measurements he took with the Cornet EDT88.  We stated </w:t>
      </w:r>
      <w:r w:rsidR="00E2647E" w:rsidRPr="00E32C6C">
        <w:rPr>
          <w:color w:val="000000"/>
          <w:sz w:val="26"/>
          <w:szCs w:val="26"/>
          <w:u w:color="000000"/>
        </w:rPr>
        <w:lastRenderedPageBreak/>
        <w:t>that the Cornet EDT88 is not a professional</w:t>
      </w:r>
      <w:r w:rsidR="00AA0D4E" w:rsidRPr="00E32C6C">
        <w:rPr>
          <w:color w:val="000000"/>
          <w:sz w:val="26"/>
          <w:szCs w:val="26"/>
          <w:u w:color="000000"/>
        </w:rPr>
        <w:t>-</w:t>
      </w:r>
      <w:r w:rsidR="00E2647E" w:rsidRPr="00E32C6C">
        <w:rPr>
          <w:color w:val="000000"/>
          <w:sz w:val="26"/>
          <w:szCs w:val="26"/>
          <w:u w:color="000000"/>
        </w:rPr>
        <w:t xml:space="preserve">grade meter.  We agreed with the ALJ, that the measurements taken by the Complainant with the Cornet EDT88 could </w:t>
      </w:r>
      <w:r w:rsidR="00BE162E" w:rsidRPr="00E32C6C">
        <w:rPr>
          <w:color w:val="000000"/>
          <w:sz w:val="26"/>
          <w:szCs w:val="26"/>
          <w:u w:color="000000"/>
        </w:rPr>
        <w:t xml:space="preserve">easily have been </w:t>
      </w:r>
      <w:r w:rsidR="008D268C" w:rsidRPr="00E32C6C">
        <w:rPr>
          <w:color w:val="000000"/>
          <w:sz w:val="26"/>
          <w:szCs w:val="26"/>
          <w:u w:color="000000"/>
        </w:rPr>
        <w:t>radiofrequency (</w:t>
      </w:r>
      <w:r w:rsidR="00BE162E" w:rsidRPr="00E32C6C">
        <w:rPr>
          <w:color w:val="000000"/>
          <w:sz w:val="26"/>
          <w:szCs w:val="26"/>
          <w:u w:color="000000"/>
        </w:rPr>
        <w:t>RF</w:t>
      </w:r>
      <w:r w:rsidR="008D268C" w:rsidRPr="00E32C6C">
        <w:rPr>
          <w:color w:val="000000"/>
          <w:sz w:val="26"/>
          <w:szCs w:val="26"/>
          <w:u w:color="000000"/>
        </w:rPr>
        <w:t>)</w:t>
      </w:r>
      <w:r w:rsidR="00BE162E" w:rsidRPr="00E32C6C">
        <w:rPr>
          <w:color w:val="000000"/>
          <w:sz w:val="26"/>
          <w:szCs w:val="26"/>
          <w:u w:color="000000"/>
        </w:rPr>
        <w:t xml:space="preserve"> signals from other sources.  </w:t>
      </w:r>
      <w:r w:rsidR="00BE162E" w:rsidRPr="00E32C6C">
        <w:rPr>
          <w:i/>
          <w:iCs/>
          <w:color w:val="000000"/>
          <w:sz w:val="26"/>
          <w:szCs w:val="26"/>
          <w:u w:color="000000"/>
        </w:rPr>
        <w:t>May 2020 Order</w:t>
      </w:r>
      <w:r w:rsidR="00BE162E" w:rsidRPr="00E32C6C">
        <w:rPr>
          <w:color w:val="000000"/>
          <w:sz w:val="26"/>
          <w:szCs w:val="26"/>
          <w:u w:color="000000"/>
        </w:rPr>
        <w:t xml:space="preserve"> at 20</w:t>
      </w:r>
      <w:r w:rsidR="00BB3D51" w:rsidRPr="00E32C6C">
        <w:rPr>
          <w:color w:val="000000"/>
          <w:sz w:val="26"/>
          <w:szCs w:val="26"/>
          <w:u w:color="000000"/>
        </w:rPr>
        <w:t>-21</w:t>
      </w:r>
      <w:r w:rsidR="00BE162E" w:rsidRPr="00E32C6C">
        <w:rPr>
          <w:color w:val="000000"/>
          <w:sz w:val="26"/>
          <w:szCs w:val="26"/>
          <w:u w:color="000000"/>
        </w:rPr>
        <w:t>.  We concluded that the Complainant was incorrect in his assertion regarding PPL witness Dr.</w:t>
      </w:r>
      <w:r w:rsidR="00C013DD">
        <w:rPr>
          <w:color w:val="000000"/>
          <w:sz w:val="26"/>
          <w:szCs w:val="26"/>
          <w:u w:color="000000"/>
        </w:rPr>
        <w:t> </w:t>
      </w:r>
      <w:r w:rsidR="00BE162E" w:rsidRPr="00E32C6C">
        <w:rPr>
          <w:color w:val="000000"/>
          <w:sz w:val="26"/>
          <w:szCs w:val="26"/>
          <w:u w:color="000000"/>
        </w:rPr>
        <w:t>Davis’ testimony regarding the number and frequency of transmissions from the AMI</w:t>
      </w:r>
      <w:r w:rsidR="00C013DD">
        <w:rPr>
          <w:color w:val="000000"/>
          <w:sz w:val="26"/>
          <w:szCs w:val="26"/>
          <w:u w:color="000000"/>
        </w:rPr>
        <w:t> </w:t>
      </w:r>
      <w:r w:rsidR="00BE162E" w:rsidRPr="00E32C6C">
        <w:rPr>
          <w:color w:val="000000"/>
          <w:sz w:val="26"/>
          <w:szCs w:val="26"/>
          <w:u w:color="000000"/>
        </w:rPr>
        <w:t xml:space="preserve">meter proposed by PPL.  </w:t>
      </w:r>
      <w:r w:rsidR="00BE162E" w:rsidRPr="00E32C6C">
        <w:rPr>
          <w:i/>
          <w:iCs/>
          <w:color w:val="000000"/>
          <w:sz w:val="26"/>
          <w:szCs w:val="26"/>
          <w:u w:color="000000"/>
        </w:rPr>
        <w:t>May 2020 Order</w:t>
      </w:r>
      <w:r w:rsidR="00BE162E" w:rsidRPr="00E32C6C">
        <w:rPr>
          <w:color w:val="000000"/>
          <w:sz w:val="26"/>
          <w:szCs w:val="26"/>
          <w:u w:color="000000"/>
        </w:rPr>
        <w:t xml:space="preserve"> at 20</w:t>
      </w:r>
      <w:r w:rsidR="00AE297E" w:rsidRPr="00E32C6C">
        <w:rPr>
          <w:color w:val="000000"/>
          <w:sz w:val="26"/>
          <w:szCs w:val="26"/>
          <w:u w:color="000000"/>
        </w:rPr>
        <w:t>-21</w:t>
      </w:r>
      <w:r w:rsidR="00BE162E" w:rsidRPr="00E32C6C">
        <w:rPr>
          <w:color w:val="000000"/>
          <w:sz w:val="26"/>
          <w:szCs w:val="26"/>
          <w:u w:color="000000"/>
        </w:rPr>
        <w:t xml:space="preserve">.  </w:t>
      </w:r>
    </w:p>
    <w:p w14:paraId="7B0F2D8B" w14:textId="77777777" w:rsidR="00A55D67" w:rsidRPr="00E32C6C" w:rsidRDefault="00A55D67" w:rsidP="00E32C6C">
      <w:pPr>
        <w:widowControl/>
        <w:suppressAutoHyphens/>
        <w:spacing w:line="360" w:lineRule="auto"/>
        <w:rPr>
          <w:color w:val="000000"/>
          <w:sz w:val="26"/>
          <w:szCs w:val="26"/>
          <w:u w:color="000000"/>
        </w:rPr>
      </w:pPr>
    </w:p>
    <w:p w14:paraId="1BB4152C" w14:textId="29FD9074" w:rsidR="00494B81" w:rsidRPr="00E32C6C" w:rsidRDefault="00494B81" w:rsidP="00E32C6C">
      <w:pPr>
        <w:widowControl/>
        <w:suppressAutoHyphens/>
        <w:spacing w:line="360" w:lineRule="auto"/>
        <w:rPr>
          <w:color w:val="000000"/>
          <w:sz w:val="26"/>
          <w:szCs w:val="26"/>
          <w:u w:color="000000"/>
        </w:rPr>
      </w:pPr>
      <w:r w:rsidRPr="00E32C6C">
        <w:rPr>
          <w:color w:val="000000"/>
          <w:sz w:val="26"/>
          <w:szCs w:val="26"/>
          <w:u w:color="000000"/>
        </w:rPr>
        <w:tab/>
      </w:r>
      <w:r w:rsidRPr="00E32C6C">
        <w:rPr>
          <w:color w:val="000000"/>
          <w:sz w:val="26"/>
          <w:szCs w:val="26"/>
          <w:u w:color="000000"/>
        </w:rPr>
        <w:tab/>
        <w:t xml:space="preserve">For all of the above reasons, we denied the Complainant’s Exceptions and adopted the ALJ’s Initial Decision that dismissed the Complaint because the Complainant failed to </w:t>
      </w:r>
      <w:r w:rsidR="00BE162E" w:rsidRPr="00E32C6C">
        <w:rPr>
          <w:color w:val="000000"/>
          <w:sz w:val="26"/>
          <w:szCs w:val="26"/>
          <w:u w:color="000000"/>
        </w:rPr>
        <w:t xml:space="preserve">prove by a preponderance of evidence that the installation of a smart meter constitutes unsafe or unreasonable service under 66 Pa. C.S. § 1501, or a violation of the Code, a Commission Order or Regulation or a Commission-approved tariff of the Company.  </w:t>
      </w:r>
      <w:r w:rsidR="00417B92" w:rsidRPr="00E32C6C">
        <w:rPr>
          <w:i/>
          <w:iCs/>
          <w:color w:val="000000"/>
          <w:sz w:val="26"/>
          <w:szCs w:val="26"/>
          <w:u w:color="000000"/>
        </w:rPr>
        <w:t>May 2020 Order</w:t>
      </w:r>
      <w:r w:rsidR="00417B92" w:rsidRPr="00E32C6C">
        <w:rPr>
          <w:color w:val="000000"/>
          <w:sz w:val="26"/>
          <w:szCs w:val="26"/>
          <w:u w:color="000000"/>
        </w:rPr>
        <w:t xml:space="preserve"> at 21-22</w:t>
      </w:r>
    </w:p>
    <w:p w14:paraId="669D0316" w14:textId="77777777" w:rsidR="00494B81" w:rsidRPr="00E32C6C" w:rsidRDefault="00494B81" w:rsidP="00E32C6C">
      <w:pPr>
        <w:pStyle w:val="BodyText"/>
        <w:spacing w:line="360" w:lineRule="auto"/>
        <w:ind w:firstLine="1440"/>
        <w:jc w:val="left"/>
        <w:rPr>
          <w:sz w:val="26"/>
          <w:szCs w:val="26"/>
        </w:rPr>
      </w:pPr>
    </w:p>
    <w:p w14:paraId="308C557C" w14:textId="4C74D648" w:rsidR="00494B81" w:rsidRPr="00E32C6C" w:rsidRDefault="00494B81" w:rsidP="00E32C6C">
      <w:pPr>
        <w:keepNext/>
        <w:widowControl/>
        <w:spacing w:line="360" w:lineRule="auto"/>
        <w:rPr>
          <w:rFonts w:eastAsia="Calibri"/>
          <w:b/>
          <w:sz w:val="26"/>
          <w:szCs w:val="26"/>
        </w:rPr>
      </w:pPr>
      <w:r w:rsidRPr="00E32C6C">
        <w:rPr>
          <w:rFonts w:eastAsia="Calibri"/>
          <w:b/>
          <w:sz w:val="26"/>
          <w:szCs w:val="26"/>
        </w:rPr>
        <w:t>C.</w:t>
      </w:r>
      <w:r w:rsidRPr="00E32C6C">
        <w:rPr>
          <w:rFonts w:eastAsia="Calibri"/>
          <w:b/>
          <w:sz w:val="26"/>
          <w:szCs w:val="26"/>
        </w:rPr>
        <w:tab/>
        <w:t>The Petition</w:t>
      </w:r>
      <w:r w:rsidR="00DF5723" w:rsidRPr="00E32C6C">
        <w:rPr>
          <w:rFonts w:eastAsia="Calibri"/>
          <w:b/>
          <w:sz w:val="26"/>
          <w:szCs w:val="26"/>
        </w:rPr>
        <w:t>,</w:t>
      </w:r>
      <w:r w:rsidR="006F55E7" w:rsidRPr="00E32C6C">
        <w:rPr>
          <w:rFonts w:eastAsia="Calibri"/>
          <w:b/>
          <w:sz w:val="26"/>
          <w:szCs w:val="26"/>
        </w:rPr>
        <w:t xml:space="preserve"> </w:t>
      </w:r>
      <w:r w:rsidRPr="00E32C6C">
        <w:rPr>
          <w:rFonts w:eastAsia="Calibri"/>
          <w:b/>
          <w:sz w:val="26"/>
          <w:szCs w:val="26"/>
        </w:rPr>
        <w:t>P</w:t>
      </w:r>
      <w:r w:rsidR="00CF16EA" w:rsidRPr="00E32C6C">
        <w:rPr>
          <w:rFonts w:eastAsia="Calibri"/>
          <w:b/>
          <w:sz w:val="26"/>
          <w:szCs w:val="26"/>
        </w:rPr>
        <w:t>PL</w:t>
      </w:r>
      <w:r w:rsidRPr="00E32C6C">
        <w:rPr>
          <w:rFonts w:eastAsia="Calibri"/>
          <w:b/>
          <w:sz w:val="26"/>
          <w:szCs w:val="26"/>
        </w:rPr>
        <w:t>’s Answer</w:t>
      </w:r>
      <w:r w:rsidR="00DF5723" w:rsidRPr="00E32C6C">
        <w:rPr>
          <w:rFonts w:eastAsia="Calibri"/>
          <w:b/>
          <w:sz w:val="26"/>
          <w:szCs w:val="26"/>
        </w:rPr>
        <w:t xml:space="preserve"> and Disposition</w:t>
      </w:r>
    </w:p>
    <w:p w14:paraId="12B83E81" w14:textId="77777777" w:rsidR="00494B81" w:rsidRPr="00E32C6C" w:rsidRDefault="00494B81" w:rsidP="00E32C6C">
      <w:pPr>
        <w:keepNext/>
        <w:widowControl/>
        <w:spacing w:line="360" w:lineRule="auto"/>
        <w:rPr>
          <w:rFonts w:eastAsia="Calibri"/>
          <w:b/>
          <w:sz w:val="26"/>
          <w:szCs w:val="26"/>
        </w:rPr>
      </w:pPr>
    </w:p>
    <w:p w14:paraId="4142A724" w14:textId="738BE243" w:rsidR="00494B81" w:rsidRPr="00E32C6C" w:rsidRDefault="00494B81" w:rsidP="00E32C6C">
      <w:pPr>
        <w:widowControl/>
        <w:spacing w:line="360" w:lineRule="auto"/>
        <w:rPr>
          <w:rFonts w:eastAsia="Calibri"/>
          <w:sz w:val="26"/>
          <w:szCs w:val="26"/>
        </w:rPr>
      </w:pPr>
      <w:r w:rsidRPr="00E32C6C">
        <w:rPr>
          <w:rFonts w:eastAsia="Calibri"/>
          <w:sz w:val="26"/>
          <w:szCs w:val="26"/>
        </w:rPr>
        <w:tab/>
      </w:r>
      <w:r w:rsidRPr="00E32C6C">
        <w:rPr>
          <w:rFonts w:eastAsia="Calibri"/>
          <w:sz w:val="26"/>
          <w:szCs w:val="26"/>
        </w:rPr>
        <w:tab/>
        <w:t>In h</w:t>
      </w:r>
      <w:r w:rsidR="00CF16EA" w:rsidRPr="00E32C6C">
        <w:rPr>
          <w:rFonts w:eastAsia="Calibri"/>
          <w:sz w:val="26"/>
          <w:szCs w:val="26"/>
        </w:rPr>
        <w:t>is</w:t>
      </w:r>
      <w:r w:rsidRPr="00E32C6C">
        <w:rPr>
          <w:rFonts w:eastAsia="Calibri"/>
          <w:sz w:val="26"/>
          <w:szCs w:val="26"/>
        </w:rPr>
        <w:t xml:space="preserve"> Petition, the Complainant proffers </w:t>
      </w:r>
      <w:r w:rsidR="003A62C4" w:rsidRPr="00E32C6C">
        <w:rPr>
          <w:rFonts w:eastAsia="Calibri"/>
          <w:sz w:val="26"/>
          <w:szCs w:val="26"/>
        </w:rPr>
        <w:t>generally f</w:t>
      </w:r>
      <w:r w:rsidR="000D7DF3" w:rsidRPr="00E32C6C">
        <w:rPr>
          <w:rFonts w:eastAsia="Calibri"/>
          <w:sz w:val="26"/>
          <w:szCs w:val="26"/>
        </w:rPr>
        <w:t>our</w:t>
      </w:r>
      <w:r w:rsidRPr="00E32C6C">
        <w:rPr>
          <w:rFonts w:eastAsia="Calibri"/>
          <w:sz w:val="26"/>
          <w:szCs w:val="26"/>
        </w:rPr>
        <w:t xml:space="preserve"> arguments that he avers justify reconsideration of our </w:t>
      </w:r>
      <w:r w:rsidR="003A62C4" w:rsidRPr="00E32C6C">
        <w:rPr>
          <w:rFonts w:eastAsia="Calibri"/>
          <w:i/>
          <w:sz w:val="26"/>
          <w:szCs w:val="26"/>
        </w:rPr>
        <w:t>May</w:t>
      </w:r>
      <w:r w:rsidRPr="00E32C6C">
        <w:rPr>
          <w:rFonts w:eastAsia="Calibri"/>
          <w:i/>
          <w:sz w:val="26"/>
          <w:szCs w:val="26"/>
        </w:rPr>
        <w:t xml:space="preserve"> 20</w:t>
      </w:r>
      <w:r w:rsidR="003A62C4" w:rsidRPr="00E32C6C">
        <w:rPr>
          <w:rFonts w:eastAsia="Calibri"/>
          <w:i/>
          <w:sz w:val="26"/>
          <w:szCs w:val="26"/>
        </w:rPr>
        <w:t>20</w:t>
      </w:r>
      <w:r w:rsidRPr="00E32C6C">
        <w:rPr>
          <w:rFonts w:eastAsia="Calibri"/>
          <w:i/>
          <w:sz w:val="26"/>
          <w:szCs w:val="26"/>
        </w:rPr>
        <w:t xml:space="preserve"> Order</w:t>
      </w:r>
      <w:r w:rsidR="00C57CAD" w:rsidRPr="00E32C6C">
        <w:rPr>
          <w:rFonts w:eastAsia="Calibri"/>
          <w:i/>
          <w:sz w:val="26"/>
          <w:szCs w:val="26"/>
        </w:rPr>
        <w:t xml:space="preserve"> </w:t>
      </w:r>
      <w:r w:rsidR="00C57CAD" w:rsidRPr="00E32C6C">
        <w:rPr>
          <w:rFonts w:eastAsia="Calibri"/>
          <w:iCs/>
          <w:sz w:val="26"/>
          <w:szCs w:val="26"/>
        </w:rPr>
        <w:t>as follows</w:t>
      </w:r>
      <w:r w:rsidR="00FF5054" w:rsidRPr="00E32C6C">
        <w:rPr>
          <w:rFonts w:eastAsia="Calibri"/>
          <w:sz w:val="26"/>
          <w:szCs w:val="26"/>
        </w:rPr>
        <w:t xml:space="preserve">: </w:t>
      </w:r>
      <w:r w:rsidR="00287C95" w:rsidRPr="00E32C6C">
        <w:rPr>
          <w:rFonts w:eastAsia="Calibri"/>
          <w:sz w:val="26"/>
          <w:szCs w:val="26"/>
        </w:rPr>
        <w:t xml:space="preserve"> </w:t>
      </w:r>
      <w:r w:rsidR="00FF5054" w:rsidRPr="00E32C6C">
        <w:rPr>
          <w:rFonts w:eastAsia="Calibri"/>
          <w:sz w:val="26"/>
          <w:szCs w:val="26"/>
        </w:rPr>
        <w:t xml:space="preserve">(1) there is new evidence regarding potential adverse health effects from AMI meters; (2) the Complainant’s </w:t>
      </w:r>
      <w:r w:rsidR="00F63A14" w:rsidRPr="00E32C6C">
        <w:rPr>
          <w:rFonts w:eastAsia="Calibri"/>
          <w:sz w:val="26"/>
          <w:szCs w:val="26"/>
        </w:rPr>
        <w:t>e</w:t>
      </w:r>
      <w:r w:rsidR="00FF5054" w:rsidRPr="00E32C6C">
        <w:rPr>
          <w:rFonts w:eastAsia="Calibri"/>
          <w:sz w:val="26"/>
          <w:szCs w:val="26"/>
        </w:rPr>
        <w:t xml:space="preserve">xhibits offered at the hearing should have been entered into the record; (3) there are data privacy issues caused by the AMI meter; </w:t>
      </w:r>
      <w:r w:rsidR="000D7DF3" w:rsidRPr="00E32C6C">
        <w:rPr>
          <w:rFonts w:eastAsia="Calibri"/>
          <w:sz w:val="26"/>
          <w:szCs w:val="26"/>
        </w:rPr>
        <w:t xml:space="preserve">and </w:t>
      </w:r>
      <w:r w:rsidR="00FF5054" w:rsidRPr="00E32C6C">
        <w:rPr>
          <w:rFonts w:eastAsia="Calibri"/>
          <w:sz w:val="26"/>
          <w:szCs w:val="26"/>
        </w:rPr>
        <w:t xml:space="preserve">(4) there is a case </w:t>
      </w:r>
      <w:r w:rsidR="00C57CAD" w:rsidRPr="00E32C6C">
        <w:rPr>
          <w:rFonts w:eastAsia="Calibri"/>
          <w:sz w:val="26"/>
          <w:szCs w:val="26"/>
        </w:rPr>
        <w:t xml:space="preserve">relevant to this </w:t>
      </w:r>
      <w:r w:rsidR="00B40AFB" w:rsidRPr="00E32C6C">
        <w:rPr>
          <w:rFonts w:eastAsia="Calibri"/>
          <w:sz w:val="26"/>
          <w:szCs w:val="26"/>
        </w:rPr>
        <w:t xml:space="preserve">proceeding </w:t>
      </w:r>
      <w:r w:rsidR="00FF5054" w:rsidRPr="00E32C6C">
        <w:rPr>
          <w:rFonts w:eastAsia="Calibri"/>
          <w:sz w:val="26"/>
          <w:szCs w:val="26"/>
        </w:rPr>
        <w:t>before the Com</w:t>
      </w:r>
      <w:r w:rsidR="000D7DF3" w:rsidRPr="00E32C6C">
        <w:rPr>
          <w:rFonts w:eastAsia="Calibri"/>
          <w:sz w:val="26"/>
          <w:szCs w:val="26"/>
        </w:rPr>
        <w:t>monwealth Court</w:t>
      </w:r>
      <w:r w:rsidR="00FF5054" w:rsidRPr="00E32C6C">
        <w:rPr>
          <w:rFonts w:eastAsia="Calibri"/>
          <w:sz w:val="26"/>
          <w:szCs w:val="26"/>
        </w:rPr>
        <w:t xml:space="preserve"> presently</w:t>
      </w:r>
      <w:r w:rsidR="000D7DF3" w:rsidRPr="00E32C6C">
        <w:rPr>
          <w:rFonts w:eastAsia="Calibri"/>
          <w:sz w:val="26"/>
          <w:szCs w:val="26"/>
        </w:rPr>
        <w:t xml:space="preserve">.  </w:t>
      </w:r>
      <w:r w:rsidRPr="00E32C6C">
        <w:rPr>
          <w:rFonts w:eastAsia="Calibri"/>
          <w:sz w:val="26"/>
          <w:szCs w:val="26"/>
        </w:rPr>
        <w:t>These arguments along with P</w:t>
      </w:r>
      <w:r w:rsidR="003A62C4" w:rsidRPr="00E32C6C">
        <w:rPr>
          <w:rFonts w:eastAsia="Calibri"/>
          <w:sz w:val="26"/>
          <w:szCs w:val="26"/>
        </w:rPr>
        <w:t>PL</w:t>
      </w:r>
      <w:r w:rsidRPr="00E32C6C">
        <w:rPr>
          <w:rFonts w:eastAsia="Calibri"/>
          <w:sz w:val="26"/>
          <w:szCs w:val="26"/>
        </w:rPr>
        <w:t xml:space="preserve">’s </w:t>
      </w:r>
      <w:r w:rsidR="00BD676F" w:rsidRPr="00E32C6C">
        <w:rPr>
          <w:rFonts w:eastAsia="Calibri"/>
          <w:sz w:val="26"/>
          <w:szCs w:val="26"/>
        </w:rPr>
        <w:t>A</w:t>
      </w:r>
      <w:r w:rsidRPr="00E32C6C">
        <w:rPr>
          <w:rFonts w:eastAsia="Calibri"/>
          <w:sz w:val="26"/>
          <w:szCs w:val="26"/>
        </w:rPr>
        <w:t>nswer</w:t>
      </w:r>
      <w:r w:rsidR="00BD676F" w:rsidRPr="00E32C6C">
        <w:rPr>
          <w:rFonts w:eastAsia="Calibri"/>
          <w:sz w:val="26"/>
          <w:szCs w:val="26"/>
        </w:rPr>
        <w:t xml:space="preserve"> to each argument</w:t>
      </w:r>
      <w:r w:rsidRPr="00E32C6C">
        <w:rPr>
          <w:rFonts w:eastAsia="Calibri"/>
          <w:sz w:val="26"/>
          <w:szCs w:val="26"/>
        </w:rPr>
        <w:t xml:space="preserve"> and our disposition </w:t>
      </w:r>
      <w:r w:rsidR="00BD676F" w:rsidRPr="00E32C6C">
        <w:rPr>
          <w:rFonts w:eastAsia="Calibri"/>
          <w:sz w:val="26"/>
          <w:szCs w:val="26"/>
        </w:rPr>
        <w:t xml:space="preserve">thereto </w:t>
      </w:r>
      <w:r w:rsidRPr="00E32C6C">
        <w:rPr>
          <w:rFonts w:eastAsia="Calibri"/>
          <w:sz w:val="26"/>
          <w:szCs w:val="26"/>
        </w:rPr>
        <w:t>are addressed below.</w:t>
      </w:r>
    </w:p>
    <w:p w14:paraId="3512E679" w14:textId="77777777" w:rsidR="00494B81" w:rsidRPr="00E32C6C" w:rsidRDefault="00494B81" w:rsidP="00E32C6C">
      <w:pPr>
        <w:widowControl/>
        <w:spacing w:line="360" w:lineRule="auto"/>
        <w:rPr>
          <w:rFonts w:eastAsia="Calibri"/>
          <w:sz w:val="26"/>
          <w:szCs w:val="26"/>
        </w:rPr>
      </w:pPr>
    </w:p>
    <w:p w14:paraId="312073FE" w14:textId="46C8126A" w:rsidR="00494B81" w:rsidRPr="00E32C6C" w:rsidRDefault="00494B81" w:rsidP="00E32C6C">
      <w:pPr>
        <w:pStyle w:val="ListParagraph"/>
        <w:keepNext/>
        <w:keepLines/>
        <w:widowControl/>
        <w:spacing w:line="360" w:lineRule="auto"/>
        <w:rPr>
          <w:rFonts w:eastAsia="Calibri"/>
          <w:b/>
          <w:sz w:val="26"/>
          <w:szCs w:val="26"/>
        </w:rPr>
      </w:pPr>
      <w:bookmarkStart w:id="4" w:name="_Hlk2250026"/>
      <w:r w:rsidRPr="00E32C6C">
        <w:rPr>
          <w:rFonts w:eastAsia="Calibri"/>
          <w:b/>
          <w:sz w:val="26"/>
          <w:szCs w:val="26"/>
        </w:rPr>
        <w:lastRenderedPageBreak/>
        <w:t>1.</w:t>
      </w:r>
      <w:r w:rsidRPr="00E32C6C">
        <w:rPr>
          <w:rFonts w:eastAsia="Calibri"/>
          <w:b/>
          <w:sz w:val="26"/>
          <w:szCs w:val="26"/>
        </w:rPr>
        <w:tab/>
      </w:r>
      <w:r w:rsidR="003A62C4" w:rsidRPr="00E32C6C">
        <w:rPr>
          <w:rFonts w:eastAsia="Calibri"/>
          <w:b/>
          <w:sz w:val="26"/>
          <w:szCs w:val="26"/>
        </w:rPr>
        <w:t xml:space="preserve">Proposed New Evidence Regarding Health Effects of </w:t>
      </w:r>
      <w:r w:rsidR="00514BD9" w:rsidRPr="00E32C6C">
        <w:rPr>
          <w:rFonts w:eastAsia="Calibri"/>
          <w:b/>
          <w:sz w:val="26"/>
          <w:szCs w:val="26"/>
        </w:rPr>
        <w:t>RF Fields</w:t>
      </w:r>
    </w:p>
    <w:p w14:paraId="450EAE6A" w14:textId="77777777" w:rsidR="00494B81" w:rsidRPr="00E32C6C" w:rsidRDefault="00494B81" w:rsidP="00E32C6C">
      <w:pPr>
        <w:pStyle w:val="ListParagraph"/>
        <w:keepNext/>
        <w:keepLines/>
        <w:widowControl/>
        <w:spacing w:line="360" w:lineRule="auto"/>
        <w:rPr>
          <w:rFonts w:eastAsia="Calibri"/>
          <w:b/>
          <w:sz w:val="26"/>
          <w:szCs w:val="26"/>
        </w:rPr>
      </w:pPr>
    </w:p>
    <w:p w14:paraId="5F45FBDC" w14:textId="77777777" w:rsidR="00494B81" w:rsidRPr="00E32C6C" w:rsidRDefault="00494B81" w:rsidP="00E32C6C">
      <w:pPr>
        <w:keepNext/>
        <w:keepLines/>
        <w:widowControl/>
        <w:spacing w:line="360" w:lineRule="auto"/>
        <w:rPr>
          <w:rFonts w:eastAsia="Calibri"/>
          <w:b/>
          <w:sz w:val="26"/>
          <w:szCs w:val="26"/>
        </w:rPr>
      </w:pPr>
      <w:r w:rsidRPr="00E32C6C">
        <w:rPr>
          <w:rFonts w:eastAsia="Calibri"/>
          <w:b/>
          <w:sz w:val="26"/>
          <w:szCs w:val="26"/>
        </w:rPr>
        <w:tab/>
      </w:r>
      <w:r w:rsidRPr="00E32C6C">
        <w:rPr>
          <w:rFonts w:eastAsia="Calibri"/>
          <w:b/>
          <w:sz w:val="26"/>
          <w:szCs w:val="26"/>
        </w:rPr>
        <w:tab/>
        <w:t>a.</w:t>
      </w:r>
      <w:r w:rsidRPr="00E32C6C">
        <w:rPr>
          <w:rFonts w:eastAsia="Calibri"/>
          <w:b/>
          <w:sz w:val="26"/>
          <w:szCs w:val="26"/>
        </w:rPr>
        <w:tab/>
        <w:t>The Petition</w:t>
      </w:r>
    </w:p>
    <w:p w14:paraId="1ADC2195" w14:textId="77777777" w:rsidR="00494B81" w:rsidRPr="00E32C6C" w:rsidRDefault="00494B81" w:rsidP="00E32C6C">
      <w:pPr>
        <w:keepNext/>
        <w:keepLines/>
        <w:widowControl/>
        <w:spacing w:line="360" w:lineRule="auto"/>
        <w:rPr>
          <w:rFonts w:eastAsia="Calibri"/>
          <w:sz w:val="26"/>
          <w:szCs w:val="26"/>
        </w:rPr>
      </w:pPr>
    </w:p>
    <w:p w14:paraId="10399FBF" w14:textId="022D7D43" w:rsidR="00C37429" w:rsidRPr="00E32C6C" w:rsidRDefault="00494B81" w:rsidP="00E32C6C">
      <w:pPr>
        <w:widowControl/>
        <w:spacing w:line="360" w:lineRule="auto"/>
        <w:rPr>
          <w:rFonts w:eastAsia="Calibri"/>
          <w:sz w:val="26"/>
          <w:szCs w:val="26"/>
        </w:rPr>
      </w:pPr>
      <w:r w:rsidRPr="00E32C6C">
        <w:rPr>
          <w:rFonts w:eastAsia="Calibri"/>
          <w:sz w:val="26"/>
          <w:szCs w:val="26"/>
        </w:rPr>
        <w:tab/>
      </w:r>
      <w:r w:rsidRPr="00E32C6C">
        <w:rPr>
          <w:rFonts w:eastAsia="Calibri"/>
          <w:sz w:val="26"/>
          <w:szCs w:val="26"/>
        </w:rPr>
        <w:tab/>
        <w:t>In h</w:t>
      </w:r>
      <w:r w:rsidR="002B6225" w:rsidRPr="00E32C6C">
        <w:rPr>
          <w:rFonts w:eastAsia="Calibri"/>
          <w:sz w:val="26"/>
          <w:szCs w:val="26"/>
        </w:rPr>
        <w:t>is</w:t>
      </w:r>
      <w:r w:rsidRPr="00E32C6C">
        <w:rPr>
          <w:rFonts w:eastAsia="Calibri"/>
          <w:sz w:val="26"/>
          <w:szCs w:val="26"/>
        </w:rPr>
        <w:t xml:space="preserve"> Petition, the Complainant </w:t>
      </w:r>
      <w:r w:rsidR="002B6225" w:rsidRPr="00E32C6C">
        <w:rPr>
          <w:rFonts w:eastAsia="Calibri"/>
          <w:sz w:val="26"/>
          <w:szCs w:val="26"/>
        </w:rPr>
        <w:t>provides that he has new evidence to present including over 4,000 new scientific stud</w:t>
      </w:r>
      <w:r w:rsidR="00C37429" w:rsidRPr="00E32C6C">
        <w:rPr>
          <w:rFonts w:eastAsia="Calibri"/>
          <w:sz w:val="26"/>
          <w:szCs w:val="26"/>
        </w:rPr>
        <w:t>i</w:t>
      </w:r>
      <w:r w:rsidR="002B6225" w:rsidRPr="00E32C6C">
        <w:rPr>
          <w:rFonts w:eastAsia="Calibri"/>
          <w:sz w:val="26"/>
          <w:szCs w:val="26"/>
        </w:rPr>
        <w:t xml:space="preserve">es that report adverse health effects from </w:t>
      </w:r>
      <w:r w:rsidR="00C37429" w:rsidRPr="00E32C6C">
        <w:rPr>
          <w:rFonts w:eastAsia="Calibri"/>
          <w:sz w:val="26"/>
          <w:szCs w:val="26"/>
        </w:rPr>
        <w:t xml:space="preserve">exposure to RF fields.  Petition at 2.  The Complainant references a November 2018 fact sheet by the National Toxicology Program and three websites that refer to AMI meter safety.  Petition at 3.  </w:t>
      </w:r>
      <w:r w:rsidR="00164D8D" w:rsidRPr="00E32C6C">
        <w:rPr>
          <w:rFonts w:eastAsia="Calibri"/>
          <w:sz w:val="26"/>
          <w:szCs w:val="26"/>
        </w:rPr>
        <w:t>Additionally, the Complainant provides a reference to a case presently before the Commonwealth Court, citing</w:t>
      </w:r>
      <w:r w:rsidR="00164D8D" w:rsidRPr="00E32C6C">
        <w:rPr>
          <w:rFonts w:eastAsia="Calibri"/>
          <w:b/>
          <w:i/>
          <w:sz w:val="26"/>
          <w:szCs w:val="26"/>
        </w:rPr>
        <w:t xml:space="preserve"> </w:t>
      </w:r>
      <w:r w:rsidR="00164D8D" w:rsidRPr="00E32C6C">
        <w:rPr>
          <w:rFonts w:eastAsia="Calibri"/>
          <w:bCs/>
          <w:i/>
          <w:sz w:val="26"/>
          <w:szCs w:val="26"/>
        </w:rPr>
        <w:t xml:space="preserve">William and Jean Haas v. </w:t>
      </w:r>
      <w:r w:rsidR="00EF5835">
        <w:rPr>
          <w:rFonts w:eastAsia="Calibri"/>
          <w:bCs/>
          <w:i/>
          <w:sz w:val="26"/>
          <w:szCs w:val="26"/>
        </w:rPr>
        <w:t>Pa. PUC</w:t>
      </w:r>
      <w:r w:rsidR="00164D8D" w:rsidRPr="00E32C6C">
        <w:rPr>
          <w:rFonts w:eastAsia="Calibri"/>
          <w:bCs/>
          <w:i/>
          <w:sz w:val="26"/>
          <w:szCs w:val="26"/>
        </w:rPr>
        <w:t xml:space="preserve"> </w:t>
      </w:r>
      <w:r w:rsidR="00164D8D" w:rsidRPr="00E32C6C">
        <w:rPr>
          <w:rFonts w:eastAsia="Calibri"/>
          <w:bCs/>
          <w:sz w:val="26"/>
          <w:szCs w:val="26"/>
        </w:rPr>
        <w:t>(Docket No. 658 M</w:t>
      </w:r>
      <w:r w:rsidR="00E32C6C">
        <w:rPr>
          <w:rFonts w:eastAsia="Calibri"/>
          <w:bCs/>
          <w:sz w:val="26"/>
          <w:szCs w:val="26"/>
        </w:rPr>
        <w:t>.</w:t>
      </w:r>
      <w:r w:rsidR="00164D8D" w:rsidRPr="00E32C6C">
        <w:rPr>
          <w:rFonts w:eastAsia="Calibri"/>
          <w:bCs/>
          <w:sz w:val="26"/>
          <w:szCs w:val="26"/>
        </w:rPr>
        <w:t>D</w:t>
      </w:r>
      <w:r w:rsidR="00E32C6C">
        <w:rPr>
          <w:rFonts w:eastAsia="Calibri"/>
          <w:bCs/>
          <w:sz w:val="26"/>
          <w:szCs w:val="26"/>
        </w:rPr>
        <w:t>.</w:t>
      </w:r>
      <w:r w:rsidR="00164D8D" w:rsidRPr="00E32C6C">
        <w:rPr>
          <w:rFonts w:eastAsia="Calibri"/>
          <w:bCs/>
          <w:sz w:val="26"/>
          <w:szCs w:val="26"/>
        </w:rPr>
        <w:t xml:space="preserve"> 2019</w:t>
      </w:r>
      <w:r w:rsidR="00164D8D" w:rsidRPr="00EF5835">
        <w:rPr>
          <w:rFonts w:eastAsia="Calibri"/>
          <w:bCs/>
          <w:sz w:val="26"/>
          <w:szCs w:val="26"/>
        </w:rPr>
        <w:t>)</w:t>
      </w:r>
      <w:r w:rsidR="00164D8D" w:rsidRPr="00E32C6C">
        <w:rPr>
          <w:rFonts w:eastAsia="Calibri"/>
          <w:sz w:val="26"/>
          <w:szCs w:val="26"/>
        </w:rPr>
        <w:t>.  The Complainant provides no discussion regarding how this case may be relevant</w:t>
      </w:r>
      <w:r w:rsidR="006A3D33" w:rsidRPr="00E32C6C">
        <w:rPr>
          <w:rFonts w:eastAsia="Calibri"/>
          <w:sz w:val="26"/>
          <w:szCs w:val="26"/>
        </w:rPr>
        <w:t xml:space="preserve"> to his Petition</w:t>
      </w:r>
      <w:r w:rsidR="00164D8D" w:rsidRPr="00E32C6C">
        <w:rPr>
          <w:rFonts w:eastAsia="Calibri"/>
          <w:sz w:val="26"/>
          <w:szCs w:val="26"/>
        </w:rPr>
        <w:t xml:space="preserve">.  Petition at 3.  </w:t>
      </w:r>
    </w:p>
    <w:p w14:paraId="04A1C400" w14:textId="77777777" w:rsidR="00494B81" w:rsidRPr="00E32C6C" w:rsidRDefault="00494B81" w:rsidP="00E32C6C">
      <w:pPr>
        <w:widowControl/>
        <w:spacing w:line="360" w:lineRule="auto"/>
        <w:rPr>
          <w:rFonts w:eastAsia="Calibri"/>
          <w:sz w:val="26"/>
          <w:szCs w:val="26"/>
        </w:rPr>
      </w:pPr>
    </w:p>
    <w:p w14:paraId="4CE8D9FD" w14:textId="3C841122" w:rsidR="00494B81" w:rsidRPr="00E32C6C" w:rsidRDefault="00494B81" w:rsidP="00E32C6C">
      <w:pPr>
        <w:widowControl/>
        <w:spacing w:line="360" w:lineRule="auto"/>
        <w:rPr>
          <w:rFonts w:eastAsia="Calibri"/>
          <w:b/>
          <w:sz w:val="26"/>
          <w:szCs w:val="26"/>
        </w:rPr>
      </w:pPr>
      <w:r w:rsidRPr="00E32C6C">
        <w:rPr>
          <w:rFonts w:eastAsia="Calibri"/>
          <w:b/>
          <w:sz w:val="26"/>
          <w:szCs w:val="26"/>
        </w:rPr>
        <w:tab/>
      </w:r>
      <w:r w:rsidRPr="00E32C6C">
        <w:rPr>
          <w:rFonts w:eastAsia="Calibri"/>
          <w:b/>
          <w:sz w:val="26"/>
          <w:szCs w:val="26"/>
        </w:rPr>
        <w:tab/>
        <w:t>b.</w:t>
      </w:r>
      <w:r w:rsidRPr="00E32C6C">
        <w:rPr>
          <w:rFonts w:eastAsia="Calibri"/>
          <w:b/>
          <w:sz w:val="26"/>
          <w:szCs w:val="26"/>
        </w:rPr>
        <w:tab/>
        <w:t>P</w:t>
      </w:r>
      <w:r w:rsidR="003A62C4" w:rsidRPr="00E32C6C">
        <w:rPr>
          <w:rFonts w:eastAsia="Calibri"/>
          <w:b/>
          <w:sz w:val="26"/>
          <w:szCs w:val="26"/>
        </w:rPr>
        <w:t>PL</w:t>
      </w:r>
      <w:r w:rsidRPr="00E32C6C">
        <w:rPr>
          <w:rFonts w:eastAsia="Calibri"/>
          <w:b/>
          <w:sz w:val="26"/>
          <w:szCs w:val="26"/>
        </w:rPr>
        <w:t>’s Answer</w:t>
      </w:r>
    </w:p>
    <w:p w14:paraId="1BFF9C46" w14:textId="77777777" w:rsidR="00494B81" w:rsidRPr="00E32C6C" w:rsidRDefault="00494B81" w:rsidP="00E32C6C">
      <w:pPr>
        <w:widowControl/>
        <w:spacing w:line="360" w:lineRule="auto"/>
        <w:rPr>
          <w:rFonts w:eastAsia="Calibri"/>
          <w:sz w:val="26"/>
          <w:szCs w:val="26"/>
        </w:rPr>
      </w:pPr>
    </w:p>
    <w:p w14:paraId="32461306" w14:textId="20E90A0F" w:rsidR="00314831" w:rsidRPr="00E32C6C" w:rsidRDefault="00494B81" w:rsidP="00E32C6C">
      <w:pPr>
        <w:widowControl/>
        <w:spacing w:line="360" w:lineRule="auto"/>
        <w:rPr>
          <w:rFonts w:eastAsia="Calibri"/>
          <w:sz w:val="26"/>
          <w:szCs w:val="26"/>
        </w:rPr>
      </w:pPr>
      <w:r w:rsidRPr="00E32C6C">
        <w:rPr>
          <w:rFonts w:eastAsia="Calibri"/>
          <w:sz w:val="26"/>
          <w:szCs w:val="26"/>
        </w:rPr>
        <w:tab/>
      </w:r>
      <w:r w:rsidRPr="00E32C6C">
        <w:rPr>
          <w:rFonts w:eastAsia="Calibri"/>
          <w:sz w:val="26"/>
          <w:szCs w:val="26"/>
        </w:rPr>
        <w:tab/>
        <w:t>In its Answer, P</w:t>
      </w:r>
      <w:r w:rsidR="003A62C4" w:rsidRPr="00E32C6C">
        <w:rPr>
          <w:rFonts w:eastAsia="Calibri"/>
          <w:sz w:val="26"/>
          <w:szCs w:val="26"/>
        </w:rPr>
        <w:t>PL</w:t>
      </w:r>
      <w:r w:rsidRPr="00E32C6C">
        <w:rPr>
          <w:rFonts w:eastAsia="Calibri"/>
          <w:sz w:val="26"/>
          <w:szCs w:val="26"/>
        </w:rPr>
        <w:t xml:space="preserve"> </w:t>
      </w:r>
      <w:r w:rsidR="00314831" w:rsidRPr="00E32C6C">
        <w:rPr>
          <w:rFonts w:eastAsia="Calibri"/>
          <w:sz w:val="26"/>
          <w:szCs w:val="26"/>
        </w:rPr>
        <w:t xml:space="preserve">provides that the Complainant fails to meet the </w:t>
      </w:r>
      <w:r w:rsidR="00314831" w:rsidRPr="00E32C6C">
        <w:rPr>
          <w:rFonts w:eastAsia="Calibri"/>
          <w:i/>
          <w:iCs/>
          <w:sz w:val="26"/>
          <w:szCs w:val="26"/>
        </w:rPr>
        <w:t xml:space="preserve">Duick </w:t>
      </w:r>
      <w:r w:rsidR="00314831" w:rsidRPr="00E32C6C">
        <w:rPr>
          <w:rFonts w:eastAsia="Calibri"/>
          <w:sz w:val="26"/>
          <w:szCs w:val="26"/>
        </w:rPr>
        <w:t xml:space="preserve">standard for reconsideration.  According to PPL, the Complainant tries to raise allegations that the Commission already considered and denied in the </w:t>
      </w:r>
      <w:r w:rsidR="00314831" w:rsidRPr="00E32C6C">
        <w:rPr>
          <w:rFonts w:eastAsia="Calibri"/>
          <w:i/>
          <w:iCs/>
          <w:sz w:val="26"/>
          <w:szCs w:val="26"/>
        </w:rPr>
        <w:t>May 2020 Order</w:t>
      </w:r>
      <w:r w:rsidR="00314831" w:rsidRPr="00E32C6C">
        <w:rPr>
          <w:rFonts w:eastAsia="Calibri"/>
          <w:sz w:val="26"/>
          <w:szCs w:val="26"/>
        </w:rPr>
        <w:t xml:space="preserve">.  PPL notes that the Commission rejected the Complainant’s claim that the installation of the new AMI meter would violate Section 1501 of the Code based upon his health-related claims.  Answer at 6 (citing </w:t>
      </w:r>
      <w:r w:rsidR="00314831" w:rsidRPr="00E32C6C">
        <w:rPr>
          <w:rFonts w:eastAsia="Calibri"/>
          <w:i/>
          <w:iCs/>
          <w:sz w:val="26"/>
          <w:szCs w:val="26"/>
        </w:rPr>
        <w:t>May 2020 Order</w:t>
      </w:r>
      <w:r w:rsidR="00314831" w:rsidRPr="00E32C6C">
        <w:rPr>
          <w:rFonts w:eastAsia="Calibri"/>
          <w:sz w:val="26"/>
          <w:szCs w:val="26"/>
        </w:rPr>
        <w:t xml:space="preserve"> at 14-21).  </w:t>
      </w:r>
    </w:p>
    <w:p w14:paraId="498EAFB7" w14:textId="01F7EA42" w:rsidR="00314831" w:rsidRPr="00E32C6C" w:rsidRDefault="00314831" w:rsidP="00E32C6C">
      <w:pPr>
        <w:widowControl/>
        <w:spacing w:line="360" w:lineRule="auto"/>
        <w:rPr>
          <w:rFonts w:eastAsia="Calibri"/>
          <w:sz w:val="26"/>
          <w:szCs w:val="26"/>
        </w:rPr>
      </w:pPr>
    </w:p>
    <w:p w14:paraId="5DC39902" w14:textId="77777777" w:rsidR="00164D8D" w:rsidRPr="00E32C6C" w:rsidRDefault="00314831" w:rsidP="00E32C6C">
      <w:pPr>
        <w:widowControl/>
        <w:spacing w:line="360" w:lineRule="auto"/>
        <w:rPr>
          <w:rFonts w:eastAsia="Calibri"/>
          <w:sz w:val="26"/>
          <w:szCs w:val="26"/>
        </w:rPr>
      </w:pPr>
      <w:r w:rsidRPr="00E32C6C">
        <w:rPr>
          <w:rFonts w:eastAsia="Calibri"/>
          <w:sz w:val="26"/>
          <w:szCs w:val="26"/>
        </w:rPr>
        <w:tab/>
      </w:r>
      <w:r w:rsidRPr="00E32C6C">
        <w:rPr>
          <w:rFonts w:eastAsia="Calibri"/>
          <w:sz w:val="26"/>
          <w:szCs w:val="26"/>
        </w:rPr>
        <w:tab/>
      </w:r>
      <w:r w:rsidR="00164D8D" w:rsidRPr="00E32C6C">
        <w:rPr>
          <w:rFonts w:eastAsia="Calibri"/>
          <w:sz w:val="26"/>
          <w:szCs w:val="26"/>
        </w:rPr>
        <w:t xml:space="preserve">Additionally, PPL provides that the Complainant references a pending Commonwealth Court case but provides no arguments or explanation concerning it.  Answer at 6.  </w:t>
      </w:r>
    </w:p>
    <w:p w14:paraId="14C9E52A" w14:textId="77777777" w:rsidR="00164D8D" w:rsidRPr="00E32C6C" w:rsidRDefault="00164D8D" w:rsidP="00E32C6C">
      <w:pPr>
        <w:widowControl/>
        <w:spacing w:line="360" w:lineRule="auto"/>
        <w:rPr>
          <w:rFonts w:eastAsia="Calibri"/>
          <w:sz w:val="26"/>
          <w:szCs w:val="26"/>
        </w:rPr>
      </w:pPr>
    </w:p>
    <w:p w14:paraId="1EE2933C" w14:textId="37F34B70" w:rsidR="00314831" w:rsidRPr="00E32C6C" w:rsidRDefault="00164D8D" w:rsidP="00E32C6C">
      <w:pPr>
        <w:widowControl/>
        <w:spacing w:line="360" w:lineRule="auto"/>
        <w:ind w:firstLine="1440"/>
        <w:rPr>
          <w:rFonts w:eastAsia="Calibri"/>
          <w:sz w:val="26"/>
          <w:szCs w:val="26"/>
        </w:rPr>
      </w:pPr>
      <w:r w:rsidRPr="00E32C6C">
        <w:rPr>
          <w:rFonts w:eastAsia="Calibri"/>
          <w:sz w:val="26"/>
          <w:szCs w:val="26"/>
        </w:rPr>
        <w:t xml:space="preserve">Finally, </w:t>
      </w:r>
      <w:r w:rsidR="00314831" w:rsidRPr="00E32C6C">
        <w:rPr>
          <w:rFonts w:eastAsia="Calibri"/>
          <w:sz w:val="26"/>
          <w:szCs w:val="26"/>
        </w:rPr>
        <w:t xml:space="preserve">PPL responds that the Complainant’s failure to present evidence that was in existence and readily available prior to the close of the evidentiary record does not meet the </w:t>
      </w:r>
      <w:r w:rsidR="00314831" w:rsidRPr="00E32C6C">
        <w:rPr>
          <w:rFonts w:eastAsia="Calibri"/>
          <w:i/>
          <w:iCs/>
          <w:sz w:val="26"/>
          <w:szCs w:val="26"/>
        </w:rPr>
        <w:t>Duick</w:t>
      </w:r>
      <w:r w:rsidR="00314831" w:rsidRPr="00E32C6C">
        <w:rPr>
          <w:rFonts w:eastAsia="Calibri"/>
          <w:sz w:val="26"/>
          <w:szCs w:val="26"/>
        </w:rPr>
        <w:t xml:space="preserve"> standard for reconsideration.  According to PPL, the </w:t>
      </w:r>
      <w:r w:rsidR="00314831" w:rsidRPr="00E32C6C">
        <w:rPr>
          <w:rFonts w:eastAsia="Calibri"/>
          <w:sz w:val="26"/>
          <w:szCs w:val="26"/>
        </w:rPr>
        <w:lastRenderedPageBreak/>
        <w:t xml:space="preserve">Commission in </w:t>
      </w:r>
      <w:r w:rsidR="005648A0" w:rsidRPr="00E32C6C">
        <w:rPr>
          <w:rFonts w:eastAsia="Calibri"/>
          <w:i/>
          <w:iCs/>
          <w:sz w:val="26"/>
          <w:szCs w:val="26"/>
        </w:rPr>
        <w:t>Duick</w:t>
      </w:r>
      <w:r w:rsidR="00314831" w:rsidRPr="00E32C6C">
        <w:rPr>
          <w:rFonts w:eastAsia="Calibri"/>
          <w:sz w:val="26"/>
          <w:szCs w:val="26"/>
        </w:rPr>
        <w:t xml:space="preserve"> </w:t>
      </w:r>
      <w:r w:rsidR="005648A0" w:rsidRPr="00E32C6C">
        <w:rPr>
          <w:rFonts w:eastAsia="Calibri"/>
          <w:sz w:val="26"/>
          <w:szCs w:val="26"/>
        </w:rPr>
        <w:t>explains</w:t>
      </w:r>
      <w:r w:rsidR="00314831" w:rsidRPr="00E32C6C">
        <w:rPr>
          <w:rFonts w:eastAsia="Calibri"/>
          <w:sz w:val="26"/>
          <w:szCs w:val="26"/>
        </w:rPr>
        <w:t xml:space="preserve"> that, where a </w:t>
      </w:r>
      <w:r w:rsidR="005648A0" w:rsidRPr="00E32C6C">
        <w:rPr>
          <w:rFonts w:eastAsia="Calibri"/>
          <w:sz w:val="26"/>
          <w:szCs w:val="26"/>
        </w:rPr>
        <w:t>petition</w:t>
      </w:r>
      <w:r w:rsidR="00314831" w:rsidRPr="00E32C6C">
        <w:rPr>
          <w:rFonts w:eastAsia="Calibri"/>
          <w:sz w:val="26"/>
          <w:szCs w:val="26"/>
        </w:rPr>
        <w:t xml:space="preserve"> for rehearing seeks re</w:t>
      </w:r>
      <w:r w:rsidR="005648A0" w:rsidRPr="00E32C6C">
        <w:rPr>
          <w:rFonts w:eastAsia="Calibri"/>
          <w:sz w:val="26"/>
          <w:szCs w:val="26"/>
        </w:rPr>
        <w:t xml:space="preserve">opening </w:t>
      </w:r>
      <w:r w:rsidR="00314831" w:rsidRPr="00E32C6C">
        <w:rPr>
          <w:rFonts w:eastAsia="Calibri"/>
          <w:sz w:val="26"/>
          <w:szCs w:val="26"/>
        </w:rPr>
        <w:t>of the record or reconsideration based upon new evidence, the petition “must allege [the] new</w:t>
      </w:r>
      <w:r w:rsidR="005648A0" w:rsidRPr="00E32C6C">
        <w:rPr>
          <w:rFonts w:eastAsia="Calibri"/>
          <w:sz w:val="26"/>
          <w:szCs w:val="26"/>
        </w:rPr>
        <w:t>ly</w:t>
      </w:r>
      <w:r w:rsidR="00314831" w:rsidRPr="00E32C6C">
        <w:rPr>
          <w:rFonts w:eastAsia="Calibri"/>
          <w:sz w:val="26"/>
          <w:szCs w:val="26"/>
        </w:rPr>
        <w:t xml:space="preserve"> discovered evidence…[was</w:t>
      </w:r>
      <w:r w:rsidR="004D6287" w:rsidRPr="00E32C6C">
        <w:rPr>
          <w:rFonts w:eastAsia="Calibri"/>
          <w:sz w:val="26"/>
          <w:szCs w:val="26"/>
        </w:rPr>
        <w:t>]</w:t>
      </w:r>
      <w:r w:rsidR="00314831" w:rsidRPr="00E32C6C">
        <w:rPr>
          <w:rFonts w:eastAsia="Calibri"/>
          <w:sz w:val="26"/>
          <w:szCs w:val="26"/>
        </w:rPr>
        <w:t xml:space="preserve"> not discoverable through the exercise of due diligence prior to the c</w:t>
      </w:r>
      <w:r w:rsidR="005648A0" w:rsidRPr="00E32C6C">
        <w:rPr>
          <w:rFonts w:eastAsia="Calibri"/>
          <w:sz w:val="26"/>
          <w:szCs w:val="26"/>
        </w:rPr>
        <w:t>lose of</w:t>
      </w:r>
      <w:r w:rsidR="00314831" w:rsidRPr="00E32C6C">
        <w:rPr>
          <w:rFonts w:eastAsia="Calibri"/>
          <w:sz w:val="26"/>
          <w:szCs w:val="26"/>
        </w:rPr>
        <w:t xml:space="preserve"> the record.”  Answer at 7 (citing </w:t>
      </w:r>
      <w:r w:rsidR="005648A0" w:rsidRPr="00E32C6C">
        <w:rPr>
          <w:rFonts w:eastAsia="Calibri"/>
          <w:i/>
          <w:iCs/>
          <w:sz w:val="26"/>
          <w:szCs w:val="26"/>
        </w:rPr>
        <w:t>Duick</w:t>
      </w:r>
      <w:r w:rsidR="00314831" w:rsidRPr="00E32C6C">
        <w:rPr>
          <w:rFonts w:eastAsia="Calibri"/>
          <w:sz w:val="26"/>
          <w:szCs w:val="26"/>
        </w:rPr>
        <w:t xml:space="preserve"> at 559).  PPL explains that the </w:t>
      </w:r>
      <w:r w:rsidR="00815839" w:rsidRPr="00E32C6C">
        <w:rPr>
          <w:rFonts w:eastAsia="Calibri"/>
          <w:sz w:val="26"/>
          <w:szCs w:val="26"/>
        </w:rPr>
        <w:t>C</w:t>
      </w:r>
      <w:r w:rsidR="00314831" w:rsidRPr="00E32C6C">
        <w:rPr>
          <w:rFonts w:eastAsia="Calibri"/>
          <w:sz w:val="26"/>
          <w:szCs w:val="26"/>
        </w:rPr>
        <w:t xml:space="preserve">omplainant’s reliance on documents dated prior to the close of the record and </w:t>
      </w:r>
      <w:r w:rsidR="005648A0" w:rsidRPr="00E32C6C">
        <w:rPr>
          <w:rFonts w:eastAsia="Calibri"/>
          <w:sz w:val="26"/>
          <w:szCs w:val="26"/>
        </w:rPr>
        <w:t>publicly</w:t>
      </w:r>
      <w:r w:rsidR="00314831" w:rsidRPr="00E32C6C">
        <w:rPr>
          <w:rFonts w:eastAsia="Calibri"/>
          <w:sz w:val="26"/>
          <w:szCs w:val="26"/>
        </w:rPr>
        <w:t xml:space="preserve"> accessible </w:t>
      </w:r>
      <w:r w:rsidR="005648A0" w:rsidRPr="00E32C6C">
        <w:rPr>
          <w:rFonts w:eastAsia="Calibri"/>
          <w:sz w:val="26"/>
          <w:szCs w:val="26"/>
        </w:rPr>
        <w:t>hyperlinks</w:t>
      </w:r>
      <w:r w:rsidR="00314831" w:rsidRPr="00E32C6C">
        <w:rPr>
          <w:rFonts w:eastAsia="Calibri"/>
          <w:sz w:val="26"/>
          <w:szCs w:val="26"/>
        </w:rPr>
        <w:t xml:space="preserve"> fails to establish that this evidence was not discoverable </w:t>
      </w:r>
      <w:r w:rsidR="005648A0" w:rsidRPr="00E32C6C">
        <w:rPr>
          <w:rFonts w:eastAsia="Calibri"/>
          <w:sz w:val="26"/>
          <w:szCs w:val="26"/>
        </w:rPr>
        <w:t>prior</w:t>
      </w:r>
      <w:r w:rsidR="00314831" w:rsidRPr="00E32C6C">
        <w:rPr>
          <w:rFonts w:eastAsia="Calibri"/>
          <w:sz w:val="26"/>
          <w:szCs w:val="26"/>
        </w:rPr>
        <w:t xml:space="preserve"> to the </w:t>
      </w:r>
      <w:r w:rsidR="005648A0" w:rsidRPr="00E32C6C">
        <w:rPr>
          <w:rFonts w:eastAsia="Calibri"/>
          <w:sz w:val="26"/>
          <w:szCs w:val="26"/>
        </w:rPr>
        <w:t>close</w:t>
      </w:r>
      <w:r w:rsidR="00314831" w:rsidRPr="00E32C6C">
        <w:rPr>
          <w:rFonts w:eastAsia="Calibri"/>
          <w:sz w:val="26"/>
          <w:szCs w:val="26"/>
        </w:rPr>
        <w:t xml:space="preserve"> of the record on June 20, 2019.  </w:t>
      </w:r>
      <w:r w:rsidR="005648A0" w:rsidRPr="00E32C6C">
        <w:rPr>
          <w:rFonts w:eastAsia="Calibri"/>
          <w:sz w:val="26"/>
          <w:szCs w:val="26"/>
        </w:rPr>
        <w:t xml:space="preserve">PPL further explains that reconsideration is not another opportunity for the Complainant to attempt to introduce additional evidence that he could have discovered prior to the close of the record and sought to introduce at a hearing.  Answer at 7-8.  </w:t>
      </w:r>
    </w:p>
    <w:bookmarkEnd w:id="4"/>
    <w:p w14:paraId="78C6C10A" w14:textId="11B414D2" w:rsidR="00494B81" w:rsidRPr="00E32C6C" w:rsidRDefault="00494B81" w:rsidP="00E32C6C">
      <w:pPr>
        <w:widowControl/>
        <w:spacing w:line="360" w:lineRule="auto"/>
        <w:rPr>
          <w:rFonts w:eastAsia="Calibri"/>
          <w:sz w:val="26"/>
          <w:szCs w:val="26"/>
        </w:rPr>
      </w:pPr>
    </w:p>
    <w:p w14:paraId="7BE8824F" w14:textId="77777777" w:rsidR="00494B81" w:rsidRPr="00E32C6C" w:rsidRDefault="00494B81" w:rsidP="00E32C6C">
      <w:pPr>
        <w:keepNext/>
        <w:keepLines/>
        <w:widowControl/>
        <w:spacing w:line="360" w:lineRule="auto"/>
        <w:rPr>
          <w:rFonts w:eastAsia="Calibri"/>
          <w:b/>
          <w:sz w:val="26"/>
          <w:szCs w:val="26"/>
        </w:rPr>
      </w:pPr>
      <w:r w:rsidRPr="00E32C6C">
        <w:rPr>
          <w:rFonts w:eastAsia="Calibri"/>
          <w:b/>
          <w:sz w:val="26"/>
          <w:szCs w:val="26"/>
        </w:rPr>
        <w:tab/>
      </w:r>
      <w:r w:rsidRPr="00E32C6C">
        <w:rPr>
          <w:rFonts w:eastAsia="Calibri"/>
          <w:b/>
          <w:sz w:val="26"/>
          <w:szCs w:val="26"/>
        </w:rPr>
        <w:tab/>
        <w:t>c.</w:t>
      </w:r>
      <w:r w:rsidRPr="00E32C6C">
        <w:rPr>
          <w:rFonts w:eastAsia="Calibri"/>
          <w:b/>
          <w:sz w:val="26"/>
          <w:szCs w:val="26"/>
        </w:rPr>
        <w:tab/>
        <w:t>Disposition</w:t>
      </w:r>
    </w:p>
    <w:p w14:paraId="21DBFD46" w14:textId="77777777" w:rsidR="00494B81" w:rsidRPr="00E32C6C" w:rsidRDefault="00494B81" w:rsidP="00E32C6C">
      <w:pPr>
        <w:keepNext/>
        <w:keepLines/>
        <w:widowControl/>
        <w:spacing w:line="360" w:lineRule="auto"/>
        <w:rPr>
          <w:rFonts w:eastAsia="Calibri"/>
          <w:b/>
          <w:sz w:val="26"/>
          <w:szCs w:val="26"/>
        </w:rPr>
      </w:pPr>
    </w:p>
    <w:p w14:paraId="0F90218D" w14:textId="2E9888A9" w:rsidR="00494B81" w:rsidRPr="00E32C6C" w:rsidRDefault="00494B81" w:rsidP="00E32C6C">
      <w:pPr>
        <w:widowControl/>
        <w:spacing w:line="360" w:lineRule="auto"/>
        <w:rPr>
          <w:sz w:val="26"/>
          <w:szCs w:val="26"/>
        </w:rPr>
      </w:pPr>
      <w:r w:rsidRPr="00E32C6C">
        <w:rPr>
          <w:sz w:val="26"/>
          <w:szCs w:val="26"/>
        </w:rPr>
        <w:tab/>
      </w:r>
      <w:r w:rsidRPr="00E32C6C">
        <w:rPr>
          <w:sz w:val="26"/>
          <w:szCs w:val="26"/>
        </w:rPr>
        <w:tab/>
        <w:t xml:space="preserve">Before we address our disposition on this first issue, we note, as stated previously, that Petitions for Reconsideration are governed by </w:t>
      </w:r>
      <w:r w:rsidRPr="00E32C6C">
        <w:rPr>
          <w:i/>
          <w:sz w:val="26"/>
          <w:szCs w:val="26"/>
        </w:rPr>
        <w:t>Duick</w:t>
      </w:r>
      <w:r w:rsidRPr="00E32C6C">
        <w:rPr>
          <w:sz w:val="26"/>
          <w:szCs w:val="26"/>
        </w:rPr>
        <w:t xml:space="preserve">, which essentially requires a two-step analysis.  First, we determine whether a party has offered new and novel arguments or identified considerations that appear to have been overlooked or not addressed by the Commission in its previous order.  The second step is to evaluate the new or novel argument, or overlooked consideration, in order to determine whether to modify our previous decision.  However, we will not necessarily modify our prior decision just because a party offers a new and novel argument or identifies a consideration that was overlooked or not addressed by the Commission in its previous order.  Based upon our evaluation of the record and the </w:t>
      </w:r>
      <w:r w:rsidR="00AB055A" w:rsidRPr="00E32C6C">
        <w:rPr>
          <w:sz w:val="26"/>
          <w:szCs w:val="26"/>
        </w:rPr>
        <w:t>P</w:t>
      </w:r>
      <w:r w:rsidRPr="00E32C6C">
        <w:rPr>
          <w:sz w:val="26"/>
          <w:szCs w:val="26"/>
        </w:rPr>
        <w:t>arties’ positions in each particular case, we will determine if there is a sufficient basis for us to exercise our discretion to amend or rescind a prior Order, in whole or in part.</w:t>
      </w:r>
    </w:p>
    <w:p w14:paraId="2763DDC4" w14:textId="77777777" w:rsidR="00494B81" w:rsidRPr="00E32C6C" w:rsidRDefault="00494B81" w:rsidP="00E32C6C">
      <w:pPr>
        <w:widowControl/>
        <w:spacing w:line="360" w:lineRule="auto"/>
        <w:rPr>
          <w:sz w:val="26"/>
          <w:szCs w:val="26"/>
        </w:rPr>
      </w:pPr>
    </w:p>
    <w:p w14:paraId="3D3F5CE1" w14:textId="394D679E" w:rsidR="00494B81" w:rsidRPr="00E32C6C" w:rsidRDefault="00494B81" w:rsidP="00E32C6C">
      <w:pPr>
        <w:widowControl/>
        <w:spacing w:line="360" w:lineRule="auto"/>
        <w:rPr>
          <w:sz w:val="26"/>
          <w:szCs w:val="26"/>
        </w:rPr>
      </w:pPr>
      <w:r w:rsidRPr="00E32C6C">
        <w:rPr>
          <w:sz w:val="26"/>
          <w:szCs w:val="26"/>
        </w:rPr>
        <w:tab/>
      </w:r>
      <w:r w:rsidRPr="00E32C6C">
        <w:rPr>
          <w:sz w:val="26"/>
          <w:szCs w:val="26"/>
        </w:rPr>
        <w:tab/>
        <w:t xml:space="preserve">Upon consideration of the record evidence in this proceeding, we will deny the Complainant’s Petition on the grounds that it fails to meet the </w:t>
      </w:r>
      <w:r w:rsidRPr="00E32C6C">
        <w:rPr>
          <w:i/>
          <w:sz w:val="26"/>
          <w:szCs w:val="26"/>
        </w:rPr>
        <w:t xml:space="preserve">Duick </w:t>
      </w:r>
      <w:r w:rsidRPr="00E32C6C">
        <w:rPr>
          <w:sz w:val="26"/>
          <w:szCs w:val="26"/>
        </w:rPr>
        <w:t xml:space="preserve">standards.  </w:t>
      </w:r>
    </w:p>
    <w:p w14:paraId="698CDB9B" w14:textId="77777777" w:rsidR="006F55E7" w:rsidRPr="00E32C6C" w:rsidRDefault="006F55E7" w:rsidP="00E32C6C">
      <w:pPr>
        <w:widowControl/>
        <w:spacing w:line="360" w:lineRule="auto"/>
        <w:rPr>
          <w:rFonts w:eastAsia="Calibri"/>
          <w:sz w:val="26"/>
          <w:szCs w:val="26"/>
        </w:rPr>
      </w:pPr>
    </w:p>
    <w:p w14:paraId="2B0F1CD3" w14:textId="2CBF82BA" w:rsidR="00AE4D58" w:rsidRPr="00E32C6C" w:rsidRDefault="004D6287" w:rsidP="00E32C6C">
      <w:pPr>
        <w:widowControl/>
        <w:spacing w:line="360" w:lineRule="auto"/>
        <w:ind w:firstLine="1440"/>
        <w:rPr>
          <w:rFonts w:eastAsia="Calibri"/>
          <w:sz w:val="26"/>
          <w:szCs w:val="26"/>
        </w:rPr>
      </w:pPr>
      <w:r w:rsidRPr="00E32C6C">
        <w:rPr>
          <w:rFonts w:eastAsia="Calibri"/>
          <w:sz w:val="26"/>
          <w:szCs w:val="26"/>
        </w:rPr>
        <w:lastRenderedPageBreak/>
        <w:t xml:space="preserve">We begin by addressing </w:t>
      </w:r>
      <w:r w:rsidR="00494B81" w:rsidRPr="00E32C6C">
        <w:rPr>
          <w:rFonts w:eastAsia="Calibri"/>
          <w:sz w:val="26"/>
          <w:szCs w:val="26"/>
        </w:rPr>
        <w:t xml:space="preserve">the Complainant’s first issue in which </w:t>
      </w:r>
      <w:r w:rsidR="00093C64" w:rsidRPr="00E32C6C">
        <w:rPr>
          <w:rFonts w:eastAsia="Calibri"/>
          <w:sz w:val="26"/>
          <w:szCs w:val="26"/>
        </w:rPr>
        <w:t xml:space="preserve">he avers that he has new evidence regarding potential adverse health effects of RF exposure.  </w:t>
      </w:r>
      <w:r w:rsidRPr="00E32C6C">
        <w:rPr>
          <w:rFonts w:eastAsia="Calibri"/>
          <w:sz w:val="26"/>
          <w:szCs w:val="26"/>
        </w:rPr>
        <w:t xml:space="preserve">The Complainant provides that “there are over 4,000 new scientific studies that report biological and adverse health effects.”  </w:t>
      </w:r>
      <w:r w:rsidR="00EB0972" w:rsidRPr="00E32C6C">
        <w:rPr>
          <w:rFonts w:eastAsia="Calibri"/>
          <w:sz w:val="26"/>
          <w:szCs w:val="26"/>
        </w:rPr>
        <w:t xml:space="preserve">Petition at 2.  </w:t>
      </w:r>
      <w:r w:rsidRPr="00E32C6C">
        <w:rPr>
          <w:rFonts w:eastAsia="Calibri"/>
          <w:sz w:val="26"/>
          <w:szCs w:val="26"/>
        </w:rPr>
        <w:t>The Complainant also provides links to a November 2018 fact sheet from the National Toxicology Program and two websites.</w:t>
      </w:r>
      <w:r w:rsidR="00832F87" w:rsidRPr="00E32C6C">
        <w:rPr>
          <w:rFonts w:eastAsia="Calibri"/>
          <w:sz w:val="26"/>
          <w:szCs w:val="26"/>
        </w:rPr>
        <w:t xml:space="preserve">  </w:t>
      </w:r>
      <w:r w:rsidR="002F5B24" w:rsidRPr="00E32C6C">
        <w:rPr>
          <w:rFonts w:eastAsia="Calibri"/>
          <w:sz w:val="26"/>
          <w:szCs w:val="26"/>
        </w:rPr>
        <w:t xml:space="preserve">It appears that this material was </w:t>
      </w:r>
      <w:r w:rsidR="00AE4D58" w:rsidRPr="00E32C6C">
        <w:rPr>
          <w:rFonts w:eastAsia="Calibri"/>
          <w:sz w:val="26"/>
          <w:szCs w:val="26"/>
        </w:rPr>
        <w:t xml:space="preserve">discoverable and thus </w:t>
      </w:r>
      <w:r w:rsidR="002F5B24" w:rsidRPr="00E32C6C">
        <w:rPr>
          <w:rFonts w:eastAsia="Calibri"/>
          <w:sz w:val="26"/>
          <w:szCs w:val="26"/>
        </w:rPr>
        <w:t xml:space="preserve">available to the Complainant prior to the close of the record.  </w:t>
      </w:r>
      <w:r w:rsidR="00AE4D58" w:rsidRPr="00E32C6C">
        <w:rPr>
          <w:rFonts w:eastAsia="Calibri"/>
          <w:sz w:val="26"/>
          <w:szCs w:val="26"/>
        </w:rPr>
        <w:t xml:space="preserve">Therefore, this information does not constitute new evidence. We, therefore, agree with PPL that the Complainant has not demonstrated that the evidence he presents in his Petition for Reconsideration was unavailable at the time of the hearing.  </w:t>
      </w:r>
    </w:p>
    <w:p w14:paraId="6B4A8DDA" w14:textId="376D3D1B" w:rsidR="00AE4D58" w:rsidRPr="00E32C6C" w:rsidRDefault="00AE4D58" w:rsidP="00E32C6C">
      <w:pPr>
        <w:widowControl/>
        <w:spacing w:line="360" w:lineRule="auto"/>
        <w:ind w:firstLine="1440"/>
        <w:rPr>
          <w:rFonts w:eastAsia="Calibri"/>
          <w:sz w:val="26"/>
          <w:szCs w:val="26"/>
        </w:rPr>
      </w:pPr>
    </w:p>
    <w:p w14:paraId="74CE0894" w14:textId="0741D9FE" w:rsidR="003854A6" w:rsidRPr="00E32C6C" w:rsidRDefault="00F025DA" w:rsidP="00E32C6C">
      <w:pPr>
        <w:widowControl/>
        <w:spacing w:line="360" w:lineRule="auto"/>
        <w:ind w:firstLine="1440"/>
        <w:rPr>
          <w:rFonts w:eastAsia="Calibri"/>
          <w:sz w:val="26"/>
          <w:szCs w:val="26"/>
        </w:rPr>
      </w:pPr>
      <w:r w:rsidRPr="00E32C6C">
        <w:rPr>
          <w:rFonts w:eastAsia="Calibri"/>
          <w:sz w:val="26"/>
          <w:szCs w:val="26"/>
        </w:rPr>
        <w:t>Additionall</w:t>
      </w:r>
      <w:r w:rsidR="003854A6" w:rsidRPr="00E32C6C">
        <w:rPr>
          <w:rFonts w:eastAsia="Calibri"/>
          <w:sz w:val="26"/>
          <w:szCs w:val="26"/>
        </w:rPr>
        <w:t xml:space="preserve">y, while the Complainant refers us to a pending Commonwealth Court case, he </w:t>
      </w:r>
      <w:r w:rsidR="003A0193" w:rsidRPr="00E32C6C">
        <w:rPr>
          <w:rFonts w:eastAsia="Calibri"/>
          <w:sz w:val="26"/>
          <w:szCs w:val="26"/>
        </w:rPr>
        <w:t>provides</w:t>
      </w:r>
      <w:r w:rsidR="003854A6" w:rsidRPr="00E32C6C">
        <w:rPr>
          <w:rFonts w:eastAsia="Calibri"/>
          <w:sz w:val="26"/>
          <w:szCs w:val="26"/>
        </w:rPr>
        <w:t xml:space="preserve"> no argument or explanation as to how it is connected to his request for reconsideration of the </w:t>
      </w:r>
      <w:r w:rsidR="003854A6" w:rsidRPr="00E32C6C">
        <w:rPr>
          <w:rFonts w:eastAsia="Calibri"/>
          <w:i/>
          <w:iCs/>
          <w:sz w:val="26"/>
          <w:szCs w:val="26"/>
        </w:rPr>
        <w:t>May 2020 Order</w:t>
      </w:r>
      <w:r w:rsidR="003854A6" w:rsidRPr="00E32C6C">
        <w:rPr>
          <w:rFonts w:eastAsia="Calibri"/>
          <w:sz w:val="26"/>
          <w:szCs w:val="26"/>
        </w:rPr>
        <w:t xml:space="preserve">.  Without some argument or explanation as to how this case supports his request for reconsideration, we see no reason to disturb the </w:t>
      </w:r>
      <w:r w:rsidR="003854A6" w:rsidRPr="00E32C6C">
        <w:rPr>
          <w:rFonts w:eastAsia="Calibri"/>
          <w:i/>
          <w:iCs/>
          <w:sz w:val="26"/>
          <w:szCs w:val="26"/>
        </w:rPr>
        <w:t>May 2020 Order</w:t>
      </w:r>
      <w:r w:rsidR="003854A6" w:rsidRPr="00E32C6C">
        <w:rPr>
          <w:rFonts w:eastAsia="Calibri"/>
          <w:sz w:val="26"/>
          <w:szCs w:val="26"/>
        </w:rPr>
        <w:t xml:space="preserve">. </w:t>
      </w:r>
    </w:p>
    <w:p w14:paraId="67F09D7F" w14:textId="77777777" w:rsidR="003854A6" w:rsidRPr="00E32C6C" w:rsidRDefault="003854A6" w:rsidP="00E32C6C">
      <w:pPr>
        <w:widowControl/>
        <w:spacing w:line="360" w:lineRule="auto"/>
        <w:ind w:firstLine="1440"/>
        <w:rPr>
          <w:rFonts w:eastAsia="Calibri"/>
          <w:sz w:val="26"/>
          <w:szCs w:val="26"/>
        </w:rPr>
      </w:pPr>
    </w:p>
    <w:p w14:paraId="2C91E236" w14:textId="0454A3B1" w:rsidR="00494B81" w:rsidRPr="00E32C6C" w:rsidRDefault="00F025DA" w:rsidP="00E32C6C">
      <w:pPr>
        <w:widowControl/>
        <w:spacing w:line="360" w:lineRule="auto"/>
        <w:ind w:firstLine="1440"/>
        <w:rPr>
          <w:rFonts w:eastAsia="Calibri"/>
          <w:sz w:val="26"/>
          <w:szCs w:val="26"/>
        </w:rPr>
      </w:pPr>
      <w:r w:rsidRPr="00E32C6C">
        <w:rPr>
          <w:rFonts w:eastAsia="Calibri"/>
          <w:sz w:val="26"/>
          <w:szCs w:val="26"/>
        </w:rPr>
        <w:t xml:space="preserve">Finally, we </w:t>
      </w:r>
      <w:r w:rsidR="002F5B24" w:rsidRPr="00E32C6C">
        <w:rPr>
          <w:rFonts w:eastAsia="Calibri"/>
          <w:sz w:val="26"/>
          <w:szCs w:val="26"/>
        </w:rPr>
        <w:t xml:space="preserve">note that the </w:t>
      </w:r>
      <w:r w:rsidR="00815839" w:rsidRPr="00E32C6C">
        <w:rPr>
          <w:rFonts w:eastAsia="Calibri"/>
          <w:sz w:val="26"/>
          <w:szCs w:val="26"/>
        </w:rPr>
        <w:t>Complainant’s</w:t>
      </w:r>
      <w:r w:rsidR="002F5B24" w:rsidRPr="00E32C6C">
        <w:rPr>
          <w:rFonts w:eastAsia="Calibri"/>
          <w:sz w:val="26"/>
          <w:szCs w:val="26"/>
        </w:rPr>
        <w:t xml:space="preserve"> argument that the AMI meter poses a health risk has been brought by the </w:t>
      </w:r>
      <w:r w:rsidR="00815839" w:rsidRPr="00E32C6C">
        <w:rPr>
          <w:rFonts w:eastAsia="Calibri"/>
          <w:sz w:val="26"/>
          <w:szCs w:val="26"/>
        </w:rPr>
        <w:t>Complainant</w:t>
      </w:r>
      <w:r w:rsidR="002F5B24" w:rsidRPr="00E32C6C">
        <w:rPr>
          <w:rFonts w:eastAsia="Calibri"/>
          <w:sz w:val="26"/>
          <w:szCs w:val="26"/>
        </w:rPr>
        <w:t xml:space="preserve"> in his Amended Formal Complaint.  </w:t>
      </w:r>
      <w:r w:rsidR="00815839" w:rsidRPr="00E32C6C">
        <w:rPr>
          <w:rFonts w:eastAsia="Calibri"/>
          <w:sz w:val="26"/>
          <w:szCs w:val="26"/>
        </w:rPr>
        <w:t xml:space="preserve">Amended Formal Complaint at 4.  </w:t>
      </w:r>
      <w:r w:rsidR="00AE4D58" w:rsidRPr="00E32C6C">
        <w:rPr>
          <w:rFonts w:eastAsia="Calibri"/>
          <w:sz w:val="26"/>
          <w:szCs w:val="26"/>
        </w:rPr>
        <w:t xml:space="preserve">The </w:t>
      </w:r>
      <w:r w:rsidR="00AE4D58" w:rsidRPr="00E32C6C">
        <w:rPr>
          <w:rFonts w:eastAsia="Calibri"/>
          <w:i/>
          <w:iCs/>
          <w:sz w:val="26"/>
          <w:szCs w:val="26"/>
        </w:rPr>
        <w:t>May 2020 Order</w:t>
      </w:r>
      <w:r w:rsidR="00AE4D58" w:rsidRPr="00E32C6C">
        <w:rPr>
          <w:rFonts w:eastAsia="Calibri"/>
          <w:sz w:val="26"/>
          <w:szCs w:val="26"/>
        </w:rPr>
        <w:t xml:space="preserve"> adopted the </w:t>
      </w:r>
      <w:r w:rsidR="002F5B24" w:rsidRPr="00E32C6C">
        <w:rPr>
          <w:rFonts w:eastAsia="Calibri"/>
          <w:sz w:val="26"/>
          <w:szCs w:val="26"/>
        </w:rPr>
        <w:t>ALJ</w:t>
      </w:r>
      <w:r w:rsidR="00AE4D58" w:rsidRPr="00E32C6C">
        <w:rPr>
          <w:rFonts w:eastAsia="Calibri"/>
          <w:sz w:val="26"/>
          <w:szCs w:val="26"/>
        </w:rPr>
        <w:t>’s finding</w:t>
      </w:r>
      <w:r w:rsidR="002F5B24" w:rsidRPr="00E32C6C">
        <w:rPr>
          <w:rFonts w:eastAsia="Calibri"/>
          <w:sz w:val="26"/>
          <w:szCs w:val="26"/>
        </w:rPr>
        <w:t xml:space="preserve"> that</w:t>
      </w:r>
      <w:r w:rsidR="00815839" w:rsidRPr="00E32C6C">
        <w:rPr>
          <w:rFonts w:eastAsia="Calibri"/>
          <w:sz w:val="26"/>
          <w:szCs w:val="26"/>
        </w:rPr>
        <w:t xml:space="preserve"> the Complainant had not established a </w:t>
      </w:r>
      <w:r w:rsidR="00815839" w:rsidRPr="00E32C6C">
        <w:rPr>
          <w:rFonts w:eastAsia="Calibri"/>
          <w:i/>
          <w:iCs/>
          <w:sz w:val="26"/>
          <w:szCs w:val="26"/>
        </w:rPr>
        <w:t>prima facie</w:t>
      </w:r>
      <w:r w:rsidR="00815839" w:rsidRPr="00E32C6C">
        <w:rPr>
          <w:rFonts w:eastAsia="Calibri"/>
          <w:sz w:val="26"/>
          <w:szCs w:val="26"/>
        </w:rPr>
        <w:t xml:space="preserve"> case to show </w:t>
      </w:r>
      <w:r w:rsidR="001852F0" w:rsidRPr="00E32C6C">
        <w:rPr>
          <w:rFonts w:eastAsia="Calibri"/>
          <w:sz w:val="26"/>
          <w:szCs w:val="26"/>
        </w:rPr>
        <w:t>that</w:t>
      </w:r>
      <w:r w:rsidR="00815839" w:rsidRPr="00E32C6C">
        <w:rPr>
          <w:rFonts w:eastAsia="Calibri"/>
          <w:sz w:val="26"/>
          <w:szCs w:val="26"/>
        </w:rPr>
        <w:t xml:space="preserve"> any RF exposure levels from the A</w:t>
      </w:r>
      <w:r w:rsidR="00B40AFB" w:rsidRPr="00E32C6C">
        <w:rPr>
          <w:rFonts w:eastAsia="Calibri"/>
          <w:sz w:val="26"/>
          <w:szCs w:val="26"/>
        </w:rPr>
        <w:t>M</w:t>
      </w:r>
      <w:r w:rsidR="00815839" w:rsidRPr="00E32C6C">
        <w:rPr>
          <w:rFonts w:eastAsia="Calibri"/>
          <w:sz w:val="26"/>
          <w:szCs w:val="26"/>
        </w:rPr>
        <w:t xml:space="preserve">I meter will cause him to experience adverse health effects.  </w:t>
      </w:r>
      <w:r w:rsidR="00CD0421" w:rsidRPr="00E32C6C">
        <w:rPr>
          <w:rFonts w:eastAsia="Calibri"/>
          <w:sz w:val="26"/>
          <w:szCs w:val="26"/>
        </w:rPr>
        <w:t>We agreed with the ALJ that</w:t>
      </w:r>
      <w:r w:rsidR="00815839" w:rsidRPr="00E32C6C">
        <w:rPr>
          <w:rFonts w:eastAsia="Calibri"/>
          <w:sz w:val="26"/>
          <w:szCs w:val="26"/>
        </w:rPr>
        <w:t xml:space="preserve"> the</w:t>
      </w:r>
      <w:r w:rsidR="00CD0421" w:rsidRPr="00E32C6C">
        <w:rPr>
          <w:rFonts w:eastAsia="Calibri"/>
          <w:sz w:val="26"/>
          <w:szCs w:val="26"/>
        </w:rPr>
        <w:t xml:space="preserve"> Complainant’s</w:t>
      </w:r>
      <w:r w:rsidR="00815839" w:rsidRPr="00E32C6C">
        <w:rPr>
          <w:rFonts w:eastAsia="Calibri"/>
          <w:sz w:val="26"/>
          <w:szCs w:val="26"/>
        </w:rPr>
        <w:t xml:space="preserve"> assertions </w:t>
      </w:r>
      <w:r w:rsidR="00CD0421" w:rsidRPr="00E32C6C">
        <w:rPr>
          <w:rFonts w:eastAsia="Calibri"/>
          <w:sz w:val="26"/>
          <w:szCs w:val="26"/>
        </w:rPr>
        <w:t xml:space="preserve">that </w:t>
      </w:r>
      <w:r w:rsidR="00815839" w:rsidRPr="00E32C6C">
        <w:rPr>
          <w:rFonts w:eastAsia="Calibri"/>
          <w:sz w:val="26"/>
          <w:szCs w:val="26"/>
        </w:rPr>
        <w:t xml:space="preserve">his health will deteriorate because of RF fields from the AMI meter are bald assertions, which do not constitute evidence.  </w:t>
      </w:r>
      <w:r w:rsidR="001852F0" w:rsidRPr="00E32C6C">
        <w:rPr>
          <w:rFonts w:eastAsia="Calibri"/>
          <w:sz w:val="26"/>
          <w:szCs w:val="26"/>
        </w:rPr>
        <w:t xml:space="preserve">The </w:t>
      </w:r>
      <w:r w:rsidR="00CD0421" w:rsidRPr="00E32C6C">
        <w:rPr>
          <w:rFonts w:eastAsia="Calibri"/>
          <w:i/>
          <w:iCs/>
          <w:sz w:val="26"/>
          <w:szCs w:val="26"/>
        </w:rPr>
        <w:t>May 2020 Order</w:t>
      </w:r>
      <w:r w:rsidR="00CD0421" w:rsidRPr="00E32C6C">
        <w:rPr>
          <w:rFonts w:eastAsia="Calibri"/>
          <w:sz w:val="26"/>
          <w:szCs w:val="26"/>
        </w:rPr>
        <w:t xml:space="preserve"> </w:t>
      </w:r>
      <w:r w:rsidR="001852F0" w:rsidRPr="00E32C6C">
        <w:rPr>
          <w:rFonts w:eastAsia="Calibri"/>
          <w:sz w:val="26"/>
          <w:szCs w:val="26"/>
        </w:rPr>
        <w:t xml:space="preserve">concluded that there is insufficient evidence to show that an AMI meter will cause the Complainant to suffer deleterious health effects.  </w:t>
      </w:r>
      <w:r w:rsidR="001B5749" w:rsidRPr="00E32C6C">
        <w:rPr>
          <w:rFonts w:eastAsia="Calibri"/>
          <w:i/>
          <w:iCs/>
          <w:sz w:val="26"/>
          <w:szCs w:val="26"/>
        </w:rPr>
        <w:t>May 2020 Order</w:t>
      </w:r>
      <w:r w:rsidR="001B5749" w:rsidRPr="00E32C6C">
        <w:rPr>
          <w:rFonts w:eastAsia="Calibri"/>
          <w:sz w:val="26"/>
          <w:szCs w:val="26"/>
        </w:rPr>
        <w:t xml:space="preserve"> at 13 (citing </w:t>
      </w:r>
      <w:r w:rsidR="00815839" w:rsidRPr="00E32C6C">
        <w:rPr>
          <w:rFonts w:eastAsia="Calibri"/>
          <w:sz w:val="26"/>
          <w:szCs w:val="26"/>
        </w:rPr>
        <w:t>I.D. at 22</w:t>
      </w:r>
      <w:r w:rsidR="001B5749" w:rsidRPr="00E32C6C">
        <w:rPr>
          <w:rFonts w:eastAsia="Calibri"/>
          <w:sz w:val="26"/>
          <w:szCs w:val="26"/>
        </w:rPr>
        <w:t>)</w:t>
      </w:r>
      <w:r w:rsidR="00815839" w:rsidRPr="00E32C6C">
        <w:rPr>
          <w:rFonts w:eastAsia="Calibri"/>
          <w:sz w:val="26"/>
          <w:szCs w:val="26"/>
        </w:rPr>
        <w:t xml:space="preserve">.  </w:t>
      </w:r>
      <w:r w:rsidR="004D6287" w:rsidRPr="00E32C6C">
        <w:rPr>
          <w:sz w:val="26"/>
          <w:szCs w:val="26"/>
        </w:rPr>
        <w:t xml:space="preserve">Thus, we </w:t>
      </w:r>
      <w:r w:rsidR="002F5B24" w:rsidRPr="00E32C6C">
        <w:rPr>
          <w:sz w:val="26"/>
          <w:szCs w:val="26"/>
        </w:rPr>
        <w:t xml:space="preserve">find </w:t>
      </w:r>
      <w:r w:rsidR="004D6287" w:rsidRPr="00E32C6C">
        <w:rPr>
          <w:sz w:val="26"/>
          <w:szCs w:val="26"/>
        </w:rPr>
        <w:t>that th</w:t>
      </w:r>
      <w:r w:rsidR="00CD0421" w:rsidRPr="00E32C6C">
        <w:rPr>
          <w:sz w:val="26"/>
          <w:szCs w:val="26"/>
        </w:rPr>
        <w:t>e Complainant’s</w:t>
      </w:r>
      <w:r w:rsidR="004D6287" w:rsidRPr="00E32C6C">
        <w:rPr>
          <w:sz w:val="26"/>
          <w:szCs w:val="26"/>
        </w:rPr>
        <w:t xml:space="preserve"> argument </w:t>
      </w:r>
      <w:r w:rsidR="00CD0421" w:rsidRPr="00E32C6C">
        <w:rPr>
          <w:sz w:val="26"/>
          <w:szCs w:val="26"/>
        </w:rPr>
        <w:t xml:space="preserve">in his Petition </w:t>
      </w:r>
      <w:r w:rsidR="004D6287" w:rsidRPr="00E32C6C">
        <w:rPr>
          <w:sz w:val="26"/>
          <w:szCs w:val="26"/>
        </w:rPr>
        <w:t>is a</w:t>
      </w:r>
      <w:r w:rsidR="00B5013D" w:rsidRPr="00E32C6C">
        <w:rPr>
          <w:sz w:val="26"/>
          <w:szCs w:val="26"/>
        </w:rPr>
        <w:t xml:space="preserve"> repeat </w:t>
      </w:r>
      <w:r w:rsidR="004D6287" w:rsidRPr="00E32C6C">
        <w:rPr>
          <w:sz w:val="26"/>
          <w:szCs w:val="26"/>
        </w:rPr>
        <w:t>of the Complainant’s</w:t>
      </w:r>
      <w:r w:rsidR="00B5013D" w:rsidRPr="00E32C6C">
        <w:rPr>
          <w:sz w:val="26"/>
          <w:szCs w:val="26"/>
        </w:rPr>
        <w:t xml:space="preserve"> health safety claims in his</w:t>
      </w:r>
      <w:r w:rsidR="004D6287" w:rsidRPr="00E32C6C">
        <w:rPr>
          <w:sz w:val="26"/>
          <w:szCs w:val="26"/>
        </w:rPr>
        <w:t xml:space="preserve"> </w:t>
      </w:r>
      <w:r w:rsidR="002F5B24" w:rsidRPr="00E32C6C">
        <w:rPr>
          <w:sz w:val="26"/>
          <w:szCs w:val="26"/>
        </w:rPr>
        <w:t>Amended Formal Complaint</w:t>
      </w:r>
      <w:r w:rsidR="004D6287" w:rsidRPr="00E32C6C">
        <w:rPr>
          <w:sz w:val="26"/>
          <w:szCs w:val="26"/>
        </w:rPr>
        <w:t xml:space="preserve">, and, therefore, does not demonstrate a new and novel argument or </w:t>
      </w:r>
      <w:r w:rsidR="004D6287" w:rsidRPr="00E32C6C">
        <w:rPr>
          <w:sz w:val="26"/>
          <w:szCs w:val="26"/>
        </w:rPr>
        <w:lastRenderedPageBreak/>
        <w:t xml:space="preserve">consideration that has not previously been heard or </w:t>
      </w:r>
      <w:r w:rsidR="001852F0" w:rsidRPr="00E32C6C">
        <w:rPr>
          <w:sz w:val="26"/>
          <w:szCs w:val="26"/>
        </w:rPr>
        <w:t xml:space="preserve">has been </w:t>
      </w:r>
      <w:r w:rsidR="004D6287" w:rsidRPr="00E32C6C">
        <w:rPr>
          <w:sz w:val="26"/>
          <w:szCs w:val="26"/>
        </w:rPr>
        <w:t>overlooked by the Commission.</w:t>
      </w:r>
      <w:r w:rsidR="001852F0" w:rsidRPr="00E32C6C">
        <w:rPr>
          <w:sz w:val="26"/>
          <w:szCs w:val="26"/>
        </w:rPr>
        <w:t xml:space="preserve">  </w:t>
      </w:r>
    </w:p>
    <w:p w14:paraId="084F0624" w14:textId="5AAB3851" w:rsidR="00593025" w:rsidRPr="00E32C6C" w:rsidRDefault="00593025" w:rsidP="00E32C6C">
      <w:pPr>
        <w:widowControl/>
        <w:spacing w:line="360" w:lineRule="auto"/>
        <w:ind w:firstLine="1440"/>
        <w:rPr>
          <w:rFonts w:eastAsia="Calibri"/>
          <w:sz w:val="26"/>
          <w:szCs w:val="26"/>
        </w:rPr>
      </w:pPr>
    </w:p>
    <w:p w14:paraId="759C5FD4" w14:textId="262B17D3" w:rsidR="00593025" w:rsidRDefault="00593025" w:rsidP="00EF5835">
      <w:pPr>
        <w:widowControl/>
        <w:spacing w:line="360" w:lineRule="auto"/>
        <w:ind w:firstLine="1440"/>
        <w:rPr>
          <w:sz w:val="26"/>
          <w:szCs w:val="26"/>
        </w:rPr>
      </w:pPr>
      <w:r w:rsidRPr="00E32C6C">
        <w:rPr>
          <w:sz w:val="26"/>
          <w:szCs w:val="26"/>
        </w:rPr>
        <w:t xml:space="preserve">Accordingly, for all of the above-mentioned reasons, we shall decline to exercise our discretion to disturb the </w:t>
      </w:r>
      <w:r w:rsidRPr="00E32C6C">
        <w:rPr>
          <w:i/>
          <w:iCs/>
          <w:sz w:val="26"/>
          <w:szCs w:val="26"/>
        </w:rPr>
        <w:t>May 2020 Order</w:t>
      </w:r>
      <w:r w:rsidRPr="00E32C6C">
        <w:rPr>
          <w:sz w:val="26"/>
          <w:szCs w:val="26"/>
        </w:rPr>
        <w:t xml:space="preserve">.  </w:t>
      </w:r>
    </w:p>
    <w:p w14:paraId="5E3DAF7B" w14:textId="77777777" w:rsidR="00EF5835" w:rsidRPr="00E32C6C" w:rsidRDefault="00EF5835" w:rsidP="00EF5835">
      <w:pPr>
        <w:widowControl/>
        <w:spacing w:line="360" w:lineRule="auto"/>
        <w:ind w:firstLine="1440"/>
        <w:rPr>
          <w:rFonts w:eastAsia="Calibri"/>
          <w:sz w:val="26"/>
          <w:szCs w:val="26"/>
        </w:rPr>
      </w:pPr>
    </w:p>
    <w:p w14:paraId="75796CD1" w14:textId="563FC886" w:rsidR="00494B81" w:rsidRPr="00E32C6C" w:rsidRDefault="00494B81" w:rsidP="00EF5835">
      <w:pPr>
        <w:pStyle w:val="ListParagraph"/>
        <w:keepNext/>
        <w:keepLines/>
        <w:widowControl/>
        <w:spacing w:line="360" w:lineRule="auto"/>
        <w:rPr>
          <w:rFonts w:eastAsia="Calibri"/>
          <w:b/>
          <w:sz w:val="26"/>
          <w:szCs w:val="26"/>
        </w:rPr>
      </w:pPr>
      <w:r w:rsidRPr="00E32C6C">
        <w:rPr>
          <w:rFonts w:eastAsia="Calibri"/>
          <w:b/>
          <w:sz w:val="26"/>
          <w:szCs w:val="26"/>
        </w:rPr>
        <w:t>2.</w:t>
      </w:r>
      <w:r w:rsidRPr="00E32C6C">
        <w:rPr>
          <w:rFonts w:eastAsia="Calibri"/>
          <w:b/>
          <w:sz w:val="26"/>
          <w:szCs w:val="26"/>
        </w:rPr>
        <w:tab/>
      </w:r>
      <w:r w:rsidR="00627BCE" w:rsidRPr="00E32C6C">
        <w:rPr>
          <w:rFonts w:eastAsia="Calibri"/>
          <w:b/>
          <w:sz w:val="26"/>
          <w:szCs w:val="26"/>
        </w:rPr>
        <w:t xml:space="preserve">Complainant’s Exhibits Offered at the Hearing </w:t>
      </w:r>
    </w:p>
    <w:p w14:paraId="67FCA08F" w14:textId="77777777" w:rsidR="00627BCE" w:rsidRPr="00E32C6C" w:rsidRDefault="00627BCE" w:rsidP="00EF5835">
      <w:pPr>
        <w:pStyle w:val="ListParagraph"/>
        <w:keepNext/>
        <w:keepLines/>
        <w:widowControl/>
        <w:spacing w:line="360" w:lineRule="auto"/>
        <w:rPr>
          <w:rFonts w:eastAsia="Calibri"/>
          <w:sz w:val="26"/>
          <w:szCs w:val="26"/>
        </w:rPr>
      </w:pPr>
    </w:p>
    <w:p w14:paraId="4E5079F9" w14:textId="77777777" w:rsidR="00494B81" w:rsidRPr="00E32C6C" w:rsidRDefault="00494B81" w:rsidP="00EF5835">
      <w:pPr>
        <w:keepNext/>
        <w:keepLines/>
        <w:widowControl/>
        <w:spacing w:line="360" w:lineRule="auto"/>
        <w:contextualSpacing/>
        <w:rPr>
          <w:rFonts w:eastAsia="Calibri"/>
          <w:b/>
          <w:sz w:val="26"/>
          <w:szCs w:val="26"/>
        </w:rPr>
      </w:pPr>
      <w:r w:rsidRPr="00E32C6C">
        <w:rPr>
          <w:rFonts w:eastAsia="Calibri"/>
          <w:b/>
          <w:sz w:val="26"/>
          <w:szCs w:val="26"/>
        </w:rPr>
        <w:tab/>
      </w:r>
      <w:r w:rsidRPr="00E32C6C">
        <w:rPr>
          <w:rFonts w:eastAsia="Calibri"/>
          <w:b/>
          <w:sz w:val="26"/>
          <w:szCs w:val="26"/>
        </w:rPr>
        <w:tab/>
        <w:t>a.</w:t>
      </w:r>
      <w:r w:rsidRPr="00E32C6C">
        <w:rPr>
          <w:rFonts w:eastAsia="Calibri"/>
          <w:b/>
          <w:sz w:val="26"/>
          <w:szCs w:val="26"/>
        </w:rPr>
        <w:tab/>
        <w:t>The Petition</w:t>
      </w:r>
    </w:p>
    <w:p w14:paraId="00641C9A" w14:textId="77777777" w:rsidR="00494B81" w:rsidRPr="00E32C6C" w:rsidRDefault="00494B81" w:rsidP="00EF5835">
      <w:pPr>
        <w:keepNext/>
        <w:keepLines/>
        <w:widowControl/>
        <w:spacing w:line="360" w:lineRule="auto"/>
        <w:contextualSpacing/>
        <w:rPr>
          <w:rFonts w:eastAsia="Calibri"/>
          <w:sz w:val="26"/>
          <w:szCs w:val="26"/>
        </w:rPr>
      </w:pPr>
    </w:p>
    <w:p w14:paraId="1BA9FCF1" w14:textId="10D82FE2" w:rsidR="00494B81" w:rsidRPr="00E32C6C" w:rsidRDefault="00494B81" w:rsidP="00EF5835">
      <w:pPr>
        <w:widowControl/>
        <w:spacing w:line="360" w:lineRule="auto"/>
        <w:contextualSpacing/>
        <w:rPr>
          <w:rFonts w:eastAsia="Calibri"/>
          <w:sz w:val="26"/>
          <w:szCs w:val="26"/>
        </w:rPr>
      </w:pPr>
      <w:r w:rsidRPr="00E32C6C">
        <w:rPr>
          <w:rFonts w:eastAsia="Calibri"/>
          <w:sz w:val="26"/>
          <w:szCs w:val="26"/>
        </w:rPr>
        <w:tab/>
      </w:r>
      <w:r w:rsidRPr="00E32C6C">
        <w:rPr>
          <w:rFonts w:eastAsia="Calibri"/>
          <w:sz w:val="26"/>
          <w:szCs w:val="26"/>
        </w:rPr>
        <w:tab/>
        <w:t>In h</w:t>
      </w:r>
      <w:r w:rsidR="007C104D" w:rsidRPr="00E32C6C">
        <w:rPr>
          <w:rFonts w:eastAsia="Calibri"/>
          <w:sz w:val="26"/>
          <w:szCs w:val="26"/>
        </w:rPr>
        <w:t>is</w:t>
      </w:r>
      <w:r w:rsidRPr="00E32C6C">
        <w:rPr>
          <w:rFonts w:eastAsia="Calibri"/>
          <w:sz w:val="26"/>
          <w:szCs w:val="26"/>
        </w:rPr>
        <w:t xml:space="preserve"> Petition, the Complainant </w:t>
      </w:r>
      <w:r w:rsidR="007C104D" w:rsidRPr="00E32C6C">
        <w:rPr>
          <w:rFonts w:eastAsia="Calibri"/>
          <w:sz w:val="26"/>
          <w:szCs w:val="26"/>
        </w:rPr>
        <w:t>reiterates his argument from his Exceptions that the documents he brought to the hearing should have been admitted into the record.  Petition at 2-3.</w:t>
      </w:r>
    </w:p>
    <w:p w14:paraId="6359577B" w14:textId="77777777" w:rsidR="00494B81" w:rsidRPr="00E32C6C" w:rsidRDefault="00494B81" w:rsidP="00E32C6C">
      <w:pPr>
        <w:widowControl/>
        <w:spacing w:line="360" w:lineRule="auto"/>
        <w:rPr>
          <w:rFonts w:eastAsia="Calibri"/>
          <w:sz w:val="26"/>
          <w:szCs w:val="26"/>
        </w:rPr>
      </w:pPr>
    </w:p>
    <w:p w14:paraId="757DFF2B" w14:textId="417C085E" w:rsidR="00494B81" w:rsidRPr="00E32C6C" w:rsidRDefault="00494B81" w:rsidP="00E32C6C">
      <w:pPr>
        <w:keepNext/>
        <w:keepLines/>
        <w:widowControl/>
        <w:spacing w:line="360" w:lineRule="auto"/>
        <w:rPr>
          <w:rFonts w:eastAsia="Calibri"/>
          <w:b/>
          <w:sz w:val="26"/>
          <w:szCs w:val="26"/>
        </w:rPr>
      </w:pPr>
      <w:r w:rsidRPr="00E32C6C">
        <w:rPr>
          <w:rFonts w:eastAsia="Calibri"/>
          <w:b/>
          <w:sz w:val="26"/>
          <w:szCs w:val="26"/>
        </w:rPr>
        <w:tab/>
      </w:r>
      <w:r w:rsidRPr="00E32C6C">
        <w:rPr>
          <w:rFonts w:eastAsia="Calibri"/>
          <w:b/>
          <w:sz w:val="26"/>
          <w:szCs w:val="26"/>
        </w:rPr>
        <w:tab/>
        <w:t>b.</w:t>
      </w:r>
      <w:r w:rsidRPr="00E32C6C">
        <w:rPr>
          <w:rFonts w:eastAsia="Calibri"/>
          <w:b/>
          <w:sz w:val="26"/>
          <w:szCs w:val="26"/>
        </w:rPr>
        <w:tab/>
        <w:t>P</w:t>
      </w:r>
      <w:r w:rsidR="003A62C4" w:rsidRPr="00E32C6C">
        <w:rPr>
          <w:rFonts w:eastAsia="Calibri"/>
          <w:b/>
          <w:sz w:val="26"/>
          <w:szCs w:val="26"/>
        </w:rPr>
        <w:t>PL’s</w:t>
      </w:r>
      <w:r w:rsidRPr="00E32C6C">
        <w:rPr>
          <w:rFonts w:eastAsia="Calibri"/>
          <w:b/>
          <w:sz w:val="26"/>
          <w:szCs w:val="26"/>
        </w:rPr>
        <w:t xml:space="preserve"> Answer</w:t>
      </w:r>
    </w:p>
    <w:p w14:paraId="7DB30DA0" w14:textId="77777777" w:rsidR="00494B81" w:rsidRPr="00E32C6C" w:rsidRDefault="00494B81" w:rsidP="00E32C6C">
      <w:pPr>
        <w:keepNext/>
        <w:keepLines/>
        <w:widowControl/>
        <w:spacing w:line="360" w:lineRule="auto"/>
        <w:rPr>
          <w:rFonts w:eastAsia="Calibri"/>
          <w:sz w:val="26"/>
          <w:szCs w:val="26"/>
        </w:rPr>
      </w:pPr>
    </w:p>
    <w:p w14:paraId="5D6F40F9" w14:textId="212D5B6F" w:rsidR="00494B81" w:rsidRPr="00E32C6C" w:rsidRDefault="00494B81" w:rsidP="00E32C6C">
      <w:pPr>
        <w:widowControl/>
        <w:spacing w:line="360" w:lineRule="auto"/>
        <w:rPr>
          <w:rFonts w:eastAsia="Calibri"/>
          <w:sz w:val="26"/>
          <w:szCs w:val="26"/>
        </w:rPr>
      </w:pPr>
      <w:r w:rsidRPr="00E32C6C">
        <w:rPr>
          <w:rFonts w:eastAsia="Calibri"/>
          <w:sz w:val="26"/>
          <w:szCs w:val="26"/>
        </w:rPr>
        <w:tab/>
      </w:r>
      <w:r w:rsidRPr="00E32C6C">
        <w:rPr>
          <w:rFonts w:eastAsia="Calibri"/>
          <w:sz w:val="26"/>
          <w:szCs w:val="26"/>
        </w:rPr>
        <w:tab/>
        <w:t>In its Answer, P</w:t>
      </w:r>
      <w:r w:rsidR="00196A35" w:rsidRPr="00E32C6C">
        <w:rPr>
          <w:rFonts w:eastAsia="Calibri"/>
          <w:sz w:val="26"/>
          <w:szCs w:val="26"/>
        </w:rPr>
        <w:t xml:space="preserve">PL </w:t>
      </w:r>
      <w:r w:rsidRPr="00E32C6C">
        <w:rPr>
          <w:rFonts w:eastAsia="Calibri"/>
          <w:sz w:val="26"/>
          <w:szCs w:val="26"/>
        </w:rPr>
        <w:t xml:space="preserve">responds that </w:t>
      </w:r>
      <w:r w:rsidR="007C104D" w:rsidRPr="00E32C6C">
        <w:rPr>
          <w:rFonts w:eastAsia="Calibri"/>
          <w:sz w:val="26"/>
          <w:szCs w:val="26"/>
        </w:rPr>
        <w:t xml:space="preserve">the Commission held in </w:t>
      </w:r>
      <w:r w:rsidRPr="00E32C6C">
        <w:rPr>
          <w:rFonts w:eastAsia="Calibri"/>
          <w:sz w:val="26"/>
          <w:szCs w:val="26"/>
        </w:rPr>
        <w:t xml:space="preserve">the </w:t>
      </w:r>
      <w:r w:rsidR="00196A35" w:rsidRPr="00E32C6C">
        <w:rPr>
          <w:rFonts w:eastAsia="Calibri"/>
          <w:i/>
          <w:iCs/>
          <w:sz w:val="26"/>
          <w:szCs w:val="26"/>
        </w:rPr>
        <w:t>May 2020</w:t>
      </w:r>
      <w:r w:rsidRPr="00E32C6C">
        <w:rPr>
          <w:rFonts w:eastAsia="Calibri"/>
          <w:i/>
          <w:sz w:val="26"/>
          <w:szCs w:val="26"/>
        </w:rPr>
        <w:t xml:space="preserve"> Order</w:t>
      </w:r>
      <w:r w:rsidRPr="00E32C6C">
        <w:rPr>
          <w:rFonts w:eastAsia="Calibri"/>
          <w:sz w:val="26"/>
          <w:szCs w:val="26"/>
        </w:rPr>
        <w:t xml:space="preserve"> </w:t>
      </w:r>
      <w:r w:rsidR="007C104D" w:rsidRPr="00E32C6C">
        <w:rPr>
          <w:rFonts w:eastAsia="Calibri"/>
          <w:sz w:val="26"/>
          <w:szCs w:val="26"/>
        </w:rPr>
        <w:t xml:space="preserve">that the ALJ properly sustained PPL’s objections to the Complainant’s exhibits because: </w:t>
      </w:r>
      <w:r w:rsidR="00A45557" w:rsidRPr="00E32C6C">
        <w:rPr>
          <w:rFonts w:eastAsia="Calibri"/>
          <w:sz w:val="26"/>
          <w:szCs w:val="26"/>
        </w:rPr>
        <w:t xml:space="preserve"> </w:t>
      </w:r>
      <w:r w:rsidR="007C104D" w:rsidRPr="00E32C6C">
        <w:rPr>
          <w:rFonts w:eastAsia="Calibri"/>
          <w:sz w:val="26"/>
          <w:szCs w:val="26"/>
        </w:rPr>
        <w:t xml:space="preserve">(1) </w:t>
      </w:r>
      <w:r w:rsidR="006540DC" w:rsidRPr="00E32C6C">
        <w:rPr>
          <w:rFonts w:eastAsia="Calibri"/>
          <w:sz w:val="26"/>
          <w:szCs w:val="26"/>
        </w:rPr>
        <w:t>the Complainant failed to serve those exhibits on the Company before the evidentiary hearing, as required by the Second Prehearing Order</w:t>
      </w:r>
      <w:r w:rsidR="008E5883" w:rsidRPr="00E32C6C">
        <w:rPr>
          <w:rFonts w:eastAsia="Calibri"/>
          <w:sz w:val="26"/>
          <w:szCs w:val="26"/>
        </w:rPr>
        <w:t>;</w:t>
      </w:r>
      <w:r w:rsidR="006540DC" w:rsidRPr="00E32C6C">
        <w:rPr>
          <w:rFonts w:eastAsia="Calibri"/>
          <w:sz w:val="26"/>
          <w:szCs w:val="26"/>
        </w:rPr>
        <w:t xml:space="preserve"> (2) the Complainant’s exhibits were hearsay documents that did not fall within a recognized exception to the hearsay rule; and (3) even if those exhibits were admitted they would not have constituted substantial evidence to support a finding of fact.  Answer at 6-7 (citing </w:t>
      </w:r>
      <w:r w:rsidR="006540DC" w:rsidRPr="00E32C6C">
        <w:rPr>
          <w:rFonts w:eastAsia="Calibri"/>
          <w:i/>
          <w:iCs/>
          <w:sz w:val="26"/>
          <w:szCs w:val="26"/>
        </w:rPr>
        <w:t>May 2020 Order</w:t>
      </w:r>
      <w:r w:rsidR="006540DC" w:rsidRPr="00E32C6C">
        <w:rPr>
          <w:rFonts w:eastAsia="Calibri"/>
          <w:sz w:val="26"/>
          <w:szCs w:val="26"/>
        </w:rPr>
        <w:t xml:space="preserve"> at 16-17).  </w:t>
      </w:r>
    </w:p>
    <w:p w14:paraId="714F1582" w14:textId="77777777" w:rsidR="00B40AFB" w:rsidRPr="00E32C6C" w:rsidRDefault="00B40AFB" w:rsidP="00E32C6C">
      <w:pPr>
        <w:widowControl/>
        <w:spacing w:line="360" w:lineRule="auto"/>
        <w:rPr>
          <w:rFonts w:eastAsia="Calibri"/>
          <w:sz w:val="26"/>
          <w:szCs w:val="26"/>
        </w:rPr>
      </w:pPr>
    </w:p>
    <w:p w14:paraId="58DE8427" w14:textId="77777777" w:rsidR="00494B81" w:rsidRPr="00E32C6C" w:rsidRDefault="00494B81" w:rsidP="00E32C6C">
      <w:pPr>
        <w:keepNext/>
        <w:keepLines/>
        <w:widowControl/>
        <w:spacing w:line="360" w:lineRule="auto"/>
        <w:rPr>
          <w:rFonts w:eastAsia="Calibri"/>
          <w:b/>
          <w:sz w:val="26"/>
          <w:szCs w:val="26"/>
        </w:rPr>
      </w:pPr>
      <w:r w:rsidRPr="00E32C6C">
        <w:rPr>
          <w:rFonts w:eastAsia="Calibri"/>
          <w:b/>
          <w:sz w:val="26"/>
          <w:szCs w:val="26"/>
        </w:rPr>
        <w:tab/>
      </w:r>
      <w:r w:rsidRPr="00E32C6C">
        <w:rPr>
          <w:rFonts w:eastAsia="Calibri"/>
          <w:b/>
          <w:sz w:val="26"/>
          <w:szCs w:val="26"/>
        </w:rPr>
        <w:tab/>
        <w:t>c.</w:t>
      </w:r>
      <w:r w:rsidRPr="00E32C6C">
        <w:rPr>
          <w:rFonts w:eastAsia="Calibri"/>
          <w:b/>
          <w:sz w:val="26"/>
          <w:szCs w:val="26"/>
        </w:rPr>
        <w:tab/>
        <w:t>Disposition</w:t>
      </w:r>
    </w:p>
    <w:p w14:paraId="6B80B2F8" w14:textId="77777777" w:rsidR="00494B81" w:rsidRPr="00E32C6C" w:rsidRDefault="00494B81" w:rsidP="00E32C6C">
      <w:pPr>
        <w:keepNext/>
        <w:keepLines/>
        <w:widowControl/>
        <w:tabs>
          <w:tab w:val="left" w:pos="-720"/>
        </w:tabs>
        <w:spacing w:line="360" w:lineRule="auto"/>
        <w:ind w:firstLine="1440"/>
        <w:rPr>
          <w:sz w:val="26"/>
          <w:szCs w:val="26"/>
        </w:rPr>
      </w:pPr>
    </w:p>
    <w:p w14:paraId="435EB606" w14:textId="448A3FA8" w:rsidR="00494B81" w:rsidRPr="00E32C6C" w:rsidRDefault="00CD0421" w:rsidP="00E32C6C">
      <w:pPr>
        <w:widowControl/>
        <w:tabs>
          <w:tab w:val="left" w:pos="-720"/>
        </w:tabs>
        <w:suppressAutoHyphens/>
        <w:spacing w:line="360" w:lineRule="auto"/>
        <w:ind w:firstLine="1440"/>
        <w:rPr>
          <w:sz w:val="26"/>
          <w:szCs w:val="26"/>
        </w:rPr>
      </w:pPr>
      <w:r w:rsidRPr="00E32C6C">
        <w:rPr>
          <w:sz w:val="26"/>
          <w:szCs w:val="26"/>
        </w:rPr>
        <w:t xml:space="preserve">In the </w:t>
      </w:r>
      <w:r w:rsidRPr="00E32C6C">
        <w:rPr>
          <w:i/>
          <w:iCs/>
          <w:sz w:val="26"/>
          <w:szCs w:val="26"/>
        </w:rPr>
        <w:t>May 2020 Order</w:t>
      </w:r>
      <w:r w:rsidRPr="00E32C6C">
        <w:rPr>
          <w:sz w:val="26"/>
          <w:szCs w:val="26"/>
        </w:rPr>
        <w:t>, w</w:t>
      </w:r>
      <w:r w:rsidR="00494B81" w:rsidRPr="00E32C6C">
        <w:rPr>
          <w:sz w:val="26"/>
          <w:szCs w:val="26"/>
        </w:rPr>
        <w:t>e conclude</w:t>
      </w:r>
      <w:r w:rsidRPr="00E32C6C">
        <w:rPr>
          <w:sz w:val="26"/>
          <w:szCs w:val="26"/>
        </w:rPr>
        <w:t>d</w:t>
      </w:r>
      <w:r w:rsidR="00494B81" w:rsidRPr="00E32C6C">
        <w:rPr>
          <w:sz w:val="26"/>
          <w:szCs w:val="26"/>
        </w:rPr>
        <w:t xml:space="preserve"> that </w:t>
      </w:r>
      <w:r w:rsidR="006540DC" w:rsidRPr="00E32C6C">
        <w:rPr>
          <w:sz w:val="26"/>
          <w:szCs w:val="26"/>
        </w:rPr>
        <w:t xml:space="preserve">the ALJ did not err in sustaining PPL’s objections to the Complainant’s exhibits presented at the hearing.  </w:t>
      </w:r>
      <w:r w:rsidRPr="00E32C6C">
        <w:rPr>
          <w:sz w:val="26"/>
          <w:szCs w:val="26"/>
        </w:rPr>
        <w:t xml:space="preserve">This argument </w:t>
      </w:r>
      <w:r w:rsidRPr="00E32C6C">
        <w:rPr>
          <w:sz w:val="26"/>
          <w:szCs w:val="26"/>
        </w:rPr>
        <w:lastRenderedPageBreak/>
        <w:t xml:space="preserve">is a reiteration of the same argument the </w:t>
      </w:r>
      <w:r w:rsidR="006540DC" w:rsidRPr="00E32C6C">
        <w:rPr>
          <w:sz w:val="26"/>
          <w:szCs w:val="26"/>
        </w:rPr>
        <w:t>Complainant presented in his Exceptions No.</w:t>
      </w:r>
      <w:r w:rsidR="00E32C6C">
        <w:rPr>
          <w:sz w:val="26"/>
          <w:szCs w:val="26"/>
        </w:rPr>
        <w:t> </w:t>
      </w:r>
      <w:r w:rsidR="006540DC" w:rsidRPr="00E32C6C">
        <w:rPr>
          <w:sz w:val="26"/>
          <w:szCs w:val="26"/>
        </w:rPr>
        <w:t>1</w:t>
      </w:r>
      <w:r w:rsidR="00E32C6C">
        <w:rPr>
          <w:sz w:val="26"/>
          <w:szCs w:val="26"/>
        </w:rPr>
        <w:noBreakHyphen/>
      </w:r>
      <w:r w:rsidR="006540DC" w:rsidRPr="00E32C6C">
        <w:rPr>
          <w:sz w:val="26"/>
          <w:szCs w:val="26"/>
        </w:rPr>
        <w:t xml:space="preserve">4.  </w:t>
      </w:r>
      <w:r w:rsidRPr="00E32C6C">
        <w:rPr>
          <w:sz w:val="26"/>
          <w:szCs w:val="26"/>
        </w:rPr>
        <w:t xml:space="preserve">We agree with PPL’s summary of our decision in the </w:t>
      </w:r>
      <w:r w:rsidRPr="00E32C6C">
        <w:rPr>
          <w:i/>
          <w:iCs/>
          <w:sz w:val="26"/>
          <w:szCs w:val="26"/>
        </w:rPr>
        <w:t>May 2020 Order</w:t>
      </w:r>
      <w:r w:rsidRPr="00E32C6C">
        <w:rPr>
          <w:sz w:val="26"/>
          <w:szCs w:val="26"/>
        </w:rPr>
        <w:t xml:space="preserve"> regarding these documents.  PPL Answer at 6-7 (citing </w:t>
      </w:r>
      <w:r w:rsidRPr="00E32C6C">
        <w:rPr>
          <w:i/>
          <w:iCs/>
          <w:sz w:val="26"/>
          <w:szCs w:val="26"/>
        </w:rPr>
        <w:t>May 2020 Order</w:t>
      </w:r>
      <w:r w:rsidRPr="00E32C6C">
        <w:rPr>
          <w:sz w:val="26"/>
          <w:szCs w:val="26"/>
        </w:rPr>
        <w:t xml:space="preserve"> at 16-17).</w:t>
      </w:r>
      <w:r w:rsidR="000B1E87" w:rsidRPr="00E32C6C">
        <w:rPr>
          <w:sz w:val="26"/>
          <w:szCs w:val="26"/>
        </w:rPr>
        <w:t xml:space="preserve">  </w:t>
      </w:r>
      <w:r w:rsidR="00494B81" w:rsidRPr="00E32C6C">
        <w:rPr>
          <w:sz w:val="26"/>
          <w:szCs w:val="26"/>
        </w:rPr>
        <w:t xml:space="preserve">Thus, </w:t>
      </w:r>
      <w:r w:rsidRPr="00E32C6C">
        <w:rPr>
          <w:sz w:val="26"/>
          <w:szCs w:val="26"/>
        </w:rPr>
        <w:t xml:space="preserve">in our opinion, </w:t>
      </w:r>
      <w:r w:rsidR="00494B81" w:rsidRPr="00E32C6C">
        <w:rPr>
          <w:sz w:val="26"/>
          <w:szCs w:val="26"/>
        </w:rPr>
        <w:t xml:space="preserve">the </w:t>
      </w:r>
      <w:r w:rsidR="001946F9" w:rsidRPr="00E32C6C">
        <w:rPr>
          <w:sz w:val="26"/>
          <w:szCs w:val="26"/>
        </w:rPr>
        <w:t xml:space="preserve">Complainant’s </w:t>
      </w:r>
      <w:r w:rsidRPr="00E32C6C">
        <w:rPr>
          <w:sz w:val="26"/>
          <w:szCs w:val="26"/>
        </w:rPr>
        <w:t>argument</w:t>
      </w:r>
      <w:r w:rsidR="00B5013D" w:rsidRPr="00E32C6C">
        <w:rPr>
          <w:sz w:val="26"/>
          <w:szCs w:val="26"/>
        </w:rPr>
        <w:t xml:space="preserve"> does not meet the </w:t>
      </w:r>
      <w:r w:rsidR="00B5013D" w:rsidRPr="00E32C6C">
        <w:rPr>
          <w:i/>
          <w:iCs/>
          <w:sz w:val="26"/>
          <w:szCs w:val="26"/>
        </w:rPr>
        <w:t>Duick</w:t>
      </w:r>
      <w:r w:rsidR="00B5013D" w:rsidRPr="00E32C6C">
        <w:rPr>
          <w:sz w:val="26"/>
          <w:szCs w:val="26"/>
        </w:rPr>
        <w:t xml:space="preserve"> standards.  Specifically, his argument</w:t>
      </w:r>
      <w:r w:rsidRPr="00E32C6C">
        <w:rPr>
          <w:sz w:val="26"/>
          <w:szCs w:val="26"/>
        </w:rPr>
        <w:t xml:space="preserve"> in his Petition</w:t>
      </w:r>
      <w:r w:rsidR="001946F9" w:rsidRPr="00E32C6C">
        <w:rPr>
          <w:sz w:val="26"/>
          <w:szCs w:val="26"/>
        </w:rPr>
        <w:t xml:space="preserve"> that </w:t>
      </w:r>
      <w:r w:rsidRPr="00E32C6C">
        <w:rPr>
          <w:sz w:val="26"/>
          <w:szCs w:val="26"/>
        </w:rPr>
        <w:t xml:space="preserve">the ALJ’s decision to not admit </w:t>
      </w:r>
      <w:r w:rsidR="001946F9" w:rsidRPr="00E32C6C">
        <w:rPr>
          <w:sz w:val="26"/>
          <w:szCs w:val="26"/>
        </w:rPr>
        <w:t xml:space="preserve">the documents he brought to the hearing </w:t>
      </w:r>
      <w:r w:rsidRPr="00E32C6C">
        <w:rPr>
          <w:sz w:val="26"/>
          <w:szCs w:val="26"/>
        </w:rPr>
        <w:t xml:space="preserve">constituted an err of law </w:t>
      </w:r>
      <w:r w:rsidR="00494B81" w:rsidRPr="00E32C6C">
        <w:rPr>
          <w:sz w:val="26"/>
          <w:szCs w:val="26"/>
        </w:rPr>
        <w:t>is not a new or novel consideration</w:t>
      </w:r>
      <w:r w:rsidR="003854A6" w:rsidRPr="00E32C6C">
        <w:rPr>
          <w:sz w:val="26"/>
          <w:szCs w:val="26"/>
        </w:rPr>
        <w:t>.  Thus, we shall decline to</w:t>
      </w:r>
      <w:r w:rsidR="00494B81" w:rsidRPr="00E32C6C">
        <w:rPr>
          <w:sz w:val="26"/>
          <w:szCs w:val="26"/>
        </w:rPr>
        <w:t xml:space="preserve"> reconsider our </w:t>
      </w:r>
      <w:r w:rsidR="006540DC" w:rsidRPr="00E32C6C">
        <w:rPr>
          <w:i/>
          <w:iCs/>
          <w:sz w:val="26"/>
          <w:szCs w:val="26"/>
        </w:rPr>
        <w:t>May 2020</w:t>
      </w:r>
      <w:r w:rsidR="00494B81" w:rsidRPr="00E32C6C">
        <w:rPr>
          <w:i/>
          <w:sz w:val="26"/>
          <w:szCs w:val="26"/>
        </w:rPr>
        <w:t xml:space="preserve"> Order</w:t>
      </w:r>
      <w:r w:rsidR="003854A6" w:rsidRPr="00E32C6C">
        <w:rPr>
          <w:sz w:val="26"/>
          <w:szCs w:val="26"/>
        </w:rPr>
        <w:t xml:space="preserve"> on this basis</w:t>
      </w:r>
      <w:r w:rsidR="00494B81" w:rsidRPr="00E32C6C">
        <w:rPr>
          <w:sz w:val="26"/>
          <w:szCs w:val="26"/>
        </w:rPr>
        <w:t>.</w:t>
      </w:r>
      <w:r w:rsidR="003854A6" w:rsidRPr="00E32C6C">
        <w:rPr>
          <w:sz w:val="26"/>
          <w:szCs w:val="26"/>
        </w:rPr>
        <w:t xml:space="preserve">  </w:t>
      </w:r>
    </w:p>
    <w:p w14:paraId="2379ED9B" w14:textId="77777777" w:rsidR="00494B81" w:rsidRPr="00E32C6C" w:rsidRDefault="00494B81" w:rsidP="00E32C6C">
      <w:pPr>
        <w:widowControl/>
        <w:spacing w:line="360" w:lineRule="auto"/>
        <w:rPr>
          <w:rFonts w:eastAsia="Calibri"/>
          <w:sz w:val="26"/>
          <w:szCs w:val="26"/>
        </w:rPr>
      </w:pPr>
    </w:p>
    <w:p w14:paraId="179D1C97" w14:textId="59F23776" w:rsidR="00494B81" w:rsidRPr="00E32C6C" w:rsidRDefault="00494B81" w:rsidP="00E32C6C">
      <w:pPr>
        <w:keepNext/>
        <w:keepLines/>
        <w:widowControl/>
        <w:spacing w:line="360" w:lineRule="auto"/>
        <w:ind w:left="720"/>
        <w:rPr>
          <w:rFonts w:eastAsia="Calibri"/>
          <w:b/>
          <w:sz w:val="26"/>
          <w:szCs w:val="26"/>
        </w:rPr>
      </w:pPr>
      <w:r w:rsidRPr="00E32C6C">
        <w:rPr>
          <w:rFonts w:eastAsia="Calibri"/>
          <w:b/>
          <w:sz w:val="26"/>
          <w:szCs w:val="26"/>
        </w:rPr>
        <w:t>3.</w:t>
      </w:r>
      <w:r w:rsidRPr="00E32C6C">
        <w:rPr>
          <w:rFonts w:eastAsia="Calibri"/>
          <w:b/>
          <w:sz w:val="26"/>
          <w:szCs w:val="26"/>
        </w:rPr>
        <w:tab/>
      </w:r>
      <w:r w:rsidR="00627BCE" w:rsidRPr="00E32C6C">
        <w:rPr>
          <w:rFonts w:eastAsia="Calibri"/>
          <w:b/>
          <w:sz w:val="26"/>
          <w:szCs w:val="26"/>
        </w:rPr>
        <w:t>Data Privacy</w:t>
      </w:r>
    </w:p>
    <w:p w14:paraId="015E9910" w14:textId="77777777" w:rsidR="00494B81" w:rsidRPr="00E32C6C" w:rsidRDefault="00494B81" w:rsidP="00E32C6C">
      <w:pPr>
        <w:keepNext/>
        <w:keepLines/>
        <w:widowControl/>
        <w:spacing w:line="360" w:lineRule="auto"/>
        <w:rPr>
          <w:rFonts w:eastAsia="Calibri"/>
          <w:sz w:val="26"/>
          <w:szCs w:val="26"/>
        </w:rPr>
      </w:pPr>
    </w:p>
    <w:p w14:paraId="2522A3E0" w14:textId="77777777" w:rsidR="00494B81" w:rsidRPr="00E32C6C" w:rsidRDefault="00494B81" w:rsidP="00E32C6C">
      <w:pPr>
        <w:keepNext/>
        <w:keepLines/>
        <w:widowControl/>
        <w:spacing w:line="360" w:lineRule="auto"/>
        <w:rPr>
          <w:rFonts w:eastAsia="Calibri"/>
          <w:b/>
          <w:sz w:val="26"/>
          <w:szCs w:val="26"/>
        </w:rPr>
      </w:pPr>
      <w:r w:rsidRPr="00E32C6C">
        <w:rPr>
          <w:rFonts w:eastAsia="Calibri"/>
          <w:b/>
          <w:sz w:val="26"/>
          <w:szCs w:val="26"/>
        </w:rPr>
        <w:tab/>
      </w:r>
      <w:r w:rsidRPr="00E32C6C">
        <w:rPr>
          <w:rFonts w:eastAsia="Calibri"/>
          <w:b/>
          <w:sz w:val="26"/>
          <w:szCs w:val="26"/>
        </w:rPr>
        <w:tab/>
        <w:t>a.</w:t>
      </w:r>
      <w:r w:rsidRPr="00E32C6C">
        <w:rPr>
          <w:rFonts w:eastAsia="Calibri"/>
          <w:b/>
          <w:sz w:val="26"/>
          <w:szCs w:val="26"/>
        </w:rPr>
        <w:tab/>
        <w:t>The Petition</w:t>
      </w:r>
    </w:p>
    <w:p w14:paraId="3CF59088" w14:textId="77777777" w:rsidR="00494B81" w:rsidRPr="00E32C6C" w:rsidRDefault="00494B81" w:rsidP="00E32C6C">
      <w:pPr>
        <w:keepNext/>
        <w:keepLines/>
        <w:widowControl/>
        <w:spacing w:line="360" w:lineRule="auto"/>
        <w:rPr>
          <w:rFonts w:eastAsia="Calibri"/>
          <w:sz w:val="26"/>
          <w:szCs w:val="26"/>
        </w:rPr>
      </w:pPr>
    </w:p>
    <w:p w14:paraId="33B693AD" w14:textId="234F4456" w:rsidR="00494B81" w:rsidRPr="00E32C6C" w:rsidRDefault="00494B81" w:rsidP="00E32C6C">
      <w:pPr>
        <w:widowControl/>
        <w:spacing w:line="360" w:lineRule="auto"/>
        <w:rPr>
          <w:sz w:val="26"/>
          <w:szCs w:val="26"/>
        </w:rPr>
      </w:pPr>
      <w:r w:rsidRPr="00E32C6C">
        <w:rPr>
          <w:rFonts w:eastAsia="Calibri"/>
          <w:sz w:val="26"/>
          <w:szCs w:val="26"/>
        </w:rPr>
        <w:tab/>
      </w:r>
      <w:r w:rsidRPr="00E32C6C">
        <w:rPr>
          <w:rFonts w:eastAsia="Calibri"/>
          <w:sz w:val="26"/>
          <w:szCs w:val="26"/>
        </w:rPr>
        <w:tab/>
        <w:t xml:space="preserve">The Complainant </w:t>
      </w:r>
      <w:r w:rsidR="001946F9" w:rsidRPr="00E32C6C">
        <w:rPr>
          <w:rFonts w:eastAsia="Calibri"/>
          <w:sz w:val="26"/>
          <w:szCs w:val="26"/>
        </w:rPr>
        <w:t xml:space="preserve">avers that he has recently acquired new information regarding the cybersecurity risk of the AMI meter.  Petition at 3.  </w:t>
      </w:r>
    </w:p>
    <w:p w14:paraId="2B558783" w14:textId="3E2D5838" w:rsidR="00494B81" w:rsidRPr="00E32C6C" w:rsidRDefault="00494B81" w:rsidP="00E32C6C">
      <w:pPr>
        <w:widowControl/>
        <w:spacing w:line="360" w:lineRule="auto"/>
        <w:rPr>
          <w:rFonts w:eastAsia="Calibri"/>
          <w:sz w:val="26"/>
          <w:szCs w:val="26"/>
        </w:rPr>
      </w:pPr>
      <w:r w:rsidRPr="00E32C6C">
        <w:rPr>
          <w:sz w:val="26"/>
          <w:szCs w:val="26"/>
        </w:rPr>
        <w:tab/>
      </w:r>
      <w:r w:rsidRPr="00E32C6C">
        <w:rPr>
          <w:sz w:val="26"/>
          <w:szCs w:val="26"/>
        </w:rPr>
        <w:tab/>
      </w:r>
    </w:p>
    <w:p w14:paraId="0B3C7187" w14:textId="0DDF5960" w:rsidR="00494B81" w:rsidRPr="00E32C6C" w:rsidRDefault="00494B81" w:rsidP="00E32C6C">
      <w:pPr>
        <w:keepNext/>
        <w:keepLines/>
        <w:widowControl/>
        <w:spacing w:line="360" w:lineRule="auto"/>
        <w:rPr>
          <w:rFonts w:eastAsia="Calibri"/>
          <w:b/>
          <w:sz w:val="26"/>
          <w:szCs w:val="26"/>
        </w:rPr>
      </w:pPr>
      <w:r w:rsidRPr="00E32C6C">
        <w:rPr>
          <w:rFonts w:eastAsia="Calibri"/>
          <w:b/>
          <w:sz w:val="26"/>
          <w:szCs w:val="26"/>
        </w:rPr>
        <w:tab/>
      </w:r>
      <w:r w:rsidRPr="00E32C6C">
        <w:rPr>
          <w:rFonts w:eastAsia="Calibri"/>
          <w:b/>
          <w:sz w:val="26"/>
          <w:szCs w:val="26"/>
        </w:rPr>
        <w:tab/>
        <w:t>b.</w:t>
      </w:r>
      <w:r w:rsidRPr="00E32C6C">
        <w:rPr>
          <w:rFonts w:eastAsia="Calibri"/>
          <w:b/>
          <w:sz w:val="26"/>
          <w:szCs w:val="26"/>
        </w:rPr>
        <w:tab/>
        <w:t>P</w:t>
      </w:r>
      <w:r w:rsidR="001946F9" w:rsidRPr="00E32C6C">
        <w:rPr>
          <w:rFonts w:eastAsia="Calibri"/>
          <w:b/>
          <w:sz w:val="26"/>
          <w:szCs w:val="26"/>
        </w:rPr>
        <w:t>PL’</w:t>
      </w:r>
      <w:r w:rsidRPr="00E32C6C">
        <w:rPr>
          <w:rFonts w:eastAsia="Calibri"/>
          <w:b/>
          <w:sz w:val="26"/>
          <w:szCs w:val="26"/>
        </w:rPr>
        <w:t>s Answer</w:t>
      </w:r>
    </w:p>
    <w:p w14:paraId="28DBFFB7" w14:textId="77777777" w:rsidR="00494B81" w:rsidRPr="00E32C6C" w:rsidRDefault="00494B81" w:rsidP="00E32C6C">
      <w:pPr>
        <w:keepNext/>
        <w:keepLines/>
        <w:widowControl/>
        <w:spacing w:line="360" w:lineRule="auto"/>
        <w:rPr>
          <w:rFonts w:eastAsia="Calibri"/>
          <w:sz w:val="26"/>
          <w:szCs w:val="26"/>
        </w:rPr>
      </w:pPr>
    </w:p>
    <w:p w14:paraId="3C0954F5" w14:textId="63F85BEE" w:rsidR="0076252E" w:rsidRDefault="00494B81" w:rsidP="00E32C6C">
      <w:pPr>
        <w:widowControl/>
        <w:spacing w:line="360" w:lineRule="auto"/>
        <w:rPr>
          <w:rFonts w:eastAsia="Calibri"/>
          <w:sz w:val="26"/>
          <w:szCs w:val="26"/>
        </w:rPr>
      </w:pPr>
      <w:r w:rsidRPr="00E32C6C">
        <w:rPr>
          <w:rFonts w:eastAsia="Calibri"/>
          <w:sz w:val="26"/>
          <w:szCs w:val="26"/>
        </w:rPr>
        <w:tab/>
      </w:r>
      <w:r w:rsidRPr="00E32C6C">
        <w:rPr>
          <w:rFonts w:eastAsia="Calibri"/>
          <w:sz w:val="26"/>
          <w:szCs w:val="26"/>
        </w:rPr>
        <w:tab/>
        <w:t>P</w:t>
      </w:r>
      <w:r w:rsidR="001946F9" w:rsidRPr="00E32C6C">
        <w:rPr>
          <w:rFonts w:eastAsia="Calibri"/>
          <w:sz w:val="26"/>
          <w:szCs w:val="26"/>
        </w:rPr>
        <w:t>PL</w:t>
      </w:r>
      <w:r w:rsidRPr="00E32C6C">
        <w:rPr>
          <w:rFonts w:eastAsia="Calibri"/>
          <w:sz w:val="26"/>
          <w:szCs w:val="26"/>
        </w:rPr>
        <w:t xml:space="preserve"> </w:t>
      </w:r>
      <w:r w:rsidR="00B5013D" w:rsidRPr="00E32C6C">
        <w:rPr>
          <w:rFonts w:eastAsia="Calibri"/>
          <w:sz w:val="26"/>
          <w:szCs w:val="26"/>
        </w:rPr>
        <w:t xml:space="preserve">argues </w:t>
      </w:r>
      <w:r w:rsidRPr="00E32C6C">
        <w:rPr>
          <w:rFonts w:eastAsia="Calibri"/>
          <w:sz w:val="26"/>
          <w:szCs w:val="26"/>
        </w:rPr>
        <w:t xml:space="preserve">that the Complainant </w:t>
      </w:r>
      <w:r w:rsidR="001946F9" w:rsidRPr="00E32C6C">
        <w:rPr>
          <w:rFonts w:eastAsia="Calibri"/>
          <w:sz w:val="26"/>
          <w:szCs w:val="26"/>
        </w:rPr>
        <w:t xml:space="preserve">failed to preserve his argument </w:t>
      </w:r>
      <w:r w:rsidR="00314B64" w:rsidRPr="00E32C6C">
        <w:rPr>
          <w:rFonts w:eastAsia="Calibri"/>
          <w:sz w:val="26"/>
          <w:szCs w:val="26"/>
        </w:rPr>
        <w:t xml:space="preserve">in his Exceptions </w:t>
      </w:r>
      <w:r w:rsidR="001946F9" w:rsidRPr="00E32C6C">
        <w:rPr>
          <w:rFonts w:eastAsia="Calibri"/>
          <w:sz w:val="26"/>
          <w:szCs w:val="26"/>
        </w:rPr>
        <w:t>that the Company’s AMI meter r</w:t>
      </w:r>
      <w:r w:rsidR="003037DB" w:rsidRPr="00E32C6C">
        <w:rPr>
          <w:rFonts w:eastAsia="Calibri"/>
          <w:sz w:val="26"/>
          <w:szCs w:val="26"/>
        </w:rPr>
        <w:t>a</w:t>
      </w:r>
      <w:r w:rsidR="001946F9" w:rsidRPr="00E32C6C">
        <w:rPr>
          <w:rFonts w:eastAsia="Calibri"/>
          <w:sz w:val="26"/>
          <w:szCs w:val="26"/>
        </w:rPr>
        <w:t xml:space="preserve">ises cybersecurity concerns.  PPL notes that the Complainant’s Exceptions do not mention cybersecurity, privacy </w:t>
      </w:r>
      <w:r w:rsidR="0076252E" w:rsidRPr="00E32C6C">
        <w:rPr>
          <w:rFonts w:eastAsia="Calibri"/>
          <w:sz w:val="26"/>
          <w:szCs w:val="26"/>
        </w:rPr>
        <w:t>concerns</w:t>
      </w:r>
      <w:r w:rsidR="001946F9" w:rsidRPr="00E32C6C">
        <w:rPr>
          <w:rFonts w:eastAsia="Calibri"/>
          <w:sz w:val="26"/>
          <w:szCs w:val="26"/>
        </w:rPr>
        <w:t xml:space="preserve">, or hacking.  Answer at 8 (citing Exceptions at 1-2).  PPL explains that due to the </w:t>
      </w:r>
      <w:r w:rsidR="0076252E" w:rsidRPr="00E32C6C">
        <w:rPr>
          <w:rFonts w:eastAsia="Calibri"/>
          <w:sz w:val="26"/>
          <w:szCs w:val="26"/>
        </w:rPr>
        <w:t>Complainant’s</w:t>
      </w:r>
      <w:r w:rsidR="001946F9" w:rsidRPr="00E32C6C">
        <w:rPr>
          <w:rFonts w:eastAsia="Calibri"/>
          <w:sz w:val="26"/>
          <w:szCs w:val="26"/>
        </w:rPr>
        <w:t xml:space="preserve"> failure to </w:t>
      </w:r>
      <w:r w:rsidR="0076252E" w:rsidRPr="00E32C6C">
        <w:rPr>
          <w:rFonts w:eastAsia="Calibri"/>
          <w:sz w:val="26"/>
          <w:szCs w:val="26"/>
        </w:rPr>
        <w:t>raise</w:t>
      </w:r>
      <w:r w:rsidR="001946F9" w:rsidRPr="00E32C6C">
        <w:rPr>
          <w:rFonts w:eastAsia="Calibri"/>
          <w:sz w:val="26"/>
          <w:szCs w:val="26"/>
        </w:rPr>
        <w:t xml:space="preserve"> any arguments concerning cybersecurity in his </w:t>
      </w:r>
      <w:r w:rsidR="00C44FE0" w:rsidRPr="00E32C6C">
        <w:rPr>
          <w:rFonts w:eastAsia="Calibri"/>
          <w:sz w:val="26"/>
          <w:szCs w:val="26"/>
        </w:rPr>
        <w:t>E</w:t>
      </w:r>
      <w:r w:rsidR="001946F9" w:rsidRPr="00E32C6C">
        <w:rPr>
          <w:rFonts w:eastAsia="Calibri"/>
          <w:sz w:val="26"/>
          <w:szCs w:val="26"/>
        </w:rPr>
        <w:t xml:space="preserve">xceptions, the </w:t>
      </w:r>
      <w:r w:rsidR="0076252E" w:rsidRPr="00E32C6C">
        <w:rPr>
          <w:rFonts w:eastAsia="Calibri"/>
          <w:sz w:val="26"/>
          <w:szCs w:val="26"/>
        </w:rPr>
        <w:t>Complainant’s</w:t>
      </w:r>
      <w:r w:rsidR="001946F9" w:rsidRPr="00E32C6C">
        <w:rPr>
          <w:rFonts w:eastAsia="Calibri"/>
          <w:sz w:val="26"/>
          <w:szCs w:val="26"/>
        </w:rPr>
        <w:t xml:space="preserve"> </w:t>
      </w:r>
      <w:r w:rsidR="0076252E" w:rsidRPr="00E32C6C">
        <w:rPr>
          <w:rFonts w:eastAsia="Calibri"/>
          <w:sz w:val="26"/>
          <w:szCs w:val="26"/>
        </w:rPr>
        <w:t>cybersecurity</w:t>
      </w:r>
      <w:r w:rsidR="001946F9" w:rsidRPr="00E32C6C">
        <w:rPr>
          <w:rFonts w:eastAsia="Calibri"/>
          <w:sz w:val="26"/>
          <w:szCs w:val="26"/>
        </w:rPr>
        <w:t xml:space="preserve"> issue was waived.  Answer at 8 (citing </w:t>
      </w:r>
      <w:r w:rsidR="001946F9" w:rsidRPr="00E32C6C">
        <w:rPr>
          <w:rFonts w:eastAsia="Calibri"/>
          <w:i/>
          <w:iCs/>
          <w:sz w:val="26"/>
          <w:szCs w:val="26"/>
        </w:rPr>
        <w:t xml:space="preserve">Merritt v. Duquesne </w:t>
      </w:r>
      <w:r w:rsidR="0076252E" w:rsidRPr="00E32C6C">
        <w:rPr>
          <w:rFonts w:eastAsia="Calibri"/>
          <w:i/>
          <w:iCs/>
          <w:sz w:val="26"/>
          <w:szCs w:val="26"/>
        </w:rPr>
        <w:t>Light</w:t>
      </w:r>
      <w:r w:rsidR="001946F9" w:rsidRPr="00E32C6C">
        <w:rPr>
          <w:rFonts w:eastAsia="Calibri"/>
          <w:i/>
          <w:iCs/>
          <w:sz w:val="26"/>
          <w:szCs w:val="26"/>
        </w:rPr>
        <w:t xml:space="preserve"> </w:t>
      </w:r>
      <w:r w:rsidR="0076252E" w:rsidRPr="00E32C6C">
        <w:rPr>
          <w:rFonts w:eastAsia="Calibri"/>
          <w:i/>
          <w:iCs/>
          <w:sz w:val="26"/>
          <w:szCs w:val="26"/>
        </w:rPr>
        <w:t>C</w:t>
      </w:r>
      <w:r w:rsidR="001946F9" w:rsidRPr="00E32C6C">
        <w:rPr>
          <w:rFonts w:eastAsia="Calibri"/>
          <w:i/>
          <w:iCs/>
          <w:sz w:val="26"/>
          <w:szCs w:val="26"/>
        </w:rPr>
        <w:t>o</w:t>
      </w:r>
      <w:r w:rsidR="001946F9" w:rsidRPr="00E32C6C">
        <w:rPr>
          <w:rFonts w:eastAsia="Calibri"/>
          <w:sz w:val="26"/>
          <w:szCs w:val="26"/>
        </w:rPr>
        <w:t>., 2011 Pa. PUC LEXIS 1197, at *9-10 (Order entered Mar</w:t>
      </w:r>
      <w:r w:rsidR="00EF5835">
        <w:rPr>
          <w:rFonts w:eastAsia="Calibri"/>
          <w:sz w:val="26"/>
          <w:szCs w:val="26"/>
        </w:rPr>
        <w:t>ch </w:t>
      </w:r>
      <w:r w:rsidR="001946F9" w:rsidRPr="00E32C6C">
        <w:rPr>
          <w:rFonts w:eastAsia="Calibri"/>
          <w:sz w:val="26"/>
          <w:szCs w:val="26"/>
        </w:rPr>
        <w:t>31,</w:t>
      </w:r>
      <w:r w:rsidR="00EF5835">
        <w:rPr>
          <w:rFonts w:eastAsia="Calibri"/>
          <w:sz w:val="26"/>
          <w:szCs w:val="26"/>
        </w:rPr>
        <w:t> </w:t>
      </w:r>
      <w:r w:rsidR="001946F9" w:rsidRPr="00E32C6C">
        <w:rPr>
          <w:rFonts w:eastAsia="Calibri"/>
          <w:sz w:val="26"/>
          <w:szCs w:val="26"/>
        </w:rPr>
        <w:t>2011)</w:t>
      </w:r>
      <w:r w:rsidR="0076252E" w:rsidRPr="00E32C6C">
        <w:rPr>
          <w:rFonts w:eastAsia="Calibri"/>
          <w:sz w:val="26"/>
          <w:szCs w:val="26"/>
        </w:rPr>
        <w:t>).</w:t>
      </w:r>
    </w:p>
    <w:p w14:paraId="2AB14DB0" w14:textId="77777777" w:rsidR="00E32C6C" w:rsidRPr="00E32C6C" w:rsidRDefault="00E32C6C" w:rsidP="00E32C6C">
      <w:pPr>
        <w:widowControl/>
        <w:spacing w:line="360" w:lineRule="auto"/>
        <w:rPr>
          <w:rFonts w:eastAsia="Calibri"/>
          <w:sz w:val="26"/>
          <w:szCs w:val="26"/>
        </w:rPr>
      </w:pPr>
    </w:p>
    <w:p w14:paraId="18C85403" w14:textId="1A44EF89" w:rsidR="0076252E" w:rsidRPr="00E32C6C" w:rsidRDefault="00494B81" w:rsidP="00E32C6C">
      <w:pPr>
        <w:widowControl/>
        <w:spacing w:line="360" w:lineRule="auto"/>
        <w:rPr>
          <w:rFonts w:eastAsia="Calibri"/>
          <w:sz w:val="26"/>
          <w:szCs w:val="26"/>
        </w:rPr>
      </w:pPr>
      <w:r w:rsidRPr="00E32C6C">
        <w:rPr>
          <w:rFonts w:eastAsia="Calibri"/>
          <w:sz w:val="26"/>
          <w:szCs w:val="26"/>
        </w:rPr>
        <w:tab/>
      </w:r>
      <w:r w:rsidRPr="00E32C6C">
        <w:rPr>
          <w:rFonts w:eastAsia="Calibri"/>
          <w:sz w:val="26"/>
          <w:szCs w:val="26"/>
        </w:rPr>
        <w:tab/>
        <w:t>P</w:t>
      </w:r>
      <w:r w:rsidR="0076252E" w:rsidRPr="00E32C6C">
        <w:rPr>
          <w:rFonts w:eastAsia="Calibri"/>
          <w:sz w:val="26"/>
          <w:szCs w:val="26"/>
        </w:rPr>
        <w:t>PL</w:t>
      </w:r>
      <w:r w:rsidRPr="00E32C6C">
        <w:rPr>
          <w:rFonts w:eastAsia="Calibri"/>
          <w:sz w:val="26"/>
          <w:szCs w:val="26"/>
        </w:rPr>
        <w:t xml:space="preserve"> submits that</w:t>
      </w:r>
      <w:r w:rsidR="0076252E" w:rsidRPr="00E32C6C">
        <w:rPr>
          <w:rFonts w:eastAsia="Calibri"/>
          <w:sz w:val="26"/>
          <w:szCs w:val="26"/>
        </w:rPr>
        <w:t>, as the ALJ found, the Complainant failed to establish that the Company’s AMI meter raises data privacy concerns.  Answer at 8 (citing I.D. at</w:t>
      </w:r>
      <w:r w:rsidR="00E32C6C">
        <w:rPr>
          <w:rFonts w:eastAsia="Calibri"/>
          <w:sz w:val="26"/>
          <w:szCs w:val="26"/>
        </w:rPr>
        <w:t> </w:t>
      </w:r>
      <w:r w:rsidR="0076252E" w:rsidRPr="00E32C6C">
        <w:rPr>
          <w:rFonts w:eastAsia="Calibri"/>
          <w:sz w:val="26"/>
          <w:szCs w:val="26"/>
        </w:rPr>
        <w:t>23</w:t>
      </w:r>
      <w:r w:rsidR="00E32C6C">
        <w:rPr>
          <w:rFonts w:eastAsia="Calibri"/>
          <w:sz w:val="26"/>
          <w:szCs w:val="26"/>
        </w:rPr>
        <w:noBreakHyphen/>
      </w:r>
      <w:r w:rsidR="0076252E" w:rsidRPr="00E32C6C">
        <w:rPr>
          <w:rFonts w:eastAsia="Calibri"/>
          <w:sz w:val="26"/>
          <w:szCs w:val="26"/>
        </w:rPr>
        <w:t xml:space="preserve">24).  </w:t>
      </w:r>
    </w:p>
    <w:p w14:paraId="4D7E1DE5" w14:textId="77777777" w:rsidR="00494B81" w:rsidRPr="00E32C6C" w:rsidRDefault="00494B81" w:rsidP="00E32C6C">
      <w:pPr>
        <w:keepNext/>
        <w:keepLines/>
        <w:widowControl/>
        <w:spacing w:line="360" w:lineRule="auto"/>
        <w:rPr>
          <w:rFonts w:eastAsia="Calibri"/>
          <w:b/>
          <w:sz w:val="26"/>
          <w:szCs w:val="26"/>
        </w:rPr>
      </w:pPr>
      <w:r w:rsidRPr="00E32C6C">
        <w:rPr>
          <w:rFonts w:eastAsia="Calibri"/>
          <w:b/>
          <w:sz w:val="26"/>
          <w:szCs w:val="26"/>
        </w:rPr>
        <w:lastRenderedPageBreak/>
        <w:tab/>
      </w:r>
      <w:r w:rsidRPr="00E32C6C">
        <w:rPr>
          <w:rFonts w:eastAsia="Calibri"/>
          <w:b/>
          <w:sz w:val="26"/>
          <w:szCs w:val="26"/>
        </w:rPr>
        <w:tab/>
        <w:t>c.</w:t>
      </w:r>
      <w:r w:rsidRPr="00E32C6C">
        <w:rPr>
          <w:rFonts w:eastAsia="Calibri"/>
          <w:b/>
          <w:sz w:val="26"/>
          <w:szCs w:val="26"/>
        </w:rPr>
        <w:tab/>
        <w:t>Disposition</w:t>
      </w:r>
    </w:p>
    <w:p w14:paraId="7A4DB0E1" w14:textId="77777777" w:rsidR="00494B81" w:rsidRPr="00E32C6C" w:rsidRDefault="00494B81" w:rsidP="00E32C6C">
      <w:pPr>
        <w:keepNext/>
        <w:keepLines/>
        <w:widowControl/>
        <w:spacing w:line="360" w:lineRule="auto"/>
        <w:rPr>
          <w:rFonts w:eastAsia="Calibri"/>
          <w:sz w:val="26"/>
          <w:szCs w:val="26"/>
        </w:rPr>
      </w:pPr>
    </w:p>
    <w:p w14:paraId="1187AE03" w14:textId="600C15D3" w:rsidR="00494B81" w:rsidRPr="00E32C6C" w:rsidRDefault="00D9240A" w:rsidP="00E32C6C">
      <w:pPr>
        <w:widowControl/>
        <w:spacing w:line="360" w:lineRule="auto"/>
        <w:rPr>
          <w:sz w:val="26"/>
          <w:szCs w:val="26"/>
        </w:rPr>
      </w:pPr>
      <w:r w:rsidRPr="00E32C6C">
        <w:rPr>
          <w:rFonts w:eastAsia="Calibri"/>
          <w:sz w:val="26"/>
          <w:szCs w:val="26"/>
        </w:rPr>
        <w:tab/>
      </w:r>
      <w:r w:rsidRPr="00E32C6C">
        <w:rPr>
          <w:rFonts w:eastAsia="Calibri"/>
          <w:sz w:val="26"/>
          <w:szCs w:val="26"/>
        </w:rPr>
        <w:tab/>
        <w:t>T</w:t>
      </w:r>
      <w:r w:rsidR="00494B81" w:rsidRPr="00E32C6C">
        <w:rPr>
          <w:rFonts w:eastAsia="Calibri"/>
          <w:sz w:val="26"/>
          <w:szCs w:val="26"/>
        </w:rPr>
        <w:t xml:space="preserve">he Complainant’s argument regarding the </w:t>
      </w:r>
      <w:r w:rsidRPr="00E32C6C">
        <w:rPr>
          <w:rFonts w:eastAsia="Calibri"/>
          <w:sz w:val="26"/>
          <w:szCs w:val="26"/>
        </w:rPr>
        <w:t xml:space="preserve">cybersecurity of the proposed AMI meter </w:t>
      </w:r>
      <w:r w:rsidR="00494B81" w:rsidRPr="00E32C6C">
        <w:rPr>
          <w:sz w:val="26"/>
          <w:szCs w:val="26"/>
        </w:rPr>
        <w:t>is not a new or novel argument or consideration and, therefore, is not properly before the Commission for reconsideration.</w:t>
      </w:r>
    </w:p>
    <w:p w14:paraId="1D2B6FC0" w14:textId="77777777" w:rsidR="00494B81" w:rsidRPr="00E32C6C" w:rsidRDefault="00494B81" w:rsidP="00E32C6C">
      <w:pPr>
        <w:widowControl/>
        <w:spacing w:line="360" w:lineRule="auto"/>
        <w:rPr>
          <w:sz w:val="26"/>
          <w:szCs w:val="26"/>
        </w:rPr>
      </w:pPr>
    </w:p>
    <w:p w14:paraId="785A0A18" w14:textId="161F722F" w:rsidR="00494B81" w:rsidRPr="00E32C6C" w:rsidRDefault="00494B81" w:rsidP="001553BA">
      <w:pPr>
        <w:widowControl/>
        <w:spacing w:line="360" w:lineRule="auto"/>
        <w:rPr>
          <w:sz w:val="26"/>
          <w:szCs w:val="26"/>
        </w:rPr>
      </w:pPr>
      <w:r w:rsidRPr="00E32C6C">
        <w:rPr>
          <w:sz w:val="26"/>
          <w:szCs w:val="26"/>
        </w:rPr>
        <w:tab/>
      </w:r>
      <w:r w:rsidRPr="00E32C6C">
        <w:rPr>
          <w:sz w:val="26"/>
          <w:szCs w:val="26"/>
        </w:rPr>
        <w:tab/>
      </w:r>
      <w:r w:rsidR="00B5013D" w:rsidRPr="00E32C6C">
        <w:rPr>
          <w:sz w:val="26"/>
          <w:szCs w:val="26"/>
        </w:rPr>
        <w:t>Upon review, it appears t</w:t>
      </w:r>
      <w:r w:rsidRPr="00E32C6C">
        <w:rPr>
          <w:sz w:val="26"/>
          <w:szCs w:val="26"/>
        </w:rPr>
        <w:t>he Complainant’s</w:t>
      </w:r>
      <w:r w:rsidR="00B5013D" w:rsidRPr="00E32C6C">
        <w:rPr>
          <w:sz w:val="26"/>
          <w:szCs w:val="26"/>
        </w:rPr>
        <w:t xml:space="preserve"> cybersecurity argument in his Petition is an extension of the </w:t>
      </w:r>
      <w:r w:rsidR="00314B64" w:rsidRPr="00E32C6C">
        <w:rPr>
          <w:sz w:val="26"/>
          <w:szCs w:val="26"/>
        </w:rPr>
        <w:t xml:space="preserve">data privacy </w:t>
      </w:r>
      <w:r w:rsidR="00B5013D" w:rsidRPr="00E32C6C">
        <w:rPr>
          <w:sz w:val="26"/>
          <w:szCs w:val="26"/>
        </w:rPr>
        <w:t>claim</w:t>
      </w:r>
      <w:r w:rsidR="00314B64" w:rsidRPr="00E32C6C">
        <w:rPr>
          <w:sz w:val="26"/>
          <w:szCs w:val="26"/>
        </w:rPr>
        <w:t>s</w:t>
      </w:r>
      <w:r w:rsidR="00B5013D" w:rsidRPr="00E32C6C">
        <w:rPr>
          <w:sz w:val="26"/>
          <w:szCs w:val="26"/>
        </w:rPr>
        <w:t xml:space="preserve"> </w:t>
      </w:r>
      <w:r w:rsidR="00314B64" w:rsidRPr="00E32C6C">
        <w:rPr>
          <w:sz w:val="26"/>
          <w:szCs w:val="26"/>
        </w:rPr>
        <w:t xml:space="preserve">he </w:t>
      </w:r>
      <w:r w:rsidR="00B5013D" w:rsidRPr="00E32C6C">
        <w:rPr>
          <w:sz w:val="26"/>
          <w:szCs w:val="26"/>
        </w:rPr>
        <w:t>raised in his</w:t>
      </w:r>
      <w:r w:rsidRPr="00E32C6C">
        <w:rPr>
          <w:sz w:val="26"/>
          <w:szCs w:val="26"/>
        </w:rPr>
        <w:t xml:space="preserve"> </w:t>
      </w:r>
      <w:r w:rsidR="00D9240A" w:rsidRPr="00E32C6C">
        <w:rPr>
          <w:sz w:val="26"/>
          <w:szCs w:val="26"/>
        </w:rPr>
        <w:t xml:space="preserve">Amended Formal Complaint.  Amended Formal Complaint at </w:t>
      </w:r>
      <w:r w:rsidR="00E0594B" w:rsidRPr="00E32C6C">
        <w:rPr>
          <w:sz w:val="26"/>
          <w:szCs w:val="26"/>
        </w:rPr>
        <w:t>4</w:t>
      </w:r>
      <w:r w:rsidR="00D9240A" w:rsidRPr="00E32C6C">
        <w:rPr>
          <w:sz w:val="26"/>
          <w:szCs w:val="26"/>
        </w:rPr>
        <w:t xml:space="preserve">. </w:t>
      </w:r>
      <w:r w:rsidRPr="00E32C6C">
        <w:rPr>
          <w:sz w:val="26"/>
          <w:szCs w:val="26"/>
        </w:rPr>
        <w:t xml:space="preserve"> </w:t>
      </w:r>
      <w:r w:rsidR="00314B64" w:rsidRPr="00E32C6C">
        <w:rPr>
          <w:sz w:val="26"/>
          <w:szCs w:val="26"/>
        </w:rPr>
        <w:t xml:space="preserve">In the </w:t>
      </w:r>
      <w:r w:rsidR="00314B64" w:rsidRPr="00E32C6C">
        <w:rPr>
          <w:i/>
          <w:iCs/>
          <w:sz w:val="26"/>
          <w:szCs w:val="26"/>
        </w:rPr>
        <w:t>May 2020 Order</w:t>
      </w:r>
      <w:r w:rsidR="00314B64" w:rsidRPr="00E32C6C">
        <w:rPr>
          <w:sz w:val="26"/>
          <w:szCs w:val="26"/>
        </w:rPr>
        <w:t>, we adopted t</w:t>
      </w:r>
      <w:r w:rsidR="00D9240A" w:rsidRPr="00E32C6C">
        <w:rPr>
          <w:sz w:val="26"/>
          <w:szCs w:val="26"/>
        </w:rPr>
        <w:t>he ALJ</w:t>
      </w:r>
      <w:r w:rsidR="00314B64" w:rsidRPr="00E32C6C">
        <w:rPr>
          <w:sz w:val="26"/>
          <w:szCs w:val="26"/>
        </w:rPr>
        <w:t xml:space="preserve">’s analysis and conclusions regarding the Complainant’s data privacy claims </w:t>
      </w:r>
      <w:r w:rsidR="00D74CB0" w:rsidRPr="00E32C6C">
        <w:rPr>
          <w:sz w:val="26"/>
          <w:szCs w:val="26"/>
        </w:rPr>
        <w:t xml:space="preserve">raised </w:t>
      </w:r>
      <w:r w:rsidR="00314B64" w:rsidRPr="00E32C6C">
        <w:rPr>
          <w:sz w:val="26"/>
          <w:szCs w:val="26"/>
        </w:rPr>
        <w:t xml:space="preserve">in his Amended Complaint. </w:t>
      </w:r>
      <w:r w:rsidR="00D9240A" w:rsidRPr="00E32C6C">
        <w:rPr>
          <w:sz w:val="26"/>
          <w:szCs w:val="26"/>
        </w:rPr>
        <w:t xml:space="preserve"> </w:t>
      </w:r>
      <w:r w:rsidR="00314B64" w:rsidRPr="00E32C6C">
        <w:rPr>
          <w:i/>
          <w:iCs/>
          <w:sz w:val="26"/>
          <w:szCs w:val="26"/>
        </w:rPr>
        <w:t>May 2020 Order</w:t>
      </w:r>
      <w:r w:rsidR="00314B64" w:rsidRPr="00E32C6C">
        <w:rPr>
          <w:sz w:val="26"/>
          <w:szCs w:val="26"/>
        </w:rPr>
        <w:t xml:space="preserve"> at</w:t>
      </w:r>
      <w:r w:rsidR="008141CE" w:rsidRPr="00E32C6C">
        <w:rPr>
          <w:sz w:val="26"/>
          <w:szCs w:val="26"/>
        </w:rPr>
        <w:t xml:space="preserve"> </w:t>
      </w:r>
      <w:r w:rsidR="00314B64" w:rsidRPr="00E32C6C">
        <w:rPr>
          <w:sz w:val="26"/>
          <w:szCs w:val="26"/>
        </w:rPr>
        <w:t>13</w:t>
      </w:r>
      <w:r w:rsidR="00025BDF" w:rsidRPr="00E32C6C">
        <w:rPr>
          <w:sz w:val="26"/>
          <w:szCs w:val="26"/>
        </w:rPr>
        <w:t>-14</w:t>
      </w:r>
      <w:r w:rsidR="00314B64" w:rsidRPr="00E32C6C">
        <w:rPr>
          <w:sz w:val="26"/>
          <w:szCs w:val="26"/>
        </w:rPr>
        <w:t xml:space="preserve">, 21.  Specifically, the ALJ </w:t>
      </w:r>
      <w:r w:rsidR="00E0594B" w:rsidRPr="00E32C6C">
        <w:rPr>
          <w:sz w:val="26"/>
          <w:szCs w:val="26"/>
        </w:rPr>
        <w:t xml:space="preserve">noted that PPL </w:t>
      </w:r>
      <w:r w:rsidR="00314B64" w:rsidRPr="00E32C6C">
        <w:rPr>
          <w:sz w:val="26"/>
          <w:szCs w:val="26"/>
        </w:rPr>
        <w:t xml:space="preserve">had </w:t>
      </w:r>
      <w:r w:rsidR="00E0594B" w:rsidRPr="00E32C6C">
        <w:rPr>
          <w:sz w:val="26"/>
          <w:szCs w:val="26"/>
        </w:rPr>
        <w:t xml:space="preserve">filed a detailed AMI Customer Privacy Policy </w:t>
      </w:r>
      <w:r w:rsidR="00314B64" w:rsidRPr="00E32C6C">
        <w:rPr>
          <w:sz w:val="26"/>
          <w:szCs w:val="26"/>
        </w:rPr>
        <w:t xml:space="preserve">with the Commission setting forth: </w:t>
      </w:r>
      <w:r w:rsidR="00D41502" w:rsidRPr="00E32C6C">
        <w:rPr>
          <w:sz w:val="26"/>
          <w:szCs w:val="26"/>
        </w:rPr>
        <w:t xml:space="preserve"> </w:t>
      </w:r>
      <w:r w:rsidR="006616CF" w:rsidRPr="00E32C6C">
        <w:rPr>
          <w:sz w:val="26"/>
          <w:szCs w:val="26"/>
        </w:rPr>
        <w:t>(</w:t>
      </w:r>
      <w:r w:rsidR="00314B64" w:rsidRPr="00E32C6C">
        <w:rPr>
          <w:sz w:val="26"/>
          <w:szCs w:val="26"/>
        </w:rPr>
        <w:t>1)</w:t>
      </w:r>
      <w:r w:rsidR="00E0594B" w:rsidRPr="00E32C6C">
        <w:rPr>
          <w:sz w:val="26"/>
          <w:szCs w:val="26"/>
        </w:rPr>
        <w:t xml:space="preserve"> the data PPL will collect through the AMI meter</w:t>
      </w:r>
      <w:r w:rsidR="006616CF" w:rsidRPr="00E32C6C">
        <w:rPr>
          <w:sz w:val="26"/>
          <w:szCs w:val="26"/>
        </w:rPr>
        <w:t>;</w:t>
      </w:r>
      <w:r w:rsidR="00E0594B" w:rsidRPr="00E32C6C">
        <w:rPr>
          <w:sz w:val="26"/>
          <w:szCs w:val="26"/>
        </w:rPr>
        <w:t xml:space="preserve"> </w:t>
      </w:r>
      <w:r w:rsidR="006616CF" w:rsidRPr="00E32C6C">
        <w:rPr>
          <w:sz w:val="26"/>
          <w:szCs w:val="26"/>
        </w:rPr>
        <w:t>(</w:t>
      </w:r>
      <w:r w:rsidR="00314B64" w:rsidRPr="00E32C6C">
        <w:rPr>
          <w:sz w:val="26"/>
          <w:szCs w:val="26"/>
        </w:rPr>
        <w:t xml:space="preserve">2) </w:t>
      </w:r>
      <w:r w:rsidR="00E0594B" w:rsidRPr="00E32C6C">
        <w:rPr>
          <w:sz w:val="26"/>
          <w:szCs w:val="26"/>
        </w:rPr>
        <w:t>the steps PPL will take to protect the data</w:t>
      </w:r>
      <w:r w:rsidR="006616CF" w:rsidRPr="00E32C6C">
        <w:rPr>
          <w:sz w:val="26"/>
          <w:szCs w:val="26"/>
        </w:rPr>
        <w:t>;</w:t>
      </w:r>
      <w:r w:rsidR="00E0594B" w:rsidRPr="00E32C6C">
        <w:rPr>
          <w:sz w:val="26"/>
          <w:szCs w:val="26"/>
        </w:rPr>
        <w:t xml:space="preserve"> and</w:t>
      </w:r>
      <w:r w:rsidR="006616CF" w:rsidRPr="00E32C6C">
        <w:rPr>
          <w:sz w:val="26"/>
          <w:szCs w:val="26"/>
        </w:rPr>
        <w:t>,</w:t>
      </w:r>
      <w:r w:rsidR="00E0594B" w:rsidRPr="00E32C6C">
        <w:rPr>
          <w:sz w:val="26"/>
          <w:szCs w:val="26"/>
        </w:rPr>
        <w:t xml:space="preserve"> </w:t>
      </w:r>
      <w:r w:rsidR="006616CF" w:rsidRPr="00E32C6C">
        <w:rPr>
          <w:sz w:val="26"/>
          <w:szCs w:val="26"/>
        </w:rPr>
        <w:t>(</w:t>
      </w:r>
      <w:r w:rsidR="00314B64" w:rsidRPr="00E32C6C">
        <w:rPr>
          <w:sz w:val="26"/>
          <w:szCs w:val="26"/>
        </w:rPr>
        <w:t xml:space="preserve">3) </w:t>
      </w:r>
      <w:r w:rsidR="00E0594B" w:rsidRPr="00E32C6C">
        <w:rPr>
          <w:sz w:val="26"/>
          <w:szCs w:val="26"/>
        </w:rPr>
        <w:t xml:space="preserve">how PPL will use the data.  </w:t>
      </w:r>
      <w:r w:rsidR="00E0594B" w:rsidRPr="00E32C6C">
        <w:rPr>
          <w:i/>
          <w:iCs/>
          <w:sz w:val="26"/>
          <w:szCs w:val="26"/>
        </w:rPr>
        <w:t>May 2020 Order</w:t>
      </w:r>
      <w:r w:rsidR="00E0594B" w:rsidRPr="00E32C6C">
        <w:rPr>
          <w:sz w:val="26"/>
          <w:szCs w:val="26"/>
        </w:rPr>
        <w:t xml:space="preserve"> at 13 (citing I.D. at</w:t>
      </w:r>
      <w:r w:rsidR="00E32C6C">
        <w:rPr>
          <w:sz w:val="26"/>
          <w:szCs w:val="26"/>
        </w:rPr>
        <w:t> </w:t>
      </w:r>
      <w:r w:rsidR="00E0594B" w:rsidRPr="00E32C6C">
        <w:rPr>
          <w:sz w:val="26"/>
          <w:szCs w:val="26"/>
        </w:rPr>
        <w:t>23,</w:t>
      </w:r>
      <w:r w:rsidR="00314B64" w:rsidRPr="00E32C6C">
        <w:rPr>
          <w:sz w:val="26"/>
          <w:szCs w:val="26"/>
        </w:rPr>
        <w:t xml:space="preserve"> </w:t>
      </w:r>
      <w:r w:rsidR="00E0594B" w:rsidRPr="00E32C6C">
        <w:rPr>
          <w:sz w:val="26"/>
          <w:szCs w:val="26"/>
        </w:rPr>
        <w:t>24).  The ALJ found in favor of PPL on the data privacy issue</w:t>
      </w:r>
      <w:r w:rsidR="00314B64" w:rsidRPr="00E32C6C">
        <w:rPr>
          <w:sz w:val="26"/>
          <w:szCs w:val="26"/>
        </w:rPr>
        <w:t xml:space="preserve"> and </w:t>
      </w:r>
      <w:r w:rsidR="00E0594B" w:rsidRPr="00E32C6C">
        <w:rPr>
          <w:sz w:val="26"/>
          <w:szCs w:val="26"/>
        </w:rPr>
        <w:t>the Complainant</w:t>
      </w:r>
      <w:r w:rsidR="00314B64" w:rsidRPr="00E32C6C">
        <w:rPr>
          <w:sz w:val="26"/>
          <w:szCs w:val="26"/>
        </w:rPr>
        <w:t xml:space="preserve"> did not</w:t>
      </w:r>
      <w:r w:rsidR="00E0594B" w:rsidRPr="00E32C6C">
        <w:rPr>
          <w:sz w:val="26"/>
          <w:szCs w:val="26"/>
        </w:rPr>
        <w:t xml:space="preserve"> file</w:t>
      </w:r>
      <w:r w:rsidR="00314B64" w:rsidRPr="00E32C6C">
        <w:rPr>
          <w:sz w:val="26"/>
          <w:szCs w:val="26"/>
        </w:rPr>
        <w:t xml:space="preserve"> E</w:t>
      </w:r>
      <w:r w:rsidR="00D9240A" w:rsidRPr="00E32C6C">
        <w:rPr>
          <w:sz w:val="26"/>
          <w:szCs w:val="26"/>
        </w:rPr>
        <w:t>xceptions to the ALJ’s findings</w:t>
      </w:r>
      <w:r w:rsidR="00E0594B" w:rsidRPr="00E32C6C">
        <w:rPr>
          <w:sz w:val="26"/>
          <w:szCs w:val="26"/>
        </w:rPr>
        <w:t xml:space="preserve"> </w:t>
      </w:r>
      <w:r w:rsidR="00D74CB0" w:rsidRPr="00E32C6C">
        <w:rPr>
          <w:sz w:val="26"/>
          <w:szCs w:val="26"/>
        </w:rPr>
        <w:t xml:space="preserve">in favor of PPL </w:t>
      </w:r>
      <w:r w:rsidR="00E0594B" w:rsidRPr="00E32C6C">
        <w:rPr>
          <w:sz w:val="26"/>
          <w:szCs w:val="26"/>
        </w:rPr>
        <w:t>regarding</w:t>
      </w:r>
      <w:r w:rsidR="00314B64" w:rsidRPr="00E32C6C">
        <w:rPr>
          <w:sz w:val="26"/>
          <w:szCs w:val="26"/>
        </w:rPr>
        <w:t xml:space="preserve"> </w:t>
      </w:r>
      <w:r w:rsidR="00D74CB0" w:rsidRPr="00E32C6C">
        <w:rPr>
          <w:sz w:val="26"/>
          <w:szCs w:val="26"/>
        </w:rPr>
        <w:t xml:space="preserve">his </w:t>
      </w:r>
      <w:r w:rsidR="00314B64" w:rsidRPr="00E32C6C">
        <w:rPr>
          <w:sz w:val="26"/>
          <w:szCs w:val="26"/>
        </w:rPr>
        <w:t>data privacy</w:t>
      </w:r>
      <w:r w:rsidR="00D74CB0" w:rsidRPr="00E32C6C">
        <w:rPr>
          <w:sz w:val="26"/>
          <w:szCs w:val="26"/>
        </w:rPr>
        <w:t xml:space="preserve"> claims</w:t>
      </w:r>
      <w:r w:rsidR="00314B64" w:rsidRPr="00E32C6C">
        <w:rPr>
          <w:sz w:val="26"/>
          <w:szCs w:val="26"/>
        </w:rPr>
        <w:t xml:space="preserve">.  Because we view the Complainant’s cybersecurity arguments in his Petition as an extension of his data privacy claims in his Amended Complaint, and because the Complainant failed to address these issues at the Exceptions stage of this proceeding, </w:t>
      </w:r>
      <w:r w:rsidRPr="00E32C6C">
        <w:rPr>
          <w:sz w:val="26"/>
          <w:szCs w:val="26"/>
        </w:rPr>
        <w:t xml:space="preserve">we shall </w:t>
      </w:r>
      <w:r w:rsidR="003854A6" w:rsidRPr="00E32C6C">
        <w:rPr>
          <w:sz w:val="26"/>
          <w:szCs w:val="26"/>
        </w:rPr>
        <w:t xml:space="preserve">decline to exercise our discretion to disturb the </w:t>
      </w:r>
      <w:r w:rsidR="003854A6" w:rsidRPr="00E32C6C">
        <w:rPr>
          <w:i/>
          <w:iCs/>
          <w:sz w:val="26"/>
          <w:szCs w:val="26"/>
        </w:rPr>
        <w:t>May 2020 Order</w:t>
      </w:r>
      <w:r w:rsidR="003854A6" w:rsidRPr="00E32C6C">
        <w:rPr>
          <w:sz w:val="26"/>
          <w:szCs w:val="26"/>
        </w:rPr>
        <w:t>.</w:t>
      </w:r>
    </w:p>
    <w:p w14:paraId="14F4688B" w14:textId="77777777" w:rsidR="00494B81" w:rsidRPr="00E32C6C" w:rsidRDefault="00494B81" w:rsidP="001553BA">
      <w:pPr>
        <w:widowControl/>
        <w:spacing w:line="360" w:lineRule="auto"/>
        <w:rPr>
          <w:sz w:val="26"/>
          <w:szCs w:val="26"/>
        </w:rPr>
      </w:pPr>
    </w:p>
    <w:p w14:paraId="7F5B6134" w14:textId="77777777" w:rsidR="00494B81" w:rsidRPr="00E32C6C" w:rsidRDefault="00494B81" w:rsidP="001553BA">
      <w:pPr>
        <w:keepNext/>
        <w:widowControl/>
        <w:spacing w:line="360" w:lineRule="auto"/>
        <w:jc w:val="center"/>
        <w:rPr>
          <w:b/>
          <w:sz w:val="26"/>
          <w:szCs w:val="26"/>
        </w:rPr>
      </w:pPr>
      <w:r w:rsidRPr="00E32C6C">
        <w:rPr>
          <w:b/>
          <w:sz w:val="26"/>
          <w:szCs w:val="26"/>
        </w:rPr>
        <w:t>Conclusion</w:t>
      </w:r>
    </w:p>
    <w:p w14:paraId="6FACF762" w14:textId="77777777" w:rsidR="00494B81" w:rsidRPr="00E32C6C" w:rsidRDefault="00494B81" w:rsidP="001553BA">
      <w:pPr>
        <w:keepNext/>
        <w:widowControl/>
        <w:spacing w:line="360" w:lineRule="auto"/>
        <w:ind w:firstLine="1440"/>
        <w:rPr>
          <w:sz w:val="26"/>
          <w:szCs w:val="26"/>
        </w:rPr>
      </w:pPr>
    </w:p>
    <w:p w14:paraId="599B4F3B" w14:textId="1AE99E4C" w:rsidR="00494B81" w:rsidRPr="00E32C6C" w:rsidRDefault="00494B81" w:rsidP="001553BA">
      <w:pPr>
        <w:widowControl/>
        <w:spacing w:line="360" w:lineRule="auto"/>
        <w:ind w:firstLine="1440"/>
        <w:rPr>
          <w:sz w:val="26"/>
          <w:szCs w:val="26"/>
        </w:rPr>
      </w:pPr>
      <w:r w:rsidRPr="00E32C6C">
        <w:rPr>
          <w:sz w:val="26"/>
          <w:szCs w:val="26"/>
        </w:rPr>
        <w:t>Upon our review and consideration of the Petition</w:t>
      </w:r>
      <w:r w:rsidR="00D74CB0" w:rsidRPr="00E32C6C">
        <w:rPr>
          <w:sz w:val="26"/>
          <w:szCs w:val="26"/>
        </w:rPr>
        <w:t>, the Company’s Answer,</w:t>
      </w:r>
      <w:r w:rsidRPr="00E32C6C">
        <w:rPr>
          <w:sz w:val="26"/>
          <w:szCs w:val="26"/>
        </w:rPr>
        <w:t xml:space="preserve"> and the record evidence in this proceeding, we shall deny the Petition because the Complainant has not provided sufficient grounds under the </w:t>
      </w:r>
      <w:r w:rsidRPr="00E32C6C">
        <w:rPr>
          <w:i/>
          <w:sz w:val="26"/>
          <w:szCs w:val="26"/>
        </w:rPr>
        <w:t xml:space="preserve">Duick </w:t>
      </w:r>
      <w:r w:rsidRPr="00E32C6C">
        <w:rPr>
          <w:sz w:val="26"/>
          <w:szCs w:val="26"/>
        </w:rPr>
        <w:t>standards to support h</w:t>
      </w:r>
      <w:r w:rsidR="003A62C4" w:rsidRPr="00E32C6C">
        <w:rPr>
          <w:sz w:val="26"/>
          <w:szCs w:val="26"/>
        </w:rPr>
        <w:t>is</w:t>
      </w:r>
      <w:r w:rsidRPr="00E32C6C">
        <w:rPr>
          <w:sz w:val="26"/>
          <w:szCs w:val="26"/>
        </w:rPr>
        <w:t xml:space="preserve"> request for reconsideration</w:t>
      </w:r>
      <w:r w:rsidR="003A62C4" w:rsidRPr="00E32C6C">
        <w:rPr>
          <w:sz w:val="26"/>
          <w:szCs w:val="26"/>
        </w:rPr>
        <w:t xml:space="preserve"> or rehearing</w:t>
      </w:r>
      <w:r w:rsidRPr="00E32C6C">
        <w:rPr>
          <w:sz w:val="26"/>
          <w:szCs w:val="26"/>
        </w:rPr>
        <w:t xml:space="preserve">; </w:t>
      </w:r>
      <w:r w:rsidRPr="00E32C6C">
        <w:rPr>
          <w:b/>
          <w:sz w:val="26"/>
          <w:szCs w:val="26"/>
        </w:rPr>
        <w:t>THEREFORE,</w:t>
      </w:r>
    </w:p>
    <w:p w14:paraId="363B622D" w14:textId="77777777" w:rsidR="00494B81" w:rsidRPr="00E32C6C" w:rsidRDefault="00494B81" w:rsidP="00E32C6C">
      <w:pPr>
        <w:widowControl/>
        <w:spacing w:line="360" w:lineRule="auto"/>
        <w:rPr>
          <w:sz w:val="26"/>
          <w:szCs w:val="26"/>
        </w:rPr>
      </w:pPr>
    </w:p>
    <w:p w14:paraId="03CC95DB" w14:textId="771B2D6A" w:rsidR="00E32C6C" w:rsidRPr="00E32C6C" w:rsidRDefault="00494B81" w:rsidP="00E32C6C">
      <w:pPr>
        <w:keepNext/>
        <w:widowControl/>
        <w:spacing w:line="360" w:lineRule="auto"/>
        <w:ind w:firstLine="1440"/>
        <w:rPr>
          <w:b/>
          <w:sz w:val="26"/>
          <w:szCs w:val="26"/>
        </w:rPr>
      </w:pPr>
      <w:r w:rsidRPr="00E32C6C">
        <w:rPr>
          <w:b/>
          <w:sz w:val="26"/>
          <w:szCs w:val="26"/>
        </w:rPr>
        <w:lastRenderedPageBreak/>
        <w:t>IT IS ORDERED:</w:t>
      </w:r>
    </w:p>
    <w:p w14:paraId="620460E5" w14:textId="77777777" w:rsidR="00494B81" w:rsidRPr="00E32C6C" w:rsidRDefault="00494B81" w:rsidP="00E32C6C">
      <w:pPr>
        <w:keepNext/>
        <w:widowControl/>
        <w:spacing w:line="360" w:lineRule="auto"/>
        <w:rPr>
          <w:sz w:val="26"/>
          <w:szCs w:val="26"/>
        </w:rPr>
      </w:pPr>
    </w:p>
    <w:p w14:paraId="5D061B4A" w14:textId="75E4B2AE" w:rsidR="00494B81" w:rsidRPr="00E32C6C" w:rsidRDefault="00494B81" w:rsidP="00E32C6C">
      <w:pPr>
        <w:keepNext/>
        <w:widowControl/>
        <w:spacing w:line="360" w:lineRule="auto"/>
        <w:rPr>
          <w:sz w:val="26"/>
          <w:szCs w:val="26"/>
        </w:rPr>
      </w:pPr>
      <w:r w:rsidRPr="00E32C6C">
        <w:rPr>
          <w:sz w:val="26"/>
          <w:szCs w:val="26"/>
        </w:rPr>
        <w:tab/>
      </w:r>
      <w:r w:rsidRPr="00E32C6C">
        <w:rPr>
          <w:sz w:val="26"/>
          <w:szCs w:val="26"/>
        </w:rPr>
        <w:tab/>
        <w:t>That the Petition for Reconsideration and Rehearing of Thomas Maslar, filed on June 5, 2020, is denied, consistent with this Opinion and Order.</w:t>
      </w:r>
    </w:p>
    <w:p w14:paraId="6798B54E" w14:textId="433251B0" w:rsidR="001553BA" w:rsidRDefault="001553BA" w:rsidP="00241D83">
      <w:pPr>
        <w:keepNext/>
        <w:keepLines/>
        <w:widowControl/>
        <w:tabs>
          <w:tab w:val="left" w:pos="-720"/>
        </w:tabs>
        <w:rPr>
          <w:b/>
          <w:sz w:val="26"/>
          <w:szCs w:val="26"/>
        </w:rPr>
      </w:pPr>
    </w:p>
    <w:p w14:paraId="7C74B456" w14:textId="77777777" w:rsidR="00241D83" w:rsidRPr="00E32C6C" w:rsidRDefault="00241D83" w:rsidP="00241D83">
      <w:pPr>
        <w:keepNext/>
        <w:keepLines/>
        <w:widowControl/>
        <w:tabs>
          <w:tab w:val="left" w:pos="-720"/>
        </w:tabs>
        <w:rPr>
          <w:b/>
          <w:sz w:val="26"/>
          <w:szCs w:val="26"/>
        </w:rPr>
      </w:pPr>
    </w:p>
    <w:p w14:paraId="325FE06E" w14:textId="3CE49FEE" w:rsidR="00494B81" w:rsidRPr="00E32C6C" w:rsidRDefault="003F47A1" w:rsidP="00E32C6C">
      <w:pPr>
        <w:keepNext/>
        <w:keepLines/>
        <w:widowControl/>
        <w:tabs>
          <w:tab w:val="left" w:pos="-720"/>
        </w:tabs>
        <w:ind w:firstLine="5040"/>
        <w:rPr>
          <w:sz w:val="26"/>
          <w:szCs w:val="26"/>
        </w:rPr>
      </w:pPr>
      <w:bookmarkStart w:id="5" w:name="_GoBack"/>
      <w:r w:rsidRPr="009F01BA">
        <w:rPr>
          <w:b/>
          <w:noProof/>
        </w:rPr>
        <w:drawing>
          <wp:anchor distT="0" distB="0" distL="114300" distR="114300" simplePos="0" relativeHeight="251659264" behindDoc="1" locked="0" layoutInCell="1" allowOverlap="1" wp14:anchorId="4A5EE012" wp14:editId="3622E27F">
            <wp:simplePos x="0" y="0"/>
            <wp:positionH relativeFrom="column">
              <wp:posOffset>3124200</wp:posOffset>
            </wp:positionH>
            <wp:positionV relativeFrom="paragraph">
              <wp:posOffset>121920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494B81" w:rsidRPr="00E32C6C">
        <w:rPr>
          <w:b/>
          <w:sz w:val="26"/>
          <w:szCs w:val="26"/>
        </w:rPr>
        <w:t>BY THE COMMISSION,</w:t>
      </w:r>
    </w:p>
    <w:p w14:paraId="2331AEC2" w14:textId="25791582" w:rsidR="00494B81" w:rsidRPr="00E32C6C" w:rsidRDefault="00494B81" w:rsidP="00E32C6C">
      <w:pPr>
        <w:keepNext/>
        <w:keepLines/>
        <w:widowControl/>
        <w:tabs>
          <w:tab w:val="left" w:pos="-720"/>
        </w:tabs>
        <w:rPr>
          <w:sz w:val="26"/>
          <w:szCs w:val="26"/>
        </w:rPr>
      </w:pPr>
    </w:p>
    <w:p w14:paraId="522CC21C" w14:textId="5363F617" w:rsidR="00494B81" w:rsidRDefault="00494B81" w:rsidP="00E32C6C">
      <w:pPr>
        <w:keepNext/>
        <w:keepLines/>
        <w:widowControl/>
        <w:tabs>
          <w:tab w:val="left" w:pos="-720"/>
        </w:tabs>
        <w:rPr>
          <w:sz w:val="26"/>
          <w:szCs w:val="26"/>
        </w:rPr>
      </w:pPr>
    </w:p>
    <w:p w14:paraId="2A14F171" w14:textId="77777777" w:rsidR="00C013DD" w:rsidRPr="00E32C6C" w:rsidRDefault="00C013DD" w:rsidP="00E32C6C">
      <w:pPr>
        <w:keepNext/>
        <w:keepLines/>
        <w:widowControl/>
        <w:tabs>
          <w:tab w:val="left" w:pos="-720"/>
        </w:tabs>
        <w:rPr>
          <w:sz w:val="26"/>
          <w:szCs w:val="26"/>
        </w:rPr>
      </w:pPr>
    </w:p>
    <w:p w14:paraId="1A1F7D8C" w14:textId="77777777" w:rsidR="00494B81" w:rsidRPr="00E32C6C" w:rsidRDefault="00494B81" w:rsidP="00E32C6C">
      <w:pPr>
        <w:keepNext/>
        <w:keepLines/>
        <w:widowControl/>
        <w:tabs>
          <w:tab w:val="left" w:pos="-720"/>
        </w:tabs>
        <w:rPr>
          <w:sz w:val="26"/>
          <w:szCs w:val="26"/>
        </w:rPr>
      </w:pPr>
    </w:p>
    <w:p w14:paraId="45202160" w14:textId="77777777" w:rsidR="00494B81" w:rsidRPr="00E32C6C" w:rsidRDefault="00494B81" w:rsidP="00E32C6C">
      <w:pPr>
        <w:keepNext/>
        <w:keepLines/>
        <w:widowControl/>
        <w:tabs>
          <w:tab w:val="left" w:pos="-720"/>
        </w:tabs>
        <w:ind w:firstLine="5040"/>
        <w:rPr>
          <w:b/>
          <w:sz w:val="26"/>
          <w:szCs w:val="26"/>
        </w:rPr>
      </w:pPr>
      <w:r w:rsidRPr="00E32C6C">
        <w:rPr>
          <w:sz w:val="26"/>
          <w:szCs w:val="26"/>
        </w:rPr>
        <w:t>Rosemary Chiavetta</w:t>
      </w:r>
    </w:p>
    <w:p w14:paraId="7CAD3E95" w14:textId="77777777" w:rsidR="00494B81" w:rsidRPr="00E32C6C" w:rsidRDefault="00494B81" w:rsidP="00E32C6C">
      <w:pPr>
        <w:keepNext/>
        <w:keepLines/>
        <w:widowControl/>
        <w:tabs>
          <w:tab w:val="left" w:pos="-720"/>
        </w:tabs>
        <w:ind w:firstLine="5040"/>
        <w:rPr>
          <w:sz w:val="26"/>
          <w:szCs w:val="26"/>
        </w:rPr>
      </w:pPr>
      <w:r w:rsidRPr="00E32C6C">
        <w:rPr>
          <w:sz w:val="26"/>
          <w:szCs w:val="26"/>
        </w:rPr>
        <w:t>Secretary</w:t>
      </w:r>
    </w:p>
    <w:p w14:paraId="1D46CAC0" w14:textId="77777777" w:rsidR="00494B81" w:rsidRPr="00E32C6C" w:rsidRDefault="00494B81" w:rsidP="00E32C6C">
      <w:pPr>
        <w:keepNext/>
        <w:keepLines/>
        <w:widowControl/>
        <w:tabs>
          <w:tab w:val="left" w:pos="-720"/>
        </w:tabs>
        <w:rPr>
          <w:sz w:val="26"/>
          <w:szCs w:val="26"/>
        </w:rPr>
      </w:pPr>
    </w:p>
    <w:p w14:paraId="3FDCDB87" w14:textId="77777777" w:rsidR="00494B81" w:rsidRPr="00E32C6C" w:rsidRDefault="00494B81" w:rsidP="00E32C6C">
      <w:pPr>
        <w:keepNext/>
        <w:keepLines/>
        <w:widowControl/>
        <w:tabs>
          <w:tab w:val="left" w:pos="-720"/>
        </w:tabs>
        <w:rPr>
          <w:sz w:val="26"/>
          <w:szCs w:val="26"/>
        </w:rPr>
      </w:pPr>
    </w:p>
    <w:p w14:paraId="16DE913A" w14:textId="77777777" w:rsidR="00494B81" w:rsidRPr="00E32C6C" w:rsidRDefault="00494B81" w:rsidP="00E32C6C">
      <w:pPr>
        <w:keepNext/>
        <w:keepLines/>
        <w:widowControl/>
        <w:tabs>
          <w:tab w:val="left" w:pos="-720"/>
        </w:tabs>
        <w:rPr>
          <w:sz w:val="26"/>
          <w:szCs w:val="26"/>
        </w:rPr>
      </w:pPr>
      <w:r w:rsidRPr="00E32C6C">
        <w:rPr>
          <w:sz w:val="26"/>
          <w:szCs w:val="26"/>
        </w:rPr>
        <w:t>(SEAL)</w:t>
      </w:r>
    </w:p>
    <w:p w14:paraId="737626F9" w14:textId="77777777" w:rsidR="00494B81" w:rsidRPr="00E32C6C" w:rsidRDefault="00494B81" w:rsidP="00E32C6C">
      <w:pPr>
        <w:keepNext/>
        <w:keepLines/>
        <w:widowControl/>
        <w:tabs>
          <w:tab w:val="left" w:pos="-720"/>
        </w:tabs>
        <w:rPr>
          <w:sz w:val="26"/>
          <w:szCs w:val="26"/>
        </w:rPr>
      </w:pPr>
    </w:p>
    <w:p w14:paraId="16C2148C" w14:textId="16AEF95C" w:rsidR="00494B81" w:rsidRPr="00E32C6C" w:rsidRDefault="00494B81" w:rsidP="00E32C6C">
      <w:pPr>
        <w:keepNext/>
        <w:keepLines/>
        <w:widowControl/>
        <w:tabs>
          <w:tab w:val="left" w:pos="-720"/>
        </w:tabs>
        <w:rPr>
          <w:sz w:val="26"/>
          <w:szCs w:val="26"/>
        </w:rPr>
      </w:pPr>
      <w:r w:rsidRPr="00E32C6C">
        <w:rPr>
          <w:sz w:val="26"/>
          <w:szCs w:val="26"/>
        </w:rPr>
        <w:t xml:space="preserve">ORDER ADOPTED:  </w:t>
      </w:r>
      <w:r w:rsidR="001925CF" w:rsidRPr="00E32C6C">
        <w:rPr>
          <w:sz w:val="26"/>
          <w:szCs w:val="26"/>
        </w:rPr>
        <w:t>August 27</w:t>
      </w:r>
      <w:r w:rsidRPr="00E32C6C">
        <w:rPr>
          <w:sz w:val="26"/>
          <w:szCs w:val="26"/>
        </w:rPr>
        <w:t>, 2020</w:t>
      </w:r>
    </w:p>
    <w:p w14:paraId="2E9AFC87" w14:textId="77777777" w:rsidR="00494B81" w:rsidRPr="00E32C6C" w:rsidRDefault="00494B81" w:rsidP="00E32C6C">
      <w:pPr>
        <w:keepNext/>
        <w:keepLines/>
        <w:widowControl/>
        <w:tabs>
          <w:tab w:val="left" w:pos="-720"/>
        </w:tabs>
        <w:rPr>
          <w:sz w:val="26"/>
          <w:szCs w:val="26"/>
        </w:rPr>
      </w:pPr>
    </w:p>
    <w:p w14:paraId="0AD68D54" w14:textId="648E1B05" w:rsidR="00494B81" w:rsidRPr="00E32C6C" w:rsidRDefault="00494B81" w:rsidP="00E32C6C">
      <w:pPr>
        <w:keepNext/>
        <w:keepLines/>
        <w:widowControl/>
        <w:tabs>
          <w:tab w:val="left" w:pos="-720"/>
        </w:tabs>
        <w:rPr>
          <w:sz w:val="26"/>
          <w:szCs w:val="26"/>
        </w:rPr>
      </w:pPr>
      <w:r w:rsidRPr="00E32C6C">
        <w:rPr>
          <w:sz w:val="26"/>
          <w:szCs w:val="26"/>
        </w:rPr>
        <w:t xml:space="preserve">ORDER ENTERED:  </w:t>
      </w:r>
      <w:r w:rsidR="003F47A1">
        <w:rPr>
          <w:sz w:val="26"/>
          <w:szCs w:val="26"/>
        </w:rPr>
        <w:t>August 27, 2020</w:t>
      </w:r>
    </w:p>
    <w:p w14:paraId="68F86D29" w14:textId="77777777" w:rsidR="00F272E7" w:rsidRPr="008B4DE4" w:rsidRDefault="00F272E7" w:rsidP="008B4DE4">
      <w:pPr>
        <w:widowControl/>
        <w:contextualSpacing/>
        <w:rPr>
          <w:bCs/>
          <w:sz w:val="26"/>
        </w:rPr>
      </w:pPr>
    </w:p>
    <w:sectPr w:rsidR="00F272E7" w:rsidRPr="008B4DE4"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73E1D" w14:textId="77777777" w:rsidR="004B4E4E" w:rsidRDefault="004B4E4E">
      <w:r>
        <w:separator/>
      </w:r>
    </w:p>
  </w:endnote>
  <w:endnote w:type="continuationSeparator" w:id="0">
    <w:p w14:paraId="6FC2CB32" w14:textId="77777777" w:rsidR="004B4E4E" w:rsidRDefault="004B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DCA84" w14:textId="77777777"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BEEE83" w14:textId="77777777" w:rsidR="00817F37" w:rsidRDefault="0081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2ED50" w14:textId="30A0FC09"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6616CF">
      <w:rPr>
        <w:rStyle w:val="PageNumber"/>
        <w:noProof/>
        <w:sz w:val="26"/>
      </w:rPr>
      <w:t>14</w:t>
    </w:r>
    <w:r w:rsidRPr="00C7667D">
      <w:rPr>
        <w:rStyle w:val="PageNumber"/>
        <w:sz w:val="26"/>
      </w:rPr>
      <w:fldChar w:fldCharType="end"/>
    </w:r>
  </w:p>
  <w:p w14:paraId="3786ECFB" w14:textId="77777777" w:rsidR="00817F37" w:rsidRDefault="00817F37"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4070B" w14:textId="77777777" w:rsidR="004B4E4E" w:rsidRDefault="004B4E4E">
      <w:r>
        <w:separator/>
      </w:r>
    </w:p>
  </w:footnote>
  <w:footnote w:type="continuationSeparator" w:id="0">
    <w:p w14:paraId="15D8B1F6" w14:textId="77777777" w:rsidR="004B4E4E" w:rsidRDefault="004B4E4E">
      <w:r>
        <w:continuationSeparator/>
      </w:r>
    </w:p>
  </w:footnote>
  <w:footnote w:id="1">
    <w:p w14:paraId="63F89187" w14:textId="651C4C30" w:rsidR="00494B81" w:rsidRPr="00543950" w:rsidRDefault="00494B81" w:rsidP="00494B81">
      <w:pPr>
        <w:pStyle w:val="FootnoteText"/>
        <w:keepNext/>
        <w:keepLines/>
        <w:spacing w:after="120"/>
        <w:rPr>
          <w:iCs/>
          <w:sz w:val="26"/>
          <w:szCs w:val="26"/>
        </w:rPr>
      </w:pPr>
      <w:r>
        <w:tab/>
      </w:r>
      <w:r w:rsidRPr="00D62F66">
        <w:rPr>
          <w:rStyle w:val="FootnoteReference"/>
          <w:sz w:val="26"/>
          <w:szCs w:val="26"/>
        </w:rPr>
        <w:footnoteRef/>
      </w:r>
      <w:r w:rsidRPr="00D62F66">
        <w:rPr>
          <w:sz w:val="26"/>
          <w:szCs w:val="26"/>
        </w:rPr>
        <w:t xml:space="preserve"> </w:t>
      </w:r>
      <w:r w:rsidRPr="00D62F66">
        <w:rPr>
          <w:sz w:val="26"/>
          <w:szCs w:val="26"/>
        </w:rPr>
        <w:tab/>
        <w:t xml:space="preserve">A more complete discussion of the history of this proceeding is presented in the </w:t>
      </w:r>
      <w:r w:rsidRPr="00494B81">
        <w:rPr>
          <w:i/>
          <w:iCs/>
          <w:sz w:val="26"/>
          <w:szCs w:val="26"/>
        </w:rPr>
        <w:t>May 2020</w:t>
      </w:r>
      <w:r w:rsidRPr="00D62F66">
        <w:rPr>
          <w:i/>
          <w:sz w:val="26"/>
          <w:szCs w:val="26"/>
        </w:rPr>
        <w:t xml:space="preserve"> Order</w:t>
      </w:r>
      <w:r w:rsidRPr="00D62F66">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7F70336E"/>
    <w:multiLevelType w:val="hybridMultilevel"/>
    <w:tmpl w:val="2FFC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10"/>
  </w:num>
  <w:num w:numId="5">
    <w:abstractNumId w:val="9"/>
  </w:num>
  <w:num w:numId="6">
    <w:abstractNumId w:val="0"/>
  </w:num>
  <w:num w:numId="7">
    <w:abstractNumId w:val="4"/>
  </w:num>
  <w:num w:numId="8">
    <w:abstractNumId w:val="3"/>
  </w:num>
  <w:num w:numId="9">
    <w:abstractNumId w:val="5"/>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03F"/>
    <w:rsid w:val="00002348"/>
    <w:rsid w:val="00002CE4"/>
    <w:rsid w:val="00002F2A"/>
    <w:rsid w:val="00002F49"/>
    <w:rsid w:val="000038D3"/>
    <w:rsid w:val="00003A05"/>
    <w:rsid w:val="0000415E"/>
    <w:rsid w:val="00005EE1"/>
    <w:rsid w:val="00005F78"/>
    <w:rsid w:val="00007440"/>
    <w:rsid w:val="000074DC"/>
    <w:rsid w:val="00007597"/>
    <w:rsid w:val="00007888"/>
    <w:rsid w:val="0001099D"/>
    <w:rsid w:val="00012D0C"/>
    <w:rsid w:val="000138C9"/>
    <w:rsid w:val="00013FDE"/>
    <w:rsid w:val="00014629"/>
    <w:rsid w:val="000158F2"/>
    <w:rsid w:val="00015A01"/>
    <w:rsid w:val="00020552"/>
    <w:rsid w:val="00020E43"/>
    <w:rsid w:val="00021761"/>
    <w:rsid w:val="00022D45"/>
    <w:rsid w:val="00023536"/>
    <w:rsid w:val="0002355F"/>
    <w:rsid w:val="000241F0"/>
    <w:rsid w:val="00025BDF"/>
    <w:rsid w:val="000310BE"/>
    <w:rsid w:val="000320BB"/>
    <w:rsid w:val="000323A8"/>
    <w:rsid w:val="00033C9A"/>
    <w:rsid w:val="00034CD7"/>
    <w:rsid w:val="00036927"/>
    <w:rsid w:val="000369A9"/>
    <w:rsid w:val="000438A2"/>
    <w:rsid w:val="00045A7A"/>
    <w:rsid w:val="000505E5"/>
    <w:rsid w:val="00051647"/>
    <w:rsid w:val="00053CED"/>
    <w:rsid w:val="000540F0"/>
    <w:rsid w:val="000549A7"/>
    <w:rsid w:val="00056968"/>
    <w:rsid w:val="00057057"/>
    <w:rsid w:val="00057859"/>
    <w:rsid w:val="000606AA"/>
    <w:rsid w:val="000610F9"/>
    <w:rsid w:val="00061113"/>
    <w:rsid w:val="00061850"/>
    <w:rsid w:val="000629CD"/>
    <w:rsid w:val="00063028"/>
    <w:rsid w:val="00063C09"/>
    <w:rsid w:val="00065DB6"/>
    <w:rsid w:val="00067196"/>
    <w:rsid w:val="000673D1"/>
    <w:rsid w:val="00067A0D"/>
    <w:rsid w:val="00071064"/>
    <w:rsid w:val="00071A8A"/>
    <w:rsid w:val="00073870"/>
    <w:rsid w:val="00075210"/>
    <w:rsid w:val="00075F0C"/>
    <w:rsid w:val="00080CCC"/>
    <w:rsid w:val="0008328F"/>
    <w:rsid w:val="00084DB9"/>
    <w:rsid w:val="00085099"/>
    <w:rsid w:val="00086D0B"/>
    <w:rsid w:val="00087D18"/>
    <w:rsid w:val="0009007E"/>
    <w:rsid w:val="00090AF0"/>
    <w:rsid w:val="000913B0"/>
    <w:rsid w:val="00091989"/>
    <w:rsid w:val="0009269E"/>
    <w:rsid w:val="00092ABD"/>
    <w:rsid w:val="00093C64"/>
    <w:rsid w:val="000940CD"/>
    <w:rsid w:val="0009466E"/>
    <w:rsid w:val="0009476C"/>
    <w:rsid w:val="00094F3D"/>
    <w:rsid w:val="00096F18"/>
    <w:rsid w:val="0009781B"/>
    <w:rsid w:val="000A0D32"/>
    <w:rsid w:val="000A135D"/>
    <w:rsid w:val="000A1B73"/>
    <w:rsid w:val="000A1EF2"/>
    <w:rsid w:val="000A21A6"/>
    <w:rsid w:val="000A35F4"/>
    <w:rsid w:val="000A4157"/>
    <w:rsid w:val="000A4770"/>
    <w:rsid w:val="000A6ADC"/>
    <w:rsid w:val="000A748C"/>
    <w:rsid w:val="000A7DDC"/>
    <w:rsid w:val="000A7F96"/>
    <w:rsid w:val="000B1E87"/>
    <w:rsid w:val="000B2B80"/>
    <w:rsid w:val="000B465F"/>
    <w:rsid w:val="000B729D"/>
    <w:rsid w:val="000C0702"/>
    <w:rsid w:val="000C742F"/>
    <w:rsid w:val="000D03DD"/>
    <w:rsid w:val="000D2456"/>
    <w:rsid w:val="000D7483"/>
    <w:rsid w:val="000D7DF3"/>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033A"/>
    <w:rsid w:val="00111A44"/>
    <w:rsid w:val="0011423D"/>
    <w:rsid w:val="00114D80"/>
    <w:rsid w:val="001170DB"/>
    <w:rsid w:val="00120FCD"/>
    <w:rsid w:val="00121111"/>
    <w:rsid w:val="00122941"/>
    <w:rsid w:val="00123375"/>
    <w:rsid w:val="00123802"/>
    <w:rsid w:val="0012456C"/>
    <w:rsid w:val="001260A0"/>
    <w:rsid w:val="0012697D"/>
    <w:rsid w:val="001312F0"/>
    <w:rsid w:val="00131517"/>
    <w:rsid w:val="00131A77"/>
    <w:rsid w:val="00131B43"/>
    <w:rsid w:val="00132C3A"/>
    <w:rsid w:val="00133684"/>
    <w:rsid w:val="00133D28"/>
    <w:rsid w:val="00134C35"/>
    <w:rsid w:val="00134D3A"/>
    <w:rsid w:val="00141760"/>
    <w:rsid w:val="001437B9"/>
    <w:rsid w:val="00150989"/>
    <w:rsid w:val="00151166"/>
    <w:rsid w:val="00153234"/>
    <w:rsid w:val="00153B73"/>
    <w:rsid w:val="001553BA"/>
    <w:rsid w:val="0015662E"/>
    <w:rsid w:val="0015669F"/>
    <w:rsid w:val="00156BE1"/>
    <w:rsid w:val="0015798E"/>
    <w:rsid w:val="00157A84"/>
    <w:rsid w:val="0016005F"/>
    <w:rsid w:val="00160565"/>
    <w:rsid w:val="001606BC"/>
    <w:rsid w:val="00160B7C"/>
    <w:rsid w:val="001620E4"/>
    <w:rsid w:val="00162420"/>
    <w:rsid w:val="00163AA3"/>
    <w:rsid w:val="00164D8D"/>
    <w:rsid w:val="00165945"/>
    <w:rsid w:val="00167F11"/>
    <w:rsid w:val="00172C4A"/>
    <w:rsid w:val="001730AD"/>
    <w:rsid w:val="001738D5"/>
    <w:rsid w:val="00175722"/>
    <w:rsid w:val="00175B2F"/>
    <w:rsid w:val="00177A43"/>
    <w:rsid w:val="00177ACE"/>
    <w:rsid w:val="001827DB"/>
    <w:rsid w:val="001852F0"/>
    <w:rsid w:val="00185B5E"/>
    <w:rsid w:val="00186183"/>
    <w:rsid w:val="00186887"/>
    <w:rsid w:val="001925CF"/>
    <w:rsid w:val="00192EBC"/>
    <w:rsid w:val="00193D64"/>
    <w:rsid w:val="001946F9"/>
    <w:rsid w:val="00196484"/>
    <w:rsid w:val="001967BB"/>
    <w:rsid w:val="00196A35"/>
    <w:rsid w:val="00196B75"/>
    <w:rsid w:val="00196BDC"/>
    <w:rsid w:val="00197F3D"/>
    <w:rsid w:val="001A29C7"/>
    <w:rsid w:val="001A4A0C"/>
    <w:rsid w:val="001A53C8"/>
    <w:rsid w:val="001A6370"/>
    <w:rsid w:val="001B1A49"/>
    <w:rsid w:val="001B4783"/>
    <w:rsid w:val="001B48DC"/>
    <w:rsid w:val="001B54B3"/>
    <w:rsid w:val="001B5749"/>
    <w:rsid w:val="001B6B53"/>
    <w:rsid w:val="001B7E44"/>
    <w:rsid w:val="001C167C"/>
    <w:rsid w:val="001C3135"/>
    <w:rsid w:val="001C420E"/>
    <w:rsid w:val="001C4A70"/>
    <w:rsid w:val="001C53B1"/>
    <w:rsid w:val="001C730F"/>
    <w:rsid w:val="001C7C12"/>
    <w:rsid w:val="001D11B8"/>
    <w:rsid w:val="001D266F"/>
    <w:rsid w:val="001D2BAD"/>
    <w:rsid w:val="001D51B5"/>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0542"/>
    <w:rsid w:val="002013B2"/>
    <w:rsid w:val="00201CF3"/>
    <w:rsid w:val="00201F63"/>
    <w:rsid w:val="00205839"/>
    <w:rsid w:val="00206720"/>
    <w:rsid w:val="00206C74"/>
    <w:rsid w:val="00210B26"/>
    <w:rsid w:val="00211405"/>
    <w:rsid w:val="00211442"/>
    <w:rsid w:val="00211B98"/>
    <w:rsid w:val="00213024"/>
    <w:rsid w:val="00213639"/>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1D83"/>
    <w:rsid w:val="00247BB1"/>
    <w:rsid w:val="00252D9D"/>
    <w:rsid w:val="00252E14"/>
    <w:rsid w:val="00253F56"/>
    <w:rsid w:val="00253FD2"/>
    <w:rsid w:val="002543BF"/>
    <w:rsid w:val="00255A6D"/>
    <w:rsid w:val="0025691E"/>
    <w:rsid w:val="00256A4C"/>
    <w:rsid w:val="00260041"/>
    <w:rsid w:val="00260547"/>
    <w:rsid w:val="00260A97"/>
    <w:rsid w:val="0026191C"/>
    <w:rsid w:val="00263EDB"/>
    <w:rsid w:val="00264ABB"/>
    <w:rsid w:val="00264FEB"/>
    <w:rsid w:val="00266827"/>
    <w:rsid w:val="0027071C"/>
    <w:rsid w:val="00274284"/>
    <w:rsid w:val="00274861"/>
    <w:rsid w:val="00275124"/>
    <w:rsid w:val="002751AE"/>
    <w:rsid w:val="002753CE"/>
    <w:rsid w:val="00275793"/>
    <w:rsid w:val="00277004"/>
    <w:rsid w:val="00281D3B"/>
    <w:rsid w:val="00282D52"/>
    <w:rsid w:val="002836FA"/>
    <w:rsid w:val="002838E3"/>
    <w:rsid w:val="00285550"/>
    <w:rsid w:val="00285919"/>
    <w:rsid w:val="0028615A"/>
    <w:rsid w:val="00286F7C"/>
    <w:rsid w:val="00287BE6"/>
    <w:rsid w:val="00287C95"/>
    <w:rsid w:val="00290436"/>
    <w:rsid w:val="0029085A"/>
    <w:rsid w:val="002931D9"/>
    <w:rsid w:val="002958B5"/>
    <w:rsid w:val="00295962"/>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B6225"/>
    <w:rsid w:val="002C0012"/>
    <w:rsid w:val="002C011D"/>
    <w:rsid w:val="002C19D9"/>
    <w:rsid w:val="002C47F4"/>
    <w:rsid w:val="002C4BF6"/>
    <w:rsid w:val="002C5EE0"/>
    <w:rsid w:val="002C6BD7"/>
    <w:rsid w:val="002C6E17"/>
    <w:rsid w:val="002D05A0"/>
    <w:rsid w:val="002D1465"/>
    <w:rsid w:val="002D1892"/>
    <w:rsid w:val="002D2D30"/>
    <w:rsid w:val="002D43F8"/>
    <w:rsid w:val="002D5A50"/>
    <w:rsid w:val="002D5C5B"/>
    <w:rsid w:val="002D6210"/>
    <w:rsid w:val="002D650D"/>
    <w:rsid w:val="002E035D"/>
    <w:rsid w:val="002E0503"/>
    <w:rsid w:val="002E1177"/>
    <w:rsid w:val="002E16FC"/>
    <w:rsid w:val="002E5790"/>
    <w:rsid w:val="002E6B07"/>
    <w:rsid w:val="002E6E40"/>
    <w:rsid w:val="002E6EE9"/>
    <w:rsid w:val="002F0636"/>
    <w:rsid w:val="002F0ADE"/>
    <w:rsid w:val="002F0CED"/>
    <w:rsid w:val="002F1870"/>
    <w:rsid w:val="002F2CEF"/>
    <w:rsid w:val="002F5424"/>
    <w:rsid w:val="002F5B24"/>
    <w:rsid w:val="002F5D1D"/>
    <w:rsid w:val="002F5F8C"/>
    <w:rsid w:val="002F714D"/>
    <w:rsid w:val="00301039"/>
    <w:rsid w:val="00301857"/>
    <w:rsid w:val="00302000"/>
    <w:rsid w:val="003037DB"/>
    <w:rsid w:val="00303C9B"/>
    <w:rsid w:val="00304ABF"/>
    <w:rsid w:val="00304E14"/>
    <w:rsid w:val="0030541E"/>
    <w:rsid w:val="0030758B"/>
    <w:rsid w:val="00307DD5"/>
    <w:rsid w:val="0031153E"/>
    <w:rsid w:val="00312E08"/>
    <w:rsid w:val="003143DF"/>
    <w:rsid w:val="00314831"/>
    <w:rsid w:val="00314B64"/>
    <w:rsid w:val="003158CE"/>
    <w:rsid w:val="003159BD"/>
    <w:rsid w:val="00316BFA"/>
    <w:rsid w:val="003177A0"/>
    <w:rsid w:val="003211A5"/>
    <w:rsid w:val="003218DD"/>
    <w:rsid w:val="00322A65"/>
    <w:rsid w:val="00324FDF"/>
    <w:rsid w:val="003255BF"/>
    <w:rsid w:val="00326A17"/>
    <w:rsid w:val="00330273"/>
    <w:rsid w:val="003336F9"/>
    <w:rsid w:val="00337DFD"/>
    <w:rsid w:val="00340C45"/>
    <w:rsid w:val="00343BD1"/>
    <w:rsid w:val="00345135"/>
    <w:rsid w:val="00347B63"/>
    <w:rsid w:val="00350145"/>
    <w:rsid w:val="00353BD2"/>
    <w:rsid w:val="00353E07"/>
    <w:rsid w:val="003550FF"/>
    <w:rsid w:val="003551C4"/>
    <w:rsid w:val="0036013A"/>
    <w:rsid w:val="00360D84"/>
    <w:rsid w:val="003625EF"/>
    <w:rsid w:val="0036428E"/>
    <w:rsid w:val="00364C2A"/>
    <w:rsid w:val="00364F96"/>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4D26"/>
    <w:rsid w:val="003854A6"/>
    <w:rsid w:val="00385595"/>
    <w:rsid w:val="00390901"/>
    <w:rsid w:val="00390FB3"/>
    <w:rsid w:val="0039323C"/>
    <w:rsid w:val="00394901"/>
    <w:rsid w:val="00394E43"/>
    <w:rsid w:val="00396E0C"/>
    <w:rsid w:val="00397A8B"/>
    <w:rsid w:val="00397DE1"/>
    <w:rsid w:val="003A0193"/>
    <w:rsid w:val="003A0289"/>
    <w:rsid w:val="003A05A4"/>
    <w:rsid w:val="003A1A53"/>
    <w:rsid w:val="003A1BF7"/>
    <w:rsid w:val="003A3888"/>
    <w:rsid w:val="003A4F76"/>
    <w:rsid w:val="003A50AE"/>
    <w:rsid w:val="003A5385"/>
    <w:rsid w:val="003A5892"/>
    <w:rsid w:val="003A62C4"/>
    <w:rsid w:val="003A79A7"/>
    <w:rsid w:val="003B1460"/>
    <w:rsid w:val="003B2BFA"/>
    <w:rsid w:val="003B3893"/>
    <w:rsid w:val="003B3CEA"/>
    <w:rsid w:val="003B55BA"/>
    <w:rsid w:val="003B561F"/>
    <w:rsid w:val="003B6A0D"/>
    <w:rsid w:val="003B6F63"/>
    <w:rsid w:val="003C042A"/>
    <w:rsid w:val="003C0DCF"/>
    <w:rsid w:val="003C0F72"/>
    <w:rsid w:val="003C135E"/>
    <w:rsid w:val="003C1A4B"/>
    <w:rsid w:val="003C4355"/>
    <w:rsid w:val="003C5CBD"/>
    <w:rsid w:val="003C61AD"/>
    <w:rsid w:val="003D1299"/>
    <w:rsid w:val="003D234C"/>
    <w:rsid w:val="003D4436"/>
    <w:rsid w:val="003D4638"/>
    <w:rsid w:val="003D509A"/>
    <w:rsid w:val="003D5612"/>
    <w:rsid w:val="003D7A8D"/>
    <w:rsid w:val="003E22CB"/>
    <w:rsid w:val="003E3836"/>
    <w:rsid w:val="003E4290"/>
    <w:rsid w:val="003E6544"/>
    <w:rsid w:val="003E771C"/>
    <w:rsid w:val="003E784C"/>
    <w:rsid w:val="003F07AF"/>
    <w:rsid w:val="003F08B3"/>
    <w:rsid w:val="003F27D1"/>
    <w:rsid w:val="003F287E"/>
    <w:rsid w:val="003F47A1"/>
    <w:rsid w:val="003F7000"/>
    <w:rsid w:val="00400A85"/>
    <w:rsid w:val="004023F4"/>
    <w:rsid w:val="00402479"/>
    <w:rsid w:val="00404D47"/>
    <w:rsid w:val="00406562"/>
    <w:rsid w:val="0041052A"/>
    <w:rsid w:val="004113DE"/>
    <w:rsid w:val="00411CC6"/>
    <w:rsid w:val="00412DCF"/>
    <w:rsid w:val="004144EE"/>
    <w:rsid w:val="004146BE"/>
    <w:rsid w:val="00414855"/>
    <w:rsid w:val="00415460"/>
    <w:rsid w:val="00415483"/>
    <w:rsid w:val="00415E65"/>
    <w:rsid w:val="004170E4"/>
    <w:rsid w:val="00417166"/>
    <w:rsid w:val="00417B92"/>
    <w:rsid w:val="00420B2F"/>
    <w:rsid w:val="004214D7"/>
    <w:rsid w:val="004217F6"/>
    <w:rsid w:val="0042446A"/>
    <w:rsid w:val="00426B65"/>
    <w:rsid w:val="004275F4"/>
    <w:rsid w:val="00433069"/>
    <w:rsid w:val="004337A1"/>
    <w:rsid w:val="00437F57"/>
    <w:rsid w:val="00442A6D"/>
    <w:rsid w:val="00442CCD"/>
    <w:rsid w:val="00446BF2"/>
    <w:rsid w:val="0044738E"/>
    <w:rsid w:val="00450B3B"/>
    <w:rsid w:val="00450F9E"/>
    <w:rsid w:val="004513A2"/>
    <w:rsid w:val="00451FE4"/>
    <w:rsid w:val="0045283E"/>
    <w:rsid w:val="0045374A"/>
    <w:rsid w:val="00455DFC"/>
    <w:rsid w:val="00456DED"/>
    <w:rsid w:val="00457051"/>
    <w:rsid w:val="0045711B"/>
    <w:rsid w:val="0045730E"/>
    <w:rsid w:val="004600FF"/>
    <w:rsid w:val="00461166"/>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2FDC"/>
    <w:rsid w:val="00483C56"/>
    <w:rsid w:val="004840C2"/>
    <w:rsid w:val="004870D9"/>
    <w:rsid w:val="0048747D"/>
    <w:rsid w:val="004920D8"/>
    <w:rsid w:val="0049291D"/>
    <w:rsid w:val="004938FA"/>
    <w:rsid w:val="00493EA2"/>
    <w:rsid w:val="004949D0"/>
    <w:rsid w:val="00494B81"/>
    <w:rsid w:val="00496DAA"/>
    <w:rsid w:val="0049745E"/>
    <w:rsid w:val="0049771B"/>
    <w:rsid w:val="004A34D5"/>
    <w:rsid w:val="004A43F1"/>
    <w:rsid w:val="004A45DC"/>
    <w:rsid w:val="004A4839"/>
    <w:rsid w:val="004A4D14"/>
    <w:rsid w:val="004A6496"/>
    <w:rsid w:val="004A6520"/>
    <w:rsid w:val="004A7831"/>
    <w:rsid w:val="004A7E33"/>
    <w:rsid w:val="004B2FCC"/>
    <w:rsid w:val="004B3A7B"/>
    <w:rsid w:val="004B3BCD"/>
    <w:rsid w:val="004B430B"/>
    <w:rsid w:val="004B4E4E"/>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287"/>
    <w:rsid w:val="004D652F"/>
    <w:rsid w:val="004D667C"/>
    <w:rsid w:val="004D78EC"/>
    <w:rsid w:val="004E5323"/>
    <w:rsid w:val="004E58C3"/>
    <w:rsid w:val="004F2383"/>
    <w:rsid w:val="004F5854"/>
    <w:rsid w:val="004F59CD"/>
    <w:rsid w:val="004F7A65"/>
    <w:rsid w:val="00500B53"/>
    <w:rsid w:val="00501313"/>
    <w:rsid w:val="00505654"/>
    <w:rsid w:val="00505BA0"/>
    <w:rsid w:val="00505E50"/>
    <w:rsid w:val="005121D5"/>
    <w:rsid w:val="005125C4"/>
    <w:rsid w:val="005129AA"/>
    <w:rsid w:val="00514BD9"/>
    <w:rsid w:val="00515F69"/>
    <w:rsid w:val="005175D0"/>
    <w:rsid w:val="00517E17"/>
    <w:rsid w:val="005201D8"/>
    <w:rsid w:val="00520BBC"/>
    <w:rsid w:val="0052172B"/>
    <w:rsid w:val="00522815"/>
    <w:rsid w:val="005229E8"/>
    <w:rsid w:val="00523347"/>
    <w:rsid w:val="005233D3"/>
    <w:rsid w:val="00524EF6"/>
    <w:rsid w:val="005265A2"/>
    <w:rsid w:val="00530F5B"/>
    <w:rsid w:val="005321F4"/>
    <w:rsid w:val="005332F5"/>
    <w:rsid w:val="00533713"/>
    <w:rsid w:val="00534A1D"/>
    <w:rsid w:val="00536217"/>
    <w:rsid w:val="00536591"/>
    <w:rsid w:val="005406D3"/>
    <w:rsid w:val="005417B5"/>
    <w:rsid w:val="005429B4"/>
    <w:rsid w:val="00542BE8"/>
    <w:rsid w:val="00543950"/>
    <w:rsid w:val="00543E4D"/>
    <w:rsid w:val="00544F99"/>
    <w:rsid w:val="005455AB"/>
    <w:rsid w:val="005455ED"/>
    <w:rsid w:val="00545FB5"/>
    <w:rsid w:val="0055184D"/>
    <w:rsid w:val="00552997"/>
    <w:rsid w:val="0055414F"/>
    <w:rsid w:val="00555069"/>
    <w:rsid w:val="005579ED"/>
    <w:rsid w:val="005579F7"/>
    <w:rsid w:val="005605A1"/>
    <w:rsid w:val="00560E96"/>
    <w:rsid w:val="0056119D"/>
    <w:rsid w:val="005621B2"/>
    <w:rsid w:val="005626BA"/>
    <w:rsid w:val="00562E63"/>
    <w:rsid w:val="005648A0"/>
    <w:rsid w:val="00564E19"/>
    <w:rsid w:val="00567D40"/>
    <w:rsid w:val="005703A8"/>
    <w:rsid w:val="00574320"/>
    <w:rsid w:val="00574ED6"/>
    <w:rsid w:val="00575107"/>
    <w:rsid w:val="0057514C"/>
    <w:rsid w:val="0057789B"/>
    <w:rsid w:val="00577B05"/>
    <w:rsid w:val="005823D7"/>
    <w:rsid w:val="0058331B"/>
    <w:rsid w:val="00583807"/>
    <w:rsid w:val="00584BB2"/>
    <w:rsid w:val="0058529B"/>
    <w:rsid w:val="00592CAB"/>
    <w:rsid w:val="00593025"/>
    <w:rsid w:val="0059626E"/>
    <w:rsid w:val="005A08BE"/>
    <w:rsid w:val="005A0CF6"/>
    <w:rsid w:val="005A2D70"/>
    <w:rsid w:val="005A4358"/>
    <w:rsid w:val="005A4418"/>
    <w:rsid w:val="005A4D2D"/>
    <w:rsid w:val="005A6378"/>
    <w:rsid w:val="005A6DEC"/>
    <w:rsid w:val="005B01F2"/>
    <w:rsid w:val="005B1396"/>
    <w:rsid w:val="005B1F31"/>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3729"/>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5036"/>
    <w:rsid w:val="00625C7F"/>
    <w:rsid w:val="00627BCE"/>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40DC"/>
    <w:rsid w:val="0065707C"/>
    <w:rsid w:val="00657623"/>
    <w:rsid w:val="00657E57"/>
    <w:rsid w:val="00660C81"/>
    <w:rsid w:val="00660EDC"/>
    <w:rsid w:val="006616CF"/>
    <w:rsid w:val="006617A4"/>
    <w:rsid w:val="006643E9"/>
    <w:rsid w:val="00664FE3"/>
    <w:rsid w:val="00667DA0"/>
    <w:rsid w:val="0067116A"/>
    <w:rsid w:val="00675032"/>
    <w:rsid w:val="006757DB"/>
    <w:rsid w:val="00676B83"/>
    <w:rsid w:val="00677531"/>
    <w:rsid w:val="00677F26"/>
    <w:rsid w:val="00677F6B"/>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94DFF"/>
    <w:rsid w:val="006A0106"/>
    <w:rsid w:val="006A0550"/>
    <w:rsid w:val="006A0B82"/>
    <w:rsid w:val="006A15A1"/>
    <w:rsid w:val="006A29BE"/>
    <w:rsid w:val="006A3D33"/>
    <w:rsid w:val="006A41E2"/>
    <w:rsid w:val="006A5D48"/>
    <w:rsid w:val="006A780B"/>
    <w:rsid w:val="006A78FD"/>
    <w:rsid w:val="006B1632"/>
    <w:rsid w:val="006B2529"/>
    <w:rsid w:val="006B2CA4"/>
    <w:rsid w:val="006B2D7F"/>
    <w:rsid w:val="006B54BB"/>
    <w:rsid w:val="006B6994"/>
    <w:rsid w:val="006B6F21"/>
    <w:rsid w:val="006B7130"/>
    <w:rsid w:val="006C0C94"/>
    <w:rsid w:val="006C2A53"/>
    <w:rsid w:val="006C48BC"/>
    <w:rsid w:val="006C48E6"/>
    <w:rsid w:val="006C4B3A"/>
    <w:rsid w:val="006C5BFF"/>
    <w:rsid w:val="006C5DAF"/>
    <w:rsid w:val="006D1430"/>
    <w:rsid w:val="006D16EE"/>
    <w:rsid w:val="006D1987"/>
    <w:rsid w:val="006D1F59"/>
    <w:rsid w:val="006D3169"/>
    <w:rsid w:val="006D3F69"/>
    <w:rsid w:val="006D44CC"/>
    <w:rsid w:val="006D50A0"/>
    <w:rsid w:val="006E05E8"/>
    <w:rsid w:val="006E0927"/>
    <w:rsid w:val="006E169E"/>
    <w:rsid w:val="006E26F2"/>
    <w:rsid w:val="006E37C1"/>
    <w:rsid w:val="006E40D4"/>
    <w:rsid w:val="006E4730"/>
    <w:rsid w:val="006E7EAD"/>
    <w:rsid w:val="006F0316"/>
    <w:rsid w:val="006F1FC8"/>
    <w:rsid w:val="006F2C1A"/>
    <w:rsid w:val="006F35C0"/>
    <w:rsid w:val="006F381F"/>
    <w:rsid w:val="006F3A31"/>
    <w:rsid w:val="006F3BFD"/>
    <w:rsid w:val="006F4482"/>
    <w:rsid w:val="006F55E7"/>
    <w:rsid w:val="006F57F7"/>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2F7D"/>
    <w:rsid w:val="00733B06"/>
    <w:rsid w:val="00734D57"/>
    <w:rsid w:val="0073522D"/>
    <w:rsid w:val="00737F05"/>
    <w:rsid w:val="007417DE"/>
    <w:rsid w:val="0074182D"/>
    <w:rsid w:val="007446FC"/>
    <w:rsid w:val="00745184"/>
    <w:rsid w:val="00745908"/>
    <w:rsid w:val="007477F4"/>
    <w:rsid w:val="00751EBE"/>
    <w:rsid w:val="00752F02"/>
    <w:rsid w:val="007538C7"/>
    <w:rsid w:val="0075784D"/>
    <w:rsid w:val="00757B89"/>
    <w:rsid w:val="00757C4B"/>
    <w:rsid w:val="00760C68"/>
    <w:rsid w:val="0076252E"/>
    <w:rsid w:val="007631E0"/>
    <w:rsid w:val="007655F8"/>
    <w:rsid w:val="00765FB5"/>
    <w:rsid w:val="0076670A"/>
    <w:rsid w:val="00766820"/>
    <w:rsid w:val="007669EB"/>
    <w:rsid w:val="00767745"/>
    <w:rsid w:val="007721FA"/>
    <w:rsid w:val="00772F48"/>
    <w:rsid w:val="007736BA"/>
    <w:rsid w:val="00774394"/>
    <w:rsid w:val="0077505E"/>
    <w:rsid w:val="00775F8A"/>
    <w:rsid w:val="0077600A"/>
    <w:rsid w:val="00776AD2"/>
    <w:rsid w:val="007800E4"/>
    <w:rsid w:val="00780972"/>
    <w:rsid w:val="00780A9E"/>
    <w:rsid w:val="00780AA2"/>
    <w:rsid w:val="00781A9D"/>
    <w:rsid w:val="00781E30"/>
    <w:rsid w:val="00783778"/>
    <w:rsid w:val="007840BB"/>
    <w:rsid w:val="00785E2E"/>
    <w:rsid w:val="00790164"/>
    <w:rsid w:val="007908C5"/>
    <w:rsid w:val="00791772"/>
    <w:rsid w:val="00794A1F"/>
    <w:rsid w:val="00795F22"/>
    <w:rsid w:val="007A08A5"/>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0AC"/>
    <w:rsid w:val="007B6B1E"/>
    <w:rsid w:val="007B7CC9"/>
    <w:rsid w:val="007C104D"/>
    <w:rsid w:val="007C2AD4"/>
    <w:rsid w:val="007C2DD4"/>
    <w:rsid w:val="007C3B06"/>
    <w:rsid w:val="007C3E46"/>
    <w:rsid w:val="007C4F78"/>
    <w:rsid w:val="007C5024"/>
    <w:rsid w:val="007C5CBD"/>
    <w:rsid w:val="007C73B8"/>
    <w:rsid w:val="007D3420"/>
    <w:rsid w:val="007D3687"/>
    <w:rsid w:val="007D3F59"/>
    <w:rsid w:val="007D4EA3"/>
    <w:rsid w:val="007D5362"/>
    <w:rsid w:val="007E000F"/>
    <w:rsid w:val="007E1135"/>
    <w:rsid w:val="007E1D38"/>
    <w:rsid w:val="007E2284"/>
    <w:rsid w:val="007E29CF"/>
    <w:rsid w:val="007E35D8"/>
    <w:rsid w:val="007E496A"/>
    <w:rsid w:val="007E6661"/>
    <w:rsid w:val="007E6721"/>
    <w:rsid w:val="007F2E32"/>
    <w:rsid w:val="007F3880"/>
    <w:rsid w:val="007F3B8C"/>
    <w:rsid w:val="007F421B"/>
    <w:rsid w:val="007F6BDD"/>
    <w:rsid w:val="007F7A41"/>
    <w:rsid w:val="00804D26"/>
    <w:rsid w:val="00807623"/>
    <w:rsid w:val="00807B53"/>
    <w:rsid w:val="00810D34"/>
    <w:rsid w:val="00811503"/>
    <w:rsid w:val="00812EEE"/>
    <w:rsid w:val="00812F41"/>
    <w:rsid w:val="008141CE"/>
    <w:rsid w:val="00814E45"/>
    <w:rsid w:val="00815839"/>
    <w:rsid w:val="0081620E"/>
    <w:rsid w:val="0081658F"/>
    <w:rsid w:val="0081739B"/>
    <w:rsid w:val="008179CF"/>
    <w:rsid w:val="00817F37"/>
    <w:rsid w:val="00820871"/>
    <w:rsid w:val="00820CE5"/>
    <w:rsid w:val="00820E00"/>
    <w:rsid w:val="008213F1"/>
    <w:rsid w:val="00825D43"/>
    <w:rsid w:val="00826B14"/>
    <w:rsid w:val="00830148"/>
    <w:rsid w:val="008316AD"/>
    <w:rsid w:val="00832F87"/>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728C"/>
    <w:rsid w:val="0086134D"/>
    <w:rsid w:val="00861FD7"/>
    <w:rsid w:val="00865057"/>
    <w:rsid w:val="00865472"/>
    <w:rsid w:val="0087080C"/>
    <w:rsid w:val="00870E37"/>
    <w:rsid w:val="00874671"/>
    <w:rsid w:val="00874953"/>
    <w:rsid w:val="0087635E"/>
    <w:rsid w:val="00876921"/>
    <w:rsid w:val="00876B68"/>
    <w:rsid w:val="0088013C"/>
    <w:rsid w:val="008821C7"/>
    <w:rsid w:val="0088286F"/>
    <w:rsid w:val="00883EA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4DE4"/>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AE2"/>
    <w:rsid w:val="008D0C62"/>
    <w:rsid w:val="008D2528"/>
    <w:rsid w:val="008D268C"/>
    <w:rsid w:val="008D2CD6"/>
    <w:rsid w:val="008D39B0"/>
    <w:rsid w:val="008D462B"/>
    <w:rsid w:val="008D4939"/>
    <w:rsid w:val="008D4F0B"/>
    <w:rsid w:val="008E0465"/>
    <w:rsid w:val="008E1195"/>
    <w:rsid w:val="008E2E38"/>
    <w:rsid w:val="008E3AEA"/>
    <w:rsid w:val="008E3D60"/>
    <w:rsid w:val="008E5883"/>
    <w:rsid w:val="008E6B68"/>
    <w:rsid w:val="008E7390"/>
    <w:rsid w:val="008E762D"/>
    <w:rsid w:val="008F000D"/>
    <w:rsid w:val="008F1F00"/>
    <w:rsid w:val="008F32A1"/>
    <w:rsid w:val="008F429E"/>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618A"/>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3D31"/>
    <w:rsid w:val="00934660"/>
    <w:rsid w:val="00934E21"/>
    <w:rsid w:val="00936B44"/>
    <w:rsid w:val="00936EC8"/>
    <w:rsid w:val="009416FE"/>
    <w:rsid w:val="009417E1"/>
    <w:rsid w:val="00942AE0"/>
    <w:rsid w:val="00945D12"/>
    <w:rsid w:val="00947F9D"/>
    <w:rsid w:val="00950381"/>
    <w:rsid w:val="00953C4E"/>
    <w:rsid w:val="009602FC"/>
    <w:rsid w:val="00962287"/>
    <w:rsid w:val="00962690"/>
    <w:rsid w:val="00970FA2"/>
    <w:rsid w:val="00971077"/>
    <w:rsid w:val="00971B25"/>
    <w:rsid w:val="00973FD3"/>
    <w:rsid w:val="00973FE6"/>
    <w:rsid w:val="009740C4"/>
    <w:rsid w:val="00976F69"/>
    <w:rsid w:val="00981F79"/>
    <w:rsid w:val="009825C9"/>
    <w:rsid w:val="00982FE8"/>
    <w:rsid w:val="009837F1"/>
    <w:rsid w:val="009850EF"/>
    <w:rsid w:val="00985278"/>
    <w:rsid w:val="009868FC"/>
    <w:rsid w:val="00987E0D"/>
    <w:rsid w:val="00990A70"/>
    <w:rsid w:val="00991558"/>
    <w:rsid w:val="00991A16"/>
    <w:rsid w:val="00992433"/>
    <w:rsid w:val="00992BE2"/>
    <w:rsid w:val="009941C2"/>
    <w:rsid w:val="0099562E"/>
    <w:rsid w:val="00996DDC"/>
    <w:rsid w:val="009A2E41"/>
    <w:rsid w:val="009A52C1"/>
    <w:rsid w:val="009A5EA7"/>
    <w:rsid w:val="009B455D"/>
    <w:rsid w:val="009B48EC"/>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68"/>
    <w:rsid w:val="009E3FAC"/>
    <w:rsid w:val="009E5351"/>
    <w:rsid w:val="009E5378"/>
    <w:rsid w:val="009E56B4"/>
    <w:rsid w:val="009E6D68"/>
    <w:rsid w:val="009F029A"/>
    <w:rsid w:val="009F0DA4"/>
    <w:rsid w:val="009F28C9"/>
    <w:rsid w:val="009F43C3"/>
    <w:rsid w:val="009F4D28"/>
    <w:rsid w:val="009F6110"/>
    <w:rsid w:val="009F615E"/>
    <w:rsid w:val="009F6933"/>
    <w:rsid w:val="009F7D43"/>
    <w:rsid w:val="00A012D0"/>
    <w:rsid w:val="00A0161E"/>
    <w:rsid w:val="00A043FE"/>
    <w:rsid w:val="00A05803"/>
    <w:rsid w:val="00A05916"/>
    <w:rsid w:val="00A06E1B"/>
    <w:rsid w:val="00A0794D"/>
    <w:rsid w:val="00A16480"/>
    <w:rsid w:val="00A16741"/>
    <w:rsid w:val="00A2114F"/>
    <w:rsid w:val="00A218A7"/>
    <w:rsid w:val="00A2216E"/>
    <w:rsid w:val="00A22A96"/>
    <w:rsid w:val="00A2370B"/>
    <w:rsid w:val="00A24782"/>
    <w:rsid w:val="00A25885"/>
    <w:rsid w:val="00A265F3"/>
    <w:rsid w:val="00A26CAA"/>
    <w:rsid w:val="00A26CCB"/>
    <w:rsid w:val="00A27AFB"/>
    <w:rsid w:val="00A31536"/>
    <w:rsid w:val="00A315A7"/>
    <w:rsid w:val="00A31956"/>
    <w:rsid w:val="00A33C0B"/>
    <w:rsid w:val="00A33DC9"/>
    <w:rsid w:val="00A33F77"/>
    <w:rsid w:val="00A35831"/>
    <w:rsid w:val="00A36E14"/>
    <w:rsid w:val="00A3743F"/>
    <w:rsid w:val="00A412EF"/>
    <w:rsid w:val="00A42EF2"/>
    <w:rsid w:val="00A44D84"/>
    <w:rsid w:val="00A45557"/>
    <w:rsid w:val="00A45BD2"/>
    <w:rsid w:val="00A46F60"/>
    <w:rsid w:val="00A4716C"/>
    <w:rsid w:val="00A479EA"/>
    <w:rsid w:val="00A50436"/>
    <w:rsid w:val="00A5275D"/>
    <w:rsid w:val="00A52A12"/>
    <w:rsid w:val="00A52ED5"/>
    <w:rsid w:val="00A5372E"/>
    <w:rsid w:val="00A54194"/>
    <w:rsid w:val="00A54E6E"/>
    <w:rsid w:val="00A5515B"/>
    <w:rsid w:val="00A55D67"/>
    <w:rsid w:val="00A578D4"/>
    <w:rsid w:val="00A61015"/>
    <w:rsid w:val="00A61D6F"/>
    <w:rsid w:val="00A61D7A"/>
    <w:rsid w:val="00A64735"/>
    <w:rsid w:val="00A64A5F"/>
    <w:rsid w:val="00A653BF"/>
    <w:rsid w:val="00A654E5"/>
    <w:rsid w:val="00A659E2"/>
    <w:rsid w:val="00A7271D"/>
    <w:rsid w:val="00A72F5E"/>
    <w:rsid w:val="00A7322E"/>
    <w:rsid w:val="00A73FFB"/>
    <w:rsid w:val="00A74A7D"/>
    <w:rsid w:val="00A766F9"/>
    <w:rsid w:val="00A81E2E"/>
    <w:rsid w:val="00A8265A"/>
    <w:rsid w:val="00A83F16"/>
    <w:rsid w:val="00A84303"/>
    <w:rsid w:val="00A84D22"/>
    <w:rsid w:val="00A8510A"/>
    <w:rsid w:val="00A860D4"/>
    <w:rsid w:val="00A8651D"/>
    <w:rsid w:val="00A916E4"/>
    <w:rsid w:val="00A91BFE"/>
    <w:rsid w:val="00A92240"/>
    <w:rsid w:val="00A931DE"/>
    <w:rsid w:val="00A93D89"/>
    <w:rsid w:val="00A95A99"/>
    <w:rsid w:val="00A95EB3"/>
    <w:rsid w:val="00A964C1"/>
    <w:rsid w:val="00AA0D4E"/>
    <w:rsid w:val="00AA1034"/>
    <w:rsid w:val="00AA4A4A"/>
    <w:rsid w:val="00AA548E"/>
    <w:rsid w:val="00AA5C5A"/>
    <w:rsid w:val="00AA6178"/>
    <w:rsid w:val="00AB055A"/>
    <w:rsid w:val="00AB2251"/>
    <w:rsid w:val="00AB2C4F"/>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ADC"/>
    <w:rsid w:val="00AD7C99"/>
    <w:rsid w:val="00AD7D0B"/>
    <w:rsid w:val="00AE09BA"/>
    <w:rsid w:val="00AE1258"/>
    <w:rsid w:val="00AE22A4"/>
    <w:rsid w:val="00AE297E"/>
    <w:rsid w:val="00AE32D0"/>
    <w:rsid w:val="00AE4D58"/>
    <w:rsid w:val="00AE5BCC"/>
    <w:rsid w:val="00AE665F"/>
    <w:rsid w:val="00AE67D7"/>
    <w:rsid w:val="00AF03C9"/>
    <w:rsid w:val="00AF0428"/>
    <w:rsid w:val="00AF3BFA"/>
    <w:rsid w:val="00AF3E3E"/>
    <w:rsid w:val="00AF490E"/>
    <w:rsid w:val="00AF57F6"/>
    <w:rsid w:val="00AF629B"/>
    <w:rsid w:val="00B0360E"/>
    <w:rsid w:val="00B04D8B"/>
    <w:rsid w:val="00B06497"/>
    <w:rsid w:val="00B068F4"/>
    <w:rsid w:val="00B075DE"/>
    <w:rsid w:val="00B07E37"/>
    <w:rsid w:val="00B11D1A"/>
    <w:rsid w:val="00B11E5B"/>
    <w:rsid w:val="00B1263F"/>
    <w:rsid w:val="00B12E10"/>
    <w:rsid w:val="00B146AF"/>
    <w:rsid w:val="00B210A2"/>
    <w:rsid w:val="00B216E3"/>
    <w:rsid w:val="00B217E8"/>
    <w:rsid w:val="00B23540"/>
    <w:rsid w:val="00B24B12"/>
    <w:rsid w:val="00B24D4E"/>
    <w:rsid w:val="00B258FE"/>
    <w:rsid w:val="00B26BB7"/>
    <w:rsid w:val="00B30888"/>
    <w:rsid w:val="00B3107C"/>
    <w:rsid w:val="00B32D74"/>
    <w:rsid w:val="00B35E0E"/>
    <w:rsid w:val="00B36C27"/>
    <w:rsid w:val="00B40231"/>
    <w:rsid w:val="00B40AFB"/>
    <w:rsid w:val="00B41911"/>
    <w:rsid w:val="00B46787"/>
    <w:rsid w:val="00B50099"/>
    <w:rsid w:val="00B5013D"/>
    <w:rsid w:val="00B501B5"/>
    <w:rsid w:val="00B508E9"/>
    <w:rsid w:val="00B50A32"/>
    <w:rsid w:val="00B51417"/>
    <w:rsid w:val="00B52B1B"/>
    <w:rsid w:val="00B531F1"/>
    <w:rsid w:val="00B54027"/>
    <w:rsid w:val="00B55F29"/>
    <w:rsid w:val="00B56156"/>
    <w:rsid w:val="00B562F0"/>
    <w:rsid w:val="00B56E5D"/>
    <w:rsid w:val="00B60F8C"/>
    <w:rsid w:val="00B6365C"/>
    <w:rsid w:val="00B70517"/>
    <w:rsid w:val="00B7154E"/>
    <w:rsid w:val="00B715C6"/>
    <w:rsid w:val="00B75272"/>
    <w:rsid w:val="00B75BB3"/>
    <w:rsid w:val="00B76878"/>
    <w:rsid w:val="00B76BFB"/>
    <w:rsid w:val="00B802C9"/>
    <w:rsid w:val="00B8045B"/>
    <w:rsid w:val="00B819C4"/>
    <w:rsid w:val="00B8210E"/>
    <w:rsid w:val="00B831D5"/>
    <w:rsid w:val="00B8325D"/>
    <w:rsid w:val="00B84B13"/>
    <w:rsid w:val="00B8546D"/>
    <w:rsid w:val="00B85E95"/>
    <w:rsid w:val="00B85EED"/>
    <w:rsid w:val="00B86562"/>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2F5"/>
    <w:rsid w:val="00BB2C8C"/>
    <w:rsid w:val="00BB348E"/>
    <w:rsid w:val="00BB354F"/>
    <w:rsid w:val="00BB36A8"/>
    <w:rsid w:val="00BB3D51"/>
    <w:rsid w:val="00BB4777"/>
    <w:rsid w:val="00BB4EEB"/>
    <w:rsid w:val="00BB5B0A"/>
    <w:rsid w:val="00BC06C3"/>
    <w:rsid w:val="00BC4B1E"/>
    <w:rsid w:val="00BC55DE"/>
    <w:rsid w:val="00BC5C7E"/>
    <w:rsid w:val="00BD0BDE"/>
    <w:rsid w:val="00BD1988"/>
    <w:rsid w:val="00BD4AA6"/>
    <w:rsid w:val="00BD4FD8"/>
    <w:rsid w:val="00BD676F"/>
    <w:rsid w:val="00BE162E"/>
    <w:rsid w:val="00BE17D6"/>
    <w:rsid w:val="00BE1981"/>
    <w:rsid w:val="00BE25C9"/>
    <w:rsid w:val="00BE37E1"/>
    <w:rsid w:val="00BE6A63"/>
    <w:rsid w:val="00BE6BBF"/>
    <w:rsid w:val="00BE78A4"/>
    <w:rsid w:val="00BF1182"/>
    <w:rsid w:val="00BF2383"/>
    <w:rsid w:val="00BF4C43"/>
    <w:rsid w:val="00BF778F"/>
    <w:rsid w:val="00BF7D4A"/>
    <w:rsid w:val="00C013DD"/>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7429"/>
    <w:rsid w:val="00C40EF8"/>
    <w:rsid w:val="00C42785"/>
    <w:rsid w:val="00C44FE0"/>
    <w:rsid w:val="00C45243"/>
    <w:rsid w:val="00C4681F"/>
    <w:rsid w:val="00C50B7A"/>
    <w:rsid w:val="00C50DF2"/>
    <w:rsid w:val="00C52184"/>
    <w:rsid w:val="00C5255F"/>
    <w:rsid w:val="00C52C03"/>
    <w:rsid w:val="00C53234"/>
    <w:rsid w:val="00C53989"/>
    <w:rsid w:val="00C53E83"/>
    <w:rsid w:val="00C54F52"/>
    <w:rsid w:val="00C553B7"/>
    <w:rsid w:val="00C55C4E"/>
    <w:rsid w:val="00C5798E"/>
    <w:rsid w:val="00C57CAD"/>
    <w:rsid w:val="00C57D4A"/>
    <w:rsid w:val="00C60A09"/>
    <w:rsid w:val="00C64A55"/>
    <w:rsid w:val="00C65356"/>
    <w:rsid w:val="00C65A41"/>
    <w:rsid w:val="00C67C95"/>
    <w:rsid w:val="00C67EE6"/>
    <w:rsid w:val="00C70497"/>
    <w:rsid w:val="00C70D5A"/>
    <w:rsid w:val="00C71284"/>
    <w:rsid w:val="00C712D7"/>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9EC"/>
    <w:rsid w:val="00C94E7E"/>
    <w:rsid w:val="00C96096"/>
    <w:rsid w:val="00C967F4"/>
    <w:rsid w:val="00C978A6"/>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B6472"/>
    <w:rsid w:val="00CC04CB"/>
    <w:rsid w:val="00CC14C4"/>
    <w:rsid w:val="00CC4EAB"/>
    <w:rsid w:val="00CC5527"/>
    <w:rsid w:val="00CD0421"/>
    <w:rsid w:val="00CD1C68"/>
    <w:rsid w:val="00CD32A8"/>
    <w:rsid w:val="00CD682B"/>
    <w:rsid w:val="00CD7494"/>
    <w:rsid w:val="00CD754D"/>
    <w:rsid w:val="00CD77DF"/>
    <w:rsid w:val="00CD7F80"/>
    <w:rsid w:val="00CE02AD"/>
    <w:rsid w:val="00CE053C"/>
    <w:rsid w:val="00CE080E"/>
    <w:rsid w:val="00CE10E3"/>
    <w:rsid w:val="00CE1198"/>
    <w:rsid w:val="00CE186F"/>
    <w:rsid w:val="00CE23AA"/>
    <w:rsid w:val="00CE2B42"/>
    <w:rsid w:val="00CE319B"/>
    <w:rsid w:val="00CE40E3"/>
    <w:rsid w:val="00CE4A86"/>
    <w:rsid w:val="00CE4CAE"/>
    <w:rsid w:val="00CE53DB"/>
    <w:rsid w:val="00CE55DA"/>
    <w:rsid w:val="00CE624C"/>
    <w:rsid w:val="00CE69C0"/>
    <w:rsid w:val="00CF16EA"/>
    <w:rsid w:val="00CF38F4"/>
    <w:rsid w:val="00CF44B5"/>
    <w:rsid w:val="00CF5879"/>
    <w:rsid w:val="00CF5FD5"/>
    <w:rsid w:val="00D00375"/>
    <w:rsid w:val="00D022DC"/>
    <w:rsid w:val="00D0253C"/>
    <w:rsid w:val="00D046C9"/>
    <w:rsid w:val="00D05183"/>
    <w:rsid w:val="00D05704"/>
    <w:rsid w:val="00D06BC9"/>
    <w:rsid w:val="00D12493"/>
    <w:rsid w:val="00D12C7A"/>
    <w:rsid w:val="00D14EF9"/>
    <w:rsid w:val="00D150BD"/>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0326"/>
    <w:rsid w:val="00D41502"/>
    <w:rsid w:val="00D41625"/>
    <w:rsid w:val="00D416AA"/>
    <w:rsid w:val="00D416F5"/>
    <w:rsid w:val="00D44111"/>
    <w:rsid w:val="00D444A1"/>
    <w:rsid w:val="00D45AF1"/>
    <w:rsid w:val="00D4655A"/>
    <w:rsid w:val="00D46A93"/>
    <w:rsid w:val="00D50EE4"/>
    <w:rsid w:val="00D51945"/>
    <w:rsid w:val="00D51F96"/>
    <w:rsid w:val="00D522BB"/>
    <w:rsid w:val="00D53045"/>
    <w:rsid w:val="00D5474F"/>
    <w:rsid w:val="00D55056"/>
    <w:rsid w:val="00D5724D"/>
    <w:rsid w:val="00D57A52"/>
    <w:rsid w:val="00D61635"/>
    <w:rsid w:val="00D61C23"/>
    <w:rsid w:val="00D6230C"/>
    <w:rsid w:val="00D626A9"/>
    <w:rsid w:val="00D628C5"/>
    <w:rsid w:val="00D63DB5"/>
    <w:rsid w:val="00D7066E"/>
    <w:rsid w:val="00D7078F"/>
    <w:rsid w:val="00D710F0"/>
    <w:rsid w:val="00D72BB2"/>
    <w:rsid w:val="00D72BC6"/>
    <w:rsid w:val="00D74447"/>
    <w:rsid w:val="00D74CB0"/>
    <w:rsid w:val="00D756A5"/>
    <w:rsid w:val="00D75DD0"/>
    <w:rsid w:val="00D76EF3"/>
    <w:rsid w:val="00D77FB0"/>
    <w:rsid w:val="00D80DD7"/>
    <w:rsid w:val="00D82050"/>
    <w:rsid w:val="00D83632"/>
    <w:rsid w:val="00D838FD"/>
    <w:rsid w:val="00D83927"/>
    <w:rsid w:val="00D84E23"/>
    <w:rsid w:val="00D8588C"/>
    <w:rsid w:val="00D86245"/>
    <w:rsid w:val="00D87378"/>
    <w:rsid w:val="00D87CCB"/>
    <w:rsid w:val="00D9043F"/>
    <w:rsid w:val="00D91604"/>
    <w:rsid w:val="00D91C87"/>
    <w:rsid w:val="00D9240A"/>
    <w:rsid w:val="00D92E74"/>
    <w:rsid w:val="00D93CD4"/>
    <w:rsid w:val="00D94CBE"/>
    <w:rsid w:val="00D9594F"/>
    <w:rsid w:val="00D97AB4"/>
    <w:rsid w:val="00DA3E5A"/>
    <w:rsid w:val="00DA3FEA"/>
    <w:rsid w:val="00DA5B39"/>
    <w:rsid w:val="00DA6CA4"/>
    <w:rsid w:val="00DA7199"/>
    <w:rsid w:val="00DB07BF"/>
    <w:rsid w:val="00DB0CB6"/>
    <w:rsid w:val="00DB5CC8"/>
    <w:rsid w:val="00DC0B04"/>
    <w:rsid w:val="00DC262C"/>
    <w:rsid w:val="00DC2DC4"/>
    <w:rsid w:val="00DC3D25"/>
    <w:rsid w:val="00DC4FD4"/>
    <w:rsid w:val="00DC5F21"/>
    <w:rsid w:val="00DC6174"/>
    <w:rsid w:val="00DC6E87"/>
    <w:rsid w:val="00DC72ED"/>
    <w:rsid w:val="00DC7506"/>
    <w:rsid w:val="00DD035E"/>
    <w:rsid w:val="00DD1C92"/>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5723"/>
    <w:rsid w:val="00DF5DEB"/>
    <w:rsid w:val="00DF7501"/>
    <w:rsid w:val="00DF788A"/>
    <w:rsid w:val="00E0081B"/>
    <w:rsid w:val="00E01BE5"/>
    <w:rsid w:val="00E01FDB"/>
    <w:rsid w:val="00E03674"/>
    <w:rsid w:val="00E04231"/>
    <w:rsid w:val="00E0486D"/>
    <w:rsid w:val="00E05419"/>
    <w:rsid w:val="00E0594B"/>
    <w:rsid w:val="00E05C7D"/>
    <w:rsid w:val="00E05EB1"/>
    <w:rsid w:val="00E064FC"/>
    <w:rsid w:val="00E07B64"/>
    <w:rsid w:val="00E10031"/>
    <w:rsid w:val="00E12301"/>
    <w:rsid w:val="00E12B86"/>
    <w:rsid w:val="00E13AA1"/>
    <w:rsid w:val="00E13CEA"/>
    <w:rsid w:val="00E1416C"/>
    <w:rsid w:val="00E14272"/>
    <w:rsid w:val="00E16CC8"/>
    <w:rsid w:val="00E21838"/>
    <w:rsid w:val="00E21C8C"/>
    <w:rsid w:val="00E22360"/>
    <w:rsid w:val="00E23BB7"/>
    <w:rsid w:val="00E25274"/>
    <w:rsid w:val="00E2573D"/>
    <w:rsid w:val="00E2647E"/>
    <w:rsid w:val="00E266C1"/>
    <w:rsid w:val="00E26E0C"/>
    <w:rsid w:val="00E302B8"/>
    <w:rsid w:val="00E32C6C"/>
    <w:rsid w:val="00E32F74"/>
    <w:rsid w:val="00E338C6"/>
    <w:rsid w:val="00E33FA7"/>
    <w:rsid w:val="00E34E03"/>
    <w:rsid w:val="00E36AE9"/>
    <w:rsid w:val="00E375EE"/>
    <w:rsid w:val="00E40018"/>
    <w:rsid w:val="00E40854"/>
    <w:rsid w:val="00E40A5D"/>
    <w:rsid w:val="00E40F9B"/>
    <w:rsid w:val="00E412C8"/>
    <w:rsid w:val="00E41345"/>
    <w:rsid w:val="00E42464"/>
    <w:rsid w:val="00E42CB1"/>
    <w:rsid w:val="00E4428D"/>
    <w:rsid w:val="00E45397"/>
    <w:rsid w:val="00E45971"/>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536"/>
    <w:rsid w:val="00E66A5E"/>
    <w:rsid w:val="00E743CA"/>
    <w:rsid w:val="00E7534B"/>
    <w:rsid w:val="00E77401"/>
    <w:rsid w:val="00E80FAC"/>
    <w:rsid w:val="00E83822"/>
    <w:rsid w:val="00E8400B"/>
    <w:rsid w:val="00E84422"/>
    <w:rsid w:val="00E8461C"/>
    <w:rsid w:val="00E84665"/>
    <w:rsid w:val="00E84CC7"/>
    <w:rsid w:val="00E8564D"/>
    <w:rsid w:val="00E85D74"/>
    <w:rsid w:val="00E85DC4"/>
    <w:rsid w:val="00E86E77"/>
    <w:rsid w:val="00E907C3"/>
    <w:rsid w:val="00E9272A"/>
    <w:rsid w:val="00E94FED"/>
    <w:rsid w:val="00E952A1"/>
    <w:rsid w:val="00E95491"/>
    <w:rsid w:val="00E95F0D"/>
    <w:rsid w:val="00E966E3"/>
    <w:rsid w:val="00E968B2"/>
    <w:rsid w:val="00E96FC9"/>
    <w:rsid w:val="00EA12AE"/>
    <w:rsid w:val="00EA1B47"/>
    <w:rsid w:val="00EA1C91"/>
    <w:rsid w:val="00EA432C"/>
    <w:rsid w:val="00EA4B71"/>
    <w:rsid w:val="00EA4EBA"/>
    <w:rsid w:val="00EA6567"/>
    <w:rsid w:val="00EA79E3"/>
    <w:rsid w:val="00EB0972"/>
    <w:rsid w:val="00EB24BD"/>
    <w:rsid w:val="00EB40AE"/>
    <w:rsid w:val="00EB51CF"/>
    <w:rsid w:val="00EB70CC"/>
    <w:rsid w:val="00EC0156"/>
    <w:rsid w:val="00EC18D0"/>
    <w:rsid w:val="00EC4AB0"/>
    <w:rsid w:val="00EC56D6"/>
    <w:rsid w:val="00EC5EF0"/>
    <w:rsid w:val="00EC702F"/>
    <w:rsid w:val="00EC7841"/>
    <w:rsid w:val="00ED0782"/>
    <w:rsid w:val="00ED0DB6"/>
    <w:rsid w:val="00ED1ED0"/>
    <w:rsid w:val="00ED250C"/>
    <w:rsid w:val="00ED3C7F"/>
    <w:rsid w:val="00ED46F3"/>
    <w:rsid w:val="00ED76C6"/>
    <w:rsid w:val="00ED785A"/>
    <w:rsid w:val="00ED7D8E"/>
    <w:rsid w:val="00ED7F27"/>
    <w:rsid w:val="00EE3C6C"/>
    <w:rsid w:val="00EE4921"/>
    <w:rsid w:val="00EE7916"/>
    <w:rsid w:val="00EE7A1F"/>
    <w:rsid w:val="00EE7F74"/>
    <w:rsid w:val="00EF1579"/>
    <w:rsid w:val="00EF25C0"/>
    <w:rsid w:val="00EF311A"/>
    <w:rsid w:val="00EF41B6"/>
    <w:rsid w:val="00EF56AC"/>
    <w:rsid w:val="00EF5835"/>
    <w:rsid w:val="00EF67D7"/>
    <w:rsid w:val="00EF70EB"/>
    <w:rsid w:val="00EF77F3"/>
    <w:rsid w:val="00F014A8"/>
    <w:rsid w:val="00F025DA"/>
    <w:rsid w:val="00F02BCC"/>
    <w:rsid w:val="00F04BBF"/>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CC9"/>
    <w:rsid w:val="00F2234E"/>
    <w:rsid w:val="00F22901"/>
    <w:rsid w:val="00F234F7"/>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283A"/>
    <w:rsid w:val="00F6311D"/>
    <w:rsid w:val="00F63A14"/>
    <w:rsid w:val="00F63B9D"/>
    <w:rsid w:val="00F64418"/>
    <w:rsid w:val="00F64FAE"/>
    <w:rsid w:val="00F65F60"/>
    <w:rsid w:val="00F67F35"/>
    <w:rsid w:val="00F7068C"/>
    <w:rsid w:val="00F72200"/>
    <w:rsid w:val="00F755DA"/>
    <w:rsid w:val="00F80010"/>
    <w:rsid w:val="00F805B1"/>
    <w:rsid w:val="00F80F63"/>
    <w:rsid w:val="00F814EE"/>
    <w:rsid w:val="00F8156C"/>
    <w:rsid w:val="00F8487F"/>
    <w:rsid w:val="00F86AFF"/>
    <w:rsid w:val="00F9099C"/>
    <w:rsid w:val="00F9223A"/>
    <w:rsid w:val="00F93027"/>
    <w:rsid w:val="00F9451F"/>
    <w:rsid w:val="00F96208"/>
    <w:rsid w:val="00F9654A"/>
    <w:rsid w:val="00F979DB"/>
    <w:rsid w:val="00FA1E4A"/>
    <w:rsid w:val="00FA2770"/>
    <w:rsid w:val="00FA4180"/>
    <w:rsid w:val="00FA4F12"/>
    <w:rsid w:val="00FA5D6D"/>
    <w:rsid w:val="00FB0722"/>
    <w:rsid w:val="00FB283B"/>
    <w:rsid w:val="00FB434F"/>
    <w:rsid w:val="00FB4C38"/>
    <w:rsid w:val="00FB65AC"/>
    <w:rsid w:val="00FB6BCF"/>
    <w:rsid w:val="00FB7660"/>
    <w:rsid w:val="00FB7B78"/>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C89"/>
    <w:rsid w:val="00FE3446"/>
    <w:rsid w:val="00FE4072"/>
    <w:rsid w:val="00FE4AD9"/>
    <w:rsid w:val="00FF0555"/>
    <w:rsid w:val="00FF1289"/>
    <w:rsid w:val="00FF4CF7"/>
    <w:rsid w:val="00FF4F7F"/>
    <w:rsid w:val="00FF5054"/>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1C5DFC8"/>
  <w15:docId w15:val="{B866CF91-EAFA-49DF-A02E-FEED14C3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link w:val="HeaderChar"/>
    <w:uiPriority w:val="99"/>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link w:val="BalloonTextChar"/>
    <w:uiPriority w:val="99"/>
    <w:semiHidden/>
    <w:rsid w:val="0045730E"/>
    <w:rPr>
      <w:rFonts w:ascii="Tahoma" w:hAnsi="Tahoma" w:cs="Tahoma"/>
      <w:sz w:val="16"/>
      <w:szCs w:val="16"/>
    </w:rPr>
  </w:style>
  <w:style w:type="paragraph" w:styleId="FootnoteText">
    <w:name w:val="footnote text"/>
    <w:aliases w:val="Car"/>
    <w:basedOn w:val="Normal"/>
    <w:link w:val="FootnoteTextChar"/>
    <w:uiPriority w:val="99"/>
    <w:qFormat/>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D150BD"/>
    <w:rPr>
      <w:sz w:val="16"/>
      <w:szCs w:val="16"/>
    </w:rPr>
  </w:style>
  <w:style w:type="paragraph" w:styleId="CommentText">
    <w:name w:val="annotation text"/>
    <w:basedOn w:val="Normal"/>
    <w:link w:val="CommentTextChar"/>
    <w:uiPriority w:val="99"/>
    <w:semiHidden/>
    <w:unhideWhenUsed/>
    <w:rsid w:val="00D150BD"/>
  </w:style>
  <w:style w:type="character" w:customStyle="1" w:styleId="CommentTextChar">
    <w:name w:val="Comment Text Char"/>
    <w:basedOn w:val="DefaultParagraphFont"/>
    <w:link w:val="CommentText"/>
    <w:uiPriority w:val="99"/>
    <w:semiHidden/>
    <w:rsid w:val="00D150BD"/>
  </w:style>
  <w:style w:type="paragraph" w:styleId="CommentSubject">
    <w:name w:val="annotation subject"/>
    <w:basedOn w:val="CommentText"/>
    <w:next w:val="CommentText"/>
    <w:link w:val="CommentSubjectChar"/>
    <w:uiPriority w:val="99"/>
    <w:semiHidden/>
    <w:unhideWhenUsed/>
    <w:rsid w:val="00D150BD"/>
    <w:rPr>
      <w:b/>
      <w:bCs/>
    </w:rPr>
  </w:style>
  <w:style w:type="character" w:customStyle="1" w:styleId="CommentSubjectChar">
    <w:name w:val="Comment Subject Char"/>
    <w:basedOn w:val="CommentTextChar"/>
    <w:link w:val="CommentSubject"/>
    <w:uiPriority w:val="99"/>
    <w:semiHidden/>
    <w:rsid w:val="00D150BD"/>
    <w:rPr>
      <w:b/>
      <w:bCs/>
    </w:rPr>
  </w:style>
  <w:style w:type="character" w:styleId="Emphasis">
    <w:name w:val="Emphasis"/>
    <w:basedOn w:val="DefaultParagraphFont"/>
    <w:qFormat/>
    <w:rsid w:val="00494B81"/>
    <w:rPr>
      <w:i/>
      <w:iCs/>
    </w:rPr>
  </w:style>
  <w:style w:type="character" w:customStyle="1" w:styleId="BalloonTextChar">
    <w:name w:val="Balloon Text Char"/>
    <w:basedOn w:val="DefaultParagraphFont"/>
    <w:link w:val="BalloonText"/>
    <w:uiPriority w:val="99"/>
    <w:semiHidden/>
    <w:rsid w:val="00494B81"/>
    <w:rPr>
      <w:rFonts w:ascii="Tahoma" w:hAnsi="Tahoma" w:cs="Tahoma"/>
      <w:sz w:val="16"/>
      <w:szCs w:val="16"/>
    </w:rPr>
  </w:style>
  <w:style w:type="paragraph" w:styleId="EndnoteText">
    <w:name w:val="endnote text"/>
    <w:basedOn w:val="Normal"/>
    <w:link w:val="EndnoteTextChar"/>
    <w:uiPriority w:val="99"/>
    <w:semiHidden/>
    <w:unhideWhenUsed/>
    <w:rsid w:val="00494B81"/>
  </w:style>
  <w:style w:type="character" w:customStyle="1" w:styleId="EndnoteTextChar">
    <w:name w:val="Endnote Text Char"/>
    <w:basedOn w:val="DefaultParagraphFont"/>
    <w:link w:val="EndnoteText"/>
    <w:uiPriority w:val="99"/>
    <w:semiHidden/>
    <w:rsid w:val="00494B81"/>
  </w:style>
  <w:style w:type="character" w:styleId="EndnoteReference">
    <w:name w:val="endnote reference"/>
    <w:basedOn w:val="DefaultParagraphFont"/>
    <w:uiPriority w:val="99"/>
    <w:semiHidden/>
    <w:unhideWhenUsed/>
    <w:rsid w:val="00494B81"/>
    <w:rPr>
      <w:vertAlign w:val="superscript"/>
    </w:rPr>
  </w:style>
  <w:style w:type="character" w:customStyle="1" w:styleId="FootnoteTextChar">
    <w:name w:val="Footnote Text Char"/>
    <w:aliases w:val="Car Char"/>
    <w:basedOn w:val="DefaultParagraphFont"/>
    <w:link w:val="FootnoteText"/>
    <w:uiPriority w:val="99"/>
    <w:rsid w:val="00494B81"/>
  </w:style>
  <w:style w:type="character" w:customStyle="1" w:styleId="HeaderChar">
    <w:name w:val="Header Char"/>
    <w:basedOn w:val="DefaultParagraphFont"/>
    <w:link w:val="Header"/>
    <w:uiPriority w:val="99"/>
    <w:rsid w:val="00494B81"/>
  </w:style>
  <w:style w:type="character" w:customStyle="1" w:styleId="FooterChar">
    <w:name w:val="Footer Char"/>
    <w:basedOn w:val="DefaultParagraphFont"/>
    <w:link w:val="Footer"/>
    <w:uiPriority w:val="99"/>
    <w:rsid w:val="00494B81"/>
  </w:style>
  <w:style w:type="paragraph" w:styleId="ListParagraph">
    <w:name w:val="List Paragraph"/>
    <w:basedOn w:val="Normal"/>
    <w:uiPriority w:val="34"/>
    <w:qFormat/>
    <w:rsid w:val="00494B81"/>
    <w:pPr>
      <w:ind w:left="720"/>
      <w:contextualSpacing/>
    </w:pPr>
  </w:style>
  <w:style w:type="paragraph" w:customStyle="1" w:styleId="ParaTab1">
    <w:name w:val="ParaTab 1"/>
    <w:rsid w:val="00494B81"/>
    <w:pPr>
      <w:tabs>
        <w:tab w:val="left" w:pos="-720"/>
      </w:tabs>
      <w:suppressAutoHyphens/>
      <w:autoSpaceDE w:val="0"/>
      <w:autoSpaceDN w:val="0"/>
      <w:ind w:firstLine="1440"/>
    </w:pPr>
    <w:rPr>
      <w:rFonts w:ascii="CG Times" w:hAnsi="CG Times" w:cs="CG Times"/>
      <w:sz w:val="24"/>
      <w:szCs w:val="24"/>
    </w:rPr>
  </w:style>
  <w:style w:type="paragraph" w:styleId="NormalWeb">
    <w:name w:val="Normal (Web)"/>
    <w:basedOn w:val="Normal"/>
    <w:uiPriority w:val="99"/>
    <w:unhideWhenUsed/>
    <w:rsid w:val="00494B81"/>
    <w:pPr>
      <w:widowControl/>
      <w:spacing w:before="100" w:beforeAutospacing="1" w:after="100" w:afterAutospacing="1"/>
    </w:pPr>
    <w:rPr>
      <w:sz w:val="24"/>
      <w:szCs w:val="24"/>
    </w:rPr>
  </w:style>
  <w:style w:type="paragraph" w:styleId="NoSpacing">
    <w:name w:val="No Spacing"/>
    <w:uiPriority w:val="1"/>
    <w:qFormat/>
    <w:rsid w:val="00494B81"/>
    <w:pPr>
      <w:jc w:val="both"/>
    </w:pPr>
    <w:rPr>
      <w:sz w:val="26"/>
    </w:rPr>
  </w:style>
  <w:style w:type="paragraph" w:styleId="BodyText">
    <w:name w:val="Body Text"/>
    <w:basedOn w:val="Normal"/>
    <w:link w:val="BodyTextChar"/>
    <w:rsid w:val="00494B81"/>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494B81"/>
    <w:rPr>
      <w:sz w:val="24"/>
    </w:rPr>
  </w:style>
  <w:style w:type="paragraph" w:styleId="BlockText">
    <w:name w:val="Block Text"/>
    <w:basedOn w:val="Normal"/>
    <w:rsid w:val="00494B81"/>
    <w:pPr>
      <w:tabs>
        <w:tab w:val="left" w:pos="-720"/>
      </w:tabs>
      <w:spacing w:line="360" w:lineRule="auto"/>
      <w:ind w:left="1440" w:right="2160"/>
    </w:pPr>
    <w:rPr>
      <w:sz w:val="26"/>
    </w:rPr>
  </w:style>
  <w:style w:type="paragraph" w:styleId="Revision">
    <w:name w:val="Revision"/>
    <w:hidden/>
    <w:uiPriority w:val="99"/>
    <w:semiHidden/>
    <w:rsid w:val="00494B81"/>
  </w:style>
  <w:style w:type="paragraph" w:customStyle="1" w:styleId="Default">
    <w:name w:val="Default"/>
    <w:rsid w:val="00494B81"/>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C3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194879130">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AF260-3872-4C4B-AE35-CCE27B82A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F7685-F831-45A4-B217-0F41E04792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A032A6-DB73-41D8-B2DE-09E9BC47EF14}">
  <ds:schemaRefs>
    <ds:schemaRef ds:uri="http://schemas.microsoft.com/sharepoint/v3/contenttype/forms"/>
  </ds:schemaRefs>
</ds:datastoreItem>
</file>

<file path=customXml/itemProps4.xml><?xml version="1.0" encoding="utf-8"?>
<ds:datastoreItem xmlns:ds="http://schemas.openxmlformats.org/officeDocument/2006/customXml" ds:itemID="{6589C45B-18C6-4DF3-8413-198AD7B4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3</cp:revision>
  <cp:lastPrinted>2014-01-09T12:16:00Z</cp:lastPrinted>
  <dcterms:created xsi:type="dcterms:W3CDTF">2020-08-07T12:20:00Z</dcterms:created>
  <dcterms:modified xsi:type="dcterms:W3CDTF">2020-08-27T16:41:00Z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