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39B2A" w14:textId="522163D1" w:rsidR="001B0C5E" w:rsidRPr="00481242" w:rsidRDefault="001F4B02" w:rsidP="00481242">
      <w:pPr>
        <w:widowControl/>
        <w:tabs>
          <w:tab w:val="center" w:pos="4680"/>
        </w:tabs>
        <w:contextualSpacing/>
        <w:jc w:val="center"/>
        <w:rPr>
          <w:b/>
          <w:color w:val="000000" w:themeColor="text1"/>
          <w:sz w:val="26"/>
          <w:szCs w:val="26"/>
        </w:rPr>
      </w:pPr>
      <w:r w:rsidRPr="00481242">
        <w:rPr>
          <w:b/>
          <w:color w:val="000000" w:themeColor="text1"/>
          <w:sz w:val="26"/>
          <w:szCs w:val="26"/>
        </w:rPr>
        <w:t>P</w:t>
      </w:r>
      <w:r w:rsidR="001B0C5E" w:rsidRPr="00481242">
        <w:rPr>
          <w:b/>
          <w:color w:val="000000" w:themeColor="text1"/>
          <w:sz w:val="26"/>
          <w:szCs w:val="26"/>
        </w:rPr>
        <w:t>ENNSYLVANIA</w:t>
      </w:r>
    </w:p>
    <w:p w14:paraId="1E746ABC" w14:textId="77777777" w:rsidR="001B0C5E" w:rsidRPr="00481242" w:rsidRDefault="001B0C5E" w:rsidP="00481242">
      <w:pPr>
        <w:widowControl/>
        <w:tabs>
          <w:tab w:val="center" w:pos="4680"/>
        </w:tabs>
        <w:contextualSpacing/>
        <w:jc w:val="center"/>
        <w:rPr>
          <w:color w:val="000000" w:themeColor="text1"/>
          <w:sz w:val="26"/>
          <w:szCs w:val="26"/>
        </w:rPr>
      </w:pPr>
      <w:r w:rsidRPr="00481242">
        <w:rPr>
          <w:b/>
          <w:color w:val="000000" w:themeColor="text1"/>
          <w:sz w:val="26"/>
          <w:szCs w:val="26"/>
        </w:rPr>
        <w:t>PUBLIC UTILITY COMMISSION</w:t>
      </w:r>
    </w:p>
    <w:p w14:paraId="732F64EB" w14:textId="70063DA0" w:rsidR="001B0C5E" w:rsidRPr="00481242" w:rsidRDefault="001B0C5E" w:rsidP="00481242">
      <w:pPr>
        <w:widowControl/>
        <w:tabs>
          <w:tab w:val="center" w:pos="4680"/>
        </w:tabs>
        <w:contextualSpacing/>
        <w:jc w:val="center"/>
        <w:rPr>
          <w:color w:val="000000" w:themeColor="text1"/>
          <w:sz w:val="26"/>
          <w:szCs w:val="26"/>
        </w:rPr>
      </w:pPr>
      <w:r w:rsidRPr="00481242">
        <w:rPr>
          <w:b/>
          <w:color w:val="000000" w:themeColor="text1"/>
          <w:sz w:val="26"/>
          <w:szCs w:val="26"/>
        </w:rPr>
        <w:t>Harrisburg, PA 171</w:t>
      </w:r>
      <w:r w:rsidR="00CB7BC2" w:rsidRPr="00481242">
        <w:rPr>
          <w:b/>
          <w:color w:val="000000" w:themeColor="text1"/>
          <w:sz w:val="26"/>
          <w:szCs w:val="26"/>
        </w:rPr>
        <w:t>20</w:t>
      </w:r>
    </w:p>
    <w:p w14:paraId="7C3F752B" w14:textId="77777777" w:rsidR="001B0C5E" w:rsidRPr="00481242" w:rsidRDefault="001B0C5E" w:rsidP="00481242">
      <w:pPr>
        <w:widowControl/>
        <w:contextualSpacing/>
        <w:rPr>
          <w:color w:val="000000" w:themeColor="text1"/>
          <w:sz w:val="26"/>
          <w:szCs w:val="26"/>
        </w:rPr>
      </w:pPr>
    </w:p>
    <w:p w14:paraId="297EDEBF" w14:textId="77777777" w:rsidR="00D13E44" w:rsidRPr="00481242" w:rsidRDefault="00D13E44" w:rsidP="00481242">
      <w:pPr>
        <w:widowControl/>
        <w:contextualSpacing/>
        <w:rPr>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538"/>
      </w:tblGrid>
      <w:tr w:rsidR="00481242" w:rsidRPr="00481242" w14:paraId="55A84546" w14:textId="77777777" w:rsidTr="003161E5">
        <w:tc>
          <w:tcPr>
            <w:tcW w:w="4878" w:type="dxa"/>
          </w:tcPr>
          <w:p w14:paraId="0333FD10" w14:textId="77777777" w:rsidR="001B0C5E" w:rsidRPr="00481242" w:rsidRDefault="001B0C5E" w:rsidP="00481242">
            <w:pPr>
              <w:widowControl/>
              <w:contextualSpacing/>
              <w:rPr>
                <w:color w:val="000000" w:themeColor="text1"/>
                <w:sz w:val="26"/>
                <w:szCs w:val="26"/>
              </w:rPr>
            </w:pPr>
          </w:p>
        </w:tc>
        <w:tc>
          <w:tcPr>
            <w:tcW w:w="4608" w:type="dxa"/>
            <w:hideMark/>
          </w:tcPr>
          <w:p w14:paraId="7C8000B6" w14:textId="501C93C1" w:rsidR="001B0C5E" w:rsidRPr="00481242" w:rsidRDefault="003F5257" w:rsidP="00481242">
            <w:pPr>
              <w:widowControl/>
              <w:contextualSpacing/>
              <w:jc w:val="right"/>
              <w:rPr>
                <w:color w:val="000000" w:themeColor="text1"/>
                <w:sz w:val="26"/>
                <w:szCs w:val="26"/>
              </w:rPr>
            </w:pPr>
            <w:r w:rsidRPr="00481242">
              <w:rPr>
                <w:color w:val="000000" w:themeColor="text1"/>
                <w:sz w:val="26"/>
                <w:szCs w:val="26"/>
              </w:rPr>
              <w:t xml:space="preserve">Public Meeting held </w:t>
            </w:r>
            <w:r w:rsidR="0024316D">
              <w:rPr>
                <w:color w:val="000000" w:themeColor="text1"/>
                <w:sz w:val="26"/>
                <w:szCs w:val="26"/>
              </w:rPr>
              <w:t xml:space="preserve">August </w:t>
            </w:r>
            <w:r w:rsidR="00360B67">
              <w:rPr>
                <w:color w:val="000000" w:themeColor="text1"/>
                <w:sz w:val="26"/>
                <w:szCs w:val="26"/>
              </w:rPr>
              <w:t>27</w:t>
            </w:r>
            <w:r w:rsidR="0032799C" w:rsidRPr="00481242">
              <w:rPr>
                <w:color w:val="000000" w:themeColor="text1"/>
                <w:sz w:val="26"/>
                <w:szCs w:val="26"/>
              </w:rPr>
              <w:t>, 2020</w:t>
            </w:r>
          </w:p>
        </w:tc>
      </w:tr>
      <w:tr w:rsidR="00481242" w:rsidRPr="00481242" w14:paraId="46A20B3F" w14:textId="77777777" w:rsidTr="003161E5">
        <w:tc>
          <w:tcPr>
            <w:tcW w:w="4878" w:type="dxa"/>
          </w:tcPr>
          <w:p w14:paraId="33766247" w14:textId="7EFA9A1F" w:rsidR="001B0C5E" w:rsidRDefault="001B0C5E" w:rsidP="00481242">
            <w:pPr>
              <w:widowControl/>
              <w:contextualSpacing/>
              <w:rPr>
                <w:color w:val="000000" w:themeColor="text1"/>
                <w:sz w:val="26"/>
                <w:szCs w:val="26"/>
              </w:rPr>
            </w:pPr>
          </w:p>
          <w:p w14:paraId="6EF79D9B" w14:textId="77777777" w:rsidR="00F57CEF" w:rsidRPr="00481242" w:rsidRDefault="00F57CEF" w:rsidP="00481242">
            <w:pPr>
              <w:widowControl/>
              <w:contextualSpacing/>
              <w:rPr>
                <w:color w:val="000000" w:themeColor="text1"/>
                <w:sz w:val="26"/>
                <w:szCs w:val="26"/>
              </w:rPr>
            </w:pPr>
          </w:p>
          <w:p w14:paraId="5FA4FB15" w14:textId="77777777" w:rsidR="001B0C5E" w:rsidRPr="00481242" w:rsidRDefault="001B0C5E" w:rsidP="00481242">
            <w:pPr>
              <w:widowControl/>
              <w:contextualSpacing/>
              <w:rPr>
                <w:color w:val="000000" w:themeColor="text1"/>
                <w:sz w:val="26"/>
                <w:szCs w:val="26"/>
              </w:rPr>
            </w:pPr>
            <w:r w:rsidRPr="00481242">
              <w:rPr>
                <w:color w:val="000000" w:themeColor="text1"/>
                <w:sz w:val="26"/>
                <w:szCs w:val="26"/>
              </w:rPr>
              <w:t>Commissioners Present:</w:t>
            </w:r>
          </w:p>
          <w:p w14:paraId="574144CC" w14:textId="77777777" w:rsidR="001B0C5E" w:rsidRPr="00481242" w:rsidRDefault="001B0C5E" w:rsidP="00481242">
            <w:pPr>
              <w:widowControl/>
              <w:contextualSpacing/>
              <w:rPr>
                <w:color w:val="000000" w:themeColor="text1"/>
                <w:sz w:val="26"/>
                <w:szCs w:val="26"/>
              </w:rPr>
            </w:pPr>
          </w:p>
          <w:p w14:paraId="7DF91CB9" w14:textId="77777777" w:rsidR="001B0C5E" w:rsidRPr="00481242" w:rsidRDefault="001B0C5E" w:rsidP="00481242">
            <w:pPr>
              <w:widowControl/>
              <w:tabs>
                <w:tab w:val="left" w:pos="-720"/>
              </w:tabs>
              <w:ind w:left="720"/>
              <w:contextualSpacing/>
              <w:rPr>
                <w:color w:val="000000" w:themeColor="text1"/>
                <w:sz w:val="26"/>
                <w:szCs w:val="26"/>
              </w:rPr>
            </w:pPr>
            <w:r w:rsidRPr="00481242">
              <w:rPr>
                <w:color w:val="000000" w:themeColor="text1"/>
                <w:sz w:val="26"/>
                <w:szCs w:val="26"/>
              </w:rPr>
              <w:t>Gladys Brown</w:t>
            </w:r>
            <w:r w:rsidR="00F560AF" w:rsidRPr="00481242">
              <w:rPr>
                <w:color w:val="000000" w:themeColor="text1"/>
                <w:sz w:val="26"/>
                <w:szCs w:val="26"/>
              </w:rPr>
              <w:t xml:space="preserve"> </w:t>
            </w:r>
            <w:proofErr w:type="spellStart"/>
            <w:r w:rsidR="00F560AF" w:rsidRPr="00481242">
              <w:rPr>
                <w:color w:val="000000" w:themeColor="text1"/>
                <w:sz w:val="26"/>
                <w:szCs w:val="26"/>
              </w:rPr>
              <w:t>Dutrie</w:t>
            </w:r>
            <w:r w:rsidR="001F39E7" w:rsidRPr="00481242">
              <w:rPr>
                <w:color w:val="000000" w:themeColor="text1"/>
                <w:sz w:val="26"/>
                <w:szCs w:val="26"/>
              </w:rPr>
              <w:t>u</w:t>
            </w:r>
            <w:r w:rsidR="00F560AF" w:rsidRPr="00481242">
              <w:rPr>
                <w:color w:val="000000" w:themeColor="text1"/>
                <w:sz w:val="26"/>
                <w:szCs w:val="26"/>
              </w:rPr>
              <w:t>ille</w:t>
            </w:r>
            <w:proofErr w:type="spellEnd"/>
            <w:r w:rsidRPr="00481242">
              <w:rPr>
                <w:color w:val="000000" w:themeColor="text1"/>
                <w:sz w:val="26"/>
                <w:szCs w:val="26"/>
              </w:rPr>
              <w:t>, Chairman</w:t>
            </w:r>
          </w:p>
          <w:p w14:paraId="58CFE482" w14:textId="77777777" w:rsidR="001B0C5E" w:rsidRPr="00481242" w:rsidRDefault="00894660" w:rsidP="00481242">
            <w:pPr>
              <w:widowControl/>
              <w:tabs>
                <w:tab w:val="left" w:pos="-720"/>
              </w:tabs>
              <w:ind w:left="720"/>
              <w:contextualSpacing/>
              <w:rPr>
                <w:color w:val="000000" w:themeColor="text1"/>
                <w:sz w:val="26"/>
                <w:szCs w:val="26"/>
              </w:rPr>
            </w:pPr>
            <w:r w:rsidRPr="00481242">
              <w:rPr>
                <w:color w:val="000000" w:themeColor="text1"/>
                <w:sz w:val="26"/>
                <w:szCs w:val="26"/>
              </w:rPr>
              <w:t>David W. Sweet</w:t>
            </w:r>
            <w:r w:rsidR="001B0C5E" w:rsidRPr="00481242">
              <w:rPr>
                <w:color w:val="000000" w:themeColor="text1"/>
                <w:sz w:val="26"/>
                <w:szCs w:val="26"/>
              </w:rPr>
              <w:t>, Vice Chairman</w:t>
            </w:r>
          </w:p>
          <w:p w14:paraId="187B1A80" w14:textId="77777777" w:rsidR="001B0C5E" w:rsidRPr="00481242" w:rsidRDefault="001B0C5E" w:rsidP="00481242">
            <w:pPr>
              <w:widowControl/>
              <w:tabs>
                <w:tab w:val="left" w:pos="-720"/>
              </w:tabs>
              <w:ind w:left="720"/>
              <w:contextualSpacing/>
              <w:rPr>
                <w:color w:val="000000" w:themeColor="text1"/>
                <w:sz w:val="26"/>
                <w:szCs w:val="26"/>
              </w:rPr>
            </w:pPr>
            <w:r w:rsidRPr="00481242">
              <w:rPr>
                <w:color w:val="000000" w:themeColor="text1"/>
                <w:sz w:val="26"/>
                <w:szCs w:val="26"/>
              </w:rPr>
              <w:t xml:space="preserve">John F. Coleman, Jr. </w:t>
            </w:r>
          </w:p>
          <w:p w14:paraId="45B4661C" w14:textId="77777777" w:rsidR="001F39E7" w:rsidRPr="00481242" w:rsidRDefault="001F39E7" w:rsidP="00481242">
            <w:pPr>
              <w:widowControl/>
              <w:tabs>
                <w:tab w:val="left" w:pos="-720"/>
              </w:tabs>
              <w:ind w:left="720"/>
              <w:contextualSpacing/>
              <w:rPr>
                <w:color w:val="000000" w:themeColor="text1"/>
                <w:sz w:val="26"/>
                <w:szCs w:val="26"/>
              </w:rPr>
            </w:pPr>
            <w:r w:rsidRPr="00481242">
              <w:rPr>
                <w:color w:val="000000" w:themeColor="text1"/>
                <w:sz w:val="26"/>
                <w:szCs w:val="26"/>
              </w:rPr>
              <w:t xml:space="preserve">Ralph V. </w:t>
            </w:r>
            <w:proofErr w:type="spellStart"/>
            <w:r w:rsidRPr="00481242">
              <w:rPr>
                <w:color w:val="000000" w:themeColor="text1"/>
                <w:sz w:val="26"/>
                <w:szCs w:val="26"/>
              </w:rPr>
              <w:t>Yanora</w:t>
            </w:r>
            <w:proofErr w:type="spellEnd"/>
          </w:p>
          <w:p w14:paraId="34BE1032" w14:textId="77777777" w:rsidR="001B0C5E" w:rsidRPr="00481242" w:rsidRDefault="001B0C5E" w:rsidP="00481242">
            <w:pPr>
              <w:widowControl/>
              <w:contextualSpacing/>
              <w:rPr>
                <w:color w:val="000000" w:themeColor="text1"/>
                <w:sz w:val="26"/>
                <w:szCs w:val="26"/>
              </w:rPr>
            </w:pPr>
          </w:p>
        </w:tc>
        <w:tc>
          <w:tcPr>
            <w:tcW w:w="4608" w:type="dxa"/>
          </w:tcPr>
          <w:p w14:paraId="7A8027B3" w14:textId="77777777" w:rsidR="001B0C5E" w:rsidRPr="00481242" w:rsidRDefault="001B0C5E" w:rsidP="00481242">
            <w:pPr>
              <w:widowControl/>
              <w:contextualSpacing/>
              <w:jc w:val="right"/>
              <w:rPr>
                <w:color w:val="000000" w:themeColor="text1"/>
                <w:sz w:val="26"/>
                <w:szCs w:val="26"/>
              </w:rPr>
            </w:pPr>
          </w:p>
          <w:p w14:paraId="2180008E" w14:textId="77777777" w:rsidR="001B0C5E" w:rsidRPr="00481242" w:rsidRDefault="001B0C5E" w:rsidP="00481242">
            <w:pPr>
              <w:widowControl/>
              <w:contextualSpacing/>
              <w:jc w:val="right"/>
              <w:rPr>
                <w:color w:val="000000" w:themeColor="text1"/>
                <w:sz w:val="26"/>
                <w:szCs w:val="26"/>
              </w:rPr>
            </w:pPr>
          </w:p>
        </w:tc>
      </w:tr>
      <w:tr w:rsidR="00481242" w:rsidRPr="00481242" w14:paraId="0EF35CDB" w14:textId="77777777" w:rsidTr="003161E5">
        <w:tc>
          <w:tcPr>
            <w:tcW w:w="4878" w:type="dxa"/>
          </w:tcPr>
          <w:p w14:paraId="0DB6D4D3" w14:textId="668FA042" w:rsidR="00D13E44" w:rsidRPr="00481242" w:rsidRDefault="00D13E44" w:rsidP="00481242">
            <w:pPr>
              <w:widowControl/>
              <w:contextualSpacing/>
              <w:rPr>
                <w:color w:val="000000" w:themeColor="text1"/>
                <w:sz w:val="26"/>
                <w:szCs w:val="26"/>
              </w:rPr>
            </w:pPr>
          </w:p>
          <w:p w14:paraId="3A0F4EB6" w14:textId="5ADA5E52" w:rsidR="001B0C5E" w:rsidRPr="00481242" w:rsidRDefault="00BE6737" w:rsidP="00481242">
            <w:pPr>
              <w:widowControl/>
              <w:contextualSpacing/>
              <w:rPr>
                <w:color w:val="000000" w:themeColor="text1"/>
                <w:sz w:val="26"/>
                <w:szCs w:val="26"/>
              </w:rPr>
            </w:pPr>
            <w:r>
              <w:rPr>
                <w:color w:val="000000" w:themeColor="text1"/>
                <w:sz w:val="26"/>
                <w:szCs w:val="26"/>
              </w:rPr>
              <w:t>Jeffrey</w:t>
            </w:r>
            <w:r w:rsidR="00266BFC" w:rsidRPr="00481242">
              <w:rPr>
                <w:color w:val="000000" w:themeColor="text1"/>
                <w:sz w:val="26"/>
                <w:szCs w:val="26"/>
              </w:rPr>
              <w:t xml:space="preserve"> </w:t>
            </w:r>
            <w:r>
              <w:rPr>
                <w:color w:val="000000" w:themeColor="text1"/>
                <w:sz w:val="26"/>
                <w:szCs w:val="26"/>
              </w:rPr>
              <w:t>Ulmer</w:t>
            </w:r>
          </w:p>
          <w:p w14:paraId="784B6E76" w14:textId="77777777" w:rsidR="001B0C5E" w:rsidRPr="00481242" w:rsidRDefault="001B0C5E" w:rsidP="00481242">
            <w:pPr>
              <w:widowControl/>
              <w:contextualSpacing/>
              <w:rPr>
                <w:color w:val="000000" w:themeColor="text1"/>
                <w:sz w:val="26"/>
                <w:szCs w:val="26"/>
              </w:rPr>
            </w:pPr>
          </w:p>
        </w:tc>
        <w:tc>
          <w:tcPr>
            <w:tcW w:w="4608" w:type="dxa"/>
            <w:hideMark/>
          </w:tcPr>
          <w:p w14:paraId="00D9969D" w14:textId="77777777" w:rsidR="001B0C5E" w:rsidRPr="00481242" w:rsidRDefault="001B0C5E" w:rsidP="00481242">
            <w:pPr>
              <w:widowControl/>
              <w:contextualSpacing/>
              <w:jc w:val="right"/>
              <w:rPr>
                <w:color w:val="000000" w:themeColor="text1"/>
                <w:sz w:val="26"/>
                <w:szCs w:val="26"/>
              </w:rPr>
            </w:pPr>
          </w:p>
          <w:p w14:paraId="3673AE52" w14:textId="21C8F350" w:rsidR="001B0C5E" w:rsidRPr="00481242" w:rsidRDefault="001B0C5E" w:rsidP="00481242">
            <w:pPr>
              <w:widowControl/>
              <w:contextualSpacing/>
              <w:jc w:val="right"/>
              <w:rPr>
                <w:color w:val="000000" w:themeColor="text1"/>
                <w:sz w:val="26"/>
                <w:szCs w:val="26"/>
              </w:rPr>
            </w:pPr>
            <w:r w:rsidRPr="00481242">
              <w:rPr>
                <w:color w:val="000000" w:themeColor="text1"/>
                <w:sz w:val="26"/>
                <w:szCs w:val="26"/>
              </w:rPr>
              <w:t>C-</w:t>
            </w:r>
            <w:r w:rsidR="00266BFC" w:rsidRPr="00481242">
              <w:rPr>
                <w:color w:val="000000" w:themeColor="text1"/>
                <w:sz w:val="26"/>
                <w:szCs w:val="26"/>
              </w:rPr>
              <w:t>201</w:t>
            </w:r>
            <w:r w:rsidR="00BE6737">
              <w:rPr>
                <w:color w:val="000000" w:themeColor="text1"/>
                <w:sz w:val="26"/>
                <w:szCs w:val="26"/>
              </w:rPr>
              <w:t>8</w:t>
            </w:r>
            <w:r w:rsidR="00266BFC" w:rsidRPr="00481242">
              <w:rPr>
                <w:color w:val="000000" w:themeColor="text1"/>
                <w:sz w:val="26"/>
                <w:szCs w:val="26"/>
              </w:rPr>
              <w:t>-300</w:t>
            </w:r>
            <w:r w:rsidR="00BE6737">
              <w:rPr>
                <w:color w:val="000000" w:themeColor="text1"/>
                <w:sz w:val="26"/>
                <w:szCs w:val="26"/>
              </w:rPr>
              <w:t>3824</w:t>
            </w:r>
          </w:p>
        </w:tc>
      </w:tr>
      <w:tr w:rsidR="00481242" w:rsidRPr="00481242" w14:paraId="70505E07" w14:textId="77777777" w:rsidTr="003161E5">
        <w:tc>
          <w:tcPr>
            <w:tcW w:w="4878" w:type="dxa"/>
          </w:tcPr>
          <w:p w14:paraId="293DED11" w14:textId="77777777" w:rsidR="001B0C5E" w:rsidRPr="00481242" w:rsidRDefault="001B0C5E" w:rsidP="00481242">
            <w:pPr>
              <w:widowControl/>
              <w:ind w:firstLine="720"/>
              <w:contextualSpacing/>
              <w:rPr>
                <w:color w:val="000000" w:themeColor="text1"/>
                <w:sz w:val="26"/>
                <w:szCs w:val="26"/>
              </w:rPr>
            </w:pPr>
            <w:r w:rsidRPr="00481242">
              <w:rPr>
                <w:color w:val="000000" w:themeColor="text1"/>
                <w:sz w:val="26"/>
                <w:szCs w:val="26"/>
              </w:rPr>
              <w:t>v.</w:t>
            </w:r>
          </w:p>
          <w:p w14:paraId="47BC5ECC" w14:textId="77777777" w:rsidR="001B0C5E" w:rsidRPr="00481242" w:rsidRDefault="001B0C5E" w:rsidP="00481242">
            <w:pPr>
              <w:widowControl/>
              <w:ind w:firstLine="1440"/>
              <w:contextualSpacing/>
              <w:rPr>
                <w:color w:val="000000" w:themeColor="text1"/>
                <w:sz w:val="26"/>
                <w:szCs w:val="26"/>
              </w:rPr>
            </w:pPr>
          </w:p>
        </w:tc>
        <w:tc>
          <w:tcPr>
            <w:tcW w:w="4608" w:type="dxa"/>
          </w:tcPr>
          <w:p w14:paraId="208D85BD" w14:textId="77777777" w:rsidR="001B0C5E" w:rsidRPr="00481242" w:rsidRDefault="001B0C5E" w:rsidP="00481242">
            <w:pPr>
              <w:widowControl/>
              <w:contextualSpacing/>
              <w:rPr>
                <w:color w:val="000000" w:themeColor="text1"/>
                <w:sz w:val="26"/>
                <w:szCs w:val="26"/>
              </w:rPr>
            </w:pPr>
          </w:p>
        </w:tc>
      </w:tr>
      <w:tr w:rsidR="00481242" w:rsidRPr="00481242" w14:paraId="2134C101" w14:textId="77777777" w:rsidTr="003161E5">
        <w:tc>
          <w:tcPr>
            <w:tcW w:w="4878" w:type="dxa"/>
          </w:tcPr>
          <w:p w14:paraId="56341F7D" w14:textId="77777777" w:rsidR="001B0C5E" w:rsidRPr="00481242" w:rsidRDefault="004F7ABC" w:rsidP="00481242">
            <w:pPr>
              <w:widowControl/>
              <w:contextualSpacing/>
              <w:rPr>
                <w:color w:val="000000" w:themeColor="text1"/>
                <w:sz w:val="26"/>
                <w:szCs w:val="26"/>
              </w:rPr>
            </w:pPr>
            <w:bookmarkStart w:id="0" w:name="_Hlk22554510"/>
            <w:r w:rsidRPr="00481242">
              <w:rPr>
                <w:color w:val="000000" w:themeColor="text1"/>
                <w:sz w:val="26"/>
                <w:szCs w:val="26"/>
              </w:rPr>
              <w:t>P</w:t>
            </w:r>
            <w:r w:rsidR="001F39E7" w:rsidRPr="00481242">
              <w:rPr>
                <w:color w:val="000000" w:themeColor="text1"/>
                <w:sz w:val="26"/>
                <w:szCs w:val="26"/>
              </w:rPr>
              <w:t xml:space="preserve">PL </w:t>
            </w:r>
            <w:r w:rsidRPr="00481242">
              <w:rPr>
                <w:color w:val="000000" w:themeColor="text1"/>
                <w:sz w:val="26"/>
                <w:szCs w:val="26"/>
              </w:rPr>
              <w:t xml:space="preserve">Electric </w:t>
            </w:r>
            <w:r w:rsidR="001F39E7" w:rsidRPr="00481242">
              <w:rPr>
                <w:color w:val="000000" w:themeColor="text1"/>
                <w:sz w:val="26"/>
                <w:szCs w:val="26"/>
              </w:rPr>
              <w:t xml:space="preserve">Utilities </w:t>
            </w:r>
            <w:r w:rsidRPr="00481242">
              <w:rPr>
                <w:color w:val="000000" w:themeColor="text1"/>
                <w:sz w:val="26"/>
                <w:szCs w:val="26"/>
              </w:rPr>
              <w:t>Co</w:t>
            </w:r>
            <w:r w:rsidR="001F39E7" w:rsidRPr="00481242">
              <w:rPr>
                <w:color w:val="000000" w:themeColor="text1"/>
                <w:sz w:val="26"/>
                <w:szCs w:val="26"/>
              </w:rPr>
              <w:t>rporation</w:t>
            </w:r>
          </w:p>
          <w:bookmarkEnd w:id="0"/>
          <w:p w14:paraId="28A8DC72" w14:textId="77777777" w:rsidR="001B0C5E" w:rsidRPr="00481242" w:rsidRDefault="001B0C5E" w:rsidP="00481242">
            <w:pPr>
              <w:widowControl/>
              <w:contextualSpacing/>
              <w:rPr>
                <w:color w:val="000000" w:themeColor="text1"/>
                <w:sz w:val="26"/>
                <w:szCs w:val="26"/>
              </w:rPr>
            </w:pPr>
          </w:p>
        </w:tc>
        <w:tc>
          <w:tcPr>
            <w:tcW w:w="4608" w:type="dxa"/>
          </w:tcPr>
          <w:p w14:paraId="711DD9AD" w14:textId="77777777" w:rsidR="001B0C5E" w:rsidRPr="00481242" w:rsidRDefault="001B0C5E" w:rsidP="00481242">
            <w:pPr>
              <w:widowControl/>
              <w:contextualSpacing/>
              <w:rPr>
                <w:color w:val="000000" w:themeColor="text1"/>
                <w:sz w:val="26"/>
                <w:szCs w:val="26"/>
              </w:rPr>
            </w:pPr>
          </w:p>
        </w:tc>
      </w:tr>
    </w:tbl>
    <w:p w14:paraId="7FDD0047" w14:textId="77777777" w:rsidR="001B0C5E" w:rsidRPr="00481242" w:rsidRDefault="001B0C5E" w:rsidP="00481242">
      <w:pPr>
        <w:widowControl/>
        <w:contextualSpacing/>
        <w:rPr>
          <w:color w:val="000000" w:themeColor="text1"/>
          <w:sz w:val="26"/>
          <w:szCs w:val="26"/>
        </w:rPr>
      </w:pPr>
    </w:p>
    <w:p w14:paraId="5C60977B" w14:textId="77777777" w:rsidR="00D13E44" w:rsidRPr="00481242" w:rsidRDefault="00D13E44" w:rsidP="00481242">
      <w:pPr>
        <w:widowControl/>
        <w:contextualSpacing/>
        <w:rPr>
          <w:color w:val="000000" w:themeColor="text1"/>
          <w:sz w:val="26"/>
          <w:szCs w:val="26"/>
        </w:rPr>
      </w:pPr>
    </w:p>
    <w:p w14:paraId="00A034E9" w14:textId="77777777" w:rsidR="001B0C5E" w:rsidRPr="00481242" w:rsidRDefault="001B0C5E" w:rsidP="00481242">
      <w:pPr>
        <w:widowControl/>
        <w:contextualSpacing/>
        <w:jc w:val="center"/>
        <w:rPr>
          <w:b/>
          <w:color w:val="000000" w:themeColor="text1"/>
          <w:sz w:val="26"/>
          <w:szCs w:val="26"/>
        </w:rPr>
      </w:pPr>
      <w:r w:rsidRPr="00481242">
        <w:rPr>
          <w:b/>
          <w:color w:val="000000" w:themeColor="text1"/>
          <w:sz w:val="26"/>
          <w:szCs w:val="26"/>
        </w:rPr>
        <w:t>OPINION AND ORDER</w:t>
      </w:r>
    </w:p>
    <w:p w14:paraId="1D1A7F5A" w14:textId="77777777" w:rsidR="008F5FAC" w:rsidRPr="00481242" w:rsidRDefault="008F5FAC" w:rsidP="00481242">
      <w:pPr>
        <w:widowControl/>
        <w:contextualSpacing/>
        <w:jc w:val="center"/>
        <w:rPr>
          <w:b/>
          <w:color w:val="000000" w:themeColor="text1"/>
          <w:sz w:val="26"/>
          <w:szCs w:val="26"/>
        </w:rPr>
      </w:pPr>
    </w:p>
    <w:p w14:paraId="1C9455B9" w14:textId="77777777" w:rsidR="001B0C5E" w:rsidRPr="00481242" w:rsidRDefault="001B0C5E" w:rsidP="00481242">
      <w:pPr>
        <w:widowControl/>
        <w:contextualSpacing/>
        <w:rPr>
          <w:color w:val="000000" w:themeColor="text1"/>
          <w:sz w:val="26"/>
          <w:szCs w:val="26"/>
        </w:rPr>
      </w:pPr>
    </w:p>
    <w:p w14:paraId="01A957C4" w14:textId="77777777" w:rsidR="001B0C5E" w:rsidRPr="00481242" w:rsidRDefault="001B0C5E" w:rsidP="00481242">
      <w:pPr>
        <w:keepNext/>
        <w:widowControl/>
        <w:spacing w:line="360" w:lineRule="auto"/>
        <w:contextualSpacing/>
        <w:rPr>
          <w:b/>
          <w:color w:val="000000" w:themeColor="text1"/>
          <w:sz w:val="26"/>
          <w:szCs w:val="26"/>
        </w:rPr>
      </w:pPr>
      <w:r w:rsidRPr="00481242">
        <w:rPr>
          <w:b/>
          <w:color w:val="000000" w:themeColor="text1"/>
          <w:sz w:val="26"/>
          <w:szCs w:val="26"/>
        </w:rPr>
        <w:t>BY THE COMMISSION:</w:t>
      </w:r>
    </w:p>
    <w:p w14:paraId="5898A2DA" w14:textId="77777777" w:rsidR="001B0C5E" w:rsidRPr="00481242" w:rsidRDefault="001B0C5E" w:rsidP="00481242">
      <w:pPr>
        <w:widowControl/>
        <w:spacing w:line="360" w:lineRule="auto"/>
        <w:contextualSpacing/>
        <w:rPr>
          <w:b/>
          <w:color w:val="000000" w:themeColor="text1"/>
          <w:sz w:val="26"/>
          <w:szCs w:val="26"/>
        </w:rPr>
      </w:pPr>
    </w:p>
    <w:p w14:paraId="72AC6092" w14:textId="340AA30B" w:rsidR="001B0C5E" w:rsidRPr="00481242" w:rsidRDefault="001B0C5E" w:rsidP="00F57CEF">
      <w:pPr>
        <w:widowControl/>
        <w:spacing w:line="360" w:lineRule="auto"/>
        <w:ind w:firstLine="1440"/>
        <w:rPr>
          <w:color w:val="000000" w:themeColor="text1"/>
          <w:sz w:val="26"/>
          <w:szCs w:val="26"/>
        </w:rPr>
      </w:pPr>
      <w:r w:rsidRPr="00481242">
        <w:rPr>
          <w:color w:val="000000" w:themeColor="text1"/>
          <w:sz w:val="26"/>
          <w:szCs w:val="26"/>
        </w:rPr>
        <w:t xml:space="preserve">Before the Pennsylvania Public Utility Commission (Commission) for consideration and disposition are the Exceptions of </w:t>
      </w:r>
      <w:r w:rsidR="007735F6">
        <w:rPr>
          <w:color w:val="000000" w:themeColor="text1"/>
          <w:sz w:val="26"/>
          <w:szCs w:val="26"/>
        </w:rPr>
        <w:t>Jeffrey Ulmer</w:t>
      </w:r>
      <w:r w:rsidR="003965CC" w:rsidRPr="00481242">
        <w:rPr>
          <w:color w:val="000000" w:themeColor="text1"/>
          <w:sz w:val="26"/>
          <w:szCs w:val="26"/>
        </w:rPr>
        <w:t xml:space="preserve"> </w:t>
      </w:r>
      <w:r w:rsidRPr="00481242">
        <w:rPr>
          <w:color w:val="000000" w:themeColor="text1"/>
          <w:sz w:val="26"/>
          <w:szCs w:val="26"/>
        </w:rPr>
        <w:t>(</w:t>
      </w:r>
      <w:r w:rsidR="00B71D2E" w:rsidRPr="00481242">
        <w:rPr>
          <w:color w:val="000000" w:themeColor="text1"/>
          <w:sz w:val="26"/>
          <w:szCs w:val="26"/>
        </w:rPr>
        <w:t>Complainant or M</w:t>
      </w:r>
      <w:r w:rsidR="007735F6">
        <w:rPr>
          <w:color w:val="000000" w:themeColor="text1"/>
          <w:sz w:val="26"/>
          <w:szCs w:val="26"/>
        </w:rPr>
        <w:t>r</w:t>
      </w:r>
      <w:r w:rsidR="00B71D2E" w:rsidRPr="00481242">
        <w:rPr>
          <w:color w:val="000000" w:themeColor="text1"/>
          <w:sz w:val="26"/>
          <w:szCs w:val="26"/>
        </w:rPr>
        <w:t>.</w:t>
      </w:r>
      <w:r w:rsidR="00E6540F">
        <w:rPr>
          <w:color w:val="000000" w:themeColor="text1"/>
          <w:sz w:val="26"/>
          <w:szCs w:val="26"/>
        </w:rPr>
        <w:t> </w:t>
      </w:r>
      <w:r w:rsidR="007735F6">
        <w:rPr>
          <w:color w:val="000000" w:themeColor="text1"/>
          <w:sz w:val="26"/>
          <w:szCs w:val="26"/>
        </w:rPr>
        <w:t>Ulmer</w:t>
      </w:r>
      <w:r w:rsidR="00B71D2E" w:rsidRPr="00481242">
        <w:rPr>
          <w:color w:val="000000" w:themeColor="text1"/>
          <w:sz w:val="26"/>
          <w:szCs w:val="26"/>
        </w:rPr>
        <w:t>)</w:t>
      </w:r>
      <w:r w:rsidRPr="00481242">
        <w:rPr>
          <w:color w:val="000000" w:themeColor="text1"/>
          <w:sz w:val="26"/>
          <w:szCs w:val="26"/>
        </w:rPr>
        <w:t xml:space="preserve"> filed on </w:t>
      </w:r>
      <w:bookmarkStart w:id="1" w:name="_Hlk38523551"/>
      <w:r w:rsidR="009309A7">
        <w:rPr>
          <w:color w:val="000000" w:themeColor="text1"/>
          <w:sz w:val="26"/>
          <w:szCs w:val="26"/>
        </w:rPr>
        <w:t>March 26</w:t>
      </w:r>
      <w:r w:rsidR="00D521E1" w:rsidRPr="00481242">
        <w:rPr>
          <w:color w:val="000000" w:themeColor="text1"/>
          <w:sz w:val="26"/>
          <w:szCs w:val="26"/>
        </w:rPr>
        <w:t>, 20</w:t>
      </w:r>
      <w:bookmarkEnd w:id="1"/>
      <w:r w:rsidR="00266BFC" w:rsidRPr="00481242">
        <w:rPr>
          <w:color w:val="000000" w:themeColor="text1"/>
          <w:sz w:val="26"/>
          <w:szCs w:val="26"/>
        </w:rPr>
        <w:t>20</w:t>
      </w:r>
      <w:r w:rsidR="00217816" w:rsidRPr="00481242">
        <w:rPr>
          <w:color w:val="000000" w:themeColor="text1"/>
          <w:sz w:val="26"/>
          <w:szCs w:val="26"/>
        </w:rPr>
        <w:t>,</w:t>
      </w:r>
      <w:r w:rsidRPr="00481242">
        <w:rPr>
          <w:color w:val="000000" w:themeColor="text1"/>
          <w:sz w:val="26"/>
          <w:szCs w:val="26"/>
        </w:rPr>
        <w:t xml:space="preserve"> to the Initial Decision (I.D.</w:t>
      </w:r>
      <w:r w:rsidR="00DF0378" w:rsidRPr="00481242">
        <w:rPr>
          <w:color w:val="000000" w:themeColor="text1"/>
          <w:sz w:val="26"/>
          <w:szCs w:val="26"/>
        </w:rPr>
        <w:t xml:space="preserve"> or Initial Decision</w:t>
      </w:r>
      <w:r w:rsidRPr="00481242">
        <w:rPr>
          <w:color w:val="000000" w:themeColor="text1"/>
          <w:sz w:val="26"/>
          <w:szCs w:val="26"/>
        </w:rPr>
        <w:t xml:space="preserve">) of Administrative Law Judge (ALJ) </w:t>
      </w:r>
      <w:r w:rsidR="001F39E7" w:rsidRPr="00481242">
        <w:rPr>
          <w:color w:val="000000" w:themeColor="text1"/>
          <w:sz w:val="26"/>
          <w:szCs w:val="26"/>
        </w:rPr>
        <w:t>Elizabeth H. Barnes</w:t>
      </w:r>
      <w:r w:rsidRPr="00481242">
        <w:rPr>
          <w:color w:val="000000" w:themeColor="text1"/>
          <w:sz w:val="26"/>
          <w:szCs w:val="26"/>
        </w:rPr>
        <w:t xml:space="preserve">, </w:t>
      </w:r>
      <w:r w:rsidR="00DC2E3B" w:rsidRPr="00481242">
        <w:rPr>
          <w:color w:val="000000" w:themeColor="text1"/>
          <w:sz w:val="26"/>
          <w:szCs w:val="26"/>
        </w:rPr>
        <w:t>served on the Parties</w:t>
      </w:r>
      <w:r w:rsidRPr="00481242">
        <w:rPr>
          <w:color w:val="000000" w:themeColor="text1"/>
          <w:sz w:val="26"/>
          <w:szCs w:val="26"/>
        </w:rPr>
        <w:t xml:space="preserve"> on </w:t>
      </w:r>
      <w:r w:rsidR="00943604">
        <w:rPr>
          <w:color w:val="000000" w:themeColor="text1"/>
          <w:sz w:val="26"/>
          <w:szCs w:val="26"/>
        </w:rPr>
        <w:t>March</w:t>
      </w:r>
      <w:r w:rsidR="00E6540F">
        <w:rPr>
          <w:color w:val="000000" w:themeColor="text1"/>
          <w:sz w:val="26"/>
          <w:szCs w:val="26"/>
        </w:rPr>
        <w:t> </w:t>
      </w:r>
      <w:r w:rsidR="00266BFC" w:rsidRPr="00481242">
        <w:rPr>
          <w:color w:val="000000" w:themeColor="text1"/>
          <w:sz w:val="26"/>
          <w:szCs w:val="26"/>
        </w:rPr>
        <w:t>6</w:t>
      </w:r>
      <w:r w:rsidR="00D521E1" w:rsidRPr="00481242">
        <w:rPr>
          <w:color w:val="000000" w:themeColor="text1"/>
          <w:sz w:val="26"/>
          <w:szCs w:val="26"/>
        </w:rPr>
        <w:t>,</w:t>
      </w:r>
      <w:r w:rsidR="00E6540F">
        <w:rPr>
          <w:color w:val="000000" w:themeColor="text1"/>
          <w:sz w:val="26"/>
          <w:szCs w:val="26"/>
        </w:rPr>
        <w:t> </w:t>
      </w:r>
      <w:r w:rsidR="00D521E1" w:rsidRPr="00481242">
        <w:rPr>
          <w:color w:val="000000" w:themeColor="text1"/>
          <w:sz w:val="26"/>
          <w:szCs w:val="26"/>
        </w:rPr>
        <w:t>20</w:t>
      </w:r>
      <w:r w:rsidR="00943604">
        <w:rPr>
          <w:color w:val="000000" w:themeColor="text1"/>
          <w:sz w:val="26"/>
          <w:szCs w:val="26"/>
        </w:rPr>
        <w:t>20</w:t>
      </w:r>
      <w:r w:rsidR="00D521E1" w:rsidRPr="00481242">
        <w:rPr>
          <w:color w:val="000000" w:themeColor="text1"/>
          <w:sz w:val="26"/>
          <w:szCs w:val="26"/>
        </w:rPr>
        <w:t xml:space="preserve">, </w:t>
      </w:r>
      <w:r w:rsidRPr="00481242">
        <w:rPr>
          <w:color w:val="000000" w:themeColor="text1"/>
          <w:sz w:val="26"/>
          <w:szCs w:val="26"/>
        </w:rPr>
        <w:t>in the above-captioned proceeding</w:t>
      </w:r>
      <w:r w:rsidR="00216A44" w:rsidRPr="00481242">
        <w:rPr>
          <w:color w:val="000000" w:themeColor="text1"/>
          <w:sz w:val="26"/>
          <w:szCs w:val="26"/>
        </w:rPr>
        <w:t xml:space="preserve">.  </w:t>
      </w:r>
      <w:r w:rsidR="00217816" w:rsidRPr="00481242">
        <w:rPr>
          <w:color w:val="000000" w:themeColor="text1"/>
          <w:sz w:val="26"/>
          <w:szCs w:val="26"/>
        </w:rPr>
        <w:t xml:space="preserve">On </w:t>
      </w:r>
      <w:r w:rsidR="00943604">
        <w:rPr>
          <w:color w:val="000000" w:themeColor="text1"/>
          <w:sz w:val="26"/>
          <w:szCs w:val="26"/>
        </w:rPr>
        <w:t>April 6</w:t>
      </w:r>
      <w:r w:rsidR="00D521E1" w:rsidRPr="00481242">
        <w:rPr>
          <w:color w:val="000000" w:themeColor="text1"/>
          <w:sz w:val="26"/>
          <w:szCs w:val="26"/>
        </w:rPr>
        <w:t>, 20</w:t>
      </w:r>
      <w:r w:rsidR="00266BFC" w:rsidRPr="00481242">
        <w:rPr>
          <w:color w:val="000000" w:themeColor="text1"/>
          <w:sz w:val="26"/>
          <w:szCs w:val="26"/>
        </w:rPr>
        <w:t>20</w:t>
      </w:r>
      <w:r w:rsidR="00217816" w:rsidRPr="00481242">
        <w:rPr>
          <w:color w:val="000000" w:themeColor="text1"/>
          <w:sz w:val="26"/>
          <w:szCs w:val="26"/>
        </w:rPr>
        <w:t xml:space="preserve">, </w:t>
      </w:r>
      <w:r w:rsidR="004F7ABC" w:rsidRPr="00481242">
        <w:rPr>
          <w:color w:val="000000" w:themeColor="text1"/>
          <w:sz w:val="26"/>
          <w:szCs w:val="26"/>
        </w:rPr>
        <w:t>P</w:t>
      </w:r>
      <w:r w:rsidR="00D521E1" w:rsidRPr="00481242">
        <w:rPr>
          <w:color w:val="000000" w:themeColor="text1"/>
          <w:sz w:val="26"/>
          <w:szCs w:val="26"/>
        </w:rPr>
        <w:t xml:space="preserve">PL </w:t>
      </w:r>
      <w:r w:rsidR="004F7ABC" w:rsidRPr="00481242">
        <w:rPr>
          <w:color w:val="000000" w:themeColor="text1"/>
          <w:sz w:val="26"/>
          <w:szCs w:val="26"/>
        </w:rPr>
        <w:t xml:space="preserve">Electric </w:t>
      </w:r>
      <w:r w:rsidR="00D521E1" w:rsidRPr="00481242">
        <w:rPr>
          <w:color w:val="000000" w:themeColor="text1"/>
          <w:sz w:val="26"/>
          <w:szCs w:val="26"/>
        </w:rPr>
        <w:t xml:space="preserve">Utilities Corporation </w:t>
      </w:r>
      <w:r w:rsidRPr="00481242">
        <w:rPr>
          <w:color w:val="000000" w:themeColor="text1"/>
          <w:sz w:val="26"/>
          <w:szCs w:val="26"/>
        </w:rPr>
        <w:t>(P</w:t>
      </w:r>
      <w:r w:rsidR="00D521E1" w:rsidRPr="00481242">
        <w:rPr>
          <w:color w:val="000000" w:themeColor="text1"/>
          <w:sz w:val="26"/>
          <w:szCs w:val="26"/>
        </w:rPr>
        <w:t>PL</w:t>
      </w:r>
      <w:r w:rsidRPr="00481242">
        <w:rPr>
          <w:color w:val="000000" w:themeColor="text1"/>
          <w:sz w:val="26"/>
          <w:szCs w:val="26"/>
        </w:rPr>
        <w:t xml:space="preserve"> or the </w:t>
      </w:r>
      <w:r w:rsidR="00FA05E1" w:rsidRPr="00481242">
        <w:rPr>
          <w:color w:val="000000" w:themeColor="text1"/>
          <w:sz w:val="26"/>
          <w:szCs w:val="26"/>
        </w:rPr>
        <w:t>Company)</w:t>
      </w:r>
      <w:r w:rsidR="007C7EE2" w:rsidRPr="00481242">
        <w:rPr>
          <w:color w:val="000000" w:themeColor="text1"/>
          <w:sz w:val="26"/>
          <w:szCs w:val="26"/>
        </w:rPr>
        <w:t xml:space="preserve"> filed </w:t>
      </w:r>
      <w:r w:rsidR="00EF6624" w:rsidRPr="00481242">
        <w:rPr>
          <w:color w:val="000000" w:themeColor="text1"/>
          <w:sz w:val="26"/>
          <w:szCs w:val="26"/>
        </w:rPr>
        <w:t xml:space="preserve">Replies to Exceptions.  </w:t>
      </w:r>
      <w:r w:rsidR="00C96203" w:rsidRPr="00481242">
        <w:rPr>
          <w:color w:val="000000" w:themeColor="text1"/>
          <w:sz w:val="26"/>
          <w:szCs w:val="26"/>
        </w:rPr>
        <w:t xml:space="preserve">The Initial Decision denied the </w:t>
      </w:r>
      <w:r w:rsidR="001B6EB5">
        <w:rPr>
          <w:color w:val="000000" w:themeColor="text1"/>
          <w:sz w:val="26"/>
          <w:szCs w:val="26"/>
        </w:rPr>
        <w:t xml:space="preserve">Amended </w:t>
      </w:r>
      <w:r w:rsidR="00C96203" w:rsidRPr="00481242">
        <w:rPr>
          <w:color w:val="000000" w:themeColor="text1"/>
          <w:sz w:val="26"/>
          <w:szCs w:val="26"/>
        </w:rPr>
        <w:t>Formal Complaint (</w:t>
      </w:r>
      <w:r w:rsidR="009D6276">
        <w:rPr>
          <w:color w:val="000000" w:themeColor="text1"/>
          <w:sz w:val="26"/>
          <w:szCs w:val="26"/>
        </w:rPr>
        <w:t xml:space="preserve">Amended </w:t>
      </w:r>
      <w:r w:rsidR="00C96203" w:rsidRPr="00481242">
        <w:rPr>
          <w:color w:val="000000" w:themeColor="text1"/>
          <w:sz w:val="26"/>
          <w:szCs w:val="26"/>
        </w:rPr>
        <w:t>Complaint) filed by M</w:t>
      </w:r>
      <w:r w:rsidR="00943604">
        <w:rPr>
          <w:color w:val="000000" w:themeColor="text1"/>
          <w:sz w:val="26"/>
          <w:szCs w:val="26"/>
        </w:rPr>
        <w:t>r</w:t>
      </w:r>
      <w:r w:rsidR="00C96203" w:rsidRPr="00481242">
        <w:rPr>
          <w:color w:val="000000" w:themeColor="text1"/>
          <w:sz w:val="26"/>
          <w:szCs w:val="26"/>
        </w:rPr>
        <w:t>.</w:t>
      </w:r>
      <w:r w:rsidR="00611EF9">
        <w:rPr>
          <w:color w:val="000000" w:themeColor="text1"/>
          <w:sz w:val="26"/>
          <w:szCs w:val="26"/>
        </w:rPr>
        <w:t> </w:t>
      </w:r>
      <w:r w:rsidR="00943604">
        <w:rPr>
          <w:color w:val="000000" w:themeColor="text1"/>
          <w:sz w:val="26"/>
          <w:szCs w:val="26"/>
        </w:rPr>
        <w:t xml:space="preserve">Ulmer </w:t>
      </w:r>
      <w:r w:rsidR="00C96203" w:rsidRPr="00481242">
        <w:rPr>
          <w:color w:val="000000" w:themeColor="text1"/>
          <w:sz w:val="26"/>
          <w:szCs w:val="26"/>
        </w:rPr>
        <w:t xml:space="preserve">on </w:t>
      </w:r>
      <w:r w:rsidR="0074615F">
        <w:rPr>
          <w:color w:val="000000" w:themeColor="text1"/>
          <w:sz w:val="26"/>
          <w:szCs w:val="26"/>
        </w:rPr>
        <w:t>January 7</w:t>
      </w:r>
      <w:r w:rsidR="00C96203" w:rsidRPr="00481242">
        <w:rPr>
          <w:color w:val="000000" w:themeColor="text1"/>
          <w:sz w:val="26"/>
          <w:szCs w:val="26"/>
        </w:rPr>
        <w:t>, 20</w:t>
      </w:r>
      <w:r w:rsidR="0074615F">
        <w:rPr>
          <w:color w:val="000000" w:themeColor="text1"/>
          <w:sz w:val="26"/>
          <w:szCs w:val="26"/>
        </w:rPr>
        <w:t>20</w:t>
      </w:r>
      <w:r w:rsidR="00C96203" w:rsidRPr="00481242">
        <w:rPr>
          <w:color w:val="000000" w:themeColor="text1"/>
          <w:sz w:val="26"/>
          <w:szCs w:val="26"/>
        </w:rPr>
        <w:t xml:space="preserve">.  </w:t>
      </w:r>
      <w:r w:rsidRPr="00481242">
        <w:rPr>
          <w:color w:val="000000" w:themeColor="text1"/>
          <w:sz w:val="26"/>
          <w:szCs w:val="26"/>
        </w:rPr>
        <w:t>For the reasons discussed below, we</w:t>
      </w:r>
      <w:r w:rsidR="00217816" w:rsidRPr="00481242">
        <w:rPr>
          <w:color w:val="000000" w:themeColor="text1"/>
          <w:sz w:val="26"/>
          <w:szCs w:val="26"/>
        </w:rPr>
        <w:t xml:space="preserve"> </w:t>
      </w:r>
      <w:r w:rsidR="00EF6624" w:rsidRPr="00481242">
        <w:rPr>
          <w:color w:val="000000" w:themeColor="text1"/>
          <w:sz w:val="26"/>
          <w:szCs w:val="26"/>
        </w:rPr>
        <w:t xml:space="preserve">shall </w:t>
      </w:r>
      <w:r w:rsidRPr="00481242">
        <w:rPr>
          <w:color w:val="000000" w:themeColor="text1"/>
          <w:sz w:val="26"/>
          <w:szCs w:val="26"/>
        </w:rPr>
        <w:t>deny the</w:t>
      </w:r>
      <w:r w:rsidR="00217816" w:rsidRPr="00481242">
        <w:rPr>
          <w:color w:val="000000" w:themeColor="text1"/>
          <w:sz w:val="26"/>
          <w:szCs w:val="26"/>
        </w:rPr>
        <w:t xml:space="preserve"> </w:t>
      </w:r>
      <w:proofErr w:type="gramStart"/>
      <w:r w:rsidR="00217816" w:rsidRPr="00481242">
        <w:rPr>
          <w:color w:val="000000" w:themeColor="text1"/>
          <w:sz w:val="26"/>
          <w:szCs w:val="26"/>
        </w:rPr>
        <w:lastRenderedPageBreak/>
        <w:t>Complainant’s</w:t>
      </w:r>
      <w:r w:rsidRPr="00481242">
        <w:rPr>
          <w:color w:val="000000" w:themeColor="text1"/>
          <w:sz w:val="26"/>
          <w:szCs w:val="26"/>
        </w:rPr>
        <w:t xml:space="preserve"> Exceptions</w:t>
      </w:r>
      <w:r w:rsidR="00C96203" w:rsidRPr="00481242">
        <w:rPr>
          <w:color w:val="000000" w:themeColor="text1"/>
          <w:sz w:val="26"/>
          <w:szCs w:val="26"/>
        </w:rPr>
        <w:t>,</w:t>
      </w:r>
      <w:proofErr w:type="gramEnd"/>
      <w:r w:rsidRPr="00481242">
        <w:rPr>
          <w:color w:val="000000" w:themeColor="text1"/>
          <w:sz w:val="26"/>
          <w:szCs w:val="26"/>
        </w:rPr>
        <w:t xml:space="preserve"> adopt</w:t>
      </w:r>
      <w:r w:rsidR="00FF56AE" w:rsidRPr="00481242">
        <w:rPr>
          <w:color w:val="000000" w:themeColor="text1"/>
          <w:sz w:val="26"/>
          <w:szCs w:val="26"/>
        </w:rPr>
        <w:t xml:space="preserve"> </w:t>
      </w:r>
      <w:r w:rsidRPr="00481242">
        <w:rPr>
          <w:color w:val="000000" w:themeColor="text1"/>
          <w:sz w:val="26"/>
          <w:szCs w:val="26"/>
        </w:rPr>
        <w:t xml:space="preserve">the Initial Decision of ALJ </w:t>
      </w:r>
      <w:r w:rsidR="00D521E1" w:rsidRPr="00481242">
        <w:rPr>
          <w:color w:val="000000" w:themeColor="text1"/>
          <w:sz w:val="26"/>
          <w:szCs w:val="26"/>
        </w:rPr>
        <w:t>B</w:t>
      </w:r>
      <w:r w:rsidR="00B26CD4" w:rsidRPr="00481242">
        <w:rPr>
          <w:color w:val="000000" w:themeColor="text1"/>
          <w:sz w:val="26"/>
          <w:szCs w:val="26"/>
        </w:rPr>
        <w:t>a</w:t>
      </w:r>
      <w:r w:rsidR="00D521E1" w:rsidRPr="00481242">
        <w:rPr>
          <w:color w:val="000000" w:themeColor="text1"/>
          <w:sz w:val="26"/>
          <w:szCs w:val="26"/>
        </w:rPr>
        <w:t>rnes</w:t>
      </w:r>
      <w:r w:rsidR="00E6540F">
        <w:rPr>
          <w:color w:val="000000" w:themeColor="text1"/>
          <w:sz w:val="26"/>
          <w:szCs w:val="26"/>
        </w:rPr>
        <w:t>,</w:t>
      </w:r>
      <w:r w:rsidR="00ED267B" w:rsidRPr="00481242">
        <w:rPr>
          <w:color w:val="000000" w:themeColor="text1"/>
          <w:sz w:val="26"/>
          <w:szCs w:val="26"/>
        </w:rPr>
        <w:t xml:space="preserve"> </w:t>
      </w:r>
      <w:r w:rsidR="00C96203" w:rsidRPr="00481242">
        <w:rPr>
          <w:color w:val="000000" w:themeColor="text1"/>
          <w:sz w:val="26"/>
          <w:szCs w:val="26"/>
        </w:rPr>
        <w:t>and dismiss the</w:t>
      </w:r>
      <w:r w:rsidR="00F515DD">
        <w:rPr>
          <w:color w:val="000000" w:themeColor="text1"/>
          <w:sz w:val="26"/>
          <w:szCs w:val="26"/>
        </w:rPr>
        <w:t xml:space="preserve"> Amended</w:t>
      </w:r>
      <w:r w:rsidR="00C96203" w:rsidRPr="00481242">
        <w:rPr>
          <w:color w:val="000000" w:themeColor="text1"/>
          <w:sz w:val="26"/>
          <w:szCs w:val="26"/>
        </w:rPr>
        <w:t xml:space="preserve"> Complaint, </w:t>
      </w:r>
      <w:r w:rsidRPr="00481242">
        <w:rPr>
          <w:color w:val="000000" w:themeColor="text1"/>
          <w:sz w:val="26"/>
          <w:szCs w:val="26"/>
        </w:rPr>
        <w:t>consistent with this Opinion and Order.</w:t>
      </w:r>
    </w:p>
    <w:p w14:paraId="30194DF4" w14:textId="77777777" w:rsidR="00490AB2" w:rsidRPr="00481242" w:rsidRDefault="00490AB2" w:rsidP="00481242">
      <w:pPr>
        <w:widowControl/>
        <w:spacing w:line="360" w:lineRule="auto"/>
        <w:ind w:firstLine="1440"/>
        <w:rPr>
          <w:color w:val="000000" w:themeColor="text1"/>
          <w:sz w:val="26"/>
          <w:szCs w:val="26"/>
        </w:rPr>
      </w:pPr>
    </w:p>
    <w:p w14:paraId="0C688700" w14:textId="6C998402" w:rsidR="00B73D28" w:rsidRPr="001F45DF" w:rsidRDefault="00B73D28" w:rsidP="00E6540F">
      <w:pPr>
        <w:pStyle w:val="ListParagraph"/>
        <w:keepNext/>
        <w:widowControl/>
        <w:numPr>
          <w:ilvl w:val="0"/>
          <w:numId w:val="23"/>
        </w:numPr>
        <w:spacing w:line="360" w:lineRule="auto"/>
        <w:ind w:left="0" w:firstLine="0"/>
        <w:jc w:val="center"/>
        <w:rPr>
          <w:b/>
          <w:bCs/>
          <w:color w:val="000000" w:themeColor="text1"/>
          <w:sz w:val="26"/>
          <w:szCs w:val="26"/>
        </w:rPr>
      </w:pPr>
      <w:r w:rsidRPr="001F45DF">
        <w:rPr>
          <w:b/>
          <w:bCs/>
          <w:color w:val="000000" w:themeColor="text1"/>
          <w:sz w:val="26"/>
          <w:szCs w:val="26"/>
        </w:rPr>
        <w:t xml:space="preserve">Background </w:t>
      </w:r>
    </w:p>
    <w:p w14:paraId="210FC8E5" w14:textId="77777777" w:rsidR="00B73D28" w:rsidRPr="00481242" w:rsidRDefault="00B73D28" w:rsidP="00481242">
      <w:pPr>
        <w:keepNext/>
        <w:widowControl/>
        <w:spacing w:line="360" w:lineRule="auto"/>
        <w:contextualSpacing/>
        <w:jc w:val="center"/>
        <w:rPr>
          <w:b/>
          <w:bCs/>
          <w:color w:val="000000" w:themeColor="text1"/>
          <w:sz w:val="26"/>
          <w:szCs w:val="26"/>
        </w:rPr>
      </w:pPr>
    </w:p>
    <w:p w14:paraId="4B4F4DE8" w14:textId="702DE3FA" w:rsidR="00624FC9" w:rsidRPr="00481242" w:rsidRDefault="00624FC9" w:rsidP="002E0508">
      <w:pPr>
        <w:widowControl/>
        <w:spacing w:line="360" w:lineRule="auto"/>
        <w:ind w:firstLine="1440"/>
        <w:contextualSpacing/>
        <w:rPr>
          <w:color w:val="000000" w:themeColor="text1"/>
          <w:sz w:val="26"/>
          <w:szCs w:val="26"/>
        </w:rPr>
      </w:pPr>
      <w:r w:rsidRPr="00481242">
        <w:rPr>
          <w:color w:val="000000" w:themeColor="text1"/>
          <w:sz w:val="26"/>
          <w:szCs w:val="26"/>
        </w:rPr>
        <w:t xml:space="preserve">This case involves a </w:t>
      </w:r>
      <w:r w:rsidR="00126A26">
        <w:rPr>
          <w:color w:val="000000" w:themeColor="text1"/>
          <w:sz w:val="26"/>
          <w:szCs w:val="26"/>
        </w:rPr>
        <w:t xml:space="preserve">Formal </w:t>
      </w:r>
      <w:r w:rsidRPr="00481242">
        <w:rPr>
          <w:color w:val="000000" w:themeColor="text1"/>
          <w:sz w:val="26"/>
          <w:szCs w:val="26"/>
        </w:rPr>
        <w:t>Complaint</w:t>
      </w:r>
      <w:r w:rsidR="00096E4D">
        <w:rPr>
          <w:color w:val="000000" w:themeColor="text1"/>
          <w:sz w:val="26"/>
          <w:szCs w:val="26"/>
        </w:rPr>
        <w:t xml:space="preserve"> (Complaint)</w:t>
      </w:r>
      <w:r w:rsidR="00D97D6E">
        <w:rPr>
          <w:color w:val="000000" w:themeColor="text1"/>
          <w:sz w:val="26"/>
          <w:szCs w:val="26"/>
        </w:rPr>
        <w:t>, as amended (</w:t>
      </w:r>
      <w:r w:rsidR="00AE0B6D">
        <w:rPr>
          <w:color w:val="000000" w:themeColor="text1"/>
          <w:sz w:val="26"/>
          <w:szCs w:val="26"/>
        </w:rPr>
        <w:t>Amended Complaint</w:t>
      </w:r>
      <w:r w:rsidR="00D97D6E">
        <w:rPr>
          <w:color w:val="000000" w:themeColor="text1"/>
          <w:sz w:val="26"/>
          <w:szCs w:val="26"/>
        </w:rPr>
        <w:t>),</w:t>
      </w:r>
      <w:r w:rsidRPr="00481242">
        <w:rPr>
          <w:color w:val="000000" w:themeColor="text1"/>
          <w:sz w:val="26"/>
          <w:szCs w:val="26"/>
        </w:rPr>
        <w:t xml:space="preserve"> concerning the safety of the advanced metering infrastructure (AMI), or smart meter, that PPL proposes to install at the Complainant’s residence and use in the ordinary course of business to measure the Complainant’s electricity consumption.  The Complainant </w:t>
      </w:r>
      <w:r w:rsidR="00757736">
        <w:rPr>
          <w:color w:val="000000" w:themeColor="text1"/>
          <w:sz w:val="26"/>
          <w:szCs w:val="26"/>
        </w:rPr>
        <w:t>request</w:t>
      </w:r>
      <w:r w:rsidR="003E556E">
        <w:rPr>
          <w:color w:val="000000" w:themeColor="text1"/>
          <w:sz w:val="26"/>
          <w:szCs w:val="26"/>
        </w:rPr>
        <w:t>ed</w:t>
      </w:r>
      <w:r w:rsidR="00757736">
        <w:rPr>
          <w:color w:val="000000" w:themeColor="text1"/>
          <w:sz w:val="26"/>
          <w:szCs w:val="26"/>
        </w:rPr>
        <w:t xml:space="preserve"> that</w:t>
      </w:r>
      <w:r w:rsidRPr="00481242">
        <w:rPr>
          <w:color w:val="000000" w:themeColor="text1"/>
          <w:sz w:val="26"/>
          <w:szCs w:val="26"/>
        </w:rPr>
        <w:t xml:space="preserve"> PPL</w:t>
      </w:r>
      <w:r w:rsidR="00757736">
        <w:rPr>
          <w:color w:val="000000" w:themeColor="text1"/>
          <w:sz w:val="26"/>
          <w:szCs w:val="26"/>
        </w:rPr>
        <w:t xml:space="preserve"> not</w:t>
      </w:r>
      <w:r w:rsidRPr="00481242">
        <w:rPr>
          <w:color w:val="000000" w:themeColor="text1"/>
          <w:sz w:val="26"/>
          <w:szCs w:val="26"/>
        </w:rPr>
        <w:t xml:space="preserve"> install a smart meter at </w:t>
      </w:r>
      <w:r w:rsidR="00DD2BCB">
        <w:rPr>
          <w:color w:val="000000" w:themeColor="text1"/>
          <w:sz w:val="26"/>
          <w:szCs w:val="26"/>
        </w:rPr>
        <w:t>his</w:t>
      </w:r>
      <w:r w:rsidRPr="00481242">
        <w:rPr>
          <w:color w:val="000000" w:themeColor="text1"/>
          <w:sz w:val="26"/>
          <w:szCs w:val="26"/>
        </w:rPr>
        <w:t xml:space="preserve"> residence due to </w:t>
      </w:r>
      <w:r w:rsidR="00DD2BCB">
        <w:rPr>
          <w:color w:val="000000" w:themeColor="text1"/>
          <w:sz w:val="26"/>
          <w:szCs w:val="26"/>
        </w:rPr>
        <w:t>his</w:t>
      </w:r>
      <w:r w:rsidRPr="00481242">
        <w:rPr>
          <w:color w:val="000000" w:themeColor="text1"/>
          <w:sz w:val="26"/>
          <w:szCs w:val="26"/>
        </w:rPr>
        <w:t xml:space="preserve"> concerns regarding </w:t>
      </w:r>
      <w:r w:rsidR="00803E2F">
        <w:rPr>
          <w:color w:val="000000" w:themeColor="text1"/>
          <w:sz w:val="26"/>
          <w:szCs w:val="26"/>
        </w:rPr>
        <w:t xml:space="preserve">safety, health, and privacy concerns </w:t>
      </w:r>
      <w:r w:rsidR="00EB4C27" w:rsidRPr="00481242">
        <w:rPr>
          <w:color w:val="000000" w:themeColor="text1"/>
          <w:sz w:val="26"/>
          <w:szCs w:val="26"/>
        </w:rPr>
        <w:t>related</w:t>
      </w:r>
      <w:r w:rsidRPr="00481242">
        <w:rPr>
          <w:color w:val="000000" w:themeColor="text1"/>
          <w:sz w:val="26"/>
          <w:szCs w:val="26"/>
        </w:rPr>
        <w:t xml:space="preserve"> to </w:t>
      </w:r>
      <w:r w:rsidR="00803E2F">
        <w:rPr>
          <w:color w:val="000000" w:themeColor="text1"/>
          <w:sz w:val="26"/>
          <w:szCs w:val="26"/>
        </w:rPr>
        <w:t>installation of</w:t>
      </w:r>
      <w:r w:rsidRPr="00481242">
        <w:rPr>
          <w:color w:val="000000" w:themeColor="text1"/>
          <w:sz w:val="26"/>
          <w:szCs w:val="26"/>
        </w:rPr>
        <w:t xml:space="preserve"> the smart meter</w:t>
      </w:r>
      <w:r w:rsidR="00B47973">
        <w:rPr>
          <w:color w:val="000000" w:themeColor="text1"/>
          <w:sz w:val="26"/>
          <w:szCs w:val="26"/>
        </w:rPr>
        <w:t xml:space="preserve">.  Amended Complaint at </w:t>
      </w:r>
      <w:r w:rsidR="002D3641">
        <w:rPr>
          <w:color w:val="000000" w:themeColor="text1"/>
          <w:sz w:val="26"/>
          <w:szCs w:val="26"/>
        </w:rPr>
        <w:t>2-</w:t>
      </w:r>
      <w:r w:rsidR="0075064E">
        <w:rPr>
          <w:color w:val="000000" w:themeColor="text1"/>
          <w:sz w:val="26"/>
          <w:szCs w:val="26"/>
        </w:rPr>
        <w:t>10</w:t>
      </w:r>
      <w:r w:rsidR="00863E30">
        <w:rPr>
          <w:color w:val="000000" w:themeColor="text1"/>
          <w:sz w:val="26"/>
          <w:szCs w:val="26"/>
        </w:rPr>
        <w:t>.</w:t>
      </w:r>
    </w:p>
    <w:p w14:paraId="4A12AB77" w14:textId="77777777" w:rsidR="003861FB" w:rsidRPr="00481242" w:rsidRDefault="003861FB" w:rsidP="002E0508">
      <w:pPr>
        <w:widowControl/>
        <w:autoSpaceDE w:val="0"/>
        <w:autoSpaceDN w:val="0"/>
        <w:adjustRightInd w:val="0"/>
        <w:spacing w:line="360" w:lineRule="auto"/>
        <w:ind w:firstLine="1440"/>
        <w:contextualSpacing/>
        <w:rPr>
          <w:color w:val="000000" w:themeColor="text1"/>
          <w:sz w:val="26"/>
          <w:szCs w:val="26"/>
        </w:rPr>
      </w:pPr>
      <w:r w:rsidRPr="00481242">
        <w:rPr>
          <w:color w:val="000000" w:themeColor="text1"/>
          <w:sz w:val="26"/>
          <w:szCs w:val="26"/>
        </w:rPr>
        <w:t xml:space="preserve"> </w:t>
      </w:r>
    </w:p>
    <w:p w14:paraId="4948D02B" w14:textId="497C322B" w:rsidR="002131EC" w:rsidRPr="00481242" w:rsidRDefault="00D521E1" w:rsidP="002E0508">
      <w:pPr>
        <w:widowControl/>
        <w:autoSpaceDE w:val="0"/>
        <w:autoSpaceDN w:val="0"/>
        <w:adjustRightInd w:val="0"/>
        <w:spacing w:line="360" w:lineRule="auto"/>
        <w:ind w:firstLine="1440"/>
        <w:contextualSpacing/>
        <w:rPr>
          <w:rFonts w:eastAsiaTheme="minorHAnsi"/>
          <w:color w:val="000000" w:themeColor="text1"/>
          <w:sz w:val="26"/>
          <w:szCs w:val="26"/>
        </w:rPr>
      </w:pPr>
      <w:r w:rsidRPr="00481242">
        <w:rPr>
          <w:color w:val="000000" w:themeColor="text1"/>
          <w:sz w:val="26"/>
          <w:szCs w:val="26"/>
        </w:rPr>
        <w:t>PPL</w:t>
      </w:r>
      <w:r w:rsidR="003861FB" w:rsidRPr="00481242">
        <w:rPr>
          <w:color w:val="000000" w:themeColor="text1"/>
          <w:sz w:val="26"/>
          <w:szCs w:val="26"/>
        </w:rPr>
        <w:t xml:space="preserve"> is an </w:t>
      </w:r>
      <w:r w:rsidR="003861FB" w:rsidRPr="00481242">
        <w:rPr>
          <w:rFonts w:eastAsiaTheme="minorHAnsi"/>
          <w:color w:val="000000" w:themeColor="text1"/>
          <w:sz w:val="26"/>
          <w:szCs w:val="26"/>
        </w:rPr>
        <w:t xml:space="preserve">electric distribution company (EDC) subject to the jurisdiction of the Commission.  </w:t>
      </w:r>
      <w:r w:rsidR="00077B82" w:rsidRPr="00481242">
        <w:rPr>
          <w:rFonts w:eastAsiaTheme="minorHAnsi"/>
          <w:color w:val="000000" w:themeColor="text1"/>
          <w:sz w:val="26"/>
          <w:szCs w:val="26"/>
        </w:rPr>
        <w:t xml:space="preserve">PPL </w:t>
      </w:r>
      <w:r w:rsidR="00077B82" w:rsidRPr="00481242">
        <w:rPr>
          <w:color w:val="000000" w:themeColor="text1"/>
          <w:sz w:val="26"/>
          <w:szCs w:val="26"/>
        </w:rPr>
        <w:t>furnishes, owns</w:t>
      </w:r>
      <w:r w:rsidR="00763F81" w:rsidRPr="00481242">
        <w:rPr>
          <w:color w:val="000000" w:themeColor="text1"/>
          <w:sz w:val="26"/>
          <w:szCs w:val="26"/>
        </w:rPr>
        <w:t>,</w:t>
      </w:r>
      <w:r w:rsidR="00077B82" w:rsidRPr="00481242">
        <w:rPr>
          <w:color w:val="000000" w:themeColor="text1"/>
          <w:sz w:val="26"/>
          <w:szCs w:val="26"/>
        </w:rPr>
        <w:t xml:space="preserve"> and maintains the meters in its distribution system.  </w:t>
      </w:r>
      <w:r w:rsidR="007A26F4" w:rsidRPr="007A26F4">
        <w:rPr>
          <w:i/>
          <w:color w:val="000000"/>
          <w:sz w:val="26"/>
          <w:szCs w:val="26"/>
        </w:rPr>
        <w:t>See</w:t>
      </w:r>
      <w:r w:rsidR="007A26F4" w:rsidRPr="007A26F4">
        <w:rPr>
          <w:color w:val="000000"/>
          <w:sz w:val="26"/>
          <w:szCs w:val="26"/>
        </w:rPr>
        <w:t xml:space="preserve"> </w:t>
      </w:r>
      <w:r w:rsidR="00077B82" w:rsidRPr="00481242">
        <w:rPr>
          <w:color w:val="000000" w:themeColor="text1"/>
          <w:sz w:val="26"/>
          <w:szCs w:val="26"/>
        </w:rPr>
        <w:t>PPL’s Tariff Electric Pa. P.U.C. No. 201, Section 8.A at 12.</w:t>
      </w:r>
    </w:p>
    <w:p w14:paraId="0966D698" w14:textId="77777777" w:rsidR="002131EC" w:rsidRPr="00481242" w:rsidRDefault="002131EC" w:rsidP="002E0508">
      <w:pPr>
        <w:widowControl/>
        <w:autoSpaceDE w:val="0"/>
        <w:autoSpaceDN w:val="0"/>
        <w:adjustRightInd w:val="0"/>
        <w:spacing w:line="360" w:lineRule="auto"/>
        <w:ind w:firstLine="1440"/>
        <w:contextualSpacing/>
        <w:rPr>
          <w:rFonts w:eastAsiaTheme="minorHAnsi"/>
          <w:color w:val="000000" w:themeColor="text1"/>
          <w:sz w:val="26"/>
          <w:szCs w:val="26"/>
        </w:rPr>
      </w:pPr>
    </w:p>
    <w:p w14:paraId="494337F2" w14:textId="1F979E9C" w:rsidR="003861FB" w:rsidRPr="00481242" w:rsidRDefault="00A257BB" w:rsidP="002E0508">
      <w:pPr>
        <w:widowControl/>
        <w:autoSpaceDE w:val="0"/>
        <w:autoSpaceDN w:val="0"/>
        <w:adjustRightInd w:val="0"/>
        <w:spacing w:line="360" w:lineRule="auto"/>
        <w:ind w:firstLine="1440"/>
        <w:contextualSpacing/>
        <w:rPr>
          <w:color w:val="000000" w:themeColor="text1"/>
          <w:sz w:val="26"/>
          <w:szCs w:val="26"/>
        </w:rPr>
      </w:pPr>
      <w:r w:rsidRPr="00481242">
        <w:rPr>
          <w:rFonts w:eastAsiaTheme="minorHAnsi"/>
          <w:color w:val="000000" w:themeColor="text1"/>
          <w:sz w:val="26"/>
          <w:szCs w:val="26"/>
        </w:rPr>
        <w:t xml:space="preserve">The </w:t>
      </w:r>
      <w:r w:rsidR="002131EC" w:rsidRPr="00481242">
        <w:rPr>
          <w:rFonts w:eastAsiaTheme="minorHAnsi"/>
          <w:color w:val="000000" w:themeColor="text1"/>
          <w:sz w:val="26"/>
          <w:szCs w:val="26"/>
        </w:rPr>
        <w:t xml:space="preserve">Complainant is a PPL customer who has been notified of PPL’s intent to install a smart meter at </w:t>
      </w:r>
      <w:r w:rsidR="00DD2BCB">
        <w:rPr>
          <w:rFonts w:eastAsiaTheme="minorHAnsi"/>
          <w:color w:val="000000" w:themeColor="text1"/>
          <w:sz w:val="26"/>
          <w:szCs w:val="26"/>
        </w:rPr>
        <w:t>his</w:t>
      </w:r>
      <w:r w:rsidR="002131EC" w:rsidRPr="00481242">
        <w:rPr>
          <w:rFonts w:eastAsiaTheme="minorHAnsi"/>
          <w:color w:val="000000" w:themeColor="text1"/>
          <w:sz w:val="26"/>
          <w:szCs w:val="26"/>
        </w:rPr>
        <w:t xml:space="preserve"> residence.</w:t>
      </w:r>
      <w:r w:rsidR="009528F4">
        <w:rPr>
          <w:rFonts w:eastAsiaTheme="minorHAnsi"/>
          <w:color w:val="000000" w:themeColor="text1"/>
          <w:sz w:val="26"/>
          <w:szCs w:val="26"/>
        </w:rPr>
        <w:t xml:space="preserve">  The Complainant currently has a </w:t>
      </w:r>
      <w:r w:rsidR="009528F4">
        <w:rPr>
          <w:sz w:val="26"/>
          <w:szCs w:val="26"/>
        </w:rPr>
        <w:t>powerline carrier (</w:t>
      </w:r>
      <w:r w:rsidR="009528F4" w:rsidRPr="00AF095C">
        <w:rPr>
          <w:sz w:val="26"/>
          <w:szCs w:val="26"/>
        </w:rPr>
        <w:t>PLC</w:t>
      </w:r>
      <w:r w:rsidR="009528F4">
        <w:rPr>
          <w:sz w:val="26"/>
          <w:szCs w:val="26"/>
        </w:rPr>
        <w:t>)</w:t>
      </w:r>
      <w:r w:rsidR="009528F4" w:rsidRPr="00AF095C">
        <w:rPr>
          <w:sz w:val="26"/>
          <w:szCs w:val="26"/>
        </w:rPr>
        <w:t xml:space="preserve"> meter</w:t>
      </w:r>
      <w:r w:rsidR="009528F4">
        <w:rPr>
          <w:sz w:val="26"/>
          <w:szCs w:val="26"/>
        </w:rPr>
        <w:t xml:space="preserve"> installed at his residence</w:t>
      </w:r>
      <w:r w:rsidR="009528F4" w:rsidRPr="009528F4">
        <w:rPr>
          <w:color w:val="000000" w:themeColor="text1"/>
          <w:sz w:val="26"/>
          <w:szCs w:val="26"/>
        </w:rPr>
        <w:t xml:space="preserve"> </w:t>
      </w:r>
      <w:r w:rsidR="009528F4">
        <w:rPr>
          <w:color w:val="000000" w:themeColor="text1"/>
          <w:sz w:val="26"/>
          <w:szCs w:val="26"/>
        </w:rPr>
        <w:t xml:space="preserve">that provides the function of </w:t>
      </w:r>
      <w:r w:rsidR="009528F4" w:rsidRPr="00481242">
        <w:rPr>
          <w:color w:val="000000" w:themeColor="text1"/>
          <w:sz w:val="26"/>
          <w:szCs w:val="26"/>
        </w:rPr>
        <w:t>automatic meter reading</w:t>
      </w:r>
      <w:r w:rsidR="009528F4">
        <w:rPr>
          <w:color w:val="000000" w:themeColor="text1"/>
          <w:sz w:val="26"/>
          <w:szCs w:val="26"/>
        </w:rPr>
        <w:t xml:space="preserve"> (AMR)</w:t>
      </w:r>
      <w:r w:rsidR="009528F4">
        <w:rPr>
          <w:sz w:val="26"/>
          <w:szCs w:val="26"/>
        </w:rPr>
        <w:t>.</w:t>
      </w:r>
    </w:p>
    <w:p w14:paraId="32C617A1" w14:textId="77777777" w:rsidR="005703B8" w:rsidRPr="00481242" w:rsidRDefault="005703B8" w:rsidP="002E0508">
      <w:pPr>
        <w:widowControl/>
        <w:autoSpaceDE w:val="0"/>
        <w:autoSpaceDN w:val="0"/>
        <w:adjustRightInd w:val="0"/>
        <w:spacing w:line="360" w:lineRule="auto"/>
        <w:ind w:firstLine="1440"/>
        <w:contextualSpacing/>
        <w:rPr>
          <w:color w:val="000000" w:themeColor="text1"/>
          <w:sz w:val="26"/>
          <w:szCs w:val="26"/>
        </w:rPr>
      </w:pPr>
    </w:p>
    <w:p w14:paraId="748557B9" w14:textId="77777777" w:rsidR="003861FB" w:rsidRPr="00481242" w:rsidRDefault="003861FB" w:rsidP="002E0508">
      <w:pPr>
        <w:widowControl/>
        <w:autoSpaceDE w:val="0"/>
        <w:autoSpaceDN w:val="0"/>
        <w:adjustRightInd w:val="0"/>
        <w:spacing w:line="360" w:lineRule="auto"/>
        <w:ind w:firstLine="1440"/>
        <w:contextualSpacing/>
        <w:rPr>
          <w:rFonts w:eastAsiaTheme="minorHAnsi"/>
          <w:color w:val="000000" w:themeColor="text1"/>
          <w:sz w:val="26"/>
          <w:szCs w:val="26"/>
        </w:rPr>
      </w:pPr>
      <w:r w:rsidRPr="00481242">
        <w:rPr>
          <w:color w:val="000000" w:themeColor="text1"/>
          <w:sz w:val="26"/>
          <w:szCs w:val="26"/>
        </w:rPr>
        <w:t xml:space="preserve">Act 129 of 2008 (Act 129 or Act), </w:t>
      </w:r>
      <w:r w:rsidRPr="00481242">
        <w:rPr>
          <w:i/>
          <w:color w:val="000000" w:themeColor="text1"/>
          <w:sz w:val="26"/>
          <w:szCs w:val="26"/>
        </w:rPr>
        <w:t>inter alia</w:t>
      </w:r>
      <w:r w:rsidRPr="00481242">
        <w:rPr>
          <w:color w:val="000000" w:themeColor="text1"/>
          <w:sz w:val="26"/>
          <w:szCs w:val="26"/>
        </w:rPr>
        <w:t xml:space="preserve">, amended Chapter 28 of the Public Utility Code (Code) and required </w:t>
      </w:r>
      <w:r w:rsidRPr="00481242">
        <w:rPr>
          <w:rFonts w:eastAsiaTheme="minorHAnsi"/>
          <w:color w:val="000000" w:themeColor="text1"/>
          <w:sz w:val="26"/>
          <w:szCs w:val="26"/>
        </w:rPr>
        <w:t xml:space="preserve">EDCs with more than 100,000 customers to file smart meter technology procurement and installation plans for Commission approval and to furnish </w:t>
      </w:r>
      <w:r w:rsidRPr="00481242">
        <w:rPr>
          <w:color w:val="000000" w:themeColor="text1"/>
          <w:sz w:val="26"/>
          <w:szCs w:val="26"/>
        </w:rPr>
        <w:t>smart meter technology within its service territory in accordance with the provisions of</w:t>
      </w:r>
      <w:r w:rsidRPr="00481242">
        <w:rPr>
          <w:rFonts w:eastAsiaTheme="minorHAnsi"/>
          <w:color w:val="000000" w:themeColor="text1"/>
          <w:sz w:val="26"/>
          <w:szCs w:val="26"/>
        </w:rPr>
        <w:t xml:space="preserve"> the Act.  Section 2807(f) of the Code provides as follows:</w:t>
      </w:r>
    </w:p>
    <w:p w14:paraId="58FCCC7A" w14:textId="457F2639" w:rsidR="003861FB" w:rsidRPr="00481242" w:rsidRDefault="003861FB" w:rsidP="00481242">
      <w:pPr>
        <w:keepNext/>
        <w:keepLines/>
        <w:widowControl/>
        <w:autoSpaceDE w:val="0"/>
        <w:autoSpaceDN w:val="0"/>
        <w:adjustRightInd w:val="0"/>
        <w:ind w:left="1440" w:right="1440"/>
        <w:rPr>
          <w:rFonts w:eastAsiaTheme="minorHAnsi"/>
          <w:color w:val="000000" w:themeColor="text1"/>
          <w:sz w:val="26"/>
          <w:szCs w:val="26"/>
        </w:rPr>
      </w:pPr>
      <w:r w:rsidRPr="00481242">
        <w:rPr>
          <w:rFonts w:eastAsiaTheme="minorHAnsi"/>
          <w:color w:val="000000" w:themeColor="text1"/>
          <w:sz w:val="26"/>
          <w:szCs w:val="26"/>
        </w:rPr>
        <w:lastRenderedPageBreak/>
        <w:t>(f)</w:t>
      </w:r>
      <w:r w:rsidR="00C22087">
        <w:rPr>
          <w:rFonts w:eastAsiaTheme="minorHAnsi"/>
          <w:color w:val="000000" w:themeColor="text1"/>
          <w:sz w:val="26"/>
          <w:szCs w:val="26"/>
        </w:rPr>
        <w:tab/>
      </w:r>
      <w:r w:rsidRPr="00481242">
        <w:rPr>
          <w:rFonts w:eastAsiaTheme="minorHAnsi"/>
          <w:i/>
          <w:iCs/>
          <w:color w:val="000000" w:themeColor="text1"/>
          <w:sz w:val="26"/>
          <w:szCs w:val="26"/>
        </w:rPr>
        <w:t xml:space="preserve">Smart Meter technology and time of use rates. </w:t>
      </w:r>
    </w:p>
    <w:p w14:paraId="753D4C78" w14:textId="77777777" w:rsidR="003861FB" w:rsidRPr="00481242" w:rsidRDefault="003861FB" w:rsidP="00481242">
      <w:pPr>
        <w:keepNext/>
        <w:keepLines/>
        <w:widowControl/>
        <w:autoSpaceDE w:val="0"/>
        <w:autoSpaceDN w:val="0"/>
        <w:adjustRightInd w:val="0"/>
        <w:ind w:left="1440" w:right="1440"/>
        <w:rPr>
          <w:rFonts w:eastAsiaTheme="minorHAnsi"/>
          <w:color w:val="000000" w:themeColor="text1"/>
          <w:sz w:val="26"/>
          <w:szCs w:val="26"/>
        </w:rPr>
      </w:pPr>
    </w:p>
    <w:p w14:paraId="4BAB83DD" w14:textId="1ED9A489" w:rsidR="003861FB" w:rsidRPr="003B0757" w:rsidRDefault="003861FB" w:rsidP="003B0757">
      <w:pPr>
        <w:pStyle w:val="ListParagraph"/>
        <w:widowControl/>
        <w:numPr>
          <w:ilvl w:val="0"/>
          <w:numId w:val="20"/>
        </w:numPr>
        <w:autoSpaceDE w:val="0"/>
        <w:autoSpaceDN w:val="0"/>
        <w:adjustRightInd w:val="0"/>
        <w:ind w:left="1440" w:right="1440" w:firstLine="720"/>
        <w:rPr>
          <w:rFonts w:eastAsiaTheme="minorHAnsi"/>
          <w:color w:val="000000" w:themeColor="text1"/>
          <w:sz w:val="26"/>
          <w:szCs w:val="26"/>
        </w:rPr>
      </w:pPr>
      <w:r w:rsidRPr="003B0757">
        <w:rPr>
          <w:rFonts w:eastAsiaTheme="minorHAnsi"/>
          <w:color w:val="000000" w:themeColor="text1"/>
          <w:sz w:val="26"/>
          <w:szCs w:val="26"/>
        </w:rPr>
        <w:t xml:space="preserve">Within nine months after the effective date of this paragraph, electric distribution companies shall file a Smart Meter technology procurement and installation plan with the commission for approval.  The plan shall describe the Smart Meter technologies the electric distribution company proposes to install in accordance with paragraph (2). </w:t>
      </w:r>
    </w:p>
    <w:p w14:paraId="68BAF49D" w14:textId="77777777" w:rsidR="00DF6747" w:rsidRPr="00481242" w:rsidRDefault="00DF6747" w:rsidP="00481242">
      <w:pPr>
        <w:widowControl/>
        <w:autoSpaceDE w:val="0"/>
        <w:autoSpaceDN w:val="0"/>
        <w:adjustRightInd w:val="0"/>
        <w:ind w:left="1440" w:right="1440" w:firstLine="720"/>
        <w:rPr>
          <w:rFonts w:eastAsiaTheme="minorHAnsi"/>
          <w:color w:val="000000" w:themeColor="text1"/>
          <w:sz w:val="26"/>
          <w:szCs w:val="26"/>
        </w:rPr>
      </w:pPr>
    </w:p>
    <w:p w14:paraId="16AD3101" w14:textId="5EE3D9E3" w:rsidR="003861FB" w:rsidRPr="00722C9F" w:rsidRDefault="003861FB" w:rsidP="00722C9F">
      <w:pPr>
        <w:pStyle w:val="ListParagraph"/>
        <w:widowControl/>
        <w:numPr>
          <w:ilvl w:val="0"/>
          <w:numId w:val="20"/>
        </w:numPr>
        <w:autoSpaceDE w:val="0"/>
        <w:autoSpaceDN w:val="0"/>
        <w:adjustRightInd w:val="0"/>
        <w:ind w:left="1440" w:right="1440" w:firstLine="720"/>
        <w:rPr>
          <w:rFonts w:eastAsiaTheme="minorHAnsi"/>
          <w:color w:val="000000" w:themeColor="text1"/>
          <w:sz w:val="26"/>
          <w:szCs w:val="26"/>
        </w:rPr>
      </w:pPr>
      <w:r w:rsidRPr="00722C9F">
        <w:rPr>
          <w:rFonts w:eastAsiaTheme="minorHAnsi"/>
          <w:color w:val="000000" w:themeColor="text1"/>
          <w:sz w:val="26"/>
          <w:szCs w:val="26"/>
        </w:rPr>
        <w:t xml:space="preserve">Electric distribution companies shall furnish Smart Meter technology as follows: </w:t>
      </w:r>
    </w:p>
    <w:p w14:paraId="0D3DA68B" w14:textId="77777777" w:rsidR="003861FB" w:rsidRPr="00722C9F" w:rsidRDefault="003861FB" w:rsidP="00481242">
      <w:pPr>
        <w:widowControl/>
        <w:autoSpaceDE w:val="0"/>
        <w:autoSpaceDN w:val="0"/>
        <w:adjustRightInd w:val="0"/>
        <w:ind w:left="1440" w:right="1440"/>
        <w:rPr>
          <w:rFonts w:eastAsiaTheme="minorHAnsi"/>
          <w:color w:val="000000" w:themeColor="text1"/>
          <w:sz w:val="26"/>
          <w:szCs w:val="26"/>
        </w:rPr>
      </w:pPr>
    </w:p>
    <w:p w14:paraId="112AD84C" w14:textId="08E940C2" w:rsidR="003861FB" w:rsidRPr="00722C9F" w:rsidRDefault="003861FB" w:rsidP="00B3334B">
      <w:pPr>
        <w:pStyle w:val="ListParagraph"/>
        <w:widowControl/>
        <w:numPr>
          <w:ilvl w:val="0"/>
          <w:numId w:val="21"/>
        </w:numPr>
        <w:autoSpaceDE w:val="0"/>
        <w:autoSpaceDN w:val="0"/>
        <w:adjustRightInd w:val="0"/>
        <w:ind w:left="2160" w:right="1440" w:firstLine="0"/>
        <w:rPr>
          <w:rFonts w:eastAsiaTheme="minorHAnsi"/>
          <w:color w:val="000000" w:themeColor="text1"/>
          <w:sz w:val="26"/>
          <w:szCs w:val="26"/>
        </w:rPr>
      </w:pPr>
      <w:r w:rsidRPr="00722C9F">
        <w:rPr>
          <w:rFonts w:eastAsiaTheme="minorHAnsi"/>
          <w:color w:val="000000" w:themeColor="text1"/>
          <w:sz w:val="26"/>
          <w:szCs w:val="26"/>
        </w:rPr>
        <w:t>Upon request from a customer that agrees to pay the cost of the Smart Meter at the time of the request.</w:t>
      </w:r>
    </w:p>
    <w:p w14:paraId="788A7544" w14:textId="77777777" w:rsidR="005313F9" w:rsidRPr="00722C9F" w:rsidRDefault="005313F9" w:rsidP="00B3334B">
      <w:pPr>
        <w:widowControl/>
        <w:autoSpaceDE w:val="0"/>
        <w:autoSpaceDN w:val="0"/>
        <w:adjustRightInd w:val="0"/>
        <w:ind w:left="2160" w:right="1440"/>
        <w:rPr>
          <w:rFonts w:eastAsiaTheme="minorHAnsi"/>
          <w:color w:val="000000" w:themeColor="text1"/>
          <w:sz w:val="26"/>
          <w:szCs w:val="26"/>
        </w:rPr>
      </w:pPr>
    </w:p>
    <w:p w14:paraId="33B89F1F" w14:textId="0D54A64F" w:rsidR="003861FB" w:rsidRPr="00722C9F" w:rsidRDefault="003861FB" w:rsidP="00B3334B">
      <w:pPr>
        <w:pStyle w:val="ListParagraph"/>
        <w:widowControl/>
        <w:numPr>
          <w:ilvl w:val="0"/>
          <w:numId w:val="21"/>
        </w:numPr>
        <w:ind w:left="2160" w:right="1440" w:firstLine="0"/>
        <w:rPr>
          <w:rFonts w:eastAsiaTheme="minorHAnsi"/>
          <w:color w:val="000000" w:themeColor="text1"/>
          <w:sz w:val="26"/>
          <w:szCs w:val="26"/>
        </w:rPr>
      </w:pPr>
      <w:r w:rsidRPr="00722C9F">
        <w:rPr>
          <w:rFonts w:eastAsiaTheme="minorHAnsi"/>
          <w:color w:val="000000" w:themeColor="text1"/>
          <w:sz w:val="26"/>
          <w:szCs w:val="26"/>
        </w:rPr>
        <w:t>In new building construction.</w:t>
      </w:r>
    </w:p>
    <w:p w14:paraId="4CBD34FD" w14:textId="77777777" w:rsidR="003861FB" w:rsidRPr="00722C9F" w:rsidRDefault="003861FB" w:rsidP="00B3334B">
      <w:pPr>
        <w:widowControl/>
        <w:autoSpaceDE w:val="0"/>
        <w:autoSpaceDN w:val="0"/>
        <w:adjustRightInd w:val="0"/>
        <w:ind w:left="2160" w:right="1440" w:firstLine="720"/>
        <w:rPr>
          <w:rFonts w:eastAsiaTheme="minorHAnsi"/>
          <w:color w:val="000000" w:themeColor="text1"/>
          <w:sz w:val="26"/>
          <w:szCs w:val="26"/>
        </w:rPr>
      </w:pPr>
    </w:p>
    <w:p w14:paraId="11A6A7C1" w14:textId="2FEB637B" w:rsidR="003861FB" w:rsidRPr="00722C9F" w:rsidRDefault="003861FB" w:rsidP="00B3334B">
      <w:pPr>
        <w:pStyle w:val="ListParagraph"/>
        <w:widowControl/>
        <w:numPr>
          <w:ilvl w:val="0"/>
          <w:numId w:val="21"/>
        </w:numPr>
        <w:autoSpaceDE w:val="0"/>
        <w:autoSpaceDN w:val="0"/>
        <w:adjustRightInd w:val="0"/>
        <w:ind w:left="2160" w:right="1440" w:firstLine="0"/>
        <w:rPr>
          <w:rFonts w:eastAsiaTheme="minorHAnsi"/>
          <w:color w:val="000000" w:themeColor="text1"/>
          <w:sz w:val="26"/>
          <w:szCs w:val="26"/>
        </w:rPr>
      </w:pPr>
      <w:r w:rsidRPr="00722C9F">
        <w:rPr>
          <w:rFonts w:eastAsiaTheme="minorHAnsi"/>
          <w:color w:val="000000" w:themeColor="text1"/>
          <w:sz w:val="26"/>
          <w:szCs w:val="26"/>
        </w:rPr>
        <w:t>In accordance with a depreciation schedule not to exceed 15 years.</w:t>
      </w:r>
    </w:p>
    <w:p w14:paraId="417E426C" w14:textId="77777777" w:rsidR="003861FB" w:rsidRPr="00481242" w:rsidRDefault="003861FB" w:rsidP="00F03980">
      <w:pPr>
        <w:widowControl/>
        <w:autoSpaceDE w:val="0"/>
        <w:autoSpaceDN w:val="0"/>
        <w:adjustRightInd w:val="0"/>
        <w:spacing w:line="360" w:lineRule="auto"/>
        <w:ind w:right="1440"/>
        <w:rPr>
          <w:rFonts w:eastAsiaTheme="minorHAnsi"/>
          <w:color w:val="000000" w:themeColor="text1"/>
          <w:sz w:val="26"/>
          <w:szCs w:val="26"/>
        </w:rPr>
      </w:pPr>
    </w:p>
    <w:p w14:paraId="23C702A0" w14:textId="42468ECB" w:rsidR="003861FB" w:rsidRPr="00481242" w:rsidRDefault="003861FB" w:rsidP="00481242">
      <w:pPr>
        <w:widowControl/>
        <w:tabs>
          <w:tab w:val="left" w:pos="720"/>
        </w:tabs>
        <w:spacing w:line="360" w:lineRule="auto"/>
        <w:contextualSpacing/>
        <w:rPr>
          <w:color w:val="000000" w:themeColor="text1"/>
          <w:sz w:val="26"/>
          <w:szCs w:val="26"/>
        </w:rPr>
      </w:pPr>
      <w:r w:rsidRPr="00481242">
        <w:rPr>
          <w:rFonts w:eastAsiaTheme="minorHAnsi"/>
          <w:color w:val="000000" w:themeColor="text1"/>
          <w:sz w:val="26"/>
          <w:szCs w:val="26"/>
        </w:rPr>
        <w:t xml:space="preserve">66 Pa. C.S. § 2807(f).  </w:t>
      </w:r>
      <w:r w:rsidRPr="00481242">
        <w:rPr>
          <w:color w:val="000000" w:themeColor="text1"/>
          <w:sz w:val="26"/>
          <w:szCs w:val="26"/>
        </w:rPr>
        <w:t xml:space="preserve">The General Assembly found that it was “in the public interest” to implement the measures set forth in Act 129 and that the universal installation of smart meters would enhance the “health, safety and prosperity” of Pennsylvania’s citizens through the “availability of adequate, reliable, affordable, efficient and environmentally sustainable electric service at the least cost.”  </w:t>
      </w:r>
      <w:r w:rsidRPr="00481242">
        <w:rPr>
          <w:i/>
          <w:color w:val="000000" w:themeColor="text1"/>
          <w:sz w:val="26"/>
          <w:szCs w:val="26"/>
        </w:rPr>
        <w:t>See</w:t>
      </w:r>
      <w:r w:rsidRPr="00481242">
        <w:rPr>
          <w:color w:val="000000" w:themeColor="text1"/>
          <w:sz w:val="26"/>
          <w:szCs w:val="26"/>
        </w:rPr>
        <w:t xml:space="preserve"> H.B. 2200, 192d Gen. </w:t>
      </w:r>
      <w:proofErr w:type="spellStart"/>
      <w:r w:rsidRPr="00481242">
        <w:rPr>
          <w:color w:val="000000" w:themeColor="text1"/>
          <w:sz w:val="26"/>
          <w:szCs w:val="26"/>
        </w:rPr>
        <w:t>Assemb</w:t>
      </w:r>
      <w:proofErr w:type="spellEnd"/>
      <w:r w:rsidRPr="00481242">
        <w:rPr>
          <w:color w:val="000000" w:themeColor="text1"/>
          <w:sz w:val="26"/>
          <w:szCs w:val="26"/>
        </w:rPr>
        <w:t xml:space="preserve">., Reg. Sess. (Pa. 2008).  </w:t>
      </w:r>
    </w:p>
    <w:p w14:paraId="24BC825A" w14:textId="77777777" w:rsidR="003861FB" w:rsidRPr="00481242" w:rsidRDefault="003861FB" w:rsidP="00481242">
      <w:pPr>
        <w:widowControl/>
        <w:spacing w:line="360" w:lineRule="auto"/>
        <w:contextualSpacing/>
        <w:rPr>
          <w:color w:val="000000" w:themeColor="text1"/>
          <w:sz w:val="26"/>
          <w:szCs w:val="26"/>
        </w:rPr>
      </w:pPr>
    </w:p>
    <w:p w14:paraId="5A65EFE5" w14:textId="68B9BB60" w:rsidR="003861FB" w:rsidRDefault="003861FB" w:rsidP="00B55E14">
      <w:pPr>
        <w:widowControl/>
        <w:spacing w:line="360" w:lineRule="auto"/>
        <w:ind w:firstLine="1440"/>
        <w:contextualSpacing/>
        <w:rPr>
          <w:color w:val="000000" w:themeColor="text1"/>
          <w:sz w:val="26"/>
          <w:szCs w:val="26"/>
        </w:rPr>
      </w:pPr>
      <w:r w:rsidRPr="00481242">
        <w:rPr>
          <w:color w:val="000000" w:themeColor="text1"/>
          <w:sz w:val="26"/>
          <w:szCs w:val="26"/>
        </w:rPr>
        <w:t xml:space="preserve">By Order entered </w:t>
      </w:r>
      <w:r w:rsidR="003C0721" w:rsidRPr="00481242">
        <w:rPr>
          <w:color w:val="000000" w:themeColor="text1"/>
          <w:sz w:val="26"/>
          <w:szCs w:val="26"/>
        </w:rPr>
        <w:t>in</w:t>
      </w:r>
      <w:r w:rsidR="00E75AE0" w:rsidRPr="00481242">
        <w:rPr>
          <w:color w:val="000000" w:themeColor="text1"/>
          <w:sz w:val="26"/>
          <w:szCs w:val="26"/>
        </w:rPr>
        <w:t xml:space="preserve"> 2009</w:t>
      </w:r>
      <w:r w:rsidRPr="00481242">
        <w:rPr>
          <w:color w:val="000000" w:themeColor="text1"/>
          <w:sz w:val="26"/>
          <w:szCs w:val="26"/>
        </w:rPr>
        <w:t>, the Commission directed all EDCs subject to Act 129’s smart meter requirements, including P</w:t>
      </w:r>
      <w:r w:rsidR="005703B8" w:rsidRPr="00481242">
        <w:rPr>
          <w:color w:val="000000" w:themeColor="text1"/>
          <w:sz w:val="26"/>
          <w:szCs w:val="26"/>
        </w:rPr>
        <w:t>PL</w:t>
      </w:r>
      <w:r w:rsidRPr="00481242">
        <w:rPr>
          <w:color w:val="000000" w:themeColor="text1"/>
          <w:sz w:val="26"/>
          <w:szCs w:val="26"/>
        </w:rPr>
        <w:t>, to universally deploy smart meter technology within their respective service territories in the Commonwealth in accordance with a depreciation schedule not to exceed fifteen years and in accordance with ot</w:t>
      </w:r>
      <w:r w:rsidR="00DD2BCB">
        <w:rPr>
          <w:color w:val="000000" w:themeColor="text1"/>
          <w:sz w:val="26"/>
          <w:szCs w:val="26"/>
        </w:rPr>
        <w:t>h</w:t>
      </w:r>
      <w:r w:rsidR="009728DD">
        <w:rPr>
          <w:color w:val="000000" w:themeColor="text1"/>
          <w:sz w:val="26"/>
          <w:szCs w:val="26"/>
        </w:rPr>
        <w:t>er</w:t>
      </w:r>
      <w:r w:rsidRPr="00481242">
        <w:rPr>
          <w:color w:val="000000" w:themeColor="text1"/>
          <w:sz w:val="26"/>
          <w:szCs w:val="26"/>
        </w:rPr>
        <w:t xml:space="preserve"> guidelines established t</w:t>
      </w:r>
      <w:r w:rsidR="00DD2BCB">
        <w:rPr>
          <w:color w:val="000000" w:themeColor="text1"/>
          <w:sz w:val="26"/>
          <w:szCs w:val="26"/>
        </w:rPr>
        <w:t>h</w:t>
      </w:r>
      <w:r w:rsidR="009728DD">
        <w:rPr>
          <w:color w:val="000000" w:themeColor="text1"/>
          <w:sz w:val="26"/>
          <w:szCs w:val="26"/>
        </w:rPr>
        <w:t>erein.</w:t>
      </w:r>
      <w:r w:rsidRPr="00481242">
        <w:rPr>
          <w:color w:val="000000" w:themeColor="text1"/>
          <w:sz w:val="26"/>
          <w:szCs w:val="26"/>
        </w:rPr>
        <w:t xml:space="preserve">  </w:t>
      </w:r>
      <w:r w:rsidRPr="00481242">
        <w:rPr>
          <w:i/>
          <w:iCs/>
          <w:color w:val="000000" w:themeColor="text1"/>
          <w:sz w:val="26"/>
          <w:szCs w:val="26"/>
        </w:rPr>
        <w:t>See Smart Meter Procurement and Installation</w:t>
      </w:r>
      <w:r w:rsidRPr="00481242">
        <w:rPr>
          <w:color w:val="000000" w:themeColor="text1"/>
          <w:sz w:val="26"/>
          <w:szCs w:val="26"/>
        </w:rPr>
        <w:t>, Docket</w:t>
      </w:r>
      <w:r w:rsidR="00E6540F">
        <w:rPr>
          <w:color w:val="000000" w:themeColor="text1"/>
          <w:sz w:val="26"/>
          <w:szCs w:val="26"/>
        </w:rPr>
        <w:t> </w:t>
      </w:r>
      <w:r w:rsidRPr="00481242">
        <w:rPr>
          <w:color w:val="000000" w:themeColor="text1"/>
          <w:sz w:val="26"/>
          <w:szCs w:val="26"/>
        </w:rPr>
        <w:t>No. M-2009-2092655 (</w:t>
      </w:r>
      <w:r w:rsidR="00E72EFE">
        <w:rPr>
          <w:color w:val="000000" w:themeColor="text1"/>
          <w:sz w:val="26"/>
          <w:szCs w:val="26"/>
        </w:rPr>
        <w:t xml:space="preserve">Implementation </w:t>
      </w:r>
      <w:r w:rsidRPr="00481242">
        <w:rPr>
          <w:color w:val="000000" w:themeColor="text1"/>
          <w:sz w:val="26"/>
          <w:szCs w:val="26"/>
        </w:rPr>
        <w:t>Order entered June 24, 2009) (</w:t>
      </w:r>
      <w:bookmarkStart w:id="2" w:name="_Hlk22627194"/>
      <w:r w:rsidRPr="00481242">
        <w:rPr>
          <w:i/>
          <w:iCs/>
          <w:color w:val="000000" w:themeColor="text1"/>
          <w:sz w:val="26"/>
          <w:szCs w:val="26"/>
        </w:rPr>
        <w:t xml:space="preserve">Smart Meter </w:t>
      </w:r>
      <w:r w:rsidR="00D97D6E">
        <w:rPr>
          <w:i/>
          <w:iCs/>
          <w:color w:val="000000" w:themeColor="text1"/>
          <w:sz w:val="26"/>
          <w:szCs w:val="26"/>
        </w:rPr>
        <w:t>Implementation</w:t>
      </w:r>
      <w:r w:rsidRPr="00481242">
        <w:rPr>
          <w:i/>
          <w:iCs/>
          <w:color w:val="000000" w:themeColor="text1"/>
          <w:sz w:val="26"/>
          <w:szCs w:val="26"/>
        </w:rPr>
        <w:t xml:space="preserve"> Order</w:t>
      </w:r>
      <w:bookmarkEnd w:id="2"/>
      <w:r w:rsidRPr="00481242">
        <w:rPr>
          <w:color w:val="000000" w:themeColor="text1"/>
          <w:sz w:val="26"/>
          <w:szCs w:val="26"/>
        </w:rPr>
        <w:t xml:space="preserve">).  </w:t>
      </w:r>
      <w:r w:rsidR="005703B8" w:rsidRPr="00481242">
        <w:rPr>
          <w:color w:val="000000" w:themeColor="text1"/>
          <w:sz w:val="26"/>
          <w:szCs w:val="26"/>
        </w:rPr>
        <w:t>PPL</w:t>
      </w:r>
      <w:r w:rsidR="002557E0" w:rsidRPr="00481242">
        <w:rPr>
          <w:color w:val="000000" w:themeColor="text1"/>
          <w:sz w:val="26"/>
          <w:szCs w:val="26"/>
        </w:rPr>
        <w:t xml:space="preserve"> </w:t>
      </w:r>
      <w:r w:rsidRPr="00481242">
        <w:rPr>
          <w:color w:val="000000" w:themeColor="text1"/>
          <w:sz w:val="26"/>
          <w:szCs w:val="26"/>
        </w:rPr>
        <w:t>sought and obtained the Commission’s approval</w:t>
      </w:r>
      <w:r w:rsidR="002557E0" w:rsidRPr="00481242">
        <w:rPr>
          <w:color w:val="000000" w:themeColor="text1"/>
          <w:sz w:val="26"/>
          <w:szCs w:val="26"/>
        </w:rPr>
        <w:t xml:space="preserve"> </w:t>
      </w:r>
      <w:r w:rsidRPr="00481242">
        <w:rPr>
          <w:color w:val="000000" w:themeColor="text1"/>
          <w:sz w:val="26"/>
          <w:szCs w:val="26"/>
        </w:rPr>
        <w:t xml:space="preserve">to </w:t>
      </w:r>
      <w:r w:rsidRPr="00481242">
        <w:rPr>
          <w:color w:val="000000" w:themeColor="text1"/>
          <w:sz w:val="26"/>
          <w:szCs w:val="26"/>
        </w:rPr>
        <w:lastRenderedPageBreak/>
        <w:t xml:space="preserve">complete the installation of AMI meters </w:t>
      </w:r>
      <w:r w:rsidR="000203E2" w:rsidRPr="00481242">
        <w:rPr>
          <w:color w:val="000000" w:themeColor="text1"/>
          <w:sz w:val="26"/>
          <w:szCs w:val="26"/>
        </w:rPr>
        <w:t>with s</w:t>
      </w:r>
      <w:r w:rsidRPr="00481242">
        <w:rPr>
          <w:color w:val="000000" w:themeColor="text1"/>
          <w:sz w:val="26"/>
          <w:szCs w:val="26"/>
        </w:rPr>
        <w:t xml:space="preserve">ubstantially all customers </w:t>
      </w:r>
      <w:r w:rsidR="000203E2" w:rsidRPr="00481242">
        <w:rPr>
          <w:color w:val="000000" w:themeColor="text1"/>
          <w:sz w:val="26"/>
          <w:szCs w:val="26"/>
        </w:rPr>
        <w:t xml:space="preserve">to receive an AMI meter by </w:t>
      </w:r>
      <w:r w:rsidR="00A257BB" w:rsidRPr="00481242">
        <w:rPr>
          <w:color w:val="000000" w:themeColor="text1"/>
          <w:sz w:val="26"/>
          <w:szCs w:val="26"/>
        </w:rPr>
        <w:t xml:space="preserve">late 2019.  </w:t>
      </w:r>
      <w:r w:rsidR="004F7ABC" w:rsidRPr="00481242">
        <w:rPr>
          <w:i/>
          <w:iCs/>
          <w:color w:val="000000" w:themeColor="text1"/>
          <w:sz w:val="26"/>
          <w:szCs w:val="26"/>
        </w:rPr>
        <w:t xml:space="preserve">See Petition of </w:t>
      </w:r>
      <w:r w:rsidR="002131EC" w:rsidRPr="00481242">
        <w:rPr>
          <w:i/>
          <w:iCs/>
          <w:color w:val="000000" w:themeColor="text1"/>
          <w:sz w:val="26"/>
          <w:szCs w:val="26"/>
        </w:rPr>
        <w:t xml:space="preserve">PPL Electric Company </w:t>
      </w:r>
      <w:r w:rsidR="002557E0" w:rsidRPr="00481242">
        <w:rPr>
          <w:i/>
          <w:iCs/>
          <w:color w:val="000000" w:themeColor="text1"/>
          <w:sz w:val="26"/>
          <w:szCs w:val="26"/>
        </w:rPr>
        <w:t>f</w:t>
      </w:r>
      <w:r w:rsidR="004F7ABC" w:rsidRPr="00481242">
        <w:rPr>
          <w:i/>
          <w:iCs/>
          <w:color w:val="000000" w:themeColor="text1"/>
          <w:sz w:val="26"/>
          <w:szCs w:val="26"/>
        </w:rPr>
        <w:t xml:space="preserve">or Approval of </w:t>
      </w:r>
      <w:r w:rsidR="002131EC" w:rsidRPr="00481242">
        <w:rPr>
          <w:i/>
          <w:iCs/>
          <w:color w:val="000000" w:themeColor="text1"/>
          <w:sz w:val="26"/>
          <w:szCs w:val="26"/>
        </w:rPr>
        <w:t xml:space="preserve">Its </w:t>
      </w:r>
      <w:r w:rsidR="004F7ABC" w:rsidRPr="00481242">
        <w:rPr>
          <w:i/>
          <w:iCs/>
          <w:color w:val="000000" w:themeColor="text1"/>
          <w:sz w:val="26"/>
          <w:szCs w:val="26"/>
        </w:rPr>
        <w:t xml:space="preserve">Smart Meter </w:t>
      </w:r>
      <w:r w:rsidR="009841F3" w:rsidRPr="009841F3">
        <w:rPr>
          <w:i/>
          <w:sz w:val="26"/>
          <w:szCs w:val="26"/>
        </w:rPr>
        <w:t>Technology Procurement and Installation</w:t>
      </w:r>
      <w:r w:rsidR="004F7ABC" w:rsidRPr="00481242">
        <w:rPr>
          <w:i/>
          <w:iCs/>
          <w:color w:val="000000" w:themeColor="text1"/>
          <w:sz w:val="26"/>
          <w:szCs w:val="26"/>
        </w:rPr>
        <w:t xml:space="preserve"> Plan</w:t>
      </w:r>
      <w:r w:rsidR="004F7ABC" w:rsidRPr="00481242">
        <w:rPr>
          <w:color w:val="000000" w:themeColor="text1"/>
          <w:sz w:val="26"/>
          <w:szCs w:val="26"/>
        </w:rPr>
        <w:t>, Docket Nos. M</w:t>
      </w:r>
      <w:r w:rsidR="00E6540F">
        <w:rPr>
          <w:color w:val="000000" w:themeColor="text1"/>
          <w:sz w:val="26"/>
          <w:szCs w:val="26"/>
        </w:rPr>
        <w:noBreakHyphen/>
      </w:r>
      <w:r w:rsidR="002131EC" w:rsidRPr="00481242">
        <w:rPr>
          <w:color w:val="000000" w:themeColor="text1"/>
          <w:sz w:val="26"/>
          <w:szCs w:val="26"/>
        </w:rPr>
        <w:t>2014</w:t>
      </w:r>
      <w:r w:rsidR="00E6540F">
        <w:rPr>
          <w:color w:val="000000" w:themeColor="text1"/>
          <w:sz w:val="26"/>
          <w:szCs w:val="26"/>
        </w:rPr>
        <w:noBreakHyphen/>
      </w:r>
      <w:r w:rsidR="002131EC" w:rsidRPr="00481242">
        <w:rPr>
          <w:color w:val="000000" w:themeColor="text1"/>
          <w:sz w:val="26"/>
          <w:szCs w:val="26"/>
        </w:rPr>
        <w:t xml:space="preserve">2430781 </w:t>
      </w:r>
      <w:r w:rsidR="004F7ABC" w:rsidRPr="00481242">
        <w:rPr>
          <w:color w:val="000000" w:themeColor="text1"/>
          <w:sz w:val="26"/>
          <w:szCs w:val="26"/>
        </w:rPr>
        <w:t xml:space="preserve">(Order entered </w:t>
      </w:r>
      <w:r w:rsidR="002131EC" w:rsidRPr="00481242">
        <w:rPr>
          <w:color w:val="000000" w:themeColor="text1"/>
          <w:sz w:val="26"/>
          <w:szCs w:val="26"/>
        </w:rPr>
        <w:t>September 3, 2015)</w:t>
      </w:r>
      <w:r w:rsidR="00A257BB" w:rsidRPr="00481242">
        <w:rPr>
          <w:color w:val="000000" w:themeColor="text1"/>
          <w:sz w:val="26"/>
          <w:szCs w:val="26"/>
        </w:rPr>
        <w:t xml:space="preserve"> (</w:t>
      </w:r>
      <w:r w:rsidR="00304EC5" w:rsidRPr="00481242">
        <w:rPr>
          <w:i/>
          <w:iCs/>
          <w:color w:val="000000" w:themeColor="text1"/>
          <w:sz w:val="26"/>
          <w:szCs w:val="26"/>
        </w:rPr>
        <w:t>2015 Smart Meter Order</w:t>
      </w:r>
      <w:r w:rsidR="00A257BB" w:rsidRPr="00481242">
        <w:rPr>
          <w:color w:val="000000" w:themeColor="text1"/>
          <w:sz w:val="26"/>
          <w:szCs w:val="26"/>
        </w:rPr>
        <w:t>)</w:t>
      </w:r>
      <w:r w:rsidR="004F7ABC" w:rsidRPr="00481242">
        <w:rPr>
          <w:color w:val="000000" w:themeColor="text1"/>
          <w:sz w:val="26"/>
          <w:szCs w:val="26"/>
        </w:rPr>
        <w:t>.</w:t>
      </w:r>
    </w:p>
    <w:p w14:paraId="4E9CE5C2" w14:textId="77777777" w:rsidR="0073746D" w:rsidRPr="00481242" w:rsidRDefault="0073746D" w:rsidP="00B55E14">
      <w:pPr>
        <w:widowControl/>
        <w:spacing w:line="360" w:lineRule="auto"/>
        <w:ind w:firstLine="1440"/>
        <w:contextualSpacing/>
        <w:rPr>
          <w:color w:val="000000" w:themeColor="text1"/>
          <w:sz w:val="26"/>
          <w:szCs w:val="26"/>
        </w:rPr>
      </w:pPr>
    </w:p>
    <w:p w14:paraId="0F07DB1C" w14:textId="75988046" w:rsidR="000B2AC8" w:rsidRPr="00D500DC" w:rsidRDefault="00B73D28" w:rsidP="00E6540F">
      <w:pPr>
        <w:pStyle w:val="ListParagraph"/>
        <w:keepNext/>
        <w:widowControl/>
        <w:numPr>
          <w:ilvl w:val="0"/>
          <w:numId w:val="23"/>
        </w:numPr>
        <w:spacing w:line="360" w:lineRule="auto"/>
        <w:ind w:left="0" w:firstLine="0"/>
        <w:jc w:val="center"/>
        <w:rPr>
          <w:b/>
          <w:bCs/>
          <w:color w:val="000000" w:themeColor="text1"/>
          <w:sz w:val="26"/>
          <w:szCs w:val="26"/>
        </w:rPr>
      </w:pPr>
      <w:r w:rsidRPr="00D500DC">
        <w:rPr>
          <w:b/>
          <w:bCs/>
          <w:color w:val="000000" w:themeColor="text1"/>
          <w:sz w:val="26"/>
          <w:szCs w:val="26"/>
        </w:rPr>
        <w:t>History of the Proceeding</w:t>
      </w:r>
    </w:p>
    <w:p w14:paraId="3B6D7852" w14:textId="77777777" w:rsidR="004F7ABC" w:rsidRPr="00481242" w:rsidRDefault="004F7ABC" w:rsidP="00481242">
      <w:pPr>
        <w:keepNext/>
        <w:widowControl/>
        <w:autoSpaceDE w:val="0"/>
        <w:autoSpaceDN w:val="0"/>
        <w:adjustRightInd w:val="0"/>
        <w:spacing w:line="360" w:lineRule="auto"/>
        <w:rPr>
          <w:rFonts w:eastAsiaTheme="minorHAnsi"/>
          <w:color w:val="000000" w:themeColor="text1"/>
          <w:sz w:val="26"/>
          <w:szCs w:val="26"/>
        </w:rPr>
      </w:pPr>
    </w:p>
    <w:p w14:paraId="6FE9BF73" w14:textId="385648B6" w:rsidR="005B7A5B" w:rsidRPr="00481242" w:rsidRDefault="005A4D79" w:rsidP="00AE0B6D">
      <w:pPr>
        <w:widowControl/>
        <w:spacing w:line="360" w:lineRule="auto"/>
        <w:ind w:firstLine="1440"/>
        <w:contextualSpacing/>
        <w:textAlignment w:val="baseline"/>
        <w:rPr>
          <w:color w:val="000000" w:themeColor="text1"/>
          <w:sz w:val="26"/>
          <w:szCs w:val="26"/>
        </w:rPr>
      </w:pPr>
      <w:r w:rsidRPr="00481242">
        <w:rPr>
          <w:color w:val="000000" w:themeColor="text1"/>
          <w:sz w:val="26"/>
          <w:szCs w:val="26"/>
        </w:rPr>
        <w:t xml:space="preserve">On </w:t>
      </w:r>
      <w:r w:rsidR="003413B0">
        <w:rPr>
          <w:color w:val="000000" w:themeColor="text1"/>
          <w:sz w:val="26"/>
          <w:szCs w:val="26"/>
        </w:rPr>
        <w:t>August 3, 2018</w:t>
      </w:r>
      <w:r w:rsidRPr="00481242">
        <w:rPr>
          <w:color w:val="000000" w:themeColor="text1"/>
          <w:sz w:val="26"/>
          <w:szCs w:val="26"/>
        </w:rPr>
        <w:t>, M</w:t>
      </w:r>
      <w:r w:rsidR="00B55E14">
        <w:rPr>
          <w:color w:val="000000" w:themeColor="text1"/>
          <w:sz w:val="26"/>
          <w:szCs w:val="26"/>
        </w:rPr>
        <w:t>r</w:t>
      </w:r>
      <w:r w:rsidRPr="00481242">
        <w:rPr>
          <w:color w:val="000000" w:themeColor="text1"/>
          <w:sz w:val="26"/>
          <w:szCs w:val="26"/>
        </w:rPr>
        <w:t xml:space="preserve">. </w:t>
      </w:r>
      <w:r w:rsidR="00B55E14">
        <w:rPr>
          <w:color w:val="000000" w:themeColor="text1"/>
          <w:sz w:val="26"/>
          <w:szCs w:val="26"/>
        </w:rPr>
        <w:t>Ulmer</w:t>
      </w:r>
      <w:r w:rsidRPr="00481242">
        <w:rPr>
          <w:color w:val="000000" w:themeColor="text1"/>
          <w:sz w:val="26"/>
          <w:szCs w:val="26"/>
        </w:rPr>
        <w:t xml:space="preserve"> filed the instant Complaint</w:t>
      </w:r>
      <w:r w:rsidR="001E057D">
        <w:rPr>
          <w:color w:val="000000" w:themeColor="text1"/>
          <w:sz w:val="26"/>
          <w:szCs w:val="26"/>
        </w:rPr>
        <w:t xml:space="preserve"> stating that due to </w:t>
      </w:r>
      <w:r w:rsidR="003413B0">
        <w:rPr>
          <w:color w:val="000000" w:themeColor="text1"/>
          <w:sz w:val="26"/>
          <w:szCs w:val="26"/>
        </w:rPr>
        <w:t>health issues, fire hazard, and violation of his rights, he does</w:t>
      </w:r>
      <w:r w:rsidRPr="00481242">
        <w:rPr>
          <w:color w:val="000000" w:themeColor="text1"/>
          <w:sz w:val="26"/>
          <w:szCs w:val="26"/>
        </w:rPr>
        <w:t xml:space="preserve"> </w:t>
      </w:r>
      <w:r w:rsidR="002C518C">
        <w:rPr>
          <w:color w:val="000000" w:themeColor="text1"/>
          <w:sz w:val="26"/>
          <w:szCs w:val="26"/>
        </w:rPr>
        <w:t>not</w:t>
      </w:r>
      <w:r w:rsidR="003413B0">
        <w:rPr>
          <w:color w:val="000000" w:themeColor="text1"/>
          <w:sz w:val="26"/>
          <w:szCs w:val="26"/>
        </w:rPr>
        <w:t xml:space="preserve"> want</w:t>
      </w:r>
      <w:r w:rsidR="002C518C">
        <w:rPr>
          <w:color w:val="000000" w:themeColor="text1"/>
          <w:sz w:val="26"/>
          <w:szCs w:val="26"/>
        </w:rPr>
        <w:t xml:space="preserve"> a smart</w:t>
      </w:r>
      <w:r w:rsidRPr="00481242">
        <w:rPr>
          <w:color w:val="000000" w:themeColor="text1"/>
          <w:sz w:val="26"/>
          <w:szCs w:val="26"/>
        </w:rPr>
        <w:t xml:space="preserve"> meter</w:t>
      </w:r>
      <w:r w:rsidR="002C518C">
        <w:rPr>
          <w:color w:val="000000" w:themeColor="text1"/>
          <w:sz w:val="26"/>
          <w:szCs w:val="26"/>
        </w:rPr>
        <w:t xml:space="preserve"> installed</w:t>
      </w:r>
      <w:r w:rsidRPr="00481242">
        <w:rPr>
          <w:color w:val="000000" w:themeColor="text1"/>
          <w:sz w:val="26"/>
          <w:szCs w:val="26"/>
        </w:rPr>
        <w:t xml:space="preserve"> on </w:t>
      </w:r>
      <w:r w:rsidR="00DD2BCB">
        <w:rPr>
          <w:color w:val="000000" w:themeColor="text1"/>
          <w:sz w:val="26"/>
          <w:szCs w:val="26"/>
        </w:rPr>
        <w:t>his</w:t>
      </w:r>
      <w:r w:rsidRPr="00481242">
        <w:rPr>
          <w:color w:val="000000" w:themeColor="text1"/>
          <w:sz w:val="26"/>
          <w:szCs w:val="26"/>
        </w:rPr>
        <w:t xml:space="preserve"> </w:t>
      </w:r>
      <w:r w:rsidR="002C518C">
        <w:rPr>
          <w:color w:val="000000" w:themeColor="text1"/>
          <w:sz w:val="26"/>
          <w:szCs w:val="26"/>
        </w:rPr>
        <w:t>residence at 7001 Running Valley R</w:t>
      </w:r>
      <w:r w:rsidR="006572CF">
        <w:rPr>
          <w:color w:val="000000" w:themeColor="text1"/>
          <w:sz w:val="26"/>
          <w:szCs w:val="26"/>
        </w:rPr>
        <w:t>oad, Stroudsburg, Pennsylvania18360</w:t>
      </w:r>
      <w:r w:rsidR="002C22DD">
        <w:rPr>
          <w:color w:val="000000" w:themeColor="text1"/>
          <w:sz w:val="26"/>
          <w:szCs w:val="26"/>
        </w:rPr>
        <w:t xml:space="preserve"> (Service Address)</w:t>
      </w:r>
      <w:r w:rsidR="005B7A5B" w:rsidRPr="00481242">
        <w:rPr>
          <w:color w:val="000000" w:themeColor="text1"/>
          <w:sz w:val="26"/>
          <w:szCs w:val="26"/>
        </w:rPr>
        <w:t xml:space="preserve">.  </w:t>
      </w:r>
      <w:r w:rsidR="00EF561C" w:rsidRPr="00481242">
        <w:rPr>
          <w:color w:val="000000" w:themeColor="text1"/>
          <w:sz w:val="26"/>
          <w:szCs w:val="26"/>
        </w:rPr>
        <w:t xml:space="preserve">Complaint at </w:t>
      </w:r>
      <w:r w:rsidR="00110572">
        <w:rPr>
          <w:color w:val="000000" w:themeColor="text1"/>
          <w:sz w:val="26"/>
          <w:szCs w:val="26"/>
        </w:rPr>
        <w:t>1</w:t>
      </w:r>
      <w:r w:rsidR="00EF561C" w:rsidRPr="00481242">
        <w:rPr>
          <w:color w:val="000000" w:themeColor="text1"/>
          <w:sz w:val="26"/>
          <w:szCs w:val="26"/>
        </w:rPr>
        <w:t xml:space="preserve">-3; </w:t>
      </w:r>
      <w:r w:rsidR="005B7A5B" w:rsidRPr="00481242">
        <w:rPr>
          <w:color w:val="000000" w:themeColor="text1"/>
          <w:sz w:val="26"/>
          <w:szCs w:val="26"/>
        </w:rPr>
        <w:t>I.D. at 1.</w:t>
      </w:r>
    </w:p>
    <w:p w14:paraId="5F1BA750" w14:textId="77777777" w:rsidR="005B7A5B" w:rsidRPr="00481242" w:rsidRDefault="005B7A5B" w:rsidP="00AE0B6D">
      <w:pPr>
        <w:widowControl/>
        <w:spacing w:line="360" w:lineRule="auto"/>
        <w:ind w:firstLine="1440"/>
        <w:contextualSpacing/>
        <w:textAlignment w:val="baseline"/>
        <w:rPr>
          <w:color w:val="000000" w:themeColor="text1"/>
          <w:sz w:val="26"/>
          <w:szCs w:val="26"/>
        </w:rPr>
      </w:pPr>
    </w:p>
    <w:p w14:paraId="2A45C067" w14:textId="2B540A77" w:rsidR="005A4D79" w:rsidRPr="00481242" w:rsidRDefault="005A4D79" w:rsidP="00AE0B6D">
      <w:pPr>
        <w:widowControl/>
        <w:spacing w:line="360" w:lineRule="auto"/>
        <w:ind w:firstLine="1440"/>
        <w:contextualSpacing/>
        <w:textAlignment w:val="baseline"/>
        <w:rPr>
          <w:color w:val="000000" w:themeColor="text1"/>
          <w:sz w:val="26"/>
          <w:szCs w:val="26"/>
        </w:rPr>
      </w:pPr>
      <w:r w:rsidRPr="00481242">
        <w:rPr>
          <w:color w:val="000000" w:themeColor="text1"/>
          <w:sz w:val="26"/>
          <w:szCs w:val="26"/>
        </w:rPr>
        <w:t xml:space="preserve">On </w:t>
      </w:r>
      <w:r w:rsidR="00B41AC9">
        <w:rPr>
          <w:color w:val="000000" w:themeColor="text1"/>
          <w:sz w:val="26"/>
          <w:szCs w:val="26"/>
        </w:rPr>
        <w:t>August 29, 2018</w:t>
      </w:r>
      <w:r w:rsidRPr="00481242">
        <w:rPr>
          <w:color w:val="000000" w:themeColor="text1"/>
          <w:sz w:val="26"/>
          <w:szCs w:val="26"/>
        </w:rPr>
        <w:t>, the Company filed a</w:t>
      </w:r>
      <w:r w:rsidR="005B7A5B" w:rsidRPr="00481242">
        <w:rPr>
          <w:color w:val="000000" w:themeColor="text1"/>
          <w:sz w:val="26"/>
          <w:szCs w:val="26"/>
        </w:rPr>
        <w:t xml:space="preserve">n </w:t>
      </w:r>
      <w:r w:rsidRPr="00481242">
        <w:rPr>
          <w:color w:val="000000" w:themeColor="text1"/>
          <w:sz w:val="26"/>
          <w:szCs w:val="26"/>
        </w:rPr>
        <w:t>Answer</w:t>
      </w:r>
      <w:r w:rsidR="00AB3218">
        <w:rPr>
          <w:color w:val="000000" w:themeColor="text1"/>
          <w:sz w:val="26"/>
          <w:szCs w:val="26"/>
        </w:rPr>
        <w:t xml:space="preserve"> to the Complaint (Answer)</w:t>
      </w:r>
      <w:r w:rsidRPr="00481242">
        <w:rPr>
          <w:color w:val="000000" w:themeColor="text1"/>
          <w:sz w:val="26"/>
          <w:szCs w:val="26"/>
        </w:rPr>
        <w:t xml:space="preserve">, admitting that PPL provides electric service to the Complainant </w:t>
      </w:r>
      <w:r w:rsidR="005B7A5B" w:rsidRPr="00481242">
        <w:rPr>
          <w:color w:val="000000" w:themeColor="text1"/>
          <w:sz w:val="26"/>
          <w:szCs w:val="26"/>
        </w:rPr>
        <w:t>but</w:t>
      </w:r>
      <w:r w:rsidRPr="00481242">
        <w:rPr>
          <w:color w:val="000000" w:themeColor="text1"/>
          <w:sz w:val="26"/>
          <w:szCs w:val="26"/>
        </w:rPr>
        <w:t xml:space="preserve"> contending that it is required to install AMI, or smart meters, for all AMR customers</w:t>
      </w:r>
      <w:r w:rsidR="00266BFC" w:rsidRPr="00481242">
        <w:rPr>
          <w:color w:val="000000" w:themeColor="text1"/>
          <w:sz w:val="26"/>
          <w:szCs w:val="26"/>
        </w:rPr>
        <w:t xml:space="preserve"> and that it has the right to terminate service for failure of the customer to permit access to the meter.  </w:t>
      </w:r>
      <w:r w:rsidR="008B66DB" w:rsidRPr="00481242">
        <w:rPr>
          <w:color w:val="000000" w:themeColor="text1"/>
          <w:sz w:val="26"/>
          <w:szCs w:val="26"/>
        </w:rPr>
        <w:t>Answer at 1-</w:t>
      </w:r>
      <w:r w:rsidR="0058132B">
        <w:rPr>
          <w:color w:val="000000" w:themeColor="text1"/>
          <w:sz w:val="26"/>
          <w:szCs w:val="26"/>
        </w:rPr>
        <w:t>3</w:t>
      </w:r>
      <w:r w:rsidR="008B66DB" w:rsidRPr="00481242">
        <w:rPr>
          <w:color w:val="000000" w:themeColor="text1"/>
          <w:sz w:val="26"/>
          <w:szCs w:val="26"/>
        </w:rPr>
        <w:t xml:space="preserve">; </w:t>
      </w:r>
      <w:r w:rsidR="00266BFC" w:rsidRPr="00481242">
        <w:rPr>
          <w:color w:val="000000" w:themeColor="text1"/>
          <w:sz w:val="26"/>
          <w:szCs w:val="26"/>
        </w:rPr>
        <w:t>I.D. at 2.</w:t>
      </w:r>
    </w:p>
    <w:p w14:paraId="50F30210" w14:textId="00C619EA" w:rsidR="005A4D79" w:rsidRDefault="005A4D79" w:rsidP="00AE0B6D">
      <w:pPr>
        <w:widowControl/>
        <w:spacing w:line="360" w:lineRule="auto"/>
        <w:ind w:firstLine="1440"/>
        <w:contextualSpacing/>
        <w:textAlignment w:val="baseline"/>
        <w:rPr>
          <w:color w:val="000000" w:themeColor="text1"/>
          <w:sz w:val="26"/>
          <w:szCs w:val="26"/>
        </w:rPr>
      </w:pPr>
    </w:p>
    <w:p w14:paraId="33442FF7" w14:textId="44D276C4" w:rsidR="00727F76" w:rsidRDefault="00727F76" w:rsidP="00AE0B6D">
      <w:pPr>
        <w:widowControl/>
        <w:spacing w:line="360" w:lineRule="auto"/>
        <w:ind w:firstLine="1440"/>
        <w:contextualSpacing/>
        <w:textAlignment w:val="baseline"/>
        <w:rPr>
          <w:color w:val="000000"/>
          <w:sz w:val="26"/>
          <w:szCs w:val="26"/>
        </w:rPr>
      </w:pPr>
      <w:r w:rsidRPr="00727F76">
        <w:rPr>
          <w:color w:val="000000"/>
          <w:sz w:val="26"/>
          <w:szCs w:val="26"/>
        </w:rPr>
        <w:t xml:space="preserve">On </w:t>
      </w:r>
      <w:r w:rsidR="00CF3E17">
        <w:rPr>
          <w:color w:val="000000"/>
          <w:sz w:val="26"/>
          <w:szCs w:val="26"/>
        </w:rPr>
        <w:t>September 3</w:t>
      </w:r>
      <w:r w:rsidRPr="00727F76">
        <w:rPr>
          <w:color w:val="000000"/>
          <w:sz w:val="26"/>
          <w:szCs w:val="26"/>
        </w:rPr>
        <w:t xml:space="preserve">, 2019, PPL filed a Motion to Compel Responses to Discovery Propounded on </w:t>
      </w:r>
      <w:r w:rsidR="00CF3E17">
        <w:rPr>
          <w:color w:val="000000"/>
          <w:sz w:val="26"/>
          <w:szCs w:val="26"/>
        </w:rPr>
        <w:t>Jeffrey Ulmer</w:t>
      </w:r>
      <w:r w:rsidRPr="00727F76">
        <w:rPr>
          <w:color w:val="000000"/>
          <w:sz w:val="26"/>
          <w:szCs w:val="26"/>
        </w:rPr>
        <w:t xml:space="preserve"> – Set I</w:t>
      </w:r>
      <w:r w:rsidR="00CE136A">
        <w:rPr>
          <w:color w:val="000000"/>
          <w:sz w:val="26"/>
          <w:szCs w:val="26"/>
        </w:rPr>
        <w:t xml:space="preserve"> (Motion to Compel)</w:t>
      </w:r>
      <w:r w:rsidRPr="00727F76">
        <w:rPr>
          <w:color w:val="000000"/>
          <w:sz w:val="26"/>
          <w:szCs w:val="26"/>
        </w:rPr>
        <w:t>.</w:t>
      </w:r>
      <w:r w:rsidR="00E93CB1" w:rsidRPr="00E93CB1">
        <w:rPr>
          <w:rStyle w:val="FootnoteReference"/>
          <w:color w:val="000000"/>
          <w:sz w:val="26"/>
          <w:szCs w:val="26"/>
        </w:rPr>
        <w:t xml:space="preserve"> </w:t>
      </w:r>
      <w:r w:rsidR="00E93CB1">
        <w:rPr>
          <w:rStyle w:val="FootnoteReference"/>
          <w:color w:val="000000"/>
          <w:sz w:val="26"/>
          <w:szCs w:val="26"/>
        </w:rPr>
        <w:footnoteReference w:id="1"/>
      </w:r>
      <w:r w:rsidRPr="00727F76">
        <w:rPr>
          <w:color w:val="000000"/>
          <w:sz w:val="26"/>
          <w:szCs w:val="26"/>
        </w:rPr>
        <w:t xml:space="preserve">  On </w:t>
      </w:r>
      <w:r w:rsidR="00400061">
        <w:rPr>
          <w:color w:val="000000"/>
          <w:sz w:val="26"/>
          <w:szCs w:val="26"/>
        </w:rPr>
        <w:lastRenderedPageBreak/>
        <w:t>September</w:t>
      </w:r>
      <w:r w:rsidR="00F57CEF">
        <w:rPr>
          <w:color w:val="000000"/>
          <w:sz w:val="26"/>
          <w:szCs w:val="26"/>
        </w:rPr>
        <w:t> </w:t>
      </w:r>
      <w:r w:rsidR="00400061">
        <w:rPr>
          <w:color w:val="000000"/>
          <w:sz w:val="26"/>
          <w:szCs w:val="26"/>
        </w:rPr>
        <w:t>1</w:t>
      </w:r>
      <w:r w:rsidR="00F65B6D">
        <w:rPr>
          <w:color w:val="000000"/>
          <w:sz w:val="26"/>
          <w:szCs w:val="26"/>
        </w:rPr>
        <w:t>1</w:t>
      </w:r>
      <w:r w:rsidRPr="00727F76">
        <w:rPr>
          <w:color w:val="000000"/>
          <w:sz w:val="26"/>
          <w:szCs w:val="26"/>
        </w:rPr>
        <w:t>,</w:t>
      </w:r>
      <w:r w:rsidR="00F57CEF">
        <w:rPr>
          <w:color w:val="000000"/>
          <w:sz w:val="26"/>
          <w:szCs w:val="26"/>
        </w:rPr>
        <w:t> </w:t>
      </w:r>
      <w:r w:rsidRPr="00727F76">
        <w:rPr>
          <w:color w:val="000000"/>
          <w:sz w:val="26"/>
          <w:szCs w:val="26"/>
        </w:rPr>
        <w:t>2019, the Complainant</w:t>
      </w:r>
      <w:r w:rsidR="0085450C">
        <w:rPr>
          <w:color w:val="000000"/>
          <w:sz w:val="26"/>
          <w:szCs w:val="26"/>
        </w:rPr>
        <w:t xml:space="preserve"> filed a</w:t>
      </w:r>
      <w:r w:rsidRPr="00727F76">
        <w:rPr>
          <w:color w:val="000000"/>
          <w:sz w:val="26"/>
          <w:szCs w:val="26"/>
        </w:rPr>
        <w:t xml:space="preserve"> </w:t>
      </w:r>
      <w:r w:rsidR="00C8370F">
        <w:rPr>
          <w:color w:val="000000"/>
          <w:sz w:val="26"/>
          <w:szCs w:val="26"/>
        </w:rPr>
        <w:t>C</w:t>
      </w:r>
      <w:r w:rsidRPr="00727F76">
        <w:rPr>
          <w:color w:val="000000"/>
          <w:sz w:val="26"/>
          <w:szCs w:val="26"/>
        </w:rPr>
        <w:t xml:space="preserve">ertificate of </w:t>
      </w:r>
      <w:r w:rsidR="00C8370F">
        <w:rPr>
          <w:color w:val="000000"/>
          <w:sz w:val="26"/>
          <w:szCs w:val="26"/>
        </w:rPr>
        <w:t>S</w:t>
      </w:r>
      <w:r w:rsidRPr="00727F76">
        <w:rPr>
          <w:color w:val="000000"/>
          <w:sz w:val="26"/>
          <w:szCs w:val="26"/>
        </w:rPr>
        <w:t>ervice</w:t>
      </w:r>
      <w:r w:rsidR="0085450C">
        <w:rPr>
          <w:color w:val="000000"/>
          <w:sz w:val="26"/>
          <w:szCs w:val="26"/>
        </w:rPr>
        <w:t>,</w:t>
      </w:r>
      <w:r w:rsidRPr="00727F76">
        <w:rPr>
          <w:color w:val="000000"/>
          <w:sz w:val="26"/>
          <w:szCs w:val="26"/>
        </w:rPr>
        <w:t xml:space="preserve"> </w:t>
      </w:r>
      <w:r w:rsidR="00EA4898">
        <w:rPr>
          <w:color w:val="000000"/>
          <w:sz w:val="26"/>
          <w:szCs w:val="26"/>
        </w:rPr>
        <w:t xml:space="preserve">certifying that he served </w:t>
      </w:r>
      <w:r w:rsidRPr="00727F76">
        <w:rPr>
          <w:color w:val="000000"/>
          <w:sz w:val="26"/>
          <w:szCs w:val="26"/>
        </w:rPr>
        <w:t xml:space="preserve">his </w:t>
      </w:r>
      <w:r w:rsidR="00C8370F">
        <w:rPr>
          <w:color w:val="000000"/>
          <w:sz w:val="26"/>
          <w:szCs w:val="26"/>
        </w:rPr>
        <w:t>A</w:t>
      </w:r>
      <w:r w:rsidRPr="00727F76">
        <w:rPr>
          <w:color w:val="000000"/>
          <w:sz w:val="26"/>
          <w:szCs w:val="26"/>
        </w:rPr>
        <w:t xml:space="preserve">nswers to </w:t>
      </w:r>
      <w:r w:rsidR="00E02803">
        <w:rPr>
          <w:color w:val="000000"/>
          <w:sz w:val="26"/>
          <w:szCs w:val="26"/>
        </w:rPr>
        <w:t>I</w:t>
      </w:r>
      <w:r w:rsidR="00E02803" w:rsidRPr="00727F76">
        <w:rPr>
          <w:color w:val="000000"/>
          <w:sz w:val="26"/>
          <w:szCs w:val="26"/>
        </w:rPr>
        <w:t>nterrogatory</w:t>
      </w:r>
      <w:r w:rsidR="0085450C">
        <w:rPr>
          <w:color w:val="000000"/>
          <w:sz w:val="26"/>
          <w:szCs w:val="26"/>
        </w:rPr>
        <w:t xml:space="preserve"> on PPL.</w:t>
      </w:r>
      <w:r w:rsidRPr="00727F76">
        <w:rPr>
          <w:color w:val="000000"/>
          <w:sz w:val="26"/>
          <w:szCs w:val="26"/>
        </w:rPr>
        <w:t xml:space="preserve">  </w:t>
      </w:r>
    </w:p>
    <w:p w14:paraId="69A782F2" w14:textId="77777777" w:rsidR="00EA4898" w:rsidRDefault="00EA4898" w:rsidP="00AE0B6D">
      <w:pPr>
        <w:widowControl/>
        <w:spacing w:line="360" w:lineRule="auto"/>
        <w:ind w:firstLine="1440"/>
        <w:contextualSpacing/>
        <w:textAlignment w:val="baseline"/>
        <w:rPr>
          <w:color w:val="000000"/>
          <w:sz w:val="26"/>
          <w:szCs w:val="26"/>
        </w:rPr>
      </w:pPr>
    </w:p>
    <w:p w14:paraId="340C9B08" w14:textId="33B1A5A9" w:rsidR="0049478D" w:rsidRPr="00727F76" w:rsidRDefault="0049478D" w:rsidP="0020500D">
      <w:pPr>
        <w:widowControl/>
        <w:spacing w:line="360" w:lineRule="auto"/>
        <w:ind w:firstLine="1440"/>
        <w:contextualSpacing/>
        <w:textAlignment w:val="baseline"/>
        <w:rPr>
          <w:color w:val="000000"/>
          <w:sz w:val="26"/>
          <w:szCs w:val="26"/>
        </w:rPr>
      </w:pPr>
      <w:r w:rsidRPr="00A91B6B">
        <w:rPr>
          <w:color w:val="000000"/>
          <w:sz w:val="26"/>
          <w:szCs w:val="26"/>
        </w:rPr>
        <w:t xml:space="preserve">By </w:t>
      </w:r>
      <w:r w:rsidR="00114F2B">
        <w:rPr>
          <w:color w:val="000000"/>
          <w:sz w:val="26"/>
          <w:szCs w:val="26"/>
        </w:rPr>
        <w:t xml:space="preserve">Corrected </w:t>
      </w:r>
      <w:r w:rsidRPr="00A91B6B">
        <w:rPr>
          <w:color w:val="000000"/>
          <w:sz w:val="26"/>
          <w:szCs w:val="26"/>
        </w:rPr>
        <w:t>Hearing Notice</w:t>
      </w:r>
      <w:r w:rsidR="00DE6ABE">
        <w:rPr>
          <w:color w:val="000000"/>
          <w:sz w:val="26"/>
          <w:szCs w:val="26"/>
        </w:rPr>
        <w:t xml:space="preserve"> </w:t>
      </w:r>
      <w:r w:rsidRPr="00A91B6B">
        <w:rPr>
          <w:color w:val="000000"/>
          <w:sz w:val="26"/>
          <w:szCs w:val="26"/>
        </w:rPr>
        <w:t xml:space="preserve">dated </w:t>
      </w:r>
      <w:r>
        <w:rPr>
          <w:color w:val="000000"/>
          <w:sz w:val="26"/>
          <w:szCs w:val="26"/>
        </w:rPr>
        <w:t xml:space="preserve">September </w:t>
      </w:r>
      <w:r w:rsidR="005F309E">
        <w:rPr>
          <w:color w:val="000000"/>
          <w:sz w:val="26"/>
          <w:szCs w:val="26"/>
        </w:rPr>
        <w:t>20</w:t>
      </w:r>
      <w:r>
        <w:rPr>
          <w:color w:val="000000"/>
          <w:sz w:val="26"/>
          <w:szCs w:val="26"/>
        </w:rPr>
        <w:t>, 2019</w:t>
      </w:r>
      <w:r w:rsidRPr="00A91B6B">
        <w:rPr>
          <w:color w:val="000000"/>
          <w:sz w:val="26"/>
          <w:szCs w:val="26"/>
        </w:rPr>
        <w:t xml:space="preserve"> (Hearing Notice)</w:t>
      </w:r>
      <w:r w:rsidR="0007368A">
        <w:rPr>
          <w:color w:val="000000"/>
          <w:sz w:val="26"/>
          <w:szCs w:val="26"/>
        </w:rPr>
        <w:t xml:space="preserve"> and duly served on the Parties</w:t>
      </w:r>
      <w:r w:rsidRPr="00A91B6B">
        <w:rPr>
          <w:color w:val="000000"/>
          <w:sz w:val="26"/>
          <w:szCs w:val="26"/>
        </w:rPr>
        <w:t>, an Initial Telephonic Hearing was scheduled for January</w:t>
      </w:r>
      <w:r w:rsidR="00E6540F">
        <w:rPr>
          <w:color w:val="000000"/>
          <w:sz w:val="26"/>
          <w:szCs w:val="26"/>
        </w:rPr>
        <w:t> </w:t>
      </w:r>
      <w:r w:rsidR="005F309E">
        <w:rPr>
          <w:color w:val="000000"/>
          <w:sz w:val="26"/>
          <w:szCs w:val="26"/>
        </w:rPr>
        <w:t>14</w:t>
      </w:r>
      <w:r w:rsidRPr="00A91B6B">
        <w:rPr>
          <w:color w:val="000000"/>
          <w:sz w:val="26"/>
          <w:szCs w:val="26"/>
        </w:rPr>
        <w:t>, 2020, at 1</w:t>
      </w:r>
      <w:r w:rsidR="00114F2B">
        <w:rPr>
          <w:color w:val="000000"/>
          <w:sz w:val="26"/>
          <w:szCs w:val="26"/>
        </w:rPr>
        <w:t>1:0</w:t>
      </w:r>
      <w:r w:rsidRPr="00A91B6B">
        <w:rPr>
          <w:color w:val="000000"/>
          <w:sz w:val="26"/>
          <w:szCs w:val="26"/>
        </w:rPr>
        <w:t xml:space="preserve">0 </w:t>
      </w:r>
      <w:r w:rsidR="00114F2B">
        <w:rPr>
          <w:color w:val="000000"/>
          <w:sz w:val="26"/>
          <w:szCs w:val="26"/>
        </w:rPr>
        <w:t>a</w:t>
      </w:r>
      <w:r w:rsidRPr="00A91B6B">
        <w:rPr>
          <w:color w:val="000000"/>
          <w:sz w:val="26"/>
          <w:szCs w:val="26"/>
        </w:rPr>
        <w:t xml:space="preserve">.m.  The Hearing Notice included the date, location, and time of the hearing.  </w:t>
      </w:r>
      <w:r w:rsidR="00114F2B">
        <w:rPr>
          <w:color w:val="000000"/>
          <w:sz w:val="26"/>
          <w:szCs w:val="26"/>
        </w:rPr>
        <w:t>The Hearing Notice further stated:</w:t>
      </w:r>
      <w:r w:rsidR="008A4CB9">
        <w:rPr>
          <w:color w:val="000000"/>
          <w:sz w:val="26"/>
          <w:szCs w:val="26"/>
        </w:rPr>
        <w:t xml:space="preserve"> “</w:t>
      </w:r>
      <w:r w:rsidR="00B121EC" w:rsidRPr="00B121EC">
        <w:rPr>
          <w:color w:val="000000"/>
          <w:sz w:val="26"/>
          <w:szCs w:val="26"/>
        </w:rPr>
        <w:t xml:space="preserve">If you have any hearing exhibits to which you will refer during the hearing, three (3) copies must be sent to the Administrative Law Judge and one (1) copy each must be sent to every other party.  All copies </w:t>
      </w:r>
      <w:r w:rsidR="00B121EC" w:rsidRPr="00B121EC">
        <w:rPr>
          <w:b/>
          <w:color w:val="000000"/>
          <w:sz w:val="26"/>
          <w:szCs w:val="26"/>
          <w:u w:val="single"/>
        </w:rPr>
        <w:t>must be received</w:t>
      </w:r>
      <w:r w:rsidR="00B121EC" w:rsidRPr="00B121EC">
        <w:rPr>
          <w:color w:val="000000"/>
          <w:sz w:val="26"/>
          <w:szCs w:val="26"/>
        </w:rPr>
        <w:t xml:space="preserve"> at least five (5) business days </w:t>
      </w:r>
      <w:r w:rsidR="00B121EC" w:rsidRPr="00B121EC">
        <w:rPr>
          <w:b/>
          <w:color w:val="000000"/>
          <w:sz w:val="26"/>
          <w:szCs w:val="26"/>
          <w:u w:val="single"/>
        </w:rPr>
        <w:t>before</w:t>
      </w:r>
      <w:r w:rsidR="00B121EC" w:rsidRPr="00B121EC">
        <w:rPr>
          <w:color w:val="000000"/>
          <w:sz w:val="26"/>
          <w:szCs w:val="26"/>
        </w:rPr>
        <w:t xml:space="preserve"> the hearing.</w:t>
      </w:r>
      <w:r w:rsidR="008A4CB9">
        <w:rPr>
          <w:color w:val="000000"/>
          <w:sz w:val="26"/>
          <w:szCs w:val="26"/>
        </w:rPr>
        <w:t>”</w:t>
      </w:r>
      <w:r w:rsidR="00FE62E1">
        <w:rPr>
          <w:color w:val="000000"/>
          <w:sz w:val="26"/>
          <w:szCs w:val="26"/>
        </w:rPr>
        <w:t xml:space="preserve">  (emphasis in original).</w:t>
      </w:r>
    </w:p>
    <w:p w14:paraId="51A14796" w14:textId="77777777" w:rsidR="00727F76" w:rsidRDefault="00727F76" w:rsidP="00AE0B6D">
      <w:pPr>
        <w:widowControl/>
        <w:spacing w:line="360" w:lineRule="auto"/>
        <w:ind w:firstLine="1440"/>
        <w:contextualSpacing/>
        <w:textAlignment w:val="baseline"/>
        <w:rPr>
          <w:color w:val="000000"/>
          <w:sz w:val="26"/>
          <w:szCs w:val="26"/>
        </w:rPr>
      </w:pPr>
    </w:p>
    <w:p w14:paraId="0BF1102C" w14:textId="2F4C744B" w:rsidR="003B01F3" w:rsidRPr="003B01F3" w:rsidRDefault="003B01F3" w:rsidP="00AE0B6D">
      <w:pPr>
        <w:widowControl/>
        <w:spacing w:line="360" w:lineRule="auto"/>
        <w:ind w:firstLine="1440"/>
        <w:contextualSpacing/>
        <w:textAlignment w:val="baseline"/>
        <w:rPr>
          <w:color w:val="000000"/>
          <w:sz w:val="26"/>
          <w:szCs w:val="26"/>
        </w:rPr>
      </w:pPr>
      <w:r w:rsidRPr="003B01F3">
        <w:rPr>
          <w:color w:val="000000"/>
          <w:sz w:val="26"/>
          <w:szCs w:val="26"/>
        </w:rPr>
        <w:t xml:space="preserve">On </w:t>
      </w:r>
      <w:r w:rsidR="00820E7C">
        <w:rPr>
          <w:color w:val="000000"/>
          <w:sz w:val="26"/>
          <w:szCs w:val="26"/>
        </w:rPr>
        <w:t>January 7, 2020</w:t>
      </w:r>
      <w:r w:rsidRPr="003B01F3">
        <w:rPr>
          <w:color w:val="000000"/>
          <w:sz w:val="26"/>
          <w:szCs w:val="26"/>
        </w:rPr>
        <w:t xml:space="preserve">, the Complainant filed </w:t>
      </w:r>
      <w:r w:rsidR="0085450C">
        <w:rPr>
          <w:color w:val="000000"/>
          <w:sz w:val="26"/>
          <w:szCs w:val="26"/>
        </w:rPr>
        <w:t>the</w:t>
      </w:r>
      <w:r w:rsidRPr="003B01F3">
        <w:rPr>
          <w:color w:val="000000"/>
          <w:sz w:val="26"/>
          <w:szCs w:val="26"/>
        </w:rPr>
        <w:t xml:space="preserve"> Amended Complaint</w:t>
      </w:r>
      <w:r w:rsidR="002877DC">
        <w:rPr>
          <w:color w:val="000000"/>
          <w:sz w:val="26"/>
          <w:szCs w:val="26"/>
        </w:rPr>
        <w:t>,</w:t>
      </w:r>
      <w:r w:rsidRPr="003B01F3">
        <w:rPr>
          <w:color w:val="000000"/>
          <w:sz w:val="26"/>
          <w:szCs w:val="26"/>
        </w:rPr>
        <w:t xml:space="preserve"> alleging </w:t>
      </w:r>
      <w:r w:rsidR="00482DAC">
        <w:rPr>
          <w:color w:val="000000"/>
          <w:sz w:val="26"/>
          <w:szCs w:val="26"/>
        </w:rPr>
        <w:t xml:space="preserve">that </w:t>
      </w:r>
      <w:r w:rsidR="00671066">
        <w:rPr>
          <w:color w:val="000000"/>
          <w:sz w:val="26"/>
          <w:szCs w:val="26"/>
        </w:rPr>
        <w:t>his current health issues resulted from his current meter</w:t>
      </w:r>
      <w:r w:rsidR="00252817">
        <w:rPr>
          <w:color w:val="000000"/>
          <w:sz w:val="26"/>
          <w:szCs w:val="26"/>
        </w:rPr>
        <w:t xml:space="preserve"> and </w:t>
      </w:r>
      <w:r w:rsidR="009E352E">
        <w:rPr>
          <w:color w:val="000000"/>
          <w:sz w:val="26"/>
          <w:szCs w:val="26"/>
        </w:rPr>
        <w:t>declaring</w:t>
      </w:r>
      <w:r w:rsidR="00482DAC">
        <w:rPr>
          <w:color w:val="000000"/>
          <w:sz w:val="26"/>
          <w:szCs w:val="26"/>
        </w:rPr>
        <w:t xml:space="preserve"> that</w:t>
      </w:r>
      <w:r w:rsidR="009E352E">
        <w:rPr>
          <w:color w:val="000000"/>
          <w:sz w:val="26"/>
          <w:szCs w:val="26"/>
        </w:rPr>
        <w:t xml:space="preserve"> his </w:t>
      </w:r>
      <w:r w:rsidR="00F27B10">
        <w:rPr>
          <w:color w:val="000000"/>
          <w:sz w:val="26"/>
          <w:szCs w:val="26"/>
        </w:rPr>
        <w:t>health</w:t>
      </w:r>
      <w:r w:rsidR="00487921">
        <w:rPr>
          <w:color w:val="000000"/>
          <w:sz w:val="26"/>
          <w:szCs w:val="26"/>
        </w:rPr>
        <w:t xml:space="preserve"> issues will </w:t>
      </w:r>
      <w:r w:rsidR="00350FB7">
        <w:rPr>
          <w:color w:val="000000"/>
          <w:sz w:val="26"/>
          <w:szCs w:val="26"/>
        </w:rPr>
        <w:t>worsen</w:t>
      </w:r>
      <w:r w:rsidR="00487921">
        <w:rPr>
          <w:color w:val="000000"/>
          <w:sz w:val="26"/>
          <w:szCs w:val="26"/>
        </w:rPr>
        <w:t xml:space="preserve"> with </w:t>
      </w:r>
      <w:r w:rsidR="009E352E">
        <w:rPr>
          <w:color w:val="000000"/>
          <w:sz w:val="26"/>
          <w:szCs w:val="26"/>
        </w:rPr>
        <w:t xml:space="preserve">the </w:t>
      </w:r>
      <w:r w:rsidR="00F93FF4">
        <w:rPr>
          <w:color w:val="000000"/>
          <w:sz w:val="26"/>
          <w:szCs w:val="26"/>
        </w:rPr>
        <w:t>new AMI</w:t>
      </w:r>
      <w:r w:rsidR="00646DC4">
        <w:rPr>
          <w:color w:val="000000"/>
          <w:sz w:val="26"/>
          <w:szCs w:val="26"/>
        </w:rPr>
        <w:t xml:space="preserve"> smart</w:t>
      </w:r>
      <w:r w:rsidRPr="003B01F3">
        <w:rPr>
          <w:color w:val="000000"/>
          <w:sz w:val="26"/>
          <w:szCs w:val="26"/>
        </w:rPr>
        <w:t xml:space="preserve"> meter</w:t>
      </w:r>
      <w:r w:rsidR="002F4D6E">
        <w:rPr>
          <w:color w:val="000000"/>
          <w:sz w:val="26"/>
          <w:szCs w:val="26"/>
        </w:rPr>
        <w:t>.</w:t>
      </w:r>
      <w:r w:rsidRPr="003B01F3">
        <w:rPr>
          <w:color w:val="000000"/>
          <w:sz w:val="26"/>
          <w:szCs w:val="26"/>
        </w:rPr>
        <w:t xml:space="preserve"> </w:t>
      </w:r>
      <w:r w:rsidR="00646DC4">
        <w:rPr>
          <w:color w:val="000000"/>
          <w:sz w:val="26"/>
          <w:szCs w:val="26"/>
        </w:rPr>
        <w:t xml:space="preserve"> </w:t>
      </w:r>
      <w:r w:rsidR="00482DAC">
        <w:rPr>
          <w:color w:val="000000"/>
          <w:sz w:val="26"/>
          <w:szCs w:val="26"/>
        </w:rPr>
        <w:t xml:space="preserve">Mr. Ulmer </w:t>
      </w:r>
      <w:r w:rsidR="00BD1B3D">
        <w:rPr>
          <w:color w:val="000000"/>
          <w:sz w:val="26"/>
          <w:szCs w:val="26"/>
        </w:rPr>
        <w:t>claimed</w:t>
      </w:r>
      <w:r w:rsidR="00482DAC">
        <w:rPr>
          <w:color w:val="000000"/>
          <w:sz w:val="26"/>
          <w:szCs w:val="26"/>
        </w:rPr>
        <w:t xml:space="preserve"> that th</w:t>
      </w:r>
      <w:r w:rsidR="007E6D6A">
        <w:rPr>
          <w:color w:val="000000"/>
          <w:sz w:val="26"/>
          <w:szCs w:val="26"/>
        </w:rPr>
        <w:t xml:space="preserve">e AMI meter PPL intends to install </w:t>
      </w:r>
      <w:r w:rsidR="00BD1B3D">
        <w:rPr>
          <w:color w:val="000000"/>
          <w:sz w:val="26"/>
          <w:szCs w:val="26"/>
        </w:rPr>
        <w:t xml:space="preserve">poses a </w:t>
      </w:r>
      <w:r w:rsidR="002B78D1">
        <w:rPr>
          <w:color w:val="000000"/>
          <w:sz w:val="26"/>
          <w:szCs w:val="26"/>
        </w:rPr>
        <w:t>risk to his safety and the safety of</w:t>
      </w:r>
      <w:r w:rsidR="00BD1B3D">
        <w:rPr>
          <w:color w:val="000000"/>
          <w:sz w:val="26"/>
          <w:szCs w:val="26"/>
        </w:rPr>
        <w:t xml:space="preserve"> his family, his friends, and </w:t>
      </w:r>
      <w:r w:rsidR="002B78D1">
        <w:rPr>
          <w:color w:val="000000"/>
          <w:sz w:val="26"/>
          <w:szCs w:val="26"/>
        </w:rPr>
        <w:t xml:space="preserve">his </w:t>
      </w:r>
      <w:r w:rsidR="00BD1B3D">
        <w:rPr>
          <w:color w:val="000000"/>
          <w:sz w:val="26"/>
          <w:szCs w:val="26"/>
        </w:rPr>
        <w:t xml:space="preserve">animals.  </w:t>
      </w:r>
      <w:r w:rsidR="002508EA">
        <w:rPr>
          <w:color w:val="000000"/>
          <w:sz w:val="26"/>
          <w:szCs w:val="26"/>
        </w:rPr>
        <w:t xml:space="preserve">The Complainant </w:t>
      </w:r>
      <w:r w:rsidR="00BC7F46">
        <w:rPr>
          <w:color w:val="000000"/>
          <w:sz w:val="26"/>
          <w:szCs w:val="26"/>
        </w:rPr>
        <w:t>averred</w:t>
      </w:r>
      <w:r w:rsidR="00621B42">
        <w:rPr>
          <w:color w:val="000000"/>
          <w:sz w:val="26"/>
          <w:szCs w:val="26"/>
        </w:rPr>
        <w:t xml:space="preserve"> that PPL</w:t>
      </w:r>
      <w:r w:rsidR="00454949">
        <w:rPr>
          <w:color w:val="000000"/>
          <w:sz w:val="26"/>
          <w:szCs w:val="26"/>
        </w:rPr>
        <w:t xml:space="preserve">’s installation of the </w:t>
      </w:r>
      <w:r w:rsidR="009528F4">
        <w:rPr>
          <w:color w:val="000000"/>
          <w:sz w:val="26"/>
          <w:szCs w:val="26"/>
        </w:rPr>
        <w:t>PLC or AMR</w:t>
      </w:r>
      <w:r w:rsidR="0085450C">
        <w:rPr>
          <w:color w:val="000000"/>
          <w:sz w:val="26"/>
          <w:szCs w:val="26"/>
        </w:rPr>
        <w:t xml:space="preserve"> </w:t>
      </w:r>
      <w:r w:rsidR="00454949">
        <w:rPr>
          <w:color w:val="000000"/>
          <w:sz w:val="26"/>
          <w:szCs w:val="26"/>
        </w:rPr>
        <w:t>meter</w:t>
      </w:r>
      <w:r w:rsidR="00926CBA">
        <w:rPr>
          <w:color w:val="000000"/>
          <w:sz w:val="26"/>
          <w:szCs w:val="26"/>
        </w:rPr>
        <w:t xml:space="preserve"> currently</w:t>
      </w:r>
      <w:r w:rsidR="00454949">
        <w:rPr>
          <w:color w:val="000000"/>
          <w:sz w:val="26"/>
          <w:szCs w:val="26"/>
        </w:rPr>
        <w:t xml:space="preserve"> at his residence </w:t>
      </w:r>
      <w:r w:rsidR="004A0CF2">
        <w:rPr>
          <w:color w:val="000000"/>
          <w:sz w:val="26"/>
          <w:szCs w:val="26"/>
        </w:rPr>
        <w:t>is a</w:t>
      </w:r>
      <w:r w:rsidR="00E35B93">
        <w:rPr>
          <w:color w:val="000000"/>
          <w:sz w:val="26"/>
          <w:szCs w:val="26"/>
        </w:rPr>
        <w:t xml:space="preserve"> </w:t>
      </w:r>
      <w:r w:rsidR="00564EDB">
        <w:rPr>
          <w:color w:val="000000"/>
          <w:sz w:val="26"/>
          <w:szCs w:val="26"/>
        </w:rPr>
        <w:t xml:space="preserve">violation of </w:t>
      </w:r>
      <w:r w:rsidR="00E16F7E" w:rsidRPr="00481242">
        <w:rPr>
          <w:color w:val="000000" w:themeColor="text1"/>
          <w:sz w:val="26"/>
          <w:szCs w:val="26"/>
        </w:rPr>
        <w:t>Section 1501</w:t>
      </w:r>
      <w:r w:rsidR="009F0E8D">
        <w:rPr>
          <w:color w:val="000000" w:themeColor="text1"/>
          <w:sz w:val="26"/>
          <w:szCs w:val="26"/>
        </w:rPr>
        <w:t xml:space="preserve"> </w:t>
      </w:r>
      <w:r w:rsidR="00E16F7E" w:rsidRPr="00481242">
        <w:rPr>
          <w:color w:val="000000" w:themeColor="text1"/>
          <w:sz w:val="26"/>
          <w:szCs w:val="26"/>
        </w:rPr>
        <w:t>of the Code, 66</w:t>
      </w:r>
      <w:r w:rsidR="00E6540F">
        <w:rPr>
          <w:color w:val="000000" w:themeColor="text1"/>
          <w:sz w:val="26"/>
          <w:szCs w:val="26"/>
        </w:rPr>
        <w:t> </w:t>
      </w:r>
      <w:r w:rsidR="00E16F7E" w:rsidRPr="00481242">
        <w:rPr>
          <w:color w:val="000000" w:themeColor="text1"/>
          <w:sz w:val="26"/>
          <w:szCs w:val="26"/>
        </w:rPr>
        <w:t>Pa.</w:t>
      </w:r>
      <w:r w:rsidR="001E0591">
        <w:rPr>
          <w:color w:val="000000" w:themeColor="text1"/>
          <w:sz w:val="26"/>
          <w:szCs w:val="26"/>
        </w:rPr>
        <w:t xml:space="preserve"> </w:t>
      </w:r>
      <w:r w:rsidR="00E16F7E" w:rsidRPr="00481242">
        <w:rPr>
          <w:color w:val="000000" w:themeColor="text1"/>
          <w:sz w:val="26"/>
          <w:szCs w:val="26"/>
        </w:rPr>
        <w:t>C.S.</w:t>
      </w:r>
      <w:r w:rsidR="009F0E8D">
        <w:rPr>
          <w:color w:val="000000" w:themeColor="text1"/>
          <w:sz w:val="26"/>
          <w:szCs w:val="26"/>
        </w:rPr>
        <w:t xml:space="preserve"> </w:t>
      </w:r>
      <w:r w:rsidR="009F0E8D" w:rsidRPr="00481242">
        <w:rPr>
          <w:color w:val="000000" w:themeColor="text1"/>
          <w:sz w:val="26"/>
          <w:szCs w:val="26"/>
        </w:rPr>
        <w:t>§</w:t>
      </w:r>
      <w:r w:rsidR="00E16F7E" w:rsidRPr="00481242">
        <w:rPr>
          <w:color w:val="000000" w:themeColor="text1"/>
          <w:sz w:val="26"/>
          <w:szCs w:val="26"/>
        </w:rPr>
        <w:t xml:space="preserve"> 1501, </w:t>
      </w:r>
      <w:r w:rsidR="00E921D1">
        <w:rPr>
          <w:color w:val="000000" w:themeColor="text1"/>
          <w:sz w:val="26"/>
          <w:szCs w:val="26"/>
        </w:rPr>
        <w:t xml:space="preserve">as well as Section 57.194 of </w:t>
      </w:r>
      <w:r w:rsidR="0081623B">
        <w:rPr>
          <w:color w:val="000000" w:themeColor="text1"/>
          <w:sz w:val="26"/>
          <w:szCs w:val="26"/>
        </w:rPr>
        <w:t xml:space="preserve">our Regulations, </w:t>
      </w:r>
      <w:r w:rsidR="0081623B" w:rsidRPr="00481242">
        <w:rPr>
          <w:color w:val="000000" w:themeColor="text1"/>
          <w:sz w:val="26"/>
          <w:szCs w:val="26"/>
        </w:rPr>
        <w:t>52 Pa. Code § 57.</w:t>
      </w:r>
      <w:r w:rsidR="0081623B">
        <w:rPr>
          <w:color w:val="000000" w:themeColor="text1"/>
          <w:sz w:val="26"/>
          <w:szCs w:val="26"/>
        </w:rPr>
        <w:t>194</w:t>
      </w:r>
      <w:r w:rsidR="00926CBA">
        <w:rPr>
          <w:color w:val="000000" w:themeColor="text1"/>
          <w:sz w:val="26"/>
          <w:szCs w:val="26"/>
        </w:rPr>
        <w:t xml:space="preserve">.  </w:t>
      </w:r>
      <w:r w:rsidR="00651A3C">
        <w:rPr>
          <w:color w:val="000000"/>
          <w:sz w:val="26"/>
          <w:szCs w:val="26"/>
        </w:rPr>
        <w:t>The Complainant</w:t>
      </w:r>
      <w:r w:rsidR="005A212A">
        <w:rPr>
          <w:color w:val="000000"/>
          <w:sz w:val="26"/>
          <w:szCs w:val="26"/>
        </w:rPr>
        <w:t xml:space="preserve"> further</w:t>
      </w:r>
      <w:r w:rsidR="00D82098">
        <w:rPr>
          <w:color w:val="000000"/>
          <w:sz w:val="26"/>
          <w:szCs w:val="26"/>
        </w:rPr>
        <w:t xml:space="preserve"> </w:t>
      </w:r>
      <w:r w:rsidR="00BC7F46">
        <w:rPr>
          <w:color w:val="000000"/>
          <w:sz w:val="26"/>
          <w:szCs w:val="26"/>
        </w:rPr>
        <w:t>stat</w:t>
      </w:r>
      <w:r w:rsidR="0036121F">
        <w:rPr>
          <w:color w:val="000000"/>
          <w:sz w:val="26"/>
          <w:szCs w:val="26"/>
        </w:rPr>
        <w:t>ed</w:t>
      </w:r>
      <w:r w:rsidR="00CC6ECD">
        <w:rPr>
          <w:color w:val="000000"/>
          <w:sz w:val="26"/>
          <w:szCs w:val="26"/>
        </w:rPr>
        <w:t xml:space="preserve"> that the </w:t>
      </w:r>
      <w:r w:rsidR="003E2E5D">
        <w:rPr>
          <w:color w:val="000000"/>
          <w:sz w:val="26"/>
          <w:szCs w:val="26"/>
        </w:rPr>
        <w:t>AMI</w:t>
      </w:r>
      <w:r w:rsidR="00CC6ECD">
        <w:rPr>
          <w:color w:val="000000"/>
          <w:sz w:val="26"/>
          <w:szCs w:val="26"/>
        </w:rPr>
        <w:t xml:space="preserve"> meter PPL intends </w:t>
      </w:r>
      <w:r w:rsidR="0010626F">
        <w:rPr>
          <w:color w:val="000000"/>
          <w:sz w:val="26"/>
          <w:szCs w:val="26"/>
        </w:rPr>
        <w:t xml:space="preserve">to install on </w:t>
      </w:r>
      <w:r w:rsidR="003E4DBD">
        <w:rPr>
          <w:color w:val="000000"/>
          <w:sz w:val="26"/>
          <w:szCs w:val="26"/>
        </w:rPr>
        <w:t>his property</w:t>
      </w:r>
      <w:r w:rsidR="00CC6ECD">
        <w:rPr>
          <w:color w:val="000000"/>
          <w:sz w:val="26"/>
          <w:szCs w:val="26"/>
        </w:rPr>
        <w:t xml:space="preserve"> </w:t>
      </w:r>
      <w:r w:rsidR="005816AF">
        <w:rPr>
          <w:color w:val="000000"/>
          <w:sz w:val="26"/>
          <w:szCs w:val="26"/>
        </w:rPr>
        <w:t>would be</w:t>
      </w:r>
      <w:r w:rsidR="00CC6ECD">
        <w:rPr>
          <w:color w:val="000000"/>
          <w:sz w:val="26"/>
          <w:szCs w:val="26"/>
        </w:rPr>
        <w:t xml:space="preserve"> a violation of </w:t>
      </w:r>
      <w:r w:rsidR="00EC0932">
        <w:rPr>
          <w:color w:val="000000"/>
          <w:sz w:val="26"/>
          <w:szCs w:val="26"/>
        </w:rPr>
        <w:t>Section</w:t>
      </w:r>
      <w:r w:rsidR="005A212A">
        <w:rPr>
          <w:color w:val="000000"/>
          <w:sz w:val="26"/>
          <w:szCs w:val="26"/>
        </w:rPr>
        <w:t>s</w:t>
      </w:r>
      <w:r w:rsidR="00EC0932">
        <w:rPr>
          <w:color w:val="000000"/>
          <w:sz w:val="26"/>
          <w:szCs w:val="26"/>
        </w:rPr>
        <w:t xml:space="preserve"> 1501</w:t>
      </w:r>
      <w:r w:rsidR="005A212A">
        <w:rPr>
          <w:color w:val="000000"/>
          <w:sz w:val="26"/>
          <w:szCs w:val="26"/>
        </w:rPr>
        <w:t xml:space="preserve"> and 1502</w:t>
      </w:r>
      <w:r w:rsidR="00EC0932">
        <w:rPr>
          <w:color w:val="000000"/>
          <w:sz w:val="26"/>
          <w:szCs w:val="26"/>
        </w:rPr>
        <w:t xml:space="preserve"> of the Code, </w:t>
      </w:r>
      <w:r w:rsidR="00EC0932" w:rsidRPr="00481242">
        <w:rPr>
          <w:color w:val="000000" w:themeColor="text1"/>
          <w:sz w:val="26"/>
          <w:szCs w:val="26"/>
        </w:rPr>
        <w:t>66 Pa.</w:t>
      </w:r>
      <w:r w:rsidR="001E0591">
        <w:rPr>
          <w:color w:val="000000" w:themeColor="text1"/>
          <w:sz w:val="26"/>
          <w:szCs w:val="26"/>
        </w:rPr>
        <w:t xml:space="preserve"> </w:t>
      </w:r>
      <w:r w:rsidR="00EC0932" w:rsidRPr="00481242">
        <w:rPr>
          <w:color w:val="000000" w:themeColor="text1"/>
          <w:sz w:val="26"/>
          <w:szCs w:val="26"/>
        </w:rPr>
        <w:t>C.S.</w:t>
      </w:r>
      <w:r w:rsidR="00EC0932">
        <w:rPr>
          <w:color w:val="000000" w:themeColor="text1"/>
          <w:sz w:val="26"/>
          <w:szCs w:val="26"/>
        </w:rPr>
        <w:t xml:space="preserve"> </w:t>
      </w:r>
      <w:r w:rsidR="00EC0932" w:rsidRPr="00481242">
        <w:rPr>
          <w:color w:val="000000" w:themeColor="text1"/>
          <w:sz w:val="26"/>
          <w:szCs w:val="26"/>
        </w:rPr>
        <w:t>§</w:t>
      </w:r>
      <w:r w:rsidR="005A212A">
        <w:rPr>
          <w:color w:val="000000" w:themeColor="text1"/>
          <w:sz w:val="26"/>
          <w:szCs w:val="26"/>
        </w:rPr>
        <w:t xml:space="preserve"> </w:t>
      </w:r>
      <w:r w:rsidR="005A212A" w:rsidRPr="00481242">
        <w:rPr>
          <w:color w:val="000000" w:themeColor="text1"/>
          <w:sz w:val="26"/>
          <w:szCs w:val="26"/>
        </w:rPr>
        <w:t>§</w:t>
      </w:r>
      <w:r w:rsidR="00EC0932" w:rsidRPr="00481242">
        <w:rPr>
          <w:color w:val="000000" w:themeColor="text1"/>
          <w:sz w:val="26"/>
          <w:szCs w:val="26"/>
        </w:rPr>
        <w:t xml:space="preserve"> 1501</w:t>
      </w:r>
      <w:r w:rsidR="00EF5497">
        <w:rPr>
          <w:color w:val="000000" w:themeColor="text1"/>
          <w:sz w:val="26"/>
          <w:szCs w:val="26"/>
        </w:rPr>
        <w:t xml:space="preserve"> and</w:t>
      </w:r>
      <w:r w:rsidR="00F57CEF">
        <w:rPr>
          <w:color w:val="000000" w:themeColor="text1"/>
          <w:sz w:val="26"/>
          <w:szCs w:val="26"/>
        </w:rPr>
        <w:t> </w:t>
      </w:r>
      <w:r w:rsidR="00EF5497">
        <w:rPr>
          <w:color w:val="000000" w:themeColor="text1"/>
          <w:sz w:val="26"/>
          <w:szCs w:val="26"/>
        </w:rPr>
        <w:t>1502</w:t>
      </w:r>
      <w:r w:rsidR="00EC0932">
        <w:rPr>
          <w:color w:val="000000" w:themeColor="text1"/>
          <w:sz w:val="26"/>
          <w:szCs w:val="26"/>
        </w:rPr>
        <w:t>, and Section 57.194 of our Regulations</w:t>
      </w:r>
      <w:r w:rsidR="00367A62">
        <w:rPr>
          <w:color w:val="000000" w:themeColor="text1"/>
          <w:sz w:val="26"/>
          <w:szCs w:val="26"/>
        </w:rPr>
        <w:t>,</w:t>
      </w:r>
      <w:r w:rsidR="00EC0932">
        <w:rPr>
          <w:color w:val="000000" w:themeColor="text1"/>
          <w:sz w:val="26"/>
          <w:szCs w:val="26"/>
        </w:rPr>
        <w:t xml:space="preserve"> </w:t>
      </w:r>
      <w:r w:rsidR="00367A62" w:rsidRPr="00481242">
        <w:rPr>
          <w:color w:val="000000" w:themeColor="text1"/>
          <w:sz w:val="26"/>
          <w:szCs w:val="26"/>
        </w:rPr>
        <w:t>52 Pa. Code § 57.</w:t>
      </w:r>
      <w:r w:rsidR="00367A62">
        <w:rPr>
          <w:color w:val="000000" w:themeColor="text1"/>
          <w:sz w:val="26"/>
          <w:szCs w:val="26"/>
        </w:rPr>
        <w:t>194</w:t>
      </w:r>
      <w:r w:rsidR="00BC7F46">
        <w:rPr>
          <w:color w:val="000000" w:themeColor="text1"/>
          <w:sz w:val="26"/>
          <w:szCs w:val="26"/>
        </w:rPr>
        <w:t xml:space="preserve">.  </w:t>
      </w:r>
      <w:r w:rsidR="00FE3457">
        <w:rPr>
          <w:color w:val="000000"/>
          <w:sz w:val="26"/>
          <w:szCs w:val="26"/>
        </w:rPr>
        <w:t xml:space="preserve">Amended Complaint at 2-7; I.D. at 2.  </w:t>
      </w:r>
      <w:r w:rsidR="00884020">
        <w:rPr>
          <w:color w:val="000000"/>
          <w:sz w:val="26"/>
          <w:szCs w:val="26"/>
        </w:rPr>
        <w:t>In addition, t</w:t>
      </w:r>
      <w:r w:rsidRPr="003B01F3">
        <w:rPr>
          <w:color w:val="000000"/>
          <w:sz w:val="26"/>
          <w:szCs w:val="26"/>
        </w:rPr>
        <w:t>he Complainant</w:t>
      </w:r>
      <w:r w:rsidR="009928DE">
        <w:rPr>
          <w:color w:val="000000"/>
          <w:sz w:val="26"/>
          <w:szCs w:val="26"/>
        </w:rPr>
        <w:t xml:space="preserve"> </w:t>
      </w:r>
      <w:r w:rsidR="00A25E60">
        <w:rPr>
          <w:color w:val="000000"/>
          <w:sz w:val="26"/>
          <w:szCs w:val="26"/>
        </w:rPr>
        <w:t>no</w:t>
      </w:r>
      <w:r w:rsidRPr="003B01F3">
        <w:rPr>
          <w:color w:val="000000"/>
          <w:sz w:val="26"/>
          <w:szCs w:val="26"/>
        </w:rPr>
        <w:t>ted his concerns with</w:t>
      </w:r>
      <w:r w:rsidR="001F0599">
        <w:rPr>
          <w:color w:val="000000"/>
          <w:sz w:val="26"/>
          <w:szCs w:val="26"/>
        </w:rPr>
        <w:t xml:space="preserve">, </w:t>
      </w:r>
      <w:r w:rsidR="001F0599" w:rsidRPr="001F0599">
        <w:rPr>
          <w:i/>
          <w:iCs/>
          <w:color w:val="000000"/>
          <w:sz w:val="26"/>
          <w:szCs w:val="26"/>
        </w:rPr>
        <w:t>inter</w:t>
      </w:r>
      <w:r w:rsidR="00E6540F">
        <w:rPr>
          <w:i/>
          <w:iCs/>
          <w:color w:val="000000"/>
          <w:sz w:val="26"/>
          <w:szCs w:val="26"/>
        </w:rPr>
        <w:t> </w:t>
      </w:r>
      <w:r w:rsidR="001F0599" w:rsidRPr="001F0599">
        <w:rPr>
          <w:i/>
          <w:iCs/>
          <w:color w:val="000000"/>
          <w:sz w:val="26"/>
          <w:szCs w:val="26"/>
        </w:rPr>
        <w:t>alia</w:t>
      </w:r>
      <w:r w:rsidR="001F0599">
        <w:rPr>
          <w:color w:val="000000"/>
          <w:sz w:val="26"/>
          <w:szCs w:val="26"/>
        </w:rPr>
        <w:t xml:space="preserve">, </w:t>
      </w:r>
      <w:r w:rsidR="008F3AFF">
        <w:rPr>
          <w:color w:val="000000"/>
          <w:sz w:val="26"/>
          <w:szCs w:val="26"/>
        </w:rPr>
        <w:t xml:space="preserve">termination of </w:t>
      </w:r>
      <w:r w:rsidR="00E56F89">
        <w:rPr>
          <w:color w:val="000000"/>
          <w:sz w:val="26"/>
          <w:szCs w:val="26"/>
        </w:rPr>
        <w:t>electric service,</w:t>
      </w:r>
      <w:r w:rsidR="00613440">
        <w:rPr>
          <w:color w:val="000000"/>
          <w:sz w:val="26"/>
          <w:szCs w:val="26"/>
        </w:rPr>
        <w:t xml:space="preserve"> safety</w:t>
      </w:r>
      <w:r w:rsidR="005F042B">
        <w:rPr>
          <w:color w:val="000000"/>
          <w:sz w:val="26"/>
          <w:szCs w:val="26"/>
        </w:rPr>
        <w:t xml:space="preserve"> and </w:t>
      </w:r>
      <w:r w:rsidR="00613440">
        <w:rPr>
          <w:color w:val="000000"/>
          <w:sz w:val="26"/>
          <w:szCs w:val="26"/>
        </w:rPr>
        <w:t>health</w:t>
      </w:r>
      <w:r w:rsidR="005F042B">
        <w:rPr>
          <w:color w:val="000000"/>
          <w:sz w:val="26"/>
          <w:szCs w:val="26"/>
        </w:rPr>
        <w:t xml:space="preserve"> concerns</w:t>
      </w:r>
      <w:r w:rsidR="00613440">
        <w:rPr>
          <w:color w:val="000000"/>
          <w:sz w:val="26"/>
          <w:szCs w:val="26"/>
        </w:rPr>
        <w:t>,</w:t>
      </w:r>
      <w:r w:rsidRPr="003B01F3">
        <w:rPr>
          <w:color w:val="000000"/>
          <w:sz w:val="26"/>
          <w:szCs w:val="26"/>
        </w:rPr>
        <w:t xml:space="preserve"> and </w:t>
      </w:r>
      <w:r w:rsidR="00613440">
        <w:rPr>
          <w:color w:val="000000"/>
          <w:sz w:val="26"/>
          <w:szCs w:val="26"/>
        </w:rPr>
        <w:t>cybersecurity</w:t>
      </w:r>
      <w:r w:rsidRPr="003B01F3">
        <w:rPr>
          <w:color w:val="000000"/>
          <w:sz w:val="26"/>
          <w:szCs w:val="26"/>
        </w:rPr>
        <w:t>.</w:t>
      </w:r>
      <w:r w:rsidR="00E566EF">
        <w:rPr>
          <w:color w:val="000000"/>
          <w:sz w:val="26"/>
          <w:szCs w:val="26"/>
        </w:rPr>
        <w:t xml:space="preserve">  </w:t>
      </w:r>
      <w:r w:rsidR="004A115A">
        <w:rPr>
          <w:color w:val="000000"/>
          <w:sz w:val="26"/>
          <w:szCs w:val="26"/>
        </w:rPr>
        <w:t xml:space="preserve">Amended Complaint at 8-10.  </w:t>
      </w:r>
      <w:r w:rsidR="007E009D">
        <w:rPr>
          <w:color w:val="000000"/>
          <w:sz w:val="26"/>
          <w:szCs w:val="26"/>
        </w:rPr>
        <w:t>The Complainant</w:t>
      </w:r>
      <w:r w:rsidRPr="003B01F3">
        <w:rPr>
          <w:color w:val="000000"/>
          <w:sz w:val="26"/>
          <w:szCs w:val="26"/>
        </w:rPr>
        <w:t xml:space="preserve"> requested a</w:t>
      </w:r>
      <w:r w:rsidR="007E009D">
        <w:rPr>
          <w:color w:val="000000"/>
          <w:sz w:val="26"/>
          <w:szCs w:val="26"/>
        </w:rPr>
        <w:t xml:space="preserve">n American with Disabilities Act (ADA) accommodation due to his inability to sleep more than two hours </w:t>
      </w:r>
      <w:r w:rsidR="00CE26AD">
        <w:rPr>
          <w:color w:val="000000"/>
          <w:sz w:val="26"/>
          <w:szCs w:val="26"/>
        </w:rPr>
        <w:t>at a time</w:t>
      </w:r>
      <w:r w:rsidR="00CE2575">
        <w:rPr>
          <w:color w:val="000000"/>
          <w:sz w:val="26"/>
          <w:szCs w:val="26"/>
        </w:rPr>
        <w:t xml:space="preserve">, which Mr. Ulmer claimed is a result of </w:t>
      </w:r>
      <w:r w:rsidR="004A0BD4">
        <w:rPr>
          <w:color w:val="000000"/>
          <w:sz w:val="26"/>
          <w:szCs w:val="26"/>
        </w:rPr>
        <w:t>interference</w:t>
      </w:r>
      <w:r w:rsidR="002B204D">
        <w:rPr>
          <w:color w:val="000000"/>
          <w:sz w:val="26"/>
          <w:szCs w:val="26"/>
        </w:rPr>
        <w:t xml:space="preserve"> from </w:t>
      </w:r>
      <w:r w:rsidR="00642F4C">
        <w:rPr>
          <w:color w:val="000000"/>
          <w:sz w:val="26"/>
          <w:szCs w:val="26"/>
        </w:rPr>
        <w:t>the</w:t>
      </w:r>
      <w:r w:rsidR="002B204D">
        <w:rPr>
          <w:color w:val="000000"/>
          <w:sz w:val="26"/>
          <w:szCs w:val="26"/>
        </w:rPr>
        <w:t xml:space="preserve"> meter</w:t>
      </w:r>
      <w:r w:rsidR="00642F4C">
        <w:rPr>
          <w:color w:val="000000"/>
          <w:sz w:val="26"/>
          <w:szCs w:val="26"/>
        </w:rPr>
        <w:t xml:space="preserve"> currently installed at his residence</w:t>
      </w:r>
      <w:r w:rsidRPr="003B01F3">
        <w:rPr>
          <w:color w:val="000000"/>
          <w:sz w:val="26"/>
          <w:szCs w:val="26"/>
        </w:rPr>
        <w:t xml:space="preserve">.  </w:t>
      </w:r>
      <w:r w:rsidR="00292D82" w:rsidRPr="00292D82">
        <w:rPr>
          <w:i/>
          <w:iCs/>
          <w:color w:val="000000"/>
          <w:sz w:val="26"/>
          <w:szCs w:val="26"/>
        </w:rPr>
        <w:t xml:space="preserve">Id. </w:t>
      </w:r>
      <w:r w:rsidR="00292D82">
        <w:rPr>
          <w:color w:val="000000"/>
          <w:sz w:val="26"/>
          <w:szCs w:val="26"/>
        </w:rPr>
        <w:t xml:space="preserve">at </w:t>
      </w:r>
      <w:r w:rsidR="004A115A">
        <w:rPr>
          <w:color w:val="000000"/>
          <w:sz w:val="26"/>
          <w:szCs w:val="26"/>
        </w:rPr>
        <w:t>11.</w:t>
      </w:r>
    </w:p>
    <w:p w14:paraId="3A06105F" w14:textId="77777777" w:rsidR="003B01F3" w:rsidRPr="003B01F3" w:rsidRDefault="003B01F3" w:rsidP="00AE0B6D">
      <w:pPr>
        <w:widowControl/>
        <w:spacing w:line="360" w:lineRule="auto"/>
        <w:ind w:firstLine="1440"/>
        <w:contextualSpacing/>
        <w:textAlignment w:val="baseline"/>
        <w:rPr>
          <w:color w:val="000000"/>
          <w:sz w:val="26"/>
          <w:szCs w:val="26"/>
        </w:rPr>
      </w:pPr>
    </w:p>
    <w:p w14:paraId="15AEE2AF" w14:textId="3402F2CD" w:rsidR="003B01F3" w:rsidRPr="003B01F3" w:rsidRDefault="003B01F3" w:rsidP="00AE0B6D">
      <w:pPr>
        <w:widowControl/>
        <w:spacing w:line="360" w:lineRule="auto"/>
        <w:ind w:firstLine="1440"/>
        <w:contextualSpacing/>
        <w:textAlignment w:val="baseline"/>
        <w:rPr>
          <w:color w:val="000000"/>
          <w:sz w:val="26"/>
          <w:szCs w:val="26"/>
        </w:rPr>
      </w:pPr>
      <w:r w:rsidRPr="003B01F3">
        <w:rPr>
          <w:color w:val="000000"/>
          <w:sz w:val="26"/>
          <w:szCs w:val="26"/>
        </w:rPr>
        <w:lastRenderedPageBreak/>
        <w:t xml:space="preserve">On </w:t>
      </w:r>
      <w:r w:rsidR="00C7248F">
        <w:rPr>
          <w:color w:val="000000"/>
          <w:sz w:val="26"/>
          <w:szCs w:val="26"/>
        </w:rPr>
        <w:t>January 13, 2020</w:t>
      </w:r>
      <w:r w:rsidRPr="003B01F3">
        <w:rPr>
          <w:color w:val="000000"/>
          <w:sz w:val="26"/>
          <w:szCs w:val="26"/>
        </w:rPr>
        <w:t xml:space="preserve">, PPL filed an Answer to the Amended Complaint denying all of the material allegations of the </w:t>
      </w:r>
      <w:r w:rsidR="009D6276">
        <w:rPr>
          <w:color w:val="000000"/>
          <w:sz w:val="26"/>
          <w:szCs w:val="26"/>
        </w:rPr>
        <w:t xml:space="preserve">Amended </w:t>
      </w:r>
      <w:r w:rsidRPr="003B01F3">
        <w:rPr>
          <w:color w:val="000000"/>
          <w:sz w:val="26"/>
          <w:szCs w:val="26"/>
        </w:rPr>
        <w:t>Complaint.  Answer to Amended Complaint at 1-</w:t>
      </w:r>
      <w:r w:rsidR="00C7248F">
        <w:rPr>
          <w:color w:val="000000"/>
          <w:sz w:val="26"/>
          <w:szCs w:val="26"/>
        </w:rPr>
        <w:t>15</w:t>
      </w:r>
      <w:r w:rsidRPr="003B01F3">
        <w:rPr>
          <w:color w:val="000000"/>
          <w:sz w:val="26"/>
          <w:szCs w:val="26"/>
        </w:rPr>
        <w:t>; I.D. at 2.</w:t>
      </w:r>
    </w:p>
    <w:p w14:paraId="4ADCD01E" w14:textId="77777777" w:rsidR="003B01F3" w:rsidRPr="00481242" w:rsidRDefault="003B01F3" w:rsidP="00AE0B6D">
      <w:pPr>
        <w:widowControl/>
        <w:spacing w:line="360" w:lineRule="auto"/>
        <w:ind w:firstLine="1440"/>
        <w:contextualSpacing/>
        <w:textAlignment w:val="baseline"/>
        <w:rPr>
          <w:color w:val="000000" w:themeColor="text1"/>
          <w:sz w:val="26"/>
          <w:szCs w:val="26"/>
        </w:rPr>
      </w:pPr>
    </w:p>
    <w:p w14:paraId="5063A6A3" w14:textId="30FCC114" w:rsidR="00AE0B6D" w:rsidRDefault="005A4D79" w:rsidP="00AE0B6D">
      <w:pPr>
        <w:widowControl/>
        <w:spacing w:line="360" w:lineRule="auto"/>
        <w:ind w:left="72" w:right="72" w:firstLine="1440"/>
        <w:contextualSpacing/>
        <w:textAlignment w:val="baseline"/>
        <w:rPr>
          <w:color w:val="000000" w:themeColor="text1"/>
          <w:sz w:val="26"/>
          <w:szCs w:val="26"/>
        </w:rPr>
      </w:pPr>
      <w:r w:rsidRPr="00481242">
        <w:rPr>
          <w:color w:val="000000" w:themeColor="text1"/>
          <w:sz w:val="26"/>
          <w:szCs w:val="26"/>
        </w:rPr>
        <w:t xml:space="preserve"> </w:t>
      </w:r>
      <w:r w:rsidR="0014439C" w:rsidRPr="00481242">
        <w:rPr>
          <w:color w:val="000000" w:themeColor="text1"/>
          <w:sz w:val="26"/>
          <w:szCs w:val="26"/>
        </w:rPr>
        <w:t>O</w:t>
      </w:r>
      <w:r w:rsidRPr="00481242">
        <w:rPr>
          <w:color w:val="000000" w:themeColor="text1"/>
          <w:sz w:val="26"/>
          <w:szCs w:val="26"/>
        </w:rPr>
        <w:t xml:space="preserve">n </w:t>
      </w:r>
      <w:r w:rsidR="00BC0694">
        <w:rPr>
          <w:color w:val="000000" w:themeColor="text1"/>
          <w:sz w:val="26"/>
          <w:szCs w:val="26"/>
        </w:rPr>
        <w:t>January 14, 2020</w:t>
      </w:r>
      <w:r w:rsidRPr="00481242">
        <w:rPr>
          <w:color w:val="000000" w:themeColor="text1"/>
          <w:sz w:val="26"/>
          <w:szCs w:val="26"/>
        </w:rPr>
        <w:t xml:space="preserve">, </w:t>
      </w:r>
      <w:r w:rsidR="0014439C" w:rsidRPr="00481242">
        <w:rPr>
          <w:color w:val="000000" w:themeColor="text1"/>
          <w:sz w:val="26"/>
          <w:szCs w:val="26"/>
        </w:rPr>
        <w:t>an evidentiary hearing was held</w:t>
      </w:r>
      <w:r w:rsidR="0085450C">
        <w:rPr>
          <w:color w:val="000000" w:themeColor="text1"/>
          <w:sz w:val="26"/>
          <w:szCs w:val="26"/>
        </w:rPr>
        <w:t xml:space="preserve"> as scheduled</w:t>
      </w:r>
      <w:r w:rsidR="003703DD" w:rsidRPr="00481242">
        <w:rPr>
          <w:color w:val="000000" w:themeColor="text1"/>
          <w:sz w:val="26"/>
          <w:szCs w:val="26"/>
        </w:rPr>
        <w:t>.</w:t>
      </w:r>
      <w:r w:rsidR="0014439C" w:rsidRPr="00481242">
        <w:rPr>
          <w:color w:val="000000" w:themeColor="text1"/>
          <w:sz w:val="26"/>
          <w:szCs w:val="26"/>
        </w:rPr>
        <w:t xml:space="preserve">  The </w:t>
      </w:r>
      <w:r w:rsidRPr="00481242">
        <w:rPr>
          <w:color w:val="000000" w:themeColor="text1"/>
          <w:sz w:val="26"/>
          <w:szCs w:val="26"/>
        </w:rPr>
        <w:t xml:space="preserve">Complainant appeared </w:t>
      </w:r>
      <w:r w:rsidRPr="00481242">
        <w:rPr>
          <w:i/>
          <w:color w:val="000000" w:themeColor="text1"/>
          <w:sz w:val="26"/>
          <w:szCs w:val="26"/>
        </w:rPr>
        <w:t>pro se</w:t>
      </w:r>
      <w:r w:rsidRPr="00481242">
        <w:rPr>
          <w:iCs/>
          <w:color w:val="000000" w:themeColor="text1"/>
          <w:sz w:val="26"/>
          <w:szCs w:val="26"/>
        </w:rPr>
        <w:t xml:space="preserve">, testified on </w:t>
      </w:r>
      <w:r w:rsidR="00DD2BCB">
        <w:rPr>
          <w:iCs/>
          <w:color w:val="000000" w:themeColor="text1"/>
          <w:sz w:val="26"/>
          <w:szCs w:val="26"/>
        </w:rPr>
        <w:t>his</w:t>
      </w:r>
      <w:r w:rsidRPr="00481242">
        <w:rPr>
          <w:iCs/>
          <w:color w:val="000000" w:themeColor="text1"/>
          <w:sz w:val="26"/>
          <w:szCs w:val="26"/>
        </w:rPr>
        <w:t xml:space="preserve"> behalf,</w:t>
      </w:r>
      <w:r w:rsidRPr="00481242">
        <w:rPr>
          <w:i/>
          <w:color w:val="000000" w:themeColor="text1"/>
          <w:sz w:val="26"/>
          <w:szCs w:val="26"/>
        </w:rPr>
        <w:t xml:space="preserve"> </w:t>
      </w:r>
      <w:r w:rsidRPr="00481242">
        <w:rPr>
          <w:iCs/>
          <w:color w:val="000000" w:themeColor="text1"/>
          <w:sz w:val="26"/>
          <w:szCs w:val="26"/>
        </w:rPr>
        <w:t xml:space="preserve">and </w:t>
      </w:r>
      <w:r w:rsidR="003A642A">
        <w:rPr>
          <w:iCs/>
          <w:color w:val="000000" w:themeColor="text1"/>
          <w:sz w:val="26"/>
          <w:szCs w:val="26"/>
        </w:rPr>
        <w:t>attempted to present three exhibits</w:t>
      </w:r>
      <w:r w:rsidR="003D4353">
        <w:rPr>
          <w:iCs/>
          <w:color w:val="000000" w:themeColor="text1"/>
          <w:sz w:val="26"/>
          <w:szCs w:val="26"/>
        </w:rPr>
        <w:t>, but upon objection by PPL, the exhibits were not admitted into the record</w:t>
      </w:r>
      <w:r w:rsidR="00266BFC" w:rsidRPr="00481242">
        <w:rPr>
          <w:color w:val="000000" w:themeColor="text1"/>
          <w:sz w:val="26"/>
          <w:szCs w:val="26"/>
        </w:rPr>
        <w:t>.</w:t>
      </w:r>
      <w:r w:rsidR="00702B40">
        <w:rPr>
          <w:rStyle w:val="FootnoteReference"/>
          <w:color w:val="000000" w:themeColor="text1"/>
          <w:sz w:val="26"/>
          <w:szCs w:val="26"/>
        </w:rPr>
        <w:footnoteReference w:id="2"/>
      </w:r>
      <w:r w:rsidR="00226FE0" w:rsidRPr="00481242">
        <w:rPr>
          <w:color w:val="000000" w:themeColor="text1"/>
          <w:sz w:val="26"/>
          <w:szCs w:val="26"/>
        </w:rPr>
        <w:t xml:space="preserve">  </w:t>
      </w:r>
      <w:r w:rsidRPr="00481242">
        <w:rPr>
          <w:color w:val="000000" w:themeColor="text1"/>
          <w:sz w:val="26"/>
          <w:szCs w:val="26"/>
        </w:rPr>
        <w:t xml:space="preserve">The Company was represented by counsel and presented the testimony of four witnesses: </w:t>
      </w:r>
      <w:r w:rsidR="001008D8">
        <w:rPr>
          <w:color w:val="000000" w:themeColor="text1"/>
          <w:sz w:val="26"/>
          <w:szCs w:val="26"/>
        </w:rPr>
        <w:t xml:space="preserve"> </w:t>
      </w:r>
      <w:r w:rsidR="00C44237" w:rsidRPr="00481242">
        <w:rPr>
          <w:color w:val="000000" w:themeColor="text1"/>
          <w:sz w:val="26"/>
          <w:szCs w:val="26"/>
        </w:rPr>
        <w:t>(</w:t>
      </w:r>
      <w:r w:rsidR="00137E12">
        <w:rPr>
          <w:color w:val="000000" w:themeColor="text1"/>
          <w:sz w:val="26"/>
          <w:szCs w:val="26"/>
        </w:rPr>
        <w:t>1</w:t>
      </w:r>
      <w:r w:rsidR="00C44237" w:rsidRPr="00481242">
        <w:rPr>
          <w:color w:val="000000" w:themeColor="text1"/>
          <w:sz w:val="26"/>
          <w:szCs w:val="26"/>
        </w:rPr>
        <w:t xml:space="preserve">) </w:t>
      </w:r>
      <w:r w:rsidRPr="00481242">
        <w:rPr>
          <w:color w:val="000000" w:themeColor="text1"/>
          <w:sz w:val="26"/>
          <w:szCs w:val="26"/>
        </w:rPr>
        <w:t>Christop</w:t>
      </w:r>
      <w:r w:rsidR="00DD2BCB">
        <w:rPr>
          <w:color w:val="000000" w:themeColor="text1"/>
          <w:sz w:val="26"/>
          <w:szCs w:val="26"/>
        </w:rPr>
        <w:t>h</w:t>
      </w:r>
      <w:r w:rsidR="00704416">
        <w:rPr>
          <w:color w:val="000000" w:themeColor="text1"/>
          <w:sz w:val="26"/>
          <w:szCs w:val="26"/>
        </w:rPr>
        <w:t xml:space="preserve">er </w:t>
      </w:r>
      <w:r w:rsidR="00137E12">
        <w:rPr>
          <w:color w:val="000000" w:themeColor="text1"/>
          <w:sz w:val="26"/>
          <w:szCs w:val="26"/>
        </w:rPr>
        <w:t xml:space="preserve">C. </w:t>
      </w:r>
      <w:r w:rsidRPr="00481242">
        <w:rPr>
          <w:color w:val="000000" w:themeColor="text1"/>
          <w:sz w:val="26"/>
          <w:szCs w:val="26"/>
        </w:rPr>
        <w:t>Davis, Ph.D.</w:t>
      </w:r>
      <w:r w:rsidR="00C44237" w:rsidRPr="00481242">
        <w:rPr>
          <w:color w:val="000000" w:themeColor="text1"/>
          <w:sz w:val="26"/>
          <w:szCs w:val="26"/>
        </w:rPr>
        <w:t>;</w:t>
      </w:r>
      <w:r w:rsidRPr="00481242">
        <w:rPr>
          <w:color w:val="000000" w:themeColor="text1"/>
          <w:sz w:val="26"/>
          <w:szCs w:val="26"/>
        </w:rPr>
        <w:t xml:space="preserve"> </w:t>
      </w:r>
      <w:r w:rsidR="00C44237" w:rsidRPr="00481242">
        <w:rPr>
          <w:color w:val="000000" w:themeColor="text1"/>
          <w:sz w:val="26"/>
          <w:szCs w:val="26"/>
        </w:rPr>
        <w:t>(</w:t>
      </w:r>
      <w:r w:rsidR="00137E12">
        <w:rPr>
          <w:color w:val="000000" w:themeColor="text1"/>
          <w:sz w:val="26"/>
          <w:szCs w:val="26"/>
        </w:rPr>
        <w:t>2</w:t>
      </w:r>
      <w:r w:rsidR="00C44237" w:rsidRPr="00481242">
        <w:rPr>
          <w:color w:val="000000" w:themeColor="text1"/>
          <w:sz w:val="26"/>
          <w:szCs w:val="26"/>
        </w:rPr>
        <w:t xml:space="preserve">) </w:t>
      </w:r>
      <w:r w:rsidRPr="00481242">
        <w:rPr>
          <w:color w:val="000000" w:themeColor="text1"/>
          <w:sz w:val="26"/>
          <w:szCs w:val="26"/>
        </w:rPr>
        <w:t>Mark Israel, M.D.</w:t>
      </w:r>
      <w:r w:rsidR="006D3D1F">
        <w:rPr>
          <w:color w:val="000000" w:themeColor="text1"/>
          <w:sz w:val="26"/>
          <w:szCs w:val="26"/>
        </w:rPr>
        <w:t xml:space="preserve">; </w:t>
      </w:r>
      <w:r w:rsidR="006D3D1F" w:rsidRPr="00481242">
        <w:rPr>
          <w:color w:val="000000" w:themeColor="text1"/>
          <w:sz w:val="26"/>
          <w:szCs w:val="26"/>
        </w:rPr>
        <w:t>(</w:t>
      </w:r>
      <w:r w:rsidR="006D3D1F">
        <w:rPr>
          <w:color w:val="000000" w:themeColor="text1"/>
          <w:sz w:val="26"/>
          <w:szCs w:val="26"/>
        </w:rPr>
        <w:t>3</w:t>
      </w:r>
      <w:r w:rsidR="006D3D1F" w:rsidRPr="00481242">
        <w:rPr>
          <w:color w:val="000000" w:themeColor="text1"/>
          <w:sz w:val="26"/>
          <w:szCs w:val="26"/>
        </w:rPr>
        <w:t>) Kevin Durkin;</w:t>
      </w:r>
      <w:r w:rsidR="006D3D1F">
        <w:rPr>
          <w:color w:val="000000" w:themeColor="text1"/>
          <w:sz w:val="26"/>
          <w:szCs w:val="26"/>
        </w:rPr>
        <w:t xml:space="preserve"> and</w:t>
      </w:r>
      <w:r w:rsidR="006D3D1F" w:rsidRPr="00481242">
        <w:rPr>
          <w:color w:val="000000" w:themeColor="text1"/>
          <w:sz w:val="26"/>
          <w:szCs w:val="26"/>
        </w:rPr>
        <w:t xml:space="preserve"> (</w:t>
      </w:r>
      <w:r w:rsidR="006D3D1F">
        <w:rPr>
          <w:color w:val="000000" w:themeColor="text1"/>
          <w:sz w:val="26"/>
          <w:szCs w:val="26"/>
        </w:rPr>
        <w:t>4</w:t>
      </w:r>
      <w:r w:rsidR="006D3D1F" w:rsidRPr="00481242">
        <w:rPr>
          <w:color w:val="000000" w:themeColor="text1"/>
          <w:sz w:val="26"/>
          <w:szCs w:val="26"/>
        </w:rPr>
        <w:t xml:space="preserve">) </w:t>
      </w:r>
      <w:r w:rsidR="00055C52">
        <w:rPr>
          <w:color w:val="000000" w:themeColor="text1"/>
          <w:sz w:val="26"/>
          <w:szCs w:val="26"/>
        </w:rPr>
        <w:t>Michael Asbury</w:t>
      </w:r>
      <w:r w:rsidR="006D3D1F">
        <w:rPr>
          <w:color w:val="000000" w:themeColor="text1"/>
          <w:sz w:val="26"/>
          <w:szCs w:val="26"/>
        </w:rPr>
        <w:t xml:space="preserve">.  </w:t>
      </w:r>
      <w:r w:rsidRPr="00481242">
        <w:rPr>
          <w:color w:val="000000" w:themeColor="text1"/>
          <w:sz w:val="26"/>
          <w:szCs w:val="26"/>
        </w:rPr>
        <w:t xml:space="preserve">PPL also offered </w:t>
      </w:r>
      <w:r w:rsidR="005B7A5B" w:rsidRPr="00481242">
        <w:rPr>
          <w:color w:val="000000" w:themeColor="text1"/>
          <w:sz w:val="26"/>
          <w:szCs w:val="26"/>
        </w:rPr>
        <w:t>sixteen</w:t>
      </w:r>
      <w:r w:rsidRPr="00481242">
        <w:rPr>
          <w:color w:val="000000" w:themeColor="text1"/>
          <w:sz w:val="26"/>
          <w:szCs w:val="26"/>
        </w:rPr>
        <w:t xml:space="preserve"> exhibits</w:t>
      </w:r>
      <w:r w:rsidR="0085450C">
        <w:rPr>
          <w:color w:val="000000" w:themeColor="text1"/>
          <w:sz w:val="26"/>
          <w:szCs w:val="26"/>
        </w:rPr>
        <w:t>,</w:t>
      </w:r>
      <w:r w:rsidRPr="00481242">
        <w:rPr>
          <w:color w:val="000000" w:themeColor="text1"/>
          <w:sz w:val="26"/>
          <w:szCs w:val="26"/>
        </w:rPr>
        <w:t xml:space="preserve"> which were admitted into the record as follows: </w:t>
      </w:r>
      <w:r w:rsidR="004B5D5E">
        <w:rPr>
          <w:color w:val="000000" w:themeColor="text1"/>
          <w:sz w:val="26"/>
          <w:szCs w:val="26"/>
        </w:rPr>
        <w:t xml:space="preserve"> </w:t>
      </w:r>
      <w:r w:rsidRPr="00481242">
        <w:rPr>
          <w:color w:val="000000" w:themeColor="text1"/>
          <w:sz w:val="26"/>
          <w:szCs w:val="26"/>
        </w:rPr>
        <w:t xml:space="preserve">PPL’s Statements 1-4 and Exhibits CD-1 – CD-5; MI-1-MI-3; KD-1-KD-6 </w:t>
      </w:r>
      <w:r w:rsidRPr="00CF7CA6">
        <w:rPr>
          <w:color w:val="000000" w:themeColor="text1"/>
          <w:sz w:val="26"/>
          <w:szCs w:val="26"/>
        </w:rPr>
        <w:t xml:space="preserve">and </w:t>
      </w:r>
      <w:r w:rsidR="00CF7CA6" w:rsidRPr="00CF7CA6">
        <w:rPr>
          <w:color w:val="000000" w:themeColor="text1"/>
          <w:sz w:val="26"/>
          <w:szCs w:val="26"/>
        </w:rPr>
        <w:t>DV</w:t>
      </w:r>
      <w:r w:rsidRPr="00CF7CA6">
        <w:rPr>
          <w:color w:val="000000" w:themeColor="text1"/>
          <w:sz w:val="26"/>
          <w:szCs w:val="26"/>
        </w:rPr>
        <w:t>-1.</w:t>
      </w:r>
      <w:r w:rsidR="008A7E45" w:rsidRPr="00481242">
        <w:rPr>
          <w:rStyle w:val="FootnoteReference"/>
          <w:color w:val="000000" w:themeColor="text1"/>
          <w:sz w:val="26"/>
          <w:szCs w:val="26"/>
        </w:rPr>
        <w:footnoteReference w:id="3"/>
      </w:r>
      <w:r w:rsidRPr="00481242">
        <w:rPr>
          <w:color w:val="000000" w:themeColor="text1"/>
          <w:sz w:val="26"/>
          <w:szCs w:val="26"/>
        </w:rPr>
        <w:t xml:space="preserve">  </w:t>
      </w:r>
    </w:p>
    <w:p w14:paraId="0A3408A8" w14:textId="77777777" w:rsidR="00AE0B6D" w:rsidRDefault="00AE0B6D" w:rsidP="00AE0B6D">
      <w:pPr>
        <w:widowControl/>
        <w:spacing w:line="360" w:lineRule="auto"/>
        <w:ind w:left="72" w:right="72" w:firstLine="1440"/>
        <w:contextualSpacing/>
        <w:textAlignment w:val="baseline"/>
        <w:rPr>
          <w:color w:val="000000" w:themeColor="text1"/>
          <w:sz w:val="26"/>
          <w:szCs w:val="26"/>
        </w:rPr>
      </w:pPr>
    </w:p>
    <w:p w14:paraId="7BFCCD89" w14:textId="7541187B" w:rsidR="00B9344A" w:rsidRPr="00481242" w:rsidRDefault="005A4D79" w:rsidP="00AE0B6D">
      <w:pPr>
        <w:widowControl/>
        <w:spacing w:line="360" w:lineRule="auto"/>
        <w:ind w:left="72" w:right="72" w:firstLine="1440"/>
        <w:contextualSpacing/>
        <w:textAlignment w:val="baseline"/>
        <w:rPr>
          <w:color w:val="000000" w:themeColor="text1"/>
          <w:sz w:val="26"/>
          <w:szCs w:val="26"/>
        </w:rPr>
      </w:pPr>
      <w:r w:rsidRPr="00481242">
        <w:rPr>
          <w:color w:val="000000" w:themeColor="text1"/>
          <w:sz w:val="26"/>
          <w:szCs w:val="26"/>
        </w:rPr>
        <w:t>The hearing produced a</w:t>
      </w:r>
      <w:r w:rsidR="00024ECF">
        <w:rPr>
          <w:color w:val="000000" w:themeColor="text1"/>
          <w:sz w:val="26"/>
          <w:szCs w:val="26"/>
        </w:rPr>
        <w:t xml:space="preserve"> transcript </w:t>
      </w:r>
      <w:r w:rsidR="0061283A">
        <w:rPr>
          <w:color w:val="000000" w:themeColor="text1"/>
          <w:sz w:val="26"/>
          <w:szCs w:val="26"/>
        </w:rPr>
        <w:t xml:space="preserve">consisting </w:t>
      </w:r>
      <w:r w:rsidR="00024ECF">
        <w:rPr>
          <w:color w:val="000000" w:themeColor="text1"/>
          <w:sz w:val="26"/>
          <w:szCs w:val="26"/>
        </w:rPr>
        <w:t xml:space="preserve">of </w:t>
      </w:r>
      <w:r w:rsidR="0043289E">
        <w:rPr>
          <w:color w:val="000000" w:themeColor="text1"/>
          <w:sz w:val="26"/>
          <w:szCs w:val="26"/>
        </w:rPr>
        <w:t>nine</w:t>
      </w:r>
      <w:r w:rsidR="005F5FA6">
        <w:rPr>
          <w:color w:val="000000" w:themeColor="text1"/>
          <w:sz w:val="26"/>
          <w:szCs w:val="26"/>
        </w:rPr>
        <w:t>ty-two</w:t>
      </w:r>
      <w:r w:rsidRPr="00481242">
        <w:rPr>
          <w:color w:val="000000" w:themeColor="text1"/>
          <w:sz w:val="26"/>
          <w:szCs w:val="26"/>
        </w:rPr>
        <w:t xml:space="preserve"> </w:t>
      </w:r>
      <w:r w:rsidR="005D5E32" w:rsidRPr="00481242">
        <w:rPr>
          <w:color w:val="000000" w:themeColor="text1"/>
          <w:sz w:val="26"/>
          <w:szCs w:val="26"/>
        </w:rPr>
        <w:t>pages</w:t>
      </w:r>
      <w:r w:rsidR="00443B7A">
        <w:rPr>
          <w:color w:val="000000" w:themeColor="text1"/>
          <w:sz w:val="26"/>
          <w:szCs w:val="26"/>
        </w:rPr>
        <w:t xml:space="preserve">.  </w:t>
      </w:r>
      <w:r w:rsidR="001E0591">
        <w:rPr>
          <w:color w:val="000000" w:themeColor="text1"/>
          <w:sz w:val="26"/>
          <w:szCs w:val="26"/>
        </w:rPr>
        <w:t>T</w:t>
      </w:r>
      <w:r w:rsidR="00EA1A0D">
        <w:rPr>
          <w:color w:val="000000" w:themeColor="text1"/>
          <w:sz w:val="26"/>
          <w:szCs w:val="26"/>
        </w:rPr>
        <w:t>he record was closed</w:t>
      </w:r>
      <w:r w:rsidR="00B1070E">
        <w:rPr>
          <w:color w:val="000000" w:themeColor="text1"/>
          <w:sz w:val="26"/>
          <w:szCs w:val="26"/>
        </w:rPr>
        <w:t xml:space="preserve"> on January 31, 2020.</w:t>
      </w:r>
      <w:r w:rsidR="008D4991">
        <w:rPr>
          <w:rStyle w:val="FootnoteReference"/>
          <w:color w:val="000000" w:themeColor="text1"/>
          <w:sz w:val="26"/>
          <w:szCs w:val="26"/>
        </w:rPr>
        <w:footnoteReference w:id="4"/>
      </w:r>
      <w:r w:rsidR="00B9344A" w:rsidRPr="00481242">
        <w:rPr>
          <w:color w:val="000000" w:themeColor="text1"/>
          <w:sz w:val="26"/>
          <w:szCs w:val="26"/>
        </w:rPr>
        <w:t xml:space="preserve"> </w:t>
      </w:r>
    </w:p>
    <w:p w14:paraId="2C65EF97" w14:textId="77777777" w:rsidR="00B9344A" w:rsidRPr="00481242" w:rsidRDefault="00B9344A" w:rsidP="00AE0B6D">
      <w:pPr>
        <w:widowControl/>
        <w:spacing w:line="360" w:lineRule="auto"/>
        <w:ind w:firstLine="1440"/>
        <w:contextualSpacing/>
        <w:rPr>
          <w:rFonts w:eastAsiaTheme="minorHAnsi"/>
          <w:color w:val="000000" w:themeColor="text1"/>
          <w:sz w:val="26"/>
          <w:szCs w:val="26"/>
        </w:rPr>
      </w:pPr>
    </w:p>
    <w:p w14:paraId="1EE98216" w14:textId="64F02B93" w:rsidR="00965C3B" w:rsidRPr="00481242" w:rsidRDefault="004121F7" w:rsidP="00AE0B6D">
      <w:pPr>
        <w:widowControl/>
        <w:spacing w:line="360" w:lineRule="auto"/>
        <w:ind w:firstLine="1440"/>
        <w:contextualSpacing/>
        <w:rPr>
          <w:rFonts w:eastAsiaTheme="minorHAnsi"/>
          <w:color w:val="000000" w:themeColor="text1"/>
          <w:sz w:val="26"/>
          <w:szCs w:val="26"/>
        </w:rPr>
      </w:pPr>
      <w:r w:rsidRPr="00481242">
        <w:rPr>
          <w:rFonts w:eastAsiaTheme="minorHAnsi"/>
          <w:color w:val="000000" w:themeColor="text1"/>
          <w:sz w:val="26"/>
          <w:szCs w:val="26"/>
        </w:rPr>
        <w:lastRenderedPageBreak/>
        <w:t xml:space="preserve">In the Initial Decision </w:t>
      </w:r>
      <w:r w:rsidR="001B4898" w:rsidRPr="00481242">
        <w:rPr>
          <w:rFonts w:eastAsiaTheme="minorHAnsi"/>
          <w:color w:val="000000" w:themeColor="text1"/>
          <w:sz w:val="26"/>
          <w:szCs w:val="26"/>
        </w:rPr>
        <w:t xml:space="preserve">issued </w:t>
      </w:r>
      <w:r w:rsidRPr="00481242">
        <w:rPr>
          <w:rFonts w:eastAsiaTheme="minorHAnsi"/>
          <w:color w:val="000000" w:themeColor="text1"/>
          <w:sz w:val="26"/>
          <w:szCs w:val="26"/>
        </w:rPr>
        <w:t xml:space="preserve">on </w:t>
      </w:r>
      <w:r w:rsidR="000C22D7">
        <w:rPr>
          <w:color w:val="000000" w:themeColor="text1"/>
          <w:sz w:val="26"/>
          <w:szCs w:val="26"/>
        </w:rPr>
        <w:t>March 6, 2020</w:t>
      </w:r>
      <w:r w:rsidR="00B9344A" w:rsidRPr="00481242">
        <w:rPr>
          <w:rFonts w:eastAsiaTheme="minorHAnsi"/>
          <w:color w:val="000000" w:themeColor="text1"/>
          <w:sz w:val="26"/>
          <w:szCs w:val="26"/>
        </w:rPr>
        <w:t xml:space="preserve">, </w:t>
      </w:r>
      <w:r w:rsidR="00186CEC" w:rsidRPr="00481242">
        <w:rPr>
          <w:rFonts w:eastAsiaTheme="minorHAnsi"/>
          <w:color w:val="000000" w:themeColor="text1"/>
          <w:sz w:val="26"/>
          <w:szCs w:val="26"/>
        </w:rPr>
        <w:t xml:space="preserve">the </w:t>
      </w:r>
      <w:r w:rsidRPr="00481242">
        <w:rPr>
          <w:rFonts w:eastAsiaTheme="minorHAnsi"/>
          <w:color w:val="000000" w:themeColor="text1"/>
          <w:sz w:val="26"/>
          <w:szCs w:val="26"/>
        </w:rPr>
        <w:t xml:space="preserve">ALJ dismissed the </w:t>
      </w:r>
      <w:r w:rsidR="007068D0">
        <w:rPr>
          <w:rFonts w:eastAsiaTheme="minorHAnsi"/>
          <w:color w:val="000000" w:themeColor="text1"/>
          <w:sz w:val="26"/>
          <w:szCs w:val="26"/>
        </w:rPr>
        <w:t xml:space="preserve">Amended </w:t>
      </w:r>
      <w:r w:rsidRPr="00481242">
        <w:rPr>
          <w:rFonts w:eastAsiaTheme="minorHAnsi"/>
          <w:color w:val="000000" w:themeColor="text1"/>
          <w:sz w:val="26"/>
          <w:szCs w:val="26"/>
        </w:rPr>
        <w:t>Complaint for failing to prove</w:t>
      </w:r>
      <w:r w:rsidR="00696F3C">
        <w:rPr>
          <w:rFonts w:eastAsiaTheme="minorHAnsi"/>
          <w:color w:val="000000" w:themeColor="text1"/>
          <w:sz w:val="26"/>
          <w:szCs w:val="26"/>
        </w:rPr>
        <w:t>,</w:t>
      </w:r>
      <w:r w:rsidRPr="00481242">
        <w:rPr>
          <w:rFonts w:eastAsiaTheme="minorHAnsi"/>
          <w:color w:val="000000" w:themeColor="text1"/>
          <w:sz w:val="26"/>
          <w:szCs w:val="26"/>
        </w:rPr>
        <w:t xml:space="preserve"> by a preponderance of the evidence</w:t>
      </w:r>
      <w:r w:rsidR="00696F3C">
        <w:rPr>
          <w:rFonts w:eastAsiaTheme="minorHAnsi"/>
          <w:color w:val="000000" w:themeColor="text1"/>
          <w:sz w:val="26"/>
          <w:szCs w:val="26"/>
        </w:rPr>
        <w:t>,</w:t>
      </w:r>
      <w:r w:rsidRPr="00481242">
        <w:rPr>
          <w:rFonts w:eastAsiaTheme="minorHAnsi"/>
          <w:color w:val="000000" w:themeColor="text1"/>
          <w:sz w:val="26"/>
          <w:szCs w:val="26"/>
        </w:rPr>
        <w:t xml:space="preserve"> that the installation of the smart meter constitutes unsafe or unreasonable service under Section</w:t>
      </w:r>
      <w:r w:rsidR="00E6540F">
        <w:rPr>
          <w:rFonts w:eastAsiaTheme="minorHAnsi"/>
          <w:color w:val="000000" w:themeColor="text1"/>
          <w:sz w:val="26"/>
          <w:szCs w:val="26"/>
        </w:rPr>
        <w:t> </w:t>
      </w:r>
      <w:r w:rsidRPr="00481242">
        <w:rPr>
          <w:rFonts w:eastAsiaTheme="minorHAnsi"/>
          <w:color w:val="000000" w:themeColor="text1"/>
          <w:sz w:val="26"/>
          <w:szCs w:val="26"/>
        </w:rPr>
        <w:t>1501 of the Code</w:t>
      </w:r>
      <w:r w:rsidR="0084004E">
        <w:rPr>
          <w:rFonts w:eastAsiaTheme="minorHAnsi"/>
          <w:color w:val="000000" w:themeColor="text1"/>
          <w:sz w:val="26"/>
          <w:szCs w:val="26"/>
        </w:rPr>
        <w:t>, 66 Pa.</w:t>
      </w:r>
      <w:r w:rsidR="004F2AFB">
        <w:rPr>
          <w:rFonts w:eastAsiaTheme="minorHAnsi"/>
          <w:color w:val="000000" w:themeColor="text1"/>
          <w:sz w:val="26"/>
          <w:szCs w:val="26"/>
        </w:rPr>
        <w:t xml:space="preserve"> </w:t>
      </w:r>
      <w:r w:rsidR="0084004E">
        <w:rPr>
          <w:rFonts w:eastAsiaTheme="minorHAnsi"/>
          <w:color w:val="000000" w:themeColor="text1"/>
          <w:sz w:val="26"/>
          <w:szCs w:val="26"/>
        </w:rPr>
        <w:t xml:space="preserve">C.S. </w:t>
      </w:r>
      <w:r w:rsidR="0084004E" w:rsidRPr="00481242">
        <w:rPr>
          <w:color w:val="000000" w:themeColor="text1"/>
          <w:sz w:val="26"/>
          <w:szCs w:val="26"/>
        </w:rPr>
        <w:t>§</w:t>
      </w:r>
      <w:r w:rsidR="00F3705D">
        <w:rPr>
          <w:color w:val="000000" w:themeColor="text1"/>
          <w:sz w:val="26"/>
          <w:szCs w:val="26"/>
        </w:rPr>
        <w:t xml:space="preserve"> 1501,</w:t>
      </w:r>
      <w:r w:rsidR="0084004E" w:rsidRPr="00481242">
        <w:rPr>
          <w:color w:val="000000" w:themeColor="text1"/>
          <w:sz w:val="26"/>
          <w:szCs w:val="26"/>
        </w:rPr>
        <w:t> </w:t>
      </w:r>
      <w:r w:rsidRPr="00481242">
        <w:rPr>
          <w:rFonts w:eastAsiaTheme="minorHAnsi"/>
          <w:color w:val="000000" w:themeColor="text1"/>
          <w:sz w:val="26"/>
          <w:szCs w:val="26"/>
        </w:rPr>
        <w:t xml:space="preserve">or that it </w:t>
      </w:r>
      <w:r w:rsidR="00965C3B" w:rsidRPr="00481242">
        <w:rPr>
          <w:rFonts w:eastAsiaTheme="minorHAnsi"/>
          <w:color w:val="000000" w:themeColor="text1"/>
          <w:sz w:val="26"/>
          <w:szCs w:val="26"/>
        </w:rPr>
        <w:t>violates any ot</w:t>
      </w:r>
      <w:r w:rsidR="00DD2BCB">
        <w:rPr>
          <w:rFonts w:eastAsiaTheme="minorHAnsi"/>
          <w:color w:val="000000" w:themeColor="text1"/>
          <w:sz w:val="26"/>
          <w:szCs w:val="26"/>
        </w:rPr>
        <w:t>h</w:t>
      </w:r>
      <w:r w:rsidR="00E27BA0">
        <w:rPr>
          <w:rFonts w:eastAsiaTheme="minorHAnsi"/>
          <w:color w:val="000000" w:themeColor="text1"/>
          <w:sz w:val="26"/>
          <w:szCs w:val="26"/>
        </w:rPr>
        <w:t>er</w:t>
      </w:r>
      <w:r w:rsidR="00965C3B" w:rsidRPr="00481242">
        <w:rPr>
          <w:rFonts w:eastAsiaTheme="minorHAnsi"/>
          <w:color w:val="000000" w:themeColor="text1"/>
          <w:sz w:val="26"/>
          <w:szCs w:val="26"/>
        </w:rPr>
        <w:t xml:space="preserve"> provision of the Code,</w:t>
      </w:r>
      <w:r w:rsidRPr="00481242">
        <w:rPr>
          <w:rFonts w:eastAsiaTheme="minorHAnsi"/>
          <w:color w:val="000000" w:themeColor="text1"/>
          <w:sz w:val="26"/>
          <w:szCs w:val="26"/>
        </w:rPr>
        <w:t xml:space="preserve"> Commission </w:t>
      </w:r>
      <w:r w:rsidR="006D44EF" w:rsidRPr="00481242">
        <w:rPr>
          <w:rFonts w:eastAsiaTheme="minorHAnsi"/>
          <w:color w:val="000000" w:themeColor="text1"/>
          <w:sz w:val="26"/>
          <w:szCs w:val="26"/>
        </w:rPr>
        <w:t>R</w:t>
      </w:r>
      <w:r w:rsidRPr="00481242">
        <w:rPr>
          <w:rFonts w:eastAsiaTheme="minorHAnsi"/>
          <w:color w:val="000000" w:themeColor="text1"/>
          <w:sz w:val="26"/>
          <w:szCs w:val="26"/>
        </w:rPr>
        <w:t>egulation</w:t>
      </w:r>
      <w:r w:rsidR="00965C3B" w:rsidRPr="00481242">
        <w:rPr>
          <w:rFonts w:eastAsiaTheme="minorHAnsi"/>
          <w:color w:val="000000" w:themeColor="text1"/>
          <w:sz w:val="26"/>
          <w:szCs w:val="26"/>
        </w:rPr>
        <w:t>, Commission</w:t>
      </w:r>
      <w:r w:rsidRPr="00481242">
        <w:rPr>
          <w:rFonts w:eastAsiaTheme="minorHAnsi"/>
          <w:color w:val="000000" w:themeColor="text1"/>
          <w:sz w:val="26"/>
          <w:szCs w:val="26"/>
        </w:rPr>
        <w:t xml:space="preserve"> </w:t>
      </w:r>
      <w:r w:rsidR="006D44EF" w:rsidRPr="00481242">
        <w:rPr>
          <w:rFonts w:eastAsiaTheme="minorHAnsi"/>
          <w:color w:val="000000" w:themeColor="text1"/>
          <w:sz w:val="26"/>
          <w:szCs w:val="26"/>
        </w:rPr>
        <w:t>O</w:t>
      </w:r>
      <w:r w:rsidRPr="00481242">
        <w:rPr>
          <w:rFonts w:eastAsiaTheme="minorHAnsi"/>
          <w:color w:val="000000" w:themeColor="text1"/>
          <w:sz w:val="26"/>
          <w:szCs w:val="26"/>
        </w:rPr>
        <w:t>rder</w:t>
      </w:r>
      <w:r w:rsidR="00965C3B" w:rsidRPr="00481242">
        <w:rPr>
          <w:rFonts w:eastAsiaTheme="minorHAnsi"/>
          <w:color w:val="000000" w:themeColor="text1"/>
          <w:sz w:val="26"/>
          <w:szCs w:val="26"/>
        </w:rPr>
        <w:t xml:space="preserve"> or Commission-approved Company tariff</w:t>
      </w:r>
      <w:r w:rsidR="00186CEC" w:rsidRPr="00481242">
        <w:rPr>
          <w:rFonts w:eastAsiaTheme="minorHAnsi"/>
          <w:color w:val="000000" w:themeColor="text1"/>
          <w:sz w:val="26"/>
          <w:szCs w:val="26"/>
        </w:rPr>
        <w:t>.</w:t>
      </w:r>
      <w:r w:rsidR="00E86C6A" w:rsidRPr="00481242">
        <w:rPr>
          <w:rFonts w:eastAsiaTheme="minorHAnsi"/>
          <w:color w:val="000000" w:themeColor="text1"/>
          <w:sz w:val="26"/>
          <w:szCs w:val="26"/>
        </w:rPr>
        <w:t xml:space="preserve">  </w:t>
      </w:r>
      <w:r w:rsidR="003530CD" w:rsidRPr="00481242">
        <w:rPr>
          <w:rFonts w:eastAsiaTheme="minorHAnsi"/>
          <w:color w:val="000000" w:themeColor="text1"/>
          <w:sz w:val="26"/>
          <w:szCs w:val="26"/>
        </w:rPr>
        <w:t xml:space="preserve">I.D. at 1, </w:t>
      </w:r>
      <w:r w:rsidR="006E0167">
        <w:rPr>
          <w:rFonts w:eastAsiaTheme="minorHAnsi"/>
          <w:color w:val="000000" w:themeColor="text1"/>
          <w:sz w:val="26"/>
          <w:szCs w:val="26"/>
        </w:rPr>
        <w:t>20</w:t>
      </w:r>
      <w:r w:rsidR="00615A4E" w:rsidRPr="00481242">
        <w:rPr>
          <w:rFonts w:eastAsiaTheme="minorHAnsi"/>
          <w:color w:val="000000" w:themeColor="text1"/>
          <w:sz w:val="26"/>
          <w:szCs w:val="26"/>
        </w:rPr>
        <w:t xml:space="preserve">, </w:t>
      </w:r>
      <w:r w:rsidR="00603855" w:rsidRPr="00481242">
        <w:rPr>
          <w:rFonts w:eastAsiaTheme="minorHAnsi"/>
          <w:color w:val="000000" w:themeColor="text1"/>
          <w:sz w:val="26"/>
          <w:szCs w:val="26"/>
        </w:rPr>
        <w:t>2</w:t>
      </w:r>
      <w:r w:rsidR="006E0167">
        <w:rPr>
          <w:rFonts w:eastAsiaTheme="minorHAnsi"/>
          <w:color w:val="000000" w:themeColor="text1"/>
          <w:sz w:val="26"/>
          <w:szCs w:val="26"/>
        </w:rPr>
        <w:t>4</w:t>
      </w:r>
      <w:r w:rsidR="00603855" w:rsidRPr="00481242">
        <w:rPr>
          <w:rFonts w:eastAsiaTheme="minorHAnsi"/>
          <w:color w:val="000000" w:themeColor="text1"/>
          <w:sz w:val="26"/>
          <w:szCs w:val="26"/>
        </w:rPr>
        <w:t>.</w:t>
      </w:r>
    </w:p>
    <w:p w14:paraId="779DE7D3" w14:textId="77777777" w:rsidR="00965C3B" w:rsidRPr="00481242" w:rsidRDefault="00965C3B" w:rsidP="00AE0B6D">
      <w:pPr>
        <w:widowControl/>
        <w:spacing w:line="360" w:lineRule="auto"/>
        <w:ind w:firstLine="1440"/>
        <w:contextualSpacing/>
        <w:rPr>
          <w:rFonts w:eastAsiaTheme="minorHAnsi"/>
          <w:color w:val="000000" w:themeColor="text1"/>
          <w:sz w:val="26"/>
          <w:szCs w:val="26"/>
        </w:rPr>
      </w:pPr>
    </w:p>
    <w:p w14:paraId="77F63014" w14:textId="27221DEC" w:rsidR="0020500D" w:rsidRDefault="00E86C6A" w:rsidP="00E6540F">
      <w:pPr>
        <w:widowControl/>
        <w:spacing w:line="360" w:lineRule="auto"/>
        <w:ind w:firstLine="1440"/>
        <w:contextualSpacing/>
        <w:rPr>
          <w:rFonts w:eastAsiaTheme="minorHAnsi"/>
          <w:color w:val="000000" w:themeColor="text1"/>
          <w:sz w:val="26"/>
          <w:szCs w:val="26"/>
        </w:rPr>
      </w:pPr>
      <w:r w:rsidRPr="00481242">
        <w:rPr>
          <w:rFonts w:eastAsiaTheme="minorHAnsi"/>
          <w:color w:val="000000" w:themeColor="text1"/>
          <w:sz w:val="26"/>
          <w:szCs w:val="26"/>
        </w:rPr>
        <w:t xml:space="preserve">As previously noted, the Complainant filed Exceptions on </w:t>
      </w:r>
      <w:r w:rsidR="000C22D7">
        <w:rPr>
          <w:color w:val="000000" w:themeColor="text1"/>
          <w:sz w:val="26"/>
          <w:szCs w:val="26"/>
        </w:rPr>
        <w:t>March 26</w:t>
      </w:r>
      <w:r w:rsidR="007B707A" w:rsidRPr="00481242">
        <w:rPr>
          <w:color w:val="000000" w:themeColor="text1"/>
          <w:sz w:val="26"/>
          <w:szCs w:val="26"/>
        </w:rPr>
        <w:t>, 20</w:t>
      </w:r>
      <w:r w:rsidR="00A70590" w:rsidRPr="00481242">
        <w:rPr>
          <w:color w:val="000000" w:themeColor="text1"/>
          <w:sz w:val="26"/>
          <w:szCs w:val="26"/>
        </w:rPr>
        <w:t>20</w:t>
      </w:r>
      <w:r w:rsidRPr="00481242">
        <w:rPr>
          <w:rFonts w:eastAsiaTheme="minorHAnsi"/>
          <w:color w:val="000000" w:themeColor="text1"/>
          <w:sz w:val="26"/>
          <w:szCs w:val="26"/>
        </w:rPr>
        <w:t>, and P</w:t>
      </w:r>
      <w:r w:rsidR="00B9344A" w:rsidRPr="00481242">
        <w:rPr>
          <w:rFonts w:eastAsiaTheme="minorHAnsi"/>
          <w:color w:val="000000" w:themeColor="text1"/>
          <w:sz w:val="26"/>
          <w:szCs w:val="26"/>
        </w:rPr>
        <w:t>PL</w:t>
      </w:r>
      <w:r w:rsidRPr="00481242">
        <w:rPr>
          <w:rFonts w:eastAsiaTheme="minorHAnsi"/>
          <w:color w:val="000000" w:themeColor="text1"/>
          <w:sz w:val="26"/>
          <w:szCs w:val="26"/>
        </w:rPr>
        <w:t xml:space="preserve"> filed Replies to Exceptions on </w:t>
      </w:r>
      <w:r w:rsidR="000C22D7">
        <w:rPr>
          <w:rFonts w:eastAsiaTheme="minorHAnsi"/>
          <w:color w:val="000000" w:themeColor="text1"/>
          <w:sz w:val="26"/>
          <w:szCs w:val="26"/>
        </w:rPr>
        <w:t>April 6</w:t>
      </w:r>
      <w:r w:rsidR="00B9344A" w:rsidRPr="00481242">
        <w:rPr>
          <w:rFonts w:eastAsiaTheme="minorHAnsi"/>
          <w:color w:val="000000" w:themeColor="text1"/>
          <w:sz w:val="26"/>
          <w:szCs w:val="26"/>
        </w:rPr>
        <w:t>, 20</w:t>
      </w:r>
      <w:r w:rsidR="00A70590" w:rsidRPr="00481242">
        <w:rPr>
          <w:rFonts w:eastAsiaTheme="minorHAnsi"/>
          <w:color w:val="000000" w:themeColor="text1"/>
          <w:sz w:val="26"/>
          <w:szCs w:val="26"/>
        </w:rPr>
        <w:t>20</w:t>
      </w:r>
      <w:r w:rsidRPr="00481242">
        <w:rPr>
          <w:rFonts w:eastAsiaTheme="minorHAnsi"/>
          <w:color w:val="000000" w:themeColor="text1"/>
          <w:sz w:val="26"/>
          <w:szCs w:val="26"/>
        </w:rPr>
        <w:t>.</w:t>
      </w:r>
      <w:r w:rsidR="009133D1" w:rsidRPr="00481242">
        <w:rPr>
          <w:rFonts w:eastAsiaTheme="minorHAnsi"/>
          <w:color w:val="000000" w:themeColor="text1"/>
          <w:sz w:val="26"/>
          <w:szCs w:val="26"/>
        </w:rPr>
        <w:t xml:space="preserve"> </w:t>
      </w:r>
    </w:p>
    <w:p w14:paraId="7AACBD41" w14:textId="2587F339" w:rsidR="007E47FD" w:rsidRPr="00481242" w:rsidRDefault="009133D1" w:rsidP="00E6540F">
      <w:pPr>
        <w:widowControl/>
        <w:spacing w:line="360" w:lineRule="auto"/>
        <w:ind w:firstLine="1440"/>
        <w:contextualSpacing/>
        <w:rPr>
          <w:rFonts w:eastAsiaTheme="minorHAnsi"/>
          <w:color w:val="000000" w:themeColor="text1"/>
          <w:sz w:val="26"/>
          <w:szCs w:val="26"/>
        </w:rPr>
      </w:pPr>
      <w:r w:rsidRPr="00481242">
        <w:rPr>
          <w:rFonts w:eastAsiaTheme="minorHAnsi"/>
          <w:color w:val="000000" w:themeColor="text1"/>
          <w:sz w:val="26"/>
          <w:szCs w:val="26"/>
        </w:rPr>
        <w:t xml:space="preserve"> </w:t>
      </w:r>
    </w:p>
    <w:p w14:paraId="5F286B94" w14:textId="003C2E70" w:rsidR="001B0C5E" w:rsidRPr="00D500DC" w:rsidRDefault="00A707C9" w:rsidP="00E6540F">
      <w:pPr>
        <w:pStyle w:val="ListParagraph"/>
        <w:keepNext/>
        <w:keepLines/>
        <w:widowControl/>
        <w:numPr>
          <w:ilvl w:val="0"/>
          <w:numId w:val="23"/>
        </w:numPr>
        <w:spacing w:line="360" w:lineRule="auto"/>
        <w:ind w:left="0" w:firstLine="0"/>
        <w:jc w:val="center"/>
        <w:rPr>
          <w:b/>
          <w:color w:val="000000" w:themeColor="text1"/>
          <w:sz w:val="26"/>
          <w:szCs w:val="26"/>
        </w:rPr>
      </w:pPr>
      <w:r w:rsidRPr="00D500DC">
        <w:rPr>
          <w:b/>
          <w:color w:val="000000" w:themeColor="text1"/>
          <w:sz w:val="26"/>
          <w:szCs w:val="26"/>
        </w:rPr>
        <w:t>Discussion</w:t>
      </w:r>
    </w:p>
    <w:p w14:paraId="2CB3EC9A" w14:textId="77777777" w:rsidR="00A707C9" w:rsidRPr="00481242" w:rsidRDefault="00A707C9" w:rsidP="00E6540F">
      <w:pPr>
        <w:keepNext/>
        <w:keepLines/>
        <w:widowControl/>
        <w:spacing w:line="360" w:lineRule="auto"/>
        <w:ind w:firstLine="1440"/>
        <w:contextualSpacing/>
        <w:rPr>
          <w:color w:val="000000" w:themeColor="text1"/>
          <w:sz w:val="26"/>
          <w:szCs w:val="26"/>
        </w:rPr>
      </w:pPr>
      <w:bookmarkStart w:id="3" w:name="_Hlk46208808"/>
    </w:p>
    <w:p w14:paraId="30F40D86" w14:textId="77777777" w:rsidR="00537D63" w:rsidRPr="0028639A" w:rsidRDefault="00537D63" w:rsidP="00E6540F">
      <w:pPr>
        <w:pStyle w:val="Heading2"/>
        <w:keepNext/>
        <w:keepLines/>
        <w:contextualSpacing w:val="0"/>
      </w:pPr>
      <w:bookmarkStart w:id="4" w:name="_Toc10812924"/>
      <w:bookmarkEnd w:id="3"/>
      <w:r w:rsidRPr="0028639A">
        <w:t>Legal Standards</w:t>
      </w:r>
      <w:bookmarkEnd w:id="4"/>
    </w:p>
    <w:p w14:paraId="4AFB22D3" w14:textId="77777777" w:rsidR="006164CC" w:rsidRPr="00481242" w:rsidRDefault="006164CC" w:rsidP="00E6540F">
      <w:pPr>
        <w:keepNext/>
        <w:keepLines/>
        <w:widowControl/>
        <w:spacing w:line="360" w:lineRule="auto"/>
        <w:contextualSpacing/>
        <w:rPr>
          <w:color w:val="000000" w:themeColor="text1"/>
          <w:sz w:val="26"/>
          <w:szCs w:val="26"/>
        </w:rPr>
      </w:pPr>
    </w:p>
    <w:p w14:paraId="7E90CB01" w14:textId="320CDD58" w:rsidR="00531902" w:rsidRPr="00481242" w:rsidRDefault="00531902" w:rsidP="00E6540F">
      <w:pPr>
        <w:widowControl/>
        <w:spacing w:line="360" w:lineRule="auto"/>
        <w:ind w:firstLine="1440"/>
        <w:contextualSpacing/>
        <w:rPr>
          <w:rFonts w:eastAsiaTheme="minorHAnsi"/>
          <w:color w:val="000000" w:themeColor="text1"/>
          <w:sz w:val="26"/>
          <w:szCs w:val="26"/>
        </w:rPr>
      </w:pPr>
      <w:bookmarkStart w:id="5" w:name="_Hlk39487795"/>
      <w:bookmarkStart w:id="6" w:name="_Hlk39482196"/>
      <w:r w:rsidRPr="00481242">
        <w:rPr>
          <w:color w:val="000000" w:themeColor="text1"/>
          <w:sz w:val="26"/>
          <w:szCs w:val="26"/>
        </w:rPr>
        <w:t>As the party seeking affirmative relief from the Commission, the complainant in a formal complaint proceeding has the burden of proof.  66 Pa.</w:t>
      </w:r>
      <w:r w:rsidR="008953EB">
        <w:rPr>
          <w:color w:val="000000" w:themeColor="text1"/>
          <w:sz w:val="26"/>
          <w:szCs w:val="26"/>
        </w:rPr>
        <w:t xml:space="preserve"> </w:t>
      </w:r>
      <w:r w:rsidRPr="00481242">
        <w:rPr>
          <w:color w:val="000000" w:themeColor="text1"/>
          <w:sz w:val="26"/>
          <w:szCs w:val="26"/>
        </w:rPr>
        <w:t xml:space="preserve">C.S. § 332(a).  </w:t>
      </w:r>
      <w:r w:rsidRPr="00481242">
        <w:rPr>
          <w:rFonts w:eastAsiaTheme="minorHAnsi"/>
          <w:color w:val="000000" w:themeColor="text1"/>
          <w:sz w:val="26"/>
          <w:szCs w:val="26"/>
        </w:rPr>
        <w:t>The evidence necessary to meet that burden must be substantial.</w:t>
      </w:r>
      <w:r w:rsidRPr="00481242">
        <w:rPr>
          <w:color w:val="000000" w:themeColor="text1"/>
          <w:sz w:val="26"/>
          <w:szCs w:val="26"/>
        </w:rPr>
        <w:t xml:space="preserve">  2 Pa.</w:t>
      </w:r>
      <w:r w:rsidR="00B42FED" w:rsidRPr="00481242">
        <w:rPr>
          <w:color w:val="000000" w:themeColor="text1"/>
          <w:sz w:val="26"/>
          <w:szCs w:val="26"/>
        </w:rPr>
        <w:t xml:space="preserve"> </w:t>
      </w:r>
      <w:r w:rsidRPr="00481242">
        <w:rPr>
          <w:color w:val="000000" w:themeColor="text1"/>
          <w:sz w:val="26"/>
          <w:szCs w:val="26"/>
        </w:rPr>
        <w:t>C.S. §</w:t>
      </w:r>
      <w:r w:rsidR="003703DD" w:rsidRPr="00481242">
        <w:rPr>
          <w:color w:val="000000" w:themeColor="text1"/>
          <w:sz w:val="26"/>
          <w:szCs w:val="26"/>
        </w:rPr>
        <w:t> </w:t>
      </w:r>
      <w:r w:rsidRPr="00481242">
        <w:rPr>
          <w:color w:val="000000" w:themeColor="text1"/>
          <w:sz w:val="26"/>
          <w:szCs w:val="26"/>
        </w:rPr>
        <w:t xml:space="preserve">704.  “Substantial evidence” is such relevant evidence that a reasonable mind might accept as adequate to support a conclusion.  </w:t>
      </w:r>
      <w:r w:rsidRPr="00481242">
        <w:rPr>
          <w:i/>
          <w:color w:val="000000" w:themeColor="text1"/>
          <w:sz w:val="26"/>
          <w:szCs w:val="26"/>
        </w:rPr>
        <w:t>Consolidated Edison Company of New York v. National Labor Relations Board</w:t>
      </w:r>
      <w:r w:rsidRPr="00481242">
        <w:rPr>
          <w:color w:val="000000" w:themeColor="text1"/>
          <w:sz w:val="26"/>
          <w:szCs w:val="26"/>
        </w:rPr>
        <w:t xml:space="preserve">, 305 U.S. 197, 229, 59 </w:t>
      </w:r>
      <w:proofErr w:type="spellStart"/>
      <w:r w:rsidRPr="00481242">
        <w:rPr>
          <w:color w:val="000000" w:themeColor="text1"/>
          <w:sz w:val="26"/>
          <w:szCs w:val="26"/>
        </w:rPr>
        <w:t>S.Ct</w:t>
      </w:r>
      <w:proofErr w:type="spellEnd"/>
      <w:r w:rsidRPr="00481242">
        <w:rPr>
          <w:color w:val="000000" w:themeColor="text1"/>
          <w:sz w:val="26"/>
          <w:szCs w:val="26"/>
        </w:rPr>
        <w:t>. 206, 217</w:t>
      </w:r>
      <w:r w:rsidR="00DB6C73">
        <w:rPr>
          <w:color w:val="000000" w:themeColor="text1"/>
          <w:sz w:val="26"/>
          <w:szCs w:val="26"/>
        </w:rPr>
        <w:t xml:space="preserve"> (1938)</w:t>
      </w:r>
      <w:r w:rsidRPr="00481242">
        <w:rPr>
          <w:color w:val="000000" w:themeColor="text1"/>
          <w:sz w:val="26"/>
          <w:szCs w:val="26"/>
        </w:rPr>
        <w:t xml:space="preserve">.  </w:t>
      </w:r>
      <w:r w:rsidRPr="00481242">
        <w:rPr>
          <w:rFonts w:eastAsiaTheme="minorHAnsi"/>
          <w:color w:val="000000" w:themeColor="text1"/>
          <w:sz w:val="26"/>
          <w:szCs w:val="26"/>
        </w:rPr>
        <w:t xml:space="preserve">More is required than a mere trace of evidence or a suspicion of the existence of a fact sought to be established.  </w:t>
      </w:r>
      <w:r w:rsidRPr="00481242">
        <w:rPr>
          <w:rFonts w:eastAsiaTheme="minorHAnsi"/>
          <w:i/>
          <w:color w:val="000000" w:themeColor="text1"/>
          <w:sz w:val="26"/>
          <w:szCs w:val="26"/>
        </w:rPr>
        <w:t>Norfolk &amp; Western Ry. Co. v. Pa. PUC</w:t>
      </w:r>
      <w:r w:rsidRPr="00481242">
        <w:rPr>
          <w:rFonts w:eastAsiaTheme="minorHAnsi"/>
          <w:iCs/>
          <w:color w:val="000000" w:themeColor="text1"/>
          <w:sz w:val="26"/>
          <w:szCs w:val="26"/>
        </w:rPr>
        <w:t>,</w:t>
      </w:r>
      <w:r w:rsidRPr="00481242">
        <w:rPr>
          <w:rFonts w:eastAsiaTheme="minorHAnsi"/>
          <w:color w:val="000000" w:themeColor="text1"/>
          <w:sz w:val="26"/>
          <w:szCs w:val="26"/>
        </w:rPr>
        <w:t xml:space="preserve"> </w:t>
      </w:r>
      <w:r w:rsidR="003703DD" w:rsidRPr="00481242">
        <w:rPr>
          <w:rFonts w:eastAsiaTheme="minorHAnsi"/>
          <w:color w:val="000000" w:themeColor="text1"/>
          <w:sz w:val="26"/>
          <w:szCs w:val="26"/>
        </w:rPr>
        <w:t xml:space="preserve">489 Pa. 109, </w:t>
      </w:r>
      <w:r w:rsidRPr="00481242">
        <w:rPr>
          <w:rFonts w:eastAsiaTheme="minorHAnsi"/>
          <w:color w:val="000000" w:themeColor="text1"/>
          <w:sz w:val="26"/>
          <w:szCs w:val="26"/>
        </w:rPr>
        <w:t>413 A.2d 1037 (1980).</w:t>
      </w:r>
    </w:p>
    <w:p w14:paraId="13C8EA84" w14:textId="77777777" w:rsidR="00531902" w:rsidRPr="00481242" w:rsidRDefault="00531902" w:rsidP="00481242">
      <w:pPr>
        <w:widowControl/>
        <w:spacing w:line="360" w:lineRule="auto"/>
        <w:ind w:firstLine="1440"/>
        <w:contextualSpacing/>
        <w:rPr>
          <w:rFonts w:eastAsiaTheme="minorHAnsi"/>
          <w:color w:val="000000" w:themeColor="text1"/>
          <w:sz w:val="26"/>
          <w:szCs w:val="26"/>
        </w:rPr>
      </w:pPr>
    </w:p>
    <w:p w14:paraId="1DD974E4" w14:textId="5B2C6D57" w:rsidR="00531902" w:rsidRPr="00481242" w:rsidRDefault="00531902" w:rsidP="00481242">
      <w:pPr>
        <w:widowControl/>
        <w:spacing w:line="360" w:lineRule="auto"/>
        <w:ind w:firstLine="1440"/>
        <w:contextualSpacing/>
        <w:rPr>
          <w:rFonts w:eastAsiaTheme="minorHAnsi"/>
          <w:color w:val="000000" w:themeColor="text1"/>
          <w:sz w:val="26"/>
          <w:szCs w:val="26"/>
        </w:rPr>
      </w:pPr>
      <w:r w:rsidRPr="00481242">
        <w:rPr>
          <w:rFonts w:eastAsiaTheme="minorHAnsi"/>
          <w:color w:val="000000" w:themeColor="text1"/>
          <w:sz w:val="26"/>
          <w:szCs w:val="26"/>
        </w:rPr>
        <w:t xml:space="preserve">To establish a sufficient case and satisfy the burden of proof, the Complainant must show that the respondent utility is responsible or accountable for the problem described in the Complaint.  </w:t>
      </w:r>
      <w:r w:rsidRPr="00481242">
        <w:rPr>
          <w:rFonts w:eastAsiaTheme="minorHAnsi"/>
          <w:i/>
          <w:color w:val="000000" w:themeColor="text1"/>
          <w:sz w:val="26"/>
          <w:szCs w:val="26"/>
        </w:rPr>
        <w:t>Patterson v. The Bell Telephone Company of Pennsylvania</w:t>
      </w:r>
      <w:r w:rsidRPr="00481242">
        <w:rPr>
          <w:rFonts w:eastAsiaTheme="minorHAnsi"/>
          <w:color w:val="000000" w:themeColor="text1"/>
          <w:sz w:val="26"/>
          <w:szCs w:val="26"/>
        </w:rPr>
        <w:t xml:space="preserve">, 72 Pa. P.U.C. 196 (1990).  </w:t>
      </w:r>
      <w:r w:rsidRPr="00481242">
        <w:rPr>
          <w:color w:val="000000" w:themeColor="text1"/>
          <w:sz w:val="26"/>
          <w:szCs w:val="26"/>
        </w:rPr>
        <w:t xml:space="preserve">The offense must be a violation of the Code, a Commission Regulation or Order or a violation of a Commission-approved tariff.  </w:t>
      </w:r>
      <w:r w:rsidRPr="00481242">
        <w:rPr>
          <w:color w:val="000000" w:themeColor="text1"/>
          <w:sz w:val="26"/>
          <w:szCs w:val="26"/>
        </w:rPr>
        <w:lastRenderedPageBreak/>
        <w:t>66</w:t>
      </w:r>
      <w:r w:rsidR="00B531A4">
        <w:rPr>
          <w:color w:val="000000" w:themeColor="text1"/>
          <w:sz w:val="26"/>
          <w:szCs w:val="26"/>
        </w:rPr>
        <w:t> </w:t>
      </w:r>
      <w:proofErr w:type="spellStart"/>
      <w:r w:rsidRPr="00481242">
        <w:rPr>
          <w:color w:val="000000" w:themeColor="text1"/>
          <w:sz w:val="26"/>
          <w:szCs w:val="26"/>
        </w:rPr>
        <w:t>Pa.C.S</w:t>
      </w:r>
      <w:proofErr w:type="spellEnd"/>
      <w:r w:rsidRPr="00481242">
        <w:rPr>
          <w:color w:val="000000" w:themeColor="text1"/>
          <w:sz w:val="26"/>
          <w:szCs w:val="26"/>
        </w:rPr>
        <w:t xml:space="preserve">. § 701.  </w:t>
      </w:r>
      <w:r w:rsidRPr="00481242">
        <w:rPr>
          <w:rFonts w:eastAsiaTheme="minorHAnsi"/>
          <w:color w:val="000000" w:themeColor="text1"/>
          <w:sz w:val="26"/>
          <w:szCs w:val="26"/>
        </w:rPr>
        <w:t xml:space="preserve">Such a showing must be by a </w:t>
      </w:r>
      <w:r w:rsidR="001153A7">
        <w:rPr>
          <w:rFonts w:eastAsiaTheme="minorHAnsi"/>
          <w:color w:val="000000" w:themeColor="text1"/>
          <w:sz w:val="26"/>
          <w:szCs w:val="26"/>
        </w:rPr>
        <w:t>“</w:t>
      </w:r>
      <w:r w:rsidRPr="00481242">
        <w:rPr>
          <w:rFonts w:eastAsiaTheme="minorHAnsi"/>
          <w:color w:val="000000" w:themeColor="text1"/>
          <w:sz w:val="26"/>
          <w:szCs w:val="26"/>
        </w:rPr>
        <w:t>preponderance of the evidence.</w:t>
      </w:r>
      <w:r w:rsidR="001153A7">
        <w:rPr>
          <w:rFonts w:eastAsiaTheme="minorHAnsi"/>
          <w:color w:val="000000" w:themeColor="text1"/>
          <w:sz w:val="26"/>
          <w:szCs w:val="26"/>
        </w:rPr>
        <w:t>”</w:t>
      </w:r>
      <w:r w:rsidRPr="00481242">
        <w:rPr>
          <w:rFonts w:eastAsiaTheme="minorHAnsi"/>
          <w:color w:val="000000" w:themeColor="text1"/>
          <w:sz w:val="26"/>
          <w:szCs w:val="26"/>
        </w:rPr>
        <w:t xml:space="preserve">  </w:t>
      </w:r>
      <w:r w:rsidRPr="00481242">
        <w:rPr>
          <w:rFonts w:eastAsiaTheme="minorHAnsi"/>
          <w:i/>
          <w:iCs/>
          <w:color w:val="000000" w:themeColor="text1"/>
          <w:sz w:val="26"/>
          <w:szCs w:val="26"/>
        </w:rPr>
        <w:t xml:space="preserve">Samuel J. </w:t>
      </w:r>
      <w:proofErr w:type="spellStart"/>
      <w:r w:rsidRPr="00481242">
        <w:rPr>
          <w:rFonts w:eastAsiaTheme="minorHAnsi"/>
          <w:i/>
          <w:iCs/>
          <w:color w:val="000000" w:themeColor="text1"/>
          <w:sz w:val="26"/>
          <w:szCs w:val="26"/>
        </w:rPr>
        <w:t>Lansberry</w:t>
      </w:r>
      <w:proofErr w:type="spellEnd"/>
      <w:r w:rsidRPr="00481242">
        <w:rPr>
          <w:rFonts w:eastAsiaTheme="minorHAnsi"/>
          <w:i/>
          <w:iCs/>
          <w:color w:val="000000" w:themeColor="text1"/>
          <w:sz w:val="26"/>
          <w:szCs w:val="26"/>
        </w:rPr>
        <w:t>, Inc. v. Pa. PUC</w:t>
      </w:r>
      <w:r w:rsidRPr="00481242">
        <w:rPr>
          <w:rFonts w:eastAsiaTheme="minorHAnsi"/>
          <w:color w:val="000000" w:themeColor="text1"/>
          <w:sz w:val="26"/>
          <w:szCs w:val="26"/>
        </w:rPr>
        <w:t xml:space="preserve">, 578 A.2d 600 (Pa. </w:t>
      </w:r>
      <w:proofErr w:type="spellStart"/>
      <w:r w:rsidRPr="00481242">
        <w:rPr>
          <w:rFonts w:eastAsiaTheme="minorHAnsi"/>
          <w:color w:val="000000" w:themeColor="text1"/>
          <w:sz w:val="26"/>
          <w:szCs w:val="26"/>
        </w:rPr>
        <w:t>Cmwlth</w:t>
      </w:r>
      <w:proofErr w:type="spellEnd"/>
      <w:r w:rsidRPr="00481242">
        <w:rPr>
          <w:rFonts w:eastAsiaTheme="minorHAnsi"/>
          <w:color w:val="000000" w:themeColor="text1"/>
          <w:sz w:val="26"/>
          <w:szCs w:val="26"/>
        </w:rPr>
        <w:t xml:space="preserve">. 1990), </w:t>
      </w:r>
      <w:proofErr w:type="spellStart"/>
      <w:r w:rsidRPr="00481242">
        <w:rPr>
          <w:rFonts w:eastAsiaTheme="minorHAnsi"/>
          <w:i/>
          <w:color w:val="000000" w:themeColor="text1"/>
          <w:sz w:val="26"/>
          <w:szCs w:val="26"/>
        </w:rPr>
        <w:t>alloc</w:t>
      </w:r>
      <w:proofErr w:type="spellEnd"/>
      <w:r w:rsidRPr="00481242">
        <w:rPr>
          <w:rFonts w:eastAsiaTheme="minorHAnsi"/>
          <w:i/>
          <w:color w:val="000000" w:themeColor="text1"/>
          <w:sz w:val="26"/>
          <w:szCs w:val="26"/>
        </w:rPr>
        <w:t>. denied</w:t>
      </w:r>
      <w:r w:rsidRPr="00481242">
        <w:rPr>
          <w:rFonts w:eastAsiaTheme="minorHAnsi"/>
          <w:iCs/>
          <w:color w:val="000000" w:themeColor="text1"/>
          <w:sz w:val="26"/>
          <w:szCs w:val="26"/>
        </w:rPr>
        <w:t>,</w:t>
      </w:r>
      <w:r w:rsidRPr="00481242">
        <w:rPr>
          <w:rFonts w:eastAsiaTheme="minorHAnsi"/>
          <w:color w:val="000000" w:themeColor="text1"/>
          <w:sz w:val="26"/>
          <w:szCs w:val="26"/>
        </w:rPr>
        <w:t xml:space="preserve"> </w:t>
      </w:r>
      <w:r w:rsidR="003703DD" w:rsidRPr="00481242">
        <w:rPr>
          <w:rFonts w:eastAsiaTheme="minorHAnsi"/>
          <w:color w:val="000000" w:themeColor="text1"/>
          <w:sz w:val="26"/>
          <w:szCs w:val="26"/>
        </w:rPr>
        <w:t xml:space="preserve">529 Pa. 654, </w:t>
      </w:r>
      <w:r w:rsidRPr="00481242">
        <w:rPr>
          <w:rFonts w:eastAsiaTheme="minorHAnsi"/>
          <w:color w:val="000000" w:themeColor="text1"/>
          <w:sz w:val="26"/>
          <w:szCs w:val="26"/>
        </w:rPr>
        <w:t xml:space="preserve">602 A.2d 863 (1992).  That is, the Complainant’s evidence must be more convincing, by even the smallest amount, than that presented by the respondent.  </w:t>
      </w:r>
      <w:r w:rsidRPr="00481242">
        <w:rPr>
          <w:rFonts w:eastAsiaTheme="minorHAnsi"/>
          <w:i/>
          <w:color w:val="000000" w:themeColor="text1"/>
          <w:sz w:val="26"/>
          <w:szCs w:val="26"/>
        </w:rPr>
        <w:t>Se-Ling Hosiery, Inc. v. Margulies</w:t>
      </w:r>
      <w:r w:rsidRPr="00481242">
        <w:rPr>
          <w:rFonts w:eastAsiaTheme="minorHAnsi"/>
          <w:color w:val="000000" w:themeColor="text1"/>
          <w:sz w:val="26"/>
          <w:szCs w:val="26"/>
        </w:rPr>
        <w:t xml:space="preserve">, </w:t>
      </w:r>
      <w:r w:rsidR="003703DD" w:rsidRPr="00481242">
        <w:rPr>
          <w:rFonts w:eastAsiaTheme="minorHAnsi"/>
          <w:color w:val="000000" w:themeColor="text1"/>
          <w:sz w:val="26"/>
          <w:szCs w:val="26"/>
        </w:rPr>
        <w:t xml:space="preserve">364 Pa. 45, </w:t>
      </w:r>
      <w:r w:rsidRPr="00481242">
        <w:rPr>
          <w:rFonts w:eastAsiaTheme="minorHAnsi"/>
          <w:color w:val="000000" w:themeColor="text1"/>
          <w:sz w:val="26"/>
          <w:szCs w:val="26"/>
        </w:rPr>
        <w:t xml:space="preserve">70 A.2d 854 (1950).  </w:t>
      </w:r>
    </w:p>
    <w:p w14:paraId="7B1DC5B6" w14:textId="77777777" w:rsidR="0076632C" w:rsidRPr="00481242" w:rsidRDefault="0076632C" w:rsidP="00481242">
      <w:pPr>
        <w:widowControl/>
        <w:spacing w:line="360" w:lineRule="auto"/>
        <w:ind w:firstLine="1440"/>
        <w:contextualSpacing/>
        <w:rPr>
          <w:color w:val="000000" w:themeColor="text1"/>
          <w:sz w:val="26"/>
          <w:szCs w:val="26"/>
        </w:rPr>
      </w:pPr>
    </w:p>
    <w:p w14:paraId="60F8D404" w14:textId="588A3671" w:rsidR="00E75AE0" w:rsidRPr="00481242" w:rsidRDefault="00E75AE0" w:rsidP="00481242">
      <w:pPr>
        <w:widowControl/>
        <w:spacing w:line="360" w:lineRule="auto"/>
        <w:ind w:firstLine="1440"/>
        <w:contextualSpacing/>
        <w:rPr>
          <w:color w:val="000000" w:themeColor="text1"/>
          <w:sz w:val="26"/>
          <w:szCs w:val="26"/>
        </w:rPr>
      </w:pPr>
      <w:r w:rsidRPr="00481242">
        <w:rPr>
          <w:color w:val="000000" w:themeColor="text1"/>
          <w:sz w:val="26"/>
          <w:szCs w:val="26"/>
        </w:rPr>
        <w:t>The burden of proof is comprised of two distinct burdens</w:t>
      </w:r>
      <w:proofErr w:type="gramStart"/>
      <w:r w:rsidRPr="00481242">
        <w:rPr>
          <w:color w:val="000000" w:themeColor="text1"/>
          <w:sz w:val="26"/>
          <w:szCs w:val="26"/>
        </w:rPr>
        <w:t>:</w:t>
      </w:r>
      <w:r w:rsidR="00CB23CE">
        <w:rPr>
          <w:color w:val="000000" w:themeColor="text1"/>
          <w:sz w:val="26"/>
          <w:szCs w:val="26"/>
        </w:rPr>
        <w:t xml:space="preserve"> </w:t>
      </w:r>
      <w:r w:rsidRPr="00481242">
        <w:rPr>
          <w:color w:val="000000" w:themeColor="text1"/>
          <w:sz w:val="26"/>
          <w:szCs w:val="26"/>
        </w:rPr>
        <w:t xml:space="preserve"> </w:t>
      </w:r>
      <w:r w:rsidR="00654D20">
        <w:rPr>
          <w:color w:val="000000" w:themeColor="text1"/>
          <w:sz w:val="26"/>
          <w:szCs w:val="26"/>
        </w:rPr>
        <w:t>(</w:t>
      </w:r>
      <w:proofErr w:type="gramEnd"/>
      <w:r w:rsidR="00654D20">
        <w:rPr>
          <w:color w:val="000000" w:themeColor="text1"/>
          <w:sz w:val="26"/>
          <w:szCs w:val="26"/>
        </w:rPr>
        <w:t xml:space="preserve">1) </w:t>
      </w:r>
      <w:r w:rsidRPr="00481242">
        <w:rPr>
          <w:color w:val="000000" w:themeColor="text1"/>
          <w:sz w:val="26"/>
          <w:szCs w:val="26"/>
        </w:rPr>
        <w:t>the burden of production</w:t>
      </w:r>
      <w:r w:rsidR="00654D20">
        <w:rPr>
          <w:color w:val="000000" w:themeColor="text1"/>
          <w:sz w:val="26"/>
          <w:szCs w:val="26"/>
        </w:rPr>
        <w:t>; and (2)</w:t>
      </w:r>
      <w:r w:rsidRPr="00481242">
        <w:rPr>
          <w:color w:val="000000" w:themeColor="text1"/>
          <w:sz w:val="26"/>
          <w:szCs w:val="26"/>
        </w:rPr>
        <w:t xml:space="preserve"> the burden of persuasion.  </w:t>
      </w:r>
      <w:r w:rsidRPr="00481242">
        <w:rPr>
          <w:i/>
          <w:color w:val="000000" w:themeColor="text1"/>
          <w:sz w:val="26"/>
          <w:szCs w:val="26"/>
        </w:rPr>
        <w:t>Hurley v. Hurley</w:t>
      </w:r>
      <w:r w:rsidRPr="00481242">
        <w:rPr>
          <w:color w:val="000000" w:themeColor="text1"/>
          <w:sz w:val="26"/>
          <w:szCs w:val="26"/>
        </w:rPr>
        <w:t xml:space="preserve">, 2000 Pa. Super. 178, 754 A.2d 1283 (2000).  The burden of production, also called the burden of going forward with the evidence, determines which party must come forward with evidence to support a particular claim or defense.  </w:t>
      </w:r>
      <w:r w:rsidRPr="00481242">
        <w:rPr>
          <w:i/>
          <w:color w:val="000000" w:themeColor="text1"/>
          <w:sz w:val="26"/>
          <w:szCs w:val="26"/>
        </w:rPr>
        <w:t>Scott and Linda Moore v. National Fuel Gas Distribution</w:t>
      </w:r>
      <w:r w:rsidRPr="00481242">
        <w:rPr>
          <w:color w:val="000000" w:themeColor="text1"/>
          <w:sz w:val="26"/>
          <w:szCs w:val="26"/>
        </w:rPr>
        <w:t>, Docket No. C-2014-2458555 (Initial Decision issued May 11, 2015) (</w:t>
      </w:r>
      <w:r w:rsidRPr="00481242">
        <w:rPr>
          <w:i/>
          <w:color w:val="000000" w:themeColor="text1"/>
          <w:sz w:val="26"/>
          <w:szCs w:val="26"/>
        </w:rPr>
        <w:t>Moore</w:t>
      </w:r>
      <w:r w:rsidRPr="00481242">
        <w:rPr>
          <w:color w:val="000000" w:themeColor="text1"/>
          <w:sz w:val="26"/>
          <w:szCs w:val="26"/>
        </w:rPr>
        <w:t xml:space="preserve">).  The burden of production goes to the legal sufficiency of a party’s claim or affirmative defense.  </w:t>
      </w:r>
      <w:r w:rsidRPr="00481242">
        <w:rPr>
          <w:i/>
          <w:color w:val="000000" w:themeColor="text1"/>
          <w:sz w:val="26"/>
          <w:szCs w:val="26"/>
        </w:rPr>
        <w:t xml:space="preserve">See </w:t>
      </w:r>
      <w:r w:rsidR="004F2679">
        <w:rPr>
          <w:i/>
          <w:color w:val="000000" w:themeColor="text1"/>
          <w:sz w:val="26"/>
          <w:szCs w:val="26"/>
        </w:rPr>
        <w:t>I</w:t>
      </w:r>
      <w:r w:rsidRPr="00481242">
        <w:rPr>
          <w:i/>
          <w:color w:val="000000" w:themeColor="text1"/>
          <w:sz w:val="26"/>
          <w:szCs w:val="26"/>
        </w:rPr>
        <w:t>d</w:t>
      </w:r>
      <w:r w:rsidRPr="00481242">
        <w:rPr>
          <w:color w:val="000000" w:themeColor="text1"/>
          <w:sz w:val="26"/>
          <w:szCs w:val="26"/>
        </w:rPr>
        <w:t xml:space="preserve">.  It may shift between the parties during a hearing.  A complainant may establish a </w:t>
      </w:r>
      <w:r w:rsidRPr="00481242">
        <w:rPr>
          <w:i/>
          <w:iCs/>
          <w:color w:val="000000" w:themeColor="text1"/>
          <w:sz w:val="26"/>
          <w:szCs w:val="26"/>
        </w:rPr>
        <w:t xml:space="preserve">prima facie </w:t>
      </w:r>
      <w:r w:rsidRPr="00481242">
        <w:rPr>
          <w:color w:val="000000" w:themeColor="text1"/>
          <w:sz w:val="26"/>
          <w:szCs w:val="26"/>
        </w:rPr>
        <w:t xml:space="preserve">case with circumstantial evidence.  </w:t>
      </w:r>
      <w:r w:rsidRPr="00481242">
        <w:rPr>
          <w:i/>
          <w:color w:val="000000" w:themeColor="text1"/>
          <w:sz w:val="26"/>
          <w:szCs w:val="26"/>
        </w:rPr>
        <w:t>See</w:t>
      </w:r>
      <w:r w:rsidRPr="00481242">
        <w:rPr>
          <w:color w:val="000000" w:themeColor="text1"/>
          <w:sz w:val="26"/>
          <w:szCs w:val="26"/>
        </w:rPr>
        <w:t xml:space="preserve"> </w:t>
      </w:r>
      <w:proofErr w:type="spellStart"/>
      <w:r w:rsidRPr="00481242">
        <w:rPr>
          <w:i/>
          <w:iCs/>
          <w:color w:val="000000" w:themeColor="text1"/>
          <w:sz w:val="26"/>
          <w:szCs w:val="26"/>
        </w:rPr>
        <w:t>Milkie</w:t>
      </w:r>
      <w:proofErr w:type="spellEnd"/>
      <w:r w:rsidRPr="00481242">
        <w:rPr>
          <w:i/>
          <w:iCs/>
          <w:color w:val="000000" w:themeColor="text1"/>
          <w:sz w:val="26"/>
          <w:szCs w:val="26"/>
        </w:rPr>
        <w:t xml:space="preserve"> v. Pa. PUC</w:t>
      </w:r>
      <w:r w:rsidRPr="00481242">
        <w:rPr>
          <w:color w:val="000000" w:themeColor="text1"/>
          <w:sz w:val="26"/>
          <w:szCs w:val="26"/>
        </w:rPr>
        <w:t xml:space="preserve">, 768 A.2d 1217, 1220 (Pa. </w:t>
      </w:r>
      <w:proofErr w:type="spellStart"/>
      <w:r w:rsidRPr="00481242">
        <w:rPr>
          <w:color w:val="000000" w:themeColor="text1"/>
          <w:sz w:val="26"/>
          <w:szCs w:val="26"/>
        </w:rPr>
        <w:t>Cmwlth</w:t>
      </w:r>
      <w:proofErr w:type="spellEnd"/>
      <w:r w:rsidRPr="00481242">
        <w:rPr>
          <w:color w:val="000000" w:themeColor="text1"/>
          <w:sz w:val="26"/>
          <w:szCs w:val="26"/>
        </w:rPr>
        <w:t>. 2001) (</w:t>
      </w:r>
      <w:proofErr w:type="spellStart"/>
      <w:r w:rsidRPr="00481242">
        <w:rPr>
          <w:i/>
          <w:color w:val="000000" w:themeColor="text1"/>
          <w:sz w:val="26"/>
          <w:szCs w:val="26"/>
        </w:rPr>
        <w:t>Milkie</w:t>
      </w:r>
      <w:proofErr w:type="spellEnd"/>
      <w:r w:rsidRPr="00481242">
        <w:rPr>
          <w:color w:val="000000" w:themeColor="text1"/>
          <w:sz w:val="26"/>
          <w:szCs w:val="26"/>
        </w:rPr>
        <w:t xml:space="preserve">).  If a complainant introduces sufficient evidence to establish legal sufficiency of the claim, also called a </w:t>
      </w:r>
      <w:r w:rsidRPr="00481242">
        <w:rPr>
          <w:i/>
          <w:color w:val="000000" w:themeColor="text1"/>
          <w:sz w:val="26"/>
          <w:szCs w:val="26"/>
        </w:rPr>
        <w:t>prima facie</w:t>
      </w:r>
      <w:r w:rsidRPr="00481242">
        <w:rPr>
          <w:color w:val="000000" w:themeColor="text1"/>
          <w:sz w:val="26"/>
          <w:szCs w:val="26"/>
        </w:rPr>
        <w:t xml:space="preserve"> case, the burden of production shifts to the utility to rebut the complainant’s evidence.  </w:t>
      </w:r>
      <w:r w:rsidRPr="00481242">
        <w:rPr>
          <w:i/>
          <w:color w:val="000000" w:themeColor="text1"/>
          <w:sz w:val="26"/>
          <w:szCs w:val="26"/>
        </w:rPr>
        <w:t>See Moore</w:t>
      </w:r>
      <w:r w:rsidRPr="00481242">
        <w:rPr>
          <w:color w:val="000000" w:themeColor="text1"/>
          <w:sz w:val="26"/>
          <w:szCs w:val="26"/>
        </w:rPr>
        <w:t>.</w:t>
      </w:r>
    </w:p>
    <w:p w14:paraId="44EA8B73" w14:textId="77777777" w:rsidR="00E75AE0" w:rsidRPr="00481242" w:rsidRDefault="00E75AE0" w:rsidP="00481242">
      <w:pPr>
        <w:widowControl/>
        <w:spacing w:line="360" w:lineRule="auto"/>
        <w:ind w:firstLine="1440"/>
        <w:contextualSpacing/>
        <w:rPr>
          <w:color w:val="000000" w:themeColor="text1"/>
          <w:sz w:val="26"/>
          <w:szCs w:val="26"/>
        </w:rPr>
      </w:pPr>
    </w:p>
    <w:p w14:paraId="74F48720" w14:textId="3177BA4F" w:rsidR="00E75AE0" w:rsidRPr="00481242" w:rsidRDefault="00E75AE0" w:rsidP="00481242">
      <w:pPr>
        <w:widowControl/>
        <w:spacing w:line="360" w:lineRule="auto"/>
        <w:ind w:firstLine="1440"/>
        <w:contextualSpacing/>
        <w:rPr>
          <w:iCs/>
          <w:color w:val="000000" w:themeColor="text1"/>
          <w:sz w:val="26"/>
          <w:szCs w:val="26"/>
        </w:rPr>
      </w:pPr>
      <w:r w:rsidRPr="00481242">
        <w:rPr>
          <w:color w:val="000000" w:themeColor="text1"/>
          <w:sz w:val="26"/>
          <w:szCs w:val="26"/>
        </w:rPr>
        <w:t xml:space="preserve">If the utility introduces evidence sufficient to balance the evidence introduced by the complainant, that is, evidence of co-equal value or weight, the complainant’s burden of proof has not been satisfied and the burden of going forward with the evidence shifts back to the complainant, who must provide some additional evidence favorable to the complainant’s claim.  </w:t>
      </w:r>
      <w:r w:rsidRPr="00481242">
        <w:rPr>
          <w:i/>
          <w:color w:val="000000" w:themeColor="text1"/>
          <w:sz w:val="26"/>
          <w:szCs w:val="26"/>
        </w:rPr>
        <w:t xml:space="preserve">See </w:t>
      </w:r>
      <w:proofErr w:type="spellStart"/>
      <w:r w:rsidRPr="00481242">
        <w:rPr>
          <w:i/>
          <w:color w:val="000000" w:themeColor="text1"/>
          <w:sz w:val="26"/>
          <w:szCs w:val="26"/>
        </w:rPr>
        <w:t>Milkie</w:t>
      </w:r>
      <w:proofErr w:type="spellEnd"/>
      <w:r w:rsidRPr="00481242">
        <w:rPr>
          <w:iCs/>
          <w:color w:val="000000" w:themeColor="text1"/>
          <w:sz w:val="26"/>
          <w:szCs w:val="26"/>
        </w:rPr>
        <w:t>,</w:t>
      </w:r>
      <w:r w:rsidRPr="00481242">
        <w:rPr>
          <w:i/>
          <w:color w:val="000000" w:themeColor="text1"/>
          <w:sz w:val="26"/>
          <w:szCs w:val="26"/>
        </w:rPr>
        <w:t xml:space="preserve"> </w:t>
      </w:r>
      <w:r w:rsidRPr="00481242">
        <w:rPr>
          <w:color w:val="000000" w:themeColor="text1"/>
          <w:sz w:val="26"/>
          <w:szCs w:val="26"/>
        </w:rPr>
        <w:t>768 A.2d at 1220</w:t>
      </w:r>
      <w:r w:rsidRPr="00481242">
        <w:rPr>
          <w:i/>
          <w:color w:val="000000" w:themeColor="text1"/>
          <w:sz w:val="26"/>
          <w:szCs w:val="26"/>
        </w:rPr>
        <w:t>; see also</w:t>
      </w:r>
      <w:r w:rsidR="00611EF9">
        <w:rPr>
          <w:i/>
          <w:color w:val="000000" w:themeColor="text1"/>
          <w:sz w:val="26"/>
          <w:szCs w:val="26"/>
        </w:rPr>
        <w:t>,</w:t>
      </w:r>
      <w:r w:rsidRPr="00481242">
        <w:rPr>
          <w:i/>
          <w:color w:val="000000" w:themeColor="text1"/>
          <w:sz w:val="26"/>
          <w:szCs w:val="26"/>
        </w:rPr>
        <w:t xml:space="preserve"> </w:t>
      </w:r>
      <w:hyperlink r:id="rId11" w:history="1">
        <w:r w:rsidRPr="00481242">
          <w:rPr>
            <w:i/>
            <w:iCs/>
            <w:color w:val="000000" w:themeColor="text1"/>
            <w:sz w:val="26"/>
            <w:szCs w:val="26"/>
          </w:rPr>
          <w:t>Burleson v. Pa. PUC</w:t>
        </w:r>
        <w:r w:rsidRPr="00481242">
          <w:rPr>
            <w:color w:val="000000" w:themeColor="text1"/>
            <w:sz w:val="26"/>
            <w:szCs w:val="26"/>
          </w:rPr>
          <w:t>,</w:t>
        </w:r>
        <w:r w:rsidRPr="00481242">
          <w:rPr>
            <w:iCs/>
            <w:color w:val="000000" w:themeColor="text1"/>
            <w:sz w:val="26"/>
            <w:szCs w:val="26"/>
          </w:rPr>
          <w:t xml:space="preserve"> 443 A.2d 1373 (Pa. </w:t>
        </w:r>
        <w:proofErr w:type="spellStart"/>
        <w:r w:rsidRPr="00481242">
          <w:rPr>
            <w:iCs/>
            <w:color w:val="000000" w:themeColor="text1"/>
            <w:sz w:val="26"/>
            <w:szCs w:val="26"/>
          </w:rPr>
          <w:t>Cmwlth</w:t>
        </w:r>
        <w:proofErr w:type="spellEnd"/>
        <w:r w:rsidRPr="00481242">
          <w:rPr>
            <w:iCs/>
            <w:color w:val="000000" w:themeColor="text1"/>
            <w:sz w:val="26"/>
            <w:szCs w:val="26"/>
          </w:rPr>
          <w:t xml:space="preserve">. 1982), </w:t>
        </w:r>
        <w:r w:rsidRPr="00481242">
          <w:rPr>
            <w:i/>
            <w:iCs/>
            <w:color w:val="000000" w:themeColor="text1"/>
            <w:sz w:val="26"/>
            <w:szCs w:val="26"/>
          </w:rPr>
          <w:t>aff’d</w:t>
        </w:r>
        <w:r w:rsidRPr="00481242">
          <w:rPr>
            <w:color w:val="000000" w:themeColor="text1"/>
            <w:sz w:val="26"/>
            <w:szCs w:val="26"/>
          </w:rPr>
          <w:t>,</w:t>
        </w:r>
        <w:r w:rsidRPr="00481242">
          <w:rPr>
            <w:iCs/>
            <w:color w:val="000000" w:themeColor="text1"/>
            <w:sz w:val="26"/>
            <w:szCs w:val="26"/>
          </w:rPr>
          <w:t xml:space="preserve"> </w:t>
        </w:r>
        <w:r w:rsidR="003703DD" w:rsidRPr="00481242">
          <w:rPr>
            <w:iCs/>
            <w:color w:val="000000" w:themeColor="text1"/>
            <w:sz w:val="26"/>
            <w:szCs w:val="26"/>
          </w:rPr>
          <w:t xml:space="preserve">501 Pa. 433, </w:t>
        </w:r>
        <w:r w:rsidRPr="00481242">
          <w:rPr>
            <w:iCs/>
            <w:color w:val="000000" w:themeColor="text1"/>
            <w:sz w:val="26"/>
            <w:szCs w:val="26"/>
          </w:rPr>
          <w:t>461</w:t>
        </w:r>
        <w:r w:rsidR="00E6540F">
          <w:rPr>
            <w:iCs/>
            <w:color w:val="000000" w:themeColor="text1"/>
            <w:sz w:val="26"/>
            <w:szCs w:val="26"/>
          </w:rPr>
          <w:t> </w:t>
        </w:r>
        <w:r w:rsidRPr="00481242">
          <w:rPr>
            <w:iCs/>
            <w:color w:val="000000" w:themeColor="text1"/>
            <w:sz w:val="26"/>
            <w:szCs w:val="26"/>
          </w:rPr>
          <w:t>A.2d</w:t>
        </w:r>
        <w:r w:rsidR="00E6540F">
          <w:rPr>
            <w:iCs/>
            <w:color w:val="000000" w:themeColor="text1"/>
            <w:sz w:val="26"/>
            <w:szCs w:val="26"/>
          </w:rPr>
          <w:t> </w:t>
        </w:r>
        <w:r w:rsidRPr="00481242">
          <w:rPr>
            <w:iCs/>
            <w:color w:val="000000" w:themeColor="text1"/>
            <w:sz w:val="26"/>
            <w:szCs w:val="26"/>
          </w:rPr>
          <w:t>1234 (1983).</w:t>
        </w:r>
      </w:hyperlink>
    </w:p>
    <w:p w14:paraId="63F0DA59" w14:textId="77777777" w:rsidR="00E75AE0" w:rsidRPr="00481242" w:rsidRDefault="00E75AE0" w:rsidP="00481242">
      <w:pPr>
        <w:widowControl/>
        <w:spacing w:line="360" w:lineRule="auto"/>
        <w:ind w:firstLine="1440"/>
        <w:contextualSpacing/>
        <w:rPr>
          <w:color w:val="000000" w:themeColor="text1"/>
          <w:sz w:val="26"/>
          <w:szCs w:val="26"/>
        </w:rPr>
      </w:pPr>
    </w:p>
    <w:p w14:paraId="7A9E628D" w14:textId="48C8D44F" w:rsidR="0040694C" w:rsidRPr="0040694C" w:rsidRDefault="00E75AE0" w:rsidP="00481242">
      <w:pPr>
        <w:widowControl/>
        <w:spacing w:line="360" w:lineRule="auto"/>
        <w:ind w:firstLine="1440"/>
        <w:contextualSpacing/>
        <w:rPr>
          <w:color w:val="000000" w:themeColor="text1"/>
          <w:sz w:val="26"/>
          <w:szCs w:val="26"/>
        </w:rPr>
      </w:pPr>
      <w:r w:rsidRPr="00481242">
        <w:rPr>
          <w:color w:val="000000" w:themeColor="text1"/>
          <w:sz w:val="26"/>
          <w:szCs w:val="26"/>
        </w:rPr>
        <w:lastRenderedPageBreak/>
        <w:t xml:space="preserve">Having produced sufficient evidence to establish legal sufficiency of a claim, the party with the burden of proof must also carry the burden of persuasion to be entitled to a favorable ruling.  </w:t>
      </w:r>
      <w:r w:rsidRPr="00481242">
        <w:rPr>
          <w:i/>
          <w:color w:val="000000" w:themeColor="text1"/>
          <w:sz w:val="26"/>
          <w:szCs w:val="26"/>
        </w:rPr>
        <w:t>See Moore</w:t>
      </w:r>
      <w:r w:rsidRPr="00481242">
        <w:rPr>
          <w:color w:val="000000" w:themeColor="text1"/>
          <w:sz w:val="26"/>
          <w:szCs w:val="26"/>
        </w:rPr>
        <w:t xml:space="preserve">.  While the burden of production may shift back and forth during a proceeding, the burden of persuasion never shifts; it always remains on a complainant as the party seeking affirmative relief from the Commission.  </w:t>
      </w:r>
      <w:r w:rsidRPr="00481242">
        <w:rPr>
          <w:i/>
          <w:color w:val="000000" w:themeColor="text1"/>
          <w:sz w:val="26"/>
          <w:szCs w:val="26"/>
        </w:rPr>
        <w:t xml:space="preserve">See </w:t>
      </w:r>
      <w:bookmarkStart w:id="7" w:name="_Hlk1639687"/>
      <w:proofErr w:type="spellStart"/>
      <w:r w:rsidRPr="00481242">
        <w:rPr>
          <w:i/>
          <w:color w:val="000000" w:themeColor="text1"/>
          <w:sz w:val="26"/>
          <w:szCs w:val="26"/>
        </w:rPr>
        <w:t>Milkie</w:t>
      </w:r>
      <w:proofErr w:type="spellEnd"/>
      <w:r w:rsidRPr="00481242">
        <w:rPr>
          <w:iCs/>
          <w:color w:val="000000" w:themeColor="text1"/>
          <w:sz w:val="26"/>
          <w:szCs w:val="26"/>
        </w:rPr>
        <w:t>,</w:t>
      </w:r>
      <w:r w:rsidRPr="00481242">
        <w:rPr>
          <w:i/>
          <w:color w:val="000000" w:themeColor="text1"/>
          <w:sz w:val="26"/>
          <w:szCs w:val="26"/>
        </w:rPr>
        <w:t xml:space="preserve"> </w:t>
      </w:r>
      <w:r w:rsidRPr="00481242">
        <w:rPr>
          <w:color w:val="000000" w:themeColor="text1"/>
          <w:sz w:val="26"/>
          <w:szCs w:val="26"/>
        </w:rPr>
        <w:t>768 A.2d at 1220</w:t>
      </w:r>
      <w:bookmarkEnd w:id="7"/>
      <w:r w:rsidRPr="00481242">
        <w:rPr>
          <w:color w:val="000000" w:themeColor="text1"/>
          <w:sz w:val="26"/>
          <w:szCs w:val="26"/>
        </w:rPr>
        <w:t xml:space="preserve">; </w:t>
      </w:r>
      <w:r w:rsidRPr="00481242">
        <w:rPr>
          <w:i/>
          <w:color w:val="000000" w:themeColor="text1"/>
          <w:sz w:val="26"/>
          <w:szCs w:val="26"/>
        </w:rPr>
        <w:t>see also, Riedel v. County of Allegheny</w:t>
      </w:r>
      <w:r w:rsidRPr="00481242">
        <w:rPr>
          <w:color w:val="000000" w:themeColor="text1"/>
          <w:sz w:val="26"/>
          <w:szCs w:val="26"/>
        </w:rPr>
        <w:t>, 633 A.2d 1325, 1328, n.</w:t>
      </w:r>
      <w:r w:rsidR="00A4045F">
        <w:rPr>
          <w:color w:val="000000" w:themeColor="text1"/>
          <w:sz w:val="26"/>
          <w:szCs w:val="26"/>
        </w:rPr>
        <w:t xml:space="preserve"> </w:t>
      </w:r>
      <w:r w:rsidRPr="00481242">
        <w:rPr>
          <w:color w:val="000000" w:themeColor="text1"/>
          <w:sz w:val="26"/>
          <w:szCs w:val="26"/>
        </w:rPr>
        <w:t xml:space="preserve">11 (Pa. </w:t>
      </w:r>
      <w:proofErr w:type="spellStart"/>
      <w:r w:rsidRPr="00481242">
        <w:rPr>
          <w:color w:val="000000" w:themeColor="text1"/>
          <w:sz w:val="26"/>
          <w:szCs w:val="26"/>
        </w:rPr>
        <w:t>Cmwlth</w:t>
      </w:r>
      <w:proofErr w:type="spellEnd"/>
      <w:r w:rsidRPr="00481242">
        <w:rPr>
          <w:color w:val="000000" w:themeColor="text1"/>
          <w:sz w:val="26"/>
          <w:szCs w:val="26"/>
        </w:rPr>
        <w:t xml:space="preserve">. 1993); </w:t>
      </w:r>
      <w:r w:rsidRPr="00481242">
        <w:rPr>
          <w:i/>
          <w:color w:val="000000" w:themeColor="text1"/>
          <w:sz w:val="26"/>
          <w:szCs w:val="26"/>
        </w:rPr>
        <w:t>see also</w:t>
      </w:r>
      <w:r w:rsidR="00611EF9">
        <w:rPr>
          <w:color w:val="000000" w:themeColor="text1"/>
          <w:sz w:val="26"/>
          <w:szCs w:val="26"/>
        </w:rPr>
        <w:t>,</w:t>
      </w:r>
      <w:r w:rsidRPr="00481242">
        <w:rPr>
          <w:i/>
          <w:color w:val="000000" w:themeColor="text1"/>
          <w:sz w:val="26"/>
          <w:szCs w:val="26"/>
        </w:rPr>
        <w:t xml:space="preserve"> Burleson</w:t>
      </w:r>
      <w:r w:rsidRPr="00481242">
        <w:rPr>
          <w:color w:val="000000" w:themeColor="text1"/>
          <w:sz w:val="26"/>
          <w:szCs w:val="26"/>
        </w:rPr>
        <w:t>, 443 A.2d at 1375</w:t>
      </w:r>
      <w:hyperlink r:id="rId12" w:history="1">
        <w:r w:rsidRPr="00481242">
          <w:rPr>
            <w:color w:val="000000" w:themeColor="text1"/>
            <w:sz w:val="26"/>
            <w:szCs w:val="26"/>
          </w:rPr>
          <w:t>.</w:t>
        </w:r>
      </w:hyperlink>
      <w:r w:rsidRPr="00481242">
        <w:rPr>
          <w:color w:val="000000" w:themeColor="text1"/>
          <w:sz w:val="26"/>
          <w:szCs w:val="26"/>
        </w:rPr>
        <w:t xml:space="preserve">  It is entirely possible for a party to carry the burden of production but not be entitled to a favorable ruling because the party did not carry the burden of persuasion.  </w:t>
      </w:r>
      <w:r w:rsidRPr="00481242">
        <w:rPr>
          <w:i/>
          <w:color w:val="000000" w:themeColor="text1"/>
          <w:sz w:val="26"/>
          <w:szCs w:val="26"/>
        </w:rPr>
        <w:t>See Moore.</w:t>
      </w:r>
      <w:r w:rsidRPr="00481242">
        <w:rPr>
          <w:color w:val="000000" w:themeColor="text1"/>
          <w:sz w:val="26"/>
          <w:szCs w:val="26"/>
        </w:rPr>
        <w:t xml:space="preserve">  In determining whet</w:t>
      </w:r>
      <w:r w:rsidR="00DD2BCB">
        <w:rPr>
          <w:color w:val="000000" w:themeColor="text1"/>
          <w:sz w:val="26"/>
          <w:szCs w:val="26"/>
        </w:rPr>
        <w:t>h</w:t>
      </w:r>
      <w:r w:rsidR="000E0F90">
        <w:rPr>
          <w:color w:val="000000" w:themeColor="text1"/>
          <w:sz w:val="26"/>
          <w:szCs w:val="26"/>
        </w:rPr>
        <w:t>er</w:t>
      </w:r>
      <w:r w:rsidRPr="00481242">
        <w:rPr>
          <w:color w:val="000000" w:themeColor="text1"/>
          <w:sz w:val="26"/>
          <w:szCs w:val="26"/>
        </w:rPr>
        <w:t xml:space="preserve"> a complainant has met the burden of persuasion, the fact-finder</w:t>
      </w:r>
      <w:r w:rsidRPr="00481242">
        <w:rPr>
          <w:rStyle w:val="FootnoteReference"/>
          <w:color w:val="000000" w:themeColor="text1"/>
          <w:sz w:val="26"/>
          <w:szCs w:val="26"/>
        </w:rPr>
        <w:footnoteReference w:id="5"/>
      </w:r>
      <w:r w:rsidRPr="00481242">
        <w:rPr>
          <w:color w:val="000000" w:themeColor="text1"/>
          <w:sz w:val="26"/>
          <w:szCs w:val="26"/>
        </w:rPr>
        <w:t xml:space="preserve"> may engage in determinations of credibility, may accept or reject testimony of any witness in whole or in part, and may accept or reject inferences from the evidence.</w:t>
      </w:r>
      <w:r w:rsidRPr="00481242">
        <w:rPr>
          <w:i/>
          <w:color w:val="000000" w:themeColor="text1"/>
          <w:sz w:val="26"/>
          <w:szCs w:val="26"/>
        </w:rPr>
        <w:t xml:space="preserve">  See Moore</w:t>
      </w:r>
      <w:r w:rsidRPr="00481242">
        <w:rPr>
          <w:color w:val="000000" w:themeColor="text1"/>
          <w:sz w:val="26"/>
          <w:szCs w:val="26"/>
        </w:rPr>
        <w:t>,</w:t>
      </w:r>
      <w:r w:rsidRPr="00481242">
        <w:rPr>
          <w:i/>
          <w:color w:val="000000" w:themeColor="text1"/>
          <w:sz w:val="26"/>
          <w:szCs w:val="26"/>
        </w:rPr>
        <w:t xml:space="preserve"> </w:t>
      </w:r>
      <w:r w:rsidRPr="00481242">
        <w:rPr>
          <w:color w:val="000000" w:themeColor="text1"/>
          <w:sz w:val="26"/>
          <w:szCs w:val="26"/>
        </w:rPr>
        <w:t xml:space="preserve">citing </w:t>
      </w:r>
      <w:proofErr w:type="spellStart"/>
      <w:r w:rsidR="0040694C" w:rsidRPr="002B3846">
        <w:rPr>
          <w:rFonts w:eastAsia="Calibri"/>
          <w:i/>
          <w:spacing w:val="-3"/>
          <w:sz w:val="26"/>
          <w:szCs w:val="26"/>
        </w:rPr>
        <w:t>Suber</w:t>
      </w:r>
      <w:proofErr w:type="spellEnd"/>
      <w:r w:rsidR="0040694C" w:rsidRPr="002B3846">
        <w:rPr>
          <w:rFonts w:eastAsia="Calibri"/>
          <w:i/>
          <w:spacing w:val="-3"/>
          <w:sz w:val="26"/>
          <w:szCs w:val="26"/>
        </w:rPr>
        <w:t xml:space="preserve"> v. Pa. Comm’n on Crime and Delinquency</w:t>
      </w:r>
      <w:r w:rsidR="0040694C" w:rsidRPr="002B3846">
        <w:rPr>
          <w:rFonts w:eastAsia="Calibri"/>
          <w:spacing w:val="-3"/>
          <w:sz w:val="26"/>
          <w:szCs w:val="26"/>
        </w:rPr>
        <w:t>, 885 A.2d 678 (</w:t>
      </w:r>
      <w:proofErr w:type="spellStart"/>
      <w:proofErr w:type="gramStart"/>
      <w:r w:rsidR="0040694C" w:rsidRPr="002B3846">
        <w:rPr>
          <w:rFonts w:eastAsia="Calibri"/>
          <w:spacing w:val="-3"/>
          <w:sz w:val="26"/>
          <w:szCs w:val="26"/>
        </w:rPr>
        <w:t>Pa.Cmwlth</w:t>
      </w:r>
      <w:proofErr w:type="spellEnd"/>
      <w:proofErr w:type="gramEnd"/>
      <w:r w:rsidR="0040694C" w:rsidRPr="002B3846">
        <w:rPr>
          <w:rFonts w:eastAsia="Calibri"/>
          <w:spacing w:val="-3"/>
          <w:sz w:val="26"/>
          <w:szCs w:val="26"/>
        </w:rPr>
        <w:t xml:space="preserve">. 2005), </w:t>
      </w:r>
      <w:r w:rsidR="0040694C" w:rsidRPr="005B42BA">
        <w:rPr>
          <w:rFonts w:eastAsia="Calibri"/>
          <w:i/>
          <w:iCs/>
          <w:spacing w:val="-3"/>
          <w:sz w:val="26"/>
          <w:szCs w:val="26"/>
        </w:rPr>
        <w:t>app</w:t>
      </w:r>
      <w:r w:rsidR="002B035F">
        <w:rPr>
          <w:rFonts w:eastAsia="Calibri"/>
          <w:i/>
          <w:iCs/>
          <w:spacing w:val="-3"/>
          <w:sz w:val="26"/>
          <w:szCs w:val="26"/>
        </w:rPr>
        <w:t>eal</w:t>
      </w:r>
      <w:r w:rsidR="0040694C" w:rsidRPr="005B42BA">
        <w:rPr>
          <w:rFonts w:eastAsia="Calibri"/>
          <w:i/>
          <w:iCs/>
          <w:spacing w:val="-3"/>
          <w:sz w:val="26"/>
          <w:szCs w:val="26"/>
        </w:rPr>
        <w:t xml:space="preserve"> denied</w:t>
      </w:r>
      <w:r w:rsidR="0040694C" w:rsidRPr="002B3846">
        <w:rPr>
          <w:rFonts w:eastAsia="Calibri"/>
          <w:spacing w:val="-3"/>
          <w:sz w:val="26"/>
          <w:szCs w:val="26"/>
        </w:rPr>
        <w:t>, 586 Pa. 776, 895 A.2d 1264 (2006).</w:t>
      </w:r>
    </w:p>
    <w:bookmarkEnd w:id="5"/>
    <w:bookmarkEnd w:id="6"/>
    <w:p w14:paraId="3B70CBC7" w14:textId="5A949FEE" w:rsidR="00545BA8" w:rsidRPr="00481242" w:rsidRDefault="00545BA8" w:rsidP="00481242">
      <w:pPr>
        <w:widowControl/>
        <w:spacing w:line="360" w:lineRule="auto"/>
        <w:ind w:firstLine="1440"/>
        <w:contextualSpacing/>
        <w:rPr>
          <w:color w:val="000000" w:themeColor="text1"/>
          <w:sz w:val="26"/>
          <w:szCs w:val="26"/>
        </w:rPr>
      </w:pPr>
    </w:p>
    <w:p w14:paraId="71465C25" w14:textId="59333640" w:rsidR="00E56517" w:rsidRPr="00481242" w:rsidRDefault="00E56517" w:rsidP="00481242">
      <w:pPr>
        <w:widowControl/>
        <w:spacing w:line="360" w:lineRule="auto"/>
        <w:ind w:firstLine="1440"/>
        <w:contextualSpacing/>
        <w:rPr>
          <w:color w:val="000000" w:themeColor="text1"/>
          <w:sz w:val="26"/>
          <w:szCs w:val="26"/>
        </w:rPr>
      </w:pPr>
      <w:bookmarkStart w:id="8" w:name="_Hlk24718624"/>
      <w:r w:rsidRPr="00481242">
        <w:rPr>
          <w:color w:val="000000" w:themeColor="text1"/>
          <w:sz w:val="26"/>
          <w:szCs w:val="26"/>
        </w:rPr>
        <w:t>The Commission has determined that t</w:t>
      </w:r>
      <w:r w:rsidR="00DD2BCB">
        <w:rPr>
          <w:color w:val="000000" w:themeColor="text1"/>
          <w:sz w:val="26"/>
          <w:szCs w:val="26"/>
        </w:rPr>
        <w:t>h</w:t>
      </w:r>
      <w:r w:rsidR="0030579F">
        <w:rPr>
          <w:color w:val="000000" w:themeColor="text1"/>
          <w:sz w:val="26"/>
          <w:szCs w:val="26"/>
        </w:rPr>
        <w:t>ere</w:t>
      </w:r>
      <w:r w:rsidRPr="00481242">
        <w:rPr>
          <w:color w:val="000000" w:themeColor="text1"/>
          <w:sz w:val="26"/>
          <w:szCs w:val="26"/>
        </w:rPr>
        <w:t xml:space="preserve"> is no provision in Act 129 or in the Code, the Commission’s Regulations or Orders</w:t>
      </w:r>
      <w:r w:rsidR="0030579F">
        <w:rPr>
          <w:color w:val="000000" w:themeColor="text1"/>
          <w:sz w:val="26"/>
          <w:szCs w:val="26"/>
        </w:rPr>
        <w:t>,</w:t>
      </w:r>
      <w:r w:rsidRPr="00481242">
        <w:rPr>
          <w:color w:val="000000" w:themeColor="text1"/>
          <w:sz w:val="26"/>
          <w:szCs w:val="26"/>
        </w:rPr>
        <w:t xml:space="preserve"> that permits a customer to “opt</w:t>
      </w:r>
      <w:r w:rsidR="00544935">
        <w:rPr>
          <w:color w:val="000000" w:themeColor="text1"/>
          <w:sz w:val="26"/>
          <w:szCs w:val="26"/>
        </w:rPr>
        <w:t xml:space="preserve"> </w:t>
      </w:r>
      <w:r w:rsidRPr="00481242">
        <w:rPr>
          <w:color w:val="000000" w:themeColor="text1"/>
          <w:sz w:val="26"/>
          <w:szCs w:val="26"/>
        </w:rPr>
        <w:t xml:space="preserve">out” of smart meter installation.  </w:t>
      </w:r>
      <w:r w:rsidRPr="00481242">
        <w:rPr>
          <w:i/>
          <w:iCs/>
          <w:color w:val="000000" w:themeColor="text1"/>
          <w:sz w:val="26"/>
          <w:szCs w:val="26"/>
        </w:rPr>
        <w:t>See</w:t>
      </w:r>
      <w:r w:rsidRPr="00481242">
        <w:rPr>
          <w:color w:val="000000" w:themeColor="text1"/>
          <w:sz w:val="26"/>
          <w:szCs w:val="26"/>
        </w:rPr>
        <w:t xml:space="preserve"> </w:t>
      </w:r>
      <w:r w:rsidRPr="00481242">
        <w:rPr>
          <w:i/>
          <w:iCs/>
          <w:color w:val="000000" w:themeColor="text1"/>
          <w:sz w:val="26"/>
          <w:szCs w:val="26"/>
        </w:rPr>
        <w:t xml:space="preserve">Maria </w:t>
      </w:r>
      <w:proofErr w:type="spellStart"/>
      <w:r w:rsidRPr="00481242">
        <w:rPr>
          <w:i/>
          <w:iCs/>
          <w:color w:val="000000" w:themeColor="text1"/>
          <w:sz w:val="26"/>
          <w:szCs w:val="26"/>
        </w:rPr>
        <w:t>Povacz</w:t>
      </w:r>
      <w:proofErr w:type="spellEnd"/>
      <w:r w:rsidRPr="00481242">
        <w:rPr>
          <w:i/>
          <w:iCs/>
          <w:color w:val="000000" w:themeColor="text1"/>
          <w:sz w:val="26"/>
          <w:szCs w:val="26"/>
        </w:rPr>
        <w:t xml:space="preserve"> v. PECO Energy Company</w:t>
      </w:r>
      <w:r w:rsidRPr="00481242">
        <w:rPr>
          <w:color w:val="000000" w:themeColor="text1"/>
          <w:sz w:val="26"/>
          <w:szCs w:val="26"/>
        </w:rPr>
        <w:t>, Docket No. C</w:t>
      </w:r>
      <w:r w:rsidR="007E4C92" w:rsidRPr="00481242">
        <w:rPr>
          <w:color w:val="000000" w:themeColor="text1"/>
          <w:sz w:val="26"/>
          <w:szCs w:val="26"/>
        </w:rPr>
        <w:noBreakHyphen/>
      </w:r>
      <w:r w:rsidRPr="00481242">
        <w:rPr>
          <w:color w:val="000000" w:themeColor="text1"/>
          <w:sz w:val="26"/>
          <w:szCs w:val="26"/>
        </w:rPr>
        <w:t>2012-2317176 (Order entered January 24, 2013) (</w:t>
      </w:r>
      <w:r w:rsidRPr="00481242">
        <w:rPr>
          <w:i/>
          <w:color w:val="000000" w:themeColor="text1"/>
          <w:sz w:val="26"/>
          <w:szCs w:val="26"/>
        </w:rPr>
        <w:t xml:space="preserve">2013 </w:t>
      </w:r>
      <w:proofErr w:type="spellStart"/>
      <w:r w:rsidRPr="00481242">
        <w:rPr>
          <w:i/>
          <w:color w:val="000000" w:themeColor="text1"/>
          <w:sz w:val="26"/>
          <w:szCs w:val="26"/>
        </w:rPr>
        <w:t>Povacz</w:t>
      </w:r>
      <w:proofErr w:type="spellEnd"/>
      <w:r w:rsidRPr="00481242">
        <w:rPr>
          <w:i/>
          <w:color w:val="000000" w:themeColor="text1"/>
          <w:sz w:val="26"/>
          <w:szCs w:val="26"/>
        </w:rPr>
        <w:t xml:space="preserve"> Order</w:t>
      </w:r>
      <w:r w:rsidRPr="00481242">
        <w:rPr>
          <w:color w:val="000000" w:themeColor="text1"/>
          <w:sz w:val="26"/>
          <w:szCs w:val="26"/>
        </w:rPr>
        <w:t xml:space="preserve">); </w:t>
      </w:r>
      <w:r w:rsidRPr="00481242">
        <w:rPr>
          <w:i/>
          <w:iCs/>
          <w:color w:val="000000" w:themeColor="text1"/>
          <w:sz w:val="26"/>
          <w:szCs w:val="26"/>
        </w:rPr>
        <w:t>see also</w:t>
      </w:r>
      <w:r w:rsidR="00611EF9">
        <w:rPr>
          <w:i/>
          <w:iCs/>
          <w:color w:val="000000" w:themeColor="text1"/>
          <w:sz w:val="26"/>
          <w:szCs w:val="26"/>
        </w:rPr>
        <w:t>,</w:t>
      </w:r>
      <w:r w:rsidRPr="00481242">
        <w:rPr>
          <w:color w:val="000000" w:themeColor="text1"/>
          <w:sz w:val="26"/>
          <w:szCs w:val="26"/>
        </w:rPr>
        <w:t xml:space="preserve"> </w:t>
      </w:r>
      <w:proofErr w:type="spellStart"/>
      <w:r w:rsidR="005D5E32" w:rsidRPr="00481242">
        <w:rPr>
          <w:i/>
          <w:iCs/>
          <w:color w:val="000000" w:themeColor="text1"/>
          <w:sz w:val="26"/>
          <w:szCs w:val="26"/>
        </w:rPr>
        <w:t>Cat</w:t>
      </w:r>
      <w:r w:rsidR="00DD2BCB">
        <w:rPr>
          <w:i/>
          <w:iCs/>
          <w:color w:val="000000" w:themeColor="text1"/>
          <w:sz w:val="26"/>
          <w:szCs w:val="26"/>
        </w:rPr>
        <w:t>his</w:t>
      </w:r>
      <w:r w:rsidR="005D5E32" w:rsidRPr="00481242">
        <w:rPr>
          <w:i/>
          <w:iCs/>
          <w:color w:val="000000" w:themeColor="text1"/>
          <w:sz w:val="26"/>
          <w:szCs w:val="26"/>
        </w:rPr>
        <w:t>ine</w:t>
      </w:r>
      <w:proofErr w:type="spellEnd"/>
      <w:r w:rsidR="005D5E32" w:rsidRPr="00481242">
        <w:rPr>
          <w:i/>
          <w:iCs/>
          <w:color w:val="000000" w:themeColor="text1"/>
          <w:sz w:val="26"/>
          <w:szCs w:val="26"/>
        </w:rPr>
        <w:t xml:space="preserve"> J. </w:t>
      </w:r>
      <w:proofErr w:type="spellStart"/>
      <w:r w:rsidRPr="00481242">
        <w:rPr>
          <w:i/>
          <w:iCs/>
          <w:color w:val="000000" w:themeColor="text1"/>
          <w:sz w:val="26"/>
          <w:szCs w:val="26"/>
        </w:rPr>
        <w:t>Frompovich</w:t>
      </w:r>
      <w:proofErr w:type="spellEnd"/>
      <w:r w:rsidRPr="00481242">
        <w:rPr>
          <w:i/>
          <w:iCs/>
          <w:color w:val="000000" w:themeColor="text1"/>
          <w:sz w:val="26"/>
          <w:szCs w:val="26"/>
        </w:rPr>
        <w:t xml:space="preserve"> v. PECO Energy C</w:t>
      </w:r>
      <w:r w:rsidR="00FC0D4E">
        <w:rPr>
          <w:i/>
          <w:iCs/>
          <w:color w:val="000000" w:themeColor="text1"/>
          <w:sz w:val="26"/>
          <w:szCs w:val="26"/>
        </w:rPr>
        <w:t>ompany</w:t>
      </w:r>
      <w:r w:rsidRPr="00481242">
        <w:rPr>
          <w:color w:val="000000" w:themeColor="text1"/>
          <w:sz w:val="26"/>
          <w:szCs w:val="26"/>
        </w:rPr>
        <w:t>, Docket No. C-2015-2474602 (Order entered May 3, 2018) (</w:t>
      </w:r>
      <w:proofErr w:type="spellStart"/>
      <w:r w:rsidRPr="00481242">
        <w:rPr>
          <w:i/>
          <w:iCs/>
          <w:color w:val="000000" w:themeColor="text1"/>
          <w:sz w:val="26"/>
          <w:szCs w:val="26"/>
        </w:rPr>
        <w:t>Frompovich</w:t>
      </w:r>
      <w:proofErr w:type="spellEnd"/>
      <w:r w:rsidRPr="00481242">
        <w:rPr>
          <w:color w:val="000000" w:themeColor="text1"/>
          <w:sz w:val="26"/>
          <w:szCs w:val="26"/>
        </w:rPr>
        <w:t>).  However, the Commission has determined that</w:t>
      </w:r>
      <w:r w:rsidR="0060013E">
        <w:rPr>
          <w:color w:val="000000" w:themeColor="text1"/>
          <w:sz w:val="26"/>
          <w:szCs w:val="26"/>
        </w:rPr>
        <w:t xml:space="preserve"> if</w:t>
      </w:r>
      <w:r w:rsidRPr="00481242">
        <w:rPr>
          <w:color w:val="000000" w:themeColor="text1"/>
          <w:sz w:val="26"/>
          <w:szCs w:val="26"/>
        </w:rPr>
        <w:t xml:space="preserve"> a customer’s formal complaint can raise a claim under Section 1501 of the Code, 66</w:t>
      </w:r>
      <w:r w:rsidR="000A78E3">
        <w:rPr>
          <w:color w:val="000000" w:themeColor="text1"/>
          <w:sz w:val="26"/>
          <w:szCs w:val="26"/>
        </w:rPr>
        <w:t> </w:t>
      </w:r>
      <w:r w:rsidRPr="00481242">
        <w:rPr>
          <w:color w:val="000000" w:themeColor="text1"/>
          <w:sz w:val="26"/>
          <w:szCs w:val="26"/>
        </w:rPr>
        <w:t>Pa.</w:t>
      </w:r>
      <w:r w:rsidR="0078391C">
        <w:rPr>
          <w:color w:val="000000" w:themeColor="text1"/>
          <w:sz w:val="26"/>
          <w:szCs w:val="26"/>
        </w:rPr>
        <w:t xml:space="preserve"> </w:t>
      </w:r>
      <w:r w:rsidRPr="00481242">
        <w:rPr>
          <w:color w:val="000000" w:themeColor="text1"/>
          <w:sz w:val="26"/>
          <w:szCs w:val="26"/>
        </w:rPr>
        <w:t>C.S. § 1501, related to the safety of a utility’s installation and use of a smart meter at the customer’s residence</w:t>
      </w:r>
      <w:r w:rsidR="00405F2F">
        <w:rPr>
          <w:color w:val="000000" w:themeColor="text1"/>
          <w:sz w:val="26"/>
          <w:szCs w:val="26"/>
        </w:rPr>
        <w:t xml:space="preserve">, </w:t>
      </w:r>
      <w:r w:rsidRPr="00481242">
        <w:rPr>
          <w:color w:val="000000" w:themeColor="text1"/>
          <w:sz w:val="26"/>
          <w:szCs w:val="26"/>
        </w:rPr>
        <w:t>such a clai</w:t>
      </w:r>
      <w:r w:rsidR="0060013E">
        <w:rPr>
          <w:color w:val="000000" w:themeColor="text1"/>
          <w:sz w:val="26"/>
          <w:szCs w:val="26"/>
        </w:rPr>
        <w:t>m</w:t>
      </w:r>
      <w:r w:rsidRPr="00481242">
        <w:rPr>
          <w:color w:val="000000" w:themeColor="text1"/>
          <w:sz w:val="26"/>
          <w:szCs w:val="26"/>
        </w:rPr>
        <w:t xml:space="preserve"> is legally sufficient to proceed to an evidentiary </w:t>
      </w:r>
      <w:r w:rsidRPr="00481242">
        <w:rPr>
          <w:color w:val="000000" w:themeColor="text1"/>
          <w:sz w:val="26"/>
          <w:szCs w:val="26"/>
        </w:rPr>
        <w:lastRenderedPageBreak/>
        <w:t xml:space="preserve">hearing before an ALJ.  </w:t>
      </w:r>
      <w:r w:rsidRPr="00481242">
        <w:rPr>
          <w:i/>
          <w:iCs/>
          <w:color w:val="000000" w:themeColor="text1"/>
          <w:sz w:val="26"/>
          <w:szCs w:val="26"/>
        </w:rPr>
        <w:t>See</w:t>
      </w:r>
      <w:r w:rsidRPr="00481242">
        <w:rPr>
          <w:color w:val="000000" w:themeColor="text1"/>
          <w:sz w:val="26"/>
          <w:szCs w:val="26"/>
        </w:rPr>
        <w:t xml:space="preserve"> </w:t>
      </w:r>
      <w:r w:rsidRPr="00481242">
        <w:rPr>
          <w:i/>
          <w:color w:val="000000" w:themeColor="text1"/>
          <w:sz w:val="26"/>
          <w:szCs w:val="26"/>
        </w:rPr>
        <w:t>Susan Kreider v. PECO Energy Company</w:t>
      </w:r>
      <w:r w:rsidRPr="00481242">
        <w:rPr>
          <w:color w:val="000000" w:themeColor="text1"/>
          <w:sz w:val="26"/>
          <w:szCs w:val="26"/>
        </w:rPr>
        <w:t>,</w:t>
      </w:r>
      <w:r w:rsidRPr="00481242">
        <w:rPr>
          <w:color w:val="000000" w:themeColor="text1"/>
          <w:kern w:val="20"/>
          <w:sz w:val="26"/>
          <w:szCs w:val="26"/>
        </w:rPr>
        <w:t xml:space="preserve"> </w:t>
      </w:r>
      <w:r w:rsidR="005D5E32" w:rsidRPr="00481242">
        <w:rPr>
          <w:color w:val="000000" w:themeColor="text1"/>
          <w:kern w:val="20"/>
          <w:sz w:val="26"/>
          <w:szCs w:val="26"/>
        </w:rPr>
        <w:t xml:space="preserve">Docket No. </w:t>
      </w:r>
      <w:r w:rsidRPr="00481242">
        <w:rPr>
          <w:color w:val="000000" w:themeColor="text1"/>
          <w:kern w:val="20"/>
          <w:sz w:val="26"/>
          <w:szCs w:val="26"/>
        </w:rPr>
        <w:t>P</w:t>
      </w:r>
      <w:r w:rsidRPr="00481242">
        <w:rPr>
          <w:color w:val="000000" w:themeColor="text1"/>
          <w:kern w:val="20"/>
          <w:sz w:val="26"/>
          <w:szCs w:val="26"/>
        </w:rPr>
        <w:noBreakHyphen/>
        <w:t>2015-2495064</w:t>
      </w:r>
      <w:r w:rsidRPr="00481242">
        <w:rPr>
          <w:color w:val="000000" w:themeColor="text1"/>
          <w:sz w:val="26"/>
          <w:szCs w:val="26"/>
        </w:rPr>
        <w:t xml:space="preserve"> (Order entered January 28, 2016)</w:t>
      </w:r>
      <w:r w:rsidR="002A4E46" w:rsidRPr="00481242">
        <w:rPr>
          <w:color w:val="000000" w:themeColor="text1"/>
          <w:sz w:val="26"/>
          <w:szCs w:val="26"/>
        </w:rPr>
        <w:t xml:space="preserve"> (</w:t>
      </w:r>
      <w:r w:rsidR="00D22F8E" w:rsidRPr="00D22F8E">
        <w:rPr>
          <w:i/>
          <w:iCs/>
          <w:color w:val="000000" w:themeColor="text1"/>
          <w:sz w:val="26"/>
          <w:szCs w:val="26"/>
        </w:rPr>
        <w:t xml:space="preserve">2016 </w:t>
      </w:r>
      <w:r w:rsidR="002A4E46" w:rsidRPr="00481242">
        <w:rPr>
          <w:i/>
          <w:iCs/>
          <w:color w:val="000000" w:themeColor="text1"/>
          <w:sz w:val="26"/>
          <w:szCs w:val="26"/>
        </w:rPr>
        <w:t>Kreider</w:t>
      </w:r>
      <w:r w:rsidR="002A4E46" w:rsidRPr="00481242">
        <w:rPr>
          <w:color w:val="000000" w:themeColor="text1"/>
          <w:sz w:val="26"/>
          <w:szCs w:val="26"/>
        </w:rPr>
        <w:t>)</w:t>
      </w:r>
      <w:r w:rsidRPr="00481242">
        <w:rPr>
          <w:color w:val="000000" w:themeColor="text1"/>
          <w:sz w:val="26"/>
          <w:szCs w:val="26"/>
        </w:rPr>
        <w:t>.  At the hearing, a complainant may prove his/</w:t>
      </w:r>
      <w:r w:rsidR="00DD2BCB">
        <w:rPr>
          <w:color w:val="000000" w:themeColor="text1"/>
          <w:sz w:val="26"/>
          <w:szCs w:val="26"/>
        </w:rPr>
        <w:t>h</w:t>
      </w:r>
      <w:r w:rsidR="00CF4BEE">
        <w:rPr>
          <w:color w:val="000000" w:themeColor="text1"/>
          <w:sz w:val="26"/>
          <w:szCs w:val="26"/>
        </w:rPr>
        <w:t>er</w:t>
      </w:r>
      <w:r w:rsidRPr="00481242">
        <w:rPr>
          <w:color w:val="000000" w:themeColor="text1"/>
          <w:sz w:val="26"/>
          <w:szCs w:val="26"/>
        </w:rPr>
        <w:t xml:space="preserve"> claim through the complainant’s own personal testimony and/or “the testimony of ot</w:t>
      </w:r>
      <w:r w:rsidR="00DD2BCB">
        <w:rPr>
          <w:color w:val="000000" w:themeColor="text1"/>
          <w:sz w:val="26"/>
          <w:szCs w:val="26"/>
        </w:rPr>
        <w:t>h</w:t>
      </w:r>
      <w:r w:rsidR="00B6506E">
        <w:rPr>
          <w:color w:val="000000" w:themeColor="text1"/>
          <w:sz w:val="26"/>
          <w:szCs w:val="26"/>
        </w:rPr>
        <w:t>ers</w:t>
      </w:r>
      <w:r w:rsidRPr="00481242">
        <w:rPr>
          <w:color w:val="000000" w:themeColor="text1"/>
          <w:sz w:val="26"/>
          <w:szCs w:val="26"/>
        </w:rPr>
        <w:t xml:space="preserve"> as well as ot</w:t>
      </w:r>
      <w:r w:rsidR="00DD2BCB">
        <w:rPr>
          <w:color w:val="000000" w:themeColor="text1"/>
          <w:sz w:val="26"/>
          <w:szCs w:val="26"/>
        </w:rPr>
        <w:t>h</w:t>
      </w:r>
      <w:r w:rsidR="00B6506E">
        <w:rPr>
          <w:color w:val="000000" w:themeColor="text1"/>
          <w:sz w:val="26"/>
          <w:szCs w:val="26"/>
        </w:rPr>
        <w:t>er</w:t>
      </w:r>
      <w:r w:rsidRPr="00481242">
        <w:rPr>
          <w:color w:val="000000" w:themeColor="text1"/>
          <w:sz w:val="26"/>
          <w:szCs w:val="26"/>
        </w:rPr>
        <w:t xml:space="preserve"> evidence that goes to that issue.”  </w:t>
      </w:r>
      <w:r w:rsidRPr="00481242">
        <w:rPr>
          <w:i/>
          <w:color w:val="000000" w:themeColor="text1"/>
          <w:sz w:val="26"/>
          <w:szCs w:val="26"/>
        </w:rPr>
        <w:t>Romeo v. Pa. PUC</w:t>
      </w:r>
      <w:r w:rsidRPr="00481242">
        <w:rPr>
          <w:color w:val="000000" w:themeColor="text1"/>
          <w:sz w:val="26"/>
          <w:szCs w:val="26"/>
        </w:rPr>
        <w:t xml:space="preserve">, 154 A.3d 422, 430 (Pa. </w:t>
      </w:r>
      <w:proofErr w:type="spellStart"/>
      <w:r w:rsidRPr="00481242">
        <w:rPr>
          <w:color w:val="000000" w:themeColor="text1"/>
          <w:sz w:val="26"/>
          <w:szCs w:val="26"/>
        </w:rPr>
        <w:t>Cmwlth</w:t>
      </w:r>
      <w:proofErr w:type="spellEnd"/>
      <w:r w:rsidRPr="00481242">
        <w:rPr>
          <w:color w:val="000000" w:themeColor="text1"/>
          <w:sz w:val="26"/>
          <w:szCs w:val="26"/>
        </w:rPr>
        <w:t>. 2017)</w:t>
      </w:r>
      <w:r w:rsidR="00177801" w:rsidRPr="00481242">
        <w:rPr>
          <w:color w:val="000000" w:themeColor="text1"/>
          <w:sz w:val="26"/>
          <w:szCs w:val="26"/>
        </w:rPr>
        <w:t xml:space="preserve"> (</w:t>
      </w:r>
      <w:r w:rsidR="00177801" w:rsidRPr="00481242">
        <w:rPr>
          <w:i/>
          <w:iCs/>
          <w:color w:val="000000" w:themeColor="text1"/>
          <w:sz w:val="26"/>
          <w:szCs w:val="26"/>
        </w:rPr>
        <w:t>Romeo</w:t>
      </w:r>
      <w:r w:rsidR="00177801" w:rsidRPr="00481242">
        <w:rPr>
          <w:color w:val="000000" w:themeColor="text1"/>
          <w:sz w:val="26"/>
          <w:szCs w:val="26"/>
        </w:rPr>
        <w:t>)</w:t>
      </w:r>
      <w:r w:rsidRPr="00481242">
        <w:rPr>
          <w:color w:val="000000" w:themeColor="text1"/>
          <w:sz w:val="26"/>
          <w:szCs w:val="26"/>
        </w:rPr>
        <w:t>.</w:t>
      </w:r>
    </w:p>
    <w:p w14:paraId="4EEA7B65" w14:textId="77777777" w:rsidR="00E75AE0" w:rsidRPr="00481242" w:rsidRDefault="00E75AE0" w:rsidP="00481242">
      <w:pPr>
        <w:widowControl/>
        <w:spacing w:line="360" w:lineRule="auto"/>
        <w:ind w:firstLine="1440"/>
        <w:contextualSpacing/>
        <w:rPr>
          <w:color w:val="000000" w:themeColor="text1"/>
          <w:sz w:val="26"/>
          <w:szCs w:val="26"/>
        </w:rPr>
      </w:pPr>
    </w:p>
    <w:p w14:paraId="028FDE18" w14:textId="2587CA60" w:rsidR="00E75AE0" w:rsidRPr="00481242" w:rsidRDefault="00E75AE0" w:rsidP="00481242">
      <w:pPr>
        <w:widowControl/>
        <w:spacing w:line="360" w:lineRule="auto"/>
        <w:ind w:firstLine="1440"/>
        <w:contextualSpacing/>
        <w:rPr>
          <w:color w:val="000000" w:themeColor="text1"/>
          <w:sz w:val="26"/>
          <w:szCs w:val="26"/>
        </w:rPr>
      </w:pPr>
      <w:bookmarkStart w:id="9" w:name="_Hlk39487845"/>
      <w:bookmarkEnd w:id="8"/>
      <w:r w:rsidRPr="00481242">
        <w:rPr>
          <w:color w:val="000000" w:themeColor="text1"/>
          <w:sz w:val="26"/>
          <w:szCs w:val="26"/>
        </w:rPr>
        <w:t xml:space="preserve">Pursuant to Section 1501 of the Code, a public utility has a duty to maintain “adequate, efficient, safe, and reasonable service and facilities” and to make repairs, changes, and improvements that are necessary or proper for the accommodation, convenience, and safety of its patrons, employees, and the public.  </w:t>
      </w:r>
      <w:r w:rsidRPr="00481242">
        <w:rPr>
          <w:i/>
          <w:color w:val="000000" w:themeColor="text1"/>
          <w:sz w:val="26"/>
          <w:szCs w:val="26"/>
        </w:rPr>
        <w:t>See</w:t>
      </w:r>
      <w:r w:rsidR="00254CCB" w:rsidRPr="00481242">
        <w:rPr>
          <w:i/>
          <w:color w:val="000000" w:themeColor="text1"/>
          <w:sz w:val="26"/>
          <w:szCs w:val="26"/>
        </w:rPr>
        <w:t>,</w:t>
      </w:r>
      <w:r w:rsidRPr="00481242">
        <w:rPr>
          <w:color w:val="000000" w:themeColor="text1"/>
          <w:sz w:val="26"/>
          <w:szCs w:val="26"/>
        </w:rPr>
        <w:t xml:space="preserve"> 66 Pa.</w:t>
      </w:r>
      <w:r w:rsidR="00BF4BB8">
        <w:rPr>
          <w:color w:val="000000" w:themeColor="text1"/>
          <w:sz w:val="26"/>
          <w:szCs w:val="26"/>
        </w:rPr>
        <w:t xml:space="preserve"> </w:t>
      </w:r>
      <w:r w:rsidRPr="00481242">
        <w:rPr>
          <w:color w:val="000000" w:themeColor="text1"/>
          <w:sz w:val="26"/>
          <w:szCs w:val="26"/>
        </w:rPr>
        <w:t>C.S.</w:t>
      </w:r>
      <w:r w:rsidR="0005422D">
        <w:rPr>
          <w:color w:val="000000" w:themeColor="text1"/>
          <w:sz w:val="26"/>
          <w:szCs w:val="26"/>
        </w:rPr>
        <w:t xml:space="preserve"> </w:t>
      </w:r>
      <w:r w:rsidRPr="00481242">
        <w:rPr>
          <w:color w:val="000000" w:themeColor="text1"/>
          <w:sz w:val="26"/>
          <w:szCs w:val="26"/>
        </w:rPr>
        <w:t>§</w:t>
      </w:r>
      <w:r w:rsidR="0005422D">
        <w:rPr>
          <w:color w:val="000000" w:themeColor="text1"/>
          <w:sz w:val="26"/>
          <w:szCs w:val="26"/>
        </w:rPr>
        <w:t> </w:t>
      </w:r>
      <w:r w:rsidRPr="00481242">
        <w:rPr>
          <w:color w:val="000000" w:themeColor="text1"/>
          <w:sz w:val="26"/>
          <w:szCs w:val="26"/>
        </w:rPr>
        <w:t>1501.  Section 1501 of the Code, 66 Pa.</w:t>
      </w:r>
      <w:r w:rsidR="00F464AC" w:rsidRPr="00481242">
        <w:rPr>
          <w:color w:val="000000" w:themeColor="text1"/>
          <w:sz w:val="26"/>
          <w:szCs w:val="26"/>
        </w:rPr>
        <w:t xml:space="preserve"> </w:t>
      </w:r>
      <w:r w:rsidRPr="00481242">
        <w:rPr>
          <w:color w:val="000000" w:themeColor="text1"/>
          <w:sz w:val="26"/>
          <w:szCs w:val="26"/>
        </w:rPr>
        <w:t>C.S. § 1501, provides, in pertinent part, as follows:</w:t>
      </w:r>
    </w:p>
    <w:p w14:paraId="644800E1" w14:textId="77777777" w:rsidR="00E75AE0" w:rsidRPr="00481242" w:rsidRDefault="00E75AE0" w:rsidP="0005422D">
      <w:pPr>
        <w:widowControl/>
        <w:ind w:firstLine="1440"/>
        <w:rPr>
          <w:color w:val="000000" w:themeColor="text1"/>
          <w:sz w:val="26"/>
          <w:szCs w:val="26"/>
        </w:rPr>
      </w:pPr>
    </w:p>
    <w:p w14:paraId="3956A07E" w14:textId="77777777" w:rsidR="00E75AE0" w:rsidRPr="00481242" w:rsidRDefault="00E75AE0" w:rsidP="00481242">
      <w:pPr>
        <w:widowControl/>
        <w:ind w:left="1440" w:right="1440"/>
        <w:rPr>
          <w:color w:val="000000" w:themeColor="text1"/>
          <w:sz w:val="26"/>
          <w:szCs w:val="26"/>
        </w:rPr>
      </w:pPr>
      <w:r w:rsidRPr="00481242">
        <w:rPr>
          <w:color w:val="000000" w:themeColor="text1"/>
          <w:sz w:val="26"/>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 . . Such service and facilities shall be in conformity with the regulations and orders of the commission.</w:t>
      </w:r>
    </w:p>
    <w:p w14:paraId="4B57C9B4" w14:textId="77777777" w:rsidR="00E75AE0" w:rsidRPr="00481242" w:rsidRDefault="00E75AE0" w:rsidP="005B42BA">
      <w:pPr>
        <w:widowControl/>
        <w:spacing w:line="360" w:lineRule="auto"/>
        <w:ind w:right="1440"/>
        <w:jc w:val="center"/>
        <w:rPr>
          <w:color w:val="000000" w:themeColor="text1"/>
          <w:sz w:val="26"/>
          <w:szCs w:val="26"/>
        </w:rPr>
      </w:pPr>
    </w:p>
    <w:p w14:paraId="01E1E69F" w14:textId="484567CA" w:rsidR="00E75AE0" w:rsidRPr="00481242" w:rsidRDefault="00E75AE0" w:rsidP="002E0508">
      <w:pPr>
        <w:widowControl/>
        <w:kinsoku w:val="0"/>
        <w:overflowPunct w:val="0"/>
        <w:spacing w:line="360" w:lineRule="auto"/>
        <w:ind w:firstLine="1440"/>
        <w:contextualSpacing/>
        <w:textAlignment w:val="baseline"/>
        <w:rPr>
          <w:color w:val="000000" w:themeColor="text1"/>
          <w:sz w:val="26"/>
          <w:szCs w:val="26"/>
        </w:rPr>
      </w:pPr>
      <w:r w:rsidRPr="00481242">
        <w:rPr>
          <w:color w:val="000000" w:themeColor="text1"/>
          <w:sz w:val="26"/>
          <w:szCs w:val="26"/>
        </w:rPr>
        <w:t xml:space="preserve">The term “service” is defined broadly under Section 102 of the Code to include any and all acts done or </w:t>
      </w:r>
      <w:proofErr w:type="gramStart"/>
      <w:r w:rsidRPr="00481242">
        <w:rPr>
          <w:color w:val="000000" w:themeColor="text1"/>
          <w:sz w:val="26"/>
          <w:szCs w:val="26"/>
        </w:rPr>
        <w:t>rendered, or</w:t>
      </w:r>
      <w:proofErr w:type="gramEnd"/>
      <w:r w:rsidRPr="00481242">
        <w:rPr>
          <w:color w:val="000000" w:themeColor="text1"/>
          <w:sz w:val="26"/>
          <w:szCs w:val="26"/>
        </w:rPr>
        <w:t xml:space="preserve"> performed and any and all things furnished or supplied and any and all facilities, used, furnished or supplied by public utilities</w:t>
      </w:r>
      <w:r w:rsidR="00C93518">
        <w:rPr>
          <w:color w:val="000000" w:themeColor="text1"/>
          <w:sz w:val="26"/>
          <w:szCs w:val="26"/>
        </w:rPr>
        <w:t>.</w:t>
      </w:r>
      <w:r w:rsidRPr="00481242">
        <w:rPr>
          <w:color w:val="000000" w:themeColor="text1"/>
          <w:sz w:val="26"/>
          <w:szCs w:val="26"/>
        </w:rPr>
        <w:t xml:space="preserve">  </w:t>
      </w:r>
      <w:r w:rsidRPr="00481242">
        <w:rPr>
          <w:i/>
          <w:color w:val="000000" w:themeColor="text1"/>
          <w:sz w:val="26"/>
          <w:szCs w:val="26"/>
        </w:rPr>
        <w:t>See</w:t>
      </w:r>
      <w:r w:rsidR="00C93518">
        <w:rPr>
          <w:i/>
          <w:color w:val="000000" w:themeColor="text1"/>
          <w:sz w:val="26"/>
          <w:szCs w:val="26"/>
        </w:rPr>
        <w:t>,</w:t>
      </w:r>
      <w:r w:rsidRPr="00481242">
        <w:rPr>
          <w:color w:val="000000" w:themeColor="text1"/>
          <w:sz w:val="26"/>
          <w:szCs w:val="26"/>
        </w:rPr>
        <w:t xml:space="preserve"> </w:t>
      </w:r>
      <w:hyperlink r:id="rId13" w:history="1">
        <w:r w:rsidRPr="00481242">
          <w:rPr>
            <w:color w:val="000000" w:themeColor="text1"/>
            <w:sz w:val="26"/>
            <w:szCs w:val="26"/>
          </w:rPr>
          <w:t>66 Pa.</w:t>
        </w:r>
        <w:r w:rsidR="00793357">
          <w:rPr>
            <w:color w:val="000000" w:themeColor="text1"/>
            <w:sz w:val="26"/>
            <w:szCs w:val="26"/>
          </w:rPr>
          <w:t xml:space="preserve"> </w:t>
        </w:r>
        <w:r w:rsidRPr="00481242">
          <w:rPr>
            <w:color w:val="000000" w:themeColor="text1"/>
            <w:sz w:val="26"/>
            <w:szCs w:val="26"/>
          </w:rPr>
          <w:t>C.S. § 102</w:t>
        </w:r>
      </w:hyperlink>
      <w:r w:rsidRPr="00481242">
        <w:rPr>
          <w:color w:val="000000" w:themeColor="text1"/>
          <w:sz w:val="26"/>
          <w:szCs w:val="26"/>
        </w:rPr>
        <w:t xml:space="preserve">.  The statutory definition of “service” is also to be broadly construed by the Commission and the courts.  </w:t>
      </w:r>
      <w:hyperlink r:id="rId14" w:history="1">
        <w:r w:rsidRPr="00481242">
          <w:rPr>
            <w:i/>
            <w:iCs/>
            <w:color w:val="000000" w:themeColor="text1"/>
            <w:sz w:val="26"/>
            <w:szCs w:val="26"/>
          </w:rPr>
          <w:t>Country Place Waste Treatment Co., Inc. v. Pa. PUC</w:t>
        </w:r>
        <w:r w:rsidRPr="00481242">
          <w:rPr>
            <w:color w:val="000000" w:themeColor="text1"/>
            <w:sz w:val="26"/>
            <w:szCs w:val="26"/>
          </w:rPr>
          <w:t xml:space="preserve">, 654 A.2d 72 (Pa. </w:t>
        </w:r>
        <w:proofErr w:type="spellStart"/>
        <w:r w:rsidRPr="00481242">
          <w:rPr>
            <w:color w:val="000000" w:themeColor="text1"/>
            <w:sz w:val="26"/>
            <w:szCs w:val="26"/>
          </w:rPr>
          <w:t>Cmwlth</w:t>
        </w:r>
        <w:proofErr w:type="spellEnd"/>
        <w:r w:rsidRPr="00481242">
          <w:rPr>
            <w:color w:val="000000" w:themeColor="text1"/>
            <w:sz w:val="26"/>
            <w:szCs w:val="26"/>
          </w:rPr>
          <w:t>. 1995)</w:t>
        </w:r>
      </w:hyperlink>
      <w:r w:rsidRPr="00481242">
        <w:rPr>
          <w:color w:val="000000" w:themeColor="text1"/>
          <w:sz w:val="26"/>
          <w:szCs w:val="26"/>
        </w:rPr>
        <w:t>.</w:t>
      </w:r>
    </w:p>
    <w:p w14:paraId="52590846" w14:textId="77777777" w:rsidR="00E75AE0" w:rsidRPr="00481242" w:rsidRDefault="00E75AE0" w:rsidP="002E0508">
      <w:pPr>
        <w:widowControl/>
        <w:spacing w:line="360" w:lineRule="auto"/>
        <w:ind w:firstLine="1440"/>
        <w:contextualSpacing/>
        <w:rPr>
          <w:color w:val="000000" w:themeColor="text1"/>
          <w:sz w:val="26"/>
          <w:szCs w:val="26"/>
        </w:rPr>
      </w:pPr>
    </w:p>
    <w:p w14:paraId="3C9F4D35" w14:textId="7326686C" w:rsidR="00E75AE0" w:rsidRDefault="00E75AE0" w:rsidP="002E0508">
      <w:pPr>
        <w:widowControl/>
        <w:spacing w:line="360" w:lineRule="auto"/>
        <w:ind w:firstLine="1440"/>
        <w:contextualSpacing/>
        <w:rPr>
          <w:color w:val="000000" w:themeColor="text1"/>
          <w:sz w:val="26"/>
          <w:szCs w:val="26"/>
        </w:rPr>
      </w:pPr>
      <w:r w:rsidRPr="00481242">
        <w:rPr>
          <w:color w:val="000000" w:themeColor="text1"/>
          <w:sz w:val="26"/>
          <w:szCs w:val="26"/>
        </w:rPr>
        <w:lastRenderedPageBreak/>
        <w:t>Pursuant to Section 57.28(a)(1) of our Regulations,</w:t>
      </w:r>
      <w:r w:rsidRPr="00481242">
        <w:rPr>
          <w:rStyle w:val="FootnoteReference"/>
          <w:color w:val="000000" w:themeColor="text1"/>
          <w:sz w:val="26"/>
          <w:szCs w:val="26"/>
        </w:rPr>
        <w:footnoteReference w:id="6"/>
      </w:r>
      <w:r w:rsidRPr="00481242">
        <w:rPr>
          <w:color w:val="000000" w:themeColor="text1"/>
          <w:sz w:val="26"/>
          <w:szCs w:val="26"/>
        </w:rPr>
        <w:t xml:space="preserve"> an EDC must use reasonable efforts to properly warn and protect the public from danger and to exercise reasonable care to reduce the hazards to which customers may be subjected to by reason of the EDC’s provision of electric utility service and its associated equipment and facilities.  </w:t>
      </w:r>
      <w:r w:rsidRPr="00481242">
        <w:rPr>
          <w:i/>
          <w:iCs/>
          <w:color w:val="000000" w:themeColor="text1"/>
          <w:sz w:val="26"/>
          <w:szCs w:val="26"/>
        </w:rPr>
        <w:t>See</w:t>
      </w:r>
      <w:r w:rsidRPr="00481242">
        <w:rPr>
          <w:color w:val="000000" w:themeColor="text1"/>
          <w:sz w:val="26"/>
          <w:szCs w:val="26"/>
        </w:rPr>
        <w:t xml:space="preserve"> 52 Pa. Code § 57.28(a)(1).  </w:t>
      </w:r>
    </w:p>
    <w:p w14:paraId="2380DF16" w14:textId="77777777" w:rsidR="00E16F7E" w:rsidRPr="00481242" w:rsidRDefault="00E16F7E" w:rsidP="002E0508">
      <w:pPr>
        <w:widowControl/>
        <w:spacing w:line="360" w:lineRule="auto"/>
        <w:ind w:firstLine="1440"/>
        <w:contextualSpacing/>
        <w:rPr>
          <w:color w:val="000000" w:themeColor="text1"/>
          <w:sz w:val="26"/>
          <w:szCs w:val="26"/>
        </w:rPr>
      </w:pPr>
    </w:p>
    <w:bookmarkEnd w:id="9"/>
    <w:p w14:paraId="34920A96" w14:textId="7C7F1F33" w:rsidR="00545BA8" w:rsidRPr="00481242" w:rsidRDefault="00545BA8" w:rsidP="002E0508">
      <w:pPr>
        <w:widowControl/>
        <w:spacing w:line="360" w:lineRule="auto"/>
        <w:ind w:firstLine="1440"/>
        <w:contextualSpacing/>
        <w:rPr>
          <w:color w:val="000000" w:themeColor="text1"/>
          <w:sz w:val="26"/>
          <w:szCs w:val="26"/>
        </w:rPr>
      </w:pPr>
      <w:r w:rsidRPr="00481242">
        <w:rPr>
          <w:color w:val="000000" w:themeColor="text1"/>
          <w:sz w:val="26"/>
          <w:szCs w:val="26"/>
        </w:rPr>
        <w:t xml:space="preserve">As we ruled in </w:t>
      </w:r>
      <w:r w:rsidR="00A257BB" w:rsidRPr="00481242">
        <w:rPr>
          <w:i/>
          <w:iCs/>
          <w:color w:val="000000" w:themeColor="text1"/>
          <w:sz w:val="26"/>
          <w:szCs w:val="26"/>
        </w:rPr>
        <w:t xml:space="preserve">Maria </w:t>
      </w:r>
      <w:proofErr w:type="spellStart"/>
      <w:r w:rsidRPr="00481242">
        <w:rPr>
          <w:i/>
          <w:color w:val="000000" w:themeColor="text1"/>
          <w:sz w:val="26"/>
          <w:szCs w:val="26"/>
        </w:rPr>
        <w:t>Povacz</w:t>
      </w:r>
      <w:proofErr w:type="spellEnd"/>
      <w:r w:rsidRPr="00481242">
        <w:rPr>
          <w:i/>
          <w:color w:val="000000" w:themeColor="text1"/>
          <w:sz w:val="26"/>
          <w:szCs w:val="26"/>
        </w:rPr>
        <w:t xml:space="preserve"> v. PECO Energy Company</w:t>
      </w:r>
      <w:r w:rsidRPr="00481242">
        <w:rPr>
          <w:color w:val="000000" w:themeColor="text1"/>
          <w:sz w:val="26"/>
          <w:szCs w:val="26"/>
        </w:rPr>
        <w:t>, Docket No. C</w:t>
      </w:r>
      <w:r w:rsidRPr="00481242">
        <w:rPr>
          <w:color w:val="000000" w:themeColor="text1"/>
          <w:sz w:val="26"/>
          <w:szCs w:val="26"/>
        </w:rPr>
        <w:noBreakHyphen/>
        <w:t>2015-2475023 (Order entered March 28, 2019) (</w:t>
      </w:r>
      <w:bookmarkStart w:id="10" w:name="_Hlk38531045"/>
      <w:r w:rsidRPr="00481242">
        <w:rPr>
          <w:i/>
          <w:color w:val="000000" w:themeColor="text1"/>
          <w:sz w:val="26"/>
          <w:szCs w:val="26"/>
        </w:rPr>
        <w:t xml:space="preserve">2019 </w:t>
      </w:r>
      <w:proofErr w:type="spellStart"/>
      <w:r w:rsidRPr="00481242">
        <w:rPr>
          <w:i/>
          <w:color w:val="000000" w:themeColor="text1"/>
          <w:sz w:val="26"/>
          <w:szCs w:val="26"/>
        </w:rPr>
        <w:t>Povacz</w:t>
      </w:r>
      <w:proofErr w:type="spellEnd"/>
      <w:r w:rsidRPr="00481242">
        <w:rPr>
          <w:i/>
          <w:color w:val="000000" w:themeColor="text1"/>
          <w:sz w:val="26"/>
          <w:szCs w:val="26"/>
        </w:rPr>
        <w:t xml:space="preserve"> Order</w:t>
      </w:r>
      <w:bookmarkEnd w:id="10"/>
      <w:r w:rsidRPr="00481242">
        <w:rPr>
          <w:color w:val="000000" w:themeColor="text1"/>
          <w:sz w:val="26"/>
          <w:szCs w:val="26"/>
        </w:rPr>
        <w:t>), in order to prevail in a Section 1501 claim against an EDC alleging that an AMI meter caused or will cause adverse health effects or harm to human health, the Complainant must demonstrate</w:t>
      </w:r>
      <w:r w:rsidR="00EE6930">
        <w:rPr>
          <w:color w:val="000000" w:themeColor="text1"/>
          <w:sz w:val="26"/>
          <w:szCs w:val="26"/>
        </w:rPr>
        <w:t>,</w:t>
      </w:r>
      <w:r w:rsidRPr="00481242">
        <w:rPr>
          <w:color w:val="000000" w:themeColor="text1"/>
          <w:sz w:val="26"/>
          <w:szCs w:val="26"/>
        </w:rPr>
        <w:t xml:space="preserve"> by a preponderance of the evidence</w:t>
      </w:r>
      <w:r w:rsidR="00EE6930">
        <w:rPr>
          <w:color w:val="000000" w:themeColor="text1"/>
          <w:sz w:val="26"/>
          <w:szCs w:val="26"/>
        </w:rPr>
        <w:t>,</w:t>
      </w:r>
      <w:r w:rsidRPr="00481242">
        <w:rPr>
          <w:color w:val="000000" w:themeColor="text1"/>
          <w:sz w:val="26"/>
          <w:szCs w:val="26"/>
        </w:rPr>
        <w:t xml:space="preserve"> a “conclusive causal connection” between the harm to human health and the </w:t>
      </w:r>
      <w:r w:rsidR="005A419C" w:rsidRPr="005A419C">
        <w:rPr>
          <w:sz w:val="26"/>
          <w:szCs w:val="26"/>
        </w:rPr>
        <w:t>radio frequency fields (RFs)</w:t>
      </w:r>
      <w:r w:rsidR="005A419C" w:rsidRPr="005A419C">
        <w:rPr>
          <w:sz w:val="26"/>
          <w:szCs w:val="26"/>
          <w:vertAlign w:val="superscript"/>
        </w:rPr>
        <w:footnoteReference w:id="7"/>
      </w:r>
      <w:r w:rsidRPr="00481242">
        <w:rPr>
          <w:color w:val="000000" w:themeColor="text1"/>
          <w:sz w:val="26"/>
          <w:szCs w:val="26"/>
        </w:rPr>
        <w:t xml:space="preserve"> from the AMI meter.  </w:t>
      </w:r>
      <w:r w:rsidRPr="00481242">
        <w:rPr>
          <w:i/>
          <w:color w:val="000000" w:themeColor="text1"/>
          <w:sz w:val="26"/>
          <w:szCs w:val="26"/>
        </w:rPr>
        <w:t xml:space="preserve">See 2019 </w:t>
      </w:r>
      <w:proofErr w:type="spellStart"/>
      <w:r w:rsidRPr="00481242">
        <w:rPr>
          <w:i/>
          <w:color w:val="000000" w:themeColor="text1"/>
          <w:sz w:val="26"/>
          <w:szCs w:val="26"/>
        </w:rPr>
        <w:t>Povacz</w:t>
      </w:r>
      <w:proofErr w:type="spellEnd"/>
      <w:r w:rsidRPr="00481242">
        <w:rPr>
          <w:i/>
          <w:color w:val="000000" w:themeColor="text1"/>
          <w:sz w:val="26"/>
          <w:szCs w:val="26"/>
        </w:rPr>
        <w:t xml:space="preserve"> Order</w:t>
      </w:r>
      <w:r w:rsidR="00CB7186" w:rsidRPr="00481242">
        <w:rPr>
          <w:i/>
          <w:color w:val="000000" w:themeColor="text1"/>
          <w:sz w:val="26"/>
          <w:szCs w:val="26"/>
        </w:rPr>
        <w:t xml:space="preserve"> </w:t>
      </w:r>
      <w:r w:rsidRPr="00481242">
        <w:rPr>
          <w:color w:val="000000" w:themeColor="text1"/>
          <w:sz w:val="26"/>
          <w:szCs w:val="26"/>
        </w:rPr>
        <w:t xml:space="preserve">at 28-29 (citing </w:t>
      </w:r>
      <w:r w:rsidRPr="00481242">
        <w:rPr>
          <w:i/>
          <w:iCs/>
          <w:color w:val="000000" w:themeColor="text1"/>
          <w:sz w:val="26"/>
          <w:szCs w:val="26"/>
        </w:rPr>
        <w:t>Letter of Notification of Philadelphia Electric Company Relative to the Reconstructing and Rebuilding of the Existing 138 kV Line to Operate as the Woodbourne-Heaton 230 kV Line in Montgomery and Bucks Counties</w:t>
      </w:r>
      <w:r w:rsidRPr="00481242">
        <w:rPr>
          <w:color w:val="000000" w:themeColor="text1"/>
          <w:sz w:val="26"/>
          <w:szCs w:val="26"/>
        </w:rPr>
        <w:t>, 1993</w:t>
      </w:r>
      <w:r w:rsidR="005B42BA">
        <w:rPr>
          <w:color w:val="000000" w:themeColor="text1"/>
          <w:sz w:val="26"/>
          <w:szCs w:val="26"/>
        </w:rPr>
        <w:t> </w:t>
      </w:r>
      <w:r w:rsidRPr="00481242">
        <w:rPr>
          <w:color w:val="000000" w:themeColor="text1"/>
          <w:sz w:val="26"/>
          <w:szCs w:val="26"/>
        </w:rPr>
        <w:t>WL</w:t>
      </w:r>
      <w:r w:rsidR="005B42BA">
        <w:rPr>
          <w:color w:val="000000" w:themeColor="text1"/>
          <w:sz w:val="26"/>
          <w:szCs w:val="26"/>
        </w:rPr>
        <w:t> </w:t>
      </w:r>
      <w:r w:rsidRPr="00481242">
        <w:rPr>
          <w:color w:val="000000" w:themeColor="text1"/>
          <w:sz w:val="26"/>
          <w:szCs w:val="26"/>
        </w:rPr>
        <w:t xml:space="preserve">855896 (Pa. P.U.C. 1993), Docket No. </w:t>
      </w:r>
      <w:r w:rsidR="00481242">
        <w:rPr>
          <w:color w:val="000000" w:themeColor="text1"/>
          <w:sz w:val="26"/>
          <w:szCs w:val="26"/>
        </w:rPr>
        <w:t>A-</w:t>
      </w:r>
      <w:r w:rsidRPr="00481242">
        <w:rPr>
          <w:color w:val="000000" w:themeColor="text1"/>
          <w:sz w:val="26"/>
          <w:szCs w:val="26"/>
        </w:rPr>
        <w:t>110550F0055 (Order entered November 12, 1993) (</w:t>
      </w:r>
      <w:r w:rsidRPr="00481242">
        <w:rPr>
          <w:i/>
          <w:color w:val="000000" w:themeColor="text1"/>
          <w:sz w:val="26"/>
          <w:szCs w:val="26"/>
        </w:rPr>
        <w:t>Woodbourne-Heaton Final Order</w:t>
      </w:r>
      <w:r w:rsidRPr="00481242">
        <w:rPr>
          <w:color w:val="000000" w:themeColor="text1"/>
          <w:sz w:val="26"/>
          <w:szCs w:val="26"/>
        </w:rPr>
        <w:t>)</w:t>
      </w:r>
      <w:r w:rsidR="00D107AD" w:rsidRPr="00481242">
        <w:rPr>
          <w:color w:val="000000" w:themeColor="text1"/>
          <w:sz w:val="26"/>
          <w:szCs w:val="26"/>
        </w:rPr>
        <w:t xml:space="preserve"> </w:t>
      </w:r>
      <w:r w:rsidR="004B7F07" w:rsidRPr="004B7F07">
        <w:rPr>
          <w:sz w:val="26"/>
          <w:szCs w:val="26"/>
        </w:rPr>
        <w:t xml:space="preserve">slip op. </w:t>
      </w:r>
      <w:r w:rsidRPr="00481242">
        <w:rPr>
          <w:color w:val="000000" w:themeColor="text1"/>
          <w:sz w:val="26"/>
          <w:szCs w:val="26"/>
        </w:rPr>
        <w:t>at 11).</w:t>
      </w:r>
    </w:p>
    <w:p w14:paraId="45E980C4" w14:textId="77777777" w:rsidR="00545BA8" w:rsidRPr="00481242" w:rsidRDefault="00545BA8" w:rsidP="002E0508">
      <w:pPr>
        <w:widowControl/>
        <w:spacing w:line="360" w:lineRule="auto"/>
        <w:ind w:firstLine="1440"/>
        <w:contextualSpacing/>
        <w:rPr>
          <w:color w:val="000000" w:themeColor="text1"/>
          <w:sz w:val="26"/>
          <w:szCs w:val="26"/>
        </w:rPr>
      </w:pPr>
    </w:p>
    <w:p w14:paraId="59F728B3" w14:textId="151DB637" w:rsidR="00A85A38" w:rsidRPr="00481242" w:rsidRDefault="00E75AE0" w:rsidP="002E0508">
      <w:pPr>
        <w:widowControl/>
        <w:spacing w:line="360" w:lineRule="auto"/>
        <w:ind w:firstLine="1440"/>
        <w:contextualSpacing/>
        <w:rPr>
          <w:rStyle w:val="Hyperlink"/>
          <w:color w:val="000000" w:themeColor="text1"/>
          <w:sz w:val="26"/>
          <w:szCs w:val="26"/>
          <w:u w:val="none"/>
        </w:rPr>
      </w:pPr>
      <w:bookmarkStart w:id="11" w:name="_Hlk39479873"/>
      <w:r w:rsidRPr="00481242">
        <w:rPr>
          <w:color w:val="000000" w:themeColor="text1"/>
          <w:sz w:val="26"/>
          <w:szCs w:val="26"/>
        </w:rPr>
        <w:t>Finally,</w:t>
      </w:r>
      <w:r w:rsidR="00A85A38" w:rsidRPr="00481242">
        <w:rPr>
          <w:color w:val="000000" w:themeColor="text1"/>
          <w:sz w:val="26"/>
          <w:szCs w:val="26"/>
        </w:rPr>
        <w:t xml:space="preserve"> we note that any </w:t>
      </w:r>
      <w:r w:rsidRPr="00481242">
        <w:rPr>
          <w:color w:val="000000" w:themeColor="text1"/>
          <w:sz w:val="26"/>
          <w:szCs w:val="26"/>
        </w:rPr>
        <w:t>argument</w:t>
      </w:r>
      <w:r w:rsidR="00A85A38" w:rsidRPr="00481242">
        <w:rPr>
          <w:color w:val="000000" w:themeColor="text1"/>
          <w:sz w:val="26"/>
          <w:szCs w:val="26"/>
        </w:rPr>
        <w:t xml:space="preserve"> or Exception that we do not specifically delineate shall be deemed to have been duly considered and denied without furt</w:t>
      </w:r>
      <w:r w:rsidR="00DD2BCB">
        <w:rPr>
          <w:color w:val="000000" w:themeColor="text1"/>
          <w:sz w:val="26"/>
          <w:szCs w:val="26"/>
        </w:rPr>
        <w:t>h</w:t>
      </w:r>
      <w:r w:rsidR="009D79AA">
        <w:rPr>
          <w:color w:val="000000" w:themeColor="text1"/>
          <w:sz w:val="26"/>
          <w:szCs w:val="26"/>
        </w:rPr>
        <w:t>er</w:t>
      </w:r>
      <w:r w:rsidR="00A85A38" w:rsidRPr="00481242">
        <w:rPr>
          <w:color w:val="000000" w:themeColor="text1"/>
          <w:sz w:val="26"/>
          <w:szCs w:val="26"/>
        </w:rPr>
        <w:t xml:space="preserve"> discussion.  The Commission is not required to consider expressly or at length each contention or argument raised by the parties.  </w:t>
      </w:r>
      <w:hyperlink r:id="rId15" w:history="1">
        <w:r w:rsidR="00A85A38" w:rsidRPr="00481242">
          <w:rPr>
            <w:rStyle w:val="Emphasis"/>
            <w:color w:val="000000" w:themeColor="text1"/>
            <w:sz w:val="26"/>
            <w:szCs w:val="26"/>
          </w:rPr>
          <w:t>Consolidated Rail Corp. v. Pa. PUC</w:t>
        </w:r>
        <w:r w:rsidR="00A85A38" w:rsidRPr="00481242">
          <w:rPr>
            <w:rStyle w:val="Emphasis"/>
            <w:i w:val="0"/>
            <w:iCs w:val="0"/>
            <w:color w:val="000000" w:themeColor="text1"/>
            <w:sz w:val="26"/>
            <w:szCs w:val="26"/>
          </w:rPr>
          <w:t>,</w:t>
        </w:r>
        <w:r w:rsidR="00A85A38" w:rsidRPr="00481242">
          <w:rPr>
            <w:rStyle w:val="Emphasis"/>
            <w:color w:val="000000" w:themeColor="text1"/>
            <w:sz w:val="26"/>
            <w:szCs w:val="26"/>
          </w:rPr>
          <w:t xml:space="preserve"> </w:t>
        </w:r>
        <w:r w:rsidR="00A85A38" w:rsidRPr="00481242">
          <w:rPr>
            <w:rStyle w:val="Hyperlink"/>
            <w:color w:val="000000" w:themeColor="text1"/>
            <w:sz w:val="26"/>
            <w:szCs w:val="26"/>
            <w:u w:val="none"/>
          </w:rPr>
          <w:lastRenderedPageBreak/>
          <w:t>625</w:t>
        </w:r>
        <w:r w:rsidR="00481242">
          <w:rPr>
            <w:rStyle w:val="Hyperlink"/>
            <w:color w:val="000000" w:themeColor="text1"/>
            <w:sz w:val="26"/>
            <w:szCs w:val="26"/>
            <w:u w:val="none"/>
          </w:rPr>
          <w:t> </w:t>
        </w:r>
        <w:r w:rsidR="00A85A38" w:rsidRPr="00481242">
          <w:rPr>
            <w:rStyle w:val="Hyperlink"/>
            <w:color w:val="000000" w:themeColor="text1"/>
            <w:sz w:val="26"/>
            <w:szCs w:val="26"/>
            <w:u w:val="none"/>
          </w:rPr>
          <w:t xml:space="preserve">A.2d 741 (Pa. </w:t>
        </w:r>
        <w:proofErr w:type="spellStart"/>
        <w:r w:rsidR="00A85A38" w:rsidRPr="00481242">
          <w:rPr>
            <w:rStyle w:val="Hyperlink"/>
            <w:color w:val="000000" w:themeColor="text1"/>
            <w:sz w:val="26"/>
            <w:szCs w:val="26"/>
            <w:u w:val="none"/>
          </w:rPr>
          <w:t>Cmwlth</w:t>
        </w:r>
        <w:proofErr w:type="spellEnd"/>
        <w:r w:rsidR="00A85A38" w:rsidRPr="00481242">
          <w:rPr>
            <w:rStyle w:val="Hyperlink"/>
            <w:color w:val="000000" w:themeColor="text1"/>
            <w:sz w:val="26"/>
            <w:szCs w:val="26"/>
            <w:u w:val="none"/>
          </w:rPr>
          <w:t>. 1993);</w:t>
        </w:r>
      </w:hyperlink>
      <w:r w:rsidR="00A85A38" w:rsidRPr="00481242">
        <w:rPr>
          <w:color w:val="000000" w:themeColor="text1"/>
          <w:sz w:val="26"/>
          <w:szCs w:val="26"/>
        </w:rPr>
        <w:t xml:space="preserve"> </w:t>
      </w:r>
      <w:r w:rsidR="00A85A38" w:rsidRPr="00481242">
        <w:rPr>
          <w:rStyle w:val="Emphasis"/>
          <w:color w:val="000000" w:themeColor="text1"/>
          <w:sz w:val="26"/>
          <w:szCs w:val="26"/>
        </w:rPr>
        <w:t>see</w:t>
      </w:r>
      <w:r w:rsidR="002468AD" w:rsidRPr="00481242">
        <w:rPr>
          <w:rStyle w:val="Emphasis"/>
          <w:color w:val="000000" w:themeColor="text1"/>
          <w:sz w:val="26"/>
          <w:szCs w:val="26"/>
        </w:rPr>
        <w:t xml:space="preserve"> also</w:t>
      </w:r>
      <w:r w:rsidR="00481242">
        <w:rPr>
          <w:rStyle w:val="Emphasis"/>
          <w:color w:val="000000" w:themeColor="text1"/>
          <w:sz w:val="26"/>
          <w:szCs w:val="26"/>
        </w:rPr>
        <w:t>,</w:t>
      </w:r>
      <w:r w:rsidR="00A85A38" w:rsidRPr="00481242">
        <w:rPr>
          <w:rStyle w:val="Emphasis"/>
          <w:color w:val="000000" w:themeColor="text1"/>
          <w:sz w:val="26"/>
          <w:szCs w:val="26"/>
        </w:rPr>
        <w:t xml:space="preserve"> generally</w:t>
      </w:r>
      <w:r w:rsidR="00481242">
        <w:rPr>
          <w:rStyle w:val="Emphasis"/>
          <w:color w:val="000000" w:themeColor="text1"/>
          <w:sz w:val="26"/>
          <w:szCs w:val="26"/>
        </w:rPr>
        <w:t>,</w:t>
      </w:r>
      <w:r w:rsidR="00A85A38" w:rsidRPr="00481242">
        <w:rPr>
          <w:rStyle w:val="Emphasis"/>
          <w:color w:val="000000" w:themeColor="text1"/>
          <w:sz w:val="26"/>
          <w:szCs w:val="26"/>
        </w:rPr>
        <w:t xml:space="preserve"> </w:t>
      </w:r>
      <w:hyperlink r:id="rId16" w:history="1">
        <w:r w:rsidR="00A85A38" w:rsidRPr="00481242">
          <w:rPr>
            <w:rStyle w:val="Emphasis"/>
            <w:color w:val="000000" w:themeColor="text1"/>
            <w:sz w:val="26"/>
            <w:szCs w:val="26"/>
          </w:rPr>
          <w:t>University of Pennsylvania v. Pa.</w:t>
        </w:r>
        <w:r w:rsidR="00481242">
          <w:rPr>
            <w:rStyle w:val="Emphasis"/>
            <w:color w:val="000000" w:themeColor="text1"/>
            <w:sz w:val="26"/>
            <w:szCs w:val="26"/>
          </w:rPr>
          <w:t> </w:t>
        </w:r>
        <w:r w:rsidR="00A85A38" w:rsidRPr="00481242">
          <w:rPr>
            <w:rStyle w:val="Emphasis"/>
            <w:color w:val="000000" w:themeColor="text1"/>
            <w:sz w:val="26"/>
            <w:szCs w:val="26"/>
          </w:rPr>
          <w:t>PUC</w:t>
        </w:r>
        <w:r w:rsidR="00A85A38" w:rsidRPr="00481242">
          <w:rPr>
            <w:rStyle w:val="Hyperlink"/>
            <w:color w:val="000000" w:themeColor="text1"/>
            <w:sz w:val="26"/>
            <w:szCs w:val="26"/>
            <w:u w:val="none"/>
          </w:rPr>
          <w:t xml:space="preserve">, 485 A.2d 1217 (Pa. </w:t>
        </w:r>
        <w:proofErr w:type="spellStart"/>
        <w:r w:rsidR="00A85A38" w:rsidRPr="00481242">
          <w:rPr>
            <w:rStyle w:val="Hyperlink"/>
            <w:color w:val="000000" w:themeColor="text1"/>
            <w:sz w:val="26"/>
            <w:szCs w:val="26"/>
            <w:u w:val="none"/>
          </w:rPr>
          <w:t>Cmwlth</w:t>
        </w:r>
        <w:proofErr w:type="spellEnd"/>
        <w:r w:rsidR="00A85A38" w:rsidRPr="00481242">
          <w:rPr>
            <w:rStyle w:val="Hyperlink"/>
            <w:color w:val="000000" w:themeColor="text1"/>
            <w:sz w:val="26"/>
            <w:szCs w:val="26"/>
            <w:u w:val="none"/>
          </w:rPr>
          <w:t>. 1984).</w:t>
        </w:r>
      </w:hyperlink>
    </w:p>
    <w:bookmarkEnd w:id="11"/>
    <w:p w14:paraId="5C563261" w14:textId="77777777" w:rsidR="00E851B0" w:rsidRPr="00481242" w:rsidRDefault="00E851B0" w:rsidP="00481242">
      <w:pPr>
        <w:widowControl/>
        <w:spacing w:line="360" w:lineRule="auto"/>
        <w:ind w:firstLine="1440"/>
        <w:rPr>
          <w:color w:val="000000" w:themeColor="text1"/>
          <w:sz w:val="26"/>
          <w:szCs w:val="26"/>
        </w:rPr>
      </w:pPr>
    </w:p>
    <w:p w14:paraId="25751B19" w14:textId="77777777" w:rsidR="00537D63" w:rsidRPr="0028639A" w:rsidRDefault="00537D63" w:rsidP="00537D63">
      <w:pPr>
        <w:pStyle w:val="Heading2"/>
        <w:keepNext/>
        <w:keepLines/>
        <w:suppressAutoHyphens w:val="0"/>
      </w:pPr>
      <w:bookmarkStart w:id="12" w:name="_Hlk45106054"/>
      <w:r>
        <w:t>ALJ’s Initial Decision</w:t>
      </w:r>
    </w:p>
    <w:bookmarkEnd w:id="12"/>
    <w:p w14:paraId="1331D826" w14:textId="77777777" w:rsidR="001B0C5E" w:rsidRPr="00481242" w:rsidRDefault="001B0C5E" w:rsidP="00481242">
      <w:pPr>
        <w:keepNext/>
        <w:keepLines/>
        <w:widowControl/>
        <w:spacing w:line="360" w:lineRule="auto"/>
        <w:ind w:firstLine="1440"/>
        <w:contextualSpacing/>
        <w:rPr>
          <w:color w:val="000000" w:themeColor="text1"/>
          <w:sz w:val="26"/>
          <w:szCs w:val="26"/>
        </w:rPr>
      </w:pPr>
    </w:p>
    <w:p w14:paraId="676FAE8C" w14:textId="365F5D4C" w:rsidR="007C5862" w:rsidRDefault="00E851B0" w:rsidP="00526E29">
      <w:pPr>
        <w:widowControl/>
        <w:spacing w:line="360" w:lineRule="auto"/>
        <w:ind w:firstLine="1440"/>
        <w:rPr>
          <w:color w:val="000000" w:themeColor="text1"/>
          <w:sz w:val="26"/>
          <w:szCs w:val="26"/>
        </w:rPr>
      </w:pPr>
      <w:r w:rsidRPr="00481242">
        <w:rPr>
          <w:color w:val="000000" w:themeColor="text1"/>
          <w:sz w:val="26"/>
          <w:szCs w:val="26"/>
        </w:rPr>
        <w:t xml:space="preserve">In the Initial Decision, ALJ Barnes made </w:t>
      </w:r>
      <w:r w:rsidR="009F5EF9">
        <w:rPr>
          <w:color w:val="000000" w:themeColor="text1"/>
          <w:sz w:val="26"/>
          <w:szCs w:val="26"/>
        </w:rPr>
        <w:t>thirty-nine</w:t>
      </w:r>
      <w:r w:rsidR="00323534" w:rsidRPr="00481242">
        <w:rPr>
          <w:color w:val="000000" w:themeColor="text1"/>
          <w:sz w:val="26"/>
          <w:szCs w:val="26"/>
        </w:rPr>
        <w:t xml:space="preserve"> </w:t>
      </w:r>
      <w:r w:rsidRPr="00481242">
        <w:rPr>
          <w:color w:val="000000" w:themeColor="text1"/>
          <w:sz w:val="26"/>
          <w:szCs w:val="26"/>
        </w:rPr>
        <w:t>Findings of Fact</w:t>
      </w:r>
      <w:r w:rsidR="006F05AF">
        <w:rPr>
          <w:color w:val="000000" w:themeColor="text1"/>
          <w:sz w:val="26"/>
          <w:szCs w:val="26"/>
        </w:rPr>
        <w:t xml:space="preserve"> (FOF)</w:t>
      </w:r>
      <w:r w:rsidRPr="00481242">
        <w:rPr>
          <w:color w:val="000000" w:themeColor="text1"/>
          <w:sz w:val="26"/>
          <w:szCs w:val="26"/>
        </w:rPr>
        <w:t xml:space="preserve"> and reached </w:t>
      </w:r>
      <w:r w:rsidR="009F5EF9">
        <w:rPr>
          <w:color w:val="000000" w:themeColor="text1"/>
          <w:sz w:val="26"/>
          <w:szCs w:val="26"/>
        </w:rPr>
        <w:t>eigh</w:t>
      </w:r>
      <w:r w:rsidR="0076632C" w:rsidRPr="00481242">
        <w:rPr>
          <w:color w:val="000000" w:themeColor="text1"/>
          <w:sz w:val="26"/>
          <w:szCs w:val="26"/>
        </w:rPr>
        <w:t>teen</w:t>
      </w:r>
      <w:r w:rsidRPr="00481242">
        <w:rPr>
          <w:color w:val="000000" w:themeColor="text1"/>
          <w:sz w:val="26"/>
          <w:szCs w:val="26"/>
        </w:rPr>
        <w:t xml:space="preserve"> Conclusions of Law</w:t>
      </w:r>
      <w:r w:rsidR="00B61503">
        <w:rPr>
          <w:color w:val="000000" w:themeColor="text1"/>
          <w:sz w:val="26"/>
          <w:szCs w:val="26"/>
        </w:rPr>
        <w:t xml:space="preserve"> (COL)</w:t>
      </w:r>
      <w:r w:rsidRPr="00481242">
        <w:rPr>
          <w:color w:val="000000" w:themeColor="text1"/>
          <w:sz w:val="26"/>
          <w:szCs w:val="26"/>
        </w:rPr>
        <w:t xml:space="preserve">.  I.D. at </w:t>
      </w:r>
      <w:r w:rsidR="00723E02">
        <w:rPr>
          <w:color w:val="000000" w:themeColor="text1"/>
          <w:sz w:val="26"/>
          <w:szCs w:val="26"/>
        </w:rPr>
        <w:t>3</w:t>
      </w:r>
      <w:r w:rsidRPr="00481242">
        <w:rPr>
          <w:color w:val="000000" w:themeColor="text1"/>
          <w:sz w:val="26"/>
          <w:szCs w:val="26"/>
        </w:rPr>
        <w:t>-</w:t>
      </w:r>
      <w:r w:rsidR="00323534" w:rsidRPr="00481242">
        <w:rPr>
          <w:color w:val="000000" w:themeColor="text1"/>
          <w:sz w:val="26"/>
          <w:szCs w:val="26"/>
        </w:rPr>
        <w:t>8</w:t>
      </w:r>
      <w:r w:rsidRPr="00481242">
        <w:rPr>
          <w:color w:val="000000" w:themeColor="text1"/>
          <w:sz w:val="26"/>
          <w:szCs w:val="26"/>
        </w:rPr>
        <w:t xml:space="preserve">, </w:t>
      </w:r>
      <w:r w:rsidR="009F5EF9">
        <w:rPr>
          <w:color w:val="000000" w:themeColor="text1"/>
          <w:sz w:val="26"/>
          <w:szCs w:val="26"/>
        </w:rPr>
        <w:t>20</w:t>
      </w:r>
      <w:r w:rsidRPr="00481242">
        <w:rPr>
          <w:color w:val="000000" w:themeColor="text1"/>
          <w:sz w:val="26"/>
          <w:szCs w:val="26"/>
        </w:rPr>
        <w:t>-2</w:t>
      </w:r>
      <w:r w:rsidR="009F5EF9">
        <w:rPr>
          <w:color w:val="000000" w:themeColor="text1"/>
          <w:sz w:val="26"/>
          <w:szCs w:val="26"/>
        </w:rPr>
        <w:t>3</w:t>
      </w:r>
      <w:r w:rsidRPr="00481242">
        <w:rPr>
          <w:color w:val="000000" w:themeColor="text1"/>
          <w:sz w:val="26"/>
          <w:szCs w:val="26"/>
        </w:rPr>
        <w:t xml:space="preserve">.  The Findings of Fact and Conclusions of Law are incorporated </w:t>
      </w:r>
      <w:r w:rsidR="00DD2BCB">
        <w:rPr>
          <w:color w:val="000000" w:themeColor="text1"/>
          <w:sz w:val="26"/>
          <w:szCs w:val="26"/>
        </w:rPr>
        <w:t>h</w:t>
      </w:r>
      <w:r w:rsidR="009D79AA">
        <w:rPr>
          <w:color w:val="000000" w:themeColor="text1"/>
          <w:sz w:val="26"/>
          <w:szCs w:val="26"/>
        </w:rPr>
        <w:t>er</w:t>
      </w:r>
      <w:r w:rsidRPr="00481242">
        <w:rPr>
          <w:color w:val="000000" w:themeColor="text1"/>
          <w:sz w:val="26"/>
          <w:szCs w:val="26"/>
        </w:rPr>
        <w:t>ein by reference and are adopted without comment unless they are eit</w:t>
      </w:r>
      <w:r w:rsidR="00DD2BCB">
        <w:rPr>
          <w:color w:val="000000" w:themeColor="text1"/>
          <w:sz w:val="26"/>
          <w:szCs w:val="26"/>
        </w:rPr>
        <w:t>h</w:t>
      </w:r>
      <w:r w:rsidR="009D79AA">
        <w:rPr>
          <w:color w:val="000000" w:themeColor="text1"/>
          <w:sz w:val="26"/>
          <w:szCs w:val="26"/>
        </w:rPr>
        <w:t>er</w:t>
      </w:r>
      <w:r w:rsidRPr="00481242">
        <w:rPr>
          <w:color w:val="000000" w:themeColor="text1"/>
          <w:sz w:val="26"/>
          <w:szCs w:val="26"/>
        </w:rPr>
        <w:t xml:space="preserve"> expressly or by necessary implication rejected or modified by this Opinion and Order.</w:t>
      </w:r>
    </w:p>
    <w:p w14:paraId="038AF212" w14:textId="04755EA1" w:rsidR="00387693" w:rsidRDefault="00387693" w:rsidP="00526E29">
      <w:pPr>
        <w:widowControl/>
        <w:spacing w:line="360" w:lineRule="auto"/>
        <w:ind w:firstLine="1440"/>
        <w:rPr>
          <w:color w:val="000000" w:themeColor="text1"/>
          <w:sz w:val="26"/>
          <w:szCs w:val="26"/>
        </w:rPr>
      </w:pPr>
    </w:p>
    <w:p w14:paraId="25BC01E9" w14:textId="723D6241" w:rsidR="00387693" w:rsidRDefault="007E56D9" w:rsidP="00526E29">
      <w:pPr>
        <w:widowControl/>
        <w:spacing w:line="360" w:lineRule="auto"/>
        <w:ind w:firstLine="1440"/>
        <w:rPr>
          <w:color w:val="000000" w:themeColor="text1"/>
          <w:sz w:val="26"/>
          <w:szCs w:val="26"/>
        </w:rPr>
      </w:pPr>
      <w:r>
        <w:rPr>
          <w:color w:val="000000" w:themeColor="text1"/>
          <w:sz w:val="26"/>
          <w:szCs w:val="26"/>
        </w:rPr>
        <w:t>In her analysis</w:t>
      </w:r>
      <w:r w:rsidR="008E5534">
        <w:rPr>
          <w:color w:val="000000" w:themeColor="text1"/>
          <w:sz w:val="26"/>
          <w:szCs w:val="26"/>
        </w:rPr>
        <w:t>,</w:t>
      </w:r>
      <w:r>
        <w:rPr>
          <w:color w:val="000000" w:themeColor="text1"/>
          <w:sz w:val="26"/>
          <w:szCs w:val="26"/>
        </w:rPr>
        <w:t xml:space="preserve"> </w:t>
      </w:r>
      <w:r w:rsidR="00387693">
        <w:rPr>
          <w:color w:val="000000" w:themeColor="text1"/>
          <w:sz w:val="26"/>
          <w:szCs w:val="26"/>
        </w:rPr>
        <w:t xml:space="preserve">ALJ </w:t>
      </w:r>
      <w:r>
        <w:rPr>
          <w:color w:val="000000" w:themeColor="text1"/>
          <w:sz w:val="26"/>
          <w:szCs w:val="26"/>
        </w:rPr>
        <w:t xml:space="preserve">Barnes </w:t>
      </w:r>
      <w:r w:rsidR="00387693">
        <w:rPr>
          <w:color w:val="000000" w:themeColor="text1"/>
          <w:sz w:val="26"/>
          <w:szCs w:val="26"/>
        </w:rPr>
        <w:t xml:space="preserve">addressed </w:t>
      </w:r>
      <w:r w:rsidR="008E5534">
        <w:rPr>
          <w:color w:val="000000" w:themeColor="text1"/>
          <w:sz w:val="26"/>
          <w:szCs w:val="26"/>
        </w:rPr>
        <w:t>two main issues</w:t>
      </w:r>
      <w:proofErr w:type="gramStart"/>
      <w:r w:rsidR="008E5534">
        <w:rPr>
          <w:color w:val="000000" w:themeColor="text1"/>
          <w:sz w:val="26"/>
          <w:szCs w:val="26"/>
        </w:rPr>
        <w:t xml:space="preserve">: </w:t>
      </w:r>
      <w:r w:rsidR="00044FD3">
        <w:rPr>
          <w:color w:val="000000" w:themeColor="text1"/>
          <w:sz w:val="26"/>
          <w:szCs w:val="26"/>
        </w:rPr>
        <w:t xml:space="preserve"> </w:t>
      </w:r>
      <w:r w:rsidR="008E5534">
        <w:rPr>
          <w:color w:val="000000" w:themeColor="text1"/>
          <w:sz w:val="26"/>
          <w:szCs w:val="26"/>
        </w:rPr>
        <w:t>(</w:t>
      </w:r>
      <w:proofErr w:type="gramEnd"/>
      <w:r w:rsidR="00BB6ABF">
        <w:rPr>
          <w:color w:val="000000" w:themeColor="text1"/>
          <w:sz w:val="26"/>
          <w:szCs w:val="26"/>
        </w:rPr>
        <w:t xml:space="preserve">1) health and safety concerns; and (2) </w:t>
      </w:r>
      <w:r w:rsidR="00BF6ADA">
        <w:rPr>
          <w:color w:val="000000" w:themeColor="text1"/>
          <w:sz w:val="26"/>
          <w:szCs w:val="26"/>
        </w:rPr>
        <w:t xml:space="preserve">an </w:t>
      </w:r>
      <w:r w:rsidR="002C752E">
        <w:rPr>
          <w:color w:val="000000" w:themeColor="text1"/>
          <w:sz w:val="26"/>
          <w:szCs w:val="26"/>
        </w:rPr>
        <w:t>opt-in versus o</w:t>
      </w:r>
      <w:r w:rsidR="002916D5">
        <w:rPr>
          <w:color w:val="000000" w:themeColor="text1"/>
          <w:sz w:val="26"/>
          <w:szCs w:val="26"/>
        </w:rPr>
        <w:t>pt-out program.  I.D. at 12-</w:t>
      </w:r>
      <w:r w:rsidR="00251C8C">
        <w:rPr>
          <w:color w:val="000000" w:themeColor="text1"/>
          <w:sz w:val="26"/>
          <w:szCs w:val="26"/>
        </w:rPr>
        <w:t>20.</w:t>
      </w:r>
    </w:p>
    <w:p w14:paraId="6A043B8B" w14:textId="3F6D3AC8" w:rsidR="00F67EAD" w:rsidRDefault="00F67EAD" w:rsidP="00481242">
      <w:pPr>
        <w:widowControl/>
        <w:spacing w:line="360" w:lineRule="auto"/>
        <w:ind w:firstLine="1440"/>
        <w:rPr>
          <w:color w:val="000000" w:themeColor="text1"/>
          <w:sz w:val="26"/>
          <w:szCs w:val="26"/>
        </w:rPr>
      </w:pPr>
    </w:p>
    <w:p w14:paraId="2B882878" w14:textId="77777777" w:rsidR="00F67EAD" w:rsidRPr="00F67EAD" w:rsidRDefault="00F67EAD" w:rsidP="00F67EAD">
      <w:pPr>
        <w:widowControl/>
        <w:spacing w:line="360" w:lineRule="auto"/>
        <w:rPr>
          <w:sz w:val="26"/>
          <w:szCs w:val="26"/>
          <w:u w:val="single"/>
        </w:rPr>
      </w:pPr>
      <w:bookmarkStart w:id="13" w:name="_Hlk44428554"/>
      <w:r w:rsidRPr="00F67EAD">
        <w:rPr>
          <w:sz w:val="26"/>
          <w:szCs w:val="26"/>
        </w:rPr>
        <w:t xml:space="preserve">  </w:t>
      </w:r>
      <w:r w:rsidRPr="00F67EAD">
        <w:rPr>
          <w:sz w:val="26"/>
          <w:szCs w:val="26"/>
        </w:rPr>
        <w:tab/>
      </w:r>
      <w:r w:rsidRPr="00F67EAD">
        <w:rPr>
          <w:sz w:val="26"/>
          <w:szCs w:val="26"/>
          <w:u w:val="single"/>
        </w:rPr>
        <w:t>Health and Safety Concerns</w:t>
      </w:r>
    </w:p>
    <w:bookmarkEnd w:id="13"/>
    <w:p w14:paraId="5C74EB16" w14:textId="77777777" w:rsidR="00F67EAD" w:rsidRPr="00481242" w:rsidRDefault="00F67EAD" w:rsidP="00481242">
      <w:pPr>
        <w:widowControl/>
        <w:spacing w:line="360" w:lineRule="auto"/>
        <w:ind w:firstLine="1440"/>
        <w:rPr>
          <w:color w:val="000000" w:themeColor="text1"/>
          <w:sz w:val="26"/>
          <w:szCs w:val="26"/>
        </w:rPr>
      </w:pPr>
    </w:p>
    <w:p w14:paraId="396BAC77" w14:textId="4F07BB46" w:rsidR="00916FBD" w:rsidRDefault="007133E7" w:rsidP="00481242">
      <w:pPr>
        <w:widowControl/>
        <w:spacing w:line="360" w:lineRule="auto"/>
        <w:ind w:firstLine="1440"/>
        <w:rPr>
          <w:color w:val="000000" w:themeColor="text1"/>
          <w:sz w:val="26"/>
          <w:szCs w:val="26"/>
        </w:rPr>
      </w:pPr>
      <w:r w:rsidRPr="00481242">
        <w:rPr>
          <w:color w:val="000000" w:themeColor="text1"/>
          <w:sz w:val="26"/>
          <w:szCs w:val="26"/>
        </w:rPr>
        <w:t>T</w:t>
      </w:r>
      <w:r w:rsidR="00FA3D61" w:rsidRPr="00481242">
        <w:rPr>
          <w:color w:val="000000" w:themeColor="text1"/>
          <w:sz w:val="26"/>
          <w:szCs w:val="26"/>
        </w:rPr>
        <w:t xml:space="preserve">he ALJ </w:t>
      </w:r>
      <w:r w:rsidR="00BB3BFD" w:rsidRPr="00481242">
        <w:rPr>
          <w:color w:val="000000" w:themeColor="text1"/>
          <w:sz w:val="26"/>
          <w:szCs w:val="26"/>
        </w:rPr>
        <w:t xml:space="preserve">first </w:t>
      </w:r>
      <w:r w:rsidR="00FA3D61" w:rsidRPr="00481242">
        <w:rPr>
          <w:color w:val="000000" w:themeColor="text1"/>
          <w:sz w:val="26"/>
          <w:szCs w:val="26"/>
        </w:rPr>
        <w:t xml:space="preserve">addressed the Complainant’s </w:t>
      </w:r>
      <w:r w:rsidR="008B49A4">
        <w:rPr>
          <w:color w:val="000000" w:themeColor="text1"/>
          <w:sz w:val="26"/>
          <w:szCs w:val="26"/>
        </w:rPr>
        <w:t>claim</w:t>
      </w:r>
      <w:r w:rsidR="00FA3D61" w:rsidRPr="00481242">
        <w:rPr>
          <w:color w:val="000000" w:themeColor="text1"/>
          <w:sz w:val="26"/>
          <w:szCs w:val="26"/>
        </w:rPr>
        <w:t xml:space="preserve"> that </w:t>
      </w:r>
      <w:r w:rsidR="008B49A4">
        <w:rPr>
          <w:color w:val="000000" w:themeColor="text1"/>
          <w:sz w:val="26"/>
          <w:szCs w:val="26"/>
        </w:rPr>
        <w:t>the AMI meter will cause or contribute to negative health effects</w:t>
      </w:r>
      <w:r w:rsidR="003978D7">
        <w:rPr>
          <w:color w:val="000000" w:themeColor="text1"/>
          <w:sz w:val="26"/>
          <w:szCs w:val="26"/>
        </w:rPr>
        <w:t xml:space="preserve"> including, </w:t>
      </w:r>
      <w:r w:rsidR="003978D7" w:rsidRPr="003237B5">
        <w:rPr>
          <w:i/>
          <w:iCs/>
          <w:color w:val="000000" w:themeColor="text1"/>
          <w:sz w:val="26"/>
          <w:szCs w:val="26"/>
        </w:rPr>
        <w:t>inter alia</w:t>
      </w:r>
      <w:r w:rsidR="003978D7">
        <w:rPr>
          <w:color w:val="000000" w:themeColor="text1"/>
          <w:sz w:val="26"/>
          <w:szCs w:val="26"/>
        </w:rPr>
        <w:t>, issues with sleeping</w:t>
      </w:r>
      <w:r w:rsidR="00916FBD">
        <w:rPr>
          <w:color w:val="000000" w:themeColor="text1"/>
          <w:sz w:val="26"/>
          <w:szCs w:val="26"/>
        </w:rPr>
        <w:t xml:space="preserve"> and </w:t>
      </w:r>
      <w:r w:rsidR="001060C9">
        <w:rPr>
          <w:color w:val="000000" w:themeColor="text1"/>
          <w:sz w:val="26"/>
          <w:szCs w:val="26"/>
        </w:rPr>
        <w:t>cancer</w:t>
      </w:r>
      <w:r w:rsidR="00916FBD">
        <w:rPr>
          <w:color w:val="000000" w:themeColor="text1"/>
          <w:sz w:val="26"/>
          <w:szCs w:val="26"/>
        </w:rPr>
        <w:t xml:space="preserve"> </w:t>
      </w:r>
      <w:r w:rsidR="009B1D5F">
        <w:rPr>
          <w:color w:val="000000" w:themeColor="text1"/>
          <w:sz w:val="26"/>
          <w:szCs w:val="26"/>
        </w:rPr>
        <w:t xml:space="preserve">to </w:t>
      </w:r>
      <w:r w:rsidR="00E02803">
        <w:rPr>
          <w:color w:val="000000" w:themeColor="text1"/>
          <w:sz w:val="26"/>
          <w:szCs w:val="26"/>
        </w:rPr>
        <w:t>the Complainant</w:t>
      </w:r>
      <w:r w:rsidR="009B1D5F">
        <w:rPr>
          <w:color w:val="000000" w:themeColor="text1"/>
          <w:sz w:val="26"/>
          <w:szCs w:val="26"/>
        </w:rPr>
        <w:t xml:space="preserve">, his girlfriend, and </w:t>
      </w:r>
      <w:r w:rsidR="00916FBD">
        <w:rPr>
          <w:color w:val="000000" w:themeColor="text1"/>
          <w:sz w:val="26"/>
          <w:szCs w:val="26"/>
        </w:rPr>
        <w:t xml:space="preserve">his </w:t>
      </w:r>
      <w:r w:rsidR="009B1D5F">
        <w:rPr>
          <w:color w:val="000000" w:themeColor="text1"/>
          <w:sz w:val="26"/>
          <w:szCs w:val="26"/>
        </w:rPr>
        <w:t xml:space="preserve">farm </w:t>
      </w:r>
      <w:r w:rsidR="00916FBD">
        <w:rPr>
          <w:color w:val="000000" w:themeColor="text1"/>
          <w:sz w:val="26"/>
          <w:szCs w:val="26"/>
        </w:rPr>
        <w:t>animals.</w:t>
      </w:r>
      <w:r w:rsidR="009B1D5F">
        <w:rPr>
          <w:rStyle w:val="FootnoteReference"/>
          <w:color w:val="000000" w:themeColor="text1"/>
          <w:sz w:val="26"/>
          <w:szCs w:val="26"/>
        </w:rPr>
        <w:footnoteReference w:id="8"/>
      </w:r>
      <w:r w:rsidR="00FA3D61" w:rsidRPr="00481242">
        <w:rPr>
          <w:color w:val="000000" w:themeColor="text1"/>
          <w:sz w:val="26"/>
          <w:szCs w:val="26"/>
        </w:rPr>
        <w:t xml:space="preserve">  </w:t>
      </w:r>
      <w:r w:rsidR="006F55DA">
        <w:rPr>
          <w:color w:val="000000" w:themeColor="text1"/>
          <w:sz w:val="26"/>
          <w:szCs w:val="26"/>
        </w:rPr>
        <w:t xml:space="preserve">The ALJ noted that the Complainant </w:t>
      </w:r>
      <w:r w:rsidR="00376D6E">
        <w:rPr>
          <w:color w:val="000000" w:themeColor="text1"/>
          <w:sz w:val="26"/>
          <w:szCs w:val="26"/>
        </w:rPr>
        <w:t xml:space="preserve">provided an article and two YouTube videos to counsel for PPL the day prior to the hearing but </w:t>
      </w:r>
      <w:r w:rsidR="002263BE">
        <w:rPr>
          <w:color w:val="000000" w:themeColor="text1"/>
          <w:sz w:val="26"/>
          <w:szCs w:val="26"/>
        </w:rPr>
        <w:t xml:space="preserve">did not provide </w:t>
      </w:r>
      <w:r w:rsidR="00E02803">
        <w:rPr>
          <w:color w:val="000000" w:themeColor="text1"/>
          <w:sz w:val="26"/>
          <w:szCs w:val="26"/>
        </w:rPr>
        <w:t xml:space="preserve">these materials </w:t>
      </w:r>
      <w:r w:rsidR="002263BE">
        <w:rPr>
          <w:color w:val="000000" w:themeColor="text1"/>
          <w:sz w:val="26"/>
          <w:szCs w:val="26"/>
        </w:rPr>
        <w:t xml:space="preserve">to the presiding officer.  </w:t>
      </w:r>
      <w:r w:rsidR="004822E5" w:rsidRPr="00481242">
        <w:rPr>
          <w:color w:val="000000" w:themeColor="text1"/>
          <w:sz w:val="26"/>
          <w:szCs w:val="26"/>
        </w:rPr>
        <w:t xml:space="preserve">I.D. at </w:t>
      </w:r>
      <w:r w:rsidR="00323534" w:rsidRPr="00481242">
        <w:rPr>
          <w:color w:val="000000" w:themeColor="text1"/>
          <w:sz w:val="26"/>
          <w:szCs w:val="26"/>
        </w:rPr>
        <w:t>1</w:t>
      </w:r>
      <w:r w:rsidR="00916FBD">
        <w:rPr>
          <w:color w:val="000000" w:themeColor="text1"/>
          <w:sz w:val="26"/>
          <w:szCs w:val="26"/>
        </w:rPr>
        <w:t>2</w:t>
      </w:r>
      <w:r w:rsidR="00323534" w:rsidRPr="00481242">
        <w:rPr>
          <w:color w:val="000000" w:themeColor="text1"/>
          <w:sz w:val="26"/>
          <w:szCs w:val="26"/>
        </w:rPr>
        <w:t xml:space="preserve">.  </w:t>
      </w:r>
    </w:p>
    <w:p w14:paraId="6A6A6692" w14:textId="0727917A" w:rsidR="00916FBD" w:rsidRDefault="00916FBD" w:rsidP="00481242">
      <w:pPr>
        <w:widowControl/>
        <w:spacing w:line="360" w:lineRule="auto"/>
        <w:ind w:firstLine="1440"/>
        <w:rPr>
          <w:color w:val="000000" w:themeColor="text1"/>
          <w:sz w:val="26"/>
          <w:szCs w:val="26"/>
        </w:rPr>
      </w:pPr>
    </w:p>
    <w:p w14:paraId="439DEF2F" w14:textId="14049757" w:rsidR="00E02803" w:rsidRDefault="002935D2" w:rsidP="00657CC3">
      <w:pPr>
        <w:widowControl/>
        <w:spacing w:line="360" w:lineRule="auto"/>
        <w:ind w:firstLine="1440"/>
        <w:rPr>
          <w:color w:val="000000" w:themeColor="text1"/>
          <w:sz w:val="26"/>
          <w:szCs w:val="26"/>
        </w:rPr>
      </w:pPr>
      <w:r w:rsidRPr="00481242">
        <w:rPr>
          <w:color w:val="000000" w:themeColor="text1"/>
          <w:sz w:val="26"/>
          <w:szCs w:val="26"/>
        </w:rPr>
        <w:t xml:space="preserve">The ALJ also acknowledged the Company’s </w:t>
      </w:r>
      <w:r w:rsidR="00A34243">
        <w:rPr>
          <w:color w:val="000000" w:themeColor="text1"/>
          <w:sz w:val="26"/>
          <w:szCs w:val="26"/>
        </w:rPr>
        <w:t>contention</w:t>
      </w:r>
      <w:r w:rsidRPr="00481242">
        <w:rPr>
          <w:color w:val="000000" w:themeColor="text1"/>
          <w:sz w:val="26"/>
          <w:szCs w:val="26"/>
        </w:rPr>
        <w:t xml:space="preserve"> that</w:t>
      </w:r>
      <w:r w:rsidR="00C057AD">
        <w:rPr>
          <w:color w:val="000000" w:themeColor="text1"/>
          <w:sz w:val="26"/>
          <w:szCs w:val="26"/>
        </w:rPr>
        <w:t xml:space="preserve"> </w:t>
      </w:r>
      <w:r w:rsidR="00323534" w:rsidRPr="00481242">
        <w:rPr>
          <w:color w:val="000000" w:themeColor="text1"/>
          <w:sz w:val="26"/>
          <w:szCs w:val="26"/>
        </w:rPr>
        <w:t>the Complainant</w:t>
      </w:r>
      <w:r w:rsidR="007F7CCF">
        <w:rPr>
          <w:color w:val="000000" w:themeColor="text1"/>
          <w:sz w:val="26"/>
          <w:szCs w:val="26"/>
        </w:rPr>
        <w:t>’s</w:t>
      </w:r>
      <w:r w:rsidR="00323534" w:rsidRPr="00481242">
        <w:rPr>
          <w:color w:val="000000" w:themeColor="text1"/>
          <w:sz w:val="26"/>
          <w:szCs w:val="26"/>
        </w:rPr>
        <w:t xml:space="preserve"> </w:t>
      </w:r>
      <w:r w:rsidR="00C057AD">
        <w:rPr>
          <w:color w:val="000000" w:themeColor="text1"/>
          <w:sz w:val="26"/>
          <w:szCs w:val="26"/>
        </w:rPr>
        <w:t>concerns regarding</w:t>
      </w:r>
      <w:r w:rsidR="00323534" w:rsidRPr="00481242">
        <w:rPr>
          <w:color w:val="000000" w:themeColor="text1"/>
          <w:sz w:val="26"/>
          <w:szCs w:val="26"/>
        </w:rPr>
        <w:t xml:space="preserve"> health</w:t>
      </w:r>
      <w:r w:rsidR="00A04C50">
        <w:rPr>
          <w:color w:val="000000" w:themeColor="text1"/>
          <w:sz w:val="26"/>
          <w:szCs w:val="26"/>
        </w:rPr>
        <w:t xml:space="preserve"> and safety</w:t>
      </w:r>
      <w:r w:rsidR="00323534" w:rsidRPr="00481242">
        <w:rPr>
          <w:color w:val="000000" w:themeColor="text1"/>
          <w:sz w:val="26"/>
          <w:szCs w:val="26"/>
        </w:rPr>
        <w:t xml:space="preserve"> </w:t>
      </w:r>
      <w:r w:rsidR="00C057AD">
        <w:rPr>
          <w:color w:val="000000" w:themeColor="text1"/>
          <w:sz w:val="26"/>
          <w:szCs w:val="26"/>
        </w:rPr>
        <w:t>were</w:t>
      </w:r>
      <w:r w:rsidR="00323534" w:rsidRPr="00481242">
        <w:rPr>
          <w:color w:val="000000" w:themeColor="text1"/>
          <w:sz w:val="26"/>
          <w:szCs w:val="26"/>
        </w:rPr>
        <w:t xml:space="preserve"> thoroughly rebutted by PPL’s witnesses, including expert witnesses Dr. Davis and Dr. Israel, who in their expert </w:t>
      </w:r>
      <w:r w:rsidR="00323534" w:rsidRPr="00481242">
        <w:rPr>
          <w:color w:val="000000" w:themeColor="text1"/>
          <w:sz w:val="26"/>
          <w:szCs w:val="26"/>
        </w:rPr>
        <w:lastRenderedPageBreak/>
        <w:t>opinions, testified that t</w:t>
      </w:r>
      <w:r w:rsidR="00DD2BCB">
        <w:rPr>
          <w:color w:val="000000" w:themeColor="text1"/>
          <w:sz w:val="26"/>
          <w:szCs w:val="26"/>
        </w:rPr>
        <w:t>h</w:t>
      </w:r>
      <w:r w:rsidR="00A34243">
        <w:rPr>
          <w:color w:val="000000" w:themeColor="text1"/>
          <w:sz w:val="26"/>
          <w:szCs w:val="26"/>
        </w:rPr>
        <w:t>er</w:t>
      </w:r>
      <w:r w:rsidR="00323534" w:rsidRPr="00481242">
        <w:rPr>
          <w:color w:val="000000" w:themeColor="text1"/>
          <w:sz w:val="26"/>
          <w:szCs w:val="26"/>
        </w:rPr>
        <w:t>e is no reliable</w:t>
      </w:r>
      <w:r w:rsidR="00A04C50">
        <w:rPr>
          <w:color w:val="000000" w:themeColor="text1"/>
          <w:sz w:val="26"/>
          <w:szCs w:val="26"/>
        </w:rPr>
        <w:t>,</w:t>
      </w:r>
      <w:r w:rsidR="00323534" w:rsidRPr="00481242">
        <w:rPr>
          <w:color w:val="000000" w:themeColor="text1"/>
          <w:sz w:val="26"/>
          <w:szCs w:val="26"/>
        </w:rPr>
        <w:t xml:space="preserve"> scientific or medical basis to conclude that the AMI meter causes, contributes to, or exacerbates adverse health effects.  </w:t>
      </w:r>
      <w:r w:rsidR="003C0E96">
        <w:rPr>
          <w:color w:val="000000" w:themeColor="text1"/>
          <w:sz w:val="26"/>
          <w:szCs w:val="26"/>
        </w:rPr>
        <w:t>Therefore, the ALJ continued, M</w:t>
      </w:r>
      <w:r w:rsidR="00AE4AAE">
        <w:rPr>
          <w:color w:val="000000" w:themeColor="text1"/>
          <w:sz w:val="26"/>
          <w:szCs w:val="26"/>
        </w:rPr>
        <w:t xml:space="preserve">r. Ulmer failed to sustain his burden of proof on this matter.  </w:t>
      </w:r>
      <w:r w:rsidR="00323534" w:rsidRPr="00481242">
        <w:rPr>
          <w:color w:val="000000" w:themeColor="text1"/>
          <w:sz w:val="26"/>
          <w:szCs w:val="26"/>
        </w:rPr>
        <w:t>I.D. at 1</w:t>
      </w:r>
      <w:r w:rsidR="00A34243">
        <w:rPr>
          <w:color w:val="000000" w:themeColor="text1"/>
          <w:sz w:val="26"/>
          <w:szCs w:val="26"/>
        </w:rPr>
        <w:t>2</w:t>
      </w:r>
      <w:r w:rsidR="00323534" w:rsidRPr="00481242">
        <w:rPr>
          <w:color w:val="000000" w:themeColor="text1"/>
          <w:sz w:val="26"/>
          <w:szCs w:val="26"/>
        </w:rPr>
        <w:t>.</w:t>
      </w:r>
      <w:r w:rsidR="00B8413D">
        <w:rPr>
          <w:color w:val="000000" w:themeColor="text1"/>
          <w:sz w:val="26"/>
          <w:szCs w:val="26"/>
        </w:rPr>
        <w:t xml:space="preserve">  </w:t>
      </w:r>
    </w:p>
    <w:p w14:paraId="0F2EA9EB" w14:textId="77777777" w:rsidR="00AE6929" w:rsidRDefault="00AE6929" w:rsidP="00657CC3">
      <w:pPr>
        <w:widowControl/>
        <w:spacing w:line="360" w:lineRule="auto"/>
        <w:ind w:firstLine="1440"/>
        <w:rPr>
          <w:color w:val="000000" w:themeColor="text1"/>
          <w:sz w:val="26"/>
          <w:szCs w:val="26"/>
        </w:rPr>
      </w:pPr>
    </w:p>
    <w:p w14:paraId="327914F8" w14:textId="256E5217" w:rsidR="00B8413D" w:rsidRDefault="00B8413D" w:rsidP="00B8413D">
      <w:pPr>
        <w:widowControl/>
        <w:spacing w:line="360" w:lineRule="auto"/>
        <w:ind w:firstLine="1440"/>
        <w:rPr>
          <w:color w:val="000000" w:themeColor="text1"/>
          <w:sz w:val="26"/>
          <w:szCs w:val="26"/>
        </w:rPr>
      </w:pPr>
      <w:r>
        <w:rPr>
          <w:color w:val="000000" w:themeColor="text1"/>
          <w:sz w:val="26"/>
          <w:szCs w:val="26"/>
        </w:rPr>
        <w:t xml:space="preserve">The ALJ added that </w:t>
      </w:r>
      <w:r w:rsidR="00E827A6">
        <w:rPr>
          <w:color w:val="000000" w:themeColor="text1"/>
          <w:sz w:val="26"/>
          <w:szCs w:val="26"/>
        </w:rPr>
        <w:t>the Company</w:t>
      </w:r>
      <w:r>
        <w:rPr>
          <w:color w:val="000000" w:themeColor="text1"/>
          <w:sz w:val="26"/>
          <w:szCs w:val="26"/>
        </w:rPr>
        <w:t xml:space="preserve"> objected to the admission of the videos and article </w:t>
      </w:r>
      <w:r w:rsidR="00DB23A4">
        <w:rPr>
          <w:color w:val="000000" w:themeColor="text1"/>
          <w:sz w:val="26"/>
          <w:szCs w:val="26"/>
        </w:rPr>
        <w:t xml:space="preserve">provided to PPL one day prior to the hearing </w:t>
      </w:r>
      <w:r w:rsidR="00E827A6">
        <w:rPr>
          <w:color w:val="000000" w:themeColor="text1"/>
          <w:sz w:val="26"/>
          <w:szCs w:val="26"/>
        </w:rPr>
        <w:t xml:space="preserve">because the videos and article </w:t>
      </w:r>
      <w:r w:rsidR="003C2629">
        <w:rPr>
          <w:color w:val="000000" w:themeColor="text1"/>
          <w:sz w:val="26"/>
          <w:szCs w:val="26"/>
        </w:rPr>
        <w:t xml:space="preserve">contained hearsay within hearsay and irrelevant material that </w:t>
      </w:r>
      <w:r w:rsidR="000023DD">
        <w:rPr>
          <w:color w:val="000000" w:themeColor="text1"/>
          <w:sz w:val="26"/>
          <w:szCs w:val="26"/>
        </w:rPr>
        <w:t xml:space="preserve">had not been authenticated </w:t>
      </w:r>
      <w:r w:rsidR="00CF40D2">
        <w:rPr>
          <w:color w:val="000000" w:themeColor="text1"/>
          <w:sz w:val="26"/>
          <w:szCs w:val="26"/>
        </w:rPr>
        <w:t>nor</w:t>
      </w:r>
      <w:r w:rsidR="000023DD">
        <w:rPr>
          <w:color w:val="000000" w:themeColor="text1"/>
          <w:sz w:val="26"/>
          <w:szCs w:val="26"/>
        </w:rPr>
        <w:t xml:space="preserve"> </w:t>
      </w:r>
      <w:r w:rsidR="00CF40D2">
        <w:rPr>
          <w:color w:val="000000" w:themeColor="text1"/>
          <w:sz w:val="26"/>
          <w:szCs w:val="26"/>
        </w:rPr>
        <w:t>properly received by either counsel for</w:t>
      </w:r>
      <w:r w:rsidR="000023DD">
        <w:rPr>
          <w:color w:val="000000" w:themeColor="text1"/>
          <w:sz w:val="26"/>
          <w:szCs w:val="26"/>
        </w:rPr>
        <w:t xml:space="preserve"> PPL or the presiding officer </w:t>
      </w:r>
      <w:r w:rsidR="00CF40D2">
        <w:rPr>
          <w:color w:val="000000" w:themeColor="text1"/>
          <w:sz w:val="26"/>
          <w:szCs w:val="26"/>
        </w:rPr>
        <w:t>at least five days before the hearing.</w:t>
      </w:r>
      <w:r w:rsidR="00F93362">
        <w:rPr>
          <w:color w:val="000000" w:themeColor="text1"/>
          <w:sz w:val="26"/>
          <w:szCs w:val="26"/>
        </w:rPr>
        <w:t xml:space="preserve">  </w:t>
      </w:r>
      <w:r w:rsidR="005C1A41">
        <w:rPr>
          <w:color w:val="000000" w:themeColor="text1"/>
          <w:sz w:val="26"/>
          <w:szCs w:val="26"/>
        </w:rPr>
        <w:t xml:space="preserve">I.D. at 12 </w:t>
      </w:r>
      <w:r w:rsidR="00F93362">
        <w:rPr>
          <w:color w:val="000000" w:themeColor="text1"/>
          <w:sz w:val="26"/>
          <w:szCs w:val="26"/>
        </w:rPr>
        <w:t>(citing Tr. at 17-19).</w:t>
      </w:r>
      <w:r w:rsidR="007813BC">
        <w:rPr>
          <w:color w:val="000000" w:themeColor="text1"/>
          <w:sz w:val="26"/>
          <w:szCs w:val="26"/>
        </w:rPr>
        <w:t xml:space="preserve"> </w:t>
      </w:r>
      <w:r w:rsidR="000023DD">
        <w:rPr>
          <w:color w:val="000000" w:themeColor="text1"/>
          <w:sz w:val="26"/>
          <w:szCs w:val="26"/>
        </w:rPr>
        <w:t xml:space="preserve"> </w:t>
      </w:r>
      <w:r w:rsidR="00D93AD2">
        <w:rPr>
          <w:color w:val="000000" w:themeColor="text1"/>
          <w:sz w:val="26"/>
          <w:szCs w:val="26"/>
        </w:rPr>
        <w:t xml:space="preserve">The ALJ agreed with PPL that the </w:t>
      </w:r>
      <w:r w:rsidR="00F77C42">
        <w:rPr>
          <w:color w:val="000000" w:themeColor="text1"/>
          <w:sz w:val="26"/>
          <w:szCs w:val="26"/>
        </w:rPr>
        <w:t>videos</w:t>
      </w:r>
      <w:r w:rsidR="00D93AD2">
        <w:rPr>
          <w:color w:val="000000" w:themeColor="text1"/>
          <w:sz w:val="26"/>
          <w:szCs w:val="26"/>
        </w:rPr>
        <w:t xml:space="preserve"> and </w:t>
      </w:r>
      <w:r w:rsidR="00F77C42">
        <w:rPr>
          <w:color w:val="000000" w:themeColor="text1"/>
          <w:sz w:val="26"/>
          <w:szCs w:val="26"/>
        </w:rPr>
        <w:t>article</w:t>
      </w:r>
      <w:r w:rsidR="00D93AD2">
        <w:rPr>
          <w:color w:val="000000" w:themeColor="text1"/>
          <w:sz w:val="26"/>
          <w:szCs w:val="26"/>
        </w:rPr>
        <w:t xml:space="preserve"> </w:t>
      </w:r>
      <w:r w:rsidR="00C56734">
        <w:rPr>
          <w:color w:val="000000" w:themeColor="text1"/>
          <w:sz w:val="26"/>
          <w:szCs w:val="26"/>
        </w:rPr>
        <w:t>be excluded from evidence</w:t>
      </w:r>
      <w:r w:rsidR="004F5636">
        <w:rPr>
          <w:color w:val="000000" w:themeColor="text1"/>
          <w:sz w:val="26"/>
          <w:szCs w:val="26"/>
        </w:rPr>
        <w:t xml:space="preserve"> because the two videos contain</w:t>
      </w:r>
      <w:r w:rsidR="00D070BF">
        <w:rPr>
          <w:color w:val="000000" w:themeColor="text1"/>
          <w:sz w:val="26"/>
          <w:szCs w:val="26"/>
        </w:rPr>
        <w:t xml:space="preserve">ed statements made by </w:t>
      </w:r>
      <w:r w:rsidR="00475065">
        <w:rPr>
          <w:color w:val="000000" w:themeColor="text1"/>
          <w:sz w:val="26"/>
          <w:szCs w:val="26"/>
        </w:rPr>
        <w:t>a third party</w:t>
      </w:r>
      <w:r w:rsidR="00D070BF">
        <w:rPr>
          <w:color w:val="000000" w:themeColor="text1"/>
          <w:sz w:val="26"/>
          <w:szCs w:val="26"/>
        </w:rPr>
        <w:t xml:space="preserve"> not available for cross examination</w:t>
      </w:r>
      <w:r w:rsidR="008369CC">
        <w:rPr>
          <w:color w:val="000000" w:themeColor="text1"/>
          <w:sz w:val="26"/>
          <w:szCs w:val="26"/>
        </w:rPr>
        <w:t xml:space="preserve">.  </w:t>
      </w:r>
      <w:r w:rsidR="00FC17AB">
        <w:rPr>
          <w:color w:val="000000" w:themeColor="text1"/>
          <w:sz w:val="26"/>
          <w:szCs w:val="26"/>
        </w:rPr>
        <w:t xml:space="preserve">The ALJ further concurred with PPL that the videos and article be excluded on the grounds that these items were </w:t>
      </w:r>
      <w:r w:rsidR="00C22316">
        <w:rPr>
          <w:color w:val="000000" w:themeColor="text1"/>
          <w:sz w:val="26"/>
          <w:szCs w:val="26"/>
        </w:rPr>
        <w:t xml:space="preserve">provided to PPL </w:t>
      </w:r>
      <w:r w:rsidR="00F77C42">
        <w:rPr>
          <w:color w:val="000000" w:themeColor="text1"/>
          <w:sz w:val="26"/>
          <w:szCs w:val="26"/>
        </w:rPr>
        <w:t>only</w:t>
      </w:r>
      <w:r w:rsidR="00A8601C">
        <w:rPr>
          <w:color w:val="000000" w:themeColor="text1"/>
          <w:sz w:val="26"/>
          <w:szCs w:val="26"/>
        </w:rPr>
        <w:t xml:space="preserve"> </w:t>
      </w:r>
      <w:r w:rsidR="00F77C42">
        <w:rPr>
          <w:color w:val="000000" w:themeColor="text1"/>
          <w:sz w:val="26"/>
          <w:szCs w:val="26"/>
        </w:rPr>
        <w:t>one</w:t>
      </w:r>
      <w:r w:rsidR="00A8601C">
        <w:rPr>
          <w:color w:val="000000" w:themeColor="text1"/>
          <w:sz w:val="26"/>
          <w:szCs w:val="26"/>
        </w:rPr>
        <w:t xml:space="preserve"> day before the hearing</w:t>
      </w:r>
      <w:r w:rsidR="00C22316">
        <w:rPr>
          <w:color w:val="000000" w:themeColor="text1"/>
          <w:sz w:val="26"/>
          <w:szCs w:val="26"/>
        </w:rPr>
        <w:t xml:space="preserve"> and were not provided to </w:t>
      </w:r>
      <w:r w:rsidR="00A8601C">
        <w:rPr>
          <w:color w:val="000000" w:themeColor="text1"/>
          <w:sz w:val="26"/>
          <w:szCs w:val="26"/>
        </w:rPr>
        <w:t>the presiding officer</w:t>
      </w:r>
      <w:r w:rsidR="00F77C42">
        <w:rPr>
          <w:color w:val="000000" w:themeColor="text1"/>
          <w:sz w:val="26"/>
          <w:szCs w:val="26"/>
        </w:rPr>
        <w:t>.</w:t>
      </w:r>
      <w:r w:rsidR="00CC2DFF">
        <w:rPr>
          <w:color w:val="000000" w:themeColor="text1"/>
          <w:sz w:val="26"/>
          <w:szCs w:val="26"/>
        </w:rPr>
        <w:t xml:space="preserve">  </w:t>
      </w:r>
      <w:r w:rsidR="00F77C42" w:rsidRPr="00F93362">
        <w:rPr>
          <w:i/>
          <w:iCs/>
          <w:color w:val="000000" w:themeColor="text1"/>
          <w:sz w:val="26"/>
          <w:szCs w:val="26"/>
        </w:rPr>
        <w:t>Id.</w:t>
      </w:r>
      <w:r w:rsidR="00F77C42">
        <w:rPr>
          <w:i/>
          <w:iCs/>
          <w:color w:val="000000" w:themeColor="text1"/>
          <w:sz w:val="26"/>
          <w:szCs w:val="26"/>
        </w:rPr>
        <w:t xml:space="preserve"> </w:t>
      </w:r>
      <w:r w:rsidR="00F77C42">
        <w:rPr>
          <w:color w:val="000000" w:themeColor="text1"/>
          <w:sz w:val="26"/>
          <w:szCs w:val="26"/>
        </w:rPr>
        <w:t xml:space="preserve"> </w:t>
      </w:r>
    </w:p>
    <w:p w14:paraId="144FF89A" w14:textId="77777777" w:rsidR="00BD3B7B" w:rsidRPr="00481242" w:rsidRDefault="00BD3B7B" w:rsidP="00B8413D">
      <w:pPr>
        <w:widowControl/>
        <w:spacing w:line="360" w:lineRule="auto"/>
        <w:ind w:firstLine="1440"/>
        <w:rPr>
          <w:color w:val="000000" w:themeColor="text1"/>
          <w:sz w:val="26"/>
          <w:szCs w:val="26"/>
        </w:rPr>
      </w:pPr>
    </w:p>
    <w:p w14:paraId="1B5D42CA" w14:textId="1B6A6C2C" w:rsidR="0031437D" w:rsidRPr="0032352D" w:rsidRDefault="0031437D" w:rsidP="00481242">
      <w:pPr>
        <w:widowControl/>
        <w:spacing w:line="360" w:lineRule="auto"/>
        <w:ind w:right="40" w:firstLine="1440"/>
        <w:textAlignment w:val="baseline"/>
        <w:rPr>
          <w:sz w:val="26"/>
          <w:szCs w:val="26"/>
        </w:rPr>
      </w:pPr>
      <w:r w:rsidRPr="0031437D">
        <w:rPr>
          <w:sz w:val="26"/>
          <w:szCs w:val="26"/>
        </w:rPr>
        <w:t xml:space="preserve">The ALJ </w:t>
      </w:r>
      <w:r w:rsidR="004F054E">
        <w:rPr>
          <w:sz w:val="26"/>
          <w:szCs w:val="26"/>
        </w:rPr>
        <w:t>found</w:t>
      </w:r>
      <w:r w:rsidRPr="0031437D">
        <w:rPr>
          <w:sz w:val="26"/>
          <w:szCs w:val="26"/>
        </w:rPr>
        <w:t xml:space="preserve"> the lay opinion of the Complainant that the </w:t>
      </w:r>
      <w:r w:rsidR="002B34A9">
        <w:rPr>
          <w:sz w:val="26"/>
          <w:szCs w:val="26"/>
        </w:rPr>
        <w:t xml:space="preserve">death of two of </w:t>
      </w:r>
      <w:r w:rsidR="00B8367E">
        <w:rPr>
          <w:sz w:val="26"/>
          <w:szCs w:val="26"/>
        </w:rPr>
        <w:t>Mr. Ulmer’s</w:t>
      </w:r>
      <w:r w:rsidR="002B34A9">
        <w:rPr>
          <w:sz w:val="26"/>
          <w:szCs w:val="26"/>
        </w:rPr>
        <w:t xml:space="preserve"> chickens and two of his rabbits was caused by the</w:t>
      </w:r>
      <w:r w:rsidRPr="0031437D">
        <w:rPr>
          <w:sz w:val="26"/>
          <w:szCs w:val="26"/>
        </w:rPr>
        <w:t xml:space="preserve"> </w:t>
      </w:r>
      <w:r w:rsidR="00942CDA">
        <w:rPr>
          <w:sz w:val="26"/>
          <w:szCs w:val="26"/>
        </w:rPr>
        <w:t>AMI meter installed</w:t>
      </w:r>
      <w:r w:rsidR="002B34A9">
        <w:rPr>
          <w:sz w:val="26"/>
          <w:szCs w:val="26"/>
        </w:rPr>
        <w:t xml:space="preserve"> </w:t>
      </w:r>
      <w:r w:rsidR="003F140C">
        <w:rPr>
          <w:sz w:val="26"/>
          <w:szCs w:val="26"/>
        </w:rPr>
        <w:t>on</w:t>
      </w:r>
      <w:r w:rsidRPr="0031437D">
        <w:rPr>
          <w:sz w:val="26"/>
          <w:szCs w:val="26"/>
        </w:rPr>
        <w:t xml:space="preserve"> a utility pole near </w:t>
      </w:r>
      <w:r w:rsidR="001C50DB">
        <w:rPr>
          <w:sz w:val="26"/>
          <w:szCs w:val="26"/>
        </w:rPr>
        <w:t>the living area of</w:t>
      </w:r>
      <w:r w:rsidRPr="0031437D">
        <w:rPr>
          <w:sz w:val="26"/>
          <w:szCs w:val="26"/>
        </w:rPr>
        <w:t xml:space="preserve"> </w:t>
      </w:r>
      <w:r w:rsidR="003F140C">
        <w:rPr>
          <w:sz w:val="26"/>
          <w:szCs w:val="26"/>
        </w:rPr>
        <w:t>Mr. Ulmer’s</w:t>
      </w:r>
      <w:r w:rsidRPr="0031437D">
        <w:rPr>
          <w:sz w:val="26"/>
          <w:szCs w:val="26"/>
        </w:rPr>
        <w:t xml:space="preserve"> </w:t>
      </w:r>
      <w:r w:rsidR="001C50DB">
        <w:rPr>
          <w:sz w:val="26"/>
          <w:szCs w:val="26"/>
        </w:rPr>
        <w:t>animals</w:t>
      </w:r>
      <w:r w:rsidR="00EF431F">
        <w:rPr>
          <w:sz w:val="26"/>
          <w:szCs w:val="26"/>
        </w:rPr>
        <w:t xml:space="preserve"> to be non-persuasive</w:t>
      </w:r>
      <w:r w:rsidRPr="0031437D">
        <w:rPr>
          <w:sz w:val="26"/>
          <w:szCs w:val="26"/>
        </w:rPr>
        <w:t>.</w:t>
      </w:r>
      <w:r w:rsidR="004B6E1A">
        <w:rPr>
          <w:sz w:val="26"/>
          <w:szCs w:val="26"/>
        </w:rPr>
        <w:t xml:space="preserve"> </w:t>
      </w:r>
      <w:r w:rsidRPr="0031437D">
        <w:rPr>
          <w:sz w:val="26"/>
          <w:szCs w:val="26"/>
        </w:rPr>
        <w:t xml:space="preserve"> </w:t>
      </w:r>
      <w:r w:rsidR="00C54D82">
        <w:rPr>
          <w:sz w:val="26"/>
          <w:szCs w:val="26"/>
        </w:rPr>
        <w:t>I.D. at 13</w:t>
      </w:r>
      <w:r w:rsidR="00B42906">
        <w:rPr>
          <w:sz w:val="26"/>
          <w:szCs w:val="26"/>
        </w:rPr>
        <w:t xml:space="preserve"> (citing Tr. at 16, 19-20).</w:t>
      </w:r>
      <w:r w:rsidR="00C54D82">
        <w:rPr>
          <w:sz w:val="26"/>
          <w:szCs w:val="26"/>
        </w:rPr>
        <w:t xml:space="preserve">  </w:t>
      </w:r>
      <w:r w:rsidR="00A306A7">
        <w:rPr>
          <w:sz w:val="26"/>
          <w:szCs w:val="26"/>
        </w:rPr>
        <w:t xml:space="preserve">Further, the ALJ </w:t>
      </w:r>
      <w:r w:rsidR="00CF5B51">
        <w:rPr>
          <w:sz w:val="26"/>
          <w:szCs w:val="26"/>
        </w:rPr>
        <w:t>explained</w:t>
      </w:r>
      <w:r w:rsidR="00A12182">
        <w:rPr>
          <w:sz w:val="26"/>
          <w:szCs w:val="26"/>
        </w:rPr>
        <w:t xml:space="preserve"> that</w:t>
      </w:r>
      <w:r w:rsidR="00A306A7">
        <w:rPr>
          <w:sz w:val="26"/>
          <w:szCs w:val="26"/>
        </w:rPr>
        <w:t xml:space="preserve"> </w:t>
      </w:r>
      <w:r w:rsidR="00A12182">
        <w:rPr>
          <w:sz w:val="26"/>
          <w:szCs w:val="26"/>
        </w:rPr>
        <w:t>the Complainant failed to prove the AMI meter will cause</w:t>
      </w:r>
      <w:r w:rsidR="00D022BD">
        <w:rPr>
          <w:sz w:val="26"/>
          <w:szCs w:val="26"/>
        </w:rPr>
        <w:t>,</w:t>
      </w:r>
      <w:r w:rsidR="00A12182">
        <w:rPr>
          <w:sz w:val="26"/>
          <w:szCs w:val="26"/>
        </w:rPr>
        <w:t xml:space="preserve"> or contribute to</w:t>
      </w:r>
      <w:r w:rsidR="00D022BD">
        <w:rPr>
          <w:sz w:val="26"/>
          <w:szCs w:val="26"/>
        </w:rPr>
        <w:t>,</w:t>
      </w:r>
      <w:r w:rsidR="00A12182">
        <w:rPr>
          <w:sz w:val="26"/>
          <w:szCs w:val="26"/>
        </w:rPr>
        <w:t xml:space="preserve"> cancer</w:t>
      </w:r>
      <w:r w:rsidR="00612B0A">
        <w:rPr>
          <w:sz w:val="26"/>
          <w:szCs w:val="26"/>
        </w:rPr>
        <w:t xml:space="preserve"> as she reasoned</w:t>
      </w:r>
      <w:r w:rsidR="000758AA">
        <w:rPr>
          <w:sz w:val="26"/>
          <w:szCs w:val="26"/>
        </w:rPr>
        <w:t xml:space="preserve"> that</w:t>
      </w:r>
      <w:r w:rsidR="00612B0A">
        <w:rPr>
          <w:sz w:val="26"/>
          <w:szCs w:val="26"/>
        </w:rPr>
        <w:t xml:space="preserve"> </w:t>
      </w:r>
      <w:r w:rsidR="00765A62">
        <w:rPr>
          <w:sz w:val="26"/>
          <w:szCs w:val="26"/>
        </w:rPr>
        <w:t xml:space="preserve">Mr. Ulmer is not an expert </w:t>
      </w:r>
      <w:r w:rsidR="00612B0A">
        <w:rPr>
          <w:sz w:val="26"/>
          <w:szCs w:val="26"/>
        </w:rPr>
        <w:t>(</w:t>
      </w:r>
      <w:r w:rsidR="00612B0A" w:rsidRPr="002C0FE5">
        <w:rPr>
          <w:i/>
          <w:iCs/>
          <w:sz w:val="26"/>
          <w:szCs w:val="26"/>
        </w:rPr>
        <w:t>i.e.</w:t>
      </w:r>
      <w:r w:rsidR="00612B0A">
        <w:rPr>
          <w:sz w:val="26"/>
          <w:szCs w:val="26"/>
        </w:rPr>
        <w:t>, neither an engineer nor a medical professional)</w:t>
      </w:r>
      <w:r w:rsidR="00765A62">
        <w:rPr>
          <w:sz w:val="26"/>
          <w:szCs w:val="26"/>
        </w:rPr>
        <w:t xml:space="preserve">, </w:t>
      </w:r>
      <w:r w:rsidR="00A54F05">
        <w:rPr>
          <w:sz w:val="26"/>
          <w:szCs w:val="26"/>
        </w:rPr>
        <w:t xml:space="preserve">his testimony was based upon hearsay, </w:t>
      </w:r>
      <w:r w:rsidR="00765A62">
        <w:rPr>
          <w:sz w:val="26"/>
          <w:szCs w:val="26"/>
        </w:rPr>
        <w:t xml:space="preserve">and his opinion is based upon </w:t>
      </w:r>
      <w:r w:rsidR="00D75DFE">
        <w:rPr>
          <w:sz w:val="26"/>
          <w:szCs w:val="26"/>
        </w:rPr>
        <w:t xml:space="preserve">two unnamed YouTube videos and an unnamed article not provided </w:t>
      </w:r>
      <w:r w:rsidR="00312197">
        <w:rPr>
          <w:sz w:val="26"/>
          <w:szCs w:val="26"/>
        </w:rPr>
        <w:t xml:space="preserve">to the presiding officer.  </w:t>
      </w:r>
      <w:r w:rsidR="005C52AE" w:rsidRPr="001B0B33">
        <w:rPr>
          <w:i/>
          <w:iCs/>
          <w:sz w:val="26"/>
          <w:szCs w:val="26"/>
        </w:rPr>
        <w:t>Id.</w:t>
      </w:r>
      <w:r w:rsidR="005C52AE">
        <w:rPr>
          <w:sz w:val="26"/>
          <w:szCs w:val="26"/>
        </w:rPr>
        <w:t xml:space="preserve">  (citing Tr. at 24).  </w:t>
      </w:r>
      <w:r w:rsidR="00E5270F">
        <w:rPr>
          <w:sz w:val="26"/>
          <w:szCs w:val="26"/>
        </w:rPr>
        <w:t>Moreover</w:t>
      </w:r>
      <w:r w:rsidR="000758AA">
        <w:rPr>
          <w:sz w:val="26"/>
          <w:szCs w:val="26"/>
        </w:rPr>
        <w:t>, the ALJ</w:t>
      </w:r>
      <w:r w:rsidR="005046B2">
        <w:rPr>
          <w:sz w:val="26"/>
          <w:szCs w:val="26"/>
        </w:rPr>
        <w:t xml:space="preserve"> referenced</w:t>
      </w:r>
      <w:r w:rsidR="006E2A3C">
        <w:rPr>
          <w:sz w:val="26"/>
          <w:szCs w:val="26"/>
        </w:rPr>
        <w:t xml:space="preserve"> Section 332 of the Code,</w:t>
      </w:r>
      <w:r w:rsidR="005046B2">
        <w:rPr>
          <w:sz w:val="26"/>
          <w:szCs w:val="26"/>
        </w:rPr>
        <w:t xml:space="preserve"> </w:t>
      </w:r>
      <w:r w:rsidR="005046B2" w:rsidRPr="00714D63">
        <w:rPr>
          <w:sz w:val="26"/>
          <w:szCs w:val="26"/>
        </w:rPr>
        <w:t>66 Pa.</w:t>
      </w:r>
      <w:r w:rsidR="0077583E">
        <w:rPr>
          <w:sz w:val="26"/>
          <w:szCs w:val="26"/>
        </w:rPr>
        <w:t xml:space="preserve"> </w:t>
      </w:r>
      <w:r w:rsidR="005046B2" w:rsidRPr="00714D63">
        <w:rPr>
          <w:sz w:val="26"/>
          <w:szCs w:val="26"/>
        </w:rPr>
        <w:t>C.S. §</w:t>
      </w:r>
      <w:r w:rsidR="00CD4E17">
        <w:rPr>
          <w:sz w:val="26"/>
          <w:szCs w:val="26"/>
        </w:rPr>
        <w:t> </w:t>
      </w:r>
      <w:r w:rsidR="005046B2" w:rsidRPr="00714D63">
        <w:rPr>
          <w:sz w:val="26"/>
          <w:szCs w:val="26"/>
        </w:rPr>
        <w:t>332(c)</w:t>
      </w:r>
      <w:r w:rsidR="005046B2">
        <w:rPr>
          <w:sz w:val="26"/>
          <w:szCs w:val="26"/>
        </w:rPr>
        <w:t>,</w:t>
      </w:r>
      <w:r w:rsidR="000758AA">
        <w:rPr>
          <w:sz w:val="26"/>
          <w:szCs w:val="26"/>
        </w:rPr>
        <w:t xml:space="preserve"> </w:t>
      </w:r>
      <w:r w:rsidR="006E2A3C">
        <w:rPr>
          <w:sz w:val="26"/>
          <w:szCs w:val="26"/>
        </w:rPr>
        <w:t xml:space="preserve">in </w:t>
      </w:r>
      <w:r w:rsidR="000758AA">
        <w:rPr>
          <w:sz w:val="26"/>
          <w:szCs w:val="26"/>
        </w:rPr>
        <w:t>not</w:t>
      </w:r>
      <w:r w:rsidR="00CD4E17">
        <w:rPr>
          <w:sz w:val="26"/>
          <w:szCs w:val="26"/>
        </w:rPr>
        <w:t>ing</w:t>
      </w:r>
      <w:r w:rsidR="000758AA">
        <w:rPr>
          <w:sz w:val="26"/>
          <w:szCs w:val="26"/>
        </w:rPr>
        <w:t xml:space="preserve"> that the Complainant’s </w:t>
      </w:r>
      <w:r w:rsidR="00A54F05">
        <w:rPr>
          <w:sz w:val="26"/>
          <w:szCs w:val="26"/>
        </w:rPr>
        <w:t xml:space="preserve">testimony and </w:t>
      </w:r>
      <w:r w:rsidR="000758AA">
        <w:rPr>
          <w:sz w:val="26"/>
          <w:szCs w:val="26"/>
        </w:rPr>
        <w:t>opinion w</w:t>
      </w:r>
      <w:r w:rsidR="00A54F05">
        <w:rPr>
          <w:sz w:val="26"/>
          <w:szCs w:val="26"/>
        </w:rPr>
        <w:t>ere insufficient to refute</w:t>
      </w:r>
      <w:r w:rsidR="006F596D">
        <w:rPr>
          <w:sz w:val="26"/>
          <w:szCs w:val="26"/>
        </w:rPr>
        <w:t xml:space="preserve"> the credible testimonies </w:t>
      </w:r>
      <w:r w:rsidR="006F596D" w:rsidRPr="00E03661">
        <w:rPr>
          <w:sz w:val="26"/>
          <w:szCs w:val="26"/>
        </w:rPr>
        <w:t>of</w:t>
      </w:r>
      <w:r w:rsidR="000758AA" w:rsidRPr="00904ABE">
        <w:rPr>
          <w:sz w:val="26"/>
          <w:szCs w:val="26"/>
        </w:rPr>
        <w:t xml:space="preserve"> Dr. I</w:t>
      </w:r>
      <w:r w:rsidR="00FF61C7" w:rsidRPr="0032352D">
        <w:rPr>
          <w:sz w:val="26"/>
          <w:szCs w:val="26"/>
        </w:rPr>
        <w:t>srael and Dr. Davis.</w:t>
      </w:r>
      <w:r w:rsidR="00CD4E17" w:rsidRPr="0032352D">
        <w:rPr>
          <w:sz w:val="26"/>
          <w:szCs w:val="26"/>
        </w:rPr>
        <w:t xml:space="preserve">  </w:t>
      </w:r>
      <w:r w:rsidR="00CD4E17" w:rsidRPr="0032352D">
        <w:rPr>
          <w:i/>
          <w:iCs/>
          <w:sz w:val="26"/>
          <w:szCs w:val="26"/>
        </w:rPr>
        <w:t>Id.</w:t>
      </w:r>
      <w:r w:rsidR="00CD4E17" w:rsidRPr="0032352D">
        <w:rPr>
          <w:sz w:val="26"/>
          <w:szCs w:val="26"/>
        </w:rPr>
        <w:t xml:space="preserve">  (citing </w:t>
      </w:r>
      <w:r w:rsidR="00714D63" w:rsidRPr="009F7833">
        <w:rPr>
          <w:i/>
          <w:color w:val="000000"/>
          <w:sz w:val="26"/>
          <w:szCs w:val="26"/>
        </w:rPr>
        <w:t>Answerphone, Inc. &amp; Elite Answering Serv. v. The Bell Tele. Co. of Pa.</w:t>
      </w:r>
      <w:r w:rsidR="00714D63" w:rsidRPr="00F57CEF">
        <w:rPr>
          <w:iCs/>
          <w:color w:val="000000"/>
          <w:sz w:val="26"/>
          <w:szCs w:val="26"/>
        </w:rPr>
        <w:t>,</w:t>
      </w:r>
      <w:r w:rsidR="00714D63" w:rsidRPr="009F7833">
        <w:rPr>
          <w:i/>
          <w:color w:val="000000"/>
          <w:sz w:val="26"/>
          <w:szCs w:val="26"/>
        </w:rPr>
        <w:t xml:space="preserve"> </w:t>
      </w:r>
      <w:r w:rsidR="00714D63" w:rsidRPr="009F7833">
        <w:rPr>
          <w:color w:val="000000"/>
          <w:sz w:val="26"/>
          <w:szCs w:val="26"/>
        </w:rPr>
        <w:t>1993 Pa. PUC LEXIS 70, at *29-30 (Order entered April 1, 1993)</w:t>
      </w:r>
      <w:r w:rsidR="00F0652D" w:rsidRPr="00E03661">
        <w:rPr>
          <w:sz w:val="26"/>
          <w:szCs w:val="26"/>
        </w:rPr>
        <w:t>)</w:t>
      </w:r>
      <w:r w:rsidR="00714D63" w:rsidRPr="00904ABE">
        <w:rPr>
          <w:sz w:val="26"/>
          <w:szCs w:val="26"/>
        </w:rPr>
        <w:t>.</w:t>
      </w:r>
    </w:p>
    <w:p w14:paraId="7949320F" w14:textId="77777777" w:rsidR="001925ED" w:rsidRDefault="001925ED" w:rsidP="007F411B">
      <w:pPr>
        <w:widowControl/>
        <w:spacing w:line="360" w:lineRule="auto"/>
        <w:ind w:right="40"/>
        <w:textAlignment w:val="baseline"/>
        <w:rPr>
          <w:color w:val="000000" w:themeColor="text1"/>
          <w:sz w:val="26"/>
          <w:szCs w:val="26"/>
        </w:rPr>
      </w:pPr>
    </w:p>
    <w:p w14:paraId="631CDEDD" w14:textId="1EE43A94" w:rsidR="009157AF" w:rsidRDefault="00005FAB" w:rsidP="00647915">
      <w:pPr>
        <w:widowControl/>
        <w:spacing w:line="360" w:lineRule="auto"/>
        <w:ind w:firstLine="1440"/>
        <w:rPr>
          <w:sz w:val="26"/>
          <w:szCs w:val="26"/>
        </w:rPr>
      </w:pPr>
      <w:r w:rsidRPr="00005FAB">
        <w:rPr>
          <w:sz w:val="26"/>
          <w:szCs w:val="26"/>
        </w:rPr>
        <w:lastRenderedPageBreak/>
        <w:t xml:space="preserve">The ALJ was persuaded by the testimony of PPL witness Dr. Israel, who </w:t>
      </w:r>
      <w:r w:rsidR="00367EB2" w:rsidRPr="00904238">
        <w:rPr>
          <w:sz w:val="26"/>
          <w:szCs w:val="26"/>
        </w:rPr>
        <w:t>explain</w:t>
      </w:r>
      <w:r w:rsidRPr="00904238">
        <w:rPr>
          <w:sz w:val="26"/>
          <w:szCs w:val="26"/>
        </w:rPr>
        <w:t>ed</w:t>
      </w:r>
      <w:r w:rsidRPr="00005FAB">
        <w:rPr>
          <w:sz w:val="26"/>
          <w:szCs w:val="26"/>
        </w:rPr>
        <w:t xml:space="preserve"> that claimed symptoms related to Electromagnetic Hypersensitivity (EHS) are more accurately described as Idiopathic Environmental Intolerance (IEI), in which “idiopathic” means “cause unknown.”  I.D. at </w:t>
      </w:r>
      <w:r w:rsidR="006B5133">
        <w:rPr>
          <w:sz w:val="26"/>
          <w:szCs w:val="26"/>
        </w:rPr>
        <w:t xml:space="preserve">7, </w:t>
      </w:r>
      <w:r w:rsidRPr="00005FAB">
        <w:rPr>
          <w:sz w:val="26"/>
          <w:szCs w:val="26"/>
        </w:rPr>
        <w:t>1</w:t>
      </w:r>
      <w:r w:rsidR="00BF504E">
        <w:rPr>
          <w:sz w:val="26"/>
          <w:szCs w:val="26"/>
        </w:rPr>
        <w:t>4</w:t>
      </w:r>
      <w:r w:rsidRPr="00005FAB">
        <w:rPr>
          <w:sz w:val="26"/>
          <w:szCs w:val="26"/>
        </w:rPr>
        <w:t xml:space="preserve"> (citing PPL St. 2 at 12-13).</w:t>
      </w:r>
      <w:r w:rsidR="004F054E">
        <w:rPr>
          <w:sz w:val="26"/>
          <w:szCs w:val="26"/>
        </w:rPr>
        <w:t xml:space="preserve">   </w:t>
      </w:r>
    </w:p>
    <w:p w14:paraId="0F8339EF" w14:textId="77777777" w:rsidR="009157AF" w:rsidRDefault="009157AF" w:rsidP="00005FAB">
      <w:pPr>
        <w:widowControl/>
        <w:spacing w:line="360" w:lineRule="auto"/>
        <w:ind w:firstLine="1440"/>
        <w:rPr>
          <w:color w:val="000000" w:themeColor="text1"/>
          <w:sz w:val="26"/>
          <w:szCs w:val="26"/>
        </w:rPr>
      </w:pPr>
    </w:p>
    <w:p w14:paraId="51003DCD" w14:textId="62AC15D9" w:rsidR="00005FAB" w:rsidRDefault="00005FAB" w:rsidP="00005FAB">
      <w:pPr>
        <w:widowControl/>
        <w:spacing w:line="360" w:lineRule="auto"/>
        <w:ind w:firstLine="1440"/>
        <w:rPr>
          <w:sz w:val="26"/>
          <w:szCs w:val="26"/>
        </w:rPr>
      </w:pPr>
      <w:r w:rsidRPr="00005FAB">
        <w:rPr>
          <w:sz w:val="26"/>
          <w:szCs w:val="26"/>
        </w:rPr>
        <w:t>The ALJ provided that Dr. Israel testified to a reasonable degree of medical certainty that there is no reliable medical basis to conclude that RF fields from the AMI meter intended for installation by PPL will cause</w:t>
      </w:r>
      <w:r w:rsidR="00352797">
        <w:rPr>
          <w:sz w:val="26"/>
          <w:szCs w:val="26"/>
        </w:rPr>
        <w:t>,</w:t>
      </w:r>
      <w:r w:rsidRPr="00005FAB">
        <w:rPr>
          <w:sz w:val="26"/>
          <w:szCs w:val="26"/>
        </w:rPr>
        <w:t xml:space="preserve"> or contribute to</w:t>
      </w:r>
      <w:r w:rsidR="00352797">
        <w:rPr>
          <w:sz w:val="26"/>
          <w:szCs w:val="26"/>
        </w:rPr>
        <w:t>,</w:t>
      </w:r>
      <w:r w:rsidRPr="00005FAB">
        <w:rPr>
          <w:sz w:val="26"/>
          <w:szCs w:val="26"/>
        </w:rPr>
        <w:t xml:space="preserve"> </w:t>
      </w:r>
      <w:r w:rsidR="000654EC">
        <w:rPr>
          <w:sz w:val="26"/>
          <w:szCs w:val="26"/>
        </w:rPr>
        <w:t>adverse effects on sleep</w:t>
      </w:r>
      <w:r w:rsidR="006A5954">
        <w:rPr>
          <w:sz w:val="26"/>
          <w:szCs w:val="26"/>
        </w:rPr>
        <w:t xml:space="preserve"> or</w:t>
      </w:r>
      <w:r w:rsidR="000654EC">
        <w:rPr>
          <w:sz w:val="26"/>
          <w:szCs w:val="26"/>
        </w:rPr>
        <w:t xml:space="preserve"> </w:t>
      </w:r>
      <w:r w:rsidRPr="00005FAB">
        <w:rPr>
          <w:sz w:val="26"/>
          <w:szCs w:val="26"/>
        </w:rPr>
        <w:t xml:space="preserve">the development of illness or diseases.  </w:t>
      </w:r>
      <w:r w:rsidR="006A5954">
        <w:rPr>
          <w:sz w:val="26"/>
          <w:szCs w:val="26"/>
        </w:rPr>
        <w:t>Further, b</w:t>
      </w:r>
      <w:r w:rsidRPr="00005FAB">
        <w:rPr>
          <w:sz w:val="26"/>
          <w:szCs w:val="26"/>
        </w:rPr>
        <w:t xml:space="preserve">ased on the expert medical opinion testimony of Dr. Israel, the ALJ concluded that there is no reliable medical basis to conclude that RF fields from the AMI meter being used by PPL would cause, contribute to, or exacerbate any of the symptoms claimed by the Complainant, or any other adverse health effects.  I.D. at </w:t>
      </w:r>
      <w:r w:rsidR="00EC7045">
        <w:rPr>
          <w:sz w:val="26"/>
          <w:szCs w:val="26"/>
        </w:rPr>
        <w:t>14-</w:t>
      </w:r>
      <w:r w:rsidRPr="00005FAB">
        <w:rPr>
          <w:sz w:val="26"/>
          <w:szCs w:val="26"/>
        </w:rPr>
        <w:t>1</w:t>
      </w:r>
      <w:r w:rsidR="00E9023A">
        <w:rPr>
          <w:sz w:val="26"/>
          <w:szCs w:val="26"/>
        </w:rPr>
        <w:t>5</w:t>
      </w:r>
      <w:r w:rsidRPr="00005FAB">
        <w:rPr>
          <w:sz w:val="26"/>
          <w:szCs w:val="26"/>
        </w:rPr>
        <w:t xml:space="preserve"> (citing PPL St. 2 at 16).  </w:t>
      </w:r>
    </w:p>
    <w:p w14:paraId="090DFA7B" w14:textId="784EE339" w:rsidR="00647915" w:rsidRDefault="00647915" w:rsidP="00005FAB">
      <w:pPr>
        <w:widowControl/>
        <w:spacing w:line="360" w:lineRule="auto"/>
        <w:ind w:firstLine="1440"/>
        <w:rPr>
          <w:sz w:val="26"/>
          <w:szCs w:val="26"/>
        </w:rPr>
      </w:pPr>
    </w:p>
    <w:p w14:paraId="33820AC7" w14:textId="638A8477" w:rsidR="00647915" w:rsidRDefault="00D7490F" w:rsidP="00647915">
      <w:pPr>
        <w:widowControl/>
        <w:spacing w:line="360" w:lineRule="auto"/>
        <w:ind w:firstLine="1440"/>
        <w:rPr>
          <w:color w:val="000000" w:themeColor="text1"/>
          <w:sz w:val="26"/>
          <w:szCs w:val="26"/>
        </w:rPr>
      </w:pPr>
      <w:r>
        <w:rPr>
          <w:sz w:val="26"/>
          <w:szCs w:val="26"/>
        </w:rPr>
        <w:t xml:space="preserve">The ALJ also summarized </w:t>
      </w:r>
      <w:r w:rsidR="00647915">
        <w:rPr>
          <w:sz w:val="26"/>
          <w:szCs w:val="26"/>
        </w:rPr>
        <w:t>Dr. Israel</w:t>
      </w:r>
      <w:r>
        <w:rPr>
          <w:sz w:val="26"/>
          <w:szCs w:val="26"/>
        </w:rPr>
        <w:t xml:space="preserve">’s testimony regarding </w:t>
      </w:r>
      <w:r w:rsidR="00647915">
        <w:rPr>
          <w:sz w:val="26"/>
          <w:szCs w:val="26"/>
        </w:rPr>
        <w:t xml:space="preserve">a number of studies on animals in areas that address fundamental, biological functions that are sensitive to any disruption and that involved lifetime exposures to RF Fields.  Dr. Israel </w:t>
      </w:r>
      <w:r w:rsidR="0063256B">
        <w:rPr>
          <w:sz w:val="26"/>
          <w:szCs w:val="26"/>
        </w:rPr>
        <w:t>stat</w:t>
      </w:r>
      <w:r w:rsidR="00647915">
        <w:rPr>
          <w:sz w:val="26"/>
          <w:szCs w:val="26"/>
        </w:rPr>
        <w:t xml:space="preserve">ed that these studies </w:t>
      </w:r>
      <w:r w:rsidR="00647915" w:rsidRPr="00481242">
        <w:rPr>
          <w:color w:val="000000" w:themeColor="text1"/>
          <w:sz w:val="26"/>
          <w:szCs w:val="26"/>
        </w:rPr>
        <w:t>found no adverse effects on genetics, fertility, reproduction, growth or development</w:t>
      </w:r>
      <w:r w:rsidR="00647915">
        <w:rPr>
          <w:color w:val="000000" w:themeColor="text1"/>
          <w:sz w:val="26"/>
          <w:szCs w:val="26"/>
        </w:rPr>
        <w:t>, nor did they find increased incidence in cancer,</w:t>
      </w:r>
      <w:r w:rsidR="00647915" w:rsidRPr="00481242">
        <w:rPr>
          <w:color w:val="000000" w:themeColor="text1"/>
          <w:sz w:val="26"/>
          <w:szCs w:val="26"/>
        </w:rPr>
        <w:t xml:space="preserve"> in the animals exposed to RF fields.  I.D. at 1</w:t>
      </w:r>
      <w:r w:rsidR="00647915">
        <w:rPr>
          <w:color w:val="000000" w:themeColor="text1"/>
          <w:sz w:val="26"/>
          <w:szCs w:val="26"/>
        </w:rPr>
        <w:t>4-15</w:t>
      </w:r>
      <w:r w:rsidR="00647915" w:rsidRPr="00481242">
        <w:rPr>
          <w:color w:val="000000" w:themeColor="text1"/>
          <w:sz w:val="26"/>
          <w:szCs w:val="26"/>
        </w:rPr>
        <w:t xml:space="preserve"> (citing PPL St. 2 at </w:t>
      </w:r>
      <w:r w:rsidR="00647915">
        <w:rPr>
          <w:color w:val="000000" w:themeColor="text1"/>
          <w:sz w:val="26"/>
          <w:szCs w:val="26"/>
        </w:rPr>
        <w:t>6</w:t>
      </w:r>
      <w:r w:rsidR="00647915" w:rsidRPr="00481242">
        <w:rPr>
          <w:color w:val="000000" w:themeColor="text1"/>
          <w:sz w:val="26"/>
          <w:szCs w:val="26"/>
        </w:rPr>
        <w:t>-</w:t>
      </w:r>
      <w:r w:rsidR="00647915">
        <w:rPr>
          <w:color w:val="000000" w:themeColor="text1"/>
          <w:sz w:val="26"/>
          <w:szCs w:val="26"/>
        </w:rPr>
        <w:t>10</w:t>
      </w:r>
      <w:r w:rsidR="00647915" w:rsidRPr="00481242">
        <w:rPr>
          <w:color w:val="000000" w:themeColor="text1"/>
          <w:sz w:val="26"/>
          <w:szCs w:val="26"/>
        </w:rPr>
        <w:t xml:space="preserve">).  </w:t>
      </w:r>
    </w:p>
    <w:p w14:paraId="114FB8C4" w14:textId="77777777" w:rsidR="00005FAB" w:rsidRPr="00005FAB" w:rsidRDefault="00005FAB" w:rsidP="00005FAB">
      <w:pPr>
        <w:widowControl/>
        <w:spacing w:line="360" w:lineRule="auto"/>
        <w:rPr>
          <w:sz w:val="26"/>
          <w:szCs w:val="26"/>
          <w:highlight w:val="yellow"/>
        </w:rPr>
      </w:pPr>
    </w:p>
    <w:p w14:paraId="3A700222" w14:textId="7ECF2129" w:rsidR="00005FAB" w:rsidRPr="00005FAB" w:rsidRDefault="00005FAB" w:rsidP="00005FAB">
      <w:pPr>
        <w:widowControl/>
        <w:spacing w:line="360" w:lineRule="auto"/>
        <w:rPr>
          <w:sz w:val="26"/>
          <w:szCs w:val="26"/>
        </w:rPr>
      </w:pPr>
      <w:r w:rsidRPr="00005FAB">
        <w:rPr>
          <w:sz w:val="26"/>
          <w:szCs w:val="26"/>
        </w:rPr>
        <w:tab/>
      </w:r>
      <w:r w:rsidRPr="00005FAB">
        <w:rPr>
          <w:sz w:val="26"/>
          <w:szCs w:val="26"/>
        </w:rPr>
        <w:tab/>
        <w:t>In addition, the ALJ found credible the testimony of PPL witness Dr. Davis</w:t>
      </w:r>
      <w:r w:rsidR="00031A15">
        <w:rPr>
          <w:sz w:val="26"/>
          <w:szCs w:val="26"/>
        </w:rPr>
        <w:t>,</w:t>
      </w:r>
      <w:r w:rsidRPr="00005FAB">
        <w:rPr>
          <w:sz w:val="26"/>
          <w:szCs w:val="26"/>
        </w:rPr>
        <w:t xml:space="preserve"> who opined that the Landis + </w:t>
      </w:r>
      <w:proofErr w:type="spellStart"/>
      <w:r w:rsidRPr="00005FAB">
        <w:rPr>
          <w:sz w:val="26"/>
          <w:szCs w:val="26"/>
        </w:rPr>
        <w:t>Gyr</w:t>
      </w:r>
      <w:proofErr w:type="spellEnd"/>
      <w:r w:rsidRPr="00005FAB">
        <w:rPr>
          <w:sz w:val="26"/>
          <w:szCs w:val="26"/>
        </w:rPr>
        <w:t xml:space="preserve"> AMI meter would not cause adverse health effects.  The ALJ provided that the Federal Communications Commission (FCC) has determined safe public exposure levels for RF fields from devices that transmit RF signals, such as the AMI meters.  </w:t>
      </w:r>
      <w:r w:rsidR="00BE53CA">
        <w:rPr>
          <w:sz w:val="26"/>
          <w:szCs w:val="26"/>
        </w:rPr>
        <w:t>T</w:t>
      </w:r>
      <w:r w:rsidRPr="00005FAB">
        <w:rPr>
          <w:sz w:val="26"/>
          <w:szCs w:val="26"/>
        </w:rPr>
        <w:t>he ALJ further provide</w:t>
      </w:r>
      <w:r w:rsidR="00E02803">
        <w:rPr>
          <w:sz w:val="26"/>
          <w:szCs w:val="26"/>
        </w:rPr>
        <w:t>d</w:t>
      </w:r>
      <w:r w:rsidRPr="00005FAB">
        <w:rPr>
          <w:sz w:val="26"/>
          <w:szCs w:val="26"/>
        </w:rPr>
        <w:t xml:space="preserve"> that the FCC safe public exposure limits are based on evaluations of the body of scientific research on RF fields and were adopted in consultation with other federal agencies, including the Food and </w:t>
      </w:r>
      <w:r w:rsidRPr="00005FAB">
        <w:rPr>
          <w:sz w:val="26"/>
          <w:szCs w:val="26"/>
        </w:rPr>
        <w:lastRenderedPageBreak/>
        <w:t xml:space="preserve">Drug Administration (FDA) and the Environmental Protection Agency (EPA).  I.D. at </w:t>
      </w:r>
      <w:r w:rsidR="002B6470">
        <w:rPr>
          <w:sz w:val="26"/>
          <w:szCs w:val="26"/>
        </w:rPr>
        <w:t xml:space="preserve">16 </w:t>
      </w:r>
      <w:r w:rsidRPr="00005FAB">
        <w:rPr>
          <w:sz w:val="26"/>
          <w:szCs w:val="26"/>
        </w:rPr>
        <w:t>(citing PPL St. 1 at 9-1</w:t>
      </w:r>
      <w:r w:rsidR="002B6470">
        <w:rPr>
          <w:sz w:val="26"/>
          <w:szCs w:val="26"/>
        </w:rPr>
        <w:t>0</w:t>
      </w:r>
      <w:r w:rsidRPr="00005FAB">
        <w:rPr>
          <w:sz w:val="26"/>
          <w:szCs w:val="26"/>
        </w:rPr>
        <w:t xml:space="preserve">).  </w:t>
      </w:r>
    </w:p>
    <w:p w14:paraId="760E9E67" w14:textId="77777777" w:rsidR="00005FAB" w:rsidRPr="00005FAB" w:rsidRDefault="00005FAB" w:rsidP="00005FAB">
      <w:pPr>
        <w:widowControl/>
        <w:spacing w:line="360" w:lineRule="auto"/>
        <w:rPr>
          <w:sz w:val="26"/>
          <w:szCs w:val="26"/>
        </w:rPr>
      </w:pPr>
    </w:p>
    <w:p w14:paraId="29DFBD45" w14:textId="2D6DA9BB" w:rsidR="00005FAB" w:rsidRPr="00005FAB" w:rsidRDefault="00005FAB" w:rsidP="00005FAB">
      <w:pPr>
        <w:widowControl/>
        <w:spacing w:line="360" w:lineRule="auto"/>
        <w:rPr>
          <w:sz w:val="26"/>
          <w:szCs w:val="26"/>
        </w:rPr>
      </w:pPr>
      <w:r w:rsidRPr="00005FAB">
        <w:rPr>
          <w:sz w:val="26"/>
          <w:szCs w:val="26"/>
        </w:rPr>
        <w:tab/>
      </w:r>
      <w:r w:rsidRPr="00005FAB">
        <w:rPr>
          <w:sz w:val="26"/>
          <w:szCs w:val="26"/>
        </w:rPr>
        <w:tab/>
        <w:t xml:space="preserve">The ALJ noted that the levels of RF fields from the Landis + </w:t>
      </w:r>
      <w:proofErr w:type="spellStart"/>
      <w:r w:rsidRPr="00005FAB">
        <w:rPr>
          <w:sz w:val="26"/>
          <w:szCs w:val="26"/>
        </w:rPr>
        <w:t>Gyr</w:t>
      </w:r>
      <w:proofErr w:type="spellEnd"/>
      <w:r w:rsidRPr="00005FAB">
        <w:rPr>
          <w:sz w:val="26"/>
          <w:szCs w:val="26"/>
        </w:rPr>
        <w:t xml:space="preserve"> Focus AXR-SD AMI meters are 98,000 times lower than the RF exposure safety limits established by the FCC.</w:t>
      </w:r>
      <w:r w:rsidRPr="00005FAB">
        <w:rPr>
          <w:sz w:val="26"/>
          <w:szCs w:val="26"/>
          <w:vertAlign w:val="superscript"/>
        </w:rPr>
        <w:footnoteReference w:id="9"/>
      </w:r>
      <w:r w:rsidRPr="00005FAB">
        <w:rPr>
          <w:sz w:val="26"/>
          <w:szCs w:val="26"/>
        </w:rPr>
        <w:t xml:space="preserve">  I.D. at 1</w:t>
      </w:r>
      <w:r w:rsidR="00034926">
        <w:rPr>
          <w:sz w:val="26"/>
          <w:szCs w:val="26"/>
        </w:rPr>
        <w:t>6</w:t>
      </w:r>
      <w:r w:rsidRPr="00005FAB">
        <w:rPr>
          <w:sz w:val="26"/>
          <w:szCs w:val="26"/>
        </w:rPr>
        <w:t xml:space="preserve"> (citing PPL St. 1 at 13; PPL </w:t>
      </w:r>
      <w:proofErr w:type="spellStart"/>
      <w:r w:rsidRPr="00005FAB">
        <w:rPr>
          <w:sz w:val="26"/>
          <w:szCs w:val="26"/>
        </w:rPr>
        <w:t>Exh</w:t>
      </w:r>
      <w:proofErr w:type="spellEnd"/>
      <w:r w:rsidRPr="00005FAB">
        <w:rPr>
          <w:sz w:val="26"/>
          <w:szCs w:val="26"/>
        </w:rPr>
        <w:t>. CD2).  The ALJ noted further that RF signals from the AMI meter are of very short duration and will occur for only a total of 84 seconds over a 24-hour period.  I.D. at 1</w:t>
      </w:r>
      <w:r w:rsidR="00117A64">
        <w:rPr>
          <w:sz w:val="26"/>
          <w:szCs w:val="26"/>
        </w:rPr>
        <w:t>6</w:t>
      </w:r>
      <w:r w:rsidRPr="00005FAB">
        <w:rPr>
          <w:sz w:val="26"/>
          <w:szCs w:val="26"/>
        </w:rPr>
        <w:t xml:space="preserve"> (citing PPL St. 1 at</w:t>
      </w:r>
      <w:r w:rsidR="00117A64">
        <w:rPr>
          <w:sz w:val="26"/>
          <w:szCs w:val="26"/>
        </w:rPr>
        <w:t> </w:t>
      </w:r>
      <w:r w:rsidRPr="00005FAB">
        <w:rPr>
          <w:sz w:val="26"/>
          <w:szCs w:val="26"/>
        </w:rPr>
        <w:t xml:space="preserve">7).  </w:t>
      </w:r>
    </w:p>
    <w:p w14:paraId="00FC2719" w14:textId="77777777" w:rsidR="000674BF" w:rsidRPr="00481242" w:rsidRDefault="000674BF" w:rsidP="005B6E52">
      <w:pPr>
        <w:widowControl/>
        <w:spacing w:line="360" w:lineRule="auto"/>
        <w:ind w:right="360"/>
        <w:textAlignment w:val="baseline"/>
        <w:rPr>
          <w:color w:val="000000" w:themeColor="text1"/>
          <w:sz w:val="26"/>
          <w:szCs w:val="26"/>
        </w:rPr>
      </w:pPr>
    </w:p>
    <w:p w14:paraId="5BD2DD28" w14:textId="3DAEBA79" w:rsidR="000674BF" w:rsidRPr="00481242" w:rsidRDefault="000674BF" w:rsidP="00481242">
      <w:pPr>
        <w:widowControl/>
        <w:spacing w:line="360" w:lineRule="auto"/>
        <w:ind w:firstLine="1440"/>
        <w:textAlignment w:val="baseline"/>
        <w:rPr>
          <w:color w:val="000000" w:themeColor="text1"/>
          <w:sz w:val="26"/>
          <w:szCs w:val="26"/>
        </w:rPr>
      </w:pPr>
      <w:r w:rsidRPr="00481242">
        <w:rPr>
          <w:color w:val="000000" w:themeColor="text1"/>
          <w:sz w:val="26"/>
          <w:szCs w:val="26"/>
        </w:rPr>
        <w:t xml:space="preserve">In </w:t>
      </w:r>
      <w:r w:rsidR="001E41D0">
        <w:rPr>
          <w:color w:val="000000" w:themeColor="text1"/>
          <w:sz w:val="26"/>
          <w:szCs w:val="26"/>
        </w:rPr>
        <w:t xml:space="preserve">additional </w:t>
      </w:r>
      <w:r w:rsidRPr="00481242">
        <w:rPr>
          <w:color w:val="000000" w:themeColor="text1"/>
          <w:sz w:val="26"/>
          <w:szCs w:val="26"/>
        </w:rPr>
        <w:t>summary of the expert evidence, the ALJ stated that</w:t>
      </w:r>
      <w:r w:rsidR="00D602CE" w:rsidRPr="00481242">
        <w:rPr>
          <w:color w:val="000000" w:themeColor="text1"/>
          <w:sz w:val="26"/>
          <w:szCs w:val="26"/>
        </w:rPr>
        <w:t xml:space="preserve"> regarding cell phone use</w:t>
      </w:r>
      <w:r w:rsidR="0092185D">
        <w:rPr>
          <w:color w:val="000000" w:themeColor="text1"/>
          <w:sz w:val="26"/>
          <w:szCs w:val="26"/>
        </w:rPr>
        <w:t xml:space="preserve">, </w:t>
      </w:r>
      <w:r w:rsidR="00D602CE" w:rsidRPr="00481242">
        <w:rPr>
          <w:color w:val="000000" w:themeColor="text1"/>
          <w:sz w:val="26"/>
          <w:szCs w:val="26"/>
        </w:rPr>
        <w:t>the exposure</w:t>
      </w:r>
      <w:r w:rsidRPr="00481242">
        <w:rPr>
          <w:color w:val="000000" w:themeColor="text1"/>
          <w:sz w:val="26"/>
          <w:szCs w:val="26"/>
        </w:rPr>
        <w:t xml:space="preserve"> from using cell phones </w:t>
      </w:r>
      <w:r w:rsidR="00BC7E4B">
        <w:rPr>
          <w:color w:val="000000" w:themeColor="text1"/>
          <w:sz w:val="26"/>
          <w:szCs w:val="26"/>
        </w:rPr>
        <w:t>at a person’s</w:t>
      </w:r>
      <w:r w:rsidRPr="00481242">
        <w:rPr>
          <w:color w:val="000000" w:themeColor="text1"/>
          <w:sz w:val="26"/>
          <w:szCs w:val="26"/>
        </w:rPr>
        <w:t xml:space="preserve"> head can be over 260,000 times hig</w:t>
      </w:r>
      <w:r w:rsidR="00DD2BCB">
        <w:rPr>
          <w:color w:val="000000" w:themeColor="text1"/>
          <w:sz w:val="26"/>
          <w:szCs w:val="26"/>
        </w:rPr>
        <w:t>h</w:t>
      </w:r>
      <w:r w:rsidR="0092185D">
        <w:rPr>
          <w:color w:val="000000" w:themeColor="text1"/>
          <w:sz w:val="26"/>
          <w:szCs w:val="26"/>
        </w:rPr>
        <w:t>er</w:t>
      </w:r>
      <w:r w:rsidRPr="00481242">
        <w:rPr>
          <w:color w:val="000000" w:themeColor="text1"/>
          <w:sz w:val="26"/>
          <w:szCs w:val="26"/>
        </w:rPr>
        <w:t xml:space="preserve"> than the RF fields</w:t>
      </w:r>
      <w:r w:rsidR="00BC7E4B">
        <w:rPr>
          <w:color w:val="000000" w:themeColor="text1"/>
          <w:sz w:val="26"/>
          <w:szCs w:val="26"/>
        </w:rPr>
        <w:t xml:space="preserve"> one meter away</w:t>
      </w:r>
      <w:r w:rsidRPr="00481242">
        <w:rPr>
          <w:color w:val="000000" w:themeColor="text1"/>
          <w:sz w:val="26"/>
          <w:szCs w:val="26"/>
        </w:rPr>
        <w:t xml:space="preserve"> from the AMI meter.  I.D. at </w:t>
      </w:r>
      <w:r w:rsidR="006F2844" w:rsidRPr="00481242">
        <w:rPr>
          <w:color w:val="000000" w:themeColor="text1"/>
          <w:sz w:val="26"/>
          <w:szCs w:val="26"/>
        </w:rPr>
        <w:t>1</w:t>
      </w:r>
      <w:r w:rsidR="0092185D">
        <w:rPr>
          <w:color w:val="000000" w:themeColor="text1"/>
          <w:sz w:val="26"/>
          <w:szCs w:val="26"/>
        </w:rPr>
        <w:t>6</w:t>
      </w:r>
      <w:r w:rsidRPr="00481242">
        <w:rPr>
          <w:color w:val="000000" w:themeColor="text1"/>
          <w:sz w:val="26"/>
          <w:szCs w:val="26"/>
        </w:rPr>
        <w:t xml:space="preserve"> (citing PPL St. 1 at 14).  The ALJ also referenced Dr. Davis’s testimony that t</w:t>
      </w:r>
      <w:r w:rsidR="00DD2BCB">
        <w:rPr>
          <w:color w:val="000000" w:themeColor="text1"/>
          <w:sz w:val="26"/>
          <w:szCs w:val="26"/>
        </w:rPr>
        <w:t>h</w:t>
      </w:r>
      <w:r w:rsidR="0092185D">
        <w:rPr>
          <w:color w:val="000000" w:themeColor="text1"/>
          <w:sz w:val="26"/>
          <w:szCs w:val="26"/>
        </w:rPr>
        <w:t>ere</w:t>
      </w:r>
      <w:r w:rsidRPr="00481242">
        <w:rPr>
          <w:color w:val="000000" w:themeColor="text1"/>
          <w:sz w:val="26"/>
          <w:szCs w:val="26"/>
        </w:rPr>
        <w:t xml:space="preserve"> are </w:t>
      </w:r>
      <w:r w:rsidR="0092185D">
        <w:rPr>
          <w:color w:val="000000" w:themeColor="text1"/>
          <w:sz w:val="26"/>
          <w:szCs w:val="26"/>
        </w:rPr>
        <w:t>fifteen</w:t>
      </w:r>
      <w:r w:rsidRPr="00481242">
        <w:rPr>
          <w:color w:val="000000" w:themeColor="text1"/>
          <w:sz w:val="26"/>
          <w:szCs w:val="26"/>
        </w:rPr>
        <w:t xml:space="preserve"> television broadcast towers within a 50-mile radius of the Complainant’s location in </w:t>
      </w:r>
      <w:r w:rsidR="00EE197F" w:rsidRPr="00481242">
        <w:rPr>
          <w:color w:val="000000" w:themeColor="text1"/>
          <w:sz w:val="26"/>
          <w:szCs w:val="26"/>
        </w:rPr>
        <w:t>Stroudsburg</w:t>
      </w:r>
      <w:r w:rsidRPr="00481242">
        <w:rPr>
          <w:color w:val="000000" w:themeColor="text1"/>
          <w:sz w:val="26"/>
          <w:szCs w:val="26"/>
        </w:rPr>
        <w:t xml:space="preserve">, Pennsylvania.  According to Dr. Davis, the locations of each tower and their RF </w:t>
      </w:r>
      <w:r w:rsidR="008057A8" w:rsidRPr="00481242">
        <w:rPr>
          <w:color w:val="000000" w:themeColor="text1"/>
          <w:sz w:val="26"/>
          <w:szCs w:val="26"/>
        </w:rPr>
        <w:t>fields</w:t>
      </w:r>
      <w:r w:rsidRPr="00481242">
        <w:rPr>
          <w:color w:val="000000" w:themeColor="text1"/>
          <w:sz w:val="26"/>
          <w:szCs w:val="26"/>
        </w:rPr>
        <w:t xml:space="preserve"> result in a constant background level of RF fields at </w:t>
      </w:r>
      <w:r w:rsidR="0092185D">
        <w:rPr>
          <w:color w:val="000000" w:themeColor="text1"/>
          <w:sz w:val="26"/>
          <w:szCs w:val="26"/>
        </w:rPr>
        <w:t>Mr. Ulmer’s</w:t>
      </w:r>
      <w:r w:rsidRPr="00481242">
        <w:rPr>
          <w:color w:val="000000" w:themeColor="text1"/>
          <w:sz w:val="26"/>
          <w:szCs w:val="26"/>
        </w:rPr>
        <w:t xml:space="preserve"> residence that are </w:t>
      </w:r>
      <w:r w:rsidR="00534854">
        <w:rPr>
          <w:color w:val="000000" w:themeColor="text1"/>
          <w:sz w:val="26"/>
          <w:szCs w:val="26"/>
        </w:rPr>
        <w:t>31.6</w:t>
      </w:r>
      <w:r w:rsidRPr="00481242">
        <w:rPr>
          <w:color w:val="000000" w:themeColor="text1"/>
          <w:sz w:val="26"/>
          <w:szCs w:val="26"/>
        </w:rPr>
        <w:t xml:space="preserve"> times hig</w:t>
      </w:r>
      <w:r w:rsidR="00DD2BCB">
        <w:rPr>
          <w:color w:val="000000" w:themeColor="text1"/>
          <w:sz w:val="26"/>
          <w:szCs w:val="26"/>
        </w:rPr>
        <w:t>h</w:t>
      </w:r>
      <w:r w:rsidR="00534854">
        <w:rPr>
          <w:color w:val="000000" w:themeColor="text1"/>
          <w:sz w:val="26"/>
          <w:szCs w:val="26"/>
        </w:rPr>
        <w:t>er</w:t>
      </w:r>
      <w:r w:rsidRPr="00481242">
        <w:rPr>
          <w:color w:val="000000" w:themeColor="text1"/>
          <w:sz w:val="26"/>
          <w:szCs w:val="26"/>
        </w:rPr>
        <w:t xml:space="preserve"> than the RF signals from the AMI meter.  I.D. at 1</w:t>
      </w:r>
      <w:r w:rsidR="00534854">
        <w:rPr>
          <w:color w:val="000000" w:themeColor="text1"/>
          <w:sz w:val="26"/>
          <w:szCs w:val="26"/>
        </w:rPr>
        <w:t>6</w:t>
      </w:r>
      <w:r w:rsidRPr="00481242">
        <w:rPr>
          <w:color w:val="000000" w:themeColor="text1"/>
          <w:sz w:val="26"/>
          <w:szCs w:val="26"/>
        </w:rPr>
        <w:t xml:space="preserve"> (citing PPL St. 1 at 15</w:t>
      </w:r>
      <w:r w:rsidR="00534854">
        <w:rPr>
          <w:color w:val="000000" w:themeColor="text1"/>
          <w:sz w:val="26"/>
          <w:szCs w:val="26"/>
        </w:rPr>
        <w:t xml:space="preserve">; PPL </w:t>
      </w:r>
      <w:proofErr w:type="spellStart"/>
      <w:r w:rsidR="00534854">
        <w:rPr>
          <w:color w:val="000000" w:themeColor="text1"/>
          <w:sz w:val="26"/>
          <w:szCs w:val="26"/>
        </w:rPr>
        <w:t>Exh</w:t>
      </w:r>
      <w:proofErr w:type="spellEnd"/>
      <w:r w:rsidR="00534854">
        <w:rPr>
          <w:color w:val="000000" w:themeColor="text1"/>
          <w:sz w:val="26"/>
          <w:szCs w:val="26"/>
        </w:rPr>
        <w:t>. CD-5</w:t>
      </w:r>
      <w:r w:rsidRPr="00481242">
        <w:rPr>
          <w:color w:val="000000" w:themeColor="text1"/>
          <w:sz w:val="26"/>
          <w:szCs w:val="26"/>
        </w:rPr>
        <w:t xml:space="preserve">). </w:t>
      </w:r>
    </w:p>
    <w:p w14:paraId="74CF5F68" w14:textId="37EF44A3" w:rsidR="00E561DE" w:rsidRPr="00481242" w:rsidRDefault="00E561DE" w:rsidP="006E6B3D">
      <w:pPr>
        <w:pStyle w:val="Default"/>
        <w:spacing w:line="360" w:lineRule="auto"/>
        <w:rPr>
          <w:color w:val="000000" w:themeColor="text1"/>
          <w:sz w:val="26"/>
          <w:szCs w:val="26"/>
        </w:rPr>
      </w:pPr>
    </w:p>
    <w:p w14:paraId="30B56FFE" w14:textId="4516A297" w:rsidR="00C403E8" w:rsidRDefault="007324FE" w:rsidP="00277026">
      <w:pPr>
        <w:widowControl/>
        <w:spacing w:line="360" w:lineRule="auto"/>
        <w:ind w:firstLine="1440"/>
        <w:contextualSpacing/>
        <w:rPr>
          <w:color w:val="000000" w:themeColor="text1"/>
          <w:sz w:val="26"/>
          <w:szCs w:val="26"/>
        </w:rPr>
      </w:pPr>
      <w:r>
        <w:rPr>
          <w:color w:val="000000" w:themeColor="text1"/>
          <w:sz w:val="26"/>
          <w:szCs w:val="26"/>
        </w:rPr>
        <w:t xml:space="preserve">The ALJ </w:t>
      </w:r>
      <w:r w:rsidR="004E788C">
        <w:rPr>
          <w:color w:val="000000" w:themeColor="text1"/>
          <w:sz w:val="26"/>
          <w:szCs w:val="26"/>
        </w:rPr>
        <w:t xml:space="preserve">also </w:t>
      </w:r>
      <w:r w:rsidR="007319F9">
        <w:rPr>
          <w:color w:val="000000" w:themeColor="text1"/>
          <w:sz w:val="26"/>
          <w:szCs w:val="26"/>
        </w:rPr>
        <w:t xml:space="preserve">addressed </w:t>
      </w:r>
      <w:r w:rsidR="00006C55">
        <w:rPr>
          <w:color w:val="000000" w:themeColor="text1"/>
          <w:sz w:val="26"/>
          <w:szCs w:val="26"/>
        </w:rPr>
        <w:t xml:space="preserve">Mr. Ulmer’s request </w:t>
      </w:r>
      <w:r w:rsidR="00A7040D">
        <w:rPr>
          <w:color w:val="000000" w:themeColor="text1"/>
          <w:sz w:val="26"/>
          <w:szCs w:val="26"/>
        </w:rPr>
        <w:t>regarding</w:t>
      </w:r>
      <w:r w:rsidR="00006C55">
        <w:rPr>
          <w:color w:val="000000" w:themeColor="text1"/>
          <w:sz w:val="26"/>
          <w:szCs w:val="26"/>
        </w:rPr>
        <w:t xml:space="preserve"> </w:t>
      </w:r>
      <w:r w:rsidR="00A7040D">
        <w:rPr>
          <w:color w:val="000000" w:themeColor="text1"/>
          <w:sz w:val="26"/>
          <w:szCs w:val="26"/>
        </w:rPr>
        <w:t>an</w:t>
      </w:r>
      <w:r w:rsidR="00006C55">
        <w:rPr>
          <w:color w:val="000000" w:themeColor="text1"/>
          <w:sz w:val="26"/>
          <w:szCs w:val="26"/>
        </w:rPr>
        <w:t xml:space="preserve"> ADA</w:t>
      </w:r>
      <w:r w:rsidR="009A4E14">
        <w:rPr>
          <w:color w:val="000000" w:themeColor="text1"/>
          <w:sz w:val="26"/>
          <w:szCs w:val="26"/>
        </w:rPr>
        <w:t xml:space="preserve"> </w:t>
      </w:r>
      <w:r w:rsidR="00A7040D">
        <w:rPr>
          <w:color w:val="000000" w:themeColor="text1"/>
          <w:sz w:val="26"/>
          <w:szCs w:val="26"/>
        </w:rPr>
        <w:t>accommodation.</w:t>
      </w:r>
      <w:r w:rsidR="00967F2C">
        <w:rPr>
          <w:color w:val="000000" w:themeColor="text1"/>
          <w:sz w:val="26"/>
          <w:szCs w:val="26"/>
        </w:rPr>
        <w:t xml:space="preserve">  </w:t>
      </w:r>
      <w:r w:rsidR="00B5432E">
        <w:rPr>
          <w:color w:val="000000" w:themeColor="text1"/>
          <w:sz w:val="26"/>
          <w:szCs w:val="26"/>
        </w:rPr>
        <w:t>Specifically, t</w:t>
      </w:r>
      <w:r w:rsidR="00A7040D">
        <w:rPr>
          <w:color w:val="000000" w:themeColor="text1"/>
          <w:sz w:val="26"/>
          <w:szCs w:val="26"/>
        </w:rPr>
        <w:t>he AL</w:t>
      </w:r>
      <w:r w:rsidR="00904574">
        <w:rPr>
          <w:color w:val="000000" w:themeColor="text1"/>
          <w:sz w:val="26"/>
          <w:szCs w:val="26"/>
        </w:rPr>
        <w:t>J</w:t>
      </w:r>
      <w:r w:rsidR="00B5432E">
        <w:rPr>
          <w:color w:val="000000" w:themeColor="text1"/>
          <w:sz w:val="26"/>
          <w:szCs w:val="26"/>
        </w:rPr>
        <w:t xml:space="preserve"> </w:t>
      </w:r>
      <w:r w:rsidR="00C403E8">
        <w:rPr>
          <w:color w:val="000000" w:themeColor="text1"/>
          <w:sz w:val="26"/>
          <w:szCs w:val="26"/>
        </w:rPr>
        <w:t>pointed out</w:t>
      </w:r>
      <w:r w:rsidR="00A7040D">
        <w:rPr>
          <w:color w:val="000000" w:themeColor="text1"/>
          <w:sz w:val="26"/>
          <w:szCs w:val="26"/>
        </w:rPr>
        <w:t xml:space="preserve"> that the Commission is not a federal court, which is </w:t>
      </w:r>
      <w:r w:rsidR="00E02803">
        <w:rPr>
          <w:color w:val="000000" w:themeColor="text1"/>
          <w:sz w:val="26"/>
          <w:szCs w:val="26"/>
        </w:rPr>
        <w:t>the appropriate body</w:t>
      </w:r>
      <w:r w:rsidR="000E3B0B">
        <w:rPr>
          <w:color w:val="000000" w:themeColor="text1"/>
          <w:sz w:val="26"/>
          <w:szCs w:val="26"/>
        </w:rPr>
        <w:t xml:space="preserve"> to determine violations of the ADA.</w:t>
      </w:r>
      <w:r w:rsidR="00006C55">
        <w:rPr>
          <w:color w:val="000000" w:themeColor="text1"/>
          <w:sz w:val="26"/>
          <w:szCs w:val="26"/>
        </w:rPr>
        <w:t xml:space="preserve"> </w:t>
      </w:r>
      <w:r w:rsidR="000E3B0B">
        <w:rPr>
          <w:color w:val="000000" w:themeColor="text1"/>
          <w:sz w:val="26"/>
          <w:szCs w:val="26"/>
        </w:rPr>
        <w:t xml:space="preserve"> Therefore, the ALJ continued, </w:t>
      </w:r>
      <w:r w:rsidR="00D6291D">
        <w:rPr>
          <w:color w:val="000000" w:themeColor="text1"/>
          <w:sz w:val="26"/>
          <w:szCs w:val="26"/>
        </w:rPr>
        <w:t xml:space="preserve">the Commission does not have jurisdiction </w:t>
      </w:r>
      <w:r w:rsidR="00EC6BF9">
        <w:rPr>
          <w:color w:val="000000" w:themeColor="text1"/>
          <w:sz w:val="26"/>
          <w:szCs w:val="26"/>
        </w:rPr>
        <w:t>to determine the Complainant to be disabled under the ADA guidelines, nor</w:t>
      </w:r>
      <w:r w:rsidR="00121738">
        <w:rPr>
          <w:color w:val="000000" w:themeColor="text1"/>
          <w:sz w:val="26"/>
          <w:szCs w:val="26"/>
        </w:rPr>
        <w:t xml:space="preserve"> to direct the Company to provide Mr. Ulmer </w:t>
      </w:r>
      <w:r w:rsidR="008E3F0C">
        <w:rPr>
          <w:color w:val="000000" w:themeColor="text1"/>
          <w:sz w:val="26"/>
          <w:szCs w:val="26"/>
        </w:rPr>
        <w:t>with his ADA accommodation request,</w:t>
      </w:r>
      <w:r w:rsidR="00D6291D">
        <w:rPr>
          <w:color w:val="000000" w:themeColor="text1"/>
          <w:sz w:val="26"/>
          <w:szCs w:val="26"/>
        </w:rPr>
        <w:t xml:space="preserve"> </w:t>
      </w:r>
      <w:r w:rsidR="008E3F0C">
        <w:rPr>
          <w:color w:val="000000" w:themeColor="text1"/>
          <w:sz w:val="26"/>
          <w:szCs w:val="26"/>
        </w:rPr>
        <w:t>including an opt-out from a smart meter installatio</w:t>
      </w:r>
      <w:r w:rsidR="00AB6B3E">
        <w:rPr>
          <w:color w:val="000000" w:themeColor="text1"/>
          <w:sz w:val="26"/>
          <w:szCs w:val="26"/>
        </w:rPr>
        <w:t>n</w:t>
      </w:r>
      <w:r w:rsidR="00006C55">
        <w:rPr>
          <w:color w:val="000000" w:themeColor="text1"/>
          <w:sz w:val="26"/>
          <w:szCs w:val="26"/>
        </w:rPr>
        <w:t>.</w:t>
      </w:r>
      <w:r w:rsidR="00A94064">
        <w:rPr>
          <w:color w:val="000000" w:themeColor="text1"/>
          <w:sz w:val="26"/>
          <w:szCs w:val="26"/>
        </w:rPr>
        <w:t xml:space="preserve">  I.D. at 17 (citing </w:t>
      </w:r>
      <w:r w:rsidR="002B7279" w:rsidRPr="002B7279">
        <w:rPr>
          <w:i/>
          <w:color w:val="000000" w:themeColor="text1"/>
          <w:sz w:val="26"/>
          <w:szCs w:val="26"/>
        </w:rPr>
        <w:t xml:space="preserve">Mid-Atlantic Power Supply Assoc. v. PECO Energy </w:t>
      </w:r>
      <w:r w:rsidR="002B7279" w:rsidRPr="002B7279">
        <w:rPr>
          <w:i/>
          <w:color w:val="000000" w:themeColor="text1"/>
          <w:sz w:val="26"/>
          <w:szCs w:val="26"/>
        </w:rPr>
        <w:lastRenderedPageBreak/>
        <w:t>C</w:t>
      </w:r>
      <w:r w:rsidR="00FC0D4E">
        <w:rPr>
          <w:i/>
          <w:color w:val="000000" w:themeColor="text1"/>
          <w:sz w:val="26"/>
          <w:szCs w:val="26"/>
        </w:rPr>
        <w:t>ompany</w:t>
      </w:r>
      <w:r w:rsidR="00FC0D4E" w:rsidRPr="00611EF9">
        <w:rPr>
          <w:iCs/>
          <w:color w:val="000000" w:themeColor="text1"/>
          <w:sz w:val="26"/>
          <w:szCs w:val="26"/>
        </w:rPr>
        <w:t>,</w:t>
      </w:r>
      <w:r w:rsidR="002B7279" w:rsidRPr="002B7279">
        <w:rPr>
          <w:color w:val="000000" w:themeColor="text1"/>
          <w:sz w:val="26"/>
          <w:szCs w:val="26"/>
        </w:rPr>
        <w:t xml:space="preserve"> Docket No. P-00981615, 1999 Pa PUC LEXIS 30 (entered May 19, 1999)</w:t>
      </w:r>
      <w:r w:rsidR="00733AF9">
        <w:rPr>
          <w:color w:val="000000" w:themeColor="text1"/>
          <w:sz w:val="26"/>
          <w:szCs w:val="26"/>
        </w:rPr>
        <w:t>;</w:t>
      </w:r>
      <w:r w:rsidR="002B7279" w:rsidRPr="002B7279">
        <w:rPr>
          <w:color w:val="000000" w:themeColor="text1"/>
          <w:sz w:val="26"/>
          <w:szCs w:val="26"/>
        </w:rPr>
        <w:t xml:space="preserve"> </w:t>
      </w:r>
      <w:r w:rsidR="002B7279" w:rsidRPr="002B7279">
        <w:rPr>
          <w:i/>
          <w:color w:val="000000" w:themeColor="text1"/>
          <w:sz w:val="26"/>
          <w:szCs w:val="26"/>
        </w:rPr>
        <w:t>Mid-Atlantic Power Supply Assoc. v. Pa. P</w:t>
      </w:r>
      <w:r w:rsidR="00FC0D4E">
        <w:rPr>
          <w:i/>
          <w:color w:val="000000" w:themeColor="text1"/>
          <w:sz w:val="26"/>
          <w:szCs w:val="26"/>
        </w:rPr>
        <w:t>UC</w:t>
      </w:r>
      <w:r w:rsidR="002B7279" w:rsidRPr="00F57CEF">
        <w:rPr>
          <w:iCs/>
          <w:color w:val="000000" w:themeColor="text1"/>
          <w:sz w:val="26"/>
          <w:szCs w:val="26"/>
        </w:rPr>
        <w:t>,</w:t>
      </w:r>
      <w:r w:rsidR="002B7279" w:rsidRPr="002B7279">
        <w:rPr>
          <w:i/>
          <w:color w:val="000000" w:themeColor="text1"/>
          <w:sz w:val="26"/>
          <w:szCs w:val="26"/>
        </w:rPr>
        <w:t xml:space="preserve"> </w:t>
      </w:r>
      <w:r w:rsidR="002B7279" w:rsidRPr="002B7279">
        <w:rPr>
          <w:color w:val="000000" w:themeColor="text1"/>
          <w:sz w:val="26"/>
          <w:szCs w:val="26"/>
        </w:rPr>
        <w:t>746 A.2d 1196 (</w:t>
      </w:r>
      <w:proofErr w:type="spellStart"/>
      <w:proofErr w:type="gramStart"/>
      <w:r w:rsidR="002B7279" w:rsidRPr="002B7279">
        <w:rPr>
          <w:color w:val="000000" w:themeColor="text1"/>
          <w:sz w:val="26"/>
          <w:szCs w:val="26"/>
        </w:rPr>
        <w:t>Pa.Cmwlth</w:t>
      </w:r>
      <w:proofErr w:type="spellEnd"/>
      <w:proofErr w:type="gramEnd"/>
      <w:r w:rsidR="002B7279" w:rsidRPr="002B7279">
        <w:rPr>
          <w:color w:val="000000" w:themeColor="text1"/>
          <w:sz w:val="26"/>
          <w:szCs w:val="26"/>
        </w:rPr>
        <w:t>. 2000)</w:t>
      </w:r>
      <w:r w:rsidR="002B7279">
        <w:rPr>
          <w:color w:val="000000" w:themeColor="text1"/>
          <w:sz w:val="26"/>
          <w:szCs w:val="26"/>
        </w:rPr>
        <w:t>.</w:t>
      </w:r>
    </w:p>
    <w:p w14:paraId="4797154A" w14:textId="77777777" w:rsidR="00210D79" w:rsidRDefault="00210D79" w:rsidP="00481242">
      <w:pPr>
        <w:widowControl/>
        <w:spacing w:line="360" w:lineRule="auto"/>
        <w:ind w:firstLine="1440"/>
        <w:contextualSpacing/>
        <w:rPr>
          <w:color w:val="000000" w:themeColor="text1"/>
          <w:sz w:val="26"/>
          <w:szCs w:val="26"/>
        </w:rPr>
      </w:pPr>
    </w:p>
    <w:p w14:paraId="47159512" w14:textId="25E8A56A" w:rsidR="001C445E" w:rsidRPr="00F67EAD" w:rsidRDefault="001C445E" w:rsidP="001C445E">
      <w:pPr>
        <w:widowControl/>
        <w:spacing w:line="360" w:lineRule="auto"/>
        <w:rPr>
          <w:sz w:val="26"/>
          <w:szCs w:val="26"/>
          <w:u w:val="single"/>
        </w:rPr>
      </w:pPr>
      <w:r w:rsidRPr="00F67EAD">
        <w:rPr>
          <w:sz w:val="26"/>
          <w:szCs w:val="26"/>
        </w:rPr>
        <w:tab/>
      </w:r>
      <w:r>
        <w:rPr>
          <w:sz w:val="26"/>
          <w:szCs w:val="26"/>
          <w:u w:val="single"/>
        </w:rPr>
        <w:t>Smart Meter Opt-out Request</w:t>
      </w:r>
    </w:p>
    <w:p w14:paraId="5DB5484C" w14:textId="77777777" w:rsidR="00006C55" w:rsidRDefault="00006C55" w:rsidP="005929D5">
      <w:pPr>
        <w:widowControl/>
        <w:spacing w:line="360" w:lineRule="auto"/>
        <w:contextualSpacing/>
        <w:rPr>
          <w:color w:val="000000" w:themeColor="text1"/>
          <w:sz w:val="26"/>
          <w:szCs w:val="26"/>
        </w:rPr>
      </w:pPr>
    </w:p>
    <w:p w14:paraId="2C535C1A" w14:textId="1EC6B425" w:rsidR="00C45FBC" w:rsidRPr="00C45FBC" w:rsidRDefault="00C45FBC" w:rsidP="007B1F99">
      <w:pPr>
        <w:widowControl/>
        <w:spacing w:line="360" w:lineRule="auto"/>
        <w:ind w:firstLine="1440"/>
        <w:contextualSpacing/>
        <w:rPr>
          <w:sz w:val="26"/>
          <w:szCs w:val="26"/>
        </w:rPr>
      </w:pPr>
      <w:r w:rsidRPr="00C45FBC">
        <w:rPr>
          <w:sz w:val="26"/>
          <w:szCs w:val="26"/>
        </w:rPr>
        <w:t>The ALJ a</w:t>
      </w:r>
      <w:r w:rsidR="0061402E">
        <w:rPr>
          <w:sz w:val="26"/>
          <w:szCs w:val="26"/>
        </w:rPr>
        <w:t>cknowledged</w:t>
      </w:r>
      <w:r w:rsidRPr="00C45FBC">
        <w:rPr>
          <w:sz w:val="26"/>
          <w:szCs w:val="26"/>
        </w:rPr>
        <w:t xml:space="preserve"> the Complainant’</w:t>
      </w:r>
      <w:r w:rsidR="007B1F99">
        <w:rPr>
          <w:sz w:val="26"/>
          <w:szCs w:val="26"/>
        </w:rPr>
        <w:t>s</w:t>
      </w:r>
      <w:r w:rsidRPr="00C45FBC">
        <w:rPr>
          <w:sz w:val="26"/>
          <w:szCs w:val="26"/>
        </w:rPr>
        <w:t xml:space="preserve"> argument that </w:t>
      </w:r>
      <w:r w:rsidR="008E56F6">
        <w:rPr>
          <w:sz w:val="26"/>
          <w:szCs w:val="26"/>
        </w:rPr>
        <w:t>forty-two</w:t>
      </w:r>
      <w:r w:rsidR="00CF5CD1">
        <w:rPr>
          <w:sz w:val="26"/>
          <w:szCs w:val="26"/>
        </w:rPr>
        <w:t xml:space="preserve"> other states </w:t>
      </w:r>
      <w:r w:rsidR="003977FC">
        <w:rPr>
          <w:sz w:val="26"/>
          <w:szCs w:val="26"/>
        </w:rPr>
        <w:t xml:space="preserve">have an opt-in program and </w:t>
      </w:r>
      <w:r w:rsidR="001A6709">
        <w:rPr>
          <w:sz w:val="26"/>
          <w:szCs w:val="26"/>
        </w:rPr>
        <w:t xml:space="preserve">that </w:t>
      </w:r>
      <w:r w:rsidR="00E41E28">
        <w:rPr>
          <w:sz w:val="26"/>
          <w:szCs w:val="26"/>
        </w:rPr>
        <w:t>Mr. Ulmer</w:t>
      </w:r>
      <w:r w:rsidR="001A6709">
        <w:rPr>
          <w:sz w:val="26"/>
          <w:szCs w:val="26"/>
        </w:rPr>
        <w:t xml:space="preserve"> has been in contact with his </w:t>
      </w:r>
      <w:r w:rsidR="00E41E28">
        <w:rPr>
          <w:sz w:val="26"/>
          <w:szCs w:val="26"/>
        </w:rPr>
        <w:t xml:space="preserve">Senator who has sponsored a bill regarding </w:t>
      </w:r>
      <w:r w:rsidRPr="00C45FBC">
        <w:rPr>
          <w:sz w:val="26"/>
          <w:szCs w:val="26"/>
        </w:rPr>
        <w:t>Act 129</w:t>
      </w:r>
      <w:r w:rsidR="00E41E28">
        <w:rPr>
          <w:sz w:val="26"/>
          <w:szCs w:val="26"/>
        </w:rPr>
        <w:t xml:space="preserve"> of 2008, 66 Pa.</w:t>
      </w:r>
      <w:r w:rsidR="00E674B2">
        <w:rPr>
          <w:sz w:val="26"/>
          <w:szCs w:val="26"/>
        </w:rPr>
        <w:t xml:space="preserve"> </w:t>
      </w:r>
      <w:r w:rsidR="00E41E28">
        <w:rPr>
          <w:sz w:val="26"/>
          <w:szCs w:val="26"/>
        </w:rPr>
        <w:t xml:space="preserve">C.S. </w:t>
      </w:r>
      <w:r w:rsidR="000D7901" w:rsidRPr="000D7901">
        <w:rPr>
          <w:sz w:val="26"/>
          <w:szCs w:val="26"/>
        </w:rPr>
        <w:t>§§</w:t>
      </w:r>
      <w:r w:rsidR="00611EF9">
        <w:rPr>
          <w:sz w:val="26"/>
          <w:szCs w:val="26"/>
        </w:rPr>
        <w:t xml:space="preserve"> </w:t>
      </w:r>
      <w:r w:rsidR="000D7901">
        <w:rPr>
          <w:sz w:val="26"/>
          <w:szCs w:val="26"/>
        </w:rPr>
        <w:t>2806.1 - 2807</w:t>
      </w:r>
      <w:r w:rsidRPr="00C45FBC">
        <w:rPr>
          <w:sz w:val="26"/>
          <w:szCs w:val="26"/>
        </w:rPr>
        <w:t>.  I.D.</w:t>
      </w:r>
      <w:r w:rsidR="00611EF9">
        <w:rPr>
          <w:sz w:val="26"/>
          <w:szCs w:val="26"/>
        </w:rPr>
        <w:t> </w:t>
      </w:r>
      <w:r w:rsidRPr="00C45FBC">
        <w:rPr>
          <w:sz w:val="26"/>
          <w:szCs w:val="26"/>
        </w:rPr>
        <w:t>at</w:t>
      </w:r>
      <w:r w:rsidR="00F57CEF">
        <w:rPr>
          <w:sz w:val="26"/>
          <w:szCs w:val="26"/>
        </w:rPr>
        <w:t> </w:t>
      </w:r>
      <w:r w:rsidRPr="00C45FBC">
        <w:rPr>
          <w:sz w:val="26"/>
          <w:szCs w:val="26"/>
        </w:rPr>
        <w:t>1</w:t>
      </w:r>
      <w:r w:rsidR="000D7901">
        <w:rPr>
          <w:sz w:val="26"/>
          <w:szCs w:val="26"/>
        </w:rPr>
        <w:t>7.  T</w:t>
      </w:r>
      <w:r w:rsidR="00614BCD">
        <w:rPr>
          <w:sz w:val="26"/>
          <w:szCs w:val="26"/>
        </w:rPr>
        <w:t xml:space="preserve">he ALJ </w:t>
      </w:r>
      <w:r w:rsidR="005E1E0C">
        <w:rPr>
          <w:sz w:val="26"/>
          <w:szCs w:val="26"/>
        </w:rPr>
        <w:t>provided that</w:t>
      </w:r>
      <w:r w:rsidR="00614BCD">
        <w:rPr>
          <w:sz w:val="26"/>
          <w:szCs w:val="26"/>
        </w:rPr>
        <w:t xml:space="preserve"> the Company </w:t>
      </w:r>
      <w:r w:rsidR="00E91C28">
        <w:rPr>
          <w:sz w:val="26"/>
          <w:szCs w:val="26"/>
        </w:rPr>
        <w:t>contends</w:t>
      </w:r>
      <w:r w:rsidR="00614BCD">
        <w:rPr>
          <w:sz w:val="26"/>
          <w:szCs w:val="26"/>
        </w:rPr>
        <w:t xml:space="preserve"> its installation of an AMI meter is required by Pennsylvania law and that </w:t>
      </w:r>
      <w:r w:rsidR="00F52B15">
        <w:rPr>
          <w:sz w:val="26"/>
          <w:szCs w:val="26"/>
        </w:rPr>
        <w:t>installation of an AMI meter on the Complainant’s property would not constitute unreasonable or unsafe service</w:t>
      </w:r>
      <w:r w:rsidR="007B234E">
        <w:rPr>
          <w:sz w:val="26"/>
          <w:szCs w:val="26"/>
        </w:rPr>
        <w:t>.</w:t>
      </w:r>
      <w:r w:rsidRPr="00C45FBC">
        <w:rPr>
          <w:sz w:val="26"/>
          <w:szCs w:val="26"/>
        </w:rPr>
        <w:t xml:space="preserve">  </w:t>
      </w:r>
      <w:r w:rsidR="007B234E" w:rsidRPr="007B234E">
        <w:rPr>
          <w:i/>
          <w:iCs/>
          <w:sz w:val="26"/>
          <w:szCs w:val="26"/>
        </w:rPr>
        <w:t>Id.</w:t>
      </w:r>
    </w:p>
    <w:p w14:paraId="642B48E2" w14:textId="77777777" w:rsidR="007B1F99" w:rsidRPr="007B1F99" w:rsidRDefault="007B1F99" w:rsidP="008C7DE5">
      <w:pPr>
        <w:widowControl/>
        <w:spacing w:line="360" w:lineRule="auto"/>
        <w:contextualSpacing/>
        <w:rPr>
          <w:sz w:val="26"/>
          <w:szCs w:val="26"/>
        </w:rPr>
      </w:pPr>
    </w:p>
    <w:p w14:paraId="125BB6B8" w14:textId="4119F2D8" w:rsidR="0020500D" w:rsidRDefault="008B5961" w:rsidP="007B1F99">
      <w:pPr>
        <w:widowControl/>
        <w:spacing w:line="360" w:lineRule="auto"/>
        <w:ind w:firstLine="1440"/>
        <w:contextualSpacing/>
        <w:rPr>
          <w:color w:val="000000" w:themeColor="text1"/>
          <w:sz w:val="26"/>
          <w:szCs w:val="26"/>
        </w:rPr>
      </w:pPr>
      <w:r>
        <w:rPr>
          <w:color w:val="000000" w:themeColor="text1"/>
          <w:sz w:val="26"/>
          <w:szCs w:val="26"/>
        </w:rPr>
        <w:t>The ALJ noted that the fact that other states have opt-out provisions in their laws is non</w:t>
      </w:r>
      <w:r w:rsidR="003D2FAE">
        <w:rPr>
          <w:color w:val="000000" w:themeColor="text1"/>
          <w:sz w:val="26"/>
          <w:szCs w:val="26"/>
        </w:rPr>
        <w:t>-binding, and that the Commission is formulat</w:t>
      </w:r>
      <w:r w:rsidR="005810B8">
        <w:rPr>
          <w:color w:val="000000" w:themeColor="text1"/>
          <w:sz w:val="26"/>
          <w:szCs w:val="26"/>
        </w:rPr>
        <w:t>ing</w:t>
      </w:r>
      <w:r w:rsidR="003D2FAE">
        <w:rPr>
          <w:color w:val="000000" w:themeColor="text1"/>
          <w:sz w:val="26"/>
          <w:szCs w:val="26"/>
        </w:rPr>
        <w:t xml:space="preserve"> binding policy through adjudications</w:t>
      </w:r>
      <w:r w:rsidR="002C6A0A">
        <w:rPr>
          <w:color w:val="000000" w:themeColor="text1"/>
          <w:sz w:val="26"/>
          <w:szCs w:val="26"/>
        </w:rPr>
        <w:t>, which constitute binding precedent.</w:t>
      </w:r>
      <w:r w:rsidR="006D6444">
        <w:rPr>
          <w:color w:val="000000" w:themeColor="text1"/>
          <w:sz w:val="26"/>
          <w:szCs w:val="26"/>
        </w:rPr>
        <w:t xml:space="preserve">  I.D. at 18</w:t>
      </w:r>
      <w:r w:rsidR="008E56F6">
        <w:rPr>
          <w:color w:val="000000" w:themeColor="text1"/>
          <w:sz w:val="26"/>
          <w:szCs w:val="26"/>
        </w:rPr>
        <w:t xml:space="preserve"> (</w:t>
      </w:r>
      <w:r w:rsidR="008E56F6" w:rsidRPr="008E56F6">
        <w:rPr>
          <w:color w:val="000000" w:themeColor="text1"/>
          <w:sz w:val="26"/>
          <w:szCs w:val="26"/>
        </w:rPr>
        <w:t>citing</w:t>
      </w:r>
      <w:r w:rsidR="008E56F6" w:rsidRPr="008E56F6">
        <w:rPr>
          <w:i/>
          <w:iCs/>
          <w:sz w:val="26"/>
          <w:szCs w:val="26"/>
        </w:rPr>
        <w:t xml:space="preserve"> Crawford v. National Fuel Gas Distribution Corporation</w:t>
      </w:r>
      <w:r w:rsidR="008E56F6" w:rsidRPr="00F57CEF">
        <w:rPr>
          <w:sz w:val="26"/>
          <w:szCs w:val="26"/>
        </w:rPr>
        <w:t xml:space="preserve">, </w:t>
      </w:r>
      <w:r w:rsidR="008E56F6" w:rsidRPr="008E56F6">
        <w:rPr>
          <w:sz w:val="26"/>
          <w:szCs w:val="26"/>
        </w:rPr>
        <w:t xml:space="preserve">C-20066348 (Opinion and Order entered December 6, 2007), </w:t>
      </w:r>
      <w:r w:rsidR="008E56F6" w:rsidRPr="008E56F6">
        <w:rPr>
          <w:i/>
          <w:iCs/>
          <w:sz w:val="26"/>
          <w:szCs w:val="26"/>
        </w:rPr>
        <w:t>citing Pacific Gas &amp; Electric Co. v. FPC</w:t>
      </w:r>
      <w:r w:rsidR="008E56F6" w:rsidRPr="008E56F6">
        <w:rPr>
          <w:sz w:val="26"/>
          <w:szCs w:val="26"/>
        </w:rPr>
        <w:t>, 164 U.S. App. D.C. 371, 506 F.2d 33 (D.C. Cir. 1974)).</w:t>
      </w:r>
    </w:p>
    <w:p w14:paraId="7BCC06CE" w14:textId="3A9F7517" w:rsidR="002C6A0A" w:rsidRDefault="002C6A0A" w:rsidP="007B1F99">
      <w:pPr>
        <w:widowControl/>
        <w:spacing w:line="360" w:lineRule="auto"/>
        <w:ind w:firstLine="1440"/>
        <w:contextualSpacing/>
        <w:rPr>
          <w:color w:val="000000" w:themeColor="text1"/>
          <w:sz w:val="26"/>
          <w:szCs w:val="26"/>
        </w:rPr>
      </w:pPr>
      <w:r>
        <w:rPr>
          <w:color w:val="000000" w:themeColor="text1"/>
          <w:sz w:val="26"/>
          <w:szCs w:val="26"/>
        </w:rPr>
        <w:t xml:space="preserve">  </w:t>
      </w:r>
    </w:p>
    <w:p w14:paraId="6B97E43F" w14:textId="2A6B6B92" w:rsidR="007B1F99" w:rsidRPr="007B1F99" w:rsidRDefault="002D4B40" w:rsidP="007B1F99">
      <w:pPr>
        <w:widowControl/>
        <w:spacing w:line="360" w:lineRule="auto"/>
        <w:ind w:firstLine="1440"/>
        <w:contextualSpacing/>
        <w:rPr>
          <w:sz w:val="26"/>
          <w:szCs w:val="26"/>
        </w:rPr>
      </w:pPr>
      <w:r w:rsidRPr="00481242">
        <w:rPr>
          <w:color w:val="000000" w:themeColor="text1"/>
          <w:sz w:val="26"/>
          <w:szCs w:val="26"/>
        </w:rPr>
        <w:t>The ALJ explained that the Commission has ruled that there is no provision in the Code, or our Regulations or Orders</w:t>
      </w:r>
      <w:r w:rsidR="0085644B">
        <w:rPr>
          <w:color w:val="000000" w:themeColor="text1"/>
          <w:sz w:val="26"/>
          <w:szCs w:val="26"/>
        </w:rPr>
        <w:t>,</w:t>
      </w:r>
      <w:r w:rsidRPr="00481242">
        <w:rPr>
          <w:color w:val="000000" w:themeColor="text1"/>
          <w:sz w:val="26"/>
          <w:szCs w:val="26"/>
        </w:rPr>
        <w:t xml:space="preserve"> that permit a PPL customer to opt out of smart meter installation.  I.D. at 1</w:t>
      </w:r>
      <w:r w:rsidR="003D5852">
        <w:rPr>
          <w:color w:val="000000" w:themeColor="text1"/>
          <w:sz w:val="26"/>
          <w:szCs w:val="26"/>
        </w:rPr>
        <w:t>7</w:t>
      </w:r>
      <w:r w:rsidRPr="00481242">
        <w:rPr>
          <w:color w:val="000000" w:themeColor="text1"/>
          <w:sz w:val="26"/>
          <w:szCs w:val="26"/>
        </w:rPr>
        <w:t>-1</w:t>
      </w:r>
      <w:r w:rsidR="003D5852">
        <w:rPr>
          <w:color w:val="000000" w:themeColor="text1"/>
          <w:sz w:val="26"/>
          <w:szCs w:val="26"/>
        </w:rPr>
        <w:t>8</w:t>
      </w:r>
      <w:r w:rsidRPr="00481242">
        <w:rPr>
          <w:color w:val="000000" w:themeColor="text1"/>
          <w:sz w:val="26"/>
          <w:szCs w:val="26"/>
        </w:rPr>
        <w:t xml:space="preserve"> (citing</w:t>
      </w:r>
      <w:r w:rsidRPr="00481242">
        <w:rPr>
          <w:i/>
          <w:iCs/>
          <w:color w:val="000000" w:themeColor="text1"/>
          <w:sz w:val="26"/>
          <w:szCs w:val="26"/>
        </w:rPr>
        <w:t xml:space="preserve"> </w:t>
      </w:r>
      <w:proofErr w:type="spellStart"/>
      <w:r w:rsidR="008B04B8" w:rsidRPr="008B04B8">
        <w:rPr>
          <w:i/>
          <w:iCs/>
          <w:color w:val="000000" w:themeColor="text1"/>
          <w:sz w:val="26"/>
          <w:szCs w:val="26"/>
        </w:rPr>
        <w:t>Bervinchak</w:t>
      </w:r>
      <w:proofErr w:type="spellEnd"/>
      <w:r w:rsidR="008B04B8" w:rsidRPr="008B04B8">
        <w:rPr>
          <w:i/>
          <w:iCs/>
          <w:color w:val="000000" w:themeColor="text1"/>
          <w:sz w:val="26"/>
          <w:szCs w:val="26"/>
        </w:rPr>
        <w:t xml:space="preserve"> v. PPL Electric Utilities Corporation</w:t>
      </w:r>
      <w:r w:rsidR="008B04B8" w:rsidRPr="00F57CEF">
        <w:rPr>
          <w:color w:val="000000" w:themeColor="text1"/>
          <w:sz w:val="26"/>
          <w:szCs w:val="26"/>
        </w:rPr>
        <w:t xml:space="preserve">, C-2016-2572824 and C-2016-2577527 </w:t>
      </w:r>
      <w:r w:rsidR="008B04B8" w:rsidRPr="00462C7A">
        <w:rPr>
          <w:color w:val="000000" w:themeColor="text1"/>
          <w:sz w:val="26"/>
          <w:szCs w:val="26"/>
        </w:rPr>
        <w:t>(Final Order October 2, 2018, Initial Decision dated August 16, 2018)</w:t>
      </w:r>
      <w:r w:rsidR="00462C7A" w:rsidRPr="00462C7A">
        <w:rPr>
          <w:color w:val="000000" w:themeColor="text1"/>
          <w:sz w:val="26"/>
          <w:szCs w:val="26"/>
        </w:rPr>
        <w:t>;</w:t>
      </w:r>
      <w:r w:rsidR="00462C7A">
        <w:rPr>
          <w:i/>
          <w:iCs/>
          <w:color w:val="000000" w:themeColor="text1"/>
          <w:sz w:val="26"/>
          <w:szCs w:val="26"/>
        </w:rPr>
        <w:t xml:space="preserve"> </w:t>
      </w:r>
      <w:r w:rsidRPr="00481242">
        <w:rPr>
          <w:i/>
          <w:iCs/>
          <w:color w:val="000000" w:themeColor="text1"/>
          <w:sz w:val="26"/>
          <w:szCs w:val="26"/>
        </w:rPr>
        <w:t xml:space="preserve">2013 </w:t>
      </w:r>
      <w:proofErr w:type="spellStart"/>
      <w:r w:rsidRPr="00481242">
        <w:rPr>
          <w:i/>
          <w:iCs/>
          <w:color w:val="000000" w:themeColor="text1"/>
          <w:sz w:val="26"/>
          <w:szCs w:val="26"/>
        </w:rPr>
        <w:t>Povacz</w:t>
      </w:r>
      <w:proofErr w:type="spellEnd"/>
      <w:r w:rsidRPr="00481242">
        <w:rPr>
          <w:i/>
          <w:iCs/>
          <w:color w:val="000000" w:themeColor="text1"/>
          <w:sz w:val="26"/>
          <w:szCs w:val="26"/>
        </w:rPr>
        <w:t xml:space="preserve"> Order</w:t>
      </w:r>
      <w:r w:rsidR="00E27B6C">
        <w:rPr>
          <w:i/>
          <w:iCs/>
          <w:color w:val="000000" w:themeColor="text1"/>
          <w:sz w:val="26"/>
          <w:szCs w:val="26"/>
        </w:rPr>
        <w:t>;</w:t>
      </w:r>
      <w:r w:rsidRPr="00481242">
        <w:rPr>
          <w:i/>
          <w:iCs/>
          <w:color w:val="000000" w:themeColor="text1"/>
          <w:sz w:val="26"/>
          <w:szCs w:val="26"/>
        </w:rPr>
        <w:t xml:space="preserve"> 2019 </w:t>
      </w:r>
      <w:proofErr w:type="spellStart"/>
      <w:r w:rsidRPr="00481242">
        <w:rPr>
          <w:i/>
          <w:iCs/>
          <w:color w:val="000000" w:themeColor="text1"/>
          <w:sz w:val="26"/>
          <w:szCs w:val="26"/>
        </w:rPr>
        <w:t>Povacz</w:t>
      </w:r>
      <w:proofErr w:type="spellEnd"/>
      <w:r w:rsidRPr="00481242">
        <w:rPr>
          <w:i/>
          <w:iCs/>
          <w:color w:val="000000" w:themeColor="text1"/>
          <w:sz w:val="26"/>
          <w:szCs w:val="26"/>
        </w:rPr>
        <w:t xml:space="preserve"> Order</w:t>
      </w:r>
      <w:r w:rsidRPr="00481242">
        <w:rPr>
          <w:color w:val="000000" w:themeColor="text1"/>
          <w:sz w:val="26"/>
          <w:szCs w:val="26"/>
        </w:rPr>
        <w:t xml:space="preserve">).  </w:t>
      </w:r>
      <w:r w:rsidR="000F5A40">
        <w:rPr>
          <w:sz w:val="26"/>
          <w:szCs w:val="26"/>
        </w:rPr>
        <w:t>The</w:t>
      </w:r>
      <w:r w:rsidR="007B1F99" w:rsidRPr="007B1F99">
        <w:rPr>
          <w:sz w:val="26"/>
          <w:szCs w:val="26"/>
        </w:rPr>
        <w:t xml:space="preserve"> ALJ</w:t>
      </w:r>
      <w:r w:rsidR="00CF4140">
        <w:rPr>
          <w:sz w:val="26"/>
          <w:szCs w:val="26"/>
        </w:rPr>
        <w:t xml:space="preserve"> added that the Commonwealth Court has held that federal law does not preempt the Commission’s interpretation</w:t>
      </w:r>
      <w:r w:rsidR="000F5A40">
        <w:rPr>
          <w:sz w:val="26"/>
          <w:szCs w:val="26"/>
        </w:rPr>
        <w:t xml:space="preserve">.  I.D. at 18 (citing </w:t>
      </w:r>
      <w:r w:rsidR="000F5A40" w:rsidRPr="000F5A40">
        <w:rPr>
          <w:i/>
          <w:iCs/>
          <w:sz w:val="26"/>
          <w:szCs w:val="26"/>
        </w:rPr>
        <w:t>Romeo</w:t>
      </w:r>
      <w:r w:rsidR="000F5A40">
        <w:rPr>
          <w:sz w:val="26"/>
          <w:szCs w:val="26"/>
        </w:rPr>
        <w:t>).</w:t>
      </w:r>
      <w:r w:rsidR="007B1F99" w:rsidRPr="007B1F99">
        <w:rPr>
          <w:sz w:val="26"/>
          <w:szCs w:val="26"/>
        </w:rPr>
        <w:t xml:space="preserve"> </w:t>
      </w:r>
      <w:r w:rsidR="000F5A40">
        <w:rPr>
          <w:sz w:val="26"/>
          <w:szCs w:val="26"/>
        </w:rPr>
        <w:t xml:space="preserve"> Further, the ALJ </w:t>
      </w:r>
      <w:r>
        <w:rPr>
          <w:sz w:val="26"/>
          <w:szCs w:val="26"/>
        </w:rPr>
        <w:t>not</w:t>
      </w:r>
      <w:r w:rsidR="007B1F99" w:rsidRPr="007B1F99">
        <w:rPr>
          <w:sz w:val="26"/>
          <w:szCs w:val="26"/>
        </w:rPr>
        <w:t xml:space="preserve">ed that the Commission has held that it has no authority, absent directive in the form of legislation, to prohibit an EDC from installing a smart meter where a customer does not want one.  I.D. at </w:t>
      </w:r>
      <w:r w:rsidR="00F62EC4">
        <w:rPr>
          <w:sz w:val="26"/>
          <w:szCs w:val="26"/>
        </w:rPr>
        <w:t>20</w:t>
      </w:r>
      <w:r w:rsidR="007B1F99" w:rsidRPr="007B1F99">
        <w:rPr>
          <w:sz w:val="26"/>
          <w:szCs w:val="26"/>
        </w:rPr>
        <w:t xml:space="preserve"> (citing </w:t>
      </w:r>
      <w:r w:rsidR="007B1F99" w:rsidRPr="007B1F99">
        <w:rPr>
          <w:i/>
          <w:iCs/>
          <w:sz w:val="26"/>
          <w:szCs w:val="26"/>
        </w:rPr>
        <w:t xml:space="preserve">2013 </w:t>
      </w:r>
      <w:proofErr w:type="spellStart"/>
      <w:r w:rsidR="007B1F99" w:rsidRPr="007B1F99">
        <w:rPr>
          <w:i/>
          <w:iCs/>
          <w:sz w:val="26"/>
          <w:szCs w:val="26"/>
        </w:rPr>
        <w:t>Povacz</w:t>
      </w:r>
      <w:proofErr w:type="spellEnd"/>
      <w:r w:rsidR="007B1F99" w:rsidRPr="007B1F99">
        <w:rPr>
          <w:i/>
          <w:iCs/>
          <w:sz w:val="26"/>
          <w:szCs w:val="26"/>
        </w:rPr>
        <w:t xml:space="preserve"> Order</w:t>
      </w:r>
      <w:r w:rsidR="007B1F99" w:rsidRPr="007B1F99">
        <w:rPr>
          <w:sz w:val="26"/>
          <w:szCs w:val="26"/>
        </w:rPr>
        <w:t xml:space="preserve">).  The ALJ concluded that PPL would be in violation of the </w:t>
      </w:r>
      <w:r w:rsidR="007B1F99" w:rsidRPr="007B1F99">
        <w:rPr>
          <w:sz w:val="26"/>
          <w:szCs w:val="26"/>
        </w:rPr>
        <w:lastRenderedPageBreak/>
        <w:t>law if it did not install a smart meter at properties similarly situated to the Complainant</w:t>
      </w:r>
      <w:r w:rsidR="00E02803">
        <w:rPr>
          <w:sz w:val="26"/>
          <w:szCs w:val="26"/>
        </w:rPr>
        <w:t>’</w:t>
      </w:r>
      <w:r w:rsidR="007B1F99" w:rsidRPr="007B1F99">
        <w:rPr>
          <w:sz w:val="26"/>
          <w:szCs w:val="26"/>
        </w:rPr>
        <w:t xml:space="preserve">s residence.  I.D. at </w:t>
      </w:r>
      <w:r w:rsidR="0086247F">
        <w:rPr>
          <w:sz w:val="26"/>
          <w:szCs w:val="26"/>
        </w:rPr>
        <w:t>20</w:t>
      </w:r>
      <w:r w:rsidR="007B1F99" w:rsidRPr="007B1F99">
        <w:rPr>
          <w:sz w:val="26"/>
          <w:szCs w:val="26"/>
        </w:rPr>
        <w:t xml:space="preserve"> (citing </w:t>
      </w:r>
      <w:r w:rsidR="007B1F99" w:rsidRPr="007B1F99">
        <w:rPr>
          <w:i/>
          <w:iCs/>
          <w:sz w:val="26"/>
          <w:szCs w:val="26"/>
        </w:rPr>
        <w:t xml:space="preserve">2013 </w:t>
      </w:r>
      <w:proofErr w:type="spellStart"/>
      <w:r w:rsidR="007B1F99" w:rsidRPr="007B1F99">
        <w:rPr>
          <w:i/>
          <w:iCs/>
          <w:sz w:val="26"/>
          <w:szCs w:val="26"/>
        </w:rPr>
        <w:t>Povacz</w:t>
      </w:r>
      <w:proofErr w:type="spellEnd"/>
      <w:r w:rsidR="007B1F99" w:rsidRPr="007B1F99">
        <w:rPr>
          <w:i/>
          <w:iCs/>
          <w:sz w:val="26"/>
          <w:szCs w:val="26"/>
        </w:rPr>
        <w:t xml:space="preserve"> Order</w:t>
      </w:r>
      <w:r w:rsidR="007B1F99" w:rsidRPr="007B1F99">
        <w:rPr>
          <w:sz w:val="26"/>
          <w:szCs w:val="26"/>
        </w:rPr>
        <w:t xml:space="preserve">; </w:t>
      </w:r>
      <w:proofErr w:type="spellStart"/>
      <w:r w:rsidR="007B1F99" w:rsidRPr="007B1F99">
        <w:rPr>
          <w:i/>
          <w:iCs/>
          <w:sz w:val="26"/>
          <w:szCs w:val="26"/>
        </w:rPr>
        <w:t>Frompovich</w:t>
      </w:r>
      <w:proofErr w:type="spellEnd"/>
      <w:r w:rsidR="007B1F99" w:rsidRPr="007B1F99">
        <w:rPr>
          <w:i/>
          <w:iCs/>
          <w:sz w:val="26"/>
          <w:szCs w:val="26"/>
        </w:rPr>
        <w:t xml:space="preserve"> </w:t>
      </w:r>
      <w:r w:rsidR="007B1F99" w:rsidRPr="007B1F99">
        <w:rPr>
          <w:sz w:val="26"/>
          <w:szCs w:val="26"/>
        </w:rPr>
        <w:t xml:space="preserve">at </w:t>
      </w:r>
      <w:r w:rsidR="0086247F">
        <w:rPr>
          <w:sz w:val="26"/>
          <w:szCs w:val="26"/>
        </w:rPr>
        <w:t>7-8</w:t>
      </w:r>
      <w:r w:rsidR="007B1F99" w:rsidRPr="007B1F99">
        <w:rPr>
          <w:sz w:val="26"/>
          <w:szCs w:val="26"/>
        </w:rPr>
        <w:t xml:space="preserve">). </w:t>
      </w:r>
    </w:p>
    <w:p w14:paraId="3D1C3AD3" w14:textId="77777777" w:rsidR="007B1F99" w:rsidRPr="007B1F99" w:rsidRDefault="007B1F99" w:rsidP="007B1F99">
      <w:pPr>
        <w:widowControl/>
        <w:spacing w:line="360" w:lineRule="auto"/>
        <w:ind w:firstLine="1440"/>
        <w:contextualSpacing/>
        <w:rPr>
          <w:sz w:val="26"/>
          <w:szCs w:val="26"/>
        </w:rPr>
      </w:pPr>
    </w:p>
    <w:p w14:paraId="1E816069" w14:textId="20AF9806" w:rsidR="00997EA1" w:rsidRPr="00E71DE0" w:rsidRDefault="007B1F99" w:rsidP="00E71DE0">
      <w:pPr>
        <w:widowControl/>
        <w:spacing w:line="360" w:lineRule="auto"/>
        <w:ind w:firstLine="1440"/>
        <w:contextualSpacing/>
        <w:rPr>
          <w:sz w:val="26"/>
          <w:szCs w:val="26"/>
        </w:rPr>
      </w:pPr>
      <w:r w:rsidRPr="007B1F99">
        <w:rPr>
          <w:sz w:val="26"/>
          <w:szCs w:val="26"/>
        </w:rPr>
        <w:t>Based on all of the above, the ALJ dismissed the Complaint for failure to prove</w:t>
      </w:r>
      <w:r w:rsidR="008B5285">
        <w:rPr>
          <w:sz w:val="26"/>
          <w:szCs w:val="26"/>
        </w:rPr>
        <w:t>,</w:t>
      </w:r>
      <w:r w:rsidRPr="007B1F99">
        <w:rPr>
          <w:sz w:val="26"/>
          <w:szCs w:val="26"/>
        </w:rPr>
        <w:t xml:space="preserve"> by a preponderance of evidence</w:t>
      </w:r>
      <w:r w:rsidR="008B5285">
        <w:rPr>
          <w:sz w:val="26"/>
          <w:szCs w:val="26"/>
        </w:rPr>
        <w:t>,</w:t>
      </w:r>
      <w:r w:rsidRPr="007B1F99">
        <w:rPr>
          <w:sz w:val="26"/>
          <w:szCs w:val="26"/>
        </w:rPr>
        <w:t xml:space="preserve"> that the installation of a smart meter constitutes unsafe or unreasonable service under 66 Pa.</w:t>
      </w:r>
      <w:r w:rsidR="00D55117">
        <w:rPr>
          <w:sz w:val="26"/>
          <w:szCs w:val="26"/>
        </w:rPr>
        <w:t xml:space="preserve"> </w:t>
      </w:r>
      <w:r w:rsidRPr="007B1F99">
        <w:rPr>
          <w:sz w:val="26"/>
          <w:szCs w:val="26"/>
        </w:rPr>
        <w:t xml:space="preserve">C.S. § 1501, or a violation of the Code, a Commission Order or Regulation or a Commission-approved tariff of the Company.  I.D. at </w:t>
      </w:r>
      <w:r w:rsidR="0086247F">
        <w:rPr>
          <w:sz w:val="26"/>
          <w:szCs w:val="26"/>
        </w:rPr>
        <w:t>20</w:t>
      </w:r>
      <w:r w:rsidRPr="007B1F99">
        <w:rPr>
          <w:sz w:val="26"/>
          <w:szCs w:val="26"/>
        </w:rPr>
        <w:t xml:space="preserve">.  </w:t>
      </w:r>
    </w:p>
    <w:p w14:paraId="3649A959" w14:textId="691E9930" w:rsidR="00194FDF" w:rsidRPr="00481242" w:rsidRDefault="00194FDF" w:rsidP="00E6540F">
      <w:pPr>
        <w:widowControl/>
        <w:spacing w:line="360" w:lineRule="auto"/>
        <w:textAlignment w:val="baseline"/>
        <w:rPr>
          <w:color w:val="000000" w:themeColor="text1"/>
          <w:sz w:val="26"/>
          <w:szCs w:val="26"/>
        </w:rPr>
      </w:pPr>
    </w:p>
    <w:p w14:paraId="504466DF" w14:textId="45F0098C" w:rsidR="00537D63" w:rsidRPr="0028639A" w:rsidRDefault="00BC7D44" w:rsidP="00537D63">
      <w:pPr>
        <w:pStyle w:val="Heading2"/>
        <w:keepNext/>
        <w:keepLines/>
        <w:suppressAutoHyphens w:val="0"/>
      </w:pPr>
      <w:r>
        <w:t>Exceptions, Replies, and Disposition</w:t>
      </w:r>
    </w:p>
    <w:p w14:paraId="25744314" w14:textId="77777777" w:rsidR="0003623E" w:rsidRPr="00481242" w:rsidRDefault="0003623E" w:rsidP="00481242">
      <w:pPr>
        <w:keepNext/>
        <w:keepLines/>
        <w:widowControl/>
        <w:spacing w:line="360" w:lineRule="auto"/>
        <w:textAlignment w:val="baseline"/>
        <w:rPr>
          <w:b/>
          <w:color w:val="000000" w:themeColor="text1"/>
          <w:sz w:val="26"/>
          <w:szCs w:val="26"/>
        </w:rPr>
      </w:pPr>
    </w:p>
    <w:p w14:paraId="51C992BB" w14:textId="767847E7" w:rsidR="00A33AD7" w:rsidRDefault="001F3291" w:rsidP="00481242">
      <w:pPr>
        <w:widowControl/>
        <w:spacing w:line="360" w:lineRule="auto"/>
        <w:rPr>
          <w:sz w:val="26"/>
          <w:szCs w:val="26"/>
        </w:rPr>
      </w:pPr>
      <w:r w:rsidRPr="00481242">
        <w:rPr>
          <w:color w:val="000000" w:themeColor="text1"/>
          <w:sz w:val="26"/>
          <w:szCs w:val="26"/>
        </w:rPr>
        <w:tab/>
      </w:r>
      <w:r w:rsidRPr="00481242">
        <w:rPr>
          <w:color w:val="000000" w:themeColor="text1"/>
          <w:sz w:val="26"/>
          <w:szCs w:val="26"/>
        </w:rPr>
        <w:tab/>
      </w:r>
      <w:r w:rsidR="005614CA" w:rsidRPr="00481242">
        <w:rPr>
          <w:color w:val="000000" w:themeColor="text1"/>
          <w:sz w:val="26"/>
          <w:szCs w:val="26"/>
        </w:rPr>
        <w:t>The Complainant</w:t>
      </w:r>
      <w:r w:rsidR="00932354" w:rsidRPr="00481242">
        <w:rPr>
          <w:color w:val="000000" w:themeColor="text1"/>
          <w:sz w:val="26"/>
          <w:szCs w:val="26"/>
        </w:rPr>
        <w:t>’s Exceptions</w:t>
      </w:r>
      <w:r w:rsidR="00C15739" w:rsidRPr="00481242">
        <w:rPr>
          <w:rStyle w:val="FootnoteReference"/>
          <w:color w:val="000000" w:themeColor="text1"/>
          <w:sz w:val="26"/>
          <w:szCs w:val="26"/>
        </w:rPr>
        <w:footnoteReference w:id="10"/>
      </w:r>
      <w:r w:rsidR="00932354" w:rsidRPr="00481242">
        <w:rPr>
          <w:color w:val="000000" w:themeColor="text1"/>
          <w:sz w:val="26"/>
          <w:szCs w:val="26"/>
        </w:rPr>
        <w:t xml:space="preserve"> </w:t>
      </w:r>
      <w:r w:rsidR="000E3A8B">
        <w:rPr>
          <w:color w:val="000000" w:themeColor="text1"/>
          <w:sz w:val="26"/>
          <w:szCs w:val="26"/>
        </w:rPr>
        <w:t xml:space="preserve">generally </w:t>
      </w:r>
      <w:r w:rsidR="001B5139">
        <w:rPr>
          <w:sz w:val="26"/>
          <w:szCs w:val="26"/>
        </w:rPr>
        <w:t>argue that the ALJ erred</w:t>
      </w:r>
      <w:r w:rsidR="000D597F" w:rsidRPr="000D597F">
        <w:rPr>
          <w:sz w:val="26"/>
          <w:szCs w:val="26"/>
        </w:rPr>
        <w:t xml:space="preserve"> </w:t>
      </w:r>
      <w:r w:rsidR="00763BB1">
        <w:rPr>
          <w:sz w:val="26"/>
          <w:szCs w:val="26"/>
        </w:rPr>
        <w:t xml:space="preserve">as to her rulings </w:t>
      </w:r>
      <w:r w:rsidR="000D597F" w:rsidRPr="000D597F">
        <w:rPr>
          <w:sz w:val="26"/>
          <w:szCs w:val="26"/>
        </w:rPr>
        <w:t>regarding:</w:t>
      </w:r>
      <w:r w:rsidR="00303C9F">
        <w:rPr>
          <w:sz w:val="26"/>
          <w:szCs w:val="26"/>
        </w:rPr>
        <w:t xml:space="preserve"> </w:t>
      </w:r>
      <w:r w:rsidR="00031985">
        <w:rPr>
          <w:sz w:val="26"/>
          <w:szCs w:val="26"/>
        </w:rPr>
        <w:t xml:space="preserve"> </w:t>
      </w:r>
      <w:r w:rsidR="000D597F" w:rsidRPr="000D597F">
        <w:rPr>
          <w:sz w:val="26"/>
          <w:szCs w:val="26"/>
        </w:rPr>
        <w:t xml:space="preserve">(1) </w:t>
      </w:r>
      <w:r w:rsidR="002E2A77">
        <w:rPr>
          <w:sz w:val="26"/>
          <w:szCs w:val="26"/>
        </w:rPr>
        <w:t xml:space="preserve">due process; (2) </w:t>
      </w:r>
      <w:r w:rsidR="000D597F" w:rsidRPr="000D597F">
        <w:rPr>
          <w:sz w:val="26"/>
          <w:szCs w:val="26"/>
        </w:rPr>
        <w:t xml:space="preserve">health and safety concerns; </w:t>
      </w:r>
      <w:r w:rsidR="00E62E4D">
        <w:rPr>
          <w:sz w:val="26"/>
          <w:szCs w:val="26"/>
        </w:rPr>
        <w:t>(</w:t>
      </w:r>
      <w:r w:rsidR="00AD5C85">
        <w:rPr>
          <w:sz w:val="26"/>
          <w:szCs w:val="26"/>
        </w:rPr>
        <w:t>3</w:t>
      </w:r>
      <w:r w:rsidR="00E62E4D">
        <w:rPr>
          <w:sz w:val="26"/>
          <w:szCs w:val="26"/>
        </w:rPr>
        <w:t xml:space="preserve">) </w:t>
      </w:r>
      <w:r w:rsidR="00357729">
        <w:rPr>
          <w:sz w:val="26"/>
          <w:szCs w:val="26"/>
        </w:rPr>
        <w:t xml:space="preserve">credibility </w:t>
      </w:r>
      <w:r w:rsidR="006D5C2E">
        <w:rPr>
          <w:sz w:val="26"/>
          <w:szCs w:val="26"/>
        </w:rPr>
        <w:t>and credential</w:t>
      </w:r>
      <w:r w:rsidR="00B133DA">
        <w:rPr>
          <w:sz w:val="26"/>
          <w:szCs w:val="26"/>
        </w:rPr>
        <w:t xml:space="preserve"> concerns</w:t>
      </w:r>
      <w:r w:rsidR="006D5C2E">
        <w:rPr>
          <w:sz w:val="26"/>
          <w:szCs w:val="26"/>
        </w:rPr>
        <w:t xml:space="preserve"> </w:t>
      </w:r>
      <w:r w:rsidR="00357729">
        <w:rPr>
          <w:sz w:val="26"/>
          <w:szCs w:val="26"/>
        </w:rPr>
        <w:t>of Dr. Davis and Dr. Israel</w:t>
      </w:r>
      <w:r w:rsidR="00905644">
        <w:rPr>
          <w:sz w:val="26"/>
          <w:szCs w:val="26"/>
        </w:rPr>
        <w:t>;</w:t>
      </w:r>
      <w:r w:rsidR="00816576">
        <w:rPr>
          <w:sz w:val="26"/>
          <w:szCs w:val="26"/>
        </w:rPr>
        <w:t xml:space="preserve"> </w:t>
      </w:r>
      <w:r w:rsidR="003A67D5">
        <w:rPr>
          <w:sz w:val="26"/>
          <w:szCs w:val="26"/>
        </w:rPr>
        <w:t xml:space="preserve">(4) </w:t>
      </w:r>
      <w:r w:rsidR="00493696">
        <w:rPr>
          <w:sz w:val="26"/>
          <w:szCs w:val="26"/>
        </w:rPr>
        <w:t>opt-out and i</w:t>
      </w:r>
      <w:r w:rsidR="00493696" w:rsidRPr="00493696">
        <w:rPr>
          <w:sz w:val="26"/>
          <w:szCs w:val="26"/>
        </w:rPr>
        <w:t>nterpretation of 66</w:t>
      </w:r>
      <w:r w:rsidR="00611EF9">
        <w:rPr>
          <w:sz w:val="26"/>
          <w:szCs w:val="26"/>
        </w:rPr>
        <w:t> </w:t>
      </w:r>
      <w:r w:rsidR="00493696" w:rsidRPr="00493696">
        <w:rPr>
          <w:sz w:val="26"/>
          <w:szCs w:val="26"/>
        </w:rPr>
        <w:t>Pa.</w:t>
      </w:r>
      <w:r w:rsidR="00611EF9">
        <w:rPr>
          <w:sz w:val="26"/>
          <w:szCs w:val="26"/>
        </w:rPr>
        <w:t> </w:t>
      </w:r>
      <w:r w:rsidR="00493696" w:rsidRPr="00493696">
        <w:rPr>
          <w:sz w:val="26"/>
          <w:szCs w:val="26"/>
        </w:rPr>
        <w:t>C.S. § 2807(f)</w:t>
      </w:r>
      <w:r w:rsidR="003A67D5" w:rsidRPr="000D597F">
        <w:rPr>
          <w:sz w:val="26"/>
          <w:szCs w:val="26"/>
        </w:rPr>
        <w:t>;</w:t>
      </w:r>
      <w:r w:rsidR="003A67D5">
        <w:rPr>
          <w:sz w:val="26"/>
          <w:szCs w:val="26"/>
        </w:rPr>
        <w:t xml:space="preserve"> </w:t>
      </w:r>
      <w:r w:rsidR="006F485C">
        <w:rPr>
          <w:sz w:val="26"/>
          <w:szCs w:val="26"/>
        </w:rPr>
        <w:t xml:space="preserve">and </w:t>
      </w:r>
      <w:r w:rsidR="000D597F" w:rsidRPr="000D597F">
        <w:rPr>
          <w:sz w:val="26"/>
          <w:szCs w:val="26"/>
        </w:rPr>
        <w:t>(</w:t>
      </w:r>
      <w:r w:rsidR="00E62E4D">
        <w:rPr>
          <w:sz w:val="26"/>
          <w:szCs w:val="26"/>
        </w:rPr>
        <w:t>5</w:t>
      </w:r>
      <w:r w:rsidR="000D597F" w:rsidRPr="000D597F">
        <w:rPr>
          <w:sz w:val="26"/>
          <w:szCs w:val="26"/>
        </w:rPr>
        <w:t>)</w:t>
      </w:r>
      <w:r w:rsidR="006F485C" w:rsidRPr="006F485C">
        <w:t xml:space="preserve"> </w:t>
      </w:r>
      <w:r w:rsidR="006F485C">
        <w:rPr>
          <w:sz w:val="26"/>
          <w:szCs w:val="26"/>
        </w:rPr>
        <w:t>p</w:t>
      </w:r>
      <w:r w:rsidR="006F485C" w:rsidRPr="006F485C">
        <w:rPr>
          <w:sz w:val="26"/>
          <w:szCs w:val="26"/>
        </w:rPr>
        <w:t xml:space="preserve">rior </w:t>
      </w:r>
      <w:r w:rsidR="006F485C">
        <w:rPr>
          <w:sz w:val="26"/>
          <w:szCs w:val="26"/>
        </w:rPr>
        <w:t>d</w:t>
      </w:r>
      <w:r w:rsidR="006F485C" w:rsidRPr="006F485C">
        <w:rPr>
          <w:sz w:val="26"/>
          <w:szCs w:val="26"/>
        </w:rPr>
        <w:t xml:space="preserve">ecisions of </w:t>
      </w:r>
      <w:r w:rsidR="006F485C">
        <w:rPr>
          <w:sz w:val="26"/>
          <w:szCs w:val="26"/>
        </w:rPr>
        <w:t>s</w:t>
      </w:r>
      <w:r w:rsidR="006F485C" w:rsidRPr="006F485C">
        <w:rPr>
          <w:sz w:val="26"/>
          <w:szCs w:val="26"/>
        </w:rPr>
        <w:t xml:space="preserve">mart </w:t>
      </w:r>
      <w:r w:rsidR="006F485C">
        <w:rPr>
          <w:sz w:val="26"/>
          <w:szCs w:val="26"/>
        </w:rPr>
        <w:t>m</w:t>
      </w:r>
      <w:r w:rsidR="006F485C" w:rsidRPr="006F485C">
        <w:rPr>
          <w:sz w:val="26"/>
          <w:szCs w:val="26"/>
        </w:rPr>
        <w:t xml:space="preserve">eter </w:t>
      </w:r>
      <w:r w:rsidR="006F485C">
        <w:rPr>
          <w:sz w:val="26"/>
          <w:szCs w:val="26"/>
        </w:rPr>
        <w:t>c</w:t>
      </w:r>
      <w:r w:rsidR="006F485C" w:rsidRPr="006F485C">
        <w:rPr>
          <w:sz w:val="26"/>
          <w:szCs w:val="26"/>
        </w:rPr>
        <w:t>omplaints</w:t>
      </w:r>
      <w:r w:rsidR="007F2F29">
        <w:rPr>
          <w:sz w:val="26"/>
          <w:szCs w:val="26"/>
        </w:rPr>
        <w:t>.</w:t>
      </w:r>
      <w:r w:rsidR="00126EB3">
        <w:rPr>
          <w:sz w:val="26"/>
          <w:szCs w:val="26"/>
        </w:rPr>
        <w:t xml:space="preserve">  </w:t>
      </w:r>
    </w:p>
    <w:p w14:paraId="4DA506DA" w14:textId="34712AEA" w:rsidR="00126EB3" w:rsidRDefault="00126EB3" w:rsidP="00481242">
      <w:pPr>
        <w:widowControl/>
        <w:spacing w:line="360" w:lineRule="auto"/>
        <w:rPr>
          <w:sz w:val="26"/>
          <w:szCs w:val="26"/>
        </w:rPr>
      </w:pPr>
    </w:p>
    <w:p w14:paraId="72DF06D0" w14:textId="1E9D102A" w:rsidR="00126EB3" w:rsidRPr="00126EB3" w:rsidRDefault="00126EB3" w:rsidP="00126EB3">
      <w:pPr>
        <w:widowControl/>
        <w:spacing w:line="360" w:lineRule="auto"/>
        <w:rPr>
          <w:sz w:val="26"/>
          <w:szCs w:val="26"/>
        </w:rPr>
      </w:pPr>
      <w:r>
        <w:rPr>
          <w:sz w:val="26"/>
          <w:szCs w:val="26"/>
        </w:rPr>
        <w:tab/>
      </w:r>
      <w:r>
        <w:rPr>
          <w:sz w:val="26"/>
          <w:szCs w:val="26"/>
        </w:rPr>
        <w:tab/>
        <w:t xml:space="preserve">In addition, we note that </w:t>
      </w:r>
      <w:r w:rsidR="00347237">
        <w:rPr>
          <w:sz w:val="26"/>
          <w:szCs w:val="26"/>
        </w:rPr>
        <w:t>t</w:t>
      </w:r>
      <w:r w:rsidRPr="00126EB3">
        <w:rPr>
          <w:sz w:val="26"/>
          <w:szCs w:val="26"/>
        </w:rPr>
        <w:t>he Complainant ha</w:t>
      </w:r>
      <w:r w:rsidR="00347237">
        <w:rPr>
          <w:sz w:val="26"/>
          <w:szCs w:val="26"/>
        </w:rPr>
        <w:t>s</w:t>
      </w:r>
      <w:r w:rsidRPr="00126EB3">
        <w:rPr>
          <w:sz w:val="26"/>
          <w:szCs w:val="26"/>
        </w:rPr>
        <w:t xml:space="preserve"> attached extr</w:t>
      </w:r>
      <w:r w:rsidR="008228D1">
        <w:rPr>
          <w:sz w:val="26"/>
          <w:szCs w:val="26"/>
        </w:rPr>
        <w:t>a-</w:t>
      </w:r>
      <w:r w:rsidRPr="00126EB3">
        <w:rPr>
          <w:sz w:val="26"/>
          <w:szCs w:val="26"/>
        </w:rPr>
        <w:t xml:space="preserve">record materials to </w:t>
      </w:r>
      <w:r w:rsidR="00347237">
        <w:rPr>
          <w:sz w:val="26"/>
          <w:szCs w:val="26"/>
        </w:rPr>
        <w:t>his</w:t>
      </w:r>
      <w:r w:rsidRPr="00126EB3">
        <w:rPr>
          <w:sz w:val="26"/>
          <w:szCs w:val="26"/>
        </w:rPr>
        <w:t xml:space="preserve"> Exceptions and make</w:t>
      </w:r>
      <w:r w:rsidR="00347237">
        <w:rPr>
          <w:sz w:val="26"/>
          <w:szCs w:val="26"/>
        </w:rPr>
        <w:t>s</w:t>
      </w:r>
      <w:r w:rsidRPr="00126EB3">
        <w:rPr>
          <w:sz w:val="26"/>
          <w:szCs w:val="26"/>
        </w:rPr>
        <w:t xml:space="preserve"> use of these materials in </w:t>
      </w:r>
      <w:r w:rsidR="00347237">
        <w:rPr>
          <w:sz w:val="26"/>
          <w:szCs w:val="26"/>
        </w:rPr>
        <w:t>his</w:t>
      </w:r>
      <w:r w:rsidRPr="00126EB3">
        <w:rPr>
          <w:sz w:val="26"/>
          <w:szCs w:val="26"/>
        </w:rPr>
        <w:t xml:space="preserve"> Exceptions.  We will disregard the extra-record materials</w:t>
      </w:r>
      <w:r w:rsidR="000A4242">
        <w:rPr>
          <w:sz w:val="26"/>
          <w:szCs w:val="26"/>
        </w:rPr>
        <w:t xml:space="preserve"> – </w:t>
      </w:r>
      <w:r w:rsidRPr="00126EB3">
        <w:rPr>
          <w:sz w:val="26"/>
          <w:szCs w:val="26"/>
        </w:rPr>
        <w:t>specifically</w:t>
      </w:r>
      <w:r w:rsidR="00347237">
        <w:rPr>
          <w:sz w:val="26"/>
          <w:szCs w:val="26"/>
        </w:rPr>
        <w:t xml:space="preserve">, the document </w:t>
      </w:r>
      <w:r w:rsidR="008228D1">
        <w:rPr>
          <w:sz w:val="26"/>
          <w:szCs w:val="26"/>
        </w:rPr>
        <w:t>referred t</w:t>
      </w:r>
      <w:r w:rsidR="006F076B">
        <w:rPr>
          <w:sz w:val="26"/>
          <w:szCs w:val="26"/>
        </w:rPr>
        <w:t xml:space="preserve">o by the Complainant </w:t>
      </w:r>
      <w:r w:rsidR="00347237">
        <w:rPr>
          <w:sz w:val="26"/>
          <w:szCs w:val="26"/>
        </w:rPr>
        <w:t xml:space="preserve">as </w:t>
      </w:r>
      <w:r w:rsidR="009C720C">
        <w:rPr>
          <w:sz w:val="26"/>
          <w:szCs w:val="26"/>
        </w:rPr>
        <w:t>the “Senate Journal on October 8, 2008, pages 2626</w:t>
      </w:r>
      <w:r w:rsidR="00FC0B51">
        <w:rPr>
          <w:sz w:val="26"/>
          <w:szCs w:val="26"/>
        </w:rPr>
        <w:t>-</w:t>
      </w:r>
      <w:r w:rsidR="009C720C">
        <w:rPr>
          <w:sz w:val="26"/>
          <w:szCs w:val="26"/>
        </w:rPr>
        <w:t>2631</w:t>
      </w:r>
      <w:r w:rsidR="00CA0378">
        <w:rPr>
          <w:sz w:val="26"/>
          <w:szCs w:val="26"/>
        </w:rPr>
        <w:t>,</w:t>
      </w:r>
      <w:r w:rsidR="009C720C">
        <w:rPr>
          <w:sz w:val="26"/>
          <w:szCs w:val="26"/>
        </w:rPr>
        <w:t>”</w:t>
      </w:r>
      <w:r w:rsidR="000A4242">
        <w:rPr>
          <w:sz w:val="26"/>
          <w:szCs w:val="26"/>
        </w:rPr>
        <w:t xml:space="preserve"> and the </w:t>
      </w:r>
      <w:r w:rsidR="00CB76D8">
        <w:rPr>
          <w:sz w:val="26"/>
          <w:szCs w:val="26"/>
        </w:rPr>
        <w:t xml:space="preserve">Complainant’s </w:t>
      </w:r>
      <w:r w:rsidR="000A4242">
        <w:rPr>
          <w:sz w:val="26"/>
          <w:szCs w:val="26"/>
        </w:rPr>
        <w:t xml:space="preserve">summarized </w:t>
      </w:r>
      <w:r w:rsidR="00BD253B">
        <w:rPr>
          <w:sz w:val="26"/>
          <w:szCs w:val="26"/>
        </w:rPr>
        <w:t>commen</w:t>
      </w:r>
      <w:r w:rsidR="000A4242">
        <w:rPr>
          <w:sz w:val="26"/>
          <w:szCs w:val="26"/>
        </w:rPr>
        <w:t>ts from those pages</w:t>
      </w:r>
      <w:r w:rsidR="001A6F19">
        <w:rPr>
          <w:rStyle w:val="FootnoteReference"/>
          <w:sz w:val="26"/>
          <w:szCs w:val="26"/>
        </w:rPr>
        <w:footnoteReference w:id="11"/>
      </w:r>
      <w:r w:rsidR="000A4242">
        <w:rPr>
          <w:sz w:val="26"/>
          <w:szCs w:val="26"/>
        </w:rPr>
        <w:t xml:space="preserve"> –</w:t>
      </w:r>
      <w:r w:rsidRPr="00126EB3">
        <w:rPr>
          <w:sz w:val="26"/>
          <w:szCs w:val="26"/>
        </w:rPr>
        <w:t xml:space="preserve"> as the use of this extra-record information by the Commission would violate PPL’s due process rights.  It is well-</w:t>
      </w:r>
      <w:r w:rsidRPr="00126EB3">
        <w:rPr>
          <w:sz w:val="26"/>
          <w:szCs w:val="26"/>
        </w:rPr>
        <w:lastRenderedPageBreak/>
        <w:t xml:space="preserve">established that parties cannot introduce new evidence at the exceptions stage.  </w:t>
      </w:r>
      <w:bookmarkStart w:id="14" w:name="_Hlk47075034"/>
      <w:r w:rsidRPr="00126EB3">
        <w:rPr>
          <w:i/>
          <w:iCs/>
          <w:sz w:val="26"/>
          <w:szCs w:val="26"/>
        </w:rPr>
        <w:t>Application of Apollo Gas Co.</w:t>
      </w:r>
      <w:r w:rsidRPr="00126EB3">
        <w:rPr>
          <w:sz w:val="26"/>
          <w:szCs w:val="26"/>
        </w:rPr>
        <w:t>, 1994 Pa. PUC Lexis, at *8-14 (Order entered February</w:t>
      </w:r>
      <w:r w:rsidR="00F57CEF">
        <w:rPr>
          <w:sz w:val="26"/>
          <w:szCs w:val="26"/>
        </w:rPr>
        <w:t> </w:t>
      </w:r>
      <w:r w:rsidRPr="00126EB3">
        <w:rPr>
          <w:sz w:val="26"/>
          <w:szCs w:val="26"/>
        </w:rPr>
        <w:t>10, 1994) (</w:t>
      </w:r>
      <w:r w:rsidRPr="00126EB3">
        <w:rPr>
          <w:i/>
          <w:iCs/>
          <w:sz w:val="26"/>
          <w:szCs w:val="26"/>
        </w:rPr>
        <w:t>Apollo Gas</w:t>
      </w:r>
      <w:r w:rsidRPr="00126EB3">
        <w:rPr>
          <w:sz w:val="26"/>
          <w:szCs w:val="26"/>
        </w:rPr>
        <w:t xml:space="preserve">).  </w:t>
      </w:r>
      <w:bookmarkEnd w:id="14"/>
      <w:r w:rsidRPr="00126EB3">
        <w:rPr>
          <w:sz w:val="26"/>
          <w:szCs w:val="26"/>
        </w:rPr>
        <w:t xml:space="preserve">The information regarding </w:t>
      </w:r>
      <w:r w:rsidR="00D626A6" w:rsidRPr="00D626A6">
        <w:rPr>
          <w:sz w:val="26"/>
          <w:szCs w:val="26"/>
        </w:rPr>
        <w:t>“the discussion of PN 4526 in the Senate” and the comments</w:t>
      </w:r>
      <w:r w:rsidRPr="00D626A6">
        <w:rPr>
          <w:sz w:val="26"/>
          <w:szCs w:val="26"/>
        </w:rPr>
        <w:t xml:space="preserve"> regarding smart meter</w:t>
      </w:r>
      <w:r w:rsidRPr="00126EB3">
        <w:rPr>
          <w:sz w:val="26"/>
          <w:szCs w:val="26"/>
        </w:rPr>
        <w:t xml:space="preserve">s referenced by the Complainant is introduced for the first time in </w:t>
      </w:r>
      <w:r w:rsidR="00CB441A">
        <w:rPr>
          <w:sz w:val="26"/>
          <w:szCs w:val="26"/>
        </w:rPr>
        <w:t>his</w:t>
      </w:r>
      <w:r w:rsidRPr="00126EB3">
        <w:rPr>
          <w:sz w:val="26"/>
          <w:szCs w:val="26"/>
        </w:rPr>
        <w:t xml:space="preserve"> Exceptions and is not in the record.  </w:t>
      </w:r>
      <w:r w:rsidR="00D626A6">
        <w:rPr>
          <w:sz w:val="26"/>
          <w:szCs w:val="26"/>
        </w:rPr>
        <w:t xml:space="preserve">Exc. at </w:t>
      </w:r>
      <w:r w:rsidR="00DE280C">
        <w:rPr>
          <w:sz w:val="26"/>
          <w:szCs w:val="26"/>
        </w:rPr>
        <w:t xml:space="preserve">5-6.  </w:t>
      </w:r>
      <w:r w:rsidR="005810B8">
        <w:rPr>
          <w:sz w:val="26"/>
          <w:szCs w:val="26"/>
        </w:rPr>
        <w:t>As noted earlier,</w:t>
      </w:r>
      <w:r w:rsidR="005810B8" w:rsidRPr="00126EB3">
        <w:rPr>
          <w:sz w:val="26"/>
          <w:szCs w:val="26"/>
        </w:rPr>
        <w:t xml:space="preserve"> the record closed on</w:t>
      </w:r>
      <w:r w:rsidR="005810B8">
        <w:rPr>
          <w:sz w:val="26"/>
          <w:szCs w:val="26"/>
        </w:rPr>
        <w:t xml:space="preserve"> January 31, 2020</w:t>
      </w:r>
      <w:r w:rsidR="005810B8" w:rsidRPr="00126EB3">
        <w:rPr>
          <w:sz w:val="26"/>
          <w:szCs w:val="26"/>
        </w:rPr>
        <w:t>.  I.D. at</w:t>
      </w:r>
      <w:r w:rsidR="005810B8">
        <w:rPr>
          <w:sz w:val="26"/>
          <w:szCs w:val="26"/>
        </w:rPr>
        <w:t xml:space="preserve"> 3</w:t>
      </w:r>
      <w:r w:rsidR="005810B8" w:rsidRPr="00126EB3">
        <w:rPr>
          <w:sz w:val="26"/>
          <w:szCs w:val="26"/>
        </w:rPr>
        <w:t>.  The Complainant</w:t>
      </w:r>
      <w:r w:rsidR="005810B8">
        <w:rPr>
          <w:sz w:val="26"/>
          <w:szCs w:val="26"/>
        </w:rPr>
        <w:t>’s</w:t>
      </w:r>
      <w:r w:rsidR="005810B8" w:rsidRPr="00126EB3">
        <w:rPr>
          <w:sz w:val="26"/>
          <w:szCs w:val="26"/>
        </w:rPr>
        <w:t xml:space="preserve"> extra-record evidence cannot be admitted into the record at this current procedural stage of the case.  </w:t>
      </w:r>
      <w:r w:rsidRPr="00126EB3">
        <w:rPr>
          <w:sz w:val="26"/>
          <w:szCs w:val="26"/>
        </w:rPr>
        <w:t xml:space="preserve">Therefore, we must reject this extra-record evidence introduced by the Complainant in </w:t>
      </w:r>
      <w:r w:rsidR="000A4242">
        <w:rPr>
          <w:sz w:val="26"/>
          <w:szCs w:val="26"/>
        </w:rPr>
        <w:t xml:space="preserve">his </w:t>
      </w:r>
      <w:r w:rsidRPr="00126EB3">
        <w:rPr>
          <w:sz w:val="26"/>
          <w:szCs w:val="26"/>
        </w:rPr>
        <w:t xml:space="preserve">Exceptions.  </w:t>
      </w:r>
      <w:r w:rsidRPr="00126EB3">
        <w:rPr>
          <w:i/>
          <w:iCs/>
          <w:sz w:val="26"/>
          <w:szCs w:val="26"/>
        </w:rPr>
        <w:t>Apollo Gas</w:t>
      </w:r>
      <w:r w:rsidRPr="00126EB3">
        <w:rPr>
          <w:sz w:val="26"/>
          <w:szCs w:val="26"/>
        </w:rPr>
        <w:t xml:space="preserve">. </w:t>
      </w:r>
    </w:p>
    <w:p w14:paraId="1B938EB0" w14:textId="001BFD89" w:rsidR="00752877" w:rsidRDefault="00752877" w:rsidP="00481242">
      <w:pPr>
        <w:widowControl/>
        <w:spacing w:line="360" w:lineRule="auto"/>
        <w:ind w:firstLine="1440"/>
        <w:rPr>
          <w:color w:val="000000" w:themeColor="text1"/>
          <w:sz w:val="26"/>
          <w:szCs w:val="26"/>
        </w:rPr>
      </w:pPr>
    </w:p>
    <w:p w14:paraId="603D2B57" w14:textId="798FBF84" w:rsidR="00AB1EE3" w:rsidRDefault="00AB1EE3" w:rsidP="00E6540F">
      <w:pPr>
        <w:pStyle w:val="ListParagraph"/>
        <w:numPr>
          <w:ilvl w:val="0"/>
          <w:numId w:val="26"/>
        </w:numPr>
        <w:spacing w:line="360" w:lineRule="auto"/>
        <w:ind w:left="1440" w:hanging="720"/>
        <w:outlineLvl w:val="2"/>
        <w:rPr>
          <w:b/>
          <w:sz w:val="26"/>
          <w:szCs w:val="26"/>
        </w:rPr>
      </w:pPr>
      <w:r w:rsidRPr="00AB1EE3">
        <w:rPr>
          <w:b/>
          <w:sz w:val="26"/>
          <w:szCs w:val="26"/>
        </w:rPr>
        <w:t>Complainant’</w:t>
      </w:r>
      <w:r w:rsidR="002D7379">
        <w:rPr>
          <w:b/>
          <w:sz w:val="26"/>
          <w:szCs w:val="26"/>
        </w:rPr>
        <w:t>s</w:t>
      </w:r>
      <w:r w:rsidRPr="00AB1EE3">
        <w:rPr>
          <w:b/>
          <w:sz w:val="26"/>
          <w:szCs w:val="26"/>
        </w:rPr>
        <w:t xml:space="preserve"> </w:t>
      </w:r>
      <w:r w:rsidR="00B2476D">
        <w:rPr>
          <w:b/>
          <w:sz w:val="26"/>
          <w:szCs w:val="26"/>
        </w:rPr>
        <w:t>Due Process</w:t>
      </w:r>
      <w:r w:rsidRPr="00AB1EE3">
        <w:rPr>
          <w:b/>
          <w:sz w:val="26"/>
          <w:szCs w:val="26"/>
        </w:rPr>
        <w:t xml:space="preserve"> Concerns Regarding </w:t>
      </w:r>
      <w:r w:rsidR="001314C2">
        <w:rPr>
          <w:b/>
          <w:sz w:val="26"/>
          <w:szCs w:val="26"/>
        </w:rPr>
        <w:t>Briefs</w:t>
      </w:r>
    </w:p>
    <w:p w14:paraId="2BDF03EB" w14:textId="6ACD5B6B" w:rsidR="00AB1EE3" w:rsidRDefault="00AB1EE3" w:rsidP="00E45920">
      <w:pPr>
        <w:spacing w:line="360" w:lineRule="auto"/>
        <w:outlineLvl w:val="2"/>
        <w:rPr>
          <w:b/>
          <w:sz w:val="26"/>
          <w:szCs w:val="26"/>
        </w:rPr>
      </w:pPr>
    </w:p>
    <w:p w14:paraId="3C34CAA4" w14:textId="7BD4D446" w:rsidR="00765167" w:rsidRPr="00EC4EB6" w:rsidRDefault="00E45920" w:rsidP="00EC4EB6">
      <w:pPr>
        <w:pStyle w:val="ListParagraph"/>
        <w:numPr>
          <w:ilvl w:val="0"/>
          <w:numId w:val="28"/>
        </w:numPr>
        <w:spacing w:line="360" w:lineRule="auto"/>
        <w:outlineLvl w:val="3"/>
        <w:rPr>
          <w:b/>
          <w:sz w:val="26"/>
          <w:szCs w:val="26"/>
        </w:rPr>
      </w:pPr>
      <w:bookmarkStart w:id="15" w:name="_Hlk45196132"/>
      <w:r w:rsidRPr="00765167">
        <w:rPr>
          <w:b/>
          <w:sz w:val="26"/>
          <w:szCs w:val="26"/>
        </w:rPr>
        <w:t>Exception No</w:t>
      </w:r>
      <w:r w:rsidR="006C3DEB">
        <w:rPr>
          <w:b/>
          <w:sz w:val="26"/>
          <w:szCs w:val="26"/>
        </w:rPr>
        <w:t>. 1</w:t>
      </w:r>
    </w:p>
    <w:bookmarkEnd w:id="15"/>
    <w:p w14:paraId="2354B10E" w14:textId="59464719" w:rsidR="00EC4EB6" w:rsidRDefault="00EC4EB6" w:rsidP="0032746D">
      <w:pPr>
        <w:widowControl/>
        <w:spacing w:line="360" w:lineRule="auto"/>
        <w:ind w:firstLine="1440"/>
        <w:rPr>
          <w:b/>
          <w:color w:val="000000" w:themeColor="text1"/>
          <w:sz w:val="26"/>
          <w:szCs w:val="26"/>
        </w:rPr>
      </w:pPr>
    </w:p>
    <w:p w14:paraId="782275AD" w14:textId="6BE498C7" w:rsidR="00EC4EB6" w:rsidRPr="00804C6B" w:rsidRDefault="00863CEF" w:rsidP="00804C6B">
      <w:pPr>
        <w:widowControl/>
        <w:spacing w:line="360" w:lineRule="auto"/>
        <w:ind w:firstLine="1440"/>
        <w:contextualSpacing/>
        <w:rPr>
          <w:bCs/>
          <w:color w:val="000000" w:themeColor="text1"/>
          <w:sz w:val="26"/>
          <w:szCs w:val="26"/>
        </w:rPr>
      </w:pPr>
      <w:r>
        <w:rPr>
          <w:bCs/>
          <w:color w:val="000000" w:themeColor="text1"/>
          <w:sz w:val="26"/>
          <w:szCs w:val="26"/>
        </w:rPr>
        <w:t>The Complainant</w:t>
      </w:r>
      <w:r w:rsidR="00804C6B" w:rsidRPr="00804C6B">
        <w:rPr>
          <w:bCs/>
          <w:color w:val="000000" w:themeColor="text1"/>
          <w:sz w:val="26"/>
          <w:szCs w:val="26"/>
        </w:rPr>
        <w:t xml:space="preserve"> </w:t>
      </w:r>
      <w:r w:rsidR="00A10755">
        <w:rPr>
          <w:bCs/>
          <w:color w:val="000000" w:themeColor="text1"/>
          <w:sz w:val="26"/>
          <w:szCs w:val="26"/>
        </w:rPr>
        <w:t>aver</w:t>
      </w:r>
      <w:r w:rsidR="00804C6B">
        <w:rPr>
          <w:bCs/>
          <w:color w:val="000000" w:themeColor="text1"/>
          <w:sz w:val="26"/>
          <w:szCs w:val="26"/>
        </w:rPr>
        <w:t xml:space="preserve">s </w:t>
      </w:r>
      <w:r w:rsidR="008A771B">
        <w:rPr>
          <w:bCs/>
          <w:color w:val="000000" w:themeColor="text1"/>
          <w:sz w:val="26"/>
          <w:szCs w:val="26"/>
        </w:rPr>
        <w:t>that</w:t>
      </w:r>
      <w:r>
        <w:rPr>
          <w:bCs/>
          <w:color w:val="000000" w:themeColor="text1"/>
          <w:sz w:val="26"/>
          <w:szCs w:val="26"/>
        </w:rPr>
        <w:t xml:space="preserve"> the ALJ erred when she did not issue a briefing schedule</w:t>
      </w:r>
      <w:r w:rsidR="0070784D">
        <w:rPr>
          <w:bCs/>
          <w:color w:val="000000" w:themeColor="text1"/>
          <w:sz w:val="26"/>
          <w:szCs w:val="26"/>
        </w:rPr>
        <w:t xml:space="preserve"> to the </w:t>
      </w:r>
      <w:r w:rsidR="001314C2">
        <w:rPr>
          <w:bCs/>
          <w:color w:val="000000" w:themeColor="text1"/>
          <w:sz w:val="26"/>
          <w:szCs w:val="26"/>
        </w:rPr>
        <w:t>P</w:t>
      </w:r>
      <w:r w:rsidR="0070784D">
        <w:rPr>
          <w:bCs/>
          <w:color w:val="000000" w:themeColor="text1"/>
          <w:sz w:val="26"/>
          <w:szCs w:val="26"/>
        </w:rPr>
        <w:t>arties</w:t>
      </w:r>
      <w:r>
        <w:rPr>
          <w:bCs/>
          <w:color w:val="000000" w:themeColor="text1"/>
          <w:sz w:val="26"/>
          <w:szCs w:val="26"/>
        </w:rPr>
        <w:t>.</w:t>
      </w:r>
      <w:r w:rsidR="00A10755">
        <w:rPr>
          <w:bCs/>
          <w:color w:val="000000" w:themeColor="text1"/>
          <w:sz w:val="26"/>
          <w:szCs w:val="26"/>
        </w:rPr>
        <w:t xml:space="preserve">  Mr. Ulmer is of the opinion that </w:t>
      </w:r>
      <w:r w:rsidR="009F7720">
        <w:rPr>
          <w:bCs/>
          <w:color w:val="000000" w:themeColor="text1"/>
          <w:sz w:val="26"/>
          <w:szCs w:val="26"/>
        </w:rPr>
        <w:t xml:space="preserve">he is at a disadvantage </w:t>
      </w:r>
      <w:r w:rsidR="00A10755">
        <w:rPr>
          <w:bCs/>
          <w:color w:val="000000" w:themeColor="text1"/>
          <w:sz w:val="26"/>
          <w:szCs w:val="26"/>
        </w:rPr>
        <w:t>without a briefing schedul</w:t>
      </w:r>
      <w:r w:rsidR="009F7720">
        <w:rPr>
          <w:bCs/>
          <w:color w:val="000000" w:themeColor="text1"/>
          <w:sz w:val="26"/>
          <w:szCs w:val="26"/>
        </w:rPr>
        <w:t xml:space="preserve">e and a chance to </w:t>
      </w:r>
      <w:r w:rsidR="007B2B01">
        <w:rPr>
          <w:bCs/>
          <w:color w:val="000000" w:themeColor="text1"/>
          <w:sz w:val="26"/>
          <w:szCs w:val="26"/>
        </w:rPr>
        <w:t>present</w:t>
      </w:r>
      <w:r w:rsidR="009F7720">
        <w:rPr>
          <w:bCs/>
          <w:color w:val="000000" w:themeColor="text1"/>
          <w:sz w:val="26"/>
          <w:szCs w:val="26"/>
        </w:rPr>
        <w:t xml:space="preserve"> his legal arguments.</w:t>
      </w:r>
      <w:r w:rsidR="00783DE3">
        <w:rPr>
          <w:bCs/>
          <w:color w:val="000000" w:themeColor="text1"/>
          <w:sz w:val="26"/>
          <w:szCs w:val="26"/>
        </w:rPr>
        <w:t xml:space="preserve">  </w:t>
      </w:r>
      <w:r w:rsidR="0017240A">
        <w:rPr>
          <w:bCs/>
          <w:color w:val="000000" w:themeColor="text1"/>
          <w:sz w:val="26"/>
          <w:szCs w:val="26"/>
        </w:rPr>
        <w:t xml:space="preserve">The Complainant </w:t>
      </w:r>
      <w:r w:rsidR="006A14C8">
        <w:rPr>
          <w:bCs/>
          <w:color w:val="000000" w:themeColor="text1"/>
          <w:sz w:val="26"/>
          <w:szCs w:val="26"/>
        </w:rPr>
        <w:t xml:space="preserve">further </w:t>
      </w:r>
      <w:r w:rsidR="0017240A">
        <w:rPr>
          <w:bCs/>
          <w:color w:val="000000" w:themeColor="text1"/>
          <w:sz w:val="26"/>
          <w:szCs w:val="26"/>
        </w:rPr>
        <w:t>argues that</w:t>
      </w:r>
      <w:r w:rsidR="009A4270">
        <w:rPr>
          <w:bCs/>
          <w:color w:val="000000" w:themeColor="text1"/>
          <w:sz w:val="26"/>
          <w:szCs w:val="26"/>
        </w:rPr>
        <w:t xml:space="preserve"> </w:t>
      </w:r>
      <w:r w:rsidR="00653F39">
        <w:rPr>
          <w:bCs/>
          <w:color w:val="000000" w:themeColor="text1"/>
          <w:sz w:val="26"/>
          <w:szCs w:val="26"/>
        </w:rPr>
        <w:t>by</w:t>
      </w:r>
      <w:r w:rsidR="00A34F3D">
        <w:rPr>
          <w:bCs/>
          <w:color w:val="000000" w:themeColor="text1"/>
          <w:sz w:val="26"/>
          <w:szCs w:val="26"/>
        </w:rPr>
        <w:t xml:space="preserve"> not issuing a briefing schedule</w:t>
      </w:r>
      <w:r w:rsidR="00653F39">
        <w:rPr>
          <w:bCs/>
          <w:color w:val="000000" w:themeColor="text1"/>
          <w:sz w:val="26"/>
          <w:szCs w:val="26"/>
        </w:rPr>
        <w:t>, the ALJ</w:t>
      </w:r>
      <w:r w:rsidR="009E20EA">
        <w:rPr>
          <w:bCs/>
          <w:color w:val="000000" w:themeColor="text1"/>
          <w:sz w:val="26"/>
          <w:szCs w:val="26"/>
        </w:rPr>
        <w:t xml:space="preserve"> serves to dismiss his case without legal process and</w:t>
      </w:r>
      <w:r w:rsidR="00D851E0">
        <w:rPr>
          <w:bCs/>
          <w:color w:val="000000" w:themeColor="text1"/>
          <w:sz w:val="26"/>
          <w:szCs w:val="26"/>
        </w:rPr>
        <w:t xml:space="preserve"> is </w:t>
      </w:r>
      <w:r w:rsidR="00BA3E39">
        <w:rPr>
          <w:bCs/>
          <w:color w:val="000000" w:themeColor="text1"/>
          <w:sz w:val="26"/>
          <w:szCs w:val="26"/>
        </w:rPr>
        <w:t>in</w:t>
      </w:r>
      <w:r w:rsidR="00D851E0">
        <w:rPr>
          <w:bCs/>
          <w:color w:val="000000" w:themeColor="text1"/>
          <w:sz w:val="26"/>
          <w:szCs w:val="26"/>
        </w:rPr>
        <w:t xml:space="preserve"> violation of </w:t>
      </w:r>
      <w:r w:rsidR="00F30F4E">
        <w:rPr>
          <w:bCs/>
          <w:color w:val="000000" w:themeColor="text1"/>
          <w:sz w:val="26"/>
          <w:szCs w:val="26"/>
        </w:rPr>
        <w:t xml:space="preserve">his </w:t>
      </w:r>
      <w:r w:rsidR="006A14C8">
        <w:rPr>
          <w:bCs/>
          <w:color w:val="000000" w:themeColor="text1"/>
          <w:sz w:val="26"/>
          <w:szCs w:val="26"/>
        </w:rPr>
        <w:t xml:space="preserve">constitutional </w:t>
      </w:r>
      <w:r w:rsidR="00F30F4E">
        <w:rPr>
          <w:bCs/>
          <w:color w:val="000000" w:themeColor="text1"/>
          <w:sz w:val="26"/>
          <w:szCs w:val="26"/>
        </w:rPr>
        <w:t>rights</w:t>
      </w:r>
      <w:r w:rsidR="0070784D">
        <w:rPr>
          <w:bCs/>
          <w:color w:val="000000" w:themeColor="text1"/>
          <w:sz w:val="26"/>
          <w:szCs w:val="26"/>
        </w:rPr>
        <w:t>.  Exc. at 2.</w:t>
      </w:r>
    </w:p>
    <w:p w14:paraId="76CDE5C6" w14:textId="77777777" w:rsidR="00EC4EB6" w:rsidRDefault="00EC4EB6" w:rsidP="0032746D">
      <w:pPr>
        <w:widowControl/>
        <w:spacing w:line="360" w:lineRule="auto"/>
        <w:ind w:firstLine="1440"/>
        <w:rPr>
          <w:b/>
          <w:color w:val="000000" w:themeColor="text1"/>
          <w:sz w:val="26"/>
          <w:szCs w:val="26"/>
        </w:rPr>
      </w:pPr>
    </w:p>
    <w:p w14:paraId="48452571" w14:textId="031925DB" w:rsidR="0032746D" w:rsidRDefault="0032746D" w:rsidP="0032746D">
      <w:pPr>
        <w:widowControl/>
        <w:spacing w:line="360" w:lineRule="auto"/>
        <w:ind w:firstLine="1440"/>
        <w:rPr>
          <w:b/>
          <w:color w:val="000000" w:themeColor="text1"/>
          <w:sz w:val="26"/>
          <w:szCs w:val="26"/>
        </w:rPr>
      </w:pPr>
      <w:bookmarkStart w:id="16" w:name="_Hlk45196242"/>
      <w:r w:rsidRPr="0032746D">
        <w:rPr>
          <w:b/>
          <w:color w:val="000000" w:themeColor="text1"/>
          <w:sz w:val="26"/>
          <w:szCs w:val="26"/>
        </w:rPr>
        <w:t xml:space="preserve">b. </w:t>
      </w:r>
      <w:r w:rsidRPr="0032746D">
        <w:rPr>
          <w:b/>
          <w:color w:val="000000" w:themeColor="text1"/>
          <w:sz w:val="26"/>
          <w:szCs w:val="26"/>
        </w:rPr>
        <w:tab/>
        <w:t>Replies</w:t>
      </w:r>
    </w:p>
    <w:bookmarkEnd w:id="16"/>
    <w:p w14:paraId="2754E562" w14:textId="77777777" w:rsidR="00B2476D" w:rsidRDefault="00B2476D" w:rsidP="0032746D">
      <w:pPr>
        <w:widowControl/>
        <w:spacing w:line="360" w:lineRule="auto"/>
        <w:ind w:firstLine="1440"/>
        <w:rPr>
          <w:b/>
          <w:color w:val="000000" w:themeColor="text1"/>
          <w:sz w:val="26"/>
          <w:szCs w:val="26"/>
        </w:rPr>
      </w:pPr>
    </w:p>
    <w:p w14:paraId="0BE8120D" w14:textId="7648C9C0" w:rsidR="007B3539" w:rsidRDefault="00B2476D" w:rsidP="00571AE6">
      <w:pPr>
        <w:widowControl/>
        <w:spacing w:line="360" w:lineRule="auto"/>
        <w:ind w:firstLine="1440"/>
        <w:contextualSpacing/>
        <w:rPr>
          <w:sz w:val="26"/>
          <w:szCs w:val="26"/>
        </w:rPr>
      </w:pPr>
      <w:r>
        <w:rPr>
          <w:color w:val="000000" w:themeColor="text1"/>
          <w:sz w:val="26"/>
          <w:szCs w:val="26"/>
        </w:rPr>
        <w:t xml:space="preserve">PPL contends that the Complainant was not denied due process by the lack of briefs being submitted by the </w:t>
      </w:r>
      <w:r w:rsidR="00DE280C">
        <w:rPr>
          <w:color w:val="000000" w:themeColor="text1"/>
          <w:sz w:val="26"/>
          <w:szCs w:val="26"/>
        </w:rPr>
        <w:t>P</w:t>
      </w:r>
      <w:r>
        <w:rPr>
          <w:color w:val="000000" w:themeColor="text1"/>
          <w:sz w:val="26"/>
          <w:szCs w:val="26"/>
        </w:rPr>
        <w:t>arties.  R. Exc. at 2.  PPL notes that the Complainant</w:t>
      </w:r>
      <w:r w:rsidR="006B6B4F">
        <w:rPr>
          <w:color w:val="000000" w:themeColor="text1"/>
          <w:sz w:val="26"/>
          <w:szCs w:val="26"/>
        </w:rPr>
        <w:t xml:space="preserve"> had </w:t>
      </w:r>
      <w:r w:rsidR="001B38D1">
        <w:rPr>
          <w:color w:val="000000" w:themeColor="text1"/>
          <w:sz w:val="26"/>
          <w:szCs w:val="26"/>
        </w:rPr>
        <w:t>an opportunity</w:t>
      </w:r>
      <w:r w:rsidR="000F4C63">
        <w:rPr>
          <w:color w:val="000000" w:themeColor="text1"/>
          <w:sz w:val="26"/>
          <w:szCs w:val="26"/>
        </w:rPr>
        <w:t xml:space="preserve"> at the hearing</w:t>
      </w:r>
      <w:r w:rsidR="006B6B4F">
        <w:rPr>
          <w:color w:val="000000" w:themeColor="text1"/>
          <w:sz w:val="26"/>
          <w:szCs w:val="26"/>
        </w:rPr>
        <w:t xml:space="preserve"> to</w:t>
      </w:r>
      <w:proofErr w:type="gramStart"/>
      <w:r>
        <w:rPr>
          <w:color w:val="000000" w:themeColor="text1"/>
          <w:sz w:val="26"/>
          <w:szCs w:val="26"/>
        </w:rPr>
        <w:t>:</w:t>
      </w:r>
      <w:r w:rsidR="00044FD3">
        <w:rPr>
          <w:color w:val="000000" w:themeColor="text1"/>
          <w:sz w:val="26"/>
          <w:szCs w:val="26"/>
        </w:rPr>
        <w:t xml:space="preserve"> </w:t>
      </w:r>
      <w:r>
        <w:rPr>
          <w:color w:val="000000" w:themeColor="text1"/>
          <w:sz w:val="26"/>
          <w:szCs w:val="26"/>
        </w:rPr>
        <w:t xml:space="preserve"> (</w:t>
      </w:r>
      <w:proofErr w:type="gramEnd"/>
      <w:r>
        <w:rPr>
          <w:color w:val="000000" w:themeColor="text1"/>
          <w:sz w:val="26"/>
          <w:szCs w:val="26"/>
        </w:rPr>
        <w:t>1) present his case</w:t>
      </w:r>
      <w:r w:rsidR="001A15F2">
        <w:rPr>
          <w:color w:val="000000" w:themeColor="text1"/>
          <w:sz w:val="26"/>
          <w:szCs w:val="26"/>
        </w:rPr>
        <w:t xml:space="preserve"> and make his arguments</w:t>
      </w:r>
      <w:r>
        <w:rPr>
          <w:color w:val="000000" w:themeColor="text1"/>
          <w:sz w:val="26"/>
          <w:szCs w:val="26"/>
        </w:rPr>
        <w:t>; (2)</w:t>
      </w:r>
      <w:r w:rsidR="00F57CEF">
        <w:rPr>
          <w:color w:val="000000" w:themeColor="text1"/>
          <w:sz w:val="26"/>
          <w:szCs w:val="26"/>
        </w:rPr>
        <w:t> </w:t>
      </w:r>
      <w:r>
        <w:rPr>
          <w:color w:val="000000" w:themeColor="text1"/>
          <w:sz w:val="26"/>
          <w:szCs w:val="26"/>
        </w:rPr>
        <w:t>present his testimony and evidence; and (</w:t>
      </w:r>
      <w:r w:rsidR="00CB08BE">
        <w:rPr>
          <w:color w:val="000000" w:themeColor="text1"/>
          <w:sz w:val="26"/>
          <w:szCs w:val="26"/>
        </w:rPr>
        <w:t>3</w:t>
      </w:r>
      <w:r>
        <w:rPr>
          <w:color w:val="000000" w:themeColor="text1"/>
          <w:sz w:val="26"/>
          <w:szCs w:val="26"/>
        </w:rPr>
        <w:t xml:space="preserve">) provide a closing argument to present his legal arguments.  PPL further states that, the ALJ’s decision not to issue a briefing schedule was within her discretion, adding that the presiding officer has authority to, </w:t>
      </w:r>
      <w:r w:rsidRPr="003349EF">
        <w:rPr>
          <w:i/>
          <w:iCs/>
          <w:color w:val="000000" w:themeColor="text1"/>
          <w:sz w:val="26"/>
          <w:szCs w:val="26"/>
        </w:rPr>
        <w:t>inter alia</w:t>
      </w:r>
      <w:r>
        <w:rPr>
          <w:color w:val="000000" w:themeColor="text1"/>
          <w:sz w:val="26"/>
          <w:szCs w:val="26"/>
        </w:rPr>
        <w:t xml:space="preserve">, “regulate the course </w:t>
      </w:r>
      <w:r w:rsidR="003349EF">
        <w:rPr>
          <w:color w:val="000000" w:themeColor="text1"/>
          <w:sz w:val="26"/>
          <w:szCs w:val="26"/>
        </w:rPr>
        <w:t xml:space="preserve">of </w:t>
      </w:r>
      <w:r>
        <w:rPr>
          <w:color w:val="000000" w:themeColor="text1"/>
          <w:sz w:val="26"/>
          <w:szCs w:val="26"/>
        </w:rPr>
        <w:t xml:space="preserve">the proceeding.”  R. Exc. at 2 (citing 52 Pa. Code </w:t>
      </w:r>
      <w:r w:rsidRPr="000D7901">
        <w:rPr>
          <w:sz w:val="26"/>
          <w:szCs w:val="26"/>
        </w:rPr>
        <w:lastRenderedPageBreak/>
        <w:t>§</w:t>
      </w:r>
      <w:r w:rsidR="00F57CEF">
        <w:rPr>
          <w:sz w:val="26"/>
          <w:szCs w:val="26"/>
        </w:rPr>
        <w:t> </w:t>
      </w:r>
      <w:r>
        <w:rPr>
          <w:sz w:val="26"/>
          <w:szCs w:val="26"/>
        </w:rPr>
        <w:t xml:space="preserve">5.483(a)).  PPL adds that the Complainant’s concern </w:t>
      </w:r>
      <w:r w:rsidR="00AE43CD">
        <w:rPr>
          <w:sz w:val="26"/>
          <w:szCs w:val="26"/>
        </w:rPr>
        <w:t>regarding</w:t>
      </w:r>
      <w:r>
        <w:rPr>
          <w:sz w:val="26"/>
          <w:szCs w:val="26"/>
        </w:rPr>
        <w:t xml:space="preserve"> the lack of briefing is moot because through the filing of Exceptions, Mr. Ulmer has been able to present his written arguments.  R. Exc. at 2-3.</w:t>
      </w:r>
      <w:r w:rsidR="00BC4378">
        <w:rPr>
          <w:sz w:val="26"/>
          <w:szCs w:val="26"/>
        </w:rPr>
        <w:t xml:space="preserve">  </w:t>
      </w:r>
    </w:p>
    <w:p w14:paraId="1498A32E" w14:textId="77777777" w:rsidR="00C85E01" w:rsidRPr="00210E1F" w:rsidRDefault="00C85E01" w:rsidP="00571AE6">
      <w:pPr>
        <w:widowControl/>
        <w:spacing w:line="360" w:lineRule="auto"/>
        <w:ind w:firstLine="1440"/>
        <w:contextualSpacing/>
        <w:rPr>
          <w:sz w:val="26"/>
          <w:szCs w:val="26"/>
        </w:rPr>
      </w:pPr>
    </w:p>
    <w:p w14:paraId="39B6C9F0" w14:textId="77777777" w:rsidR="0032746D" w:rsidRPr="0032746D" w:rsidRDefault="0032746D" w:rsidP="00BC4378">
      <w:pPr>
        <w:keepNext/>
        <w:keepLines/>
        <w:widowControl/>
        <w:spacing w:line="360" w:lineRule="auto"/>
        <w:ind w:firstLine="1440"/>
        <w:rPr>
          <w:b/>
          <w:color w:val="000000" w:themeColor="text1"/>
          <w:sz w:val="26"/>
          <w:szCs w:val="26"/>
        </w:rPr>
      </w:pPr>
      <w:r w:rsidRPr="000C15CC">
        <w:rPr>
          <w:b/>
          <w:color w:val="000000" w:themeColor="text1"/>
          <w:sz w:val="26"/>
          <w:szCs w:val="26"/>
        </w:rPr>
        <w:t xml:space="preserve">c. </w:t>
      </w:r>
      <w:r w:rsidRPr="000C15CC">
        <w:rPr>
          <w:b/>
          <w:color w:val="000000" w:themeColor="text1"/>
          <w:sz w:val="26"/>
          <w:szCs w:val="26"/>
        </w:rPr>
        <w:tab/>
        <w:t>Disposition</w:t>
      </w:r>
    </w:p>
    <w:p w14:paraId="2B4AA785" w14:textId="6FC378E1" w:rsidR="00AC1859" w:rsidRDefault="00AC1859" w:rsidP="00BC4378">
      <w:pPr>
        <w:keepNext/>
        <w:keepLines/>
        <w:widowControl/>
        <w:spacing w:line="360" w:lineRule="auto"/>
        <w:ind w:firstLine="1440"/>
        <w:rPr>
          <w:color w:val="000000" w:themeColor="text1"/>
          <w:sz w:val="26"/>
          <w:szCs w:val="26"/>
        </w:rPr>
      </w:pPr>
    </w:p>
    <w:p w14:paraId="65B05B35" w14:textId="0782C874" w:rsidR="00EA6E68" w:rsidRDefault="003342DF" w:rsidP="000A668C">
      <w:pPr>
        <w:widowControl/>
        <w:spacing w:line="360" w:lineRule="auto"/>
        <w:ind w:firstLine="1440"/>
        <w:rPr>
          <w:color w:val="000000" w:themeColor="text1"/>
          <w:sz w:val="26"/>
          <w:szCs w:val="26"/>
        </w:rPr>
      </w:pPr>
      <w:r>
        <w:rPr>
          <w:color w:val="000000" w:themeColor="text1"/>
          <w:sz w:val="26"/>
          <w:szCs w:val="26"/>
        </w:rPr>
        <w:t xml:space="preserve">The Complainant </w:t>
      </w:r>
      <w:r w:rsidR="00EA6E68">
        <w:rPr>
          <w:color w:val="000000" w:themeColor="text1"/>
          <w:sz w:val="26"/>
          <w:szCs w:val="26"/>
        </w:rPr>
        <w:t>essentially argues</w:t>
      </w:r>
      <w:r>
        <w:rPr>
          <w:color w:val="000000" w:themeColor="text1"/>
          <w:sz w:val="26"/>
          <w:szCs w:val="26"/>
        </w:rPr>
        <w:t xml:space="preserve"> </w:t>
      </w:r>
      <w:r w:rsidR="001D5C8D">
        <w:rPr>
          <w:color w:val="000000" w:themeColor="text1"/>
          <w:sz w:val="26"/>
          <w:szCs w:val="26"/>
        </w:rPr>
        <w:t>that</w:t>
      </w:r>
      <w:r w:rsidR="00B466BA">
        <w:rPr>
          <w:color w:val="000000" w:themeColor="text1"/>
          <w:sz w:val="26"/>
          <w:szCs w:val="26"/>
        </w:rPr>
        <w:t xml:space="preserve"> he </w:t>
      </w:r>
      <w:r w:rsidR="00EA6E68">
        <w:rPr>
          <w:color w:val="000000" w:themeColor="text1"/>
          <w:sz w:val="26"/>
          <w:szCs w:val="26"/>
        </w:rPr>
        <w:t>was</w:t>
      </w:r>
      <w:r w:rsidR="00B466BA">
        <w:rPr>
          <w:color w:val="000000" w:themeColor="text1"/>
          <w:sz w:val="26"/>
          <w:szCs w:val="26"/>
        </w:rPr>
        <w:t xml:space="preserve"> </w:t>
      </w:r>
      <w:r w:rsidR="00EA6E68">
        <w:rPr>
          <w:color w:val="000000" w:themeColor="text1"/>
          <w:sz w:val="26"/>
          <w:szCs w:val="26"/>
        </w:rPr>
        <w:t>denied</w:t>
      </w:r>
      <w:r w:rsidR="00B9566A">
        <w:rPr>
          <w:color w:val="000000" w:themeColor="text1"/>
          <w:sz w:val="26"/>
          <w:szCs w:val="26"/>
        </w:rPr>
        <w:t xml:space="preserve"> </w:t>
      </w:r>
      <w:r w:rsidR="00B466BA">
        <w:rPr>
          <w:color w:val="000000" w:themeColor="text1"/>
          <w:sz w:val="26"/>
          <w:szCs w:val="26"/>
        </w:rPr>
        <w:t xml:space="preserve">the ability to </w:t>
      </w:r>
      <w:r w:rsidR="00FC4744">
        <w:rPr>
          <w:color w:val="000000" w:themeColor="text1"/>
          <w:sz w:val="26"/>
          <w:szCs w:val="26"/>
        </w:rPr>
        <w:t>present his legal arguments because the ALJ did not issue a briefing schedule</w:t>
      </w:r>
      <w:r w:rsidR="00EA6E68">
        <w:rPr>
          <w:color w:val="000000" w:themeColor="text1"/>
          <w:sz w:val="26"/>
          <w:szCs w:val="26"/>
        </w:rPr>
        <w:t>, and as a result, his due process rights were violated</w:t>
      </w:r>
      <w:r w:rsidR="00FC4744">
        <w:rPr>
          <w:color w:val="000000" w:themeColor="text1"/>
          <w:sz w:val="26"/>
          <w:szCs w:val="26"/>
        </w:rPr>
        <w:t xml:space="preserve">.  </w:t>
      </w:r>
      <w:r w:rsidR="00C87DFC">
        <w:rPr>
          <w:color w:val="000000" w:themeColor="text1"/>
          <w:sz w:val="26"/>
          <w:szCs w:val="26"/>
        </w:rPr>
        <w:t xml:space="preserve">Exc. at 2.  </w:t>
      </w:r>
    </w:p>
    <w:p w14:paraId="79830413" w14:textId="283E0D89" w:rsidR="00EA6E68" w:rsidRDefault="00EA6E68" w:rsidP="000A668C">
      <w:pPr>
        <w:widowControl/>
        <w:spacing w:line="360" w:lineRule="auto"/>
        <w:ind w:firstLine="1440"/>
        <w:rPr>
          <w:color w:val="000000" w:themeColor="text1"/>
          <w:sz w:val="26"/>
          <w:szCs w:val="26"/>
        </w:rPr>
      </w:pPr>
    </w:p>
    <w:p w14:paraId="38F58430" w14:textId="7954B863" w:rsidR="00EA6E68" w:rsidRDefault="00EA6E68" w:rsidP="00FE7E69">
      <w:pPr>
        <w:keepNext/>
        <w:widowControl/>
        <w:spacing w:line="360" w:lineRule="auto"/>
        <w:ind w:firstLine="1440"/>
        <w:rPr>
          <w:rFonts w:eastAsiaTheme="minorHAnsi"/>
          <w:sz w:val="26"/>
          <w:szCs w:val="26"/>
        </w:rPr>
      </w:pPr>
      <w:r w:rsidRPr="00427A1E">
        <w:rPr>
          <w:rFonts w:eastAsiaTheme="minorHAnsi"/>
          <w:sz w:val="26"/>
          <w:szCs w:val="26"/>
        </w:rPr>
        <w:t xml:space="preserve">As an administrative agency of the Commonwealth, the Commission is required to provide due process to the parties appearing before it.  </w:t>
      </w:r>
      <w:r w:rsidRPr="00427A1E">
        <w:rPr>
          <w:rFonts w:eastAsiaTheme="minorHAnsi"/>
          <w:i/>
          <w:sz w:val="26"/>
          <w:szCs w:val="26"/>
        </w:rPr>
        <w:t>Schneider v. Pa. PUC</w:t>
      </w:r>
      <w:r w:rsidRPr="00427A1E">
        <w:rPr>
          <w:rFonts w:eastAsiaTheme="minorHAnsi"/>
          <w:sz w:val="26"/>
          <w:szCs w:val="26"/>
        </w:rPr>
        <w:t xml:space="preserve">, 479 A.2d 10, 15 (Pa. </w:t>
      </w:r>
      <w:proofErr w:type="spellStart"/>
      <w:r w:rsidRPr="00427A1E">
        <w:rPr>
          <w:rFonts w:eastAsiaTheme="minorHAnsi"/>
          <w:sz w:val="26"/>
          <w:szCs w:val="26"/>
        </w:rPr>
        <w:t>Cmwlth</w:t>
      </w:r>
      <w:proofErr w:type="spellEnd"/>
      <w:r w:rsidRPr="00427A1E">
        <w:rPr>
          <w:rFonts w:eastAsiaTheme="minorHAnsi"/>
          <w:sz w:val="26"/>
          <w:szCs w:val="26"/>
        </w:rPr>
        <w:t>. 1984) (</w:t>
      </w:r>
      <w:r w:rsidRPr="00427A1E">
        <w:rPr>
          <w:rFonts w:eastAsiaTheme="minorHAnsi"/>
          <w:i/>
          <w:sz w:val="26"/>
          <w:szCs w:val="26"/>
        </w:rPr>
        <w:t>Schneider</w:t>
      </w:r>
      <w:r w:rsidRPr="00427A1E">
        <w:rPr>
          <w:rFonts w:eastAsiaTheme="minorHAnsi"/>
          <w:sz w:val="26"/>
          <w:szCs w:val="26"/>
        </w:rPr>
        <w:t xml:space="preserve">), citing </w:t>
      </w:r>
      <w:proofErr w:type="spellStart"/>
      <w:r w:rsidRPr="00427A1E">
        <w:rPr>
          <w:rFonts w:eastAsiaTheme="minorHAnsi"/>
          <w:i/>
          <w:sz w:val="26"/>
          <w:szCs w:val="26"/>
        </w:rPr>
        <w:t>Fusaro</w:t>
      </w:r>
      <w:proofErr w:type="spellEnd"/>
      <w:r w:rsidRPr="00427A1E">
        <w:rPr>
          <w:rFonts w:eastAsiaTheme="minorHAnsi"/>
          <w:i/>
          <w:sz w:val="26"/>
          <w:szCs w:val="26"/>
        </w:rPr>
        <w:t xml:space="preserve"> v. Pa. PUC</w:t>
      </w:r>
      <w:r w:rsidRPr="00427A1E">
        <w:rPr>
          <w:rFonts w:eastAsiaTheme="minorHAnsi"/>
          <w:sz w:val="26"/>
          <w:szCs w:val="26"/>
        </w:rPr>
        <w:t>, 382</w:t>
      </w:r>
      <w:r w:rsidR="00611EF9">
        <w:rPr>
          <w:rFonts w:eastAsiaTheme="minorHAnsi"/>
          <w:sz w:val="26"/>
          <w:szCs w:val="26"/>
        </w:rPr>
        <w:t> </w:t>
      </w:r>
      <w:r w:rsidRPr="00427A1E">
        <w:rPr>
          <w:rFonts w:eastAsiaTheme="minorHAnsi"/>
          <w:sz w:val="26"/>
          <w:szCs w:val="26"/>
        </w:rPr>
        <w:t>A.2d</w:t>
      </w:r>
      <w:r w:rsidR="00611EF9">
        <w:rPr>
          <w:rFonts w:eastAsiaTheme="minorHAnsi"/>
          <w:sz w:val="26"/>
          <w:szCs w:val="26"/>
        </w:rPr>
        <w:t> </w:t>
      </w:r>
      <w:r w:rsidRPr="00427A1E">
        <w:rPr>
          <w:rFonts w:eastAsiaTheme="minorHAnsi"/>
          <w:sz w:val="26"/>
          <w:szCs w:val="26"/>
        </w:rPr>
        <w:t xml:space="preserve">794 (Pa. </w:t>
      </w:r>
      <w:proofErr w:type="spellStart"/>
      <w:r w:rsidRPr="00427A1E">
        <w:rPr>
          <w:rFonts w:eastAsiaTheme="minorHAnsi"/>
          <w:sz w:val="26"/>
          <w:szCs w:val="26"/>
        </w:rPr>
        <w:t>Cmwlth</w:t>
      </w:r>
      <w:proofErr w:type="spellEnd"/>
      <w:r w:rsidRPr="00427A1E">
        <w:rPr>
          <w:rFonts w:eastAsiaTheme="minorHAnsi"/>
          <w:sz w:val="26"/>
          <w:szCs w:val="26"/>
        </w:rPr>
        <w:t xml:space="preserve">. 1978).  Due process is satisfied when the parties are afforded notice and the opportunity to appear and be heard.  </w:t>
      </w:r>
      <w:r w:rsidRPr="00427A1E">
        <w:rPr>
          <w:rFonts w:eastAsiaTheme="minorHAnsi"/>
          <w:i/>
          <w:sz w:val="26"/>
          <w:szCs w:val="26"/>
        </w:rPr>
        <w:t>Schneider</w:t>
      </w:r>
      <w:r w:rsidRPr="00427A1E">
        <w:rPr>
          <w:rFonts w:eastAsiaTheme="minorHAnsi"/>
          <w:sz w:val="26"/>
          <w:szCs w:val="26"/>
        </w:rPr>
        <w:t>, 479 A.2d at 15 (Pa.</w:t>
      </w:r>
      <w:r w:rsidR="00611EF9">
        <w:rPr>
          <w:rFonts w:eastAsiaTheme="minorHAnsi"/>
          <w:sz w:val="26"/>
          <w:szCs w:val="26"/>
        </w:rPr>
        <w:t> </w:t>
      </w:r>
      <w:proofErr w:type="spellStart"/>
      <w:r w:rsidRPr="00427A1E">
        <w:rPr>
          <w:rFonts w:eastAsiaTheme="minorHAnsi"/>
          <w:sz w:val="26"/>
          <w:szCs w:val="26"/>
        </w:rPr>
        <w:t>Cmwlth</w:t>
      </w:r>
      <w:proofErr w:type="spellEnd"/>
      <w:r w:rsidRPr="00427A1E">
        <w:rPr>
          <w:rFonts w:eastAsiaTheme="minorHAnsi"/>
          <w:sz w:val="26"/>
          <w:szCs w:val="26"/>
        </w:rPr>
        <w:t xml:space="preserve">. 1984), citing </w:t>
      </w:r>
      <w:r w:rsidRPr="00427A1E">
        <w:rPr>
          <w:rFonts w:eastAsiaTheme="minorHAnsi"/>
          <w:i/>
          <w:sz w:val="26"/>
          <w:szCs w:val="26"/>
        </w:rPr>
        <w:t>Township of Middleton v. The Institute District of the County of Delaware</w:t>
      </w:r>
      <w:r w:rsidRPr="00427A1E">
        <w:rPr>
          <w:rFonts w:eastAsiaTheme="minorHAnsi"/>
          <w:sz w:val="26"/>
          <w:szCs w:val="26"/>
        </w:rPr>
        <w:t xml:space="preserve">, 293 A.2d 885 (Pa. </w:t>
      </w:r>
      <w:proofErr w:type="spellStart"/>
      <w:r w:rsidRPr="00427A1E">
        <w:rPr>
          <w:rFonts w:eastAsiaTheme="minorHAnsi"/>
          <w:sz w:val="26"/>
          <w:szCs w:val="26"/>
        </w:rPr>
        <w:t>Cmwlth</w:t>
      </w:r>
      <w:proofErr w:type="spellEnd"/>
      <w:r w:rsidRPr="00427A1E">
        <w:rPr>
          <w:rFonts w:eastAsiaTheme="minorHAnsi"/>
          <w:sz w:val="26"/>
          <w:szCs w:val="26"/>
        </w:rPr>
        <w:t>. 1972), aff’d 450 Pa. 282, 299 A.2d 599 (Pa.</w:t>
      </w:r>
      <w:r w:rsidR="00611EF9">
        <w:rPr>
          <w:rFonts w:eastAsiaTheme="minorHAnsi"/>
          <w:sz w:val="26"/>
          <w:szCs w:val="26"/>
        </w:rPr>
        <w:t> </w:t>
      </w:r>
      <w:proofErr w:type="spellStart"/>
      <w:r w:rsidRPr="00427A1E">
        <w:rPr>
          <w:rFonts w:eastAsiaTheme="minorHAnsi"/>
          <w:sz w:val="26"/>
          <w:szCs w:val="26"/>
        </w:rPr>
        <w:t>Cmwlth</w:t>
      </w:r>
      <w:proofErr w:type="spellEnd"/>
      <w:r w:rsidRPr="00427A1E">
        <w:rPr>
          <w:rFonts w:eastAsiaTheme="minorHAnsi"/>
          <w:sz w:val="26"/>
          <w:szCs w:val="26"/>
        </w:rPr>
        <w:t>. 1973).  The fundamental requirement of due process is the opportunity to be heard at a meaningful time and in a meaningful manner.</w:t>
      </w:r>
      <w:r w:rsidR="009C2B22">
        <w:rPr>
          <w:rFonts w:eastAsiaTheme="minorHAnsi"/>
          <w:sz w:val="26"/>
          <w:szCs w:val="26"/>
        </w:rPr>
        <w:t xml:space="preserve"> </w:t>
      </w:r>
      <w:r w:rsidRPr="00427A1E">
        <w:rPr>
          <w:rFonts w:eastAsiaTheme="minorHAnsi"/>
          <w:sz w:val="26"/>
          <w:szCs w:val="26"/>
        </w:rPr>
        <w:t xml:space="preserve"> </w:t>
      </w:r>
      <w:r w:rsidRPr="00427A1E">
        <w:rPr>
          <w:rFonts w:eastAsiaTheme="minorHAnsi"/>
          <w:i/>
          <w:sz w:val="26"/>
          <w:szCs w:val="26"/>
        </w:rPr>
        <w:t xml:space="preserve">Montefiore Hospital </w:t>
      </w:r>
      <w:proofErr w:type="spellStart"/>
      <w:r w:rsidRPr="00427A1E">
        <w:rPr>
          <w:rFonts w:eastAsiaTheme="minorHAnsi"/>
          <w:i/>
          <w:sz w:val="26"/>
          <w:szCs w:val="26"/>
        </w:rPr>
        <w:t>Ass’n</w:t>
      </w:r>
      <w:proofErr w:type="spellEnd"/>
      <w:r w:rsidRPr="00427A1E">
        <w:rPr>
          <w:rFonts w:eastAsiaTheme="minorHAnsi"/>
          <w:i/>
          <w:sz w:val="26"/>
          <w:szCs w:val="26"/>
        </w:rPr>
        <w:t xml:space="preserve"> of Western Pennsylvania v. Pa. PUC</w:t>
      </w:r>
      <w:r w:rsidRPr="00427A1E">
        <w:rPr>
          <w:rFonts w:eastAsiaTheme="minorHAnsi"/>
          <w:sz w:val="26"/>
          <w:szCs w:val="26"/>
        </w:rPr>
        <w:t xml:space="preserve">, 421 A.2d 481, 484 (Pa. </w:t>
      </w:r>
      <w:proofErr w:type="spellStart"/>
      <w:r w:rsidRPr="00427A1E">
        <w:rPr>
          <w:rFonts w:eastAsiaTheme="minorHAnsi"/>
          <w:sz w:val="26"/>
          <w:szCs w:val="26"/>
        </w:rPr>
        <w:t>Cmwlth</w:t>
      </w:r>
      <w:proofErr w:type="spellEnd"/>
      <w:r w:rsidRPr="00427A1E">
        <w:rPr>
          <w:rFonts w:eastAsiaTheme="minorHAnsi"/>
          <w:sz w:val="26"/>
          <w:szCs w:val="26"/>
        </w:rPr>
        <w:t>. 1980).</w:t>
      </w:r>
    </w:p>
    <w:p w14:paraId="66AA2443" w14:textId="77777777" w:rsidR="00EA6E68" w:rsidRDefault="00EA6E68" w:rsidP="000A668C">
      <w:pPr>
        <w:widowControl/>
        <w:spacing w:line="360" w:lineRule="auto"/>
        <w:ind w:firstLine="1440"/>
        <w:rPr>
          <w:color w:val="000000" w:themeColor="text1"/>
          <w:sz w:val="26"/>
          <w:szCs w:val="26"/>
        </w:rPr>
      </w:pPr>
    </w:p>
    <w:p w14:paraId="2677C017" w14:textId="26A33620" w:rsidR="000A668C" w:rsidRDefault="00EA6E68" w:rsidP="000A668C">
      <w:pPr>
        <w:widowControl/>
        <w:spacing w:line="360" w:lineRule="auto"/>
        <w:ind w:firstLine="1440"/>
        <w:rPr>
          <w:color w:val="000000" w:themeColor="text1"/>
          <w:sz w:val="26"/>
          <w:szCs w:val="26"/>
        </w:rPr>
      </w:pPr>
      <w:r>
        <w:rPr>
          <w:color w:val="000000" w:themeColor="text1"/>
          <w:sz w:val="26"/>
          <w:szCs w:val="26"/>
        </w:rPr>
        <w:t xml:space="preserve">Here, </w:t>
      </w:r>
      <w:r w:rsidR="00AA529E">
        <w:rPr>
          <w:color w:val="000000" w:themeColor="text1"/>
          <w:sz w:val="26"/>
          <w:szCs w:val="26"/>
        </w:rPr>
        <w:t>Mr. Ulmer appeared at</w:t>
      </w:r>
      <w:r w:rsidR="00E658CE">
        <w:rPr>
          <w:color w:val="000000" w:themeColor="text1"/>
          <w:sz w:val="26"/>
          <w:szCs w:val="26"/>
        </w:rPr>
        <w:t>,</w:t>
      </w:r>
      <w:r w:rsidR="00125666">
        <w:rPr>
          <w:color w:val="000000" w:themeColor="text1"/>
          <w:sz w:val="26"/>
          <w:szCs w:val="26"/>
        </w:rPr>
        <w:t xml:space="preserve"> </w:t>
      </w:r>
      <w:r w:rsidR="005E58E0">
        <w:rPr>
          <w:color w:val="000000" w:themeColor="text1"/>
          <w:sz w:val="26"/>
          <w:szCs w:val="26"/>
        </w:rPr>
        <w:t>and participated in</w:t>
      </w:r>
      <w:r w:rsidR="00E658CE">
        <w:rPr>
          <w:color w:val="000000" w:themeColor="text1"/>
          <w:sz w:val="26"/>
          <w:szCs w:val="26"/>
        </w:rPr>
        <w:t>,</w:t>
      </w:r>
      <w:r w:rsidR="005E58E0">
        <w:rPr>
          <w:color w:val="000000" w:themeColor="text1"/>
          <w:sz w:val="26"/>
          <w:szCs w:val="26"/>
        </w:rPr>
        <w:t xml:space="preserve"> </w:t>
      </w:r>
      <w:r w:rsidR="00E46285">
        <w:rPr>
          <w:color w:val="000000" w:themeColor="text1"/>
          <w:sz w:val="26"/>
          <w:szCs w:val="26"/>
        </w:rPr>
        <w:t>the</w:t>
      </w:r>
      <w:r w:rsidR="00AA529E">
        <w:rPr>
          <w:color w:val="000000" w:themeColor="text1"/>
          <w:sz w:val="26"/>
          <w:szCs w:val="26"/>
        </w:rPr>
        <w:t xml:space="preserve"> </w:t>
      </w:r>
      <w:r w:rsidR="00E46285">
        <w:rPr>
          <w:color w:val="000000" w:themeColor="text1"/>
          <w:sz w:val="26"/>
          <w:szCs w:val="26"/>
        </w:rPr>
        <w:t xml:space="preserve">evidentiary </w:t>
      </w:r>
      <w:r w:rsidR="00AA529E">
        <w:rPr>
          <w:color w:val="000000" w:themeColor="text1"/>
          <w:sz w:val="26"/>
          <w:szCs w:val="26"/>
        </w:rPr>
        <w:t>hearing</w:t>
      </w:r>
      <w:r w:rsidR="008B1FE7">
        <w:rPr>
          <w:color w:val="000000" w:themeColor="text1"/>
          <w:sz w:val="26"/>
          <w:szCs w:val="26"/>
        </w:rPr>
        <w:t xml:space="preserve"> </w:t>
      </w:r>
      <w:r>
        <w:rPr>
          <w:color w:val="000000" w:themeColor="text1"/>
          <w:sz w:val="26"/>
          <w:szCs w:val="26"/>
        </w:rPr>
        <w:t>duly scheduled and held in this matter.</w:t>
      </w:r>
      <w:r w:rsidR="006B1F19">
        <w:rPr>
          <w:color w:val="000000" w:themeColor="text1"/>
          <w:sz w:val="26"/>
          <w:szCs w:val="26"/>
        </w:rPr>
        <w:t xml:space="preserve">  </w:t>
      </w:r>
      <w:r w:rsidR="00041F6D">
        <w:rPr>
          <w:color w:val="000000" w:themeColor="text1"/>
          <w:sz w:val="26"/>
          <w:szCs w:val="26"/>
        </w:rPr>
        <w:t xml:space="preserve">Tr. at 7.  </w:t>
      </w:r>
      <w:r w:rsidR="000F22AD">
        <w:rPr>
          <w:color w:val="000000" w:themeColor="text1"/>
          <w:sz w:val="26"/>
          <w:szCs w:val="26"/>
        </w:rPr>
        <w:t>During the hearing, t</w:t>
      </w:r>
      <w:r w:rsidR="006B1F19">
        <w:rPr>
          <w:color w:val="000000" w:themeColor="text1"/>
          <w:sz w:val="26"/>
          <w:szCs w:val="26"/>
        </w:rPr>
        <w:t>he Complainant</w:t>
      </w:r>
      <w:r w:rsidR="00C87DFC">
        <w:rPr>
          <w:color w:val="000000" w:themeColor="text1"/>
          <w:sz w:val="26"/>
          <w:szCs w:val="26"/>
        </w:rPr>
        <w:t xml:space="preserve"> was provided with </w:t>
      </w:r>
      <w:r w:rsidR="002C2A57">
        <w:rPr>
          <w:color w:val="000000" w:themeColor="text1"/>
          <w:sz w:val="26"/>
          <w:szCs w:val="26"/>
        </w:rPr>
        <w:t>an opportunity</w:t>
      </w:r>
      <w:r w:rsidR="00C87DFC">
        <w:rPr>
          <w:color w:val="000000" w:themeColor="text1"/>
          <w:sz w:val="26"/>
          <w:szCs w:val="26"/>
        </w:rPr>
        <w:t xml:space="preserve"> to </w:t>
      </w:r>
      <w:r w:rsidR="002C2A57">
        <w:rPr>
          <w:color w:val="000000" w:themeColor="text1"/>
          <w:sz w:val="26"/>
          <w:szCs w:val="26"/>
        </w:rPr>
        <w:t xml:space="preserve">explain why </w:t>
      </w:r>
      <w:r w:rsidR="005E58E0">
        <w:rPr>
          <w:color w:val="000000" w:themeColor="text1"/>
          <w:sz w:val="26"/>
          <w:szCs w:val="26"/>
        </w:rPr>
        <w:t>he filed the Amended Complaint and wh</w:t>
      </w:r>
      <w:r w:rsidR="000B2B0A">
        <w:rPr>
          <w:color w:val="000000" w:themeColor="text1"/>
          <w:sz w:val="26"/>
          <w:szCs w:val="26"/>
        </w:rPr>
        <w:t xml:space="preserve">at </w:t>
      </w:r>
      <w:r w:rsidR="005E58E0">
        <w:rPr>
          <w:color w:val="000000" w:themeColor="text1"/>
          <w:sz w:val="26"/>
          <w:szCs w:val="26"/>
        </w:rPr>
        <w:t>relief</w:t>
      </w:r>
      <w:r w:rsidR="00C87DFC">
        <w:rPr>
          <w:color w:val="000000" w:themeColor="text1"/>
          <w:sz w:val="26"/>
          <w:szCs w:val="26"/>
        </w:rPr>
        <w:t xml:space="preserve"> </w:t>
      </w:r>
      <w:r w:rsidR="000B2B0A">
        <w:rPr>
          <w:color w:val="000000" w:themeColor="text1"/>
          <w:sz w:val="26"/>
          <w:szCs w:val="26"/>
        </w:rPr>
        <w:t>he was seeking from the Commission</w:t>
      </w:r>
      <w:r w:rsidR="00AA529E">
        <w:rPr>
          <w:color w:val="000000" w:themeColor="text1"/>
          <w:sz w:val="26"/>
          <w:szCs w:val="26"/>
        </w:rPr>
        <w:t xml:space="preserve">.  </w:t>
      </w:r>
      <w:r w:rsidR="000C60F5">
        <w:rPr>
          <w:color w:val="000000" w:themeColor="text1"/>
          <w:sz w:val="26"/>
          <w:szCs w:val="26"/>
        </w:rPr>
        <w:t xml:space="preserve">Tr. at </w:t>
      </w:r>
      <w:r w:rsidR="0082694F">
        <w:rPr>
          <w:color w:val="000000" w:themeColor="text1"/>
          <w:sz w:val="26"/>
          <w:szCs w:val="26"/>
        </w:rPr>
        <w:t>11</w:t>
      </w:r>
      <w:r w:rsidR="000B2B0A">
        <w:rPr>
          <w:color w:val="000000" w:themeColor="text1"/>
          <w:sz w:val="26"/>
          <w:szCs w:val="26"/>
        </w:rPr>
        <w:t>-12</w:t>
      </w:r>
      <w:r w:rsidR="000C60F5">
        <w:rPr>
          <w:color w:val="000000" w:themeColor="text1"/>
          <w:sz w:val="26"/>
          <w:szCs w:val="26"/>
        </w:rPr>
        <w:t xml:space="preserve">.  </w:t>
      </w:r>
      <w:r w:rsidR="000A6A37">
        <w:rPr>
          <w:color w:val="000000" w:themeColor="text1"/>
          <w:sz w:val="26"/>
          <w:szCs w:val="26"/>
        </w:rPr>
        <w:t xml:space="preserve">Further, the Complainant </w:t>
      </w:r>
      <w:r w:rsidR="000B2B0A">
        <w:rPr>
          <w:color w:val="000000" w:themeColor="text1"/>
          <w:sz w:val="26"/>
          <w:szCs w:val="26"/>
        </w:rPr>
        <w:t xml:space="preserve">was offered the chance to </w:t>
      </w:r>
      <w:r w:rsidR="000F22AD">
        <w:rPr>
          <w:color w:val="000000" w:themeColor="text1"/>
          <w:sz w:val="26"/>
          <w:szCs w:val="26"/>
        </w:rPr>
        <w:t xml:space="preserve">cross-examine </w:t>
      </w:r>
      <w:r w:rsidR="00E658CE">
        <w:rPr>
          <w:color w:val="000000" w:themeColor="text1"/>
          <w:sz w:val="26"/>
          <w:szCs w:val="26"/>
        </w:rPr>
        <w:t xml:space="preserve">PPL’s witnesses.  Tr. at 36, </w:t>
      </w:r>
      <w:r w:rsidR="00237153">
        <w:rPr>
          <w:color w:val="000000" w:themeColor="text1"/>
          <w:sz w:val="26"/>
          <w:szCs w:val="26"/>
        </w:rPr>
        <w:t xml:space="preserve">45, </w:t>
      </w:r>
      <w:r w:rsidR="005A624A">
        <w:rPr>
          <w:color w:val="000000" w:themeColor="text1"/>
          <w:sz w:val="26"/>
          <w:szCs w:val="26"/>
        </w:rPr>
        <w:t>59</w:t>
      </w:r>
      <w:r w:rsidR="00B75A26">
        <w:rPr>
          <w:color w:val="000000" w:themeColor="text1"/>
          <w:sz w:val="26"/>
          <w:szCs w:val="26"/>
        </w:rPr>
        <w:t xml:space="preserve">, 79.  </w:t>
      </w:r>
      <w:r w:rsidR="00041F6D">
        <w:rPr>
          <w:color w:val="000000" w:themeColor="text1"/>
          <w:sz w:val="26"/>
          <w:szCs w:val="26"/>
        </w:rPr>
        <w:t>Finally</w:t>
      </w:r>
      <w:r w:rsidR="00D70470">
        <w:rPr>
          <w:color w:val="000000" w:themeColor="text1"/>
          <w:sz w:val="26"/>
          <w:szCs w:val="26"/>
        </w:rPr>
        <w:t xml:space="preserve">, Mr. Ulmer was provided with </w:t>
      </w:r>
      <w:r w:rsidR="00CA5C0B">
        <w:rPr>
          <w:color w:val="000000" w:themeColor="text1"/>
          <w:sz w:val="26"/>
          <w:szCs w:val="26"/>
        </w:rPr>
        <w:t>an opportunity to give a closing argument.  Tr. at 88.</w:t>
      </w:r>
      <w:r w:rsidR="000A668C">
        <w:rPr>
          <w:color w:val="000000" w:themeColor="text1"/>
          <w:sz w:val="26"/>
          <w:szCs w:val="26"/>
        </w:rPr>
        <w:t xml:space="preserve">  In addition, we note that the Hearing Notice provided instructions </w:t>
      </w:r>
      <w:r w:rsidR="00F2353E">
        <w:rPr>
          <w:color w:val="000000" w:themeColor="text1"/>
          <w:sz w:val="26"/>
          <w:szCs w:val="26"/>
        </w:rPr>
        <w:t xml:space="preserve">to the Parties for relying upon and introducing exhibits at the hearing. </w:t>
      </w:r>
    </w:p>
    <w:p w14:paraId="68E8852C" w14:textId="1CB50F04" w:rsidR="002E5683" w:rsidRDefault="00F2353E" w:rsidP="002E5683">
      <w:pPr>
        <w:widowControl/>
        <w:spacing w:line="360" w:lineRule="auto"/>
        <w:ind w:firstLine="1440"/>
        <w:rPr>
          <w:sz w:val="26"/>
          <w:szCs w:val="26"/>
        </w:rPr>
      </w:pPr>
      <w:r>
        <w:rPr>
          <w:sz w:val="26"/>
          <w:szCs w:val="26"/>
        </w:rPr>
        <w:lastRenderedPageBreak/>
        <w:t>Upon review of the transcript and the Initial Decision, w</w:t>
      </w:r>
      <w:r w:rsidR="005C25CB">
        <w:rPr>
          <w:sz w:val="26"/>
          <w:szCs w:val="26"/>
        </w:rPr>
        <w:t>e find that the Complainant</w:t>
      </w:r>
      <w:r w:rsidR="0067199B">
        <w:rPr>
          <w:sz w:val="26"/>
          <w:szCs w:val="26"/>
        </w:rPr>
        <w:t xml:space="preserve"> was provided an adequate opportunity </w:t>
      </w:r>
      <w:r w:rsidR="003A0C4E">
        <w:rPr>
          <w:sz w:val="26"/>
          <w:szCs w:val="26"/>
        </w:rPr>
        <w:t>to present his</w:t>
      </w:r>
      <w:r w:rsidR="002E5683">
        <w:rPr>
          <w:sz w:val="26"/>
          <w:szCs w:val="26"/>
        </w:rPr>
        <w:t xml:space="preserve"> factual evidence and</w:t>
      </w:r>
      <w:r w:rsidR="003A0C4E">
        <w:rPr>
          <w:sz w:val="26"/>
          <w:szCs w:val="26"/>
        </w:rPr>
        <w:t xml:space="preserve"> legal argument</w:t>
      </w:r>
      <w:r w:rsidR="002E5683">
        <w:rPr>
          <w:sz w:val="26"/>
          <w:szCs w:val="26"/>
        </w:rPr>
        <w:t>s</w:t>
      </w:r>
      <w:r w:rsidR="003A0C4E">
        <w:rPr>
          <w:sz w:val="26"/>
          <w:szCs w:val="26"/>
        </w:rPr>
        <w:t xml:space="preserve"> </w:t>
      </w:r>
      <w:r>
        <w:rPr>
          <w:sz w:val="26"/>
          <w:szCs w:val="26"/>
        </w:rPr>
        <w:t>to the ALJ at the hearing</w:t>
      </w:r>
      <w:r w:rsidR="002E5683">
        <w:rPr>
          <w:sz w:val="26"/>
          <w:szCs w:val="26"/>
        </w:rPr>
        <w:t xml:space="preserve">. </w:t>
      </w:r>
      <w:r w:rsidR="00B54E26">
        <w:rPr>
          <w:color w:val="000000" w:themeColor="text1"/>
          <w:sz w:val="26"/>
          <w:szCs w:val="26"/>
        </w:rPr>
        <w:t xml:space="preserve"> </w:t>
      </w:r>
      <w:r w:rsidR="002D5414">
        <w:rPr>
          <w:color w:val="000000" w:themeColor="text1"/>
          <w:sz w:val="26"/>
          <w:szCs w:val="26"/>
        </w:rPr>
        <w:t>Moreover, t</w:t>
      </w:r>
      <w:r w:rsidR="002E5683">
        <w:rPr>
          <w:rFonts w:eastAsiaTheme="minorHAnsi"/>
          <w:sz w:val="26"/>
          <w:szCs w:val="26"/>
        </w:rPr>
        <w:t xml:space="preserve">he ALJ had the authority at her discretion to regulate the course of the proceeding, including the use of pre- and post-hearing procedures.  </w:t>
      </w:r>
      <w:r w:rsidR="002E5683" w:rsidRPr="00EA6E68">
        <w:rPr>
          <w:rFonts w:eastAsiaTheme="minorHAnsi"/>
          <w:i/>
          <w:iCs/>
          <w:sz w:val="26"/>
          <w:szCs w:val="26"/>
        </w:rPr>
        <w:t>See</w:t>
      </w:r>
      <w:r w:rsidR="002E5683">
        <w:rPr>
          <w:rFonts w:eastAsiaTheme="minorHAnsi"/>
          <w:sz w:val="26"/>
          <w:szCs w:val="26"/>
        </w:rPr>
        <w:t xml:space="preserve"> </w:t>
      </w:r>
      <w:r w:rsidR="002E5683">
        <w:rPr>
          <w:color w:val="000000" w:themeColor="text1"/>
          <w:sz w:val="26"/>
          <w:szCs w:val="26"/>
        </w:rPr>
        <w:t xml:space="preserve">52 Pa. Code </w:t>
      </w:r>
      <w:r w:rsidR="002E5683" w:rsidRPr="000D7901">
        <w:rPr>
          <w:sz w:val="26"/>
          <w:szCs w:val="26"/>
        </w:rPr>
        <w:t>§</w:t>
      </w:r>
      <w:r w:rsidR="002E5683">
        <w:rPr>
          <w:sz w:val="26"/>
          <w:szCs w:val="26"/>
        </w:rPr>
        <w:t xml:space="preserve"> 5.483(a), s</w:t>
      </w:r>
      <w:r w:rsidR="002E5683" w:rsidRPr="00F2353E">
        <w:rPr>
          <w:i/>
          <w:iCs/>
          <w:sz w:val="26"/>
          <w:szCs w:val="26"/>
        </w:rPr>
        <w:t>ee also</w:t>
      </w:r>
      <w:r w:rsidR="00611EF9">
        <w:rPr>
          <w:i/>
          <w:iCs/>
          <w:sz w:val="26"/>
          <w:szCs w:val="26"/>
        </w:rPr>
        <w:t>,</w:t>
      </w:r>
      <w:r w:rsidR="002E5683" w:rsidRPr="00F2353E">
        <w:rPr>
          <w:i/>
          <w:iCs/>
          <w:sz w:val="26"/>
          <w:szCs w:val="26"/>
        </w:rPr>
        <w:t xml:space="preserve"> e.g</w:t>
      </w:r>
      <w:r w:rsidR="002E5683">
        <w:rPr>
          <w:sz w:val="26"/>
          <w:szCs w:val="26"/>
        </w:rPr>
        <w:t>.</w:t>
      </w:r>
      <w:r w:rsidR="00611EF9">
        <w:rPr>
          <w:sz w:val="26"/>
          <w:szCs w:val="26"/>
        </w:rPr>
        <w:t>,</w:t>
      </w:r>
      <w:r w:rsidR="002E5683">
        <w:rPr>
          <w:sz w:val="26"/>
          <w:szCs w:val="26"/>
        </w:rPr>
        <w:t xml:space="preserve"> 5.222(b).  We note that</w:t>
      </w:r>
      <w:r w:rsidR="00991A8C">
        <w:rPr>
          <w:sz w:val="26"/>
          <w:szCs w:val="26"/>
        </w:rPr>
        <w:t>,</w:t>
      </w:r>
      <w:r w:rsidR="002E5683">
        <w:rPr>
          <w:sz w:val="26"/>
          <w:szCs w:val="26"/>
        </w:rPr>
        <w:t xml:space="preserve"> in </w:t>
      </w:r>
      <w:r w:rsidR="002E5683" w:rsidRPr="002E5683">
        <w:rPr>
          <w:i/>
          <w:iCs/>
          <w:sz w:val="26"/>
          <w:szCs w:val="26"/>
        </w:rPr>
        <w:t>pro se</w:t>
      </w:r>
      <w:r w:rsidR="002E5683">
        <w:rPr>
          <w:sz w:val="26"/>
          <w:szCs w:val="26"/>
        </w:rPr>
        <w:t xml:space="preserve"> complaint cases</w:t>
      </w:r>
      <w:r w:rsidR="00991A8C">
        <w:rPr>
          <w:sz w:val="26"/>
          <w:szCs w:val="26"/>
        </w:rPr>
        <w:t xml:space="preserve"> in particular</w:t>
      </w:r>
      <w:r w:rsidR="002E5683">
        <w:rPr>
          <w:sz w:val="26"/>
          <w:szCs w:val="26"/>
        </w:rPr>
        <w:t xml:space="preserve">, it is a long-standing procedural practice of the Office of Administrative Law Judge to not require the submission of written </w:t>
      </w:r>
      <w:r w:rsidR="00991A8C">
        <w:rPr>
          <w:sz w:val="26"/>
          <w:szCs w:val="26"/>
        </w:rPr>
        <w:t>b</w:t>
      </w:r>
      <w:r w:rsidR="002E5683">
        <w:rPr>
          <w:sz w:val="26"/>
          <w:szCs w:val="26"/>
        </w:rPr>
        <w:t>riefs</w:t>
      </w:r>
      <w:r w:rsidR="00991A8C">
        <w:rPr>
          <w:sz w:val="26"/>
          <w:szCs w:val="26"/>
        </w:rPr>
        <w:t xml:space="preserve"> in the interest of minimizing the administrative burden placed on </w:t>
      </w:r>
      <w:r w:rsidR="00991A8C" w:rsidRPr="00991A8C">
        <w:rPr>
          <w:i/>
          <w:iCs/>
          <w:sz w:val="26"/>
          <w:szCs w:val="26"/>
        </w:rPr>
        <w:t>pro se</w:t>
      </w:r>
      <w:r w:rsidR="00991A8C">
        <w:rPr>
          <w:sz w:val="26"/>
          <w:szCs w:val="26"/>
        </w:rPr>
        <w:t xml:space="preserve"> complainants in litigating a formal complaint before the Commission</w:t>
      </w:r>
      <w:r w:rsidR="002E5683">
        <w:rPr>
          <w:sz w:val="26"/>
          <w:szCs w:val="26"/>
        </w:rPr>
        <w:t xml:space="preserve">.  </w:t>
      </w:r>
      <w:r w:rsidR="002D5414">
        <w:rPr>
          <w:sz w:val="26"/>
          <w:szCs w:val="26"/>
        </w:rPr>
        <w:t>Finally, w</w:t>
      </w:r>
      <w:r w:rsidR="002E5683">
        <w:rPr>
          <w:sz w:val="26"/>
          <w:szCs w:val="26"/>
        </w:rPr>
        <w:t xml:space="preserve">e note here that the Complainant did not request </w:t>
      </w:r>
      <w:r w:rsidR="00991A8C">
        <w:rPr>
          <w:sz w:val="26"/>
          <w:szCs w:val="26"/>
        </w:rPr>
        <w:t xml:space="preserve">the </w:t>
      </w:r>
      <w:r w:rsidR="002E5683">
        <w:rPr>
          <w:sz w:val="26"/>
          <w:szCs w:val="26"/>
        </w:rPr>
        <w:t xml:space="preserve">ALJ to require the submission of briefs.  </w:t>
      </w:r>
      <w:r w:rsidR="002E5683">
        <w:rPr>
          <w:color w:val="000000" w:themeColor="text1"/>
          <w:sz w:val="26"/>
          <w:szCs w:val="26"/>
        </w:rPr>
        <w:t>Thus,</w:t>
      </w:r>
      <w:r w:rsidR="002D5414">
        <w:rPr>
          <w:color w:val="000000" w:themeColor="text1"/>
          <w:sz w:val="26"/>
          <w:szCs w:val="26"/>
        </w:rPr>
        <w:t xml:space="preserve"> for all of the foregoing reasons,</w:t>
      </w:r>
      <w:r w:rsidR="002E5683">
        <w:rPr>
          <w:color w:val="000000" w:themeColor="text1"/>
          <w:sz w:val="26"/>
          <w:szCs w:val="26"/>
        </w:rPr>
        <w:t xml:space="preserve"> </w:t>
      </w:r>
      <w:r w:rsidR="003F3215">
        <w:rPr>
          <w:color w:val="000000" w:themeColor="text1"/>
          <w:sz w:val="26"/>
          <w:szCs w:val="26"/>
        </w:rPr>
        <w:t xml:space="preserve">we find </w:t>
      </w:r>
      <w:r w:rsidR="003F698C">
        <w:rPr>
          <w:color w:val="000000" w:themeColor="text1"/>
          <w:sz w:val="26"/>
          <w:szCs w:val="26"/>
        </w:rPr>
        <w:t>the ALJ</w:t>
      </w:r>
      <w:r w:rsidR="003F3215">
        <w:rPr>
          <w:color w:val="000000" w:themeColor="text1"/>
          <w:sz w:val="26"/>
          <w:szCs w:val="26"/>
        </w:rPr>
        <w:t xml:space="preserve"> did not abuse her</w:t>
      </w:r>
      <w:r w:rsidR="003F698C">
        <w:rPr>
          <w:color w:val="000000" w:themeColor="text1"/>
          <w:sz w:val="26"/>
          <w:szCs w:val="26"/>
        </w:rPr>
        <w:t xml:space="preserve"> discretion</w:t>
      </w:r>
      <w:r w:rsidR="003F3215">
        <w:rPr>
          <w:color w:val="000000" w:themeColor="text1"/>
          <w:sz w:val="26"/>
          <w:szCs w:val="26"/>
        </w:rPr>
        <w:t xml:space="preserve"> in deciding</w:t>
      </w:r>
      <w:r w:rsidR="003F698C">
        <w:rPr>
          <w:color w:val="000000" w:themeColor="text1"/>
          <w:sz w:val="26"/>
          <w:szCs w:val="26"/>
        </w:rPr>
        <w:t xml:space="preserve"> not to issue a briefing schedule to the </w:t>
      </w:r>
      <w:r w:rsidR="002F3B36">
        <w:rPr>
          <w:color w:val="000000" w:themeColor="text1"/>
          <w:sz w:val="26"/>
          <w:szCs w:val="26"/>
        </w:rPr>
        <w:t>P</w:t>
      </w:r>
      <w:r w:rsidR="003F698C">
        <w:rPr>
          <w:color w:val="000000" w:themeColor="text1"/>
          <w:sz w:val="26"/>
          <w:szCs w:val="26"/>
        </w:rPr>
        <w:t xml:space="preserve">arties.  52 Pa. Code </w:t>
      </w:r>
      <w:r w:rsidR="003F698C" w:rsidRPr="000D7901">
        <w:rPr>
          <w:sz w:val="26"/>
          <w:szCs w:val="26"/>
        </w:rPr>
        <w:t>§</w:t>
      </w:r>
      <w:r w:rsidR="003F698C">
        <w:rPr>
          <w:sz w:val="26"/>
          <w:szCs w:val="26"/>
        </w:rPr>
        <w:t xml:space="preserve"> 5.483(a).  </w:t>
      </w:r>
    </w:p>
    <w:p w14:paraId="62FCDFC8" w14:textId="77777777" w:rsidR="002E5683" w:rsidRPr="00EA6E68" w:rsidRDefault="002E5683" w:rsidP="002E5683">
      <w:pPr>
        <w:widowControl/>
        <w:spacing w:line="360" w:lineRule="auto"/>
        <w:ind w:firstLine="1440"/>
        <w:jc w:val="both"/>
        <w:rPr>
          <w:rFonts w:eastAsiaTheme="minorHAnsi"/>
          <w:sz w:val="26"/>
          <w:szCs w:val="26"/>
        </w:rPr>
      </w:pPr>
    </w:p>
    <w:p w14:paraId="384713BE" w14:textId="3B49C60C" w:rsidR="00BD5FAC" w:rsidRDefault="0067199B" w:rsidP="005A3FBE">
      <w:pPr>
        <w:widowControl/>
        <w:spacing w:line="360" w:lineRule="auto"/>
        <w:ind w:firstLine="1440"/>
        <w:rPr>
          <w:color w:val="000000" w:themeColor="text1"/>
          <w:sz w:val="26"/>
          <w:szCs w:val="26"/>
        </w:rPr>
      </w:pPr>
      <w:r>
        <w:rPr>
          <w:sz w:val="26"/>
          <w:szCs w:val="26"/>
        </w:rPr>
        <w:t>Therefore, we find Mr. Ulmer’s clai</w:t>
      </w:r>
      <w:r w:rsidR="00374E23">
        <w:rPr>
          <w:sz w:val="26"/>
          <w:szCs w:val="26"/>
        </w:rPr>
        <w:t xml:space="preserve">m that </w:t>
      </w:r>
      <w:r w:rsidR="003F698C">
        <w:rPr>
          <w:sz w:val="26"/>
          <w:szCs w:val="26"/>
        </w:rPr>
        <w:t>he was not afforded due process to be without merit.</w:t>
      </w:r>
      <w:r w:rsidR="003F7EEA">
        <w:rPr>
          <w:sz w:val="26"/>
          <w:szCs w:val="26"/>
        </w:rPr>
        <w:t xml:space="preserve"> </w:t>
      </w:r>
      <w:r w:rsidR="005C25CB">
        <w:rPr>
          <w:sz w:val="26"/>
          <w:szCs w:val="26"/>
        </w:rPr>
        <w:t xml:space="preserve"> </w:t>
      </w:r>
    </w:p>
    <w:p w14:paraId="330CE80F" w14:textId="610938E3" w:rsidR="00B75B69" w:rsidRDefault="00B75B69" w:rsidP="007B3539">
      <w:pPr>
        <w:widowControl/>
        <w:spacing w:line="360" w:lineRule="auto"/>
        <w:rPr>
          <w:color w:val="000000" w:themeColor="text1"/>
          <w:sz w:val="26"/>
          <w:szCs w:val="26"/>
        </w:rPr>
      </w:pPr>
    </w:p>
    <w:p w14:paraId="3B0F2850" w14:textId="57D68D70" w:rsidR="0032746D" w:rsidRPr="006C3DEB" w:rsidRDefault="0032746D" w:rsidP="00E6540F">
      <w:pPr>
        <w:pStyle w:val="ListParagraph"/>
        <w:widowControl/>
        <w:numPr>
          <w:ilvl w:val="0"/>
          <w:numId w:val="26"/>
        </w:numPr>
        <w:ind w:left="1440" w:hanging="720"/>
        <w:rPr>
          <w:b/>
          <w:color w:val="000000" w:themeColor="text1"/>
          <w:sz w:val="26"/>
          <w:szCs w:val="26"/>
        </w:rPr>
      </w:pPr>
      <w:bookmarkStart w:id="17" w:name="_Hlk45203875"/>
      <w:r w:rsidRPr="0007368A">
        <w:rPr>
          <w:b/>
          <w:color w:val="000000" w:themeColor="text1"/>
          <w:sz w:val="26"/>
          <w:szCs w:val="26"/>
        </w:rPr>
        <w:t>Complainant’s</w:t>
      </w:r>
      <w:r w:rsidRPr="0032746D">
        <w:rPr>
          <w:b/>
          <w:color w:val="000000" w:themeColor="text1"/>
          <w:sz w:val="26"/>
          <w:szCs w:val="26"/>
        </w:rPr>
        <w:t xml:space="preserve"> </w:t>
      </w:r>
      <w:r w:rsidR="006B0EFB" w:rsidRPr="00AB1EE3">
        <w:rPr>
          <w:b/>
          <w:sz w:val="26"/>
          <w:szCs w:val="26"/>
        </w:rPr>
        <w:t>Health and Safety Concerns Regarding the Installation of the AMI Meter</w:t>
      </w:r>
    </w:p>
    <w:p w14:paraId="5CFCE2F1" w14:textId="77777777" w:rsidR="006C3DEB" w:rsidRPr="0032746D" w:rsidRDefault="006C3DEB" w:rsidP="006C3DEB">
      <w:pPr>
        <w:pStyle w:val="ListParagraph"/>
        <w:widowControl/>
        <w:spacing w:line="360" w:lineRule="auto"/>
        <w:ind w:left="1080"/>
        <w:rPr>
          <w:b/>
          <w:color w:val="000000" w:themeColor="text1"/>
          <w:sz w:val="26"/>
          <w:szCs w:val="26"/>
        </w:rPr>
      </w:pPr>
    </w:p>
    <w:p w14:paraId="2755435A" w14:textId="3398D96C" w:rsidR="0065088A" w:rsidRPr="00EC4EB6" w:rsidRDefault="0065088A" w:rsidP="0065088A">
      <w:pPr>
        <w:pStyle w:val="ListParagraph"/>
        <w:numPr>
          <w:ilvl w:val="0"/>
          <w:numId w:val="30"/>
        </w:numPr>
        <w:spacing w:line="360" w:lineRule="auto"/>
        <w:outlineLvl w:val="3"/>
        <w:rPr>
          <w:b/>
          <w:sz w:val="26"/>
          <w:szCs w:val="26"/>
        </w:rPr>
      </w:pPr>
      <w:r w:rsidRPr="00765167">
        <w:rPr>
          <w:b/>
          <w:sz w:val="26"/>
          <w:szCs w:val="26"/>
        </w:rPr>
        <w:t>Exception No</w:t>
      </w:r>
      <w:r>
        <w:rPr>
          <w:b/>
          <w:sz w:val="26"/>
          <w:szCs w:val="26"/>
        </w:rPr>
        <w:t xml:space="preserve">. </w:t>
      </w:r>
      <w:r w:rsidR="006A7BD9">
        <w:rPr>
          <w:b/>
          <w:sz w:val="26"/>
          <w:szCs w:val="26"/>
        </w:rPr>
        <w:t>2</w:t>
      </w:r>
    </w:p>
    <w:p w14:paraId="18900F10" w14:textId="2D3601D2" w:rsidR="006465C9" w:rsidRDefault="006465C9" w:rsidP="00481242">
      <w:pPr>
        <w:widowControl/>
        <w:spacing w:line="360" w:lineRule="auto"/>
        <w:ind w:firstLine="1440"/>
        <w:rPr>
          <w:color w:val="000000" w:themeColor="text1"/>
          <w:sz w:val="26"/>
          <w:szCs w:val="26"/>
        </w:rPr>
      </w:pPr>
    </w:p>
    <w:p w14:paraId="1C5F0EB0" w14:textId="3E6E9CE4" w:rsidR="00F376F8" w:rsidRDefault="0010416C" w:rsidP="00EA69A5">
      <w:pPr>
        <w:widowControl/>
        <w:spacing w:line="360" w:lineRule="auto"/>
        <w:ind w:firstLine="1440"/>
        <w:contextualSpacing/>
        <w:rPr>
          <w:bCs/>
          <w:color w:val="000000" w:themeColor="text1"/>
          <w:sz w:val="26"/>
          <w:szCs w:val="26"/>
        </w:rPr>
      </w:pPr>
      <w:r w:rsidRPr="00481242">
        <w:rPr>
          <w:color w:val="000000" w:themeColor="text1"/>
          <w:sz w:val="26"/>
          <w:szCs w:val="26"/>
        </w:rPr>
        <w:t xml:space="preserve">The Complainant contends that </w:t>
      </w:r>
      <w:r w:rsidR="006465C9">
        <w:rPr>
          <w:color w:val="000000" w:themeColor="text1"/>
          <w:sz w:val="26"/>
          <w:szCs w:val="26"/>
        </w:rPr>
        <w:t xml:space="preserve">the ALJ erred </w:t>
      </w:r>
      <w:r w:rsidR="00DD3BD7">
        <w:rPr>
          <w:color w:val="000000" w:themeColor="text1"/>
          <w:sz w:val="26"/>
          <w:szCs w:val="26"/>
        </w:rPr>
        <w:t xml:space="preserve">by not giving credence to his testimony or </w:t>
      </w:r>
      <w:r w:rsidR="00242BE7">
        <w:rPr>
          <w:color w:val="000000" w:themeColor="text1"/>
          <w:sz w:val="26"/>
          <w:szCs w:val="26"/>
        </w:rPr>
        <w:t xml:space="preserve">his </w:t>
      </w:r>
      <w:r w:rsidR="00DD3BD7">
        <w:rPr>
          <w:color w:val="000000" w:themeColor="text1"/>
          <w:sz w:val="26"/>
          <w:szCs w:val="26"/>
        </w:rPr>
        <w:t>filings</w:t>
      </w:r>
      <w:r w:rsidRPr="00481242">
        <w:rPr>
          <w:color w:val="000000" w:themeColor="text1"/>
          <w:sz w:val="26"/>
          <w:szCs w:val="26"/>
        </w:rPr>
        <w:t>.</w:t>
      </w:r>
      <w:r w:rsidR="009147D7">
        <w:rPr>
          <w:color w:val="000000" w:themeColor="text1"/>
          <w:sz w:val="26"/>
          <w:szCs w:val="26"/>
        </w:rPr>
        <w:t xml:space="preserve">  Mr. Ulmer </w:t>
      </w:r>
      <w:r w:rsidR="00B16DDD">
        <w:rPr>
          <w:color w:val="000000" w:themeColor="text1"/>
          <w:sz w:val="26"/>
          <w:szCs w:val="26"/>
        </w:rPr>
        <w:t>maintain</w:t>
      </w:r>
      <w:r w:rsidR="00732183">
        <w:rPr>
          <w:color w:val="000000" w:themeColor="text1"/>
          <w:sz w:val="26"/>
          <w:szCs w:val="26"/>
        </w:rPr>
        <w:t>s</w:t>
      </w:r>
      <w:r w:rsidR="00F71C0E">
        <w:rPr>
          <w:color w:val="000000" w:themeColor="text1"/>
          <w:sz w:val="26"/>
          <w:szCs w:val="26"/>
        </w:rPr>
        <w:t xml:space="preserve"> that</w:t>
      </w:r>
      <w:r w:rsidR="003C0A92">
        <w:rPr>
          <w:color w:val="000000" w:themeColor="text1"/>
          <w:sz w:val="26"/>
          <w:szCs w:val="26"/>
        </w:rPr>
        <w:t xml:space="preserve"> since </w:t>
      </w:r>
      <w:r w:rsidR="00840456">
        <w:rPr>
          <w:color w:val="000000" w:themeColor="text1"/>
          <w:sz w:val="26"/>
          <w:szCs w:val="26"/>
        </w:rPr>
        <w:t xml:space="preserve">the Company installed </w:t>
      </w:r>
      <w:r w:rsidR="003C0A92">
        <w:rPr>
          <w:color w:val="000000" w:themeColor="text1"/>
          <w:sz w:val="26"/>
          <w:szCs w:val="26"/>
        </w:rPr>
        <w:t>a smart meter on a pole at the corner of his property</w:t>
      </w:r>
      <w:r w:rsidR="00840456">
        <w:rPr>
          <w:color w:val="000000" w:themeColor="text1"/>
          <w:sz w:val="26"/>
          <w:szCs w:val="26"/>
        </w:rPr>
        <w:t>,</w:t>
      </w:r>
      <w:r w:rsidR="00F71C0E">
        <w:rPr>
          <w:color w:val="000000" w:themeColor="text1"/>
          <w:sz w:val="26"/>
          <w:szCs w:val="26"/>
        </w:rPr>
        <w:t xml:space="preserve"> </w:t>
      </w:r>
      <w:r w:rsidR="00840456">
        <w:rPr>
          <w:color w:val="000000" w:themeColor="text1"/>
          <w:sz w:val="26"/>
          <w:szCs w:val="26"/>
        </w:rPr>
        <w:t>he</w:t>
      </w:r>
      <w:r w:rsidR="00732183">
        <w:rPr>
          <w:color w:val="000000" w:themeColor="text1"/>
          <w:sz w:val="26"/>
          <w:szCs w:val="26"/>
        </w:rPr>
        <w:t xml:space="preserve"> suffer</w:t>
      </w:r>
      <w:r w:rsidR="00840456">
        <w:rPr>
          <w:color w:val="000000" w:themeColor="text1"/>
          <w:sz w:val="26"/>
          <w:szCs w:val="26"/>
        </w:rPr>
        <w:t>s</w:t>
      </w:r>
      <w:r w:rsidR="00732183">
        <w:rPr>
          <w:color w:val="000000" w:themeColor="text1"/>
          <w:sz w:val="26"/>
          <w:szCs w:val="26"/>
        </w:rPr>
        <w:t xml:space="preserve"> from</w:t>
      </w:r>
      <w:r w:rsidR="00F71C0E">
        <w:rPr>
          <w:color w:val="000000" w:themeColor="text1"/>
          <w:sz w:val="26"/>
          <w:szCs w:val="26"/>
        </w:rPr>
        <w:t xml:space="preserve"> </w:t>
      </w:r>
      <w:r w:rsidR="00A17324">
        <w:rPr>
          <w:color w:val="000000" w:themeColor="text1"/>
          <w:sz w:val="26"/>
          <w:szCs w:val="26"/>
        </w:rPr>
        <w:t xml:space="preserve">sleep </w:t>
      </w:r>
      <w:r w:rsidR="00F71C0E">
        <w:rPr>
          <w:color w:val="000000" w:themeColor="text1"/>
          <w:sz w:val="26"/>
          <w:szCs w:val="26"/>
        </w:rPr>
        <w:t xml:space="preserve">disruptions </w:t>
      </w:r>
      <w:r w:rsidR="003C0A92">
        <w:rPr>
          <w:color w:val="000000" w:themeColor="text1"/>
          <w:sz w:val="26"/>
          <w:szCs w:val="26"/>
        </w:rPr>
        <w:t xml:space="preserve">and </w:t>
      </w:r>
      <w:r w:rsidR="00E10EEA">
        <w:rPr>
          <w:color w:val="000000" w:themeColor="text1"/>
          <w:sz w:val="26"/>
          <w:szCs w:val="26"/>
        </w:rPr>
        <w:t>two of his animals</w:t>
      </w:r>
      <w:r w:rsidR="00A17324">
        <w:rPr>
          <w:color w:val="000000" w:themeColor="text1"/>
          <w:sz w:val="26"/>
          <w:szCs w:val="26"/>
        </w:rPr>
        <w:t xml:space="preserve"> have died</w:t>
      </w:r>
      <w:r w:rsidR="00E10EEA">
        <w:rPr>
          <w:color w:val="000000" w:themeColor="text1"/>
          <w:sz w:val="26"/>
          <w:szCs w:val="26"/>
        </w:rPr>
        <w:t>.  The Complainant submits that</w:t>
      </w:r>
      <w:r w:rsidR="002A2A73">
        <w:rPr>
          <w:color w:val="000000" w:themeColor="text1"/>
          <w:sz w:val="26"/>
          <w:szCs w:val="26"/>
        </w:rPr>
        <w:t xml:space="preserve"> </w:t>
      </w:r>
      <w:r w:rsidR="001151C7">
        <w:rPr>
          <w:color w:val="000000" w:themeColor="text1"/>
          <w:sz w:val="26"/>
          <w:szCs w:val="26"/>
        </w:rPr>
        <w:t>PPL</w:t>
      </w:r>
      <w:r w:rsidR="000A11E9">
        <w:rPr>
          <w:color w:val="000000" w:themeColor="text1"/>
          <w:sz w:val="26"/>
          <w:szCs w:val="26"/>
        </w:rPr>
        <w:t xml:space="preserve"> has refused to accommodate his health needs and that th</w:t>
      </w:r>
      <w:r w:rsidR="001151C7">
        <w:rPr>
          <w:color w:val="000000" w:themeColor="text1"/>
          <w:sz w:val="26"/>
          <w:szCs w:val="26"/>
        </w:rPr>
        <w:t xml:space="preserve">e Company is threatening </w:t>
      </w:r>
      <w:r w:rsidR="00B75B69">
        <w:rPr>
          <w:color w:val="000000" w:themeColor="text1"/>
          <w:sz w:val="26"/>
          <w:szCs w:val="26"/>
        </w:rPr>
        <w:t xml:space="preserve">service </w:t>
      </w:r>
      <w:r w:rsidR="00A81E89">
        <w:rPr>
          <w:color w:val="000000" w:themeColor="text1"/>
          <w:sz w:val="26"/>
          <w:szCs w:val="26"/>
        </w:rPr>
        <w:t xml:space="preserve">termination </w:t>
      </w:r>
      <w:r w:rsidR="001151C7">
        <w:rPr>
          <w:color w:val="000000" w:themeColor="text1"/>
          <w:sz w:val="26"/>
          <w:szCs w:val="26"/>
        </w:rPr>
        <w:t xml:space="preserve">if he does not allow PPL to </w:t>
      </w:r>
      <w:r w:rsidR="003431C3">
        <w:rPr>
          <w:color w:val="000000" w:themeColor="text1"/>
          <w:sz w:val="26"/>
          <w:szCs w:val="26"/>
        </w:rPr>
        <w:t>install a smart meter</w:t>
      </w:r>
      <w:r w:rsidR="00344930">
        <w:rPr>
          <w:color w:val="000000" w:themeColor="text1"/>
          <w:sz w:val="26"/>
          <w:szCs w:val="26"/>
        </w:rPr>
        <w:t xml:space="preserve"> on his home.</w:t>
      </w:r>
      <w:r w:rsidR="000A11E9">
        <w:rPr>
          <w:color w:val="000000" w:themeColor="text1"/>
          <w:sz w:val="26"/>
          <w:szCs w:val="26"/>
        </w:rPr>
        <w:t xml:space="preserve"> </w:t>
      </w:r>
      <w:r w:rsidR="00344930">
        <w:rPr>
          <w:color w:val="000000" w:themeColor="text1"/>
          <w:sz w:val="26"/>
          <w:szCs w:val="26"/>
        </w:rPr>
        <w:t xml:space="preserve"> </w:t>
      </w:r>
      <w:r w:rsidR="00350178">
        <w:rPr>
          <w:bCs/>
          <w:color w:val="000000" w:themeColor="text1"/>
          <w:sz w:val="26"/>
          <w:szCs w:val="26"/>
        </w:rPr>
        <w:t>The Complainant adds that this violates his</w:t>
      </w:r>
      <w:r w:rsidR="00A75462">
        <w:rPr>
          <w:bCs/>
          <w:color w:val="000000" w:themeColor="text1"/>
          <w:sz w:val="26"/>
          <w:szCs w:val="26"/>
        </w:rPr>
        <w:t xml:space="preserve"> Federal and state</w:t>
      </w:r>
      <w:r w:rsidR="00350178">
        <w:rPr>
          <w:bCs/>
          <w:color w:val="000000" w:themeColor="text1"/>
          <w:sz w:val="26"/>
          <w:szCs w:val="26"/>
        </w:rPr>
        <w:t xml:space="preserve"> constitutional rights</w:t>
      </w:r>
      <w:r w:rsidR="00A75462">
        <w:rPr>
          <w:bCs/>
          <w:color w:val="000000" w:themeColor="text1"/>
          <w:sz w:val="26"/>
          <w:szCs w:val="26"/>
        </w:rPr>
        <w:t>, as well as his rights under the ADA</w:t>
      </w:r>
      <w:r w:rsidR="003611A9">
        <w:rPr>
          <w:bCs/>
          <w:color w:val="000000" w:themeColor="text1"/>
          <w:sz w:val="26"/>
          <w:szCs w:val="26"/>
        </w:rPr>
        <w:t>,</w:t>
      </w:r>
      <w:r w:rsidR="00A75462">
        <w:rPr>
          <w:bCs/>
          <w:color w:val="000000" w:themeColor="text1"/>
          <w:sz w:val="26"/>
          <w:szCs w:val="26"/>
        </w:rPr>
        <w:t xml:space="preserve"> and Sect</w:t>
      </w:r>
      <w:r w:rsidR="003611A9">
        <w:rPr>
          <w:bCs/>
          <w:color w:val="000000" w:themeColor="text1"/>
          <w:sz w:val="26"/>
          <w:szCs w:val="26"/>
        </w:rPr>
        <w:t xml:space="preserve">ions 1501 and 1502 of the Code, </w:t>
      </w:r>
      <w:r w:rsidR="003611A9" w:rsidRPr="00481242">
        <w:rPr>
          <w:color w:val="000000" w:themeColor="text1"/>
          <w:sz w:val="26"/>
          <w:szCs w:val="26"/>
        </w:rPr>
        <w:t>66 Pa.</w:t>
      </w:r>
      <w:r w:rsidR="00B504A8">
        <w:rPr>
          <w:color w:val="000000" w:themeColor="text1"/>
          <w:sz w:val="26"/>
          <w:szCs w:val="26"/>
        </w:rPr>
        <w:t xml:space="preserve"> </w:t>
      </w:r>
      <w:r w:rsidR="003611A9" w:rsidRPr="00481242">
        <w:rPr>
          <w:color w:val="000000" w:themeColor="text1"/>
          <w:sz w:val="26"/>
          <w:szCs w:val="26"/>
        </w:rPr>
        <w:t>C.S.</w:t>
      </w:r>
      <w:r w:rsidR="003611A9">
        <w:rPr>
          <w:color w:val="000000" w:themeColor="text1"/>
          <w:sz w:val="26"/>
          <w:szCs w:val="26"/>
        </w:rPr>
        <w:t xml:space="preserve"> </w:t>
      </w:r>
      <w:r w:rsidR="003611A9" w:rsidRPr="00481242">
        <w:rPr>
          <w:color w:val="000000" w:themeColor="text1"/>
          <w:sz w:val="26"/>
          <w:szCs w:val="26"/>
        </w:rPr>
        <w:t>§ § 1501</w:t>
      </w:r>
      <w:r w:rsidR="009B5286">
        <w:rPr>
          <w:color w:val="000000" w:themeColor="text1"/>
          <w:sz w:val="26"/>
          <w:szCs w:val="26"/>
        </w:rPr>
        <w:t>, 1502</w:t>
      </w:r>
      <w:r w:rsidR="00350178">
        <w:rPr>
          <w:bCs/>
          <w:color w:val="000000" w:themeColor="text1"/>
          <w:sz w:val="26"/>
          <w:szCs w:val="26"/>
        </w:rPr>
        <w:t>.  Exc. at 2</w:t>
      </w:r>
      <w:r w:rsidR="009B5286">
        <w:rPr>
          <w:bCs/>
          <w:color w:val="000000" w:themeColor="text1"/>
          <w:sz w:val="26"/>
          <w:szCs w:val="26"/>
        </w:rPr>
        <w:t>-3</w:t>
      </w:r>
      <w:r w:rsidR="00350178">
        <w:rPr>
          <w:bCs/>
          <w:color w:val="000000" w:themeColor="text1"/>
          <w:sz w:val="26"/>
          <w:szCs w:val="26"/>
        </w:rPr>
        <w:t>.</w:t>
      </w:r>
    </w:p>
    <w:p w14:paraId="1F0DBE09" w14:textId="77777777" w:rsidR="001727F3" w:rsidRDefault="001727F3" w:rsidP="001727F3">
      <w:pPr>
        <w:widowControl/>
        <w:spacing w:line="360" w:lineRule="auto"/>
        <w:ind w:firstLine="1440"/>
        <w:rPr>
          <w:b/>
          <w:color w:val="000000" w:themeColor="text1"/>
          <w:sz w:val="26"/>
          <w:szCs w:val="26"/>
        </w:rPr>
      </w:pPr>
      <w:r w:rsidRPr="0032746D">
        <w:rPr>
          <w:b/>
          <w:color w:val="000000" w:themeColor="text1"/>
          <w:sz w:val="26"/>
          <w:szCs w:val="26"/>
        </w:rPr>
        <w:lastRenderedPageBreak/>
        <w:t xml:space="preserve">b. </w:t>
      </w:r>
      <w:r w:rsidRPr="0032746D">
        <w:rPr>
          <w:b/>
          <w:color w:val="000000" w:themeColor="text1"/>
          <w:sz w:val="26"/>
          <w:szCs w:val="26"/>
        </w:rPr>
        <w:tab/>
        <w:t>Replies</w:t>
      </w:r>
    </w:p>
    <w:bookmarkEnd w:id="17"/>
    <w:p w14:paraId="1838E5EE" w14:textId="77777777" w:rsidR="006E2589" w:rsidRPr="006E2589" w:rsidRDefault="006E2589" w:rsidP="006E2589">
      <w:pPr>
        <w:pStyle w:val="ListParagraph"/>
        <w:widowControl/>
        <w:spacing w:line="360" w:lineRule="auto"/>
        <w:ind w:left="1800"/>
        <w:rPr>
          <w:b/>
          <w:color w:val="000000" w:themeColor="text1"/>
          <w:sz w:val="26"/>
          <w:szCs w:val="26"/>
        </w:rPr>
      </w:pPr>
    </w:p>
    <w:p w14:paraId="3AA59B03" w14:textId="4D3D12E3" w:rsidR="006E2589" w:rsidRDefault="006E2589" w:rsidP="006E2589">
      <w:pPr>
        <w:widowControl/>
        <w:spacing w:line="360" w:lineRule="auto"/>
        <w:ind w:firstLine="1440"/>
        <w:rPr>
          <w:color w:val="000000" w:themeColor="text1"/>
          <w:sz w:val="26"/>
          <w:szCs w:val="26"/>
        </w:rPr>
      </w:pPr>
      <w:r w:rsidRPr="00481242">
        <w:rPr>
          <w:color w:val="000000" w:themeColor="text1"/>
          <w:sz w:val="26"/>
          <w:szCs w:val="26"/>
        </w:rPr>
        <w:t>PPL asserts that the ALJ properly concluded that t</w:t>
      </w:r>
      <w:r>
        <w:rPr>
          <w:color w:val="000000" w:themeColor="text1"/>
          <w:sz w:val="26"/>
          <w:szCs w:val="26"/>
        </w:rPr>
        <w:t>here</w:t>
      </w:r>
      <w:r w:rsidRPr="00481242">
        <w:rPr>
          <w:color w:val="000000" w:themeColor="text1"/>
          <w:sz w:val="26"/>
          <w:szCs w:val="26"/>
        </w:rPr>
        <w:t xml:space="preserve"> was no reliable scientific or medical basis to conclude that the AMI meter will cause</w:t>
      </w:r>
      <w:r>
        <w:rPr>
          <w:color w:val="000000" w:themeColor="text1"/>
          <w:sz w:val="26"/>
          <w:szCs w:val="26"/>
        </w:rPr>
        <w:t>,</w:t>
      </w:r>
      <w:r w:rsidRPr="00481242">
        <w:rPr>
          <w:color w:val="000000" w:themeColor="text1"/>
          <w:sz w:val="26"/>
          <w:szCs w:val="26"/>
        </w:rPr>
        <w:t xml:space="preserve"> contribute to</w:t>
      </w:r>
      <w:r>
        <w:rPr>
          <w:color w:val="000000" w:themeColor="text1"/>
          <w:sz w:val="26"/>
          <w:szCs w:val="26"/>
        </w:rPr>
        <w:t xml:space="preserve">, or exacerbate </w:t>
      </w:r>
      <w:r w:rsidRPr="00481242">
        <w:rPr>
          <w:color w:val="000000" w:themeColor="text1"/>
          <w:sz w:val="26"/>
          <w:szCs w:val="26"/>
        </w:rPr>
        <w:t>any adverse health effects</w:t>
      </w:r>
      <w:r>
        <w:rPr>
          <w:color w:val="000000" w:themeColor="text1"/>
          <w:sz w:val="26"/>
          <w:szCs w:val="26"/>
        </w:rPr>
        <w:t xml:space="preserve">, including any of the symptoms claimed by the Complainant, </w:t>
      </w:r>
      <w:r w:rsidRPr="00481242">
        <w:rPr>
          <w:color w:val="000000" w:themeColor="text1"/>
          <w:sz w:val="26"/>
          <w:szCs w:val="26"/>
        </w:rPr>
        <w:t>or cause</w:t>
      </w:r>
      <w:r>
        <w:rPr>
          <w:color w:val="000000" w:themeColor="text1"/>
          <w:sz w:val="26"/>
          <w:szCs w:val="26"/>
        </w:rPr>
        <w:t xml:space="preserve"> or</w:t>
      </w:r>
      <w:r w:rsidRPr="00481242">
        <w:rPr>
          <w:color w:val="000000" w:themeColor="text1"/>
          <w:sz w:val="26"/>
          <w:szCs w:val="26"/>
        </w:rPr>
        <w:t xml:space="preserve"> contribute to</w:t>
      </w:r>
      <w:r>
        <w:rPr>
          <w:color w:val="000000" w:themeColor="text1"/>
          <w:sz w:val="26"/>
          <w:szCs w:val="26"/>
        </w:rPr>
        <w:t xml:space="preserve"> </w:t>
      </w:r>
      <w:r w:rsidRPr="00481242">
        <w:rPr>
          <w:color w:val="000000" w:themeColor="text1"/>
          <w:sz w:val="26"/>
          <w:szCs w:val="26"/>
        </w:rPr>
        <w:t>the development of illness or disease.  R. Exc. at</w:t>
      </w:r>
      <w:r w:rsidR="002B035F">
        <w:rPr>
          <w:color w:val="000000" w:themeColor="text1"/>
          <w:sz w:val="26"/>
          <w:szCs w:val="26"/>
        </w:rPr>
        <w:t> </w:t>
      </w:r>
      <w:r>
        <w:rPr>
          <w:color w:val="000000" w:themeColor="text1"/>
          <w:sz w:val="26"/>
          <w:szCs w:val="26"/>
        </w:rPr>
        <w:t>3</w:t>
      </w:r>
      <w:r w:rsidRPr="00481242">
        <w:rPr>
          <w:color w:val="000000" w:themeColor="text1"/>
          <w:sz w:val="26"/>
          <w:szCs w:val="26"/>
        </w:rPr>
        <w:t>-</w:t>
      </w:r>
      <w:r>
        <w:rPr>
          <w:color w:val="000000" w:themeColor="text1"/>
          <w:sz w:val="26"/>
          <w:szCs w:val="26"/>
        </w:rPr>
        <w:t>4</w:t>
      </w:r>
      <w:r w:rsidRPr="00481242">
        <w:rPr>
          <w:color w:val="000000" w:themeColor="text1"/>
          <w:sz w:val="26"/>
          <w:szCs w:val="26"/>
        </w:rPr>
        <w:t xml:space="preserve"> (citing I.D. at 1</w:t>
      </w:r>
      <w:r>
        <w:rPr>
          <w:color w:val="000000" w:themeColor="text1"/>
          <w:sz w:val="26"/>
          <w:szCs w:val="26"/>
        </w:rPr>
        <w:t>2</w:t>
      </w:r>
      <w:r w:rsidRPr="00481242">
        <w:rPr>
          <w:color w:val="000000" w:themeColor="text1"/>
          <w:sz w:val="26"/>
          <w:szCs w:val="26"/>
        </w:rPr>
        <w:t>-1</w:t>
      </w:r>
      <w:r>
        <w:rPr>
          <w:color w:val="000000" w:themeColor="text1"/>
          <w:sz w:val="26"/>
          <w:szCs w:val="26"/>
        </w:rPr>
        <w:t>7</w:t>
      </w:r>
      <w:r w:rsidRPr="00481242">
        <w:rPr>
          <w:color w:val="000000" w:themeColor="text1"/>
          <w:sz w:val="26"/>
          <w:szCs w:val="26"/>
        </w:rPr>
        <w:t xml:space="preserve">).  </w:t>
      </w:r>
      <w:r w:rsidR="001076EF">
        <w:rPr>
          <w:color w:val="000000" w:themeColor="text1"/>
          <w:sz w:val="26"/>
          <w:szCs w:val="26"/>
        </w:rPr>
        <w:t xml:space="preserve">According to </w:t>
      </w:r>
      <w:r w:rsidR="00D711EC">
        <w:rPr>
          <w:color w:val="000000" w:themeColor="text1"/>
          <w:sz w:val="26"/>
          <w:szCs w:val="26"/>
        </w:rPr>
        <w:t>the Company</w:t>
      </w:r>
      <w:r w:rsidR="001076EF">
        <w:rPr>
          <w:color w:val="000000" w:themeColor="text1"/>
          <w:sz w:val="26"/>
          <w:szCs w:val="26"/>
        </w:rPr>
        <w:t>,</w:t>
      </w:r>
      <w:r w:rsidRPr="00481242">
        <w:rPr>
          <w:color w:val="000000" w:themeColor="text1"/>
          <w:sz w:val="26"/>
          <w:szCs w:val="26"/>
        </w:rPr>
        <w:t xml:space="preserve"> the ALJ relied upon </w:t>
      </w:r>
      <w:r w:rsidR="00850232">
        <w:rPr>
          <w:color w:val="000000" w:themeColor="text1"/>
          <w:sz w:val="26"/>
          <w:szCs w:val="26"/>
        </w:rPr>
        <w:t xml:space="preserve">the </w:t>
      </w:r>
      <w:r w:rsidRPr="00481242">
        <w:rPr>
          <w:color w:val="000000" w:themeColor="text1"/>
          <w:sz w:val="26"/>
          <w:szCs w:val="26"/>
        </w:rPr>
        <w:t>credible and reliable expert testimony of Dr. Israel and Dr. Davis</w:t>
      </w:r>
      <w:r w:rsidR="001A42C0">
        <w:rPr>
          <w:color w:val="000000" w:themeColor="text1"/>
          <w:sz w:val="26"/>
          <w:szCs w:val="26"/>
        </w:rPr>
        <w:t>,</w:t>
      </w:r>
      <w:r w:rsidRPr="00481242">
        <w:rPr>
          <w:color w:val="000000" w:themeColor="text1"/>
          <w:sz w:val="26"/>
          <w:szCs w:val="26"/>
        </w:rPr>
        <w:t xml:space="preserve"> </w:t>
      </w:r>
      <w:r w:rsidR="001076EF">
        <w:rPr>
          <w:color w:val="000000" w:themeColor="text1"/>
          <w:sz w:val="26"/>
          <w:szCs w:val="26"/>
        </w:rPr>
        <w:t>“</w:t>
      </w:r>
      <w:r w:rsidRPr="00481242">
        <w:rPr>
          <w:color w:val="000000" w:themeColor="text1"/>
          <w:sz w:val="26"/>
          <w:szCs w:val="26"/>
        </w:rPr>
        <w:t>refuting the Complainant’s bald assertions that the AMI meter could cause or contribute to adverse health effects.</w:t>
      </w:r>
      <w:r w:rsidR="001076EF">
        <w:rPr>
          <w:color w:val="000000" w:themeColor="text1"/>
          <w:sz w:val="26"/>
          <w:szCs w:val="26"/>
        </w:rPr>
        <w:t>”</w:t>
      </w:r>
      <w:r w:rsidRPr="00481242">
        <w:rPr>
          <w:color w:val="000000" w:themeColor="text1"/>
          <w:sz w:val="26"/>
          <w:szCs w:val="26"/>
        </w:rPr>
        <w:t xml:space="preserve">  R. Exc. at </w:t>
      </w:r>
      <w:r>
        <w:rPr>
          <w:color w:val="000000" w:themeColor="text1"/>
          <w:sz w:val="26"/>
          <w:szCs w:val="26"/>
        </w:rPr>
        <w:t>4</w:t>
      </w:r>
      <w:r w:rsidRPr="00481242">
        <w:rPr>
          <w:color w:val="000000" w:themeColor="text1"/>
          <w:sz w:val="26"/>
          <w:szCs w:val="26"/>
        </w:rPr>
        <w:t xml:space="preserve"> (citing PPL St. 1 at 5-16; PPL </w:t>
      </w:r>
      <w:proofErr w:type="spellStart"/>
      <w:r w:rsidRPr="00481242">
        <w:rPr>
          <w:color w:val="000000" w:themeColor="text1"/>
          <w:sz w:val="26"/>
          <w:szCs w:val="26"/>
        </w:rPr>
        <w:t>Exhs</w:t>
      </w:r>
      <w:proofErr w:type="spellEnd"/>
      <w:r w:rsidRPr="00481242">
        <w:rPr>
          <w:color w:val="000000" w:themeColor="text1"/>
          <w:sz w:val="26"/>
          <w:szCs w:val="26"/>
        </w:rPr>
        <w:t>. CD-1 through CD-5; PPL St. 2 at 7-1</w:t>
      </w:r>
      <w:r>
        <w:rPr>
          <w:color w:val="000000" w:themeColor="text1"/>
          <w:sz w:val="26"/>
          <w:szCs w:val="26"/>
        </w:rPr>
        <w:t>9</w:t>
      </w:r>
      <w:r w:rsidRPr="00481242">
        <w:rPr>
          <w:color w:val="000000" w:themeColor="text1"/>
          <w:sz w:val="26"/>
          <w:szCs w:val="26"/>
        </w:rPr>
        <w:t xml:space="preserve">; PPL </w:t>
      </w:r>
      <w:proofErr w:type="spellStart"/>
      <w:r w:rsidRPr="00481242">
        <w:rPr>
          <w:color w:val="000000" w:themeColor="text1"/>
          <w:sz w:val="26"/>
          <w:szCs w:val="26"/>
        </w:rPr>
        <w:t>Exhs</w:t>
      </w:r>
      <w:proofErr w:type="spellEnd"/>
      <w:r w:rsidRPr="00481242">
        <w:rPr>
          <w:color w:val="000000" w:themeColor="text1"/>
          <w:sz w:val="26"/>
          <w:szCs w:val="26"/>
        </w:rPr>
        <w:t xml:space="preserve">. MI-1 through MI-3).  PPL cites to and recounts the record evidence it presented through expert witnesses Dr. Davis and Dr. Israel, as summarized and considered by the ALJ in the Initial Decision based on the record.  R. Exc. at </w:t>
      </w:r>
      <w:r>
        <w:rPr>
          <w:color w:val="000000" w:themeColor="text1"/>
          <w:sz w:val="26"/>
          <w:szCs w:val="26"/>
        </w:rPr>
        <w:t>4</w:t>
      </w:r>
      <w:r w:rsidRPr="00481242">
        <w:rPr>
          <w:color w:val="000000" w:themeColor="text1"/>
          <w:sz w:val="26"/>
          <w:szCs w:val="26"/>
        </w:rPr>
        <w:t>-</w:t>
      </w:r>
      <w:r>
        <w:rPr>
          <w:color w:val="000000" w:themeColor="text1"/>
          <w:sz w:val="26"/>
          <w:szCs w:val="26"/>
        </w:rPr>
        <w:t>9</w:t>
      </w:r>
      <w:r w:rsidRPr="00481242">
        <w:rPr>
          <w:color w:val="000000" w:themeColor="text1"/>
          <w:sz w:val="26"/>
          <w:szCs w:val="26"/>
        </w:rPr>
        <w:t xml:space="preserve">.  </w:t>
      </w:r>
    </w:p>
    <w:p w14:paraId="74A15BCF" w14:textId="481DC8D5" w:rsidR="00BB73C8" w:rsidRDefault="00BB73C8" w:rsidP="006E2589">
      <w:pPr>
        <w:widowControl/>
        <w:spacing w:line="360" w:lineRule="auto"/>
        <w:ind w:firstLine="1440"/>
        <w:rPr>
          <w:color w:val="000000" w:themeColor="text1"/>
          <w:sz w:val="26"/>
          <w:szCs w:val="26"/>
        </w:rPr>
      </w:pPr>
    </w:p>
    <w:p w14:paraId="79FB1F9F" w14:textId="698D9615" w:rsidR="00BB73C8" w:rsidRDefault="00BB73C8" w:rsidP="00BB73C8">
      <w:pPr>
        <w:widowControl/>
        <w:spacing w:line="360" w:lineRule="auto"/>
        <w:ind w:firstLine="1440"/>
        <w:rPr>
          <w:color w:val="000000" w:themeColor="text1"/>
          <w:sz w:val="26"/>
          <w:szCs w:val="26"/>
        </w:rPr>
      </w:pPr>
      <w:r w:rsidRPr="004801CC">
        <w:rPr>
          <w:color w:val="000000" w:themeColor="text1"/>
          <w:sz w:val="26"/>
          <w:szCs w:val="26"/>
        </w:rPr>
        <w:t xml:space="preserve">PPL submits that </w:t>
      </w:r>
      <w:r>
        <w:rPr>
          <w:color w:val="000000" w:themeColor="text1"/>
          <w:sz w:val="26"/>
          <w:szCs w:val="26"/>
        </w:rPr>
        <w:t xml:space="preserve">based on the evidence presented, </w:t>
      </w:r>
      <w:r w:rsidRPr="004801CC">
        <w:rPr>
          <w:color w:val="000000" w:themeColor="text1"/>
          <w:sz w:val="26"/>
          <w:szCs w:val="26"/>
        </w:rPr>
        <w:t>the ALJ correctly concluded that the Complainant’s</w:t>
      </w:r>
      <w:r>
        <w:rPr>
          <w:color w:val="000000" w:themeColor="text1"/>
          <w:sz w:val="26"/>
          <w:szCs w:val="26"/>
        </w:rPr>
        <w:t xml:space="preserve"> </w:t>
      </w:r>
      <w:r w:rsidRPr="004801CC">
        <w:rPr>
          <w:color w:val="000000" w:themeColor="text1"/>
          <w:sz w:val="26"/>
          <w:szCs w:val="26"/>
        </w:rPr>
        <w:t xml:space="preserve">allegations were insufficient to sustain his burden of proof because they were based on his </w:t>
      </w:r>
      <w:r w:rsidR="0007368A">
        <w:rPr>
          <w:color w:val="000000" w:themeColor="text1"/>
          <w:sz w:val="26"/>
          <w:szCs w:val="26"/>
        </w:rPr>
        <w:t xml:space="preserve">lay, or </w:t>
      </w:r>
      <w:r w:rsidRPr="004801CC">
        <w:rPr>
          <w:color w:val="000000" w:themeColor="text1"/>
          <w:sz w:val="26"/>
          <w:szCs w:val="26"/>
        </w:rPr>
        <w:t>non-expert</w:t>
      </w:r>
      <w:r w:rsidR="0007368A">
        <w:rPr>
          <w:color w:val="000000" w:themeColor="text1"/>
          <w:sz w:val="26"/>
          <w:szCs w:val="26"/>
        </w:rPr>
        <w:t>,</w:t>
      </w:r>
      <w:r w:rsidRPr="004801CC">
        <w:rPr>
          <w:color w:val="000000" w:themeColor="text1"/>
          <w:sz w:val="26"/>
          <w:szCs w:val="26"/>
        </w:rPr>
        <w:t xml:space="preserve"> opinion and, to a large extent, based on unnamed hearsay materials.  R. Exc. at 9 (citing I.D. at 13, 15, 22).</w:t>
      </w:r>
      <w:r>
        <w:rPr>
          <w:color w:val="000000" w:themeColor="text1"/>
          <w:sz w:val="26"/>
          <w:szCs w:val="26"/>
        </w:rPr>
        <w:t xml:space="preserve"> </w:t>
      </w:r>
      <w:r w:rsidRPr="004801CC">
        <w:rPr>
          <w:color w:val="000000" w:themeColor="text1"/>
          <w:sz w:val="26"/>
          <w:szCs w:val="26"/>
        </w:rPr>
        <w:t xml:space="preserve"> </w:t>
      </w:r>
      <w:r w:rsidR="00BE4AA0">
        <w:rPr>
          <w:color w:val="000000" w:themeColor="text1"/>
          <w:sz w:val="26"/>
          <w:szCs w:val="26"/>
        </w:rPr>
        <w:t>The Company</w:t>
      </w:r>
      <w:r w:rsidR="00E35408">
        <w:rPr>
          <w:color w:val="000000" w:themeColor="text1"/>
          <w:sz w:val="26"/>
          <w:szCs w:val="26"/>
        </w:rPr>
        <w:t xml:space="preserve"> states</w:t>
      </w:r>
      <w:r w:rsidRPr="00B116BB">
        <w:rPr>
          <w:color w:val="000000" w:themeColor="text1"/>
          <w:sz w:val="26"/>
          <w:szCs w:val="26"/>
        </w:rPr>
        <w:t xml:space="preserve"> that it presented overwhelming evidence through its scientific and medical expert witnesses, Dr. Davis and Dr. Israel, to support the ALJ’s finding that there is no reliable basis to conclude that the new AMI meter will cause</w:t>
      </w:r>
      <w:r w:rsidR="0052681C">
        <w:rPr>
          <w:color w:val="000000" w:themeColor="text1"/>
          <w:sz w:val="26"/>
          <w:szCs w:val="26"/>
        </w:rPr>
        <w:t>,</w:t>
      </w:r>
      <w:r w:rsidRPr="00B116BB">
        <w:rPr>
          <w:color w:val="000000" w:themeColor="text1"/>
          <w:sz w:val="26"/>
          <w:szCs w:val="26"/>
        </w:rPr>
        <w:t xml:space="preserve"> or contribute to</w:t>
      </w:r>
      <w:r w:rsidR="0052681C">
        <w:rPr>
          <w:color w:val="000000" w:themeColor="text1"/>
          <w:sz w:val="26"/>
          <w:szCs w:val="26"/>
        </w:rPr>
        <w:t>,</w:t>
      </w:r>
      <w:r w:rsidRPr="00B116BB">
        <w:rPr>
          <w:color w:val="000000" w:themeColor="text1"/>
          <w:sz w:val="26"/>
          <w:szCs w:val="26"/>
        </w:rPr>
        <w:t xml:space="preserve"> any adverse health effects.  </w:t>
      </w:r>
      <w:r w:rsidRPr="009D5B00">
        <w:rPr>
          <w:color w:val="000000" w:themeColor="text1"/>
          <w:sz w:val="26"/>
          <w:szCs w:val="26"/>
        </w:rPr>
        <w:t>R. Exc. at 9.</w:t>
      </w:r>
      <w:r>
        <w:rPr>
          <w:color w:val="000000" w:themeColor="text1"/>
          <w:sz w:val="26"/>
          <w:szCs w:val="26"/>
        </w:rPr>
        <w:t xml:space="preserve">  </w:t>
      </w:r>
    </w:p>
    <w:p w14:paraId="31F90F19" w14:textId="77777777" w:rsidR="00BB73C8" w:rsidRDefault="00BB73C8" w:rsidP="00BB73C8">
      <w:pPr>
        <w:widowControl/>
        <w:spacing w:line="360" w:lineRule="auto"/>
        <w:ind w:firstLine="1440"/>
        <w:rPr>
          <w:color w:val="000000" w:themeColor="text1"/>
          <w:sz w:val="26"/>
          <w:szCs w:val="26"/>
        </w:rPr>
      </w:pPr>
    </w:p>
    <w:p w14:paraId="3AC50122" w14:textId="5303F70A" w:rsidR="00BB73C8" w:rsidRDefault="00BB73C8" w:rsidP="002B035F">
      <w:pPr>
        <w:widowControl/>
        <w:spacing w:line="360" w:lineRule="auto"/>
        <w:ind w:firstLine="1440"/>
        <w:rPr>
          <w:sz w:val="26"/>
          <w:szCs w:val="26"/>
        </w:rPr>
      </w:pPr>
      <w:r w:rsidRPr="00102E10">
        <w:rPr>
          <w:sz w:val="26"/>
          <w:szCs w:val="26"/>
        </w:rPr>
        <w:t xml:space="preserve">PPL maintains that the Complainant failed to recognize the burden of proof applied by the Commission in this proceeding.  </w:t>
      </w:r>
      <w:r>
        <w:rPr>
          <w:sz w:val="26"/>
          <w:szCs w:val="26"/>
        </w:rPr>
        <w:t>The Company</w:t>
      </w:r>
      <w:r w:rsidRPr="00102E10">
        <w:rPr>
          <w:sz w:val="26"/>
          <w:szCs w:val="26"/>
        </w:rPr>
        <w:t xml:space="preserve"> provides that</w:t>
      </w:r>
      <w:r w:rsidR="0052681C">
        <w:rPr>
          <w:sz w:val="26"/>
          <w:szCs w:val="26"/>
        </w:rPr>
        <w:t>,</w:t>
      </w:r>
      <w:r w:rsidRPr="00102E10">
        <w:rPr>
          <w:sz w:val="26"/>
          <w:szCs w:val="26"/>
        </w:rPr>
        <w:t xml:space="preserve"> it is well-established that</w:t>
      </w:r>
      <w:r w:rsidR="0052681C">
        <w:rPr>
          <w:sz w:val="26"/>
          <w:szCs w:val="26"/>
        </w:rPr>
        <w:t>,</w:t>
      </w:r>
      <w:r w:rsidRPr="00102E10">
        <w:rPr>
          <w:sz w:val="26"/>
          <w:szCs w:val="26"/>
        </w:rPr>
        <w:t xml:space="preserve"> </w:t>
      </w:r>
      <w:r w:rsidR="0052681C">
        <w:rPr>
          <w:sz w:val="26"/>
          <w:szCs w:val="26"/>
        </w:rPr>
        <w:t>“</w:t>
      </w:r>
      <w:r w:rsidRPr="00102E10">
        <w:rPr>
          <w:sz w:val="26"/>
          <w:szCs w:val="26"/>
        </w:rPr>
        <w:t xml:space="preserve">[p]roof of causation is required in order to prevail under Section 1501.”  R. Exc. at </w:t>
      </w:r>
      <w:r>
        <w:rPr>
          <w:sz w:val="26"/>
          <w:szCs w:val="26"/>
        </w:rPr>
        <w:t>9</w:t>
      </w:r>
      <w:r w:rsidRPr="00102E10">
        <w:rPr>
          <w:sz w:val="26"/>
          <w:szCs w:val="26"/>
        </w:rPr>
        <w:t xml:space="preserve"> (citing </w:t>
      </w:r>
      <w:r w:rsidRPr="00102E10">
        <w:rPr>
          <w:i/>
          <w:iCs/>
          <w:sz w:val="26"/>
          <w:szCs w:val="26"/>
        </w:rPr>
        <w:t>Hoffman-</w:t>
      </w:r>
      <w:proofErr w:type="spellStart"/>
      <w:r w:rsidRPr="00102E10">
        <w:rPr>
          <w:i/>
          <w:iCs/>
          <w:sz w:val="26"/>
          <w:szCs w:val="26"/>
        </w:rPr>
        <w:t>Lorah</w:t>
      </w:r>
      <w:proofErr w:type="spellEnd"/>
      <w:r w:rsidRPr="00102E10">
        <w:rPr>
          <w:i/>
          <w:iCs/>
          <w:sz w:val="26"/>
          <w:szCs w:val="26"/>
        </w:rPr>
        <w:t xml:space="preserve"> v. PPL Ele</w:t>
      </w:r>
      <w:r>
        <w:rPr>
          <w:i/>
          <w:iCs/>
          <w:sz w:val="26"/>
          <w:szCs w:val="26"/>
        </w:rPr>
        <w:t>ctric</w:t>
      </w:r>
      <w:r w:rsidRPr="00102E10">
        <w:rPr>
          <w:i/>
          <w:iCs/>
          <w:sz w:val="26"/>
          <w:szCs w:val="26"/>
        </w:rPr>
        <w:t xml:space="preserve"> Util</w:t>
      </w:r>
      <w:r>
        <w:rPr>
          <w:i/>
          <w:iCs/>
          <w:sz w:val="26"/>
          <w:szCs w:val="26"/>
        </w:rPr>
        <w:t>ities</w:t>
      </w:r>
      <w:r w:rsidRPr="00102E10">
        <w:rPr>
          <w:i/>
          <w:iCs/>
          <w:sz w:val="26"/>
          <w:szCs w:val="26"/>
        </w:rPr>
        <w:t xml:space="preserve"> Corp</w:t>
      </w:r>
      <w:r w:rsidRPr="00102E10">
        <w:rPr>
          <w:sz w:val="26"/>
          <w:szCs w:val="26"/>
        </w:rPr>
        <w:t>., 2019 Pa. PUC LEXIS 195, at *62 (Order entered May 23, 2019), appeal pending, 712 C.D. 2019</w:t>
      </w:r>
      <w:r>
        <w:rPr>
          <w:sz w:val="26"/>
          <w:szCs w:val="26"/>
        </w:rPr>
        <w:t xml:space="preserve"> </w:t>
      </w:r>
      <w:r>
        <w:rPr>
          <w:sz w:val="26"/>
          <w:szCs w:val="26"/>
        </w:rPr>
        <w:lastRenderedPageBreak/>
        <w:t>(</w:t>
      </w:r>
      <w:r w:rsidRPr="00926A62">
        <w:rPr>
          <w:i/>
          <w:iCs/>
          <w:sz w:val="26"/>
          <w:szCs w:val="26"/>
        </w:rPr>
        <w:t>Hoffman</w:t>
      </w:r>
      <w:r w:rsidR="00611EF9">
        <w:rPr>
          <w:i/>
          <w:iCs/>
          <w:sz w:val="26"/>
          <w:szCs w:val="26"/>
        </w:rPr>
        <w:noBreakHyphen/>
      </w:r>
      <w:proofErr w:type="spellStart"/>
      <w:r w:rsidRPr="00926A62">
        <w:rPr>
          <w:i/>
          <w:iCs/>
          <w:sz w:val="26"/>
          <w:szCs w:val="26"/>
        </w:rPr>
        <w:t>Lorah</w:t>
      </w:r>
      <w:proofErr w:type="spellEnd"/>
      <w:r>
        <w:rPr>
          <w:sz w:val="26"/>
          <w:szCs w:val="26"/>
        </w:rPr>
        <w:t>)</w:t>
      </w:r>
      <w:r w:rsidRPr="00102E10">
        <w:rPr>
          <w:sz w:val="26"/>
          <w:szCs w:val="26"/>
        </w:rPr>
        <w:t xml:space="preserve">).  PPL </w:t>
      </w:r>
      <w:r w:rsidR="00D711EC">
        <w:rPr>
          <w:sz w:val="26"/>
          <w:szCs w:val="26"/>
        </w:rPr>
        <w:t>notes</w:t>
      </w:r>
      <w:r w:rsidRPr="00102E10">
        <w:rPr>
          <w:sz w:val="26"/>
          <w:szCs w:val="26"/>
        </w:rPr>
        <w:t xml:space="preserve"> that</w:t>
      </w:r>
      <w:r w:rsidR="0052681C">
        <w:rPr>
          <w:sz w:val="26"/>
          <w:szCs w:val="26"/>
        </w:rPr>
        <w:t>,</w:t>
      </w:r>
      <w:r w:rsidRPr="00102E10">
        <w:rPr>
          <w:sz w:val="26"/>
          <w:szCs w:val="26"/>
        </w:rPr>
        <w:t xml:space="preserve"> it is not sufficient to merely demonstrate “a potential for harm.”  R. Exc. at </w:t>
      </w:r>
      <w:r>
        <w:rPr>
          <w:sz w:val="26"/>
          <w:szCs w:val="26"/>
        </w:rPr>
        <w:t>9</w:t>
      </w:r>
      <w:r w:rsidRPr="00102E10">
        <w:rPr>
          <w:sz w:val="26"/>
          <w:szCs w:val="26"/>
        </w:rPr>
        <w:t xml:space="preserve"> (citing </w:t>
      </w:r>
      <w:r w:rsidRPr="00102E10">
        <w:rPr>
          <w:i/>
          <w:iCs/>
          <w:sz w:val="26"/>
          <w:szCs w:val="26"/>
        </w:rPr>
        <w:t>Hoffman-</w:t>
      </w:r>
      <w:proofErr w:type="spellStart"/>
      <w:r w:rsidRPr="00102E10">
        <w:rPr>
          <w:i/>
          <w:iCs/>
          <w:sz w:val="26"/>
          <w:szCs w:val="26"/>
        </w:rPr>
        <w:t>Lorah</w:t>
      </w:r>
      <w:proofErr w:type="spellEnd"/>
      <w:r w:rsidRPr="00102E10">
        <w:rPr>
          <w:sz w:val="26"/>
          <w:szCs w:val="26"/>
        </w:rPr>
        <w:t>, 2019 Pa. PUC LEXIS</w:t>
      </w:r>
      <w:r>
        <w:rPr>
          <w:sz w:val="26"/>
          <w:szCs w:val="26"/>
        </w:rPr>
        <w:t xml:space="preserve"> 195,</w:t>
      </w:r>
      <w:r w:rsidRPr="00102E10">
        <w:rPr>
          <w:sz w:val="26"/>
          <w:szCs w:val="26"/>
        </w:rPr>
        <w:t xml:space="preserve"> at </w:t>
      </w:r>
      <w:r>
        <w:rPr>
          <w:sz w:val="26"/>
          <w:szCs w:val="26"/>
        </w:rPr>
        <w:t>*</w:t>
      </w:r>
      <w:r w:rsidRPr="00102E10">
        <w:rPr>
          <w:sz w:val="26"/>
          <w:szCs w:val="26"/>
        </w:rPr>
        <w:t xml:space="preserve">62).  </w:t>
      </w:r>
    </w:p>
    <w:p w14:paraId="01D848CE" w14:textId="616DA76E" w:rsidR="007F525B" w:rsidRDefault="007F525B" w:rsidP="00BB73C8">
      <w:pPr>
        <w:spacing w:line="360" w:lineRule="auto"/>
        <w:ind w:firstLine="1440"/>
        <w:rPr>
          <w:sz w:val="26"/>
          <w:szCs w:val="26"/>
        </w:rPr>
      </w:pPr>
    </w:p>
    <w:p w14:paraId="5BE8C03E" w14:textId="77777777" w:rsidR="007F525B" w:rsidRDefault="007F525B" w:rsidP="007F525B">
      <w:pPr>
        <w:spacing w:line="360" w:lineRule="auto"/>
        <w:ind w:firstLine="1440"/>
        <w:contextualSpacing/>
        <w:rPr>
          <w:sz w:val="26"/>
          <w:szCs w:val="26"/>
        </w:rPr>
      </w:pPr>
      <w:r>
        <w:rPr>
          <w:sz w:val="26"/>
          <w:szCs w:val="26"/>
        </w:rPr>
        <w:t xml:space="preserve">PPL states that the Commission lacks the jurisdiction to interpret and enforce the ADA, adding that this lack of jurisdiction is well-established.  R. Exc. at 16 (citing </w:t>
      </w:r>
      <w:proofErr w:type="spellStart"/>
      <w:r w:rsidRPr="00F2338C">
        <w:rPr>
          <w:i/>
          <w:iCs/>
          <w:sz w:val="26"/>
          <w:szCs w:val="26"/>
        </w:rPr>
        <w:t>Frompovich</w:t>
      </w:r>
      <w:proofErr w:type="spellEnd"/>
      <w:r>
        <w:rPr>
          <w:sz w:val="26"/>
          <w:szCs w:val="26"/>
        </w:rPr>
        <w:t xml:space="preserve">, 2018 Pa. PUC LEXIS 160, at *69).  The Company notes that it “has only those powers which are expressly conferred upon it by the Legislature and those powers which arise by necessary implication.”  R. Exc. at 16-17 (citing </w:t>
      </w:r>
      <w:r w:rsidRPr="0024149B">
        <w:rPr>
          <w:i/>
          <w:iCs/>
          <w:sz w:val="26"/>
          <w:szCs w:val="26"/>
        </w:rPr>
        <w:t>Feingold v. Bell</w:t>
      </w:r>
      <w:r>
        <w:rPr>
          <w:sz w:val="26"/>
          <w:szCs w:val="26"/>
        </w:rPr>
        <w:t>, 383 A.2d 791, 794 (Pa. 1977)).</w:t>
      </w:r>
    </w:p>
    <w:p w14:paraId="0B23E45E" w14:textId="77777777" w:rsidR="007F525B" w:rsidRDefault="007F525B" w:rsidP="007F525B">
      <w:pPr>
        <w:spacing w:line="360" w:lineRule="auto"/>
        <w:ind w:firstLine="1440"/>
        <w:contextualSpacing/>
        <w:rPr>
          <w:sz w:val="26"/>
          <w:szCs w:val="26"/>
        </w:rPr>
      </w:pPr>
    </w:p>
    <w:p w14:paraId="7AFC9574" w14:textId="5BDD3D9F" w:rsidR="007F525B" w:rsidRDefault="007F525B" w:rsidP="007F525B">
      <w:pPr>
        <w:spacing w:line="360" w:lineRule="auto"/>
        <w:ind w:firstLine="1440"/>
        <w:contextualSpacing/>
        <w:rPr>
          <w:sz w:val="26"/>
          <w:szCs w:val="26"/>
        </w:rPr>
      </w:pPr>
      <w:r>
        <w:rPr>
          <w:sz w:val="26"/>
          <w:szCs w:val="26"/>
        </w:rPr>
        <w:t xml:space="preserve">PPL avers that it cannot violate the Complainant’s constitutional rights by installing a new AMI meter.  R. Exc. at 18.  The Company argues that the Complainant fails to identify which specific rights, under the U.S. Constitution and Pennsylvania Constitution, he believes would be violated as a result of the new AMI meter installation.  R. Exc. at 17 (citing Exc. at 2).  The Company claims that two elements must be met for there to be a deprivation of constitutional rights: </w:t>
      </w:r>
      <w:r w:rsidR="00451B37">
        <w:rPr>
          <w:sz w:val="26"/>
          <w:szCs w:val="26"/>
        </w:rPr>
        <w:t xml:space="preserve"> </w:t>
      </w:r>
      <w:r>
        <w:rPr>
          <w:sz w:val="26"/>
          <w:szCs w:val="26"/>
        </w:rPr>
        <w:t xml:space="preserve">(1) “the deprivation must be caused by the exercise of some right or privilege created by the state”; and (2) “the party charged with the deprivation </w:t>
      </w:r>
      <w:r w:rsidRPr="00E1794B">
        <w:rPr>
          <w:sz w:val="26"/>
          <w:szCs w:val="26"/>
          <w:u w:val="single"/>
        </w:rPr>
        <w:t>must be a person who may fairly said to be a state actor</w:t>
      </w:r>
      <w:r>
        <w:rPr>
          <w:sz w:val="26"/>
          <w:szCs w:val="26"/>
        </w:rPr>
        <w:t>.”  R. Exc. at</w:t>
      </w:r>
      <w:r w:rsidR="002B035F">
        <w:rPr>
          <w:sz w:val="26"/>
          <w:szCs w:val="26"/>
        </w:rPr>
        <w:t> </w:t>
      </w:r>
      <w:r>
        <w:rPr>
          <w:sz w:val="26"/>
          <w:szCs w:val="26"/>
        </w:rPr>
        <w:t xml:space="preserve">17 (citing </w:t>
      </w:r>
      <w:r w:rsidRPr="0094351C">
        <w:rPr>
          <w:i/>
          <w:iCs/>
          <w:sz w:val="26"/>
          <w:szCs w:val="26"/>
        </w:rPr>
        <w:t>Commonwealth v. Corley</w:t>
      </w:r>
      <w:r>
        <w:rPr>
          <w:sz w:val="26"/>
          <w:szCs w:val="26"/>
        </w:rPr>
        <w:t>, 491 A.2d 829, 832 (Pa. 1985) (emphas</w:t>
      </w:r>
      <w:r w:rsidR="00E1794B">
        <w:rPr>
          <w:sz w:val="26"/>
          <w:szCs w:val="26"/>
        </w:rPr>
        <w:t>is added by PPL</w:t>
      </w:r>
      <w:r>
        <w:rPr>
          <w:sz w:val="26"/>
          <w:szCs w:val="26"/>
        </w:rPr>
        <w:t>)</w:t>
      </w:r>
      <w:r w:rsidR="007F2F29">
        <w:rPr>
          <w:sz w:val="26"/>
          <w:szCs w:val="26"/>
        </w:rPr>
        <w:t>)</w:t>
      </w:r>
      <w:r>
        <w:rPr>
          <w:sz w:val="26"/>
          <w:szCs w:val="26"/>
        </w:rPr>
        <w:t>.  PPL notes that it is not a state actor, but adds that if it were, the Seventh Circuit Court of Appeals found that smart meter data collection by a city-owned public utility was a reasonable, warrantless search.  R. Exc. at 17-18 (</w:t>
      </w:r>
      <w:r w:rsidRPr="0094351C">
        <w:rPr>
          <w:i/>
          <w:iCs/>
          <w:sz w:val="26"/>
          <w:szCs w:val="26"/>
        </w:rPr>
        <w:t>citing Naperville Smart Meter Awareness v. City of Naperville</w:t>
      </w:r>
      <w:r>
        <w:rPr>
          <w:sz w:val="26"/>
          <w:szCs w:val="26"/>
        </w:rPr>
        <w:t>, 900 F.3d 521, 527-529 (7</w:t>
      </w:r>
      <w:r w:rsidRPr="00B417F4">
        <w:rPr>
          <w:sz w:val="26"/>
          <w:szCs w:val="26"/>
          <w:vertAlign w:val="superscript"/>
        </w:rPr>
        <w:t>th</w:t>
      </w:r>
      <w:r>
        <w:rPr>
          <w:sz w:val="26"/>
          <w:szCs w:val="26"/>
        </w:rPr>
        <w:t xml:space="preserve"> Cir. 2018)).</w:t>
      </w:r>
    </w:p>
    <w:p w14:paraId="46FE82E5" w14:textId="77777777" w:rsidR="007F525B" w:rsidRDefault="007F525B" w:rsidP="007F525B">
      <w:pPr>
        <w:spacing w:line="360" w:lineRule="auto"/>
        <w:ind w:firstLine="1440"/>
        <w:contextualSpacing/>
        <w:rPr>
          <w:sz w:val="26"/>
          <w:szCs w:val="26"/>
        </w:rPr>
      </w:pPr>
    </w:p>
    <w:p w14:paraId="38D9E494" w14:textId="24A389F0" w:rsidR="00AB4021" w:rsidRPr="005810B8" w:rsidRDefault="007F525B" w:rsidP="005810B8">
      <w:pPr>
        <w:spacing w:line="360" w:lineRule="auto"/>
        <w:ind w:firstLine="1440"/>
        <w:contextualSpacing/>
        <w:rPr>
          <w:sz w:val="26"/>
          <w:szCs w:val="26"/>
        </w:rPr>
      </w:pPr>
      <w:r>
        <w:rPr>
          <w:sz w:val="26"/>
          <w:szCs w:val="26"/>
        </w:rPr>
        <w:t>PPL is of the opinion that, contrary to the Complainant’s allegations, the Company’s installation of the new AMI meter would not violate Section 1502 of the Code, 66 Pa.</w:t>
      </w:r>
      <w:r w:rsidR="009F7242">
        <w:rPr>
          <w:sz w:val="26"/>
          <w:szCs w:val="26"/>
        </w:rPr>
        <w:t xml:space="preserve"> </w:t>
      </w:r>
      <w:r>
        <w:rPr>
          <w:sz w:val="26"/>
          <w:szCs w:val="26"/>
        </w:rPr>
        <w:t xml:space="preserve">C.S. </w:t>
      </w:r>
      <w:r w:rsidRPr="00481242">
        <w:rPr>
          <w:color w:val="000000" w:themeColor="text1"/>
          <w:sz w:val="26"/>
          <w:szCs w:val="26"/>
        </w:rPr>
        <w:t>§</w:t>
      </w:r>
      <w:r>
        <w:rPr>
          <w:sz w:val="26"/>
          <w:szCs w:val="26"/>
        </w:rPr>
        <w:t xml:space="preserve"> 1502.  R. Exc. at 18.  The Company references the testimony of PPL witness Mr. Durkin to explain that it must install the new AMI meters for all of its customers, pursuant to its Commission-approved Smart Meter Plan.  Therefore, PPL </w:t>
      </w:r>
      <w:r>
        <w:rPr>
          <w:sz w:val="26"/>
          <w:szCs w:val="26"/>
        </w:rPr>
        <w:lastRenderedPageBreak/>
        <w:t xml:space="preserve">continues, if the Complainant’s request for an opt-out of the smart meter were granted, it would arguably violate Section 1502 because the Complainant would receive an “unreasonable preference or advantage” in service that other customers in similar situations do not receive.  </w:t>
      </w:r>
      <w:r w:rsidRPr="003F0D35">
        <w:rPr>
          <w:i/>
          <w:iCs/>
          <w:sz w:val="26"/>
          <w:szCs w:val="26"/>
        </w:rPr>
        <w:t>Id.</w:t>
      </w:r>
      <w:r>
        <w:rPr>
          <w:sz w:val="26"/>
          <w:szCs w:val="26"/>
        </w:rPr>
        <w:t xml:space="preserve"> (citing </w:t>
      </w:r>
      <w:bookmarkStart w:id="18" w:name="_Hlk45786906"/>
      <w:r>
        <w:rPr>
          <w:sz w:val="26"/>
          <w:szCs w:val="26"/>
        </w:rPr>
        <w:t>66 Pa.</w:t>
      </w:r>
      <w:r w:rsidR="004E17BB">
        <w:rPr>
          <w:sz w:val="26"/>
          <w:szCs w:val="26"/>
        </w:rPr>
        <w:t xml:space="preserve"> </w:t>
      </w:r>
      <w:r>
        <w:rPr>
          <w:sz w:val="26"/>
          <w:szCs w:val="26"/>
        </w:rPr>
        <w:t xml:space="preserve">C.S. </w:t>
      </w:r>
      <w:r w:rsidRPr="00481242">
        <w:rPr>
          <w:color w:val="000000" w:themeColor="text1"/>
          <w:sz w:val="26"/>
          <w:szCs w:val="26"/>
        </w:rPr>
        <w:t>§</w:t>
      </w:r>
      <w:r>
        <w:rPr>
          <w:sz w:val="26"/>
          <w:szCs w:val="26"/>
        </w:rPr>
        <w:t xml:space="preserve"> 1502</w:t>
      </w:r>
      <w:bookmarkEnd w:id="18"/>
      <w:r>
        <w:rPr>
          <w:sz w:val="26"/>
          <w:szCs w:val="26"/>
        </w:rPr>
        <w:t xml:space="preserve">).  </w:t>
      </w:r>
    </w:p>
    <w:p w14:paraId="3CBF3B9E" w14:textId="77777777" w:rsidR="00AB4021" w:rsidRPr="006E2589" w:rsidRDefault="00AB4021" w:rsidP="006E2589">
      <w:pPr>
        <w:pStyle w:val="ListParagraph"/>
        <w:widowControl/>
        <w:spacing w:line="360" w:lineRule="auto"/>
        <w:ind w:left="1800"/>
        <w:rPr>
          <w:b/>
          <w:color w:val="000000" w:themeColor="text1"/>
          <w:sz w:val="26"/>
          <w:szCs w:val="26"/>
        </w:rPr>
      </w:pPr>
    </w:p>
    <w:p w14:paraId="33AA2272" w14:textId="77777777" w:rsidR="006C3DEB" w:rsidRPr="0032746D" w:rsidRDefault="006C3DEB" w:rsidP="006C3DEB">
      <w:pPr>
        <w:widowControl/>
        <w:spacing w:line="360" w:lineRule="auto"/>
        <w:ind w:firstLine="1440"/>
        <w:rPr>
          <w:b/>
          <w:color w:val="000000" w:themeColor="text1"/>
          <w:sz w:val="26"/>
          <w:szCs w:val="26"/>
        </w:rPr>
      </w:pPr>
      <w:bookmarkStart w:id="19" w:name="_Hlk45259471"/>
      <w:r w:rsidRPr="0032746D">
        <w:rPr>
          <w:b/>
          <w:color w:val="000000" w:themeColor="text1"/>
          <w:sz w:val="26"/>
          <w:szCs w:val="26"/>
        </w:rPr>
        <w:t xml:space="preserve">c. </w:t>
      </w:r>
      <w:r w:rsidRPr="0032746D">
        <w:rPr>
          <w:b/>
          <w:color w:val="000000" w:themeColor="text1"/>
          <w:sz w:val="26"/>
          <w:szCs w:val="26"/>
        </w:rPr>
        <w:tab/>
        <w:t>Disposition</w:t>
      </w:r>
    </w:p>
    <w:bookmarkEnd w:id="19"/>
    <w:p w14:paraId="7F5700AB" w14:textId="41B1A971" w:rsidR="0062310D" w:rsidRDefault="0062310D" w:rsidP="00481242">
      <w:pPr>
        <w:widowControl/>
        <w:spacing w:line="360" w:lineRule="auto"/>
        <w:ind w:firstLine="1440"/>
        <w:rPr>
          <w:color w:val="000000" w:themeColor="text1"/>
          <w:sz w:val="26"/>
          <w:szCs w:val="26"/>
        </w:rPr>
      </w:pPr>
    </w:p>
    <w:p w14:paraId="4D0A0565" w14:textId="7F7C349B" w:rsidR="00A40CF0" w:rsidRDefault="00A40CF0" w:rsidP="00A40CF0">
      <w:pPr>
        <w:widowControl/>
        <w:spacing w:line="360" w:lineRule="auto"/>
        <w:ind w:firstLine="1440"/>
        <w:rPr>
          <w:color w:val="000000" w:themeColor="text1"/>
          <w:sz w:val="26"/>
          <w:szCs w:val="26"/>
        </w:rPr>
      </w:pPr>
      <w:r w:rsidRPr="00F37292">
        <w:rPr>
          <w:iCs/>
          <w:color w:val="000000" w:themeColor="text1"/>
          <w:sz w:val="26"/>
          <w:szCs w:val="26"/>
        </w:rPr>
        <w:t xml:space="preserve">We agree with the </w:t>
      </w:r>
      <w:r w:rsidR="00A84868">
        <w:rPr>
          <w:iCs/>
          <w:color w:val="000000" w:themeColor="text1"/>
          <w:sz w:val="26"/>
          <w:szCs w:val="26"/>
        </w:rPr>
        <w:t xml:space="preserve">ALJ’s </w:t>
      </w:r>
      <w:r w:rsidRPr="00F37292">
        <w:rPr>
          <w:iCs/>
          <w:color w:val="000000" w:themeColor="text1"/>
          <w:sz w:val="26"/>
          <w:szCs w:val="26"/>
        </w:rPr>
        <w:t xml:space="preserve">well-reasoned analysis in </w:t>
      </w:r>
      <w:r w:rsidR="00A84868">
        <w:rPr>
          <w:iCs/>
          <w:color w:val="000000" w:themeColor="text1"/>
          <w:sz w:val="26"/>
          <w:szCs w:val="26"/>
        </w:rPr>
        <w:t>her</w:t>
      </w:r>
      <w:r w:rsidRPr="00F37292">
        <w:rPr>
          <w:iCs/>
          <w:color w:val="000000" w:themeColor="text1"/>
          <w:sz w:val="26"/>
          <w:szCs w:val="26"/>
        </w:rPr>
        <w:t xml:space="preserve"> Initial Decision and the ALJ’s conclusion that the Complainant did not meet his burden of proof regarding </w:t>
      </w:r>
      <w:r>
        <w:rPr>
          <w:iCs/>
          <w:color w:val="000000" w:themeColor="text1"/>
          <w:sz w:val="26"/>
          <w:szCs w:val="26"/>
        </w:rPr>
        <w:t>his</w:t>
      </w:r>
      <w:r w:rsidRPr="00F37292">
        <w:rPr>
          <w:iCs/>
          <w:color w:val="000000" w:themeColor="text1"/>
          <w:sz w:val="26"/>
          <w:szCs w:val="26"/>
        </w:rPr>
        <w:t xml:space="preserve"> claim that the </w:t>
      </w:r>
      <w:r>
        <w:rPr>
          <w:iCs/>
          <w:color w:val="000000" w:themeColor="text1"/>
          <w:sz w:val="26"/>
          <w:szCs w:val="26"/>
        </w:rPr>
        <w:t xml:space="preserve">AMI </w:t>
      </w:r>
      <w:r w:rsidRPr="00F37292">
        <w:rPr>
          <w:iCs/>
          <w:color w:val="000000" w:themeColor="text1"/>
          <w:sz w:val="26"/>
          <w:szCs w:val="26"/>
        </w:rPr>
        <w:t>smart</w:t>
      </w:r>
      <w:r>
        <w:rPr>
          <w:iCs/>
          <w:color w:val="000000" w:themeColor="text1"/>
          <w:sz w:val="26"/>
          <w:szCs w:val="26"/>
        </w:rPr>
        <w:t xml:space="preserve"> meter</w:t>
      </w:r>
      <w:r w:rsidRPr="00F37292">
        <w:rPr>
          <w:iCs/>
          <w:color w:val="000000" w:themeColor="text1"/>
          <w:sz w:val="26"/>
          <w:szCs w:val="26"/>
        </w:rPr>
        <w:t xml:space="preserve"> will cause</w:t>
      </w:r>
      <w:r>
        <w:rPr>
          <w:iCs/>
          <w:color w:val="000000" w:themeColor="text1"/>
          <w:sz w:val="26"/>
          <w:szCs w:val="26"/>
        </w:rPr>
        <w:t>,</w:t>
      </w:r>
      <w:r w:rsidRPr="00F37292">
        <w:rPr>
          <w:iCs/>
          <w:color w:val="000000" w:themeColor="text1"/>
          <w:sz w:val="26"/>
          <w:szCs w:val="26"/>
        </w:rPr>
        <w:t xml:space="preserve"> or contribute to</w:t>
      </w:r>
      <w:r>
        <w:rPr>
          <w:iCs/>
          <w:color w:val="000000" w:themeColor="text1"/>
          <w:sz w:val="26"/>
          <w:szCs w:val="26"/>
        </w:rPr>
        <w:t>,</w:t>
      </w:r>
      <w:r w:rsidRPr="00F37292">
        <w:rPr>
          <w:iCs/>
          <w:color w:val="000000" w:themeColor="text1"/>
          <w:sz w:val="26"/>
          <w:szCs w:val="26"/>
        </w:rPr>
        <w:t xml:space="preserve"> adverse health effects for the Complainant, his girlfriend, and his farm animals.  </w:t>
      </w:r>
      <w:r>
        <w:rPr>
          <w:iCs/>
          <w:color w:val="000000" w:themeColor="text1"/>
          <w:sz w:val="26"/>
          <w:szCs w:val="26"/>
        </w:rPr>
        <w:t xml:space="preserve">I.D. at 12, 23.  </w:t>
      </w:r>
      <w:r w:rsidRPr="00677091">
        <w:rPr>
          <w:iCs/>
          <w:color w:val="000000" w:themeColor="text1"/>
          <w:sz w:val="26"/>
          <w:szCs w:val="26"/>
        </w:rPr>
        <w:t xml:space="preserve">Specifically, we affirm the ALJ’s finding </w:t>
      </w:r>
      <w:r w:rsidRPr="006F05AF">
        <w:rPr>
          <w:sz w:val="26"/>
          <w:szCs w:val="26"/>
        </w:rPr>
        <w:t xml:space="preserve">in COL No. 18, </w:t>
      </w:r>
      <w:r>
        <w:rPr>
          <w:sz w:val="26"/>
          <w:szCs w:val="26"/>
        </w:rPr>
        <w:t xml:space="preserve">that </w:t>
      </w:r>
      <w:r w:rsidRPr="006F05AF">
        <w:rPr>
          <w:sz w:val="26"/>
          <w:szCs w:val="26"/>
        </w:rPr>
        <w:t xml:space="preserve">the Complainant </w:t>
      </w:r>
      <w:r>
        <w:rPr>
          <w:sz w:val="26"/>
          <w:szCs w:val="26"/>
        </w:rPr>
        <w:t>failed</w:t>
      </w:r>
      <w:r w:rsidRPr="00BD02D8">
        <w:rPr>
          <w:sz w:val="26"/>
          <w:szCs w:val="26"/>
        </w:rPr>
        <w:t xml:space="preserve"> </w:t>
      </w:r>
      <w:r>
        <w:rPr>
          <w:sz w:val="26"/>
          <w:szCs w:val="26"/>
        </w:rPr>
        <w:t xml:space="preserve">to show </w:t>
      </w:r>
      <w:r w:rsidRPr="00BD02D8">
        <w:rPr>
          <w:sz w:val="26"/>
          <w:szCs w:val="26"/>
        </w:rPr>
        <w:t xml:space="preserve">that the proposed AMI meter causes, contributes to, or exacerbates any adverse health effect.  </w:t>
      </w:r>
      <w:r>
        <w:rPr>
          <w:sz w:val="26"/>
          <w:szCs w:val="26"/>
        </w:rPr>
        <w:t xml:space="preserve">I.D. at 23.  </w:t>
      </w:r>
      <w:r w:rsidRPr="00231285">
        <w:rPr>
          <w:color w:val="000000" w:themeColor="text1"/>
          <w:sz w:val="26"/>
          <w:szCs w:val="26"/>
        </w:rPr>
        <w:t xml:space="preserve">Similarly, the Complainant failed to offer any competent evidence of record to </w:t>
      </w:r>
      <w:r w:rsidRPr="00BD02D8">
        <w:rPr>
          <w:sz w:val="26"/>
          <w:szCs w:val="26"/>
        </w:rPr>
        <w:t>support a finding tha</w:t>
      </w:r>
      <w:r>
        <w:rPr>
          <w:sz w:val="26"/>
          <w:szCs w:val="26"/>
        </w:rPr>
        <w:t xml:space="preserve">t his health, or the health of those around him, will be </w:t>
      </w:r>
      <w:r w:rsidRPr="00BD02D8">
        <w:rPr>
          <w:sz w:val="26"/>
          <w:szCs w:val="26"/>
        </w:rPr>
        <w:t>adversely affected by a smart meter</w:t>
      </w:r>
      <w:r>
        <w:rPr>
          <w:sz w:val="26"/>
          <w:szCs w:val="26"/>
        </w:rPr>
        <w:t>,</w:t>
      </w:r>
      <w:r w:rsidRPr="00BD02D8">
        <w:rPr>
          <w:sz w:val="26"/>
          <w:szCs w:val="26"/>
        </w:rPr>
        <w:t xml:space="preserve"> or </w:t>
      </w:r>
      <w:r w:rsidR="0081619A">
        <w:rPr>
          <w:sz w:val="26"/>
          <w:szCs w:val="26"/>
        </w:rPr>
        <w:t xml:space="preserve">to support a finding that </w:t>
      </w:r>
      <w:r w:rsidRPr="00BD02D8">
        <w:rPr>
          <w:sz w:val="26"/>
          <w:szCs w:val="26"/>
        </w:rPr>
        <w:t>PPL’s use of a smart meter to measure</w:t>
      </w:r>
      <w:r>
        <w:rPr>
          <w:sz w:val="26"/>
          <w:szCs w:val="26"/>
        </w:rPr>
        <w:t xml:space="preserve"> the</w:t>
      </w:r>
      <w:r w:rsidRPr="00BD02D8">
        <w:rPr>
          <w:sz w:val="26"/>
          <w:szCs w:val="26"/>
        </w:rPr>
        <w:t xml:space="preserve"> electric usage </w:t>
      </w:r>
      <w:r>
        <w:rPr>
          <w:sz w:val="26"/>
          <w:szCs w:val="26"/>
        </w:rPr>
        <w:t xml:space="preserve">at his property </w:t>
      </w:r>
      <w:r w:rsidRPr="00BD02D8">
        <w:rPr>
          <w:sz w:val="26"/>
          <w:szCs w:val="26"/>
        </w:rPr>
        <w:t>will constitute unsafe or unreasonable service</w:t>
      </w:r>
      <w:r>
        <w:rPr>
          <w:sz w:val="26"/>
          <w:szCs w:val="26"/>
        </w:rPr>
        <w:t>,</w:t>
      </w:r>
      <w:r w:rsidRPr="00BD02D8">
        <w:rPr>
          <w:sz w:val="26"/>
          <w:szCs w:val="26"/>
        </w:rPr>
        <w:t xml:space="preserve"> in violation of Section 1501.  </w:t>
      </w:r>
      <w:r w:rsidRPr="002B1F5B">
        <w:rPr>
          <w:color w:val="000000" w:themeColor="text1"/>
          <w:sz w:val="26"/>
          <w:szCs w:val="26"/>
        </w:rPr>
        <w:t>Moreover, the Company presented overwhelming evidence through its scientific and medical expert witnesses, Dr. Davis and Dr. Israel, respectively, to support the ALJ’s finding that there is no reliable basis to conclude that the new AMI meter will cause</w:t>
      </w:r>
      <w:r w:rsidR="00353F49">
        <w:rPr>
          <w:color w:val="000000" w:themeColor="text1"/>
          <w:sz w:val="26"/>
          <w:szCs w:val="26"/>
        </w:rPr>
        <w:t>,</w:t>
      </w:r>
      <w:r w:rsidRPr="002B1F5B">
        <w:rPr>
          <w:color w:val="000000" w:themeColor="text1"/>
          <w:sz w:val="26"/>
          <w:szCs w:val="26"/>
        </w:rPr>
        <w:t xml:space="preserve"> or contribute to</w:t>
      </w:r>
      <w:r w:rsidR="00353F49">
        <w:rPr>
          <w:color w:val="000000" w:themeColor="text1"/>
          <w:sz w:val="26"/>
          <w:szCs w:val="26"/>
        </w:rPr>
        <w:t>,</w:t>
      </w:r>
      <w:r w:rsidRPr="002B1F5B">
        <w:rPr>
          <w:color w:val="000000" w:themeColor="text1"/>
          <w:sz w:val="26"/>
          <w:szCs w:val="26"/>
        </w:rPr>
        <w:t xml:space="preserve"> any adverse health effects</w:t>
      </w:r>
      <w:r w:rsidR="00353F49">
        <w:rPr>
          <w:color w:val="000000" w:themeColor="text1"/>
          <w:sz w:val="26"/>
          <w:szCs w:val="26"/>
        </w:rPr>
        <w:t>.  T</w:t>
      </w:r>
      <w:r w:rsidRPr="002B1F5B">
        <w:rPr>
          <w:color w:val="000000" w:themeColor="text1"/>
          <w:sz w:val="26"/>
          <w:szCs w:val="26"/>
        </w:rPr>
        <w:t>herefore</w:t>
      </w:r>
      <w:r w:rsidR="00353F49">
        <w:rPr>
          <w:color w:val="000000" w:themeColor="text1"/>
          <w:sz w:val="26"/>
          <w:szCs w:val="26"/>
        </w:rPr>
        <w:t>,</w:t>
      </w:r>
      <w:r w:rsidRPr="002B1F5B">
        <w:rPr>
          <w:color w:val="000000" w:themeColor="text1"/>
          <w:sz w:val="26"/>
          <w:szCs w:val="26"/>
        </w:rPr>
        <w:t xml:space="preserve"> </w:t>
      </w:r>
      <w:r w:rsidR="0081619A">
        <w:rPr>
          <w:color w:val="000000" w:themeColor="text1"/>
          <w:sz w:val="26"/>
          <w:szCs w:val="26"/>
        </w:rPr>
        <w:t xml:space="preserve">in our opinion, </w:t>
      </w:r>
      <w:r w:rsidRPr="002B1F5B">
        <w:rPr>
          <w:color w:val="000000" w:themeColor="text1"/>
          <w:sz w:val="26"/>
          <w:szCs w:val="26"/>
        </w:rPr>
        <w:t>PPL’s installation of the new AMI meter will not violate Section 1501 of the Code.</w:t>
      </w:r>
      <w:r w:rsidRPr="00481242">
        <w:rPr>
          <w:color w:val="000000" w:themeColor="text1"/>
          <w:sz w:val="26"/>
          <w:szCs w:val="26"/>
        </w:rPr>
        <w:t xml:space="preserve">  </w:t>
      </w:r>
    </w:p>
    <w:p w14:paraId="62A64AB4" w14:textId="77777777" w:rsidR="00A40CF0" w:rsidRDefault="00A40CF0" w:rsidP="00EA69A5">
      <w:pPr>
        <w:widowControl/>
        <w:spacing w:line="360" w:lineRule="auto"/>
        <w:ind w:firstLine="1440"/>
        <w:rPr>
          <w:sz w:val="26"/>
          <w:szCs w:val="26"/>
        </w:rPr>
      </w:pPr>
    </w:p>
    <w:p w14:paraId="19DD9B88" w14:textId="77777777" w:rsidR="00AA5690" w:rsidRDefault="00BD02D8" w:rsidP="00EE58E3">
      <w:pPr>
        <w:spacing w:line="360" w:lineRule="auto"/>
        <w:ind w:firstLine="1440"/>
        <w:contextualSpacing/>
        <w:rPr>
          <w:sz w:val="26"/>
          <w:szCs w:val="26"/>
        </w:rPr>
      </w:pPr>
      <w:r w:rsidRPr="00BD02D8">
        <w:rPr>
          <w:sz w:val="26"/>
          <w:szCs w:val="26"/>
        </w:rPr>
        <w:t>Dr. Israel</w:t>
      </w:r>
      <w:r w:rsidR="00E95CD3">
        <w:rPr>
          <w:sz w:val="26"/>
          <w:szCs w:val="26"/>
        </w:rPr>
        <w:t xml:space="preserve">, </w:t>
      </w:r>
      <w:r w:rsidRPr="00BD02D8">
        <w:rPr>
          <w:sz w:val="26"/>
          <w:szCs w:val="26"/>
        </w:rPr>
        <w:t>in hi</w:t>
      </w:r>
      <w:r w:rsidR="00E95CD3">
        <w:rPr>
          <w:sz w:val="26"/>
          <w:szCs w:val="26"/>
        </w:rPr>
        <w:t>s</w:t>
      </w:r>
      <w:r w:rsidRPr="00BD02D8">
        <w:rPr>
          <w:sz w:val="26"/>
          <w:szCs w:val="26"/>
        </w:rPr>
        <w:t xml:space="preserve"> testimony</w:t>
      </w:r>
      <w:r w:rsidR="00E95CD3">
        <w:rPr>
          <w:sz w:val="26"/>
          <w:szCs w:val="26"/>
        </w:rPr>
        <w:t>, successfully rebutted</w:t>
      </w:r>
      <w:r w:rsidRPr="00BD02D8">
        <w:rPr>
          <w:sz w:val="26"/>
          <w:szCs w:val="26"/>
        </w:rPr>
        <w:t xml:space="preserve"> that there is no reliable medical basis to conclude that RF fields from the AMI meter being used by PPL will cause</w:t>
      </w:r>
      <w:r w:rsidR="006C2C32">
        <w:rPr>
          <w:sz w:val="26"/>
          <w:szCs w:val="26"/>
        </w:rPr>
        <w:t xml:space="preserve">, </w:t>
      </w:r>
      <w:r w:rsidRPr="00BD02D8">
        <w:rPr>
          <w:sz w:val="26"/>
          <w:szCs w:val="26"/>
        </w:rPr>
        <w:t>or contribute to</w:t>
      </w:r>
      <w:r w:rsidR="006C2C32">
        <w:rPr>
          <w:sz w:val="26"/>
          <w:szCs w:val="26"/>
        </w:rPr>
        <w:t>,</w:t>
      </w:r>
      <w:r w:rsidRPr="00BD02D8">
        <w:rPr>
          <w:sz w:val="26"/>
          <w:szCs w:val="26"/>
        </w:rPr>
        <w:t xml:space="preserve"> the development of illness or disease.  I.D. </w:t>
      </w:r>
      <w:r w:rsidRPr="00955F4E">
        <w:rPr>
          <w:sz w:val="26"/>
          <w:szCs w:val="26"/>
        </w:rPr>
        <w:t>at 1</w:t>
      </w:r>
      <w:r w:rsidR="006C2C32">
        <w:rPr>
          <w:sz w:val="26"/>
          <w:szCs w:val="26"/>
        </w:rPr>
        <w:t>5</w:t>
      </w:r>
      <w:r w:rsidRPr="00BD02D8">
        <w:rPr>
          <w:sz w:val="26"/>
          <w:szCs w:val="26"/>
        </w:rPr>
        <w:t xml:space="preserve"> (citing PPL </w:t>
      </w:r>
      <w:r w:rsidRPr="006C2C32">
        <w:rPr>
          <w:sz w:val="26"/>
          <w:szCs w:val="26"/>
        </w:rPr>
        <w:t>St. 2 at 16</w:t>
      </w:r>
      <w:r w:rsidRPr="00BD02D8">
        <w:rPr>
          <w:sz w:val="26"/>
          <w:szCs w:val="26"/>
        </w:rPr>
        <w:t>).  In order to prevail in a Section 1501 claim against an EDC alleging that an AMI meter caused</w:t>
      </w:r>
      <w:r w:rsidR="00B76E0A">
        <w:rPr>
          <w:sz w:val="26"/>
          <w:szCs w:val="26"/>
        </w:rPr>
        <w:t>,</w:t>
      </w:r>
      <w:r w:rsidRPr="00BD02D8">
        <w:rPr>
          <w:sz w:val="26"/>
          <w:szCs w:val="26"/>
        </w:rPr>
        <w:t xml:space="preserve"> or will cause</w:t>
      </w:r>
      <w:r w:rsidR="00B76E0A">
        <w:rPr>
          <w:sz w:val="26"/>
          <w:szCs w:val="26"/>
        </w:rPr>
        <w:t>,</w:t>
      </w:r>
      <w:r w:rsidRPr="00BD02D8">
        <w:rPr>
          <w:sz w:val="26"/>
          <w:szCs w:val="26"/>
        </w:rPr>
        <w:t xml:space="preserve"> adverse health effects or harm to human health, the Complainant must demonstrate</w:t>
      </w:r>
      <w:r w:rsidR="000D627D">
        <w:rPr>
          <w:sz w:val="26"/>
          <w:szCs w:val="26"/>
        </w:rPr>
        <w:t>,</w:t>
      </w:r>
      <w:r w:rsidRPr="00BD02D8">
        <w:rPr>
          <w:sz w:val="26"/>
          <w:szCs w:val="26"/>
        </w:rPr>
        <w:t xml:space="preserve"> by a preponderance of the evidence</w:t>
      </w:r>
      <w:r w:rsidR="000D627D">
        <w:rPr>
          <w:sz w:val="26"/>
          <w:szCs w:val="26"/>
        </w:rPr>
        <w:t>,</w:t>
      </w:r>
      <w:r w:rsidRPr="00BD02D8">
        <w:rPr>
          <w:sz w:val="26"/>
          <w:szCs w:val="26"/>
        </w:rPr>
        <w:t xml:space="preserve"> a “conclusive causal </w:t>
      </w:r>
      <w:r w:rsidRPr="00BD02D8">
        <w:rPr>
          <w:sz w:val="26"/>
          <w:szCs w:val="26"/>
        </w:rPr>
        <w:lastRenderedPageBreak/>
        <w:t xml:space="preserve">connection” between the harm to human health and the RFs from the AMI meter.  </w:t>
      </w:r>
      <w:r w:rsidRPr="00BD02D8">
        <w:rPr>
          <w:i/>
          <w:iCs/>
          <w:sz w:val="26"/>
          <w:szCs w:val="26"/>
        </w:rPr>
        <w:t>See</w:t>
      </w:r>
      <w:r w:rsidRPr="00BD02D8">
        <w:rPr>
          <w:sz w:val="26"/>
          <w:szCs w:val="26"/>
        </w:rPr>
        <w:t xml:space="preserve"> </w:t>
      </w:r>
      <w:r w:rsidRPr="00BD02D8">
        <w:rPr>
          <w:i/>
          <w:iCs/>
          <w:sz w:val="26"/>
          <w:szCs w:val="26"/>
        </w:rPr>
        <w:t xml:space="preserve">2019 </w:t>
      </w:r>
      <w:proofErr w:type="spellStart"/>
      <w:r w:rsidRPr="00BD02D8">
        <w:rPr>
          <w:i/>
          <w:iCs/>
          <w:sz w:val="26"/>
          <w:szCs w:val="26"/>
        </w:rPr>
        <w:t>Povacz</w:t>
      </w:r>
      <w:proofErr w:type="spellEnd"/>
      <w:r w:rsidRPr="00BD02D8">
        <w:rPr>
          <w:i/>
          <w:iCs/>
          <w:sz w:val="26"/>
          <w:szCs w:val="26"/>
        </w:rPr>
        <w:t xml:space="preserve"> Order</w:t>
      </w:r>
      <w:r w:rsidRPr="00BD02D8">
        <w:rPr>
          <w:sz w:val="26"/>
          <w:szCs w:val="26"/>
        </w:rPr>
        <w:t>.  The lay opinion of the Complainant</w:t>
      </w:r>
      <w:r w:rsidR="005226D3">
        <w:rPr>
          <w:sz w:val="26"/>
          <w:szCs w:val="26"/>
        </w:rPr>
        <w:t xml:space="preserve"> does</w:t>
      </w:r>
      <w:r w:rsidRPr="00BD02D8">
        <w:rPr>
          <w:sz w:val="26"/>
          <w:szCs w:val="26"/>
        </w:rPr>
        <w:t xml:space="preserve"> not provide a conclusive</w:t>
      </w:r>
      <w:r w:rsidR="000D627D">
        <w:rPr>
          <w:sz w:val="26"/>
          <w:szCs w:val="26"/>
        </w:rPr>
        <w:t>,</w:t>
      </w:r>
      <w:r w:rsidRPr="00BD02D8">
        <w:rPr>
          <w:sz w:val="26"/>
          <w:szCs w:val="26"/>
        </w:rPr>
        <w:t xml:space="preserve"> causal connection between the harm to human health and the RFs from the AMI meter. </w:t>
      </w:r>
    </w:p>
    <w:p w14:paraId="70EBAC00" w14:textId="77777777" w:rsidR="00AA5690" w:rsidRDefault="00AA5690" w:rsidP="00EE58E3">
      <w:pPr>
        <w:spacing w:line="360" w:lineRule="auto"/>
        <w:ind w:firstLine="1440"/>
        <w:contextualSpacing/>
        <w:rPr>
          <w:sz w:val="26"/>
          <w:szCs w:val="26"/>
        </w:rPr>
      </w:pPr>
    </w:p>
    <w:p w14:paraId="79E276DD" w14:textId="2DBF0882" w:rsidR="00983FB9" w:rsidRDefault="00E52022" w:rsidP="00983FB9">
      <w:pPr>
        <w:widowControl/>
        <w:autoSpaceDE w:val="0"/>
        <w:autoSpaceDN w:val="0"/>
        <w:adjustRightInd w:val="0"/>
        <w:spacing w:line="360" w:lineRule="auto"/>
        <w:ind w:firstLine="1440"/>
        <w:rPr>
          <w:sz w:val="26"/>
          <w:szCs w:val="26"/>
        </w:rPr>
      </w:pPr>
      <w:r>
        <w:rPr>
          <w:sz w:val="26"/>
          <w:szCs w:val="26"/>
        </w:rPr>
        <w:t xml:space="preserve">The Complainant contends that PPL is threatening service termination if he does not allow the Company to install a smart meter at his residence.  </w:t>
      </w:r>
      <w:r w:rsidR="003F50FE">
        <w:rPr>
          <w:sz w:val="26"/>
          <w:szCs w:val="26"/>
        </w:rPr>
        <w:t xml:space="preserve">Exc. at 2.  </w:t>
      </w:r>
      <w:r>
        <w:rPr>
          <w:sz w:val="26"/>
          <w:szCs w:val="26"/>
        </w:rPr>
        <w:t>A</w:t>
      </w:r>
      <w:r w:rsidR="00105AF3">
        <w:rPr>
          <w:sz w:val="26"/>
          <w:szCs w:val="26"/>
        </w:rPr>
        <w:t>s</w:t>
      </w:r>
      <w:r w:rsidR="0017120E">
        <w:rPr>
          <w:sz w:val="26"/>
          <w:szCs w:val="26"/>
        </w:rPr>
        <w:t xml:space="preserve"> </w:t>
      </w:r>
      <w:r w:rsidR="00735777">
        <w:rPr>
          <w:sz w:val="26"/>
          <w:szCs w:val="26"/>
        </w:rPr>
        <w:t xml:space="preserve">discussed </w:t>
      </w:r>
      <w:r w:rsidR="00735777" w:rsidRPr="00735777">
        <w:rPr>
          <w:i/>
          <w:iCs/>
          <w:sz w:val="26"/>
          <w:szCs w:val="26"/>
        </w:rPr>
        <w:t>infra</w:t>
      </w:r>
      <w:r w:rsidR="00735777">
        <w:rPr>
          <w:sz w:val="26"/>
          <w:szCs w:val="26"/>
        </w:rPr>
        <w:t xml:space="preserve">, </w:t>
      </w:r>
      <w:r w:rsidR="00177D14" w:rsidRPr="009D7F45">
        <w:rPr>
          <w:sz w:val="26"/>
          <w:szCs w:val="26"/>
        </w:rPr>
        <w:t xml:space="preserve">PPL must install an AMI meter to comply with its </w:t>
      </w:r>
      <w:r w:rsidR="00735777">
        <w:rPr>
          <w:sz w:val="26"/>
          <w:szCs w:val="26"/>
        </w:rPr>
        <w:t xml:space="preserve">Commission-approved </w:t>
      </w:r>
      <w:r w:rsidR="00177D14" w:rsidRPr="009D7F45">
        <w:rPr>
          <w:sz w:val="26"/>
          <w:szCs w:val="26"/>
        </w:rPr>
        <w:t>Smart Meter Plan.</w:t>
      </w:r>
      <w:r w:rsidR="00983FB9">
        <w:rPr>
          <w:sz w:val="26"/>
          <w:szCs w:val="26"/>
        </w:rPr>
        <w:t xml:space="preserve">  </w:t>
      </w:r>
      <w:r w:rsidR="00195F9B">
        <w:rPr>
          <w:sz w:val="26"/>
          <w:szCs w:val="26"/>
        </w:rPr>
        <w:t xml:space="preserve">R. Exc. at 14-15.  </w:t>
      </w:r>
      <w:r w:rsidR="00983FB9">
        <w:rPr>
          <w:sz w:val="26"/>
          <w:szCs w:val="26"/>
        </w:rPr>
        <w:t xml:space="preserve">Further, </w:t>
      </w:r>
      <w:r w:rsidR="00983FB9" w:rsidRPr="002B3060">
        <w:rPr>
          <w:sz w:val="26"/>
          <w:szCs w:val="26"/>
        </w:rPr>
        <w:t xml:space="preserve">it is well-settled that where a customer refuses a utility access to its meter, the utility may terminate service after required notice is provided.  </w:t>
      </w:r>
      <w:r w:rsidR="00983FB9" w:rsidRPr="002B3060">
        <w:rPr>
          <w:rFonts w:eastAsiaTheme="minorHAnsi"/>
          <w:sz w:val="26"/>
          <w:szCs w:val="26"/>
        </w:rPr>
        <w:t>52 Pa. Code § 56.81(3).</w:t>
      </w:r>
      <w:r w:rsidR="00983FB9" w:rsidRPr="002B3060">
        <w:rPr>
          <w:rStyle w:val="FootnoteReference"/>
          <w:rFonts w:eastAsiaTheme="minorHAnsi"/>
          <w:sz w:val="26"/>
          <w:szCs w:val="26"/>
        </w:rPr>
        <w:footnoteReference w:id="12"/>
      </w:r>
      <w:r w:rsidR="00983FB9" w:rsidRPr="002B3060">
        <w:rPr>
          <w:rFonts w:eastAsiaTheme="minorHAnsi"/>
          <w:sz w:val="26"/>
          <w:szCs w:val="26"/>
        </w:rPr>
        <w:t xml:space="preserve">  </w:t>
      </w:r>
      <w:r w:rsidR="00983FB9" w:rsidRPr="002B3060">
        <w:rPr>
          <w:sz w:val="26"/>
          <w:szCs w:val="26"/>
        </w:rPr>
        <w:t xml:space="preserve">The Commission’s Regulations at </w:t>
      </w:r>
      <w:r w:rsidR="00983FB9" w:rsidRPr="002B3060">
        <w:rPr>
          <w:rFonts w:eastAsiaTheme="minorHAnsi"/>
          <w:sz w:val="26"/>
          <w:szCs w:val="26"/>
        </w:rPr>
        <w:t>52 Pa. Code §</w:t>
      </w:r>
      <w:r w:rsidR="00DB51FE">
        <w:rPr>
          <w:rFonts w:eastAsiaTheme="minorHAnsi"/>
          <w:sz w:val="26"/>
          <w:szCs w:val="26"/>
        </w:rPr>
        <w:t> </w:t>
      </w:r>
      <w:r w:rsidR="00983FB9" w:rsidRPr="002B3060">
        <w:rPr>
          <w:rFonts w:eastAsiaTheme="minorHAnsi"/>
          <w:sz w:val="26"/>
          <w:szCs w:val="26"/>
        </w:rPr>
        <w:t>56.81(3),</w:t>
      </w:r>
      <w:r w:rsidR="00983FB9" w:rsidRPr="002B3060">
        <w:rPr>
          <w:sz w:val="26"/>
          <w:szCs w:val="26"/>
        </w:rPr>
        <w:t xml:space="preserve"> provide, in pertinent part, the following: </w:t>
      </w:r>
    </w:p>
    <w:p w14:paraId="14B63820" w14:textId="77777777" w:rsidR="007C0EE6" w:rsidRPr="002B3060" w:rsidRDefault="007C0EE6" w:rsidP="002B035F">
      <w:pPr>
        <w:widowControl/>
        <w:autoSpaceDE w:val="0"/>
        <w:autoSpaceDN w:val="0"/>
        <w:adjustRightInd w:val="0"/>
        <w:ind w:firstLine="1440"/>
        <w:rPr>
          <w:sz w:val="26"/>
          <w:szCs w:val="26"/>
        </w:rPr>
      </w:pPr>
    </w:p>
    <w:p w14:paraId="40DF5D8E" w14:textId="77777777" w:rsidR="00983FB9" w:rsidRPr="002B3060" w:rsidRDefault="00983FB9" w:rsidP="003C04FD">
      <w:pPr>
        <w:pStyle w:val="Default"/>
        <w:keepNext/>
        <w:keepLines/>
        <w:ind w:left="1440" w:right="1440"/>
        <w:rPr>
          <w:color w:val="auto"/>
          <w:sz w:val="26"/>
          <w:szCs w:val="26"/>
        </w:rPr>
      </w:pPr>
      <w:bookmarkStart w:id="20" w:name="_Hlk45787037"/>
      <w:r w:rsidRPr="002B3060">
        <w:rPr>
          <w:color w:val="auto"/>
          <w:sz w:val="26"/>
          <w:szCs w:val="26"/>
        </w:rPr>
        <w:t xml:space="preserve">A public utility may notify a customer and terminate service provided to a customer after notice as provided in §§ 56.91-56.100 (relating to notice procedures prior to termination) for any of the following actions by the customer . . . Failure to permit access to meters, service connections or other property of the public utility for the purpose of replacement, maintenance, repair or meter reading. </w:t>
      </w:r>
    </w:p>
    <w:bookmarkEnd w:id="20"/>
    <w:p w14:paraId="5414E3AE" w14:textId="77777777" w:rsidR="00983FB9" w:rsidRPr="002B3060" w:rsidRDefault="00983FB9" w:rsidP="00983FB9">
      <w:pPr>
        <w:widowControl/>
        <w:spacing w:line="360" w:lineRule="auto"/>
        <w:rPr>
          <w:rFonts w:eastAsiaTheme="minorHAnsi"/>
          <w:sz w:val="26"/>
          <w:szCs w:val="26"/>
        </w:rPr>
      </w:pPr>
    </w:p>
    <w:p w14:paraId="41064377" w14:textId="69404322" w:rsidR="00BD02D8" w:rsidRPr="00BD02D8" w:rsidRDefault="00A1588C" w:rsidP="004F7B74">
      <w:pPr>
        <w:widowControl/>
        <w:spacing w:line="360" w:lineRule="auto"/>
        <w:rPr>
          <w:sz w:val="26"/>
          <w:szCs w:val="26"/>
        </w:rPr>
      </w:pPr>
      <w:r w:rsidRPr="002B3060">
        <w:rPr>
          <w:rFonts w:eastAsiaTheme="minorHAnsi"/>
          <w:sz w:val="26"/>
          <w:szCs w:val="26"/>
        </w:rPr>
        <w:lastRenderedPageBreak/>
        <w:t>52 Pa. Code § 56.81(3)</w:t>
      </w:r>
      <w:r>
        <w:rPr>
          <w:rFonts w:eastAsiaTheme="minorHAnsi"/>
          <w:sz w:val="26"/>
          <w:szCs w:val="26"/>
        </w:rPr>
        <w:t xml:space="preserve">.  </w:t>
      </w:r>
      <w:r w:rsidR="00983FB9" w:rsidRPr="002B3060">
        <w:rPr>
          <w:sz w:val="26"/>
          <w:szCs w:val="26"/>
        </w:rPr>
        <w:t>Additionally, PPL’s Tariff Electric Pa. P.U.C. No. 201, Rule</w:t>
      </w:r>
      <w:r w:rsidR="002B035F">
        <w:rPr>
          <w:sz w:val="26"/>
          <w:szCs w:val="26"/>
        </w:rPr>
        <w:t> </w:t>
      </w:r>
      <w:r w:rsidR="00983FB9" w:rsidRPr="002B3060">
        <w:rPr>
          <w:sz w:val="26"/>
          <w:szCs w:val="26"/>
        </w:rPr>
        <w:t>10.B(g), page 14A, states that the Company may terminate electric service on reasonable notice if PPL’s entry to the meter is refused.</w:t>
      </w:r>
      <w:r w:rsidR="00983FB9" w:rsidRPr="002B3060">
        <w:rPr>
          <w:rStyle w:val="FootnoteReference"/>
          <w:sz w:val="26"/>
          <w:szCs w:val="26"/>
        </w:rPr>
        <w:footnoteReference w:id="13"/>
      </w:r>
      <w:r w:rsidR="00983FB9" w:rsidRPr="002B3060">
        <w:rPr>
          <w:sz w:val="26"/>
          <w:szCs w:val="26"/>
        </w:rPr>
        <w:t xml:space="preserve">  </w:t>
      </w:r>
    </w:p>
    <w:p w14:paraId="64985CB1" w14:textId="77777777" w:rsidR="006F48CD" w:rsidRDefault="006F48CD" w:rsidP="00EC5124">
      <w:pPr>
        <w:spacing w:line="360" w:lineRule="auto"/>
        <w:contextualSpacing/>
        <w:rPr>
          <w:sz w:val="26"/>
          <w:szCs w:val="26"/>
        </w:rPr>
      </w:pPr>
    </w:p>
    <w:p w14:paraId="7485D267" w14:textId="77777777" w:rsidR="002102EC" w:rsidRDefault="00455EDF" w:rsidP="00455EDF">
      <w:pPr>
        <w:spacing w:line="360" w:lineRule="auto"/>
        <w:ind w:firstLine="1440"/>
        <w:contextualSpacing/>
        <w:rPr>
          <w:sz w:val="26"/>
          <w:szCs w:val="26"/>
        </w:rPr>
      </w:pPr>
      <w:r w:rsidRPr="00BD02D8">
        <w:rPr>
          <w:sz w:val="26"/>
          <w:szCs w:val="26"/>
        </w:rPr>
        <w:t>The Complainant</w:t>
      </w:r>
      <w:r w:rsidR="00F2148A">
        <w:rPr>
          <w:sz w:val="26"/>
          <w:szCs w:val="26"/>
        </w:rPr>
        <w:t xml:space="preserve"> </w:t>
      </w:r>
      <w:r w:rsidR="006C73AE">
        <w:rPr>
          <w:sz w:val="26"/>
          <w:szCs w:val="26"/>
        </w:rPr>
        <w:t xml:space="preserve">also </w:t>
      </w:r>
      <w:r w:rsidRPr="00BD02D8">
        <w:rPr>
          <w:sz w:val="26"/>
          <w:szCs w:val="26"/>
        </w:rPr>
        <w:t>contend</w:t>
      </w:r>
      <w:r>
        <w:rPr>
          <w:sz w:val="26"/>
          <w:szCs w:val="26"/>
        </w:rPr>
        <w:t>s</w:t>
      </w:r>
      <w:r w:rsidRPr="00BD02D8">
        <w:rPr>
          <w:sz w:val="26"/>
          <w:szCs w:val="26"/>
        </w:rPr>
        <w:t xml:space="preserve"> that </w:t>
      </w:r>
      <w:r>
        <w:rPr>
          <w:sz w:val="26"/>
          <w:szCs w:val="26"/>
        </w:rPr>
        <w:t>his</w:t>
      </w:r>
      <w:r w:rsidRPr="00BD02D8">
        <w:rPr>
          <w:sz w:val="26"/>
          <w:szCs w:val="26"/>
        </w:rPr>
        <w:t xml:space="preserve"> medical condition entitle</w:t>
      </w:r>
      <w:r>
        <w:rPr>
          <w:sz w:val="26"/>
          <w:szCs w:val="26"/>
        </w:rPr>
        <w:t>s</w:t>
      </w:r>
      <w:r w:rsidRPr="00BD02D8">
        <w:rPr>
          <w:sz w:val="26"/>
          <w:szCs w:val="26"/>
        </w:rPr>
        <w:t xml:space="preserve"> </w:t>
      </w:r>
      <w:r>
        <w:rPr>
          <w:sz w:val="26"/>
          <w:szCs w:val="26"/>
        </w:rPr>
        <w:t>hi</w:t>
      </w:r>
      <w:r w:rsidRPr="00BD02D8">
        <w:rPr>
          <w:sz w:val="26"/>
          <w:szCs w:val="26"/>
        </w:rPr>
        <w:t xml:space="preserve">m to an accommodation </w:t>
      </w:r>
      <w:r>
        <w:rPr>
          <w:sz w:val="26"/>
          <w:szCs w:val="26"/>
        </w:rPr>
        <w:t>under</w:t>
      </w:r>
      <w:r w:rsidRPr="00BD02D8">
        <w:rPr>
          <w:sz w:val="26"/>
          <w:szCs w:val="26"/>
        </w:rPr>
        <w:t xml:space="preserve"> the ADA.  Exc. </w:t>
      </w:r>
      <w:r w:rsidRPr="003B7845">
        <w:rPr>
          <w:sz w:val="26"/>
          <w:szCs w:val="26"/>
        </w:rPr>
        <w:t>at 2.</w:t>
      </w:r>
      <w:r w:rsidRPr="00BD02D8">
        <w:rPr>
          <w:sz w:val="26"/>
          <w:szCs w:val="26"/>
        </w:rPr>
        <w:t xml:space="preserve">  </w:t>
      </w:r>
      <w:r w:rsidR="00D22B85">
        <w:rPr>
          <w:sz w:val="26"/>
          <w:szCs w:val="26"/>
        </w:rPr>
        <w:t>The ALJ noted in the Initial Decision,</w:t>
      </w:r>
      <w:r w:rsidR="00A11B1F">
        <w:rPr>
          <w:sz w:val="26"/>
          <w:szCs w:val="26"/>
        </w:rPr>
        <w:t xml:space="preserve"> </w:t>
      </w:r>
      <w:r w:rsidR="00623695" w:rsidRPr="00D22B85">
        <w:rPr>
          <w:i/>
          <w:iCs/>
          <w:sz w:val="26"/>
          <w:szCs w:val="26"/>
        </w:rPr>
        <w:t>supra</w:t>
      </w:r>
      <w:r w:rsidR="00623695">
        <w:rPr>
          <w:sz w:val="26"/>
          <w:szCs w:val="26"/>
        </w:rPr>
        <w:t xml:space="preserve">, </w:t>
      </w:r>
      <w:r w:rsidR="00D22B85">
        <w:rPr>
          <w:sz w:val="26"/>
          <w:szCs w:val="26"/>
        </w:rPr>
        <w:t>t</w:t>
      </w:r>
      <w:r w:rsidRPr="00BD02D8">
        <w:rPr>
          <w:sz w:val="26"/>
          <w:szCs w:val="26"/>
        </w:rPr>
        <w:t xml:space="preserve">he Commission has no jurisdiction to require PPL to provide such an accommodation.  </w:t>
      </w:r>
      <w:r w:rsidR="00D22B85">
        <w:rPr>
          <w:sz w:val="26"/>
          <w:szCs w:val="26"/>
        </w:rPr>
        <w:t>Further</w:t>
      </w:r>
      <w:r w:rsidR="003A4DCD">
        <w:rPr>
          <w:sz w:val="26"/>
          <w:szCs w:val="26"/>
        </w:rPr>
        <w:t xml:space="preserve">, we </w:t>
      </w:r>
      <w:r w:rsidRPr="00BD02D8">
        <w:rPr>
          <w:sz w:val="26"/>
          <w:szCs w:val="26"/>
        </w:rPr>
        <w:t>agree with PPL</w:t>
      </w:r>
      <w:r>
        <w:rPr>
          <w:sz w:val="26"/>
          <w:szCs w:val="26"/>
        </w:rPr>
        <w:t xml:space="preserve"> that</w:t>
      </w:r>
      <w:r w:rsidR="00D8757F">
        <w:rPr>
          <w:sz w:val="26"/>
          <w:szCs w:val="26"/>
        </w:rPr>
        <w:t>,</w:t>
      </w:r>
      <w:r w:rsidRPr="00BD02D8">
        <w:rPr>
          <w:sz w:val="26"/>
          <w:szCs w:val="26"/>
        </w:rPr>
        <w:t xml:space="preserve"> the Commission has consistently held that</w:t>
      </w:r>
      <w:r>
        <w:rPr>
          <w:sz w:val="26"/>
          <w:szCs w:val="26"/>
        </w:rPr>
        <w:t>,</w:t>
      </w:r>
      <w:r w:rsidRPr="00BD02D8">
        <w:rPr>
          <w:sz w:val="26"/>
          <w:szCs w:val="26"/>
        </w:rPr>
        <w:t xml:space="preserve"> it lacks jurisdiction to determine whether a person has a disability defined by the ADA and to enforce the ADA’s provisions.  R. Exc. at </w:t>
      </w:r>
      <w:r>
        <w:rPr>
          <w:sz w:val="26"/>
          <w:szCs w:val="26"/>
        </w:rPr>
        <w:t>16-17 (</w:t>
      </w:r>
      <w:r w:rsidRPr="00BD02D8">
        <w:rPr>
          <w:sz w:val="26"/>
          <w:szCs w:val="26"/>
        </w:rPr>
        <w:t xml:space="preserve">citing </w:t>
      </w:r>
      <w:proofErr w:type="spellStart"/>
      <w:r w:rsidRPr="00BD02D8">
        <w:rPr>
          <w:i/>
          <w:iCs/>
          <w:sz w:val="26"/>
          <w:szCs w:val="26"/>
        </w:rPr>
        <w:t>Frompovich</w:t>
      </w:r>
      <w:proofErr w:type="spellEnd"/>
      <w:r w:rsidRPr="00BD02D8">
        <w:rPr>
          <w:i/>
          <w:iCs/>
          <w:sz w:val="26"/>
          <w:szCs w:val="26"/>
        </w:rPr>
        <w:t xml:space="preserve"> </w:t>
      </w:r>
      <w:r w:rsidRPr="00BD02D8">
        <w:rPr>
          <w:sz w:val="26"/>
          <w:szCs w:val="26"/>
        </w:rPr>
        <w:t xml:space="preserve">at </w:t>
      </w:r>
      <w:r>
        <w:rPr>
          <w:sz w:val="26"/>
          <w:szCs w:val="26"/>
        </w:rPr>
        <w:t>*69)</w:t>
      </w:r>
      <w:r w:rsidRPr="00BD02D8">
        <w:rPr>
          <w:sz w:val="26"/>
          <w:szCs w:val="26"/>
        </w:rPr>
        <w:t>.</w:t>
      </w:r>
    </w:p>
    <w:p w14:paraId="22E9A7B4" w14:textId="39AE70D1" w:rsidR="002102EC" w:rsidRDefault="002102EC" w:rsidP="00455EDF">
      <w:pPr>
        <w:spacing w:line="360" w:lineRule="auto"/>
        <w:ind w:firstLine="1440"/>
        <w:contextualSpacing/>
        <w:rPr>
          <w:sz w:val="26"/>
          <w:szCs w:val="26"/>
        </w:rPr>
      </w:pPr>
    </w:p>
    <w:p w14:paraId="20CA28F9" w14:textId="1A56443D" w:rsidR="00455EDF" w:rsidRDefault="002102EC" w:rsidP="00455EDF">
      <w:pPr>
        <w:spacing w:line="360" w:lineRule="auto"/>
        <w:ind w:firstLine="1440"/>
        <w:contextualSpacing/>
        <w:rPr>
          <w:sz w:val="26"/>
          <w:szCs w:val="26"/>
        </w:rPr>
      </w:pPr>
      <w:r>
        <w:rPr>
          <w:sz w:val="26"/>
          <w:szCs w:val="26"/>
        </w:rPr>
        <w:t xml:space="preserve">Lastly, the Complainant claims PPL is in violation of </w:t>
      </w:r>
      <w:r w:rsidRPr="002B1F5B">
        <w:rPr>
          <w:color w:val="000000" w:themeColor="text1"/>
          <w:sz w:val="26"/>
          <w:szCs w:val="26"/>
        </w:rPr>
        <w:t>Section 150</w:t>
      </w:r>
      <w:r>
        <w:rPr>
          <w:color w:val="000000" w:themeColor="text1"/>
          <w:sz w:val="26"/>
          <w:szCs w:val="26"/>
        </w:rPr>
        <w:t>2</w:t>
      </w:r>
      <w:r w:rsidRPr="002B1F5B">
        <w:rPr>
          <w:color w:val="000000" w:themeColor="text1"/>
          <w:sz w:val="26"/>
          <w:szCs w:val="26"/>
        </w:rPr>
        <w:t xml:space="preserve"> of the Code</w:t>
      </w:r>
      <w:r>
        <w:rPr>
          <w:color w:val="000000" w:themeColor="text1"/>
          <w:sz w:val="26"/>
          <w:szCs w:val="26"/>
        </w:rPr>
        <w:t xml:space="preserve">.  </w:t>
      </w:r>
      <w:r w:rsidR="004F7314">
        <w:rPr>
          <w:color w:val="000000" w:themeColor="text1"/>
          <w:sz w:val="26"/>
          <w:szCs w:val="26"/>
        </w:rPr>
        <w:t xml:space="preserve">The Code at </w:t>
      </w:r>
      <w:r w:rsidR="0089745A">
        <w:rPr>
          <w:sz w:val="26"/>
          <w:szCs w:val="26"/>
        </w:rPr>
        <w:t>66 Pa.</w:t>
      </w:r>
      <w:r w:rsidR="00E71DA3">
        <w:rPr>
          <w:sz w:val="26"/>
          <w:szCs w:val="26"/>
        </w:rPr>
        <w:t xml:space="preserve"> </w:t>
      </w:r>
      <w:r w:rsidR="0089745A">
        <w:rPr>
          <w:sz w:val="26"/>
          <w:szCs w:val="26"/>
        </w:rPr>
        <w:t xml:space="preserve">C.S. </w:t>
      </w:r>
      <w:r w:rsidR="0089745A" w:rsidRPr="00481242">
        <w:rPr>
          <w:color w:val="000000" w:themeColor="text1"/>
          <w:sz w:val="26"/>
          <w:szCs w:val="26"/>
        </w:rPr>
        <w:t>§</w:t>
      </w:r>
      <w:r w:rsidR="0089745A">
        <w:rPr>
          <w:sz w:val="26"/>
          <w:szCs w:val="26"/>
        </w:rPr>
        <w:t xml:space="preserve"> 1502 states as follow</w:t>
      </w:r>
      <w:r w:rsidR="001203DA">
        <w:rPr>
          <w:sz w:val="26"/>
          <w:szCs w:val="26"/>
        </w:rPr>
        <w:t>s:</w:t>
      </w:r>
    </w:p>
    <w:p w14:paraId="5F7683F2" w14:textId="77777777" w:rsidR="004F7314" w:rsidRDefault="004F7314" w:rsidP="002B035F">
      <w:pPr>
        <w:ind w:firstLine="1440"/>
        <w:contextualSpacing/>
        <w:rPr>
          <w:sz w:val="26"/>
          <w:szCs w:val="26"/>
        </w:rPr>
      </w:pPr>
    </w:p>
    <w:p w14:paraId="72C1EEE6" w14:textId="4E87E6C3" w:rsidR="004F7314" w:rsidRPr="002B3060" w:rsidRDefault="004F7314" w:rsidP="004F7314">
      <w:pPr>
        <w:pStyle w:val="Default"/>
        <w:keepNext/>
        <w:keepLines/>
        <w:ind w:left="1440" w:right="1440"/>
        <w:rPr>
          <w:color w:val="auto"/>
          <w:sz w:val="26"/>
          <w:szCs w:val="26"/>
        </w:rPr>
      </w:pPr>
      <w:r w:rsidRPr="004F7314">
        <w:rPr>
          <w:color w:val="auto"/>
          <w:sz w:val="26"/>
          <w:szCs w:val="26"/>
        </w:rPr>
        <w:t xml:space="preserve">No public utility shall, as to service, make or grant any unreasonable preference or advantage to any person, corporation, or municipal corporation, or subject any person, corporation, or municipal corporation to any unreasonable prejudice or disadvantage. </w:t>
      </w:r>
      <w:r w:rsidR="00A1588C">
        <w:rPr>
          <w:color w:val="auto"/>
          <w:sz w:val="26"/>
          <w:szCs w:val="26"/>
        </w:rPr>
        <w:t xml:space="preserve"> </w:t>
      </w:r>
      <w:r w:rsidRPr="004F7314">
        <w:rPr>
          <w:color w:val="auto"/>
          <w:sz w:val="26"/>
          <w:szCs w:val="26"/>
        </w:rPr>
        <w:t>No public utility shall establish or maintain any unreasonable difference as to service, either as between localities or as between classes of service, but this section does not prohibit the establishment of reasonable classifications of service</w:t>
      </w:r>
      <w:r w:rsidRPr="002B3060">
        <w:rPr>
          <w:color w:val="auto"/>
          <w:sz w:val="26"/>
          <w:szCs w:val="26"/>
        </w:rPr>
        <w:t xml:space="preserve">. </w:t>
      </w:r>
    </w:p>
    <w:p w14:paraId="42A9B2D7" w14:textId="60B0D1C0" w:rsidR="001203DA" w:rsidRDefault="001203DA" w:rsidP="00455EDF">
      <w:pPr>
        <w:spacing w:line="360" w:lineRule="auto"/>
        <w:ind w:firstLine="1440"/>
        <w:contextualSpacing/>
        <w:rPr>
          <w:sz w:val="26"/>
          <w:szCs w:val="26"/>
        </w:rPr>
      </w:pPr>
    </w:p>
    <w:p w14:paraId="797BA0A9" w14:textId="7B24FB11" w:rsidR="0081619A" w:rsidRDefault="0024412C" w:rsidP="00365921">
      <w:pPr>
        <w:spacing w:line="360" w:lineRule="auto"/>
        <w:contextualSpacing/>
        <w:rPr>
          <w:sz w:val="26"/>
          <w:szCs w:val="26"/>
        </w:rPr>
      </w:pPr>
      <w:r>
        <w:rPr>
          <w:rFonts w:eastAsiaTheme="minorHAnsi"/>
          <w:sz w:val="26"/>
          <w:szCs w:val="26"/>
        </w:rPr>
        <w:t>66</w:t>
      </w:r>
      <w:r w:rsidR="00A1588C" w:rsidRPr="002B3060">
        <w:rPr>
          <w:rFonts w:eastAsiaTheme="minorHAnsi"/>
          <w:sz w:val="26"/>
          <w:szCs w:val="26"/>
        </w:rPr>
        <w:t xml:space="preserve"> Pa.</w:t>
      </w:r>
      <w:r w:rsidR="00174049">
        <w:rPr>
          <w:rFonts w:eastAsiaTheme="minorHAnsi"/>
          <w:sz w:val="26"/>
          <w:szCs w:val="26"/>
        </w:rPr>
        <w:t xml:space="preserve"> </w:t>
      </w:r>
      <w:r>
        <w:rPr>
          <w:rFonts w:eastAsiaTheme="minorHAnsi"/>
          <w:sz w:val="26"/>
          <w:szCs w:val="26"/>
        </w:rPr>
        <w:t>C.S.</w:t>
      </w:r>
      <w:r w:rsidR="00A1588C" w:rsidRPr="002B3060">
        <w:rPr>
          <w:rFonts w:eastAsiaTheme="minorHAnsi"/>
          <w:sz w:val="26"/>
          <w:szCs w:val="26"/>
        </w:rPr>
        <w:t xml:space="preserve"> § </w:t>
      </w:r>
      <w:r>
        <w:rPr>
          <w:rFonts w:eastAsiaTheme="minorHAnsi"/>
          <w:sz w:val="26"/>
          <w:szCs w:val="26"/>
        </w:rPr>
        <w:t>1502</w:t>
      </w:r>
      <w:r w:rsidR="00A1588C">
        <w:rPr>
          <w:rFonts w:eastAsiaTheme="minorHAnsi"/>
          <w:sz w:val="26"/>
          <w:szCs w:val="26"/>
        </w:rPr>
        <w:t xml:space="preserve">. </w:t>
      </w:r>
      <w:r w:rsidR="002C1EEE">
        <w:rPr>
          <w:rFonts w:eastAsiaTheme="minorHAnsi"/>
          <w:sz w:val="26"/>
          <w:szCs w:val="26"/>
        </w:rPr>
        <w:t xml:space="preserve"> Upon a review of the record, and b</w:t>
      </w:r>
      <w:r w:rsidR="003F50FE" w:rsidRPr="003F50FE">
        <w:rPr>
          <w:sz w:val="26"/>
          <w:szCs w:val="26"/>
        </w:rPr>
        <w:t xml:space="preserve">ased on the </w:t>
      </w:r>
      <w:r w:rsidR="00D0002A">
        <w:rPr>
          <w:sz w:val="26"/>
          <w:szCs w:val="26"/>
        </w:rPr>
        <w:t>f</w:t>
      </w:r>
      <w:r w:rsidR="003F50FE" w:rsidRPr="003F50FE">
        <w:rPr>
          <w:sz w:val="26"/>
          <w:szCs w:val="26"/>
        </w:rPr>
        <w:t>oregoing</w:t>
      </w:r>
      <w:r w:rsidR="00D0002A">
        <w:rPr>
          <w:sz w:val="26"/>
          <w:szCs w:val="26"/>
        </w:rPr>
        <w:t xml:space="preserve"> discussion</w:t>
      </w:r>
      <w:r w:rsidR="002C1EEE">
        <w:rPr>
          <w:sz w:val="26"/>
          <w:szCs w:val="26"/>
        </w:rPr>
        <w:t xml:space="preserve"> in this Exception, we find </w:t>
      </w:r>
      <w:r w:rsidR="00E83114">
        <w:rPr>
          <w:sz w:val="26"/>
          <w:szCs w:val="26"/>
        </w:rPr>
        <w:t>the Complainant’s claim that PPL violated Section 1502</w:t>
      </w:r>
      <w:r w:rsidR="00974865">
        <w:rPr>
          <w:sz w:val="26"/>
          <w:szCs w:val="26"/>
        </w:rPr>
        <w:t xml:space="preserve"> to be </w:t>
      </w:r>
      <w:r w:rsidR="00AC1368">
        <w:rPr>
          <w:sz w:val="26"/>
          <w:szCs w:val="26"/>
        </w:rPr>
        <w:t>unfounded</w:t>
      </w:r>
      <w:r w:rsidR="00974865">
        <w:rPr>
          <w:sz w:val="26"/>
          <w:szCs w:val="26"/>
        </w:rPr>
        <w:t>.</w:t>
      </w:r>
      <w:r w:rsidR="002D00BD">
        <w:rPr>
          <w:sz w:val="26"/>
          <w:szCs w:val="26"/>
        </w:rPr>
        <w:t xml:space="preserve">  </w:t>
      </w:r>
    </w:p>
    <w:p w14:paraId="2D50C066" w14:textId="77777777" w:rsidR="0081619A" w:rsidRDefault="0081619A" w:rsidP="00365921">
      <w:pPr>
        <w:spacing w:line="360" w:lineRule="auto"/>
        <w:contextualSpacing/>
        <w:rPr>
          <w:sz w:val="26"/>
          <w:szCs w:val="26"/>
        </w:rPr>
      </w:pPr>
    </w:p>
    <w:p w14:paraId="4261BE8D" w14:textId="16CF648A" w:rsidR="00B77B01" w:rsidRPr="00365921" w:rsidRDefault="0081619A" w:rsidP="00D71B6D">
      <w:pPr>
        <w:spacing w:line="360" w:lineRule="auto"/>
        <w:ind w:firstLine="1440"/>
        <w:contextualSpacing/>
        <w:rPr>
          <w:sz w:val="26"/>
          <w:szCs w:val="26"/>
        </w:rPr>
      </w:pPr>
      <w:r>
        <w:rPr>
          <w:sz w:val="26"/>
          <w:szCs w:val="26"/>
        </w:rPr>
        <w:lastRenderedPageBreak/>
        <w:t>For all the foregoing reasons</w:t>
      </w:r>
      <w:r w:rsidR="00184ABE">
        <w:rPr>
          <w:sz w:val="26"/>
          <w:szCs w:val="26"/>
        </w:rPr>
        <w:t>, w</w:t>
      </w:r>
      <w:r w:rsidR="002D00BD">
        <w:rPr>
          <w:sz w:val="26"/>
          <w:szCs w:val="26"/>
        </w:rPr>
        <w:t>e shall deny the Complainant’s Exception No. 2</w:t>
      </w:r>
      <w:r w:rsidR="00184ABE">
        <w:rPr>
          <w:sz w:val="26"/>
          <w:szCs w:val="26"/>
        </w:rPr>
        <w:t>.</w:t>
      </w:r>
    </w:p>
    <w:p w14:paraId="6B269652" w14:textId="71B68817" w:rsidR="00B77B01" w:rsidRDefault="00B77B01" w:rsidP="00B77B01">
      <w:pPr>
        <w:widowControl/>
        <w:spacing w:line="360" w:lineRule="auto"/>
        <w:rPr>
          <w:b/>
          <w:color w:val="000000" w:themeColor="text1"/>
          <w:sz w:val="26"/>
          <w:szCs w:val="26"/>
        </w:rPr>
      </w:pPr>
    </w:p>
    <w:p w14:paraId="0138FCB3" w14:textId="771B9522" w:rsidR="00B77B01" w:rsidRPr="00861FCB" w:rsidRDefault="00B77B01" w:rsidP="00E6540F">
      <w:pPr>
        <w:widowControl/>
        <w:numPr>
          <w:ilvl w:val="0"/>
          <w:numId w:val="26"/>
        </w:numPr>
        <w:ind w:left="1440" w:hanging="720"/>
        <w:contextualSpacing/>
        <w:rPr>
          <w:b/>
          <w:color w:val="000000" w:themeColor="text1"/>
          <w:sz w:val="26"/>
          <w:szCs w:val="26"/>
        </w:rPr>
      </w:pPr>
      <w:r w:rsidRPr="00861FCB">
        <w:rPr>
          <w:b/>
          <w:color w:val="000000" w:themeColor="text1"/>
          <w:sz w:val="26"/>
          <w:szCs w:val="26"/>
        </w:rPr>
        <w:t xml:space="preserve">Complainant’s </w:t>
      </w:r>
      <w:r w:rsidR="00E96D1E">
        <w:rPr>
          <w:b/>
          <w:sz w:val="26"/>
          <w:szCs w:val="26"/>
        </w:rPr>
        <w:t xml:space="preserve">Concerns Regarding </w:t>
      </w:r>
      <w:r w:rsidR="00E54AF7">
        <w:rPr>
          <w:b/>
          <w:sz w:val="26"/>
          <w:szCs w:val="26"/>
        </w:rPr>
        <w:t>an</w:t>
      </w:r>
      <w:r w:rsidR="00120FF5">
        <w:rPr>
          <w:b/>
          <w:sz w:val="26"/>
          <w:szCs w:val="26"/>
        </w:rPr>
        <w:t xml:space="preserve"> </w:t>
      </w:r>
      <w:r w:rsidR="00E54AF7">
        <w:rPr>
          <w:b/>
          <w:sz w:val="26"/>
          <w:szCs w:val="26"/>
        </w:rPr>
        <w:t xml:space="preserve">Opt-Out and </w:t>
      </w:r>
      <w:r w:rsidR="006F5B69">
        <w:rPr>
          <w:b/>
          <w:sz w:val="26"/>
          <w:szCs w:val="26"/>
        </w:rPr>
        <w:t xml:space="preserve">the </w:t>
      </w:r>
      <w:bookmarkStart w:id="21" w:name="_Hlk45777907"/>
      <w:r w:rsidR="006F5B69">
        <w:rPr>
          <w:b/>
          <w:sz w:val="26"/>
          <w:szCs w:val="26"/>
        </w:rPr>
        <w:t>Commission’s Interpretation</w:t>
      </w:r>
      <w:r w:rsidR="00E96D1E">
        <w:rPr>
          <w:b/>
          <w:sz w:val="26"/>
          <w:szCs w:val="26"/>
        </w:rPr>
        <w:t xml:space="preserve"> of </w:t>
      </w:r>
      <w:r w:rsidR="008577CA" w:rsidRPr="008577CA">
        <w:rPr>
          <w:b/>
          <w:bCs/>
          <w:sz w:val="26"/>
          <w:szCs w:val="26"/>
        </w:rPr>
        <w:t>66 Pa.</w:t>
      </w:r>
      <w:r w:rsidR="002840B1">
        <w:rPr>
          <w:b/>
          <w:bCs/>
          <w:sz w:val="26"/>
          <w:szCs w:val="26"/>
        </w:rPr>
        <w:t xml:space="preserve"> </w:t>
      </w:r>
      <w:r w:rsidR="008577CA" w:rsidRPr="008577CA">
        <w:rPr>
          <w:b/>
          <w:bCs/>
          <w:sz w:val="26"/>
          <w:szCs w:val="26"/>
        </w:rPr>
        <w:t>C.S. § 2807(f)</w:t>
      </w:r>
      <w:bookmarkEnd w:id="21"/>
    </w:p>
    <w:p w14:paraId="024309D1" w14:textId="77777777" w:rsidR="00B77B01" w:rsidRPr="00861FCB" w:rsidRDefault="00B77B01" w:rsidP="00B77B01">
      <w:pPr>
        <w:widowControl/>
        <w:spacing w:line="360" w:lineRule="auto"/>
        <w:ind w:left="1080"/>
        <w:contextualSpacing/>
        <w:rPr>
          <w:b/>
          <w:color w:val="000000" w:themeColor="text1"/>
          <w:sz w:val="26"/>
          <w:szCs w:val="26"/>
        </w:rPr>
      </w:pPr>
    </w:p>
    <w:p w14:paraId="15CB12AF" w14:textId="1773A41C" w:rsidR="00B77B01" w:rsidRDefault="00B77B01" w:rsidP="00BC08C8">
      <w:pPr>
        <w:numPr>
          <w:ilvl w:val="0"/>
          <w:numId w:val="33"/>
        </w:numPr>
        <w:spacing w:line="360" w:lineRule="auto"/>
        <w:contextualSpacing/>
        <w:outlineLvl w:val="3"/>
        <w:rPr>
          <w:b/>
          <w:sz w:val="26"/>
          <w:szCs w:val="26"/>
        </w:rPr>
      </w:pPr>
      <w:r w:rsidRPr="00861FCB">
        <w:rPr>
          <w:b/>
          <w:sz w:val="26"/>
          <w:szCs w:val="26"/>
        </w:rPr>
        <w:t>Exception No</w:t>
      </w:r>
      <w:r>
        <w:rPr>
          <w:b/>
          <w:sz w:val="26"/>
          <w:szCs w:val="26"/>
        </w:rPr>
        <w:t xml:space="preserve">. </w:t>
      </w:r>
      <w:r w:rsidR="006744FC">
        <w:rPr>
          <w:b/>
          <w:sz w:val="26"/>
          <w:szCs w:val="26"/>
        </w:rPr>
        <w:t>3</w:t>
      </w:r>
      <w:r w:rsidR="00BC08C8">
        <w:rPr>
          <w:b/>
          <w:sz w:val="26"/>
          <w:szCs w:val="26"/>
        </w:rPr>
        <w:br/>
      </w:r>
    </w:p>
    <w:p w14:paraId="549858A1" w14:textId="4B8153C3" w:rsidR="00672ED3" w:rsidRDefault="00EA0FB6" w:rsidP="00EE4C52">
      <w:pPr>
        <w:widowControl/>
        <w:spacing w:line="360" w:lineRule="auto"/>
        <w:ind w:firstLine="1440"/>
        <w:contextualSpacing/>
        <w:rPr>
          <w:color w:val="000000" w:themeColor="text1"/>
          <w:sz w:val="26"/>
          <w:szCs w:val="26"/>
        </w:rPr>
      </w:pPr>
      <w:bookmarkStart w:id="22" w:name="_Hlk45791956"/>
      <w:r>
        <w:rPr>
          <w:color w:val="000000" w:themeColor="text1"/>
          <w:sz w:val="26"/>
          <w:szCs w:val="26"/>
        </w:rPr>
        <w:t>The Complainant</w:t>
      </w:r>
      <w:r w:rsidR="00B65732">
        <w:rPr>
          <w:color w:val="000000" w:themeColor="text1"/>
          <w:sz w:val="26"/>
          <w:szCs w:val="26"/>
        </w:rPr>
        <w:t xml:space="preserve"> contends that the ALJ erred by not </w:t>
      </w:r>
      <w:r w:rsidR="00B61AB0">
        <w:rPr>
          <w:color w:val="000000" w:themeColor="text1"/>
          <w:sz w:val="26"/>
          <w:szCs w:val="26"/>
        </w:rPr>
        <w:t xml:space="preserve">recognizing </w:t>
      </w:r>
      <w:r w:rsidR="009A793F">
        <w:rPr>
          <w:color w:val="000000" w:themeColor="text1"/>
          <w:sz w:val="26"/>
          <w:szCs w:val="26"/>
        </w:rPr>
        <w:t xml:space="preserve">that the </w:t>
      </w:r>
      <w:r w:rsidR="009A793F" w:rsidRPr="00481242">
        <w:rPr>
          <w:i/>
          <w:iCs/>
          <w:color w:val="000000" w:themeColor="text1"/>
          <w:sz w:val="26"/>
          <w:szCs w:val="26"/>
        </w:rPr>
        <w:t>2015 Smart Meter Order</w:t>
      </w:r>
      <w:r w:rsidR="00365921">
        <w:rPr>
          <w:color w:val="000000" w:themeColor="text1"/>
          <w:sz w:val="26"/>
          <w:szCs w:val="26"/>
        </w:rPr>
        <w:t xml:space="preserve"> “</w:t>
      </w:r>
      <w:r w:rsidR="00BF6ADA" w:rsidRPr="00CD0553">
        <w:rPr>
          <w:color w:val="000000" w:themeColor="text1"/>
          <w:sz w:val="26"/>
          <w:szCs w:val="26"/>
        </w:rPr>
        <w:t>[</w:t>
      </w:r>
      <w:r w:rsidR="009A793F" w:rsidRPr="00CD0553">
        <w:rPr>
          <w:color w:val="000000" w:themeColor="text1"/>
          <w:sz w:val="26"/>
          <w:szCs w:val="26"/>
        </w:rPr>
        <w:t>c</w:t>
      </w:r>
      <w:r w:rsidR="00BF6ADA" w:rsidRPr="00CD0553">
        <w:rPr>
          <w:color w:val="000000" w:themeColor="text1"/>
          <w:sz w:val="26"/>
          <w:szCs w:val="26"/>
        </w:rPr>
        <w:t>]</w:t>
      </w:r>
      <w:proofErr w:type="spellStart"/>
      <w:r w:rsidR="009A793F">
        <w:rPr>
          <w:color w:val="000000" w:themeColor="text1"/>
          <w:sz w:val="26"/>
          <w:szCs w:val="26"/>
        </w:rPr>
        <w:t>ontains</w:t>
      </w:r>
      <w:proofErr w:type="spellEnd"/>
      <w:r w:rsidR="009A793F">
        <w:rPr>
          <w:color w:val="000000" w:themeColor="text1"/>
          <w:sz w:val="26"/>
          <w:szCs w:val="26"/>
        </w:rPr>
        <w:t xml:space="preserve"> a p</w:t>
      </w:r>
      <w:r w:rsidR="00794AE2">
        <w:rPr>
          <w:color w:val="000000" w:themeColor="text1"/>
          <w:sz w:val="26"/>
          <w:szCs w:val="26"/>
        </w:rPr>
        <w:t>rovision for customers to have to accept a smart meter</w:t>
      </w:r>
      <w:r w:rsidR="005A1BBA">
        <w:rPr>
          <w:color w:val="000000" w:themeColor="text1"/>
          <w:sz w:val="26"/>
          <w:szCs w:val="26"/>
        </w:rPr>
        <w:t xml:space="preserve"> </w:t>
      </w:r>
      <w:r w:rsidR="00A55A1B">
        <w:rPr>
          <w:color w:val="000000" w:themeColor="text1"/>
          <w:sz w:val="26"/>
          <w:szCs w:val="26"/>
        </w:rPr>
        <w:t>(</w:t>
      </w:r>
      <w:r w:rsidR="00A55A1B" w:rsidRPr="00A55A1B">
        <w:rPr>
          <w:i/>
          <w:iCs/>
          <w:color w:val="000000" w:themeColor="text1"/>
          <w:sz w:val="26"/>
          <w:szCs w:val="26"/>
        </w:rPr>
        <w:t>i.e.</w:t>
      </w:r>
      <w:r w:rsidR="00A55A1B">
        <w:rPr>
          <w:color w:val="000000" w:themeColor="text1"/>
          <w:sz w:val="26"/>
          <w:szCs w:val="26"/>
        </w:rPr>
        <w:t xml:space="preserve">, no opt-out) </w:t>
      </w:r>
      <w:r w:rsidR="005A1BBA">
        <w:rPr>
          <w:color w:val="000000" w:themeColor="text1"/>
          <w:sz w:val="26"/>
          <w:szCs w:val="26"/>
        </w:rPr>
        <w:t>that the c</w:t>
      </w:r>
      <w:r w:rsidR="00A55A1B">
        <w:rPr>
          <w:color w:val="000000" w:themeColor="text1"/>
          <w:sz w:val="26"/>
          <w:szCs w:val="26"/>
        </w:rPr>
        <w:t>ustomer did not request and who did and does not now live in a new construction home</w:t>
      </w:r>
      <w:r w:rsidR="00E27609">
        <w:rPr>
          <w:color w:val="000000" w:themeColor="text1"/>
          <w:sz w:val="26"/>
          <w:szCs w:val="26"/>
        </w:rPr>
        <w:t>.</w:t>
      </w:r>
      <w:r w:rsidR="00F535C1">
        <w:rPr>
          <w:color w:val="000000" w:themeColor="text1"/>
          <w:sz w:val="26"/>
          <w:szCs w:val="26"/>
        </w:rPr>
        <w:t>..”</w:t>
      </w:r>
      <w:r w:rsidR="00F22B13">
        <w:rPr>
          <w:color w:val="000000" w:themeColor="text1"/>
          <w:sz w:val="26"/>
          <w:szCs w:val="26"/>
        </w:rPr>
        <w:t xml:space="preserve">  </w:t>
      </w:r>
      <w:r w:rsidR="00C175AC">
        <w:rPr>
          <w:color w:val="000000" w:themeColor="text1"/>
          <w:sz w:val="26"/>
          <w:szCs w:val="26"/>
        </w:rPr>
        <w:t xml:space="preserve">Exc. at 3.  </w:t>
      </w:r>
      <w:r w:rsidR="00F22B13">
        <w:rPr>
          <w:color w:val="000000" w:themeColor="text1"/>
          <w:sz w:val="26"/>
          <w:szCs w:val="26"/>
        </w:rPr>
        <w:t xml:space="preserve">Further, Mr. Ulmer </w:t>
      </w:r>
      <w:r>
        <w:rPr>
          <w:color w:val="000000" w:themeColor="text1"/>
          <w:sz w:val="26"/>
          <w:szCs w:val="26"/>
        </w:rPr>
        <w:t>argues that the Commission is defending</w:t>
      </w:r>
      <w:r w:rsidR="00B35A9B">
        <w:rPr>
          <w:color w:val="000000" w:themeColor="text1"/>
          <w:sz w:val="26"/>
          <w:szCs w:val="26"/>
        </w:rPr>
        <w:t xml:space="preserve"> a misinterpretation </w:t>
      </w:r>
      <w:r w:rsidR="00F16330">
        <w:rPr>
          <w:color w:val="000000" w:themeColor="text1"/>
          <w:sz w:val="26"/>
          <w:szCs w:val="26"/>
        </w:rPr>
        <w:t xml:space="preserve">of </w:t>
      </w:r>
      <w:r w:rsidR="007F388F">
        <w:rPr>
          <w:color w:val="000000" w:themeColor="text1"/>
          <w:sz w:val="26"/>
          <w:szCs w:val="26"/>
        </w:rPr>
        <w:t>the</w:t>
      </w:r>
      <w:r w:rsidR="00B35A9B">
        <w:rPr>
          <w:color w:val="000000" w:themeColor="text1"/>
          <w:sz w:val="26"/>
          <w:szCs w:val="26"/>
        </w:rPr>
        <w:t xml:space="preserve"> legislative intent</w:t>
      </w:r>
      <w:r w:rsidR="007F388F">
        <w:rPr>
          <w:color w:val="000000" w:themeColor="text1"/>
          <w:sz w:val="26"/>
          <w:szCs w:val="26"/>
        </w:rPr>
        <w:t xml:space="preserve"> of Section</w:t>
      </w:r>
      <w:r w:rsidR="00456AFE">
        <w:rPr>
          <w:color w:val="000000" w:themeColor="text1"/>
          <w:sz w:val="26"/>
          <w:szCs w:val="26"/>
        </w:rPr>
        <w:t> </w:t>
      </w:r>
      <w:r w:rsidR="00560AFF">
        <w:rPr>
          <w:color w:val="000000" w:themeColor="text1"/>
          <w:sz w:val="26"/>
          <w:szCs w:val="26"/>
        </w:rPr>
        <w:t>2807(f)(2)</w:t>
      </w:r>
      <w:r w:rsidR="00914428">
        <w:rPr>
          <w:color w:val="000000" w:themeColor="text1"/>
          <w:sz w:val="26"/>
          <w:szCs w:val="26"/>
        </w:rPr>
        <w:t xml:space="preserve"> of the Code</w:t>
      </w:r>
      <w:r w:rsidR="00560AFF">
        <w:rPr>
          <w:color w:val="000000" w:themeColor="text1"/>
          <w:sz w:val="26"/>
          <w:szCs w:val="26"/>
        </w:rPr>
        <w:t xml:space="preserve">, </w:t>
      </w:r>
      <w:r w:rsidR="00560AFF" w:rsidRPr="00753022">
        <w:rPr>
          <w:sz w:val="26"/>
          <w:szCs w:val="26"/>
        </w:rPr>
        <w:t>66 Pa.</w:t>
      </w:r>
      <w:r w:rsidR="00EF4B0A">
        <w:rPr>
          <w:sz w:val="26"/>
          <w:szCs w:val="26"/>
        </w:rPr>
        <w:t xml:space="preserve"> </w:t>
      </w:r>
      <w:r w:rsidR="00560AFF" w:rsidRPr="00753022">
        <w:rPr>
          <w:sz w:val="26"/>
          <w:szCs w:val="26"/>
        </w:rPr>
        <w:t>C.S. § 2807(f)(2)</w:t>
      </w:r>
      <w:r w:rsidR="00914428">
        <w:rPr>
          <w:sz w:val="26"/>
          <w:szCs w:val="26"/>
        </w:rPr>
        <w:t>,</w:t>
      </w:r>
      <w:r w:rsidR="00B35A9B">
        <w:rPr>
          <w:color w:val="000000" w:themeColor="text1"/>
          <w:sz w:val="26"/>
          <w:szCs w:val="26"/>
        </w:rPr>
        <w:t xml:space="preserve"> </w:t>
      </w:r>
      <w:r w:rsidR="00264756">
        <w:rPr>
          <w:color w:val="000000" w:themeColor="text1"/>
          <w:sz w:val="26"/>
          <w:szCs w:val="26"/>
        </w:rPr>
        <w:t xml:space="preserve">Act 129, and </w:t>
      </w:r>
      <w:r w:rsidR="003F0E80">
        <w:rPr>
          <w:color w:val="000000" w:themeColor="text1"/>
          <w:sz w:val="26"/>
          <w:szCs w:val="26"/>
        </w:rPr>
        <w:t>the</w:t>
      </w:r>
      <w:r w:rsidR="00F35871">
        <w:rPr>
          <w:color w:val="000000" w:themeColor="text1"/>
          <w:sz w:val="26"/>
          <w:szCs w:val="26"/>
        </w:rPr>
        <w:t xml:space="preserve"> </w:t>
      </w:r>
      <w:r w:rsidR="00F35871" w:rsidRPr="003A43FB">
        <w:rPr>
          <w:i/>
          <w:iCs/>
          <w:color w:val="000000" w:themeColor="text1"/>
          <w:sz w:val="26"/>
          <w:szCs w:val="26"/>
        </w:rPr>
        <w:t>Smart Meter I</w:t>
      </w:r>
      <w:r w:rsidR="00B71F40">
        <w:rPr>
          <w:i/>
          <w:iCs/>
          <w:color w:val="000000" w:themeColor="text1"/>
          <w:sz w:val="26"/>
          <w:szCs w:val="26"/>
        </w:rPr>
        <w:t>mplement</w:t>
      </w:r>
      <w:r w:rsidR="00F35871" w:rsidRPr="003A43FB">
        <w:rPr>
          <w:i/>
          <w:iCs/>
          <w:color w:val="000000" w:themeColor="text1"/>
          <w:sz w:val="26"/>
          <w:szCs w:val="26"/>
        </w:rPr>
        <w:t>ation Order</w:t>
      </w:r>
      <w:r w:rsidR="00A226AD">
        <w:rPr>
          <w:color w:val="000000" w:themeColor="text1"/>
          <w:sz w:val="26"/>
          <w:szCs w:val="26"/>
        </w:rPr>
        <w:t xml:space="preserve">.  Exc. at </w:t>
      </w:r>
      <w:r w:rsidR="009A2723">
        <w:rPr>
          <w:color w:val="000000" w:themeColor="text1"/>
          <w:sz w:val="26"/>
          <w:szCs w:val="26"/>
        </w:rPr>
        <w:t xml:space="preserve">3, </w:t>
      </w:r>
      <w:r w:rsidR="00A226AD">
        <w:rPr>
          <w:color w:val="000000" w:themeColor="text1"/>
          <w:sz w:val="26"/>
          <w:szCs w:val="26"/>
        </w:rPr>
        <w:t>8.</w:t>
      </w:r>
      <w:r w:rsidR="00B62A5B">
        <w:rPr>
          <w:color w:val="000000" w:themeColor="text1"/>
          <w:sz w:val="26"/>
          <w:szCs w:val="26"/>
        </w:rPr>
        <w:t xml:space="preserve">  </w:t>
      </w:r>
      <w:r w:rsidR="00D43F32">
        <w:rPr>
          <w:color w:val="000000" w:themeColor="text1"/>
          <w:sz w:val="26"/>
          <w:szCs w:val="26"/>
        </w:rPr>
        <w:t>Moreover</w:t>
      </w:r>
      <w:r w:rsidR="00327EC8">
        <w:rPr>
          <w:color w:val="000000" w:themeColor="text1"/>
          <w:sz w:val="26"/>
          <w:szCs w:val="26"/>
        </w:rPr>
        <w:t xml:space="preserve">, </w:t>
      </w:r>
      <w:r w:rsidR="00D43F32">
        <w:rPr>
          <w:color w:val="000000" w:themeColor="text1"/>
          <w:sz w:val="26"/>
          <w:szCs w:val="26"/>
        </w:rPr>
        <w:t>the Complainant</w:t>
      </w:r>
      <w:r w:rsidR="00B62A5B">
        <w:rPr>
          <w:color w:val="000000" w:themeColor="text1"/>
          <w:sz w:val="26"/>
          <w:szCs w:val="26"/>
        </w:rPr>
        <w:t xml:space="preserve"> is of the opinion that</w:t>
      </w:r>
      <w:r w:rsidR="00260F31">
        <w:rPr>
          <w:color w:val="000000" w:themeColor="text1"/>
          <w:sz w:val="26"/>
          <w:szCs w:val="26"/>
        </w:rPr>
        <w:t>,</w:t>
      </w:r>
      <w:r w:rsidR="00B62A5B">
        <w:rPr>
          <w:color w:val="000000" w:themeColor="text1"/>
          <w:sz w:val="26"/>
          <w:szCs w:val="26"/>
        </w:rPr>
        <w:t xml:space="preserve"> </w:t>
      </w:r>
      <w:r w:rsidR="000D23E6">
        <w:rPr>
          <w:color w:val="000000" w:themeColor="text1"/>
          <w:sz w:val="26"/>
          <w:szCs w:val="26"/>
        </w:rPr>
        <w:t xml:space="preserve">the </w:t>
      </w:r>
      <w:r w:rsidR="000024CE">
        <w:rPr>
          <w:color w:val="000000" w:themeColor="text1"/>
          <w:sz w:val="26"/>
          <w:szCs w:val="26"/>
        </w:rPr>
        <w:t>Commission misinterpreted</w:t>
      </w:r>
      <w:r w:rsidR="000D23E6">
        <w:rPr>
          <w:color w:val="000000" w:themeColor="text1"/>
          <w:sz w:val="26"/>
          <w:szCs w:val="26"/>
        </w:rPr>
        <w:t xml:space="preserve"> the word depreciation</w:t>
      </w:r>
      <w:r w:rsidR="000024CE">
        <w:rPr>
          <w:color w:val="000000" w:themeColor="text1"/>
          <w:sz w:val="26"/>
          <w:szCs w:val="26"/>
        </w:rPr>
        <w:t xml:space="preserve">, as it </w:t>
      </w:r>
      <w:r w:rsidR="00D44FBA">
        <w:rPr>
          <w:color w:val="000000" w:themeColor="text1"/>
          <w:sz w:val="26"/>
          <w:szCs w:val="26"/>
        </w:rPr>
        <w:t>appears</w:t>
      </w:r>
      <w:r w:rsidR="000D23E6">
        <w:rPr>
          <w:color w:val="000000" w:themeColor="text1"/>
          <w:sz w:val="26"/>
          <w:szCs w:val="26"/>
        </w:rPr>
        <w:t xml:space="preserve"> in </w:t>
      </w:r>
      <w:r w:rsidR="004A133C">
        <w:rPr>
          <w:color w:val="000000" w:themeColor="text1"/>
          <w:sz w:val="26"/>
          <w:szCs w:val="26"/>
        </w:rPr>
        <w:t xml:space="preserve">the language of </w:t>
      </w:r>
      <w:bookmarkEnd w:id="22"/>
      <w:r w:rsidR="002F34AB">
        <w:rPr>
          <w:color w:val="000000" w:themeColor="text1"/>
          <w:sz w:val="26"/>
          <w:szCs w:val="26"/>
        </w:rPr>
        <w:t>Section 2807(f)(2)(iii)</w:t>
      </w:r>
      <w:r w:rsidR="000024CE">
        <w:rPr>
          <w:color w:val="000000" w:themeColor="text1"/>
          <w:sz w:val="26"/>
          <w:szCs w:val="26"/>
        </w:rPr>
        <w:t>,</w:t>
      </w:r>
      <w:r w:rsidR="00A87960">
        <w:rPr>
          <w:color w:val="000000" w:themeColor="text1"/>
          <w:sz w:val="26"/>
          <w:szCs w:val="26"/>
        </w:rPr>
        <w:t xml:space="preserve"> to mean that EDCs </w:t>
      </w:r>
      <w:r w:rsidR="00561607">
        <w:rPr>
          <w:color w:val="000000" w:themeColor="text1"/>
          <w:sz w:val="26"/>
          <w:szCs w:val="26"/>
        </w:rPr>
        <w:t>are required to install</w:t>
      </w:r>
      <w:r w:rsidR="00A87960">
        <w:rPr>
          <w:color w:val="000000" w:themeColor="text1"/>
          <w:sz w:val="26"/>
          <w:szCs w:val="26"/>
        </w:rPr>
        <w:t xml:space="preserve"> smart meters </w:t>
      </w:r>
      <w:r w:rsidR="00561607">
        <w:rPr>
          <w:color w:val="000000" w:themeColor="text1"/>
          <w:sz w:val="26"/>
          <w:szCs w:val="26"/>
        </w:rPr>
        <w:t>for all of their</w:t>
      </w:r>
      <w:r w:rsidR="00A87960">
        <w:rPr>
          <w:color w:val="000000" w:themeColor="text1"/>
          <w:sz w:val="26"/>
          <w:szCs w:val="26"/>
        </w:rPr>
        <w:t xml:space="preserve"> customers within 15 years.  Exc. at </w:t>
      </w:r>
      <w:r w:rsidR="00327EC8">
        <w:rPr>
          <w:color w:val="000000" w:themeColor="text1"/>
          <w:sz w:val="26"/>
          <w:szCs w:val="26"/>
        </w:rPr>
        <w:t>3</w:t>
      </w:r>
      <w:r w:rsidR="00A40877">
        <w:rPr>
          <w:color w:val="000000" w:themeColor="text1"/>
          <w:sz w:val="26"/>
          <w:szCs w:val="26"/>
        </w:rPr>
        <w:t>-</w:t>
      </w:r>
      <w:r w:rsidR="006C5F4A">
        <w:rPr>
          <w:color w:val="000000" w:themeColor="text1"/>
          <w:sz w:val="26"/>
          <w:szCs w:val="26"/>
        </w:rPr>
        <w:t>5</w:t>
      </w:r>
      <w:r w:rsidR="00041D07">
        <w:rPr>
          <w:color w:val="000000" w:themeColor="text1"/>
          <w:sz w:val="26"/>
          <w:szCs w:val="26"/>
        </w:rPr>
        <w:t>, 6</w:t>
      </w:r>
      <w:r w:rsidR="006B3163">
        <w:rPr>
          <w:color w:val="000000" w:themeColor="text1"/>
          <w:sz w:val="26"/>
          <w:szCs w:val="26"/>
        </w:rPr>
        <w:t>-7</w:t>
      </w:r>
      <w:r w:rsidR="00EA2675">
        <w:rPr>
          <w:color w:val="000000" w:themeColor="text1"/>
          <w:sz w:val="26"/>
          <w:szCs w:val="26"/>
        </w:rPr>
        <w:t>, 9</w:t>
      </w:r>
      <w:r w:rsidR="00A40877">
        <w:rPr>
          <w:color w:val="000000" w:themeColor="text1"/>
          <w:sz w:val="26"/>
          <w:szCs w:val="26"/>
        </w:rPr>
        <w:t>.</w:t>
      </w:r>
      <w:r w:rsidR="006C5F4A">
        <w:rPr>
          <w:color w:val="000000" w:themeColor="text1"/>
          <w:sz w:val="26"/>
          <w:szCs w:val="26"/>
        </w:rPr>
        <w:t xml:space="preserve">  </w:t>
      </w:r>
    </w:p>
    <w:p w14:paraId="7321AFA8" w14:textId="77777777" w:rsidR="00456AFE" w:rsidRDefault="00456AFE" w:rsidP="00EE4C52">
      <w:pPr>
        <w:widowControl/>
        <w:spacing w:line="360" w:lineRule="auto"/>
        <w:ind w:firstLine="1440"/>
        <w:contextualSpacing/>
        <w:rPr>
          <w:color w:val="000000" w:themeColor="text1"/>
          <w:sz w:val="26"/>
          <w:szCs w:val="26"/>
        </w:rPr>
      </w:pPr>
    </w:p>
    <w:p w14:paraId="06E54978" w14:textId="7858A354" w:rsidR="00EA0FB6" w:rsidRDefault="00672ED3" w:rsidP="00EE4C52">
      <w:pPr>
        <w:widowControl/>
        <w:spacing w:line="360" w:lineRule="auto"/>
        <w:ind w:firstLine="1440"/>
        <w:contextualSpacing/>
        <w:rPr>
          <w:sz w:val="26"/>
          <w:szCs w:val="26"/>
        </w:rPr>
      </w:pPr>
      <w:r>
        <w:rPr>
          <w:color w:val="000000" w:themeColor="text1"/>
          <w:sz w:val="26"/>
          <w:szCs w:val="26"/>
        </w:rPr>
        <w:t xml:space="preserve">The Complainant interprets Section 2807(f)(2) of the Code, </w:t>
      </w:r>
      <w:r w:rsidR="002A3A53" w:rsidRPr="00753022">
        <w:rPr>
          <w:sz w:val="26"/>
          <w:szCs w:val="26"/>
        </w:rPr>
        <w:t>66 Pa.</w:t>
      </w:r>
      <w:r w:rsidR="00592521">
        <w:rPr>
          <w:sz w:val="26"/>
          <w:szCs w:val="26"/>
        </w:rPr>
        <w:t xml:space="preserve"> </w:t>
      </w:r>
      <w:r w:rsidR="002A3A53" w:rsidRPr="00753022">
        <w:rPr>
          <w:sz w:val="26"/>
          <w:szCs w:val="26"/>
        </w:rPr>
        <w:t>C.S. §</w:t>
      </w:r>
      <w:r w:rsidR="00456AFE">
        <w:rPr>
          <w:sz w:val="26"/>
          <w:szCs w:val="26"/>
        </w:rPr>
        <w:t> </w:t>
      </w:r>
      <w:r w:rsidR="002A3A53" w:rsidRPr="00753022">
        <w:rPr>
          <w:sz w:val="26"/>
          <w:szCs w:val="26"/>
        </w:rPr>
        <w:t>2807(f)(2)</w:t>
      </w:r>
      <w:r w:rsidR="002A3A53">
        <w:rPr>
          <w:sz w:val="26"/>
          <w:szCs w:val="26"/>
        </w:rPr>
        <w:t xml:space="preserve">, </w:t>
      </w:r>
      <w:r w:rsidR="00BC47DD">
        <w:rPr>
          <w:sz w:val="26"/>
          <w:szCs w:val="26"/>
        </w:rPr>
        <w:t>to mean t</w:t>
      </w:r>
      <w:r w:rsidR="002A3A53">
        <w:rPr>
          <w:sz w:val="26"/>
          <w:szCs w:val="26"/>
        </w:rPr>
        <w:t xml:space="preserve">hat homeowners </w:t>
      </w:r>
      <w:r w:rsidR="00FB59E5">
        <w:rPr>
          <w:sz w:val="26"/>
          <w:szCs w:val="26"/>
        </w:rPr>
        <w:t xml:space="preserve">living in existing construction </w:t>
      </w:r>
      <w:r w:rsidR="002A3A53">
        <w:rPr>
          <w:sz w:val="26"/>
          <w:szCs w:val="26"/>
        </w:rPr>
        <w:t xml:space="preserve">are </w:t>
      </w:r>
      <w:r w:rsidR="00BC7B68">
        <w:rPr>
          <w:sz w:val="26"/>
          <w:szCs w:val="26"/>
        </w:rPr>
        <w:t>provided</w:t>
      </w:r>
      <w:r w:rsidR="002A3A53">
        <w:rPr>
          <w:sz w:val="26"/>
          <w:szCs w:val="26"/>
        </w:rPr>
        <w:t xml:space="preserve"> with </w:t>
      </w:r>
      <w:r w:rsidR="00BC47DD">
        <w:rPr>
          <w:sz w:val="26"/>
          <w:szCs w:val="26"/>
        </w:rPr>
        <w:t>a</w:t>
      </w:r>
      <w:r w:rsidR="002A3A53">
        <w:rPr>
          <w:sz w:val="26"/>
          <w:szCs w:val="26"/>
        </w:rPr>
        <w:t xml:space="preserve"> smart meter </w:t>
      </w:r>
      <w:r w:rsidR="00BC47DD">
        <w:rPr>
          <w:sz w:val="26"/>
          <w:szCs w:val="26"/>
        </w:rPr>
        <w:t xml:space="preserve">if they request one, or </w:t>
      </w:r>
      <w:r w:rsidR="00FB59E5">
        <w:rPr>
          <w:sz w:val="26"/>
          <w:szCs w:val="26"/>
        </w:rPr>
        <w:t>that</w:t>
      </w:r>
      <w:r w:rsidR="00EF5828">
        <w:rPr>
          <w:sz w:val="26"/>
          <w:szCs w:val="26"/>
        </w:rPr>
        <w:t xml:space="preserve"> smart meters “shall be furnished” </w:t>
      </w:r>
      <w:r w:rsidR="001C3130">
        <w:rPr>
          <w:sz w:val="26"/>
          <w:szCs w:val="26"/>
        </w:rPr>
        <w:t>in</w:t>
      </w:r>
      <w:r w:rsidR="00FB59E5">
        <w:rPr>
          <w:sz w:val="26"/>
          <w:szCs w:val="26"/>
        </w:rPr>
        <w:t xml:space="preserve"> </w:t>
      </w:r>
      <w:r w:rsidR="00EF5828">
        <w:rPr>
          <w:sz w:val="26"/>
          <w:szCs w:val="26"/>
        </w:rPr>
        <w:t>new construction</w:t>
      </w:r>
      <w:r w:rsidR="001C3130">
        <w:rPr>
          <w:sz w:val="26"/>
          <w:szCs w:val="26"/>
        </w:rPr>
        <w:t xml:space="preserve">.  Exc. at 4.  </w:t>
      </w:r>
      <w:r w:rsidR="00914E0C">
        <w:rPr>
          <w:sz w:val="26"/>
          <w:szCs w:val="26"/>
        </w:rPr>
        <w:t xml:space="preserve">Further, </w:t>
      </w:r>
      <w:r w:rsidR="001C3130">
        <w:rPr>
          <w:sz w:val="26"/>
          <w:szCs w:val="26"/>
        </w:rPr>
        <w:t>Mr. Ulmer</w:t>
      </w:r>
      <w:r w:rsidR="00BC47DD">
        <w:rPr>
          <w:sz w:val="26"/>
          <w:szCs w:val="26"/>
        </w:rPr>
        <w:t xml:space="preserve"> </w:t>
      </w:r>
      <w:r w:rsidR="00F91D47">
        <w:rPr>
          <w:color w:val="000000" w:themeColor="text1"/>
          <w:sz w:val="26"/>
          <w:szCs w:val="26"/>
        </w:rPr>
        <w:t>asserts</w:t>
      </w:r>
      <w:r w:rsidR="00355791">
        <w:rPr>
          <w:color w:val="000000" w:themeColor="text1"/>
          <w:sz w:val="26"/>
          <w:szCs w:val="26"/>
        </w:rPr>
        <w:t xml:space="preserve"> </w:t>
      </w:r>
      <w:r w:rsidR="00E45AA8">
        <w:rPr>
          <w:color w:val="000000" w:themeColor="text1"/>
          <w:sz w:val="26"/>
          <w:szCs w:val="26"/>
        </w:rPr>
        <w:t xml:space="preserve">that </w:t>
      </w:r>
      <w:r w:rsidR="00CC2681">
        <w:rPr>
          <w:color w:val="000000" w:themeColor="text1"/>
          <w:sz w:val="26"/>
          <w:szCs w:val="26"/>
        </w:rPr>
        <w:t xml:space="preserve">smart meter deployment is not mandated by </w:t>
      </w:r>
      <w:r w:rsidR="00F91D47">
        <w:rPr>
          <w:color w:val="000000" w:themeColor="text1"/>
          <w:sz w:val="26"/>
          <w:szCs w:val="26"/>
        </w:rPr>
        <w:t xml:space="preserve">the language in </w:t>
      </w:r>
      <w:r w:rsidR="00E45AA8">
        <w:rPr>
          <w:color w:val="000000" w:themeColor="text1"/>
          <w:sz w:val="26"/>
          <w:szCs w:val="26"/>
        </w:rPr>
        <w:t>Section</w:t>
      </w:r>
      <w:r w:rsidR="000B366A">
        <w:rPr>
          <w:color w:val="000000" w:themeColor="text1"/>
          <w:sz w:val="26"/>
          <w:szCs w:val="26"/>
        </w:rPr>
        <w:t>s</w:t>
      </w:r>
      <w:r w:rsidR="00E45AA8">
        <w:rPr>
          <w:color w:val="000000" w:themeColor="text1"/>
          <w:sz w:val="26"/>
          <w:szCs w:val="26"/>
        </w:rPr>
        <w:t xml:space="preserve"> 2807(f)</w:t>
      </w:r>
      <w:r w:rsidR="006E3FBA">
        <w:rPr>
          <w:color w:val="000000" w:themeColor="text1"/>
          <w:sz w:val="26"/>
          <w:szCs w:val="26"/>
        </w:rPr>
        <w:t xml:space="preserve">(2), </w:t>
      </w:r>
      <w:r w:rsidR="000B366A">
        <w:rPr>
          <w:color w:val="000000" w:themeColor="text1"/>
          <w:sz w:val="26"/>
          <w:szCs w:val="26"/>
        </w:rPr>
        <w:t>2807(f)</w:t>
      </w:r>
      <w:r w:rsidR="00E45AA8">
        <w:rPr>
          <w:color w:val="000000" w:themeColor="text1"/>
          <w:sz w:val="26"/>
          <w:szCs w:val="26"/>
        </w:rPr>
        <w:t>(6)</w:t>
      </w:r>
      <w:r w:rsidR="006E3FBA">
        <w:rPr>
          <w:color w:val="000000" w:themeColor="text1"/>
          <w:sz w:val="26"/>
          <w:szCs w:val="26"/>
        </w:rPr>
        <w:t xml:space="preserve">, or </w:t>
      </w:r>
      <w:r w:rsidR="000B366A">
        <w:rPr>
          <w:color w:val="000000" w:themeColor="text1"/>
          <w:sz w:val="26"/>
          <w:szCs w:val="26"/>
        </w:rPr>
        <w:t>2807(f)</w:t>
      </w:r>
      <w:r w:rsidR="000F19A9">
        <w:rPr>
          <w:color w:val="000000" w:themeColor="text1"/>
          <w:sz w:val="26"/>
          <w:szCs w:val="26"/>
        </w:rPr>
        <w:t>(7)</w:t>
      </w:r>
      <w:r w:rsidR="00E45AA8">
        <w:rPr>
          <w:color w:val="000000" w:themeColor="text1"/>
          <w:sz w:val="26"/>
          <w:szCs w:val="26"/>
        </w:rPr>
        <w:t xml:space="preserve"> </w:t>
      </w:r>
      <w:r w:rsidR="00CC2681">
        <w:rPr>
          <w:color w:val="000000" w:themeColor="text1"/>
          <w:sz w:val="26"/>
          <w:szCs w:val="26"/>
        </w:rPr>
        <w:t>of the Code</w:t>
      </w:r>
      <w:r w:rsidR="009F2816">
        <w:rPr>
          <w:color w:val="000000" w:themeColor="text1"/>
          <w:sz w:val="26"/>
          <w:szCs w:val="26"/>
        </w:rPr>
        <w:t xml:space="preserve">, </w:t>
      </w:r>
      <w:r w:rsidR="009F2816" w:rsidRPr="00753022">
        <w:rPr>
          <w:sz w:val="26"/>
          <w:szCs w:val="26"/>
        </w:rPr>
        <w:t>66 Pa.</w:t>
      </w:r>
      <w:r w:rsidR="000729E4">
        <w:rPr>
          <w:sz w:val="26"/>
          <w:szCs w:val="26"/>
        </w:rPr>
        <w:t xml:space="preserve"> </w:t>
      </w:r>
      <w:r w:rsidR="009F2816" w:rsidRPr="00753022">
        <w:rPr>
          <w:sz w:val="26"/>
          <w:szCs w:val="26"/>
        </w:rPr>
        <w:t>C.S. § 2807(f)(2)</w:t>
      </w:r>
      <w:r w:rsidR="009F2816">
        <w:rPr>
          <w:sz w:val="26"/>
          <w:szCs w:val="26"/>
        </w:rPr>
        <w:t>, (6)-(7)</w:t>
      </w:r>
      <w:r w:rsidR="00CC2681">
        <w:rPr>
          <w:color w:val="000000" w:themeColor="text1"/>
          <w:sz w:val="26"/>
          <w:szCs w:val="26"/>
        </w:rPr>
        <w:t xml:space="preserve">.  Exc. at </w:t>
      </w:r>
      <w:r w:rsidR="0002653E">
        <w:rPr>
          <w:color w:val="000000" w:themeColor="text1"/>
          <w:sz w:val="26"/>
          <w:szCs w:val="26"/>
        </w:rPr>
        <w:t>5</w:t>
      </w:r>
      <w:r w:rsidR="000F19A9">
        <w:rPr>
          <w:color w:val="000000" w:themeColor="text1"/>
          <w:sz w:val="26"/>
          <w:szCs w:val="26"/>
        </w:rPr>
        <w:t>, 6</w:t>
      </w:r>
      <w:r w:rsidR="00AA6545">
        <w:rPr>
          <w:color w:val="000000" w:themeColor="text1"/>
          <w:sz w:val="26"/>
          <w:szCs w:val="26"/>
        </w:rPr>
        <w:t>, 9</w:t>
      </w:r>
      <w:r w:rsidR="0002653E">
        <w:rPr>
          <w:sz w:val="26"/>
          <w:szCs w:val="26"/>
        </w:rPr>
        <w:t>.</w:t>
      </w:r>
      <w:r w:rsidR="006B3163">
        <w:rPr>
          <w:sz w:val="26"/>
          <w:szCs w:val="26"/>
        </w:rPr>
        <w:t xml:space="preserve">  </w:t>
      </w:r>
      <w:r w:rsidR="0047198A">
        <w:rPr>
          <w:sz w:val="26"/>
          <w:szCs w:val="26"/>
        </w:rPr>
        <w:t xml:space="preserve">In short, the Complainant contends that </w:t>
      </w:r>
      <w:r w:rsidR="003F06A0">
        <w:rPr>
          <w:sz w:val="26"/>
          <w:szCs w:val="26"/>
        </w:rPr>
        <w:t>there is</w:t>
      </w:r>
      <w:r w:rsidR="00422AA7">
        <w:rPr>
          <w:sz w:val="26"/>
          <w:szCs w:val="26"/>
        </w:rPr>
        <w:t xml:space="preserve"> no </w:t>
      </w:r>
      <w:r w:rsidR="003F06A0">
        <w:rPr>
          <w:sz w:val="26"/>
          <w:szCs w:val="26"/>
        </w:rPr>
        <w:t>basis on which the Commission</w:t>
      </w:r>
      <w:r w:rsidR="000B366A">
        <w:rPr>
          <w:sz w:val="26"/>
          <w:szCs w:val="26"/>
        </w:rPr>
        <w:t>,</w:t>
      </w:r>
      <w:r w:rsidR="003F06A0">
        <w:rPr>
          <w:sz w:val="26"/>
          <w:szCs w:val="26"/>
        </w:rPr>
        <w:t xml:space="preserve"> </w:t>
      </w:r>
      <w:r w:rsidR="00422AA7">
        <w:rPr>
          <w:sz w:val="26"/>
          <w:szCs w:val="26"/>
        </w:rPr>
        <w:t>or PPL</w:t>
      </w:r>
      <w:r w:rsidR="000B366A">
        <w:rPr>
          <w:sz w:val="26"/>
          <w:szCs w:val="26"/>
        </w:rPr>
        <w:t>,</w:t>
      </w:r>
      <w:r w:rsidR="00422AA7">
        <w:rPr>
          <w:sz w:val="26"/>
          <w:szCs w:val="26"/>
        </w:rPr>
        <w:t xml:space="preserve"> can justify</w:t>
      </w:r>
      <w:r w:rsidR="009F2816">
        <w:rPr>
          <w:sz w:val="26"/>
          <w:szCs w:val="26"/>
        </w:rPr>
        <w:t xml:space="preserve"> </w:t>
      </w:r>
      <w:r w:rsidR="00422AA7">
        <w:rPr>
          <w:sz w:val="26"/>
          <w:szCs w:val="26"/>
        </w:rPr>
        <w:t>smart meter deployment</w:t>
      </w:r>
      <w:r w:rsidR="00AF469E">
        <w:rPr>
          <w:sz w:val="26"/>
          <w:szCs w:val="26"/>
        </w:rPr>
        <w:t xml:space="preserve">, </w:t>
      </w:r>
      <w:r w:rsidR="00415D3C">
        <w:rPr>
          <w:sz w:val="26"/>
          <w:szCs w:val="26"/>
        </w:rPr>
        <w:t>addi</w:t>
      </w:r>
      <w:r w:rsidR="00AF469E">
        <w:rPr>
          <w:sz w:val="26"/>
          <w:szCs w:val="26"/>
        </w:rPr>
        <w:t xml:space="preserve">ng that no such inference can be </w:t>
      </w:r>
      <w:r w:rsidR="00662846">
        <w:rPr>
          <w:sz w:val="26"/>
          <w:szCs w:val="26"/>
        </w:rPr>
        <w:t>made</w:t>
      </w:r>
      <w:r w:rsidR="00AF469E">
        <w:rPr>
          <w:sz w:val="26"/>
          <w:szCs w:val="26"/>
        </w:rPr>
        <w:t xml:space="preserve"> </w:t>
      </w:r>
      <w:r w:rsidR="00415D3C">
        <w:rPr>
          <w:sz w:val="26"/>
          <w:szCs w:val="26"/>
        </w:rPr>
        <w:t>from Section 2807</w:t>
      </w:r>
      <w:r w:rsidR="000909A7">
        <w:rPr>
          <w:sz w:val="26"/>
          <w:szCs w:val="26"/>
        </w:rPr>
        <w:t xml:space="preserve"> and </w:t>
      </w:r>
      <w:r w:rsidR="005A016A">
        <w:rPr>
          <w:sz w:val="26"/>
          <w:szCs w:val="26"/>
        </w:rPr>
        <w:t>Act 129</w:t>
      </w:r>
      <w:r w:rsidR="008C5072">
        <w:rPr>
          <w:sz w:val="26"/>
          <w:szCs w:val="26"/>
        </w:rPr>
        <w:t xml:space="preserve">, and that there is no </w:t>
      </w:r>
      <w:r w:rsidR="00C76A5A">
        <w:rPr>
          <w:sz w:val="26"/>
          <w:szCs w:val="26"/>
        </w:rPr>
        <w:t>legal reason</w:t>
      </w:r>
      <w:r w:rsidR="008C5072">
        <w:rPr>
          <w:sz w:val="26"/>
          <w:szCs w:val="26"/>
        </w:rPr>
        <w:t xml:space="preserve"> that he must accept </w:t>
      </w:r>
      <w:r w:rsidR="00C76A5A">
        <w:rPr>
          <w:sz w:val="26"/>
          <w:szCs w:val="26"/>
        </w:rPr>
        <w:t>a smart meter</w:t>
      </w:r>
      <w:r w:rsidR="005A016A">
        <w:rPr>
          <w:sz w:val="26"/>
          <w:szCs w:val="26"/>
        </w:rPr>
        <w:t>.  Exc. at 10</w:t>
      </w:r>
      <w:r w:rsidR="00CC3A07">
        <w:rPr>
          <w:sz w:val="26"/>
          <w:szCs w:val="26"/>
        </w:rPr>
        <w:t>-11</w:t>
      </w:r>
      <w:r w:rsidR="005A016A">
        <w:rPr>
          <w:sz w:val="26"/>
          <w:szCs w:val="26"/>
        </w:rPr>
        <w:t>.</w:t>
      </w:r>
    </w:p>
    <w:p w14:paraId="47C8CA67" w14:textId="77777777" w:rsidR="00E90343" w:rsidRDefault="00E90343" w:rsidP="00EE4C52">
      <w:pPr>
        <w:widowControl/>
        <w:spacing w:line="360" w:lineRule="auto"/>
        <w:ind w:firstLine="1440"/>
        <w:contextualSpacing/>
        <w:rPr>
          <w:color w:val="000000" w:themeColor="text1"/>
          <w:sz w:val="26"/>
          <w:szCs w:val="26"/>
        </w:rPr>
      </w:pPr>
    </w:p>
    <w:p w14:paraId="4FDFD9F4" w14:textId="62E727E1" w:rsidR="00B35A9B" w:rsidRDefault="00B35A9B" w:rsidP="00EE4C52">
      <w:pPr>
        <w:widowControl/>
        <w:spacing w:line="360" w:lineRule="auto"/>
        <w:ind w:firstLine="1440"/>
        <w:contextualSpacing/>
        <w:rPr>
          <w:color w:val="000000" w:themeColor="text1"/>
          <w:sz w:val="26"/>
          <w:szCs w:val="26"/>
        </w:rPr>
      </w:pPr>
      <w:r>
        <w:rPr>
          <w:color w:val="000000" w:themeColor="text1"/>
          <w:sz w:val="26"/>
          <w:szCs w:val="26"/>
        </w:rPr>
        <w:lastRenderedPageBreak/>
        <w:t>A</w:t>
      </w:r>
      <w:r w:rsidR="002D7E5C">
        <w:rPr>
          <w:color w:val="000000" w:themeColor="text1"/>
          <w:sz w:val="26"/>
          <w:szCs w:val="26"/>
        </w:rPr>
        <w:t>lthough the Complainant states</w:t>
      </w:r>
      <w:r w:rsidR="00ED2C47">
        <w:rPr>
          <w:color w:val="000000" w:themeColor="text1"/>
          <w:sz w:val="26"/>
          <w:szCs w:val="26"/>
        </w:rPr>
        <w:t xml:space="preserve"> that</w:t>
      </w:r>
      <w:r w:rsidR="002D7E5C">
        <w:rPr>
          <w:color w:val="000000" w:themeColor="text1"/>
          <w:sz w:val="26"/>
          <w:szCs w:val="26"/>
        </w:rPr>
        <w:t xml:space="preserve"> he is not contesting</w:t>
      </w:r>
      <w:r w:rsidR="0081619A">
        <w:rPr>
          <w:color w:val="000000" w:themeColor="text1"/>
          <w:sz w:val="26"/>
          <w:szCs w:val="26"/>
        </w:rPr>
        <w:t xml:space="preserve"> that prior Commission decisions have ruled</w:t>
      </w:r>
      <w:r w:rsidR="002D7E5C">
        <w:rPr>
          <w:color w:val="000000" w:themeColor="text1"/>
          <w:sz w:val="26"/>
          <w:szCs w:val="26"/>
        </w:rPr>
        <w:t xml:space="preserve"> that Act 129 does not allow for opt-outs</w:t>
      </w:r>
      <w:r>
        <w:rPr>
          <w:color w:val="000000" w:themeColor="text1"/>
          <w:sz w:val="26"/>
          <w:szCs w:val="26"/>
        </w:rPr>
        <w:t>,</w:t>
      </w:r>
      <w:r w:rsidR="00993CDB">
        <w:rPr>
          <w:color w:val="000000" w:themeColor="text1"/>
          <w:sz w:val="26"/>
          <w:szCs w:val="26"/>
        </w:rPr>
        <w:t xml:space="preserve"> </w:t>
      </w:r>
      <w:r w:rsidR="009253A7">
        <w:rPr>
          <w:color w:val="000000" w:themeColor="text1"/>
          <w:sz w:val="26"/>
          <w:szCs w:val="26"/>
        </w:rPr>
        <w:t xml:space="preserve">Mr. Ulmer </w:t>
      </w:r>
      <w:r w:rsidR="00C11208">
        <w:rPr>
          <w:color w:val="000000" w:themeColor="text1"/>
          <w:sz w:val="26"/>
          <w:szCs w:val="26"/>
        </w:rPr>
        <w:t>argues</w:t>
      </w:r>
      <w:r w:rsidR="009253A7">
        <w:rPr>
          <w:color w:val="000000" w:themeColor="text1"/>
          <w:sz w:val="26"/>
          <w:szCs w:val="26"/>
        </w:rPr>
        <w:t xml:space="preserve"> that it is</w:t>
      </w:r>
      <w:r w:rsidR="00380470">
        <w:rPr>
          <w:color w:val="000000" w:themeColor="text1"/>
          <w:sz w:val="26"/>
          <w:szCs w:val="26"/>
        </w:rPr>
        <w:t xml:space="preserve"> “solely and unequivocally”</w:t>
      </w:r>
      <w:r w:rsidR="009253A7">
        <w:rPr>
          <w:color w:val="000000" w:themeColor="text1"/>
          <w:sz w:val="26"/>
          <w:szCs w:val="26"/>
        </w:rPr>
        <w:t xml:space="preserve"> </w:t>
      </w:r>
      <w:r w:rsidR="00993CDB">
        <w:rPr>
          <w:color w:val="000000" w:themeColor="text1"/>
          <w:sz w:val="26"/>
          <w:szCs w:val="26"/>
        </w:rPr>
        <w:t xml:space="preserve">the Commission’s misinterpretation of the intent and meaning of </w:t>
      </w:r>
      <w:r w:rsidR="00567749">
        <w:rPr>
          <w:color w:val="000000" w:themeColor="text1"/>
          <w:sz w:val="26"/>
          <w:szCs w:val="26"/>
        </w:rPr>
        <w:t xml:space="preserve">the language in </w:t>
      </w:r>
      <w:r w:rsidR="00B2547A">
        <w:rPr>
          <w:color w:val="000000" w:themeColor="text1"/>
          <w:sz w:val="26"/>
          <w:szCs w:val="26"/>
        </w:rPr>
        <w:t>Section 2807(f)(2)(iii)</w:t>
      </w:r>
      <w:r w:rsidR="00063AAA">
        <w:rPr>
          <w:color w:val="000000" w:themeColor="text1"/>
          <w:sz w:val="26"/>
          <w:szCs w:val="26"/>
        </w:rPr>
        <w:t xml:space="preserve"> </w:t>
      </w:r>
      <w:r w:rsidR="00B2547A">
        <w:rPr>
          <w:color w:val="000000" w:themeColor="text1"/>
          <w:sz w:val="26"/>
          <w:szCs w:val="26"/>
        </w:rPr>
        <w:t>that makes</w:t>
      </w:r>
      <w:r w:rsidR="009D3C4D">
        <w:rPr>
          <w:color w:val="000000" w:themeColor="text1"/>
          <w:sz w:val="26"/>
          <w:szCs w:val="26"/>
        </w:rPr>
        <w:t xml:space="preserve"> Act 129 a “no</w:t>
      </w:r>
      <w:r w:rsidR="009974F4" w:rsidRPr="00093A77">
        <w:rPr>
          <w:color w:val="000000" w:themeColor="text1"/>
          <w:sz w:val="26"/>
          <w:szCs w:val="26"/>
        </w:rPr>
        <w:t xml:space="preserve"> </w:t>
      </w:r>
      <w:r w:rsidR="004E11EE" w:rsidRPr="00093A77">
        <w:rPr>
          <w:color w:val="000000" w:themeColor="text1"/>
          <w:sz w:val="26"/>
          <w:szCs w:val="26"/>
        </w:rPr>
        <w:t>opt</w:t>
      </w:r>
      <w:r w:rsidR="009D3C4D">
        <w:rPr>
          <w:color w:val="000000" w:themeColor="text1"/>
          <w:sz w:val="26"/>
          <w:szCs w:val="26"/>
        </w:rPr>
        <w:t xml:space="preserve"> </w:t>
      </w:r>
      <w:r w:rsidR="009974F4" w:rsidRPr="00093A77">
        <w:rPr>
          <w:color w:val="000000" w:themeColor="text1"/>
          <w:sz w:val="26"/>
          <w:szCs w:val="26"/>
        </w:rPr>
        <w:t>out</w:t>
      </w:r>
      <w:r w:rsidR="004E11EE" w:rsidRPr="00093A77">
        <w:rPr>
          <w:color w:val="000000" w:themeColor="text1"/>
          <w:sz w:val="26"/>
          <w:szCs w:val="26"/>
        </w:rPr>
        <w:t xml:space="preserve"> </w:t>
      </w:r>
      <w:r w:rsidR="009D3C4D">
        <w:rPr>
          <w:color w:val="000000" w:themeColor="text1"/>
          <w:sz w:val="26"/>
          <w:szCs w:val="26"/>
        </w:rPr>
        <w:t>smart meter deployment law.</w:t>
      </w:r>
      <w:r w:rsidR="007F20F9" w:rsidRPr="00093A77">
        <w:rPr>
          <w:color w:val="000000" w:themeColor="text1"/>
          <w:sz w:val="26"/>
          <w:szCs w:val="26"/>
        </w:rPr>
        <w:t>”</w:t>
      </w:r>
      <w:r w:rsidR="0066153A" w:rsidRPr="00093A77">
        <w:rPr>
          <w:color w:val="000000" w:themeColor="text1"/>
          <w:sz w:val="26"/>
          <w:szCs w:val="26"/>
        </w:rPr>
        <w:t xml:space="preserve"> </w:t>
      </w:r>
      <w:r w:rsidR="009D3C4D">
        <w:rPr>
          <w:color w:val="000000" w:themeColor="text1"/>
          <w:sz w:val="26"/>
          <w:szCs w:val="26"/>
        </w:rPr>
        <w:t xml:space="preserve"> </w:t>
      </w:r>
      <w:r w:rsidR="00BC08C8" w:rsidRPr="00093A77">
        <w:rPr>
          <w:color w:val="000000" w:themeColor="text1"/>
          <w:sz w:val="26"/>
          <w:szCs w:val="26"/>
        </w:rPr>
        <w:t xml:space="preserve">Exc. at </w:t>
      </w:r>
      <w:r w:rsidR="001612B4" w:rsidRPr="00093A77">
        <w:rPr>
          <w:color w:val="000000" w:themeColor="text1"/>
          <w:sz w:val="26"/>
          <w:szCs w:val="26"/>
        </w:rPr>
        <w:t>8</w:t>
      </w:r>
      <w:r w:rsidR="00BC08C8" w:rsidRPr="00093A77">
        <w:rPr>
          <w:color w:val="000000" w:themeColor="text1"/>
          <w:sz w:val="26"/>
          <w:szCs w:val="26"/>
        </w:rPr>
        <w:t xml:space="preserve">.  </w:t>
      </w:r>
      <w:r w:rsidR="005C30A8">
        <w:rPr>
          <w:color w:val="000000" w:themeColor="text1"/>
          <w:sz w:val="26"/>
          <w:szCs w:val="26"/>
        </w:rPr>
        <w:t>Mr. Ulmer elaborates as follows:</w:t>
      </w:r>
    </w:p>
    <w:p w14:paraId="0D6A31BF" w14:textId="77777777" w:rsidR="00533CE9" w:rsidRPr="001E0F20" w:rsidRDefault="00533CE9" w:rsidP="00456AFE">
      <w:pPr>
        <w:widowControl/>
        <w:ind w:firstLine="1440"/>
        <w:contextualSpacing/>
        <w:rPr>
          <w:rFonts w:eastAsiaTheme="minorHAnsi"/>
          <w:sz w:val="26"/>
          <w:szCs w:val="26"/>
        </w:rPr>
      </w:pPr>
      <w:bookmarkStart w:id="23" w:name="_Hlk45627140"/>
    </w:p>
    <w:bookmarkEnd w:id="23"/>
    <w:p w14:paraId="668AB1B8" w14:textId="3FB842CC" w:rsidR="00DF4D1F" w:rsidRDefault="00DF4D1F" w:rsidP="00DF4D1F">
      <w:pPr>
        <w:keepNext/>
        <w:keepLines/>
        <w:tabs>
          <w:tab w:val="left" w:pos="-720"/>
        </w:tabs>
        <w:suppressAutoHyphens/>
        <w:ind w:left="1440" w:right="1440"/>
        <w:rPr>
          <w:rFonts w:eastAsia="Calibri"/>
          <w:sz w:val="26"/>
          <w:szCs w:val="26"/>
        </w:rPr>
      </w:pPr>
      <w:r>
        <w:rPr>
          <w:rFonts w:eastAsia="Calibri"/>
          <w:sz w:val="26"/>
          <w:szCs w:val="26"/>
        </w:rPr>
        <w:t>The absence of a plainly stated opt-out provision does not preclude a utility customer from declining a meter based on various unsafe conditions…</w:t>
      </w:r>
      <w:r w:rsidR="00A477E0">
        <w:rPr>
          <w:rFonts w:eastAsia="Calibri"/>
          <w:sz w:val="26"/>
          <w:szCs w:val="26"/>
        </w:rPr>
        <w:t>that could be caused or exacerbated by smart meter radiofrequency emissions in accordance with 66 Pa.</w:t>
      </w:r>
      <w:r w:rsidR="00B13CFF">
        <w:rPr>
          <w:rFonts w:eastAsia="Calibri"/>
          <w:sz w:val="26"/>
          <w:szCs w:val="26"/>
        </w:rPr>
        <w:t xml:space="preserve"> </w:t>
      </w:r>
      <w:r w:rsidR="00A477E0">
        <w:rPr>
          <w:rFonts w:eastAsia="Calibri"/>
          <w:sz w:val="26"/>
          <w:szCs w:val="26"/>
        </w:rPr>
        <w:t xml:space="preserve">C.S. </w:t>
      </w:r>
      <w:r w:rsidR="00A477E0" w:rsidRPr="00753022">
        <w:rPr>
          <w:sz w:val="26"/>
          <w:szCs w:val="26"/>
        </w:rPr>
        <w:t>§</w:t>
      </w:r>
      <w:r w:rsidR="00A477E0">
        <w:rPr>
          <w:sz w:val="26"/>
          <w:szCs w:val="26"/>
        </w:rPr>
        <w:t xml:space="preserve"> 1501.  This is patently false.</w:t>
      </w:r>
    </w:p>
    <w:p w14:paraId="001244B9" w14:textId="57E32C98" w:rsidR="00F0707C" w:rsidRDefault="00F0707C" w:rsidP="00456AFE">
      <w:pPr>
        <w:keepNext/>
        <w:keepLines/>
        <w:tabs>
          <w:tab w:val="left" w:pos="-720"/>
        </w:tabs>
        <w:suppressAutoHyphens/>
        <w:spacing w:line="360" w:lineRule="auto"/>
        <w:ind w:right="1440"/>
        <w:rPr>
          <w:rFonts w:eastAsia="Calibri"/>
          <w:sz w:val="26"/>
          <w:szCs w:val="26"/>
        </w:rPr>
      </w:pPr>
    </w:p>
    <w:p w14:paraId="5E462F6A" w14:textId="6F6403FD" w:rsidR="00A209E5" w:rsidRPr="00137E4F" w:rsidRDefault="00F0707C" w:rsidP="00EE4C52">
      <w:pPr>
        <w:tabs>
          <w:tab w:val="left" w:pos="-720"/>
        </w:tabs>
        <w:suppressAutoHyphens/>
        <w:spacing w:line="360" w:lineRule="auto"/>
        <w:contextualSpacing/>
        <w:rPr>
          <w:rFonts w:eastAsia="Calibri"/>
          <w:sz w:val="26"/>
          <w:szCs w:val="26"/>
        </w:rPr>
      </w:pPr>
      <w:r>
        <w:rPr>
          <w:rFonts w:eastAsia="Calibri"/>
          <w:sz w:val="26"/>
          <w:szCs w:val="26"/>
        </w:rPr>
        <w:t xml:space="preserve">Exc. at 8.  </w:t>
      </w:r>
      <w:r w:rsidR="00C11208">
        <w:rPr>
          <w:color w:val="000000" w:themeColor="text1"/>
          <w:sz w:val="26"/>
          <w:szCs w:val="26"/>
        </w:rPr>
        <w:t xml:space="preserve">To support his </w:t>
      </w:r>
      <w:r w:rsidR="00676B85">
        <w:rPr>
          <w:color w:val="000000" w:themeColor="text1"/>
          <w:sz w:val="26"/>
          <w:szCs w:val="26"/>
        </w:rPr>
        <w:t>argument</w:t>
      </w:r>
      <w:r w:rsidR="000A25BB">
        <w:rPr>
          <w:color w:val="000000" w:themeColor="text1"/>
          <w:sz w:val="26"/>
          <w:szCs w:val="26"/>
        </w:rPr>
        <w:t>, t</w:t>
      </w:r>
      <w:r w:rsidRPr="00F0707C">
        <w:rPr>
          <w:color w:val="000000" w:themeColor="text1"/>
          <w:sz w:val="26"/>
          <w:szCs w:val="26"/>
        </w:rPr>
        <w:t xml:space="preserve">he Complainant </w:t>
      </w:r>
      <w:r w:rsidR="009E057A">
        <w:rPr>
          <w:color w:val="000000" w:themeColor="text1"/>
          <w:sz w:val="26"/>
          <w:szCs w:val="26"/>
        </w:rPr>
        <w:t>mentions</w:t>
      </w:r>
      <w:r w:rsidR="00103C4D">
        <w:rPr>
          <w:color w:val="000000" w:themeColor="text1"/>
          <w:sz w:val="26"/>
          <w:szCs w:val="26"/>
        </w:rPr>
        <w:t xml:space="preserve">, </w:t>
      </w:r>
      <w:r w:rsidR="00103C4D" w:rsidRPr="00103C4D">
        <w:rPr>
          <w:i/>
          <w:iCs/>
          <w:color w:val="000000" w:themeColor="text1"/>
          <w:sz w:val="26"/>
          <w:szCs w:val="26"/>
        </w:rPr>
        <w:t>inter alia</w:t>
      </w:r>
      <w:r w:rsidR="00103C4D">
        <w:rPr>
          <w:color w:val="000000" w:themeColor="text1"/>
          <w:sz w:val="26"/>
          <w:szCs w:val="26"/>
        </w:rPr>
        <w:t>,</w:t>
      </w:r>
      <w:r w:rsidR="006C453A">
        <w:rPr>
          <w:color w:val="000000" w:themeColor="text1"/>
          <w:sz w:val="26"/>
          <w:szCs w:val="26"/>
        </w:rPr>
        <w:t xml:space="preserve"> several </w:t>
      </w:r>
      <w:r w:rsidR="009E057A">
        <w:rPr>
          <w:color w:val="000000" w:themeColor="text1"/>
          <w:sz w:val="26"/>
          <w:szCs w:val="26"/>
        </w:rPr>
        <w:t>proposed House Bills and one Senate Bill</w:t>
      </w:r>
      <w:r w:rsidR="001E0AFB">
        <w:rPr>
          <w:color w:val="000000" w:themeColor="text1"/>
          <w:sz w:val="26"/>
          <w:szCs w:val="26"/>
        </w:rPr>
        <w:t>,</w:t>
      </w:r>
      <w:r w:rsidR="008F059E">
        <w:rPr>
          <w:color w:val="000000" w:themeColor="text1"/>
          <w:sz w:val="26"/>
          <w:szCs w:val="26"/>
        </w:rPr>
        <w:t xml:space="preserve"> noting</w:t>
      </w:r>
      <w:r w:rsidR="00E97349">
        <w:rPr>
          <w:color w:val="000000" w:themeColor="text1"/>
          <w:sz w:val="26"/>
          <w:szCs w:val="26"/>
        </w:rPr>
        <w:t xml:space="preserve"> how the timeline of </w:t>
      </w:r>
      <w:r w:rsidR="007024DD">
        <w:rPr>
          <w:color w:val="000000" w:themeColor="text1"/>
          <w:sz w:val="26"/>
          <w:szCs w:val="26"/>
        </w:rPr>
        <w:t>some bills</w:t>
      </w:r>
      <w:r w:rsidR="008F059E">
        <w:rPr>
          <w:color w:val="000000" w:themeColor="text1"/>
          <w:sz w:val="26"/>
          <w:szCs w:val="26"/>
        </w:rPr>
        <w:t xml:space="preserve"> compare</w:t>
      </w:r>
      <w:r w:rsidR="00E97349">
        <w:rPr>
          <w:color w:val="000000" w:themeColor="text1"/>
          <w:sz w:val="26"/>
          <w:szCs w:val="26"/>
        </w:rPr>
        <w:t>s</w:t>
      </w:r>
      <w:r w:rsidR="008F059E">
        <w:rPr>
          <w:color w:val="000000" w:themeColor="text1"/>
          <w:sz w:val="26"/>
          <w:szCs w:val="26"/>
        </w:rPr>
        <w:t xml:space="preserve"> </w:t>
      </w:r>
      <w:r w:rsidR="007024DD">
        <w:rPr>
          <w:color w:val="000000" w:themeColor="text1"/>
          <w:sz w:val="26"/>
          <w:szCs w:val="26"/>
        </w:rPr>
        <w:t>with</w:t>
      </w:r>
      <w:r w:rsidR="008F059E">
        <w:rPr>
          <w:color w:val="000000" w:themeColor="text1"/>
          <w:sz w:val="26"/>
          <w:szCs w:val="26"/>
        </w:rPr>
        <w:t xml:space="preserve"> the </w:t>
      </w:r>
      <w:r w:rsidR="003A43FB">
        <w:rPr>
          <w:color w:val="000000" w:themeColor="text1"/>
          <w:sz w:val="26"/>
          <w:szCs w:val="26"/>
        </w:rPr>
        <w:t xml:space="preserve">June 2009 </w:t>
      </w:r>
      <w:r w:rsidR="003A43FB" w:rsidRPr="003A43FB">
        <w:rPr>
          <w:i/>
          <w:iCs/>
          <w:color w:val="000000" w:themeColor="text1"/>
          <w:sz w:val="26"/>
          <w:szCs w:val="26"/>
        </w:rPr>
        <w:t>Smart Meter I</w:t>
      </w:r>
      <w:r w:rsidR="00B71F40">
        <w:rPr>
          <w:i/>
          <w:iCs/>
          <w:color w:val="000000" w:themeColor="text1"/>
          <w:sz w:val="26"/>
          <w:szCs w:val="26"/>
        </w:rPr>
        <w:t>mplementa</w:t>
      </w:r>
      <w:r w:rsidR="003A43FB" w:rsidRPr="003A43FB">
        <w:rPr>
          <w:i/>
          <w:iCs/>
          <w:color w:val="000000" w:themeColor="text1"/>
          <w:sz w:val="26"/>
          <w:szCs w:val="26"/>
        </w:rPr>
        <w:t>tion Order</w:t>
      </w:r>
      <w:r w:rsidR="0030363B">
        <w:rPr>
          <w:color w:val="000000" w:themeColor="text1"/>
          <w:sz w:val="26"/>
          <w:szCs w:val="26"/>
        </w:rPr>
        <w:t>.</w:t>
      </w:r>
      <w:r w:rsidR="00E97349">
        <w:rPr>
          <w:color w:val="000000" w:themeColor="text1"/>
          <w:sz w:val="26"/>
          <w:szCs w:val="26"/>
        </w:rPr>
        <w:t xml:space="preserve">  </w:t>
      </w:r>
      <w:r w:rsidR="00773DB6" w:rsidRPr="00E177FD">
        <w:rPr>
          <w:i/>
          <w:iCs/>
          <w:color w:val="000000" w:themeColor="text1"/>
          <w:sz w:val="26"/>
          <w:szCs w:val="26"/>
        </w:rPr>
        <w:t>Id</w:t>
      </w:r>
      <w:r w:rsidR="003B4161" w:rsidRPr="00E177FD">
        <w:rPr>
          <w:i/>
          <w:iCs/>
          <w:color w:val="000000" w:themeColor="text1"/>
          <w:sz w:val="26"/>
          <w:szCs w:val="26"/>
        </w:rPr>
        <w:t>.</w:t>
      </w:r>
    </w:p>
    <w:p w14:paraId="05BC3219" w14:textId="742AC8CE" w:rsidR="00BA53A6" w:rsidRDefault="00BA53A6" w:rsidP="00EE4C52">
      <w:pPr>
        <w:widowControl/>
        <w:spacing w:line="360" w:lineRule="auto"/>
        <w:ind w:firstLine="1440"/>
        <w:contextualSpacing/>
        <w:rPr>
          <w:color w:val="000000" w:themeColor="text1"/>
          <w:sz w:val="26"/>
          <w:szCs w:val="26"/>
        </w:rPr>
      </w:pPr>
    </w:p>
    <w:p w14:paraId="41A72A90" w14:textId="63D3C248" w:rsidR="005221E2" w:rsidRDefault="00BA53A6" w:rsidP="00044394">
      <w:pPr>
        <w:widowControl/>
        <w:spacing w:line="360" w:lineRule="auto"/>
        <w:ind w:firstLine="1440"/>
        <w:contextualSpacing/>
        <w:rPr>
          <w:color w:val="000000" w:themeColor="text1"/>
          <w:sz w:val="26"/>
          <w:szCs w:val="26"/>
        </w:rPr>
      </w:pPr>
      <w:r>
        <w:rPr>
          <w:color w:val="000000" w:themeColor="text1"/>
          <w:sz w:val="26"/>
          <w:szCs w:val="26"/>
        </w:rPr>
        <w:t>The Complainant</w:t>
      </w:r>
      <w:r w:rsidR="00592682">
        <w:rPr>
          <w:color w:val="000000" w:themeColor="text1"/>
          <w:sz w:val="26"/>
          <w:szCs w:val="26"/>
        </w:rPr>
        <w:t xml:space="preserve"> </w:t>
      </w:r>
      <w:r w:rsidR="00DB29F6">
        <w:rPr>
          <w:color w:val="000000" w:themeColor="text1"/>
          <w:sz w:val="26"/>
          <w:szCs w:val="26"/>
        </w:rPr>
        <w:t>claim</w:t>
      </w:r>
      <w:r w:rsidR="002A1D64">
        <w:rPr>
          <w:color w:val="000000" w:themeColor="text1"/>
          <w:sz w:val="26"/>
          <w:szCs w:val="26"/>
        </w:rPr>
        <w:t xml:space="preserve">s that </w:t>
      </w:r>
      <w:r w:rsidR="00F51F30">
        <w:rPr>
          <w:color w:val="000000" w:themeColor="text1"/>
          <w:sz w:val="26"/>
          <w:szCs w:val="26"/>
        </w:rPr>
        <w:t xml:space="preserve">he has presented “overwhelming” evidence that Section 2807(f)(2)(iii) establishes nothing more than the maximum service life of smart meters.  </w:t>
      </w:r>
      <w:r w:rsidR="00387F95">
        <w:rPr>
          <w:color w:val="000000" w:themeColor="text1"/>
          <w:sz w:val="26"/>
          <w:szCs w:val="26"/>
        </w:rPr>
        <w:t xml:space="preserve">Mr. Ulmer </w:t>
      </w:r>
      <w:r w:rsidR="002E65F8">
        <w:rPr>
          <w:color w:val="000000" w:themeColor="text1"/>
          <w:sz w:val="26"/>
          <w:szCs w:val="26"/>
        </w:rPr>
        <w:t>emphasizes</w:t>
      </w:r>
      <w:r w:rsidR="001951C6">
        <w:rPr>
          <w:color w:val="000000" w:themeColor="text1"/>
          <w:sz w:val="26"/>
          <w:szCs w:val="26"/>
        </w:rPr>
        <w:t xml:space="preserve"> that there is no evidence to support the Commission’s </w:t>
      </w:r>
      <w:r w:rsidR="00062656">
        <w:rPr>
          <w:color w:val="000000" w:themeColor="text1"/>
          <w:sz w:val="26"/>
          <w:szCs w:val="26"/>
        </w:rPr>
        <w:t xml:space="preserve">position that </w:t>
      </w:r>
      <w:r w:rsidR="00F5197B">
        <w:rPr>
          <w:color w:val="000000" w:themeColor="text1"/>
          <w:sz w:val="26"/>
          <w:szCs w:val="26"/>
        </w:rPr>
        <w:t>the</w:t>
      </w:r>
      <w:r w:rsidR="00480F1E">
        <w:rPr>
          <w:color w:val="000000" w:themeColor="text1"/>
          <w:sz w:val="26"/>
          <w:szCs w:val="26"/>
        </w:rPr>
        <w:t xml:space="preserve"> deployment</w:t>
      </w:r>
      <w:r w:rsidR="00F5197B">
        <w:rPr>
          <w:color w:val="000000" w:themeColor="text1"/>
          <w:sz w:val="26"/>
          <w:szCs w:val="26"/>
        </w:rPr>
        <w:t xml:space="preserve"> of smart meters</w:t>
      </w:r>
      <w:r w:rsidR="00650865">
        <w:rPr>
          <w:color w:val="000000" w:themeColor="text1"/>
          <w:sz w:val="26"/>
          <w:szCs w:val="26"/>
        </w:rPr>
        <w:t xml:space="preserve"> is </w:t>
      </w:r>
      <w:r w:rsidR="002E65F8">
        <w:rPr>
          <w:color w:val="000000" w:themeColor="text1"/>
          <w:sz w:val="26"/>
          <w:szCs w:val="26"/>
        </w:rPr>
        <w:t>a requirement</w:t>
      </w:r>
      <w:r w:rsidR="00480F1E">
        <w:rPr>
          <w:color w:val="000000" w:themeColor="text1"/>
          <w:sz w:val="26"/>
          <w:szCs w:val="26"/>
        </w:rPr>
        <w:t xml:space="preserve"> </w:t>
      </w:r>
      <w:r w:rsidR="00F5197B">
        <w:rPr>
          <w:color w:val="000000" w:themeColor="text1"/>
          <w:sz w:val="26"/>
          <w:szCs w:val="26"/>
        </w:rPr>
        <w:t>under</w:t>
      </w:r>
      <w:r w:rsidR="00480F1E">
        <w:rPr>
          <w:color w:val="000000" w:themeColor="text1"/>
          <w:sz w:val="26"/>
          <w:szCs w:val="26"/>
        </w:rPr>
        <w:t xml:space="preserve"> </w:t>
      </w:r>
      <w:r w:rsidR="00650865">
        <w:rPr>
          <w:color w:val="000000" w:themeColor="text1"/>
          <w:sz w:val="26"/>
          <w:szCs w:val="26"/>
        </w:rPr>
        <w:t xml:space="preserve">Section 2807(f)(2)(iii).  </w:t>
      </w:r>
      <w:r w:rsidR="00F5197B">
        <w:rPr>
          <w:color w:val="000000" w:themeColor="text1"/>
          <w:sz w:val="26"/>
          <w:szCs w:val="26"/>
        </w:rPr>
        <w:t xml:space="preserve">Exc. at 10.  </w:t>
      </w:r>
      <w:r w:rsidR="00650865">
        <w:rPr>
          <w:color w:val="000000" w:themeColor="text1"/>
          <w:sz w:val="26"/>
          <w:szCs w:val="26"/>
        </w:rPr>
        <w:t xml:space="preserve">The Complainant </w:t>
      </w:r>
      <w:r w:rsidR="00DB29F6">
        <w:rPr>
          <w:color w:val="000000" w:themeColor="text1"/>
          <w:sz w:val="26"/>
          <w:szCs w:val="26"/>
        </w:rPr>
        <w:t>cites</w:t>
      </w:r>
      <w:r w:rsidR="00387F95">
        <w:rPr>
          <w:color w:val="000000" w:themeColor="text1"/>
          <w:sz w:val="26"/>
          <w:szCs w:val="26"/>
        </w:rPr>
        <w:t xml:space="preserve"> to </w:t>
      </w:r>
      <w:r w:rsidR="00D4016C">
        <w:rPr>
          <w:color w:val="000000" w:themeColor="text1"/>
          <w:sz w:val="26"/>
          <w:szCs w:val="26"/>
        </w:rPr>
        <w:t xml:space="preserve">language in a </w:t>
      </w:r>
      <w:r w:rsidR="00387F95">
        <w:rPr>
          <w:color w:val="000000" w:themeColor="text1"/>
          <w:sz w:val="26"/>
          <w:szCs w:val="26"/>
        </w:rPr>
        <w:t>Commission Order</w:t>
      </w:r>
      <w:r w:rsidR="006D3D24">
        <w:rPr>
          <w:color w:val="000000" w:themeColor="text1"/>
          <w:sz w:val="26"/>
          <w:szCs w:val="26"/>
        </w:rPr>
        <w:t xml:space="preserve"> </w:t>
      </w:r>
      <w:r w:rsidR="00D4016C">
        <w:rPr>
          <w:color w:val="000000" w:themeColor="text1"/>
          <w:sz w:val="26"/>
          <w:szCs w:val="26"/>
        </w:rPr>
        <w:t>that states the following:</w:t>
      </w:r>
    </w:p>
    <w:p w14:paraId="4DD12C9B" w14:textId="77777777" w:rsidR="00AB4021" w:rsidRPr="00044394" w:rsidRDefault="00AB4021" w:rsidP="00456AFE">
      <w:pPr>
        <w:widowControl/>
        <w:ind w:firstLine="1440"/>
        <w:contextualSpacing/>
        <w:rPr>
          <w:color w:val="000000" w:themeColor="text1"/>
          <w:sz w:val="26"/>
          <w:szCs w:val="26"/>
        </w:rPr>
      </w:pPr>
    </w:p>
    <w:p w14:paraId="46460770" w14:textId="12B9E830" w:rsidR="003827FE" w:rsidRDefault="00D36356" w:rsidP="003827FE">
      <w:pPr>
        <w:keepNext/>
        <w:keepLines/>
        <w:tabs>
          <w:tab w:val="left" w:pos="-720"/>
        </w:tabs>
        <w:suppressAutoHyphens/>
        <w:ind w:left="1440" w:right="1440"/>
        <w:rPr>
          <w:rFonts w:eastAsia="Calibri"/>
          <w:sz w:val="26"/>
          <w:szCs w:val="26"/>
        </w:rPr>
      </w:pPr>
      <w:r>
        <w:rPr>
          <w:sz w:val="26"/>
          <w:szCs w:val="26"/>
        </w:rPr>
        <w:t xml:space="preserve">The ALJ found that the </w:t>
      </w:r>
      <w:r w:rsidRPr="00345D57">
        <w:rPr>
          <w:i/>
          <w:sz w:val="26"/>
        </w:rPr>
        <w:t>Implementation Order</w:t>
      </w:r>
      <w:r>
        <w:rPr>
          <w:sz w:val="26"/>
        </w:rPr>
        <w:t xml:space="preserve"> is not a regulation and does not have the full force and effect of law.  Instead, it acts as a policy to provide guidelines to EDCs regarding the Commission’s expectations about smart meter plans</w:t>
      </w:r>
      <w:r w:rsidR="003827FE">
        <w:rPr>
          <w:rFonts w:eastAsia="Calibri"/>
          <w:sz w:val="26"/>
          <w:szCs w:val="26"/>
        </w:rPr>
        <w:t>.</w:t>
      </w:r>
    </w:p>
    <w:p w14:paraId="05BAFE41" w14:textId="77777777" w:rsidR="00A12949" w:rsidRPr="00BD37F6" w:rsidRDefault="00A12949" w:rsidP="00456AFE">
      <w:pPr>
        <w:widowControl/>
        <w:spacing w:line="360" w:lineRule="auto"/>
        <w:ind w:right="1440"/>
        <w:contextualSpacing/>
        <w:rPr>
          <w:rFonts w:eastAsiaTheme="minorHAnsi"/>
          <w:sz w:val="26"/>
          <w:szCs w:val="26"/>
        </w:rPr>
      </w:pPr>
    </w:p>
    <w:p w14:paraId="7A91B1D7" w14:textId="5FDD39A3" w:rsidR="00F0707C" w:rsidRPr="00ED38CD" w:rsidRDefault="00F5197B" w:rsidP="00ED38CD">
      <w:pPr>
        <w:widowControl/>
        <w:spacing w:line="360" w:lineRule="auto"/>
        <w:contextualSpacing/>
        <w:rPr>
          <w:color w:val="000000" w:themeColor="text1"/>
          <w:sz w:val="26"/>
          <w:szCs w:val="26"/>
        </w:rPr>
      </w:pPr>
      <w:r w:rsidRPr="00F5197B">
        <w:rPr>
          <w:i/>
          <w:iCs/>
          <w:color w:val="000000" w:themeColor="text1"/>
          <w:sz w:val="26"/>
          <w:szCs w:val="26"/>
        </w:rPr>
        <w:t>Id.</w:t>
      </w:r>
      <w:r w:rsidR="00D36356">
        <w:rPr>
          <w:color w:val="000000" w:themeColor="text1"/>
          <w:sz w:val="26"/>
          <w:szCs w:val="26"/>
        </w:rPr>
        <w:t xml:space="preserve"> (citing </w:t>
      </w:r>
      <w:r w:rsidR="00D36356" w:rsidRPr="00724D36">
        <w:rPr>
          <w:i/>
          <w:iCs/>
          <w:sz w:val="26"/>
          <w:szCs w:val="26"/>
        </w:rPr>
        <w:t>Joint Petition of Metropolitan Edison Company, Pennsylvania Electric Company, and Pennsylvania Power Company for Approval of Smart Meter Tech</w:t>
      </w:r>
      <w:r w:rsidR="00D36356">
        <w:rPr>
          <w:i/>
          <w:iCs/>
          <w:sz w:val="26"/>
          <w:szCs w:val="26"/>
        </w:rPr>
        <w:t>nology Procurement and Installation Plan</w:t>
      </w:r>
      <w:r w:rsidR="00D36356">
        <w:rPr>
          <w:sz w:val="26"/>
          <w:szCs w:val="26"/>
        </w:rPr>
        <w:t xml:space="preserve">, </w:t>
      </w:r>
      <w:r w:rsidR="00D36356">
        <w:rPr>
          <w:bCs/>
          <w:sz w:val="26"/>
          <w:szCs w:val="26"/>
        </w:rPr>
        <w:t xml:space="preserve">Docket No. M-2009-2123950 </w:t>
      </w:r>
      <w:r w:rsidR="00D36356" w:rsidRPr="00102E10">
        <w:rPr>
          <w:sz w:val="26"/>
          <w:szCs w:val="26"/>
        </w:rPr>
        <w:t xml:space="preserve">(Order entered </w:t>
      </w:r>
      <w:r w:rsidR="00D36356">
        <w:rPr>
          <w:sz w:val="26"/>
          <w:szCs w:val="26"/>
        </w:rPr>
        <w:t>June</w:t>
      </w:r>
      <w:r w:rsidR="00456AFE">
        <w:rPr>
          <w:sz w:val="26"/>
          <w:szCs w:val="26"/>
        </w:rPr>
        <w:t> </w:t>
      </w:r>
      <w:r w:rsidR="00D36356">
        <w:rPr>
          <w:sz w:val="26"/>
          <w:szCs w:val="26"/>
        </w:rPr>
        <w:t>9</w:t>
      </w:r>
      <w:r w:rsidR="00D36356" w:rsidRPr="00102E10">
        <w:rPr>
          <w:sz w:val="26"/>
          <w:szCs w:val="26"/>
        </w:rPr>
        <w:t>,</w:t>
      </w:r>
      <w:r w:rsidR="00456AFE">
        <w:rPr>
          <w:sz w:val="26"/>
          <w:szCs w:val="26"/>
        </w:rPr>
        <w:t> </w:t>
      </w:r>
      <w:r w:rsidR="00D36356" w:rsidRPr="00102E10">
        <w:rPr>
          <w:sz w:val="26"/>
          <w:szCs w:val="26"/>
        </w:rPr>
        <w:t>201</w:t>
      </w:r>
      <w:r w:rsidR="00D36356">
        <w:rPr>
          <w:sz w:val="26"/>
          <w:szCs w:val="26"/>
        </w:rPr>
        <w:t>0)</w:t>
      </w:r>
      <w:r w:rsidR="00EF365C">
        <w:rPr>
          <w:sz w:val="26"/>
          <w:szCs w:val="26"/>
        </w:rPr>
        <w:t xml:space="preserve"> (</w:t>
      </w:r>
      <w:r w:rsidR="00EF365C" w:rsidRPr="00EC7971">
        <w:rPr>
          <w:i/>
          <w:iCs/>
          <w:sz w:val="26"/>
          <w:szCs w:val="26"/>
        </w:rPr>
        <w:t>2010 Joint Petition</w:t>
      </w:r>
      <w:r w:rsidR="00EF365C">
        <w:rPr>
          <w:sz w:val="26"/>
          <w:szCs w:val="26"/>
        </w:rPr>
        <w:t>)</w:t>
      </w:r>
      <w:r w:rsidR="00EC7971">
        <w:rPr>
          <w:sz w:val="26"/>
          <w:szCs w:val="26"/>
        </w:rPr>
        <w:t>)</w:t>
      </w:r>
      <w:r w:rsidR="00EF365C">
        <w:rPr>
          <w:sz w:val="26"/>
          <w:szCs w:val="26"/>
        </w:rPr>
        <w:t>.</w:t>
      </w:r>
    </w:p>
    <w:p w14:paraId="2E93B81A" w14:textId="77777777" w:rsidR="00B77B01" w:rsidRDefault="00B77B01" w:rsidP="009109E9">
      <w:pPr>
        <w:pStyle w:val="ListParagraph"/>
        <w:keepNext/>
        <w:keepLines/>
        <w:widowControl/>
        <w:numPr>
          <w:ilvl w:val="0"/>
          <w:numId w:val="33"/>
        </w:numPr>
        <w:spacing w:line="360" w:lineRule="auto"/>
        <w:rPr>
          <w:b/>
          <w:color w:val="000000" w:themeColor="text1"/>
          <w:sz w:val="26"/>
          <w:szCs w:val="26"/>
        </w:rPr>
      </w:pPr>
      <w:r w:rsidRPr="007B4BEC">
        <w:rPr>
          <w:b/>
          <w:color w:val="000000" w:themeColor="text1"/>
          <w:sz w:val="26"/>
          <w:szCs w:val="26"/>
        </w:rPr>
        <w:lastRenderedPageBreak/>
        <w:t>Replies</w:t>
      </w:r>
    </w:p>
    <w:p w14:paraId="740A7DA8" w14:textId="4D683F37" w:rsidR="00B77B01" w:rsidRDefault="00B77B01" w:rsidP="009109E9">
      <w:pPr>
        <w:pStyle w:val="ListParagraph"/>
        <w:keepNext/>
        <w:keepLines/>
        <w:widowControl/>
        <w:spacing w:line="360" w:lineRule="auto"/>
        <w:ind w:left="2160"/>
        <w:rPr>
          <w:b/>
          <w:color w:val="000000" w:themeColor="text1"/>
          <w:sz w:val="26"/>
          <w:szCs w:val="26"/>
        </w:rPr>
      </w:pPr>
    </w:p>
    <w:p w14:paraId="32C677E6" w14:textId="3FC68A1B" w:rsidR="006F79C2" w:rsidRDefault="006F79C2" w:rsidP="00761490">
      <w:pPr>
        <w:spacing w:line="360" w:lineRule="auto"/>
        <w:ind w:firstLine="1440"/>
        <w:contextualSpacing/>
        <w:rPr>
          <w:sz w:val="26"/>
          <w:szCs w:val="26"/>
        </w:rPr>
      </w:pPr>
      <w:r w:rsidRPr="00753022">
        <w:rPr>
          <w:sz w:val="26"/>
          <w:szCs w:val="26"/>
        </w:rPr>
        <w:t>PPL provides that the ALJ properly held that the installation of the new AMI meter is required by law.  R. Exc. at 1</w:t>
      </w:r>
      <w:r>
        <w:rPr>
          <w:sz w:val="26"/>
          <w:szCs w:val="26"/>
        </w:rPr>
        <w:t>3</w:t>
      </w:r>
      <w:r w:rsidRPr="00753022">
        <w:rPr>
          <w:sz w:val="26"/>
          <w:szCs w:val="26"/>
        </w:rPr>
        <w:t xml:space="preserve"> (citing I.D. at 1</w:t>
      </w:r>
      <w:r>
        <w:rPr>
          <w:sz w:val="26"/>
          <w:szCs w:val="26"/>
        </w:rPr>
        <w:t xml:space="preserve">5-17, </w:t>
      </w:r>
      <w:r w:rsidRPr="00753022">
        <w:rPr>
          <w:sz w:val="26"/>
          <w:szCs w:val="26"/>
        </w:rPr>
        <w:t>19).  PPL notes that Section 2807(f) of the Code prescribes that EDCs, like PPL, must file smart meter plans and “</w:t>
      </w:r>
      <w:r w:rsidRPr="006337A9">
        <w:rPr>
          <w:b/>
          <w:bCs/>
          <w:sz w:val="26"/>
          <w:szCs w:val="26"/>
          <w:u w:val="single"/>
        </w:rPr>
        <w:t>shall</w:t>
      </w:r>
      <w:r w:rsidRPr="00753022">
        <w:rPr>
          <w:sz w:val="26"/>
          <w:szCs w:val="26"/>
        </w:rPr>
        <w:t xml:space="preserve"> furnish smart meter technology” in any of the following situations: </w:t>
      </w:r>
      <w:r w:rsidR="00225C1B">
        <w:rPr>
          <w:sz w:val="26"/>
          <w:szCs w:val="26"/>
        </w:rPr>
        <w:t xml:space="preserve"> </w:t>
      </w:r>
      <w:r w:rsidRPr="00753022">
        <w:rPr>
          <w:sz w:val="26"/>
          <w:szCs w:val="26"/>
        </w:rPr>
        <w:t>(1)</w:t>
      </w:r>
      <w:r w:rsidR="00456AFE">
        <w:rPr>
          <w:sz w:val="26"/>
          <w:szCs w:val="26"/>
        </w:rPr>
        <w:t> </w:t>
      </w:r>
      <w:r w:rsidRPr="00753022">
        <w:rPr>
          <w:sz w:val="26"/>
          <w:szCs w:val="26"/>
        </w:rPr>
        <w:t>“[u]</w:t>
      </w:r>
      <w:proofErr w:type="spellStart"/>
      <w:r w:rsidRPr="00753022">
        <w:rPr>
          <w:sz w:val="26"/>
          <w:szCs w:val="26"/>
        </w:rPr>
        <w:t>pon</w:t>
      </w:r>
      <w:proofErr w:type="spellEnd"/>
      <w:r w:rsidRPr="00753022">
        <w:rPr>
          <w:sz w:val="26"/>
          <w:szCs w:val="26"/>
        </w:rPr>
        <w:t xml:space="preserve"> request from a customer that agrees to pay the cost of the smart meter at the time of the request,” (2) “[</w:t>
      </w:r>
      <w:proofErr w:type="spellStart"/>
      <w:r w:rsidRPr="00753022">
        <w:rPr>
          <w:sz w:val="26"/>
          <w:szCs w:val="26"/>
        </w:rPr>
        <w:t>i</w:t>
      </w:r>
      <w:proofErr w:type="spellEnd"/>
      <w:r w:rsidRPr="00753022">
        <w:rPr>
          <w:sz w:val="26"/>
          <w:szCs w:val="26"/>
        </w:rPr>
        <w:t>]n new building construction,” and (3) “[</w:t>
      </w:r>
      <w:proofErr w:type="spellStart"/>
      <w:r w:rsidRPr="00753022">
        <w:rPr>
          <w:sz w:val="26"/>
          <w:szCs w:val="26"/>
        </w:rPr>
        <w:t>i</w:t>
      </w:r>
      <w:proofErr w:type="spellEnd"/>
      <w:r w:rsidRPr="00753022">
        <w:rPr>
          <w:sz w:val="26"/>
          <w:szCs w:val="26"/>
        </w:rPr>
        <w:t>]n accordance with a depreciation schedule not to exceed 15 years.”  R. Exc. at 1</w:t>
      </w:r>
      <w:r>
        <w:rPr>
          <w:sz w:val="26"/>
          <w:szCs w:val="26"/>
        </w:rPr>
        <w:t>3</w:t>
      </w:r>
      <w:r w:rsidRPr="00753022">
        <w:rPr>
          <w:sz w:val="26"/>
          <w:szCs w:val="26"/>
        </w:rPr>
        <w:t xml:space="preserve"> (citing 66 Pa.</w:t>
      </w:r>
      <w:r w:rsidR="006F7F8A">
        <w:rPr>
          <w:sz w:val="26"/>
          <w:szCs w:val="26"/>
        </w:rPr>
        <w:t xml:space="preserve"> </w:t>
      </w:r>
      <w:r w:rsidRPr="00753022">
        <w:rPr>
          <w:sz w:val="26"/>
          <w:szCs w:val="26"/>
        </w:rPr>
        <w:t xml:space="preserve">C.S. </w:t>
      </w:r>
      <w:bookmarkStart w:id="24" w:name="_Hlk45279192"/>
      <w:r w:rsidRPr="00753022">
        <w:rPr>
          <w:sz w:val="26"/>
          <w:szCs w:val="26"/>
        </w:rPr>
        <w:t>§</w:t>
      </w:r>
      <w:bookmarkEnd w:id="24"/>
      <w:r w:rsidR="00456AFE">
        <w:rPr>
          <w:sz w:val="26"/>
          <w:szCs w:val="26"/>
        </w:rPr>
        <w:t> </w:t>
      </w:r>
      <w:r w:rsidRPr="00753022">
        <w:rPr>
          <w:sz w:val="26"/>
          <w:szCs w:val="26"/>
        </w:rPr>
        <w:t>2807(f)(1)-(2)</w:t>
      </w:r>
      <w:r>
        <w:rPr>
          <w:sz w:val="26"/>
          <w:szCs w:val="26"/>
        </w:rPr>
        <w:t>) (emphasis added by PPL)</w:t>
      </w:r>
      <w:r w:rsidRPr="00753022">
        <w:rPr>
          <w:sz w:val="26"/>
          <w:szCs w:val="26"/>
        </w:rPr>
        <w:t xml:space="preserve">.  </w:t>
      </w:r>
      <w:bookmarkStart w:id="25" w:name="_Hlk42854056"/>
      <w:r w:rsidRPr="00753022">
        <w:rPr>
          <w:sz w:val="26"/>
          <w:szCs w:val="26"/>
        </w:rPr>
        <w:t>PPL explains that in interpreting the smart meter provisions of Act 129, the Commission declared that EDCs must “deploy smart meters system-wide” because of the requirement that smart meters be deployed “in accordance with a depreciation schedule not to exceed 15 years.”  R. Exc. at 1</w:t>
      </w:r>
      <w:r>
        <w:rPr>
          <w:sz w:val="26"/>
          <w:szCs w:val="26"/>
        </w:rPr>
        <w:t>3</w:t>
      </w:r>
      <w:r w:rsidRPr="00753022">
        <w:rPr>
          <w:sz w:val="26"/>
          <w:szCs w:val="26"/>
        </w:rPr>
        <w:t xml:space="preserve"> (citing </w:t>
      </w:r>
      <w:r w:rsidRPr="00753022">
        <w:rPr>
          <w:i/>
          <w:iCs/>
          <w:sz w:val="26"/>
          <w:szCs w:val="26"/>
        </w:rPr>
        <w:t xml:space="preserve">Smart Meter </w:t>
      </w:r>
      <w:r w:rsidR="002879E9">
        <w:rPr>
          <w:i/>
          <w:iCs/>
          <w:sz w:val="26"/>
          <w:szCs w:val="26"/>
        </w:rPr>
        <w:t>I</w:t>
      </w:r>
      <w:r w:rsidR="00B71F40">
        <w:rPr>
          <w:i/>
          <w:iCs/>
          <w:sz w:val="26"/>
          <w:szCs w:val="26"/>
        </w:rPr>
        <w:t>mplement</w:t>
      </w:r>
      <w:r w:rsidR="002879E9">
        <w:rPr>
          <w:i/>
          <w:iCs/>
          <w:sz w:val="26"/>
          <w:szCs w:val="26"/>
        </w:rPr>
        <w:t>ation</w:t>
      </w:r>
      <w:r w:rsidRPr="00753022">
        <w:rPr>
          <w:i/>
          <w:iCs/>
          <w:sz w:val="26"/>
          <w:szCs w:val="26"/>
        </w:rPr>
        <w:t xml:space="preserve"> Order</w:t>
      </w:r>
      <w:r w:rsidRPr="00753022">
        <w:rPr>
          <w:sz w:val="26"/>
          <w:szCs w:val="26"/>
        </w:rPr>
        <w:t xml:space="preserve"> at 14).  PPL explains further that the Commission also “recognize[d] that deployment of smart meters on a piecemeal or individual basis could involve greater costs than a systematic system-wide deployment.”  R. Exc. at 1</w:t>
      </w:r>
      <w:r>
        <w:rPr>
          <w:sz w:val="26"/>
          <w:szCs w:val="26"/>
        </w:rPr>
        <w:t>3</w:t>
      </w:r>
      <w:r w:rsidRPr="00753022">
        <w:rPr>
          <w:sz w:val="26"/>
          <w:szCs w:val="26"/>
        </w:rPr>
        <w:t xml:space="preserve"> (citing </w:t>
      </w:r>
      <w:r w:rsidRPr="00753022">
        <w:rPr>
          <w:i/>
          <w:iCs/>
          <w:sz w:val="26"/>
          <w:szCs w:val="26"/>
        </w:rPr>
        <w:t xml:space="preserve">Smart Meter </w:t>
      </w:r>
      <w:r w:rsidR="00B71F40">
        <w:rPr>
          <w:i/>
          <w:iCs/>
          <w:sz w:val="26"/>
          <w:szCs w:val="26"/>
        </w:rPr>
        <w:t>Implement</w:t>
      </w:r>
      <w:r w:rsidR="002879E9">
        <w:rPr>
          <w:i/>
          <w:iCs/>
          <w:sz w:val="26"/>
          <w:szCs w:val="26"/>
        </w:rPr>
        <w:t>ation</w:t>
      </w:r>
      <w:r w:rsidRPr="00753022">
        <w:rPr>
          <w:i/>
          <w:iCs/>
          <w:sz w:val="26"/>
          <w:szCs w:val="26"/>
        </w:rPr>
        <w:t xml:space="preserve"> Order </w:t>
      </w:r>
      <w:r w:rsidRPr="00753022">
        <w:rPr>
          <w:sz w:val="26"/>
          <w:szCs w:val="26"/>
        </w:rPr>
        <w:t>at 9,</w:t>
      </w:r>
      <w:r>
        <w:rPr>
          <w:sz w:val="26"/>
          <w:szCs w:val="26"/>
        </w:rPr>
        <w:t xml:space="preserve"> </w:t>
      </w:r>
      <w:r w:rsidRPr="00753022">
        <w:rPr>
          <w:sz w:val="26"/>
          <w:szCs w:val="26"/>
        </w:rPr>
        <w:t xml:space="preserve">14).  </w:t>
      </w:r>
      <w:bookmarkEnd w:id="25"/>
      <w:r w:rsidRPr="00753022">
        <w:rPr>
          <w:sz w:val="26"/>
          <w:szCs w:val="26"/>
        </w:rPr>
        <w:t>Therefore, PPL reasons, it must install the new meters for every customer in its service territory, including the Complainant.  R. Exc. at 1</w:t>
      </w:r>
      <w:r>
        <w:rPr>
          <w:sz w:val="26"/>
          <w:szCs w:val="26"/>
        </w:rPr>
        <w:t>3</w:t>
      </w:r>
      <w:r w:rsidRPr="00753022">
        <w:rPr>
          <w:sz w:val="26"/>
          <w:szCs w:val="26"/>
        </w:rPr>
        <w:t xml:space="preserve">.  </w:t>
      </w:r>
    </w:p>
    <w:p w14:paraId="2E0E05C5" w14:textId="77777777" w:rsidR="00AB4021" w:rsidRDefault="00AB4021" w:rsidP="00761490">
      <w:pPr>
        <w:spacing w:line="360" w:lineRule="auto"/>
        <w:ind w:firstLine="1440"/>
        <w:contextualSpacing/>
        <w:rPr>
          <w:sz w:val="26"/>
          <w:szCs w:val="26"/>
        </w:rPr>
      </w:pPr>
    </w:p>
    <w:p w14:paraId="02F29324" w14:textId="56D19AB5" w:rsidR="006F79C2" w:rsidRDefault="006F79C2" w:rsidP="00EE4C52">
      <w:pPr>
        <w:spacing w:line="360" w:lineRule="auto"/>
        <w:ind w:firstLine="1440"/>
        <w:contextualSpacing/>
        <w:rPr>
          <w:sz w:val="26"/>
          <w:szCs w:val="26"/>
        </w:rPr>
      </w:pPr>
      <w:r w:rsidRPr="00753022">
        <w:rPr>
          <w:sz w:val="26"/>
          <w:szCs w:val="26"/>
        </w:rPr>
        <w:t xml:space="preserve">PPL provides that nothing in Act 129 permits a customer to opt-out of a smart meter installation.  </w:t>
      </w:r>
      <w:r>
        <w:rPr>
          <w:sz w:val="26"/>
          <w:szCs w:val="26"/>
        </w:rPr>
        <w:t>The Company</w:t>
      </w:r>
      <w:r w:rsidRPr="00753022">
        <w:rPr>
          <w:sz w:val="26"/>
          <w:szCs w:val="26"/>
        </w:rPr>
        <w:t xml:space="preserve"> </w:t>
      </w:r>
      <w:r>
        <w:rPr>
          <w:sz w:val="26"/>
          <w:szCs w:val="26"/>
        </w:rPr>
        <w:t>aver</w:t>
      </w:r>
      <w:r w:rsidRPr="00753022">
        <w:rPr>
          <w:sz w:val="26"/>
          <w:szCs w:val="26"/>
        </w:rPr>
        <w:t>s that</w:t>
      </w:r>
      <w:r>
        <w:rPr>
          <w:sz w:val="26"/>
          <w:szCs w:val="26"/>
        </w:rPr>
        <w:t>,</w:t>
      </w:r>
      <w:r w:rsidRPr="00753022">
        <w:rPr>
          <w:sz w:val="26"/>
          <w:szCs w:val="26"/>
        </w:rPr>
        <w:t xml:space="preserve"> the Commission has repeatedly held that</w:t>
      </w:r>
      <w:r>
        <w:rPr>
          <w:sz w:val="26"/>
          <w:szCs w:val="26"/>
        </w:rPr>
        <w:t>,</w:t>
      </w:r>
      <w:r w:rsidRPr="00753022">
        <w:rPr>
          <w:sz w:val="26"/>
          <w:szCs w:val="26"/>
        </w:rPr>
        <w:t xml:space="preserve"> PPL must install the new AMI meters for all of its customers.  R. Exc. at 1</w:t>
      </w:r>
      <w:r>
        <w:rPr>
          <w:sz w:val="26"/>
          <w:szCs w:val="26"/>
        </w:rPr>
        <w:t>3-14</w:t>
      </w:r>
      <w:r w:rsidRPr="00753022">
        <w:rPr>
          <w:sz w:val="26"/>
          <w:szCs w:val="26"/>
        </w:rPr>
        <w:t xml:space="preserve"> (citing </w:t>
      </w:r>
      <w:r w:rsidRPr="00753022">
        <w:rPr>
          <w:i/>
          <w:iCs/>
          <w:sz w:val="26"/>
          <w:szCs w:val="26"/>
        </w:rPr>
        <w:t>Hoffman-</w:t>
      </w:r>
      <w:proofErr w:type="spellStart"/>
      <w:r w:rsidRPr="00753022">
        <w:rPr>
          <w:i/>
          <w:iCs/>
          <w:sz w:val="26"/>
          <w:szCs w:val="26"/>
        </w:rPr>
        <w:t>Lorah</w:t>
      </w:r>
      <w:proofErr w:type="spellEnd"/>
      <w:r w:rsidRPr="00A61BE1">
        <w:rPr>
          <w:sz w:val="26"/>
          <w:szCs w:val="26"/>
        </w:rPr>
        <w:t>,</w:t>
      </w:r>
      <w:r w:rsidRPr="00753022">
        <w:rPr>
          <w:i/>
          <w:iCs/>
          <w:sz w:val="26"/>
          <w:szCs w:val="26"/>
        </w:rPr>
        <w:t xml:space="preserve"> </w:t>
      </w:r>
      <w:r w:rsidRPr="00753022">
        <w:rPr>
          <w:sz w:val="26"/>
          <w:szCs w:val="26"/>
        </w:rPr>
        <w:t xml:space="preserve">2019 Pa. PUC LEXIS 195, at *72-73; </w:t>
      </w:r>
      <w:proofErr w:type="spellStart"/>
      <w:r w:rsidRPr="00753022">
        <w:rPr>
          <w:i/>
          <w:iCs/>
          <w:sz w:val="26"/>
          <w:szCs w:val="26"/>
        </w:rPr>
        <w:t>Schmukler</w:t>
      </w:r>
      <w:proofErr w:type="spellEnd"/>
      <w:r w:rsidRPr="00753022">
        <w:rPr>
          <w:i/>
          <w:iCs/>
          <w:sz w:val="26"/>
          <w:szCs w:val="26"/>
        </w:rPr>
        <w:t xml:space="preserve"> v. PPL Electric Utilities Corp</w:t>
      </w:r>
      <w:r w:rsidRPr="00753022">
        <w:rPr>
          <w:sz w:val="26"/>
          <w:szCs w:val="26"/>
        </w:rPr>
        <w:t xml:space="preserve">., Docket No. C-2017-2621285, pp. 73-73 (Order entered July 23, 2019), appeal pending, 1102 C.D. 2019).  </w:t>
      </w:r>
      <w:r>
        <w:rPr>
          <w:sz w:val="26"/>
          <w:szCs w:val="26"/>
        </w:rPr>
        <w:t xml:space="preserve">Further, </w:t>
      </w:r>
      <w:r w:rsidRPr="00753022">
        <w:rPr>
          <w:sz w:val="26"/>
          <w:szCs w:val="26"/>
        </w:rPr>
        <w:t xml:space="preserve">PPL </w:t>
      </w:r>
      <w:r>
        <w:rPr>
          <w:sz w:val="26"/>
          <w:szCs w:val="26"/>
        </w:rPr>
        <w:t>not</w:t>
      </w:r>
      <w:r w:rsidRPr="00753022">
        <w:rPr>
          <w:sz w:val="26"/>
          <w:szCs w:val="26"/>
        </w:rPr>
        <w:t>es that only the General Assembly can amend Act 129 to add such an opt-out.  According to PPL, although bills have been proposed in the General Assembly to add such an opt-out</w:t>
      </w:r>
      <w:r>
        <w:rPr>
          <w:sz w:val="26"/>
          <w:szCs w:val="26"/>
        </w:rPr>
        <w:t>,</w:t>
      </w:r>
      <w:r w:rsidRPr="00753022">
        <w:rPr>
          <w:sz w:val="26"/>
          <w:szCs w:val="26"/>
        </w:rPr>
        <w:t xml:space="preserve"> such as House Bill 1564 of the 2017-2018 Session, they have never been enacted.  R. Exc. at 1</w:t>
      </w:r>
      <w:r>
        <w:rPr>
          <w:sz w:val="26"/>
          <w:szCs w:val="26"/>
        </w:rPr>
        <w:t>4</w:t>
      </w:r>
      <w:r w:rsidRPr="00753022">
        <w:rPr>
          <w:sz w:val="26"/>
          <w:szCs w:val="26"/>
        </w:rPr>
        <w:t xml:space="preserve">.  </w:t>
      </w:r>
      <w:r>
        <w:rPr>
          <w:sz w:val="26"/>
          <w:szCs w:val="26"/>
        </w:rPr>
        <w:t xml:space="preserve">Moreover, </w:t>
      </w:r>
      <w:r w:rsidRPr="00753022">
        <w:rPr>
          <w:sz w:val="26"/>
          <w:szCs w:val="26"/>
        </w:rPr>
        <w:t xml:space="preserve">PPL </w:t>
      </w:r>
      <w:r w:rsidRPr="00753022">
        <w:rPr>
          <w:sz w:val="26"/>
          <w:szCs w:val="26"/>
        </w:rPr>
        <w:lastRenderedPageBreak/>
        <w:t xml:space="preserve">explains that it is not permitted to install any other type of meter under its Smart Meter Plan and </w:t>
      </w:r>
      <w:r>
        <w:rPr>
          <w:sz w:val="26"/>
          <w:szCs w:val="26"/>
        </w:rPr>
        <w:t xml:space="preserve">it </w:t>
      </w:r>
      <w:r w:rsidRPr="00753022">
        <w:rPr>
          <w:sz w:val="26"/>
          <w:szCs w:val="26"/>
        </w:rPr>
        <w:t>cannot leave the existing, non-compliant PLC meter in place.  R. Exc. at</w:t>
      </w:r>
      <w:r w:rsidR="00456AFE">
        <w:rPr>
          <w:sz w:val="26"/>
          <w:szCs w:val="26"/>
        </w:rPr>
        <w:t> </w:t>
      </w:r>
      <w:r>
        <w:rPr>
          <w:sz w:val="26"/>
          <w:szCs w:val="26"/>
        </w:rPr>
        <w:t>14</w:t>
      </w:r>
      <w:r w:rsidR="00456AFE">
        <w:rPr>
          <w:sz w:val="26"/>
          <w:szCs w:val="26"/>
        </w:rPr>
        <w:noBreakHyphen/>
      </w:r>
      <w:r w:rsidRPr="00753022">
        <w:rPr>
          <w:sz w:val="26"/>
          <w:szCs w:val="26"/>
        </w:rPr>
        <w:t>1</w:t>
      </w:r>
      <w:r>
        <w:rPr>
          <w:sz w:val="26"/>
          <w:szCs w:val="26"/>
        </w:rPr>
        <w:t>5</w:t>
      </w:r>
      <w:r w:rsidRPr="00753022">
        <w:rPr>
          <w:sz w:val="26"/>
          <w:szCs w:val="26"/>
        </w:rPr>
        <w:t xml:space="preserve"> (citing PPL St. 4 at 6; </w:t>
      </w:r>
      <w:r w:rsidRPr="00753022">
        <w:rPr>
          <w:i/>
          <w:iCs/>
          <w:sz w:val="26"/>
          <w:szCs w:val="26"/>
        </w:rPr>
        <w:t>2015 Smart Meter Order</w:t>
      </w:r>
      <w:r w:rsidRPr="00753022">
        <w:rPr>
          <w:sz w:val="26"/>
          <w:szCs w:val="26"/>
        </w:rPr>
        <w:t xml:space="preserve"> at 24).    </w:t>
      </w:r>
    </w:p>
    <w:p w14:paraId="2F0384BA" w14:textId="77777777" w:rsidR="006F79C2" w:rsidRPr="00753022" w:rsidRDefault="006F79C2" w:rsidP="00EE4C52">
      <w:pPr>
        <w:tabs>
          <w:tab w:val="left" w:pos="2730"/>
        </w:tabs>
        <w:spacing w:line="360" w:lineRule="auto"/>
        <w:ind w:firstLine="1440"/>
        <w:contextualSpacing/>
        <w:rPr>
          <w:sz w:val="26"/>
          <w:szCs w:val="26"/>
        </w:rPr>
      </w:pPr>
    </w:p>
    <w:p w14:paraId="35079356" w14:textId="38E580BE" w:rsidR="006F79C2" w:rsidRDefault="006F79C2" w:rsidP="00EE4C52">
      <w:pPr>
        <w:spacing w:line="360" w:lineRule="auto"/>
        <w:ind w:firstLine="1440"/>
        <w:contextualSpacing/>
        <w:rPr>
          <w:sz w:val="26"/>
          <w:szCs w:val="26"/>
        </w:rPr>
      </w:pPr>
      <w:r w:rsidRPr="001F53F0">
        <w:rPr>
          <w:sz w:val="26"/>
          <w:szCs w:val="26"/>
        </w:rPr>
        <w:t xml:space="preserve">PPL contends that the Complainant’s argument that the Company should be allowed to grant him an opt-out of the smart meter installation because the </w:t>
      </w:r>
      <w:r w:rsidRPr="001F53F0">
        <w:rPr>
          <w:i/>
          <w:iCs/>
          <w:sz w:val="26"/>
          <w:szCs w:val="26"/>
        </w:rPr>
        <w:t xml:space="preserve">Smart Meter </w:t>
      </w:r>
      <w:r w:rsidR="002879E9">
        <w:rPr>
          <w:i/>
          <w:iCs/>
          <w:sz w:val="26"/>
          <w:szCs w:val="26"/>
        </w:rPr>
        <w:t>I</w:t>
      </w:r>
      <w:r w:rsidR="00B71F40">
        <w:rPr>
          <w:i/>
          <w:iCs/>
          <w:sz w:val="26"/>
          <w:szCs w:val="26"/>
        </w:rPr>
        <w:t>mplement</w:t>
      </w:r>
      <w:r w:rsidR="002879E9">
        <w:rPr>
          <w:i/>
          <w:iCs/>
          <w:sz w:val="26"/>
          <w:szCs w:val="26"/>
        </w:rPr>
        <w:t>ation</w:t>
      </w:r>
      <w:r w:rsidR="002879E9" w:rsidRPr="00753022">
        <w:rPr>
          <w:i/>
          <w:iCs/>
          <w:sz w:val="26"/>
          <w:szCs w:val="26"/>
        </w:rPr>
        <w:t xml:space="preserve"> </w:t>
      </w:r>
      <w:r w:rsidRPr="001F53F0">
        <w:rPr>
          <w:i/>
          <w:iCs/>
          <w:sz w:val="26"/>
          <w:szCs w:val="26"/>
        </w:rPr>
        <w:t>Order</w:t>
      </w:r>
      <w:r w:rsidRPr="001F53F0">
        <w:rPr>
          <w:sz w:val="26"/>
          <w:szCs w:val="26"/>
        </w:rPr>
        <w:t xml:space="preserve"> is not legally binding</w:t>
      </w:r>
      <w:r>
        <w:rPr>
          <w:sz w:val="26"/>
          <w:szCs w:val="26"/>
        </w:rPr>
        <w:t>,</w:t>
      </w:r>
      <w:r w:rsidRPr="001F53F0">
        <w:rPr>
          <w:sz w:val="26"/>
          <w:szCs w:val="26"/>
        </w:rPr>
        <w:t xml:space="preserve"> is erroneous.  </w:t>
      </w:r>
      <w:r>
        <w:rPr>
          <w:sz w:val="26"/>
          <w:szCs w:val="26"/>
        </w:rPr>
        <w:t xml:space="preserve">R. Exc. at 15 </w:t>
      </w:r>
      <w:r w:rsidRPr="00592389">
        <w:rPr>
          <w:sz w:val="26"/>
          <w:szCs w:val="26"/>
        </w:rPr>
        <w:t>(citing Exc. at</w:t>
      </w:r>
      <w:r w:rsidR="00456AFE">
        <w:rPr>
          <w:sz w:val="26"/>
          <w:szCs w:val="26"/>
        </w:rPr>
        <w:t> </w:t>
      </w:r>
      <w:r w:rsidRPr="00592389">
        <w:rPr>
          <w:sz w:val="26"/>
          <w:szCs w:val="26"/>
        </w:rPr>
        <w:t>10</w:t>
      </w:r>
      <w:r w:rsidRPr="00102E10">
        <w:rPr>
          <w:sz w:val="26"/>
          <w:szCs w:val="26"/>
        </w:rPr>
        <w:t>)</w:t>
      </w:r>
      <w:r>
        <w:rPr>
          <w:sz w:val="26"/>
          <w:szCs w:val="26"/>
        </w:rPr>
        <w:t>.  The Company explains that the Order cited by the Complainant in his Exceptions, which approved the initial Smart Meter Deployment Plan for Metropolitan Edison Company, Pennsylvania Electric Company, and Pennsylvania Power Company</w:t>
      </w:r>
      <w:r>
        <w:rPr>
          <w:rStyle w:val="FootnoteReference"/>
          <w:sz w:val="26"/>
          <w:szCs w:val="26"/>
        </w:rPr>
        <w:footnoteReference w:id="14"/>
      </w:r>
      <w:r>
        <w:rPr>
          <w:sz w:val="26"/>
          <w:szCs w:val="26"/>
        </w:rPr>
        <w:t xml:space="preserve">, omits the Commission’s statement in that Order that “EDCs are not free to ignore” the </w:t>
      </w:r>
      <w:r w:rsidRPr="0003453F">
        <w:rPr>
          <w:i/>
          <w:iCs/>
          <w:sz w:val="26"/>
          <w:szCs w:val="26"/>
        </w:rPr>
        <w:t>Smart Meter</w:t>
      </w:r>
      <w:r>
        <w:rPr>
          <w:sz w:val="26"/>
          <w:szCs w:val="26"/>
        </w:rPr>
        <w:t xml:space="preserve"> </w:t>
      </w:r>
      <w:r w:rsidR="0003453F">
        <w:rPr>
          <w:i/>
          <w:iCs/>
          <w:sz w:val="26"/>
          <w:szCs w:val="26"/>
        </w:rPr>
        <w:t>I</w:t>
      </w:r>
      <w:r w:rsidR="005D3862">
        <w:rPr>
          <w:i/>
          <w:iCs/>
          <w:sz w:val="26"/>
          <w:szCs w:val="26"/>
        </w:rPr>
        <w:t>mplement</w:t>
      </w:r>
      <w:r w:rsidR="0003453F">
        <w:rPr>
          <w:i/>
          <w:iCs/>
          <w:sz w:val="26"/>
          <w:szCs w:val="26"/>
        </w:rPr>
        <w:t>ation</w:t>
      </w:r>
      <w:r>
        <w:rPr>
          <w:sz w:val="26"/>
          <w:szCs w:val="26"/>
        </w:rPr>
        <w:t xml:space="preserve"> </w:t>
      </w:r>
      <w:r w:rsidRPr="0003453F">
        <w:rPr>
          <w:i/>
          <w:iCs/>
          <w:sz w:val="26"/>
          <w:szCs w:val="26"/>
        </w:rPr>
        <w:t>Order</w:t>
      </w:r>
      <w:r>
        <w:rPr>
          <w:sz w:val="26"/>
          <w:szCs w:val="26"/>
        </w:rPr>
        <w:t xml:space="preserve">.  R. Exc. at 15 (citing </w:t>
      </w:r>
      <w:r w:rsidR="00EC7971" w:rsidRPr="00EC7971">
        <w:rPr>
          <w:i/>
          <w:iCs/>
          <w:sz w:val="26"/>
          <w:szCs w:val="26"/>
        </w:rPr>
        <w:t>2010</w:t>
      </w:r>
      <w:r w:rsidR="00EC7971">
        <w:rPr>
          <w:sz w:val="26"/>
          <w:szCs w:val="26"/>
        </w:rPr>
        <w:t xml:space="preserve"> </w:t>
      </w:r>
      <w:r w:rsidRPr="00724D36">
        <w:rPr>
          <w:i/>
          <w:iCs/>
          <w:sz w:val="26"/>
          <w:szCs w:val="26"/>
        </w:rPr>
        <w:t>Joint Petition</w:t>
      </w:r>
      <w:r>
        <w:rPr>
          <w:sz w:val="26"/>
          <w:szCs w:val="26"/>
        </w:rPr>
        <w:t>).  Therefore, PPL continues, the Complainant’s reliance on that Order is misplaced.  R. Exc. at 15.</w:t>
      </w:r>
    </w:p>
    <w:p w14:paraId="7EAC2AD2" w14:textId="77777777" w:rsidR="006F79C2" w:rsidRDefault="006F79C2" w:rsidP="00EE4C52">
      <w:pPr>
        <w:spacing w:line="360" w:lineRule="auto"/>
        <w:ind w:firstLine="1440"/>
        <w:contextualSpacing/>
        <w:rPr>
          <w:sz w:val="26"/>
          <w:szCs w:val="26"/>
        </w:rPr>
      </w:pPr>
    </w:p>
    <w:p w14:paraId="334E0FCD" w14:textId="35ACA9DD" w:rsidR="006F79C2" w:rsidRPr="002D5D5E" w:rsidRDefault="006F79C2" w:rsidP="00EE4C52">
      <w:pPr>
        <w:spacing w:line="360" w:lineRule="auto"/>
        <w:ind w:firstLine="1440"/>
        <w:contextualSpacing/>
        <w:rPr>
          <w:sz w:val="26"/>
          <w:szCs w:val="26"/>
        </w:rPr>
      </w:pPr>
      <w:r>
        <w:rPr>
          <w:sz w:val="26"/>
          <w:szCs w:val="26"/>
        </w:rPr>
        <w:t xml:space="preserve">PPL counters that, the Commission’s </w:t>
      </w:r>
      <w:r w:rsidRPr="007F4C3F">
        <w:rPr>
          <w:i/>
          <w:iCs/>
          <w:sz w:val="26"/>
          <w:szCs w:val="26"/>
        </w:rPr>
        <w:t>2015 Smart Meter Order</w:t>
      </w:r>
      <w:r>
        <w:rPr>
          <w:sz w:val="26"/>
          <w:szCs w:val="26"/>
        </w:rPr>
        <w:t>, which requires the installation of smart meters for all of PPL’s customers, is legally binding.  R.</w:t>
      </w:r>
      <w:r w:rsidR="00456AFE">
        <w:rPr>
          <w:sz w:val="26"/>
          <w:szCs w:val="26"/>
        </w:rPr>
        <w:t> </w:t>
      </w:r>
      <w:r>
        <w:rPr>
          <w:sz w:val="26"/>
          <w:szCs w:val="26"/>
        </w:rPr>
        <w:t>Exc. at 15.  PPL, citing Section 501(c) of the Code, 66 Pa.</w:t>
      </w:r>
      <w:r w:rsidR="00C770BA">
        <w:rPr>
          <w:sz w:val="26"/>
          <w:szCs w:val="26"/>
        </w:rPr>
        <w:t xml:space="preserve"> </w:t>
      </w:r>
      <w:r>
        <w:rPr>
          <w:sz w:val="26"/>
          <w:szCs w:val="26"/>
        </w:rPr>
        <w:t xml:space="preserve">C.S. </w:t>
      </w:r>
      <w:r w:rsidRPr="007B1F99">
        <w:rPr>
          <w:sz w:val="26"/>
          <w:szCs w:val="26"/>
        </w:rPr>
        <w:t>§</w:t>
      </w:r>
      <w:r>
        <w:rPr>
          <w:sz w:val="26"/>
          <w:szCs w:val="26"/>
        </w:rPr>
        <w:t xml:space="preserve"> 501 (c), states that it must follow its Smart Meter Plan and the Commission’s Orders.  Therefore, PPL avers that it must install the new AMI meters for all of its customers, including the Complainant.  R. Exc. at 15-16.</w:t>
      </w:r>
    </w:p>
    <w:p w14:paraId="09ED5725" w14:textId="77777777" w:rsidR="006F79C2" w:rsidRPr="007B4BEC" w:rsidRDefault="006F79C2" w:rsidP="00B77B01">
      <w:pPr>
        <w:pStyle w:val="ListParagraph"/>
        <w:widowControl/>
        <w:spacing w:line="360" w:lineRule="auto"/>
        <w:ind w:left="2160"/>
        <w:rPr>
          <w:b/>
          <w:color w:val="000000" w:themeColor="text1"/>
          <w:sz w:val="26"/>
          <w:szCs w:val="26"/>
        </w:rPr>
      </w:pPr>
    </w:p>
    <w:p w14:paraId="5183896C" w14:textId="77777777" w:rsidR="00B77B01" w:rsidRDefault="00B77B01" w:rsidP="009109E9">
      <w:pPr>
        <w:pStyle w:val="ListParagraph"/>
        <w:keepNext/>
        <w:keepLines/>
        <w:widowControl/>
        <w:numPr>
          <w:ilvl w:val="0"/>
          <w:numId w:val="33"/>
        </w:numPr>
        <w:spacing w:line="360" w:lineRule="auto"/>
        <w:rPr>
          <w:b/>
          <w:color w:val="000000" w:themeColor="text1"/>
          <w:sz w:val="26"/>
          <w:szCs w:val="26"/>
        </w:rPr>
      </w:pPr>
      <w:r w:rsidRPr="00B77B01">
        <w:rPr>
          <w:b/>
          <w:color w:val="000000" w:themeColor="text1"/>
          <w:sz w:val="26"/>
          <w:szCs w:val="26"/>
        </w:rPr>
        <w:t>Disposition</w:t>
      </w:r>
    </w:p>
    <w:p w14:paraId="36081833" w14:textId="5AC00A78" w:rsidR="0062310D" w:rsidRDefault="0062310D" w:rsidP="009109E9">
      <w:pPr>
        <w:keepNext/>
        <w:keepLines/>
        <w:widowControl/>
        <w:spacing w:line="360" w:lineRule="auto"/>
        <w:rPr>
          <w:color w:val="000000" w:themeColor="text1"/>
          <w:sz w:val="26"/>
          <w:szCs w:val="26"/>
        </w:rPr>
      </w:pPr>
    </w:p>
    <w:p w14:paraId="2FB1F07E" w14:textId="4E56C43F" w:rsidR="00CC18A8" w:rsidRPr="00753022" w:rsidRDefault="00CC18A8" w:rsidP="00EE4C52">
      <w:pPr>
        <w:spacing w:line="360" w:lineRule="auto"/>
        <w:ind w:firstLine="1440"/>
        <w:contextualSpacing/>
        <w:rPr>
          <w:sz w:val="26"/>
          <w:szCs w:val="26"/>
        </w:rPr>
      </w:pPr>
      <w:r w:rsidRPr="00753022">
        <w:rPr>
          <w:sz w:val="26"/>
          <w:szCs w:val="26"/>
        </w:rPr>
        <w:t>We shall deny the Complainant’</w:t>
      </w:r>
      <w:r>
        <w:rPr>
          <w:sz w:val="26"/>
          <w:szCs w:val="26"/>
        </w:rPr>
        <w:t>s</w:t>
      </w:r>
      <w:r w:rsidRPr="00753022">
        <w:rPr>
          <w:sz w:val="26"/>
          <w:szCs w:val="26"/>
        </w:rPr>
        <w:t xml:space="preserve"> Exception on this issue for the reasons that follow.  </w:t>
      </w:r>
      <w:r w:rsidRPr="00695841">
        <w:rPr>
          <w:sz w:val="26"/>
          <w:szCs w:val="26"/>
        </w:rPr>
        <w:t xml:space="preserve">Mr. Ulmer currently has a PLC meter.  </w:t>
      </w:r>
      <w:r w:rsidR="00695841" w:rsidRPr="00695841">
        <w:rPr>
          <w:sz w:val="26"/>
          <w:szCs w:val="26"/>
        </w:rPr>
        <w:t xml:space="preserve">Tr. at 35.  </w:t>
      </w:r>
      <w:r w:rsidRPr="00695841">
        <w:rPr>
          <w:sz w:val="26"/>
          <w:szCs w:val="26"/>
        </w:rPr>
        <w:t xml:space="preserve">The Commission has, in </w:t>
      </w:r>
      <w:r w:rsidRPr="00695841">
        <w:rPr>
          <w:sz w:val="26"/>
          <w:szCs w:val="26"/>
        </w:rPr>
        <w:lastRenderedPageBreak/>
        <w:t xml:space="preserve">prior Orders, found that the </w:t>
      </w:r>
      <w:r w:rsidR="009528F4">
        <w:rPr>
          <w:sz w:val="26"/>
          <w:szCs w:val="26"/>
        </w:rPr>
        <w:t xml:space="preserve">existing </w:t>
      </w:r>
      <w:r w:rsidRPr="00695841">
        <w:rPr>
          <w:sz w:val="26"/>
          <w:szCs w:val="26"/>
        </w:rPr>
        <w:t xml:space="preserve">PLC meter does not meet the meter specifications as required by Act 129 and </w:t>
      </w:r>
      <w:r w:rsidR="004220EC">
        <w:rPr>
          <w:sz w:val="26"/>
          <w:szCs w:val="26"/>
        </w:rPr>
        <w:t xml:space="preserve">it </w:t>
      </w:r>
      <w:r w:rsidRPr="00695841">
        <w:rPr>
          <w:sz w:val="26"/>
          <w:szCs w:val="26"/>
        </w:rPr>
        <w:t xml:space="preserve">must be replaced.  </w:t>
      </w:r>
      <w:r w:rsidRPr="00242170">
        <w:rPr>
          <w:sz w:val="26"/>
          <w:szCs w:val="26"/>
        </w:rPr>
        <w:t>Exc. at 1</w:t>
      </w:r>
      <w:r w:rsidR="00242170" w:rsidRPr="00242170">
        <w:rPr>
          <w:sz w:val="26"/>
          <w:szCs w:val="26"/>
        </w:rPr>
        <w:t>4</w:t>
      </w:r>
      <w:r w:rsidRPr="00242170">
        <w:rPr>
          <w:sz w:val="26"/>
          <w:szCs w:val="26"/>
        </w:rPr>
        <w:t xml:space="preserve">.  </w:t>
      </w:r>
      <w:r w:rsidR="009528F4">
        <w:rPr>
          <w:sz w:val="26"/>
          <w:szCs w:val="26"/>
        </w:rPr>
        <w:t xml:space="preserve">Per this directive, </w:t>
      </w:r>
      <w:r w:rsidRPr="009D7F45">
        <w:rPr>
          <w:sz w:val="26"/>
          <w:szCs w:val="26"/>
        </w:rPr>
        <w:t>PPL must install an AMI meter to comply with its Smart Meter Plan.  An analog meter is not approved as a meter choice as part of PPL’s Smart Meter Plan</w:t>
      </w:r>
      <w:r w:rsidR="00242170" w:rsidRPr="009D7F45">
        <w:rPr>
          <w:sz w:val="26"/>
          <w:szCs w:val="26"/>
        </w:rPr>
        <w:t xml:space="preserve">. </w:t>
      </w:r>
      <w:r w:rsidRPr="009D7F45">
        <w:rPr>
          <w:sz w:val="26"/>
          <w:szCs w:val="26"/>
        </w:rPr>
        <w:t xml:space="preserve"> PPL St. 4 at 6.</w:t>
      </w:r>
    </w:p>
    <w:p w14:paraId="5863E77E" w14:textId="77777777" w:rsidR="00CC18A8" w:rsidRPr="00753022" w:rsidRDefault="00CC18A8" w:rsidP="00EE4C52">
      <w:pPr>
        <w:spacing w:line="360" w:lineRule="auto"/>
        <w:ind w:firstLine="1440"/>
        <w:contextualSpacing/>
        <w:rPr>
          <w:sz w:val="26"/>
          <w:szCs w:val="26"/>
        </w:rPr>
      </w:pPr>
    </w:p>
    <w:p w14:paraId="2B3DB429" w14:textId="5B85A780" w:rsidR="00CC18A8" w:rsidRDefault="00CC18A8" w:rsidP="006054E4">
      <w:pPr>
        <w:spacing w:line="360" w:lineRule="auto"/>
        <w:ind w:firstLine="1440"/>
        <w:contextualSpacing/>
        <w:rPr>
          <w:color w:val="000000" w:themeColor="text1"/>
          <w:sz w:val="26"/>
          <w:szCs w:val="26"/>
          <w:lang w:val="en"/>
        </w:rPr>
      </w:pPr>
      <w:r w:rsidRPr="00753022">
        <w:rPr>
          <w:sz w:val="26"/>
          <w:szCs w:val="26"/>
        </w:rPr>
        <w:t>We have previously concluded there is no opt-out provision in Act 129.  The ALJ stated that</w:t>
      </w:r>
      <w:r w:rsidR="00C501BA">
        <w:rPr>
          <w:sz w:val="26"/>
          <w:szCs w:val="26"/>
        </w:rPr>
        <w:t>,</w:t>
      </w:r>
      <w:r w:rsidRPr="00753022">
        <w:rPr>
          <w:sz w:val="26"/>
          <w:szCs w:val="26"/>
        </w:rPr>
        <w:t xml:space="preserve"> the Commission has ruled that</w:t>
      </w:r>
      <w:r w:rsidR="00C501BA">
        <w:rPr>
          <w:sz w:val="26"/>
          <w:szCs w:val="26"/>
        </w:rPr>
        <w:t>,</w:t>
      </w:r>
      <w:r w:rsidRPr="00753022">
        <w:rPr>
          <w:sz w:val="26"/>
          <w:szCs w:val="26"/>
        </w:rPr>
        <w:t xml:space="preserve"> there is no provision in the Code, the Commission’s Regulations</w:t>
      </w:r>
      <w:r>
        <w:rPr>
          <w:sz w:val="26"/>
          <w:szCs w:val="26"/>
        </w:rPr>
        <w:t xml:space="preserve">, or the Commission’s </w:t>
      </w:r>
      <w:r w:rsidRPr="00753022">
        <w:rPr>
          <w:sz w:val="26"/>
          <w:szCs w:val="26"/>
        </w:rPr>
        <w:t>Orders that allows a P</w:t>
      </w:r>
      <w:r>
        <w:rPr>
          <w:sz w:val="26"/>
          <w:szCs w:val="26"/>
        </w:rPr>
        <w:t>PL</w:t>
      </w:r>
      <w:r w:rsidRPr="00753022">
        <w:rPr>
          <w:sz w:val="26"/>
          <w:szCs w:val="26"/>
        </w:rPr>
        <w:t xml:space="preserve"> customer to “opt-out” of smart meter installation.  I.D. at </w:t>
      </w:r>
      <w:r w:rsidRPr="00C12EBE">
        <w:rPr>
          <w:sz w:val="26"/>
          <w:szCs w:val="26"/>
        </w:rPr>
        <w:t>17</w:t>
      </w:r>
      <w:r w:rsidR="00C12EBE" w:rsidRPr="00C12EBE">
        <w:rPr>
          <w:sz w:val="26"/>
          <w:szCs w:val="26"/>
        </w:rPr>
        <w:t>-18</w:t>
      </w:r>
      <w:r w:rsidRPr="00C12EBE">
        <w:rPr>
          <w:sz w:val="26"/>
          <w:szCs w:val="26"/>
        </w:rPr>
        <w:t xml:space="preserve"> (citing 66 Pa. C.S. § 2807(f); </w:t>
      </w:r>
      <w:proofErr w:type="spellStart"/>
      <w:r w:rsidRPr="00C12EBE">
        <w:rPr>
          <w:i/>
          <w:iCs/>
          <w:sz w:val="26"/>
          <w:szCs w:val="26"/>
        </w:rPr>
        <w:t>Be</w:t>
      </w:r>
      <w:r w:rsidR="00C12EBE" w:rsidRPr="00C12EBE">
        <w:rPr>
          <w:i/>
          <w:iCs/>
          <w:sz w:val="26"/>
          <w:szCs w:val="26"/>
        </w:rPr>
        <w:t>r</w:t>
      </w:r>
      <w:r w:rsidRPr="00C12EBE">
        <w:rPr>
          <w:i/>
          <w:iCs/>
          <w:sz w:val="26"/>
          <w:szCs w:val="26"/>
        </w:rPr>
        <w:t>vinchak</w:t>
      </w:r>
      <w:proofErr w:type="spellEnd"/>
      <w:r w:rsidRPr="00C12EBE">
        <w:rPr>
          <w:i/>
          <w:iCs/>
          <w:sz w:val="26"/>
          <w:szCs w:val="26"/>
        </w:rPr>
        <w:t xml:space="preserve"> v. PPL Electric Utilities Corporation</w:t>
      </w:r>
      <w:r w:rsidRPr="00C12EBE">
        <w:rPr>
          <w:sz w:val="26"/>
          <w:szCs w:val="26"/>
        </w:rPr>
        <w:t xml:space="preserve">, C-2016-2572824 and C-2016-2577527 (Final Order October 2, 2018, Initial Decision dated August 16, 2018); </w:t>
      </w:r>
      <w:r w:rsidRPr="00C12EBE">
        <w:rPr>
          <w:i/>
          <w:iCs/>
          <w:sz w:val="26"/>
          <w:szCs w:val="26"/>
        </w:rPr>
        <w:t xml:space="preserve">2013 </w:t>
      </w:r>
      <w:proofErr w:type="spellStart"/>
      <w:r w:rsidRPr="00C12EBE">
        <w:rPr>
          <w:i/>
          <w:iCs/>
          <w:sz w:val="26"/>
          <w:szCs w:val="26"/>
        </w:rPr>
        <w:t>Povacz</w:t>
      </w:r>
      <w:proofErr w:type="spellEnd"/>
      <w:r w:rsidRPr="00C12EBE">
        <w:rPr>
          <w:i/>
          <w:iCs/>
          <w:sz w:val="26"/>
          <w:szCs w:val="26"/>
        </w:rPr>
        <w:t xml:space="preserve"> Order</w:t>
      </w:r>
      <w:r w:rsidRPr="00C12EBE">
        <w:rPr>
          <w:sz w:val="26"/>
          <w:szCs w:val="26"/>
        </w:rPr>
        <w:t xml:space="preserve">; </w:t>
      </w:r>
      <w:r w:rsidRPr="00C12EBE">
        <w:rPr>
          <w:i/>
          <w:iCs/>
          <w:sz w:val="26"/>
          <w:szCs w:val="26"/>
        </w:rPr>
        <w:t xml:space="preserve">2019 </w:t>
      </w:r>
      <w:proofErr w:type="spellStart"/>
      <w:r w:rsidRPr="00C12EBE">
        <w:rPr>
          <w:i/>
          <w:iCs/>
          <w:sz w:val="26"/>
          <w:szCs w:val="26"/>
        </w:rPr>
        <w:t>Povacz</w:t>
      </w:r>
      <w:proofErr w:type="spellEnd"/>
      <w:r w:rsidRPr="00C12EBE">
        <w:rPr>
          <w:i/>
          <w:iCs/>
          <w:sz w:val="26"/>
          <w:szCs w:val="26"/>
        </w:rPr>
        <w:t xml:space="preserve"> Order</w:t>
      </w:r>
      <w:r w:rsidRPr="00C12EBE">
        <w:rPr>
          <w:sz w:val="26"/>
          <w:szCs w:val="26"/>
        </w:rPr>
        <w:t>).</w:t>
      </w:r>
      <w:r w:rsidRPr="00753022">
        <w:rPr>
          <w:sz w:val="26"/>
          <w:szCs w:val="26"/>
        </w:rPr>
        <w:t xml:space="preserve">  </w:t>
      </w:r>
      <w:r w:rsidR="00F769B9">
        <w:rPr>
          <w:sz w:val="26"/>
          <w:szCs w:val="26"/>
        </w:rPr>
        <w:t xml:space="preserve">Further, </w:t>
      </w:r>
      <w:r w:rsidR="00F769B9" w:rsidRPr="00F769B9">
        <w:rPr>
          <w:color w:val="000000" w:themeColor="text1"/>
          <w:sz w:val="26"/>
          <w:szCs w:val="26"/>
          <w:lang w:val="en"/>
        </w:rPr>
        <w:t>we have concluded that we do not have the authority, absent directive in the form of legislation, to prohibit an EDC from installing a smart meter where a customer does not want one simply due to the customer’s preference</w:t>
      </w:r>
      <w:r w:rsidR="00CD75E3">
        <w:rPr>
          <w:color w:val="000000" w:themeColor="text1"/>
          <w:sz w:val="26"/>
          <w:szCs w:val="26"/>
          <w:lang w:val="en"/>
        </w:rPr>
        <w:t xml:space="preserve"> (even if such preference involves a health preference)</w:t>
      </w:r>
      <w:r w:rsidR="00F769B9" w:rsidRPr="00F769B9">
        <w:rPr>
          <w:color w:val="000000" w:themeColor="text1"/>
          <w:sz w:val="26"/>
          <w:szCs w:val="26"/>
          <w:lang w:val="en"/>
        </w:rPr>
        <w:t xml:space="preserve">.  </w:t>
      </w:r>
      <w:r w:rsidR="00F769B9" w:rsidRPr="00F769B9">
        <w:rPr>
          <w:i/>
          <w:color w:val="000000" w:themeColor="text1"/>
          <w:sz w:val="26"/>
          <w:szCs w:val="26"/>
          <w:lang w:val="en"/>
        </w:rPr>
        <w:t>See</w:t>
      </w:r>
      <w:r w:rsidR="00BF6ADA">
        <w:rPr>
          <w:i/>
          <w:color w:val="000000" w:themeColor="text1"/>
          <w:sz w:val="26"/>
          <w:szCs w:val="26"/>
          <w:lang w:val="en"/>
        </w:rPr>
        <w:t>,</w:t>
      </w:r>
      <w:r w:rsidR="00F769B9" w:rsidRPr="00F769B9">
        <w:rPr>
          <w:i/>
          <w:color w:val="000000" w:themeColor="text1"/>
          <w:sz w:val="26"/>
          <w:szCs w:val="26"/>
          <w:lang w:val="en"/>
        </w:rPr>
        <w:t xml:space="preserve"> e.g.</w:t>
      </w:r>
      <w:r w:rsidR="00BF6ADA">
        <w:rPr>
          <w:i/>
          <w:color w:val="000000" w:themeColor="text1"/>
          <w:sz w:val="26"/>
          <w:szCs w:val="26"/>
          <w:lang w:val="en"/>
        </w:rPr>
        <w:t>,</w:t>
      </w:r>
      <w:r w:rsidR="00F769B9" w:rsidRPr="00F769B9">
        <w:rPr>
          <w:i/>
          <w:color w:val="000000" w:themeColor="text1"/>
          <w:sz w:val="26"/>
          <w:szCs w:val="26"/>
          <w:lang w:val="en"/>
        </w:rPr>
        <w:t xml:space="preserve"> </w:t>
      </w:r>
      <w:r w:rsidR="00F769B9" w:rsidRPr="00F769B9">
        <w:rPr>
          <w:i/>
          <w:color w:val="000000" w:themeColor="text1"/>
          <w:sz w:val="26"/>
          <w:szCs w:val="26"/>
        </w:rPr>
        <w:t xml:space="preserve">2013 </w:t>
      </w:r>
      <w:proofErr w:type="spellStart"/>
      <w:r w:rsidR="00F769B9" w:rsidRPr="00F769B9">
        <w:rPr>
          <w:i/>
          <w:color w:val="000000" w:themeColor="text1"/>
          <w:sz w:val="26"/>
          <w:szCs w:val="26"/>
        </w:rPr>
        <w:t>Povacz</w:t>
      </w:r>
      <w:proofErr w:type="spellEnd"/>
      <w:r w:rsidR="00F769B9" w:rsidRPr="00F769B9">
        <w:rPr>
          <w:i/>
          <w:color w:val="000000" w:themeColor="text1"/>
          <w:sz w:val="26"/>
          <w:szCs w:val="26"/>
        </w:rPr>
        <w:t xml:space="preserve"> Order</w:t>
      </w:r>
      <w:r w:rsidR="00F769B9" w:rsidRPr="00F769B9">
        <w:rPr>
          <w:iCs/>
          <w:color w:val="000000" w:themeColor="text1"/>
          <w:sz w:val="26"/>
          <w:szCs w:val="26"/>
        </w:rPr>
        <w:t>;</w:t>
      </w:r>
      <w:r w:rsidR="00F769B9" w:rsidRPr="00F769B9">
        <w:rPr>
          <w:i/>
          <w:color w:val="000000" w:themeColor="text1"/>
          <w:sz w:val="26"/>
          <w:szCs w:val="26"/>
        </w:rPr>
        <w:t xml:space="preserve"> see also</w:t>
      </w:r>
      <w:r w:rsidR="00611EF9">
        <w:rPr>
          <w:i/>
          <w:color w:val="000000" w:themeColor="text1"/>
          <w:sz w:val="26"/>
          <w:szCs w:val="26"/>
        </w:rPr>
        <w:t>,</w:t>
      </w:r>
      <w:r w:rsidR="00F769B9" w:rsidRPr="00F769B9">
        <w:rPr>
          <w:i/>
          <w:color w:val="000000" w:themeColor="text1"/>
          <w:sz w:val="26"/>
          <w:szCs w:val="26"/>
        </w:rPr>
        <w:t xml:space="preserve"> 2019 </w:t>
      </w:r>
      <w:proofErr w:type="spellStart"/>
      <w:r w:rsidR="00F769B9" w:rsidRPr="00F769B9">
        <w:rPr>
          <w:i/>
          <w:color w:val="000000" w:themeColor="text1"/>
          <w:sz w:val="26"/>
          <w:szCs w:val="26"/>
        </w:rPr>
        <w:t>Povacz</w:t>
      </w:r>
      <w:proofErr w:type="spellEnd"/>
      <w:r w:rsidR="00F769B9" w:rsidRPr="00F769B9">
        <w:rPr>
          <w:i/>
          <w:color w:val="000000" w:themeColor="text1"/>
          <w:sz w:val="26"/>
          <w:szCs w:val="26"/>
        </w:rPr>
        <w:t xml:space="preserve"> Order</w:t>
      </w:r>
      <w:r w:rsidR="00F769B9" w:rsidRPr="00F769B9">
        <w:rPr>
          <w:color w:val="000000" w:themeColor="text1"/>
          <w:sz w:val="26"/>
          <w:szCs w:val="26"/>
          <w:lang w:val="en"/>
        </w:rPr>
        <w:t xml:space="preserve">.  </w:t>
      </w:r>
    </w:p>
    <w:p w14:paraId="34B401F1" w14:textId="77777777" w:rsidR="00834984" w:rsidRPr="00753022" w:rsidRDefault="00834984" w:rsidP="006054E4">
      <w:pPr>
        <w:spacing w:line="360" w:lineRule="auto"/>
        <w:ind w:firstLine="1440"/>
        <w:contextualSpacing/>
        <w:rPr>
          <w:sz w:val="26"/>
          <w:szCs w:val="26"/>
        </w:rPr>
      </w:pPr>
    </w:p>
    <w:p w14:paraId="61EFF6B1" w14:textId="20914E8C" w:rsidR="009E323C" w:rsidRDefault="00CD75E3" w:rsidP="00CD75E3">
      <w:pPr>
        <w:spacing w:line="360" w:lineRule="auto"/>
        <w:ind w:firstLine="1440"/>
        <w:contextualSpacing/>
        <w:rPr>
          <w:sz w:val="26"/>
          <w:szCs w:val="26"/>
        </w:rPr>
      </w:pPr>
      <w:r w:rsidRPr="007C62B1">
        <w:rPr>
          <w:sz w:val="26"/>
          <w:szCs w:val="26"/>
        </w:rPr>
        <w:t>Section 2807(f) of the Code prescribes that EDCs must file smart meter plans and “shall furnish smart meter technology” in any of the following situations:  (</w:t>
      </w:r>
      <w:proofErr w:type="spellStart"/>
      <w:r w:rsidRPr="007C62B1">
        <w:rPr>
          <w:sz w:val="26"/>
          <w:szCs w:val="26"/>
        </w:rPr>
        <w:t>i</w:t>
      </w:r>
      <w:proofErr w:type="spellEnd"/>
      <w:r w:rsidRPr="007C62B1">
        <w:rPr>
          <w:sz w:val="26"/>
          <w:szCs w:val="26"/>
        </w:rPr>
        <w:t>) “[u]</w:t>
      </w:r>
      <w:proofErr w:type="spellStart"/>
      <w:r w:rsidRPr="007C62B1">
        <w:rPr>
          <w:sz w:val="26"/>
          <w:szCs w:val="26"/>
        </w:rPr>
        <w:t>pon</w:t>
      </w:r>
      <w:proofErr w:type="spellEnd"/>
      <w:r w:rsidRPr="007C62B1">
        <w:rPr>
          <w:sz w:val="26"/>
          <w:szCs w:val="26"/>
        </w:rPr>
        <w:t xml:space="preserve"> request from a customer that agrees to pay the cost of the smart meter at the time of the request”; (ii) “[</w:t>
      </w:r>
      <w:proofErr w:type="spellStart"/>
      <w:r w:rsidRPr="007C62B1">
        <w:rPr>
          <w:sz w:val="26"/>
          <w:szCs w:val="26"/>
        </w:rPr>
        <w:t>i</w:t>
      </w:r>
      <w:proofErr w:type="spellEnd"/>
      <w:r w:rsidRPr="007C62B1">
        <w:rPr>
          <w:sz w:val="26"/>
          <w:szCs w:val="26"/>
        </w:rPr>
        <w:t>]n new building construction”; and (iii) “[</w:t>
      </w:r>
      <w:proofErr w:type="spellStart"/>
      <w:r w:rsidRPr="007C62B1">
        <w:rPr>
          <w:sz w:val="26"/>
          <w:szCs w:val="26"/>
        </w:rPr>
        <w:t>i</w:t>
      </w:r>
      <w:proofErr w:type="spellEnd"/>
      <w:r w:rsidRPr="007C62B1">
        <w:rPr>
          <w:sz w:val="26"/>
          <w:szCs w:val="26"/>
        </w:rPr>
        <w:t>]n accordance with a depreciation schedule not to exceed 15 years.”  66 Pa. C.S. § 2807(f)(1)-(2).</w:t>
      </w:r>
      <w:r w:rsidR="008107E2">
        <w:rPr>
          <w:sz w:val="26"/>
          <w:szCs w:val="26"/>
        </w:rPr>
        <w:t xml:space="preserve">  </w:t>
      </w:r>
      <w:r w:rsidRPr="00CD75E3">
        <w:rPr>
          <w:sz w:val="26"/>
          <w:szCs w:val="26"/>
        </w:rPr>
        <w:t>W</w:t>
      </w:r>
      <w:r w:rsidR="008F289F" w:rsidRPr="00CD75E3">
        <w:rPr>
          <w:sz w:val="26"/>
          <w:szCs w:val="26"/>
        </w:rPr>
        <w:t>e</w:t>
      </w:r>
      <w:r w:rsidR="008F289F">
        <w:rPr>
          <w:sz w:val="26"/>
          <w:szCs w:val="26"/>
        </w:rPr>
        <w:t xml:space="preserve"> previously </w:t>
      </w:r>
      <w:r w:rsidR="008F289F" w:rsidRPr="003A52D9">
        <w:rPr>
          <w:sz w:val="26"/>
          <w:szCs w:val="26"/>
        </w:rPr>
        <w:t xml:space="preserve">concluded that the use of the word “shall” in Section 2807(f) indicates the General Assembly’s direction that all customers will receive a smart meter.  </w:t>
      </w:r>
      <w:r w:rsidR="008F289F" w:rsidRPr="003A52D9">
        <w:rPr>
          <w:i/>
          <w:iCs/>
          <w:sz w:val="26"/>
          <w:szCs w:val="26"/>
        </w:rPr>
        <w:t xml:space="preserve">2013 </w:t>
      </w:r>
      <w:proofErr w:type="spellStart"/>
      <w:r w:rsidR="008F289F" w:rsidRPr="003A52D9">
        <w:rPr>
          <w:i/>
          <w:iCs/>
          <w:sz w:val="26"/>
          <w:szCs w:val="26"/>
        </w:rPr>
        <w:t>Povacz</w:t>
      </w:r>
      <w:proofErr w:type="spellEnd"/>
      <w:r w:rsidR="008F289F" w:rsidRPr="003A52D9">
        <w:rPr>
          <w:i/>
          <w:iCs/>
          <w:sz w:val="26"/>
          <w:szCs w:val="26"/>
        </w:rPr>
        <w:t xml:space="preserve"> Order</w:t>
      </w:r>
      <w:r w:rsidR="008F289F" w:rsidRPr="003A52D9">
        <w:rPr>
          <w:sz w:val="26"/>
          <w:szCs w:val="26"/>
        </w:rPr>
        <w:t xml:space="preserve"> at 10</w:t>
      </w:r>
      <w:r w:rsidR="008F289F">
        <w:rPr>
          <w:sz w:val="26"/>
          <w:szCs w:val="26"/>
        </w:rPr>
        <w:t xml:space="preserve">; </w:t>
      </w:r>
      <w:r w:rsidR="004B4F8E">
        <w:rPr>
          <w:i/>
          <w:iCs/>
          <w:sz w:val="26"/>
          <w:szCs w:val="26"/>
        </w:rPr>
        <w:t>Paula and Charles Hughes</w:t>
      </w:r>
      <w:r w:rsidR="004B4F8E" w:rsidRPr="00C12EBE">
        <w:rPr>
          <w:i/>
          <w:iCs/>
          <w:sz w:val="26"/>
          <w:szCs w:val="26"/>
        </w:rPr>
        <w:t xml:space="preserve"> v. PPL Electric Utilities Corporation</w:t>
      </w:r>
      <w:r w:rsidR="004B4F8E" w:rsidRPr="00C12EBE">
        <w:rPr>
          <w:sz w:val="26"/>
          <w:szCs w:val="26"/>
        </w:rPr>
        <w:t>, C</w:t>
      </w:r>
      <w:r w:rsidR="00456AFE">
        <w:rPr>
          <w:sz w:val="26"/>
          <w:szCs w:val="26"/>
        </w:rPr>
        <w:noBreakHyphen/>
      </w:r>
      <w:r w:rsidR="004B4F8E" w:rsidRPr="00C12EBE">
        <w:rPr>
          <w:sz w:val="26"/>
          <w:szCs w:val="26"/>
        </w:rPr>
        <w:t>201</w:t>
      </w:r>
      <w:r w:rsidR="004B4F8E">
        <w:rPr>
          <w:sz w:val="26"/>
          <w:szCs w:val="26"/>
        </w:rPr>
        <w:t>9</w:t>
      </w:r>
      <w:r w:rsidR="00456AFE">
        <w:rPr>
          <w:sz w:val="26"/>
          <w:szCs w:val="26"/>
        </w:rPr>
        <w:noBreakHyphen/>
      </w:r>
      <w:r w:rsidR="004B4F8E">
        <w:rPr>
          <w:sz w:val="26"/>
          <w:szCs w:val="26"/>
        </w:rPr>
        <w:t>3007631</w:t>
      </w:r>
      <w:r w:rsidR="004B4F8E" w:rsidRPr="00C12EBE">
        <w:rPr>
          <w:sz w:val="26"/>
          <w:szCs w:val="26"/>
        </w:rPr>
        <w:t xml:space="preserve"> (</w:t>
      </w:r>
      <w:r w:rsidR="000C7A90">
        <w:rPr>
          <w:sz w:val="26"/>
          <w:szCs w:val="26"/>
        </w:rPr>
        <w:t>O</w:t>
      </w:r>
      <w:r w:rsidR="004B4F8E" w:rsidRPr="00C12EBE">
        <w:rPr>
          <w:sz w:val="26"/>
          <w:szCs w:val="26"/>
        </w:rPr>
        <w:t xml:space="preserve">rder </w:t>
      </w:r>
      <w:r w:rsidR="004B4F8E">
        <w:rPr>
          <w:sz w:val="26"/>
          <w:szCs w:val="26"/>
        </w:rPr>
        <w:t xml:space="preserve">entered </w:t>
      </w:r>
      <w:r w:rsidR="004B4F8E" w:rsidRPr="002D6B19">
        <w:rPr>
          <w:sz w:val="26"/>
          <w:szCs w:val="26"/>
        </w:rPr>
        <w:t xml:space="preserve">July </w:t>
      </w:r>
      <w:r w:rsidR="002D6B19">
        <w:rPr>
          <w:sz w:val="26"/>
          <w:szCs w:val="26"/>
        </w:rPr>
        <w:t>16</w:t>
      </w:r>
      <w:r w:rsidR="004B4F8E">
        <w:rPr>
          <w:sz w:val="26"/>
          <w:szCs w:val="26"/>
        </w:rPr>
        <w:t>, 2020</w:t>
      </w:r>
      <w:r w:rsidR="00E67C4F">
        <w:rPr>
          <w:sz w:val="26"/>
          <w:szCs w:val="26"/>
        </w:rPr>
        <w:t>)</w:t>
      </w:r>
      <w:r w:rsidR="006133F7">
        <w:rPr>
          <w:sz w:val="26"/>
          <w:szCs w:val="26"/>
        </w:rPr>
        <w:t xml:space="preserve"> at 27</w:t>
      </w:r>
      <w:r w:rsidR="004B4F8E">
        <w:rPr>
          <w:sz w:val="26"/>
          <w:szCs w:val="26"/>
        </w:rPr>
        <w:t xml:space="preserve">.  </w:t>
      </w:r>
      <w:r w:rsidR="00516984">
        <w:rPr>
          <w:sz w:val="26"/>
          <w:szCs w:val="26"/>
        </w:rPr>
        <w:t>In contrast with the Complainant’s arguments, i</w:t>
      </w:r>
      <w:r w:rsidRPr="00D50176">
        <w:rPr>
          <w:sz w:val="26"/>
          <w:szCs w:val="26"/>
        </w:rPr>
        <w:t>n our opinion, when comprehensively reading Section 2807(f)(2)(</w:t>
      </w:r>
      <w:proofErr w:type="spellStart"/>
      <w:r w:rsidRPr="00D50176">
        <w:rPr>
          <w:sz w:val="26"/>
          <w:szCs w:val="26"/>
        </w:rPr>
        <w:t>i</w:t>
      </w:r>
      <w:proofErr w:type="spellEnd"/>
      <w:r w:rsidRPr="00D50176">
        <w:rPr>
          <w:sz w:val="26"/>
          <w:szCs w:val="26"/>
        </w:rPr>
        <w:t>) and (iii) together, subsection (</w:t>
      </w:r>
      <w:proofErr w:type="spellStart"/>
      <w:r w:rsidRPr="00D50176">
        <w:rPr>
          <w:sz w:val="26"/>
          <w:szCs w:val="26"/>
        </w:rPr>
        <w:t>i</w:t>
      </w:r>
      <w:proofErr w:type="spellEnd"/>
      <w:r w:rsidRPr="00D50176">
        <w:rPr>
          <w:sz w:val="26"/>
          <w:szCs w:val="26"/>
        </w:rPr>
        <w:t xml:space="preserve">) directs an EDC to install a smart meter upon the request of a customer, in the event the customer desires a smart meter to be installed at the customer’s </w:t>
      </w:r>
      <w:r w:rsidRPr="00D50176">
        <w:rPr>
          <w:sz w:val="26"/>
          <w:szCs w:val="26"/>
        </w:rPr>
        <w:lastRenderedPageBreak/>
        <w:t>premises, in advance of the time the EDC will install a smart meter at the customer’s premises, in accordance with the EDC’s Commission-approved depreciation or deployment schedule.  This interpretation is based on the language in subsection (</w:t>
      </w:r>
      <w:proofErr w:type="spellStart"/>
      <w:r w:rsidRPr="00D50176">
        <w:rPr>
          <w:sz w:val="26"/>
          <w:szCs w:val="26"/>
        </w:rPr>
        <w:t>i</w:t>
      </w:r>
      <w:proofErr w:type="spellEnd"/>
      <w:r w:rsidRPr="00D50176">
        <w:rPr>
          <w:sz w:val="26"/>
          <w:szCs w:val="26"/>
        </w:rPr>
        <w:t>)</w:t>
      </w:r>
      <w:r>
        <w:rPr>
          <w:sz w:val="26"/>
          <w:szCs w:val="26"/>
        </w:rPr>
        <w:t>,</w:t>
      </w:r>
      <w:r w:rsidRPr="00D50176">
        <w:rPr>
          <w:sz w:val="26"/>
          <w:szCs w:val="26"/>
        </w:rPr>
        <w:t xml:space="preserve"> requiring the customer to agree to pay the cost for the installation of the smart meter at the time of the request.  In contrast, the depreciation schedule referenced in subsection</w:t>
      </w:r>
      <w:r w:rsidR="00456AFE">
        <w:rPr>
          <w:sz w:val="26"/>
          <w:szCs w:val="26"/>
        </w:rPr>
        <w:t> </w:t>
      </w:r>
      <w:r w:rsidRPr="00D50176">
        <w:rPr>
          <w:sz w:val="26"/>
          <w:szCs w:val="26"/>
        </w:rPr>
        <w:t>(iii) addresses the length of time the EDCs will recover the depreciation expense in socialized utility rates associated with the capital investment in deploying smart meters system-wide</w:t>
      </w:r>
      <w:r w:rsidRPr="00BD76CA">
        <w:rPr>
          <w:sz w:val="26"/>
          <w:szCs w:val="26"/>
        </w:rPr>
        <w:t>.</w:t>
      </w:r>
      <w:r w:rsidRPr="00BD76CA">
        <w:rPr>
          <w:sz w:val="26"/>
          <w:szCs w:val="26"/>
          <w:vertAlign w:val="superscript"/>
        </w:rPr>
        <w:footnoteReference w:id="15"/>
      </w:r>
      <w:r w:rsidRPr="00BD76CA">
        <w:rPr>
          <w:sz w:val="26"/>
          <w:szCs w:val="26"/>
        </w:rPr>
        <w:t xml:space="preserve">  Indeed, we declared that EDCs must “deploy smart meters system-wide” because of the requirement that smart meters be deployed “in accordance with a depreciation schedule not to exceed 15 years.”</w:t>
      </w:r>
      <w:r w:rsidRPr="00BD76CA">
        <w:rPr>
          <w:sz w:val="26"/>
          <w:szCs w:val="26"/>
          <w:vertAlign w:val="superscript"/>
        </w:rPr>
        <w:t xml:space="preserve"> </w:t>
      </w:r>
      <w:r w:rsidRPr="00BD76CA">
        <w:rPr>
          <w:sz w:val="26"/>
          <w:szCs w:val="26"/>
        </w:rPr>
        <w:t xml:space="preserve"> </w:t>
      </w:r>
      <w:r w:rsidRPr="00BD76CA">
        <w:rPr>
          <w:i/>
          <w:iCs/>
          <w:sz w:val="26"/>
          <w:szCs w:val="26"/>
        </w:rPr>
        <w:t>Smart Meter I</w:t>
      </w:r>
      <w:r>
        <w:rPr>
          <w:i/>
          <w:iCs/>
          <w:sz w:val="26"/>
          <w:szCs w:val="26"/>
        </w:rPr>
        <w:t>mplement</w:t>
      </w:r>
      <w:r w:rsidRPr="00BD76CA">
        <w:rPr>
          <w:i/>
          <w:iCs/>
          <w:sz w:val="26"/>
          <w:szCs w:val="26"/>
        </w:rPr>
        <w:t>ation Order</w:t>
      </w:r>
      <w:r w:rsidRPr="00BD76CA">
        <w:rPr>
          <w:sz w:val="26"/>
          <w:szCs w:val="26"/>
        </w:rPr>
        <w:t xml:space="preserve"> at 14.  We also “recognize[d] that deployment of smart meters on a piecemeal or individual basis could involve greater costs than a systematic system-wide deployment.</w:t>
      </w:r>
      <w:r w:rsidR="00C9456C">
        <w:rPr>
          <w:sz w:val="26"/>
          <w:szCs w:val="26"/>
        </w:rPr>
        <w:t>”</w:t>
      </w:r>
      <w:r w:rsidRPr="00BD76CA">
        <w:rPr>
          <w:sz w:val="26"/>
          <w:szCs w:val="26"/>
        </w:rPr>
        <w:t xml:space="preserve">  </w:t>
      </w:r>
      <w:r w:rsidRPr="00BD76CA">
        <w:rPr>
          <w:i/>
          <w:iCs/>
          <w:sz w:val="26"/>
          <w:szCs w:val="26"/>
        </w:rPr>
        <w:t>Smart Meter I</w:t>
      </w:r>
      <w:r>
        <w:rPr>
          <w:i/>
          <w:iCs/>
          <w:sz w:val="26"/>
          <w:szCs w:val="26"/>
        </w:rPr>
        <w:t>mplement</w:t>
      </w:r>
      <w:r w:rsidRPr="00BD76CA">
        <w:rPr>
          <w:i/>
          <w:iCs/>
          <w:sz w:val="26"/>
          <w:szCs w:val="26"/>
        </w:rPr>
        <w:t xml:space="preserve">ation Order </w:t>
      </w:r>
      <w:r w:rsidRPr="00BD76CA">
        <w:rPr>
          <w:sz w:val="26"/>
          <w:szCs w:val="26"/>
        </w:rPr>
        <w:t>at 9, 14.</w:t>
      </w:r>
      <w:r w:rsidRPr="00753022">
        <w:rPr>
          <w:sz w:val="26"/>
          <w:szCs w:val="26"/>
        </w:rPr>
        <w:t xml:space="preserve">  </w:t>
      </w:r>
      <w:r w:rsidR="007C6D44">
        <w:rPr>
          <w:sz w:val="26"/>
          <w:szCs w:val="26"/>
        </w:rPr>
        <w:t xml:space="preserve">Moreover, we </w:t>
      </w:r>
      <w:r w:rsidR="008A6D72">
        <w:rPr>
          <w:sz w:val="26"/>
          <w:szCs w:val="26"/>
        </w:rPr>
        <w:t xml:space="preserve">agree with PPL that the </w:t>
      </w:r>
      <w:r w:rsidR="008A6D72" w:rsidRPr="006A729E">
        <w:rPr>
          <w:i/>
          <w:iCs/>
          <w:sz w:val="26"/>
          <w:szCs w:val="26"/>
        </w:rPr>
        <w:t>2015 Smart Meter Order</w:t>
      </w:r>
      <w:r w:rsidR="008A6D72">
        <w:rPr>
          <w:sz w:val="26"/>
          <w:szCs w:val="26"/>
        </w:rPr>
        <w:t xml:space="preserve"> </w:t>
      </w:r>
      <w:r w:rsidR="00E465BB">
        <w:rPr>
          <w:sz w:val="26"/>
          <w:szCs w:val="26"/>
        </w:rPr>
        <w:t xml:space="preserve">requires the installation of smart meters for all of PPL’s customers.  R. Exc. at </w:t>
      </w:r>
      <w:r w:rsidR="005404F3">
        <w:rPr>
          <w:sz w:val="26"/>
          <w:szCs w:val="26"/>
        </w:rPr>
        <w:t xml:space="preserve">15-16 (citing </w:t>
      </w:r>
      <w:r w:rsidR="005404F3" w:rsidRPr="005404F3">
        <w:rPr>
          <w:i/>
          <w:iCs/>
          <w:sz w:val="26"/>
          <w:szCs w:val="26"/>
        </w:rPr>
        <w:t>See 2015 Smart Meter Order</w:t>
      </w:r>
      <w:r w:rsidR="005404F3">
        <w:rPr>
          <w:sz w:val="26"/>
          <w:szCs w:val="26"/>
        </w:rPr>
        <w:t xml:space="preserve">).  </w:t>
      </w:r>
    </w:p>
    <w:p w14:paraId="3F2CAB3C" w14:textId="36B06718" w:rsidR="00CC18A8" w:rsidRDefault="00CC18A8" w:rsidP="00EE4C52">
      <w:pPr>
        <w:widowControl/>
        <w:spacing w:line="360" w:lineRule="auto"/>
        <w:ind w:firstLine="1440"/>
        <w:contextualSpacing/>
        <w:rPr>
          <w:sz w:val="26"/>
          <w:szCs w:val="26"/>
        </w:rPr>
      </w:pPr>
    </w:p>
    <w:p w14:paraId="634924F1" w14:textId="2C946653" w:rsidR="00F65AF9" w:rsidRDefault="002E154B" w:rsidP="00165F0F">
      <w:pPr>
        <w:widowControl/>
        <w:spacing w:line="360" w:lineRule="auto"/>
        <w:ind w:firstLine="1440"/>
        <w:contextualSpacing/>
        <w:rPr>
          <w:sz w:val="26"/>
          <w:szCs w:val="26"/>
        </w:rPr>
      </w:pPr>
      <w:r>
        <w:rPr>
          <w:sz w:val="26"/>
          <w:szCs w:val="26"/>
        </w:rPr>
        <w:t>The Complainant</w:t>
      </w:r>
      <w:r w:rsidR="007E4312">
        <w:rPr>
          <w:sz w:val="26"/>
          <w:szCs w:val="26"/>
        </w:rPr>
        <w:t xml:space="preserve"> </w:t>
      </w:r>
      <w:r w:rsidR="00F81678">
        <w:rPr>
          <w:sz w:val="26"/>
          <w:szCs w:val="26"/>
        </w:rPr>
        <w:t>offers the dates that</w:t>
      </w:r>
      <w:r w:rsidR="00E46812">
        <w:rPr>
          <w:sz w:val="26"/>
          <w:szCs w:val="26"/>
        </w:rPr>
        <w:t xml:space="preserve"> </w:t>
      </w:r>
      <w:r w:rsidR="00E24BC8">
        <w:rPr>
          <w:sz w:val="26"/>
          <w:szCs w:val="26"/>
        </w:rPr>
        <w:t xml:space="preserve">several proposed </w:t>
      </w:r>
      <w:r w:rsidR="00F65AF9">
        <w:rPr>
          <w:sz w:val="26"/>
          <w:szCs w:val="26"/>
        </w:rPr>
        <w:t>House and Senate bills</w:t>
      </w:r>
      <w:r w:rsidR="00E46812">
        <w:rPr>
          <w:sz w:val="26"/>
          <w:szCs w:val="26"/>
        </w:rPr>
        <w:t xml:space="preserve"> were introduced.  </w:t>
      </w:r>
      <w:r w:rsidR="00E45739">
        <w:rPr>
          <w:sz w:val="26"/>
          <w:szCs w:val="26"/>
        </w:rPr>
        <w:t xml:space="preserve">Exc. at 8.  </w:t>
      </w:r>
      <w:r w:rsidR="00E46812">
        <w:rPr>
          <w:sz w:val="26"/>
          <w:szCs w:val="26"/>
        </w:rPr>
        <w:t xml:space="preserve">Mr. Ulmer </w:t>
      </w:r>
      <w:r w:rsidR="00834FA7">
        <w:rPr>
          <w:sz w:val="26"/>
          <w:szCs w:val="26"/>
        </w:rPr>
        <w:t xml:space="preserve">adds that “timing is </w:t>
      </w:r>
      <w:r w:rsidR="00E46812">
        <w:rPr>
          <w:sz w:val="26"/>
          <w:szCs w:val="26"/>
        </w:rPr>
        <w:t>key</w:t>
      </w:r>
      <w:r w:rsidR="007067E1">
        <w:rPr>
          <w:sz w:val="26"/>
          <w:szCs w:val="26"/>
        </w:rPr>
        <w:t xml:space="preserve"> here</w:t>
      </w:r>
      <w:r w:rsidR="00E46812">
        <w:rPr>
          <w:sz w:val="26"/>
          <w:szCs w:val="26"/>
        </w:rPr>
        <w:t>” but he</w:t>
      </w:r>
      <w:r w:rsidR="00B13C90">
        <w:rPr>
          <w:sz w:val="26"/>
          <w:szCs w:val="26"/>
        </w:rPr>
        <w:t xml:space="preserve"> does not elaborate.  </w:t>
      </w:r>
      <w:r w:rsidR="00E63E02">
        <w:rPr>
          <w:sz w:val="26"/>
          <w:szCs w:val="26"/>
        </w:rPr>
        <w:t>The ALJ stated that a</w:t>
      </w:r>
      <w:r w:rsidR="00875E0C">
        <w:rPr>
          <w:sz w:val="26"/>
          <w:szCs w:val="26"/>
        </w:rPr>
        <w:t xml:space="preserve">lthough the General Assembly is currently considering amending Section 2807(f) in some pending bills, </w:t>
      </w:r>
      <w:r w:rsidR="002B316E">
        <w:rPr>
          <w:sz w:val="26"/>
          <w:szCs w:val="26"/>
        </w:rPr>
        <w:t>such</w:t>
      </w:r>
      <w:r w:rsidR="00875E0C">
        <w:rPr>
          <w:sz w:val="26"/>
          <w:szCs w:val="26"/>
        </w:rPr>
        <w:t xml:space="preserve"> bills are not yet la</w:t>
      </w:r>
      <w:r w:rsidR="00C234CA">
        <w:rPr>
          <w:sz w:val="26"/>
          <w:szCs w:val="26"/>
        </w:rPr>
        <w:t>w</w:t>
      </w:r>
      <w:r w:rsidR="00875E0C">
        <w:rPr>
          <w:sz w:val="26"/>
          <w:szCs w:val="26"/>
        </w:rPr>
        <w:t xml:space="preserve">.  </w:t>
      </w:r>
      <w:r w:rsidR="00C234CA">
        <w:rPr>
          <w:sz w:val="26"/>
          <w:szCs w:val="26"/>
        </w:rPr>
        <w:t xml:space="preserve">I.D. at 20; R. Exc. at 14.  </w:t>
      </w:r>
    </w:p>
    <w:p w14:paraId="54265093" w14:textId="77777777" w:rsidR="0098579F" w:rsidRDefault="0098579F" w:rsidP="00165F0F">
      <w:pPr>
        <w:widowControl/>
        <w:spacing w:line="360" w:lineRule="auto"/>
        <w:ind w:firstLine="1440"/>
        <w:contextualSpacing/>
        <w:rPr>
          <w:color w:val="000000" w:themeColor="text1"/>
          <w:sz w:val="26"/>
          <w:szCs w:val="26"/>
        </w:rPr>
      </w:pPr>
    </w:p>
    <w:p w14:paraId="3613902B" w14:textId="3749B5FC" w:rsidR="00E12BF4" w:rsidRDefault="006F79C2" w:rsidP="00EE4C52">
      <w:pPr>
        <w:spacing w:line="360" w:lineRule="auto"/>
        <w:ind w:firstLine="1440"/>
        <w:contextualSpacing/>
        <w:rPr>
          <w:sz w:val="26"/>
          <w:szCs w:val="26"/>
        </w:rPr>
      </w:pPr>
      <w:r w:rsidRPr="00AB0451">
        <w:rPr>
          <w:sz w:val="26"/>
          <w:szCs w:val="26"/>
        </w:rPr>
        <w:t>The ALJ noted that the Complainant could advocate for the ability to opt-out before the General Assembly</w:t>
      </w:r>
      <w:r w:rsidR="00BD76CA" w:rsidRPr="00AB0451">
        <w:rPr>
          <w:sz w:val="26"/>
          <w:szCs w:val="26"/>
        </w:rPr>
        <w:t>,</w:t>
      </w:r>
      <w:r w:rsidRPr="00AB0451">
        <w:rPr>
          <w:sz w:val="26"/>
          <w:szCs w:val="26"/>
        </w:rPr>
        <w:t xml:space="preserve"> as the Commission does not have the authority, absent a directive in the form of legislation, to prohibit PPL from installing a smart meter where </w:t>
      </w:r>
      <w:r w:rsidRPr="00AB0451">
        <w:rPr>
          <w:sz w:val="26"/>
          <w:szCs w:val="26"/>
        </w:rPr>
        <w:lastRenderedPageBreak/>
        <w:t xml:space="preserve">a customer does not want one.  I.D. at </w:t>
      </w:r>
      <w:r w:rsidR="00D2443B">
        <w:rPr>
          <w:sz w:val="26"/>
          <w:szCs w:val="26"/>
        </w:rPr>
        <w:t>20</w:t>
      </w:r>
      <w:r w:rsidRPr="00AB0451">
        <w:rPr>
          <w:sz w:val="26"/>
          <w:szCs w:val="26"/>
        </w:rPr>
        <w:t xml:space="preserve"> (citing </w:t>
      </w:r>
      <w:r w:rsidRPr="00AB0451">
        <w:rPr>
          <w:i/>
          <w:iCs/>
          <w:sz w:val="26"/>
          <w:szCs w:val="26"/>
        </w:rPr>
        <w:t xml:space="preserve">2013 </w:t>
      </w:r>
      <w:proofErr w:type="spellStart"/>
      <w:r w:rsidRPr="00AB0451">
        <w:rPr>
          <w:i/>
          <w:iCs/>
          <w:sz w:val="26"/>
          <w:szCs w:val="26"/>
        </w:rPr>
        <w:t>Povacz</w:t>
      </w:r>
      <w:proofErr w:type="spellEnd"/>
      <w:r w:rsidRPr="00AB0451">
        <w:rPr>
          <w:i/>
          <w:iCs/>
          <w:sz w:val="26"/>
          <w:szCs w:val="26"/>
        </w:rPr>
        <w:t xml:space="preserve"> Order</w:t>
      </w:r>
      <w:r w:rsidRPr="00AB0451">
        <w:rPr>
          <w:sz w:val="26"/>
          <w:szCs w:val="26"/>
        </w:rPr>
        <w:t xml:space="preserve">).  </w:t>
      </w:r>
      <w:r w:rsidRPr="00D2443B">
        <w:rPr>
          <w:sz w:val="26"/>
          <w:szCs w:val="26"/>
        </w:rPr>
        <w:t>The ALJ provided that</w:t>
      </w:r>
      <w:r w:rsidR="002B316E">
        <w:rPr>
          <w:sz w:val="26"/>
          <w:szCs w:val="26"/>
        </w:rPr>
        <w:t>,</w:t>
      </w:r>
      <w:r w:rsidRPr="00D2443B">
        <w:rPr>
          <w:sz w:val="26"/>
          <w:szCs w:val="26"/>
        </w:rPr>
        <w:t xml:space="preserve"> the Commission held that</w:t>
      </w:r>
      <w:r w:rsidR="002B316E">
        <w:rPr>
          <w:sz w:val="26"/>
          <w:szCs w:val="26"/>
        </w:rPr>
        <w:t>,</w:t>
      </w:r>
      <w:r w:rsidRPr="00D2443B">
        <w:rPr>
          <w:sz w:val="26"/>
          <w:szCs w:val="26"/>
        </w:rPr>
        <w:t xml:space="preserve"> similarly situated EDCs would be in violation of law if they did not install a smart meter at properties similarly situated to Complainant</w:t>
      </w:r>
      <w:r w:rsidR="00E02803">
        <w:rPr>
          <w:sz w:val="26"/>
          <w:szCs w:val="26"/>
        </w:rPr>
        <w:t>’</w:t>
      </w:r>
      <w:r w:rsidRPr="00D2443B">
        <w:rPr>
          <w:sz w:val="26"/>
          <w:szCs w:val="26"/>
        </w:rPr>
        <w:t xml:space="preserve">s residence.  I.D. at </w:t>
      </w:r>
      <w:r w:rsidR="00AB0451" w:rsidRPr="00D2443B">
        <w:rPr>
          <w:sz w:val="26"/>
          <w:szCs w:val="26"/>
        </w:rPr>
        <w:t>20</w:t>
      </w:r>
      <w:r w:rsidRPr="00D2443B">
        <w:rPr>
          <w:sz w:val="26"/>
          <w:szCs w:val="26"/>
        </w:rPr>
        <w:t xml:space="preserve"> (citing </w:t>
      </w:r>
      <w:r w:rsidRPr="00D2443B">
        <w:rPr>
          <w:i/>
          <w:iCs/>
          <w:sz w:val="26"/>
          <w:szCs w:val="26"/>
        </w:rPr>
        <w:t xml:space="preserve">2013 </w:t>
      </w:r>
      <w:proofErr w:type="spellStart"/>
      <w:r w:rsidRPr="00D2443B">
        <w:rPr>
          <w:i/>
          <w:iCs/>
          <w:sz w:val="26"/>
          <w:szCs w:val="26"/>
        </w:rPr>
        <w:t>Povacz</w:t>
      </w:r>
      <w:proofErr w:type="spellEnd"/>
      <w:r w:rsidRPr="00D2443B">
        <w:rPr>
          <w:i/>
          <w:iCs/>
          <w:sz w:val="26"/>
          <w:szCs w:val="26"/>
        </w:rPr>
        <w:t xml:space="preserve"> Order</w:t>
      </w:r>
      <w:r w:rsidRPr="00D2443B">
        <w:rPr>
          <w:sz w:val="26"/>
          <w:szCs w:val="26"/>
        </w:rPr>
        <w:t xml:space="preserve">, </w:t>
      </w:r>
      <w:proofErr w:type="spellStart"/>
      <w:r w:rsidRPr="00D2443B">
        <w:rPr>
          <w:i/>
          <w:iCs/>
          <w:sz w:val="26"/>
          <w:szCs w:val="26"/>
        </w:rPr>
        <w:t>Frompovich</w:t>
      </w:r>
      <w:proofErr w:type="spellEnd"/>
      <w:r w:rsidRPr="00D2443B">
        <w:rPr>
          <w:i/>
          <w:iCs/>
          <w:sz w:val="26"/>
          <w:szCs w:val="26"/>
        </w:rPr>
        <w:t xml:space="preserve"> </w:t>
      </w:r>
      <w:r w:rsidRPr="00D2443B">
        <w:rPr>
          <w:sz w:val="26"/>
          <w:szCs w:val="26"/>
        </w:rPr>
        <w:t xml:space="preserve">at </w:t>
      </w:r>
      <w:r w:rsidR="00D2443B" w:rsidRPr="00D2443B">
        <w:rPr>
          <w:sz w:val="26"/>
          <w:szCs w:val="26"/>
        </w:rPr>
        <w:t>7-8</w:t>
      </w:r>
      <w:r w:rsidRPr="00D2443B">
        <w:rPr>
          <w:sz w:val="26"/>
          <w:szCs w:val="26"/>
        </w:rPr>
        <w:t xml:space="preserve">).  </w:t>
      </w:r>
    </w:p>
    <w:p w14:paraId="3AF5F081" w14:textId="77777777" w:rsidR="002221FC" w:rsidRDefault="002221FC" w:rsidP="002B316E">
      <w:pPr>
        <w:spacing w:line="360" w:lineRule="auto"/>
        <w:contextualSpacing/>
        <w:rPr>
          <w:sz w:val="26"/>
          <w:szCs w:val="26"/>
        </w:rPr>
      </w:pPr>
    </w:p>
    <w:p w14:paraId="01E6B693" w14:textId="4F05EAEC" w:rsidR="002025D8" w:rsidRDefault="008532B6" w:rsidP="00E07712">
      <w:pPr>
        <w:spacing w:line="360" w:lineRule="auto"/>
        <w:ind w:firstLine="1440"/>
        <w:contextualSpacing/>
        <w:rPr>
          <w:sz w:val="26"/>
          <w:szCs w:val="26"/>
        </w:rPr>
      </w:pPr>
      <w:proofErr w:type="spellStart"/>
      <w:r>
        <w:rPr>
          <w:color w:val="000000" w:themeColor="text1"/>
          <w:sz w:val="26"/>
          <w:szCs w:val="26"/>
          <w:lang w:val="en"/>
        </w:rPr>
        <w:t>W</w:t>
      </w:r>
      <w:r w:rsidR="006F79C2" w:rsidRPr="00D2443B">
        <w:rPr>
          <w:sz w:val="26"/>
          <w:szCs w:val="26"/>
        </w:rPr>
        <w:t>e</w:t>
      </w:r>
      <w:proofErr w:type="spellEnd"/>
      <w:r w:rsidR="006F79C2" w:rsidRPr="00D2443B">
        <w:rPr>
          <w:sz w:val="26"/>
          <w:szCs w:val="26"/>
        </w:rPr>
        <w:t xml:space="preserve"> find no error in the ALJ’s determination as set forth in the Initial Decision</w:t>
      </w:r>
      <w:r>
        <w:rPr>
          <w:sz w:val="26"/>
          <w:szCs w:val="26"/>
        </w:rPr>
        <w:t xml:space="preserve">.  Therefore, </w:t>
      </w:r>
      <w:r w:rsidR="00C03B5A">
        <w:rPr>
          <w:sz w:val="26"/>
          <w:szCs w:val="26"/>
        </w:rPr>
        <w:t xml:space="preserve">the </w:t>
      </w:r>
      <w:r w:rsidR="006F79C2" w:rsidRPr="00D2443B">
        <w:rPr>
          <w:sz w:val="26"/>
          <w:szCs w:val="26"/>
        </w:rPr>
        <w:t>Complainant’</w:t>
      </w:r>
      <w:r w:rsidR="00D2443B">
        <w:rPr>
          <w:sz w:val="26"/>
          <w:szCs w:val="26"/>
        </w:rPr>
        <w:t>s</w:t>
      </w:r>
      <w:r w:rsidR="006F79C2" w:rsidRPr="00D2443B">
        <w:rPr>
          <w:sz w:val="26"/>
          <w:szCs w:val="26"/>
        </w:rPr>
        <w:t xml:space="preserve"> </w:t>
      </w:r>
      <w:r w:rsidR="006F79C2" w:rsidRPr="00C02ABD">
        <w:rPr>
          <w:sz w:val="26"/>
          <w:szCs w:val="26"/>
        </w:rPr>
        <w:t xml:space="preserve">Exception No. </w:t>
      </w:r>
      <w:r w:rsidR="00C02ABD" w:rsidRPr="00C02ABD">
        <w:rPr>
          <w:sz w:val="26"/>
          <w:szCs w:val="26"/>
        </w:rPr>
        <w:t>3 is</w:t>
      </w:r>
      <w:r w:rsidR="006F79C2" w:rsidRPr="00C02ABD">
        <w:rPr>
          <w:sz w:val="26"/>
          <w:szCs w:val="26"/>
        </w:rPr>
        <w:t xml:space="preserve"> denied.</w:t>
      </w:r>
    </w:p>
    <w:p w14:paraId="351A5A45" w14:textId="77777777" w:rsidR="008532B6" w:rsidRDefault="008532B6" w:rsidP="00E07712">
      <w:pPr>
        <w:spacing w:line="360" w:lineRule="auto"/>
        <w:ind w:firstLine="1440"/>
        <w:contextualSpacing/>
        <w:rPr>
          <w:sz w:val="26"/>
          <w:szCs w:val="26"/>
        </w:rPr>
      </w:pPr>
    </w:p>
    <w:p w14:paraId="116503A7" w14:textId="77777777" w:rsidR="00365921" w:rsidRPr="00861FCB" w:rsidRDefault="00365921" w:rsidP="00E6540F">
      <w:pPr>
        <w:widowControl/>
        <w:numPr>
          <w:ilvl w:val="0"/>
          <w:numId w:val="26"/>
        </w:numPr>
        <w:ind w:left="1440" w:hanging="720"/>
        <w:contextualSpacing/>
        <w:rPr>
          <w:b/>
          <w:color w:val="000000" w:themeColor="text1"/>
          <w:sz w:val="26"/>
          <w:szCs w:val="26"/>
        </w:rPr>
      </w:pPr>
      <w:bookmarkStart w:id="27" w:name="_Hlk45259689"/>
      <w:r w:rsidRPr="00861FCB">
        <w:rPr>
          <w:b/>
          <w:color w:val="000000" w:themeColor="text1"/>
          <w:sz w:val="26"/>
          <w:szCs w:val="26"/>
        </w:rPr>
        <w:t xml:space="preserve">Complainant’s </w:t>
      </w:r>
      <w:r>
        <w:rPr>
          <w:b/>
          <w:color w:val="000000" w:themeColor="text1"/>
          <w:sz w:val="26"/>
          <w:szCs w:val="26"/>
        </w:rPr>
        <w:t xml:space="preserve">Credibility and Credential </w:t>
      </w:r>
      <w:r w:rsidRPr="00861FCB">
        <w:rPr>
          <w:b/>
          <w:sz w:val="26"/>
          <w:szCs w:val="26"/>
        </w:rPr>
        <w:t xml:space="preserve">Concerns Regarding </w:t>
      </w:r>
      <w:r>
        <w:rPr>
          <w:b/>
          <w:sz w:val="26"/>
          <w:szCs w:val="26"/>
        </w:rPr>
        <w:t>Dr. Davis and Dr. Israel</w:t>
      </w:r>
    </w:p>
    <w:p w14:paraId="6B49D8DC" w14:textId="77777777" w:rsidR="00365921" w:rsidRPr="00861FCB" w:rsidRDefault="00365921" w:rsidP="00365921">
      <w:pPr>
        <w:widowControl/>
        <w:spacing w:line="360" w:lineRule="auto"/>
        <w:ind w:left="1080"/>
        <w:contextualSpacing/>
        <w:rPr>
          <w:b/>
          <w:color w:val="000000" w:themeColor="text1"/>
          <w:sz w:val="26"/>
          <w:szCs w:val="26"/>
        </w:rPr>
      </w:pPr>
    </w:p>
    <w:p w14:paraId="0B115CCC" w14:textId="12D3EE6A" w:rsidR="00365921" w:rsidRPr="00861FCB" w:rsidRDefault="00365921" w:rsidP="00365921">
      <w:pPr>
        <w:keepNext/>
        <w:keepLines/>
        <w:numPr>
          <w:ilvl w:val="0"/>
          <w:numId w:val="31"/>
        </w:numPr>
        <w:spacing w:line="360" w:lineRule="auto"/>
        <w:contextualSpacing/>
        <w:outlineLvl w:val="3"/>
        <w:rPr>
          <w:b/>
          <w:sz w:val="26"/>
          <w:szCs w:val="26"/>
        </w:rPr>
      </w:pPr>
      <w:r w:rsidRPr="00861FCB">
        <w:rPr>
          <w:b/>
          <w:sz w:val="26"/>
          <w:szCs w:val="26"/>
        </w:rPr>
        <w:t>Exception No</w:t>
      </w:r>
      <w:r>
        <w:rPr>
          <w:b/>
          <w:sz w:val="26"/>
          <w:szCs w:val="26"/>
        </w:rPr>
        <w:t>s</w:t>
      </w:r>
      <w:r w:rsidRPr="00861FCB">
        <w:rPr>
          <w:b/>
          <w:sz w:val="26"/>
          <w:szCs w:val="26"/>
        </w:rPr>
        <w:t xml:space="preserve">. </w:t>
      </w:r>
      <w:r>
        <w:rPr>
          <w:b/>
          <w:sz w:val="26"/>
          <w:szCs w:val="26"/>
        </w:rPr>
        <w:t>4</w:t>
      </w:r>
      <w:r w:rsidR="00B84AA0">
        <w:rPr>
          <w:b/>
          <w:sz w:val="26"/>
          <w:szCs w:val="26"/>
        </w:rPr>
        <w:t xml:space="preserve"> and</w:t>
      </w:r>
      <w:r>
        <w:rPr>
          <w:b/>
          <w:sz w:val="26"/>
          <w:szCs w:val="26"/>
        </w:rPr>
        <w:t xml:space="preserve"> 5</w:t>
      </w:r>
    </w:p>
    <w:bookmarkEnd w:id="27"/>
    <w:p w14:paraId="3421AEBD" w14:textId="77777777" w:rsidR="00365921" w:rsidRPr="00861FCB" w:rsidRDefault="00365921" w:rsidP="00365921">
      <w:pPr>
        <w:widowControl/>
        <w:spacing w:line="360" w:lineRule="auto"/>
        <w:ind w:firstLine="1440"/>
        <w:rPr>
          <w:color w:val="000000" w:themeColor="text1"/>
          <w:sz w:val="26"/>
          <w:szCs w:val="26"/>
        </w:rPr>
      </w:pPr>
    </w:p>
    <w:p w14:paraId="0B395E15" w14:textId="77777777" w:rsidR="00365921" w:rsidRDefault="00365921" w:rsidP="00365921">
      <w:pPr>
        <w:widowControl/>
        <w:spacing w:line="360" w:lineRule="auto"/>
        <w:ind w:firstLine="1440"/>
        <w:contextualSpacing/>
        <w:rPr>
          <w:bCs/>
          <w:color w:val="000000" w:themeColor="text1"/>
          <w:sz w:val="26"/>
          <w:szCs w:val="26"/>
        </w:rPr>
      </w:pPr>
      <w:r w:rsidRPr="00861FCB">
        <w:rPr>
          <w:color w:val="000000" w:themeColor="text1"/>
          <w:sz w:val="26"/>
          <w:szCs w:val="26"/>
        </w:rPr>
        <w:t xml:space="preserve">The Complainant </w:t>
      </w:r>
      <w:r>
        <w:rPr>
          <w:color w:val="000000" w:themeColor="text1"/>
          <w:sz w:val="26"/>
          <w:szCs w:val="26"/>
        </w:rPr>
        <w:t xml:space="preserve">contests the acceptance of Dr. Davis as an expert witness in biophysics because he does not possess a degree in that subject.  Mr. Ulmer claims that Dr. Davis, as an electrical engineer and a physicist, does not comprehend how complex biological systems of the body “work synergistically.”  Exc. at 11.  The Complainant adds that Dr. Davis “is only concerned with heating effects of RF/microwaves as they strike the skin of a living being.”  </w:t>
      </w:r>
      <w:r w:rsidRPr="003C3196">
        <w:rPr>
          <w:bCs/>
          <w:i/>
          <w:iCs/>
          <w:color w:val="000000" w:themeColor="text1"/>
          <w:sz w:val="26"/>
          <w:szCs w:val="26"/>
        </w:rPr>
        <w:t>Id</w:t>
      </w:r>
      <w:r w:rsidRPr="00861FCB">
        <w:rPr>
          <w:bCs/>
          <w:i/>
          <w:iCs/>
          <w:color w:val="000000" w:themeColor="text1"/>
          <w:sz w:val="26"/>
          <w:szCs w:val="26"/>
        </w:rPr>
        <w:t>.</w:t>
      </w:r>
      <w:r>
        <w:rPr>
          <w:bCs/>
          <w:i/>
          <w:iCs/>
          <w:color w:val="000000" w:themeColor="text1"/>
          <w:sz w:val="26"/>
          <w:szCs w:val="26"/>
        </w:rPr>
        <w:t xml:space="preserve">  </w:t>
      </w:r>
      <w:r>
        <w:rPr>
          <w:bCs/>
          <w:color w:val="000000" w:themeColor="text1"/>
          <w:sz w:val="26"/>
          <w:szCs w:val="26"/>
        </w:rPr>
        <w:t>In addition, Mr. Ulmer accuses Dr. Davis of having lied during his testimony and, therefore, his testimony should be thrown out.  The Complainant explains as follows:</w:t>
      </w:r>
    </w:p>
    <w:p w14:paraId="32DB01CE" w14:textId="77777777" w:rsidR="00365921" w:rsidRDefault="00365921" w:rsidP="00456AFE">
      <w:pPr>
        <w:tabs>
          <w:tab w:val="left" w:pos="-720"/>
        </w:tabs>
        <w:suppressAutoHyphens/>
        <w:contextualSpacing/>
        <w:rPr>
          <w:bCs/>
          <w:sz w:val="26"/>
          <w:szCs w:val="26"/>
        </w:rPr>
      </w:pPr>
      <w:bookmarkStart w:id="28" w:name="_Hlk27167123"/>
    </w:p>
    <w:p w14:paraId="16E0FBD4" w14:textId="77777777" w:rsidR="00365921" w:rsidRDefault="00365921" w:rsidP="00365921">
      <w:pPr>
        <w:keepNext/>
        <w:keepLines/>
        <w:tabs>
          <w:tab w:val="left" w:pos="-720"/>
        </w:tabs>
        <w:suppressAutoHyphens/>
        <w:ind w:left="1440" w:right="1440"/>
        <w:rPr>
          <w:rFonts w:eastAsia="Calibri"/>
          <w:sz w:val="26"/>
          <w:szCs w:val="26"/>
        </w:rPr>
      </w:pPr>
      <w:r>
        <w:rPr>
          <w:rFonts w:eastAsia="Calibri"/>
          <w:sz w:val="26"/>
          <w:szCs w:val="26"/>
        </w:rPr>
        <w:t>[W]</w:t>
      </w:r>
      <w:proofErr w:type="spellStart"/>
      <w:r>
        <w:rPr>
          <w:rFonts w:eastAsia="Calibri"/>
          <w:sz w:val="26"/>
          <w:szCs w:val="26"/>
        </w:rPr>
        <w:t>hen</w:t>
      </w:r>
      <w:proofErr w:type="spellEnd"/>
      <w:r>
        <w:rPr>
          <w:rFonts w:eastAsia="Calibri"/>
          <w:sz w:val="26"/>
          <w:szCs w:val="26"/>
        </w:rPr>
        <w:t xml:space="preserve"> asked how many decades he has been testifying on the side of industry for the D.C[.] Law firm of Watson and Renner.  His reply was “two years.”  This is a lie, as Dr. Davis has been testifying for Watson and Renner for several decades, and in particular, for PECO Energy Company… beginning in 2015…</w:t>
      </w:r>
    </w:p>
    <w:p w14:paraId="5029AC23" w14:textId="77777777" w:rsidR="00365921" w:rsidRDefault="00365921" w:rsidP="00365921">
      <w:pPr>
        <w:keepNext/>
        <w:keepLines/>
        <w:tabs>
          <w:tab w:val="left" w:pos="-720"/>
        </w:tabs>
        <w:suppressAutoHyphens/>
        <w:spacing w:line="360" w:lineRule="auto"/>
        <w:ind w:left="1440" w:right="1440"/>
        <w:rPr>
          <w:bCs/>
          <w:sz w:val="26"/>
          <w:szCs w:val="26"/>
        </w:rPr>
      </w:pPr>
    </w:p>
    <w:bookmarkEnd w:id="28"/>
    <w:p w14:paraId="69BD966D" w14:textId="7F4F47A6" w:rsidR="00365921" w:rsidRPr="00E40581" w:rsidRDefault="00365921" w:rsidP="00365921">
      <w:pPr>
        <w:widowControl/>
        <w:spacing w:line="360" w:lineRule="auto"/>
        <w:contextualSpacing/>
        <w:rPr>
          <w:bCs/>
          <w:sz w:val="26"/>
          <w:szCs w:val="26"/>
        </w:rPr>
      </w:pPr>
      <w:r>
        <w:rPr>
          <w:bCs/>
          <w:sz w:val="26"/>
          <w:szCs w:val="26"/>
        </w:rPr>
        <w:t>Exc.</w:t>
      </w:r>
      <w:r w:rsidRPr="00755937">
        <w:rPr>
          <w:bCs/>
          <w:sz w:val="26"/>
          <w:szCs w:val="26"/>
        </w:rPr>
        <w:t xml:space="preserve"> at </w:t>
      </w:r>
      <w:r>
        <w:rPr>
          <w:bCs/>
          <w:sz w:val="26"/>
          <w:szCs w:val="26"/>
        </w:rPr>
        <w:t>11.  The Complainant supports his claim by noting three Commission case</w:t>
      </w:r>
      <w:r w:rsidR="006150B0">
        <w:rPr>
          <w:bCs/>
          <w:sz w:val="26"/>
          <w:szCs w:val="26"/>
        </w:rPr>
        <w:t>s as</w:t>
      </w:r>
      <w:r>
        <w:rPr>
          <w:bCs/>
          <w:sz w:val="26"/>
          <w:szCs w:val="26"/>
        </w:rPr>
        <w:t xml:space="preserve"> examples:</w:t>
      </w:r>
      <w:r w:rsidR="00044FD3">
        <w:rPr>
          <w:bCs/>
          <w:sz w:val="26"/>
          <w:szCs w:val="26"/>
        </w:rPr>
        <w:t xml:space="preserve"> </w:t>
      </w:r>
      <w:r>
        <w:rPr>
          <w:bCs/>
          <w:i/>
          <w:iCs/>
          <w:sz w:val="26"/>
          <w:szCs w:val="26"/>
        </w:rPr>
        <w:t xml:space="preserve"> </w:t>
      </w:r>
      <w:r w:rsidR="0000640B">
        <w:rPr>
          <w:bCs/>
          <w:sz w:val="26"/>
          <w:szCs w:val="26"/>
        </w:rPr>
        <w:t xml:space="preserve">(1) </w:t>
      </w:r>
      <w:r w:rsidRPr="000E1CB7">
        <w:rPr>
          <w:bCs/>
          <w:i/>
          <w:iCs/>
          <w:sz w:val="26"/>
          <w:szCs w:val="26"/>
        </w:rPr>
        <w:t>Susan Kreider v. PECO Energy Company</w:t>
      </w:r>
      <w:r>
        <w:rPr>
          <w:bCs/>
          <w:sz w:val="26"/>
          <w:szCs w:val="26"/>
        </w:rPr>
        <w:t xml:space="preserve">, Docket No. C-2015-2469655 (Order entered May 23, 2017); </w:t>
      </w:r>
      <w:r w:rsidR="0000640B">
        <w:rPr>
          <w:bCs/>
          <w:sz w:val="26"/>
          <w:szCs w:val="26"/>
        </w:rPr>
        <w:t xml:space="preserve">(2) </w:t>
      </w:r>
      <w:r w:rsidRPr="00C4786B">
        <w:rPr>
          <w:bCs/>
          <w:i/>
          <w:iCs/>
          <w:sz w:val="26"/>
          <w:szCs w:val="26"/>
        </w:rPr>
        <w:t>Laura Sunstein Murphy v. PECO Energy Company</w:t>
      </w:r>
      <w:r>
        <w:rPr>
          <w:bCs/>
          <w:sz w:val="26"/>
          <w:szCs w:val="26"/>
        </w:rPr>
        <w:t xml:space="preserve">, </w:t>
      </w:r>
      <w:r>
        <w:rPr>
          <w:bCs/>
          <w:sz w:val="26"/>
          <w:szCs w:val="26"/>
        </w:rPr>
        <w:lastRenderedPageBreak/>
        <w:t xml:space="preserve">Docket No. C-2015-2475726 (Order entered May 9, 2019); </w:t>
      </w:r>
      <w:r w:rsidR="0000640B">
        <w:rPr>
          <w:bCs/>
          <w:sz w:val="26"/>
          <w:szCs w:val="26"/>
        </w:rPr>
        <w:t xml:space="preserve">and (3) </w:t>
      </w:r>
      <w:r w:rsidR="00C63305">
        <w:rPr>
          <w:bCs/>
          <w:sz w:val="26"/>
          <w:szCs w:val="26"/>
        </w:rPr>
        <w:t xml:space="preserve">the </w:t>
      </w:r>
      <w:r w:rsidRPr="00481242">
        <w:rPr>
          <w:i/>
          <w:color w:val="000000" w:themeColor="text1"/>
          <w:sz w:val="26"/>
          <w:szCs w:val="26"/>
        </w:rPr>
        <w:t xml:space="preserve">2019 </w:t>
      </w:r>
      <w:proofErr w:type="spellStart"/>
      <w:r w:rsidRPr="00481242">
        <w:rPr>
          <w:i/>
          <w:color w:val="000000" w:themeColor="text1"/>
          <w:sz w:val="26"/>
          <w:szCs w:val="26"/>
        </w:rPr>
        <w:t>Povacz</w:t>
      </w:r>
      <w:proofErr w:type="spellEnd"/>
      <w:r w:rsidRPr="00481242">
        <w:rPr>
          <w:i/>
          <w:color w:val="000000" w:themeColor="text1"/>
          <w:sz w:val="26"/>
          <w:szCs w:val="26"/>
        </w:rPr>
        <w:t xml:space="preserve"> Order</w:t>
      </w:r>
      <w:r w:rsidR="00C63305">
        <w:rPr>
          <w:iCs/>
          <w:color w:val="000000" w:themeColor="text1"/>
          <w:sz w:val="26"/>
          <w:szCs w:val="26"/>
        </w:rPr>
        <w:t>.</w:t>
      </w:r>
      <w:r w:rsidR="00C63305" w:rsidRPr="00E40581">
        <w:rPr>
          <w:bCs/>
          <w:sz w:val="26"/>
          <w:szCs w:val="26"/>
        </w:rPr>
        <w:t xml:space="preserve"> </w:t>
      </w:r>
    </w:p>
    <w:p w14:paraId="2940BA07" w14:textId="77777777" w:rsidR="00365921" w:rsidRDefault="00365921" w:rsidP="00365921">
      <w:pPr>
        <w:widowControl/>
        <w:spacing w:line="360" w:lineRule="auto"/>
        <w:contextualSpacing/>
        <w:rPr>
          <w:iCs/>
          <w:color w:val="000000" w:themeColor="text1"/>
          <w:sz w:val="26"/>
          <w:szCs w:val="26"/>
        </w:rPr>
      </w:pPr>
    </w:p>
    <w:p w14:paraId="332D5DA2" w14:textId="422DD863" w:rsidR="00365921" w:rsidRPr="0061278F" w:rsidRDefault="00365921" w:rsidP="00365921">
      <w:pPr>
        <w:widowControl/>
        <w:spacing w:line="360" w:lineRule="auto"/>
        <w:contextualSpacing/>
        <w:rPr>
          <w:bCs/>
          <w:i/>
          <w:color w:val="000000" w:themeColor="text1"/>
          <w:sz w:val="26"/>
          <w:szCs w:val="26"/>
        </w:rPr>
      </w:pPr>
      <w:r>
        <w:rPr>
          <w:iCs/>
          <w:color w:val="000000" w:themeColor="text1"/>
          <w:sz w:val="26"/>
          <w:szCs w:val="26"/>
        </w:rPr>
        <w:tab/>
      </w:r>
      <w:r>
        <w:rPr>
          <w:iCs/>
          <w:color w:val="000000" w:themeColor="text1"/>
          <w:sz w:val="26"/>
          <w:szCs w:val="26"/>
        </w:rPr>
        <w:tab/>
        <w:t xml:space="preserve">The Complainant also contests the testimony of Dr. Israel.  Mr. Ulmer explains that because he has not been treated by Dr. Israel, and </w:t>
      </w:r>
      <w:r w:rsidR="006150B0">
        <w:rPr>
          <w:iCs/>
          <w:color w:val="000000" w:themeColor="text1"/>
          <w:sz w:val="26"/>
          <w:szCs w:val="26"/>
        </w:rPr>
        <w:t xml:space="preserve">because </w:t>
      </w:r>
      <w:r>
        <w:rPr>
          <w:iCs/>
          <w:color w:val="000000" w:themeColor="text1"/>
          <w:sz w:val="26"/>
          <w:szCs w:val="26"/>
        </w:rPr>
        <w:t xml:space="preserve">Dr. Israel has not treated any patient with sensitivity to RF or microwaves, his testimony is not relevant.  Further, the Complainant accuses Dr. Israel of ignoring studies that show adverse health effects.  </w:t>
      </w:r>
      <w:r w:rsidRPr="0061278F">
        <w:rPr>
          <w:i/>
          <w:color w:val="000000" w:themeColor="text1"/>
          <w:sz w:val="26"/>
          <w:szCs w:val="26"/>
        </w:rPr>
        <w:t>Id.</w:t>
      </w:r>
    </w:p>
    <w:p w14:paraId="6E6DE771" w14:textId="77777777" w:rsidR="00365921" w:rsidRPr="00861FCB" w:rsidRDefault="00365921" w:rsidP="00365921">
      <w:pPr>
        <w:widowControl/>
        <w:spacing w:line="360" w:lineRule="auto"/>
        <w:ind w:firstLine="1440"/>
        <w:rPr>
          <w:color w:val="000000" w:themeColor="text1"/>
          <w:sz w:val="26"/>
          <w:szCs w:val="26"/>
        </w:rPr>
      </w:pPr>
    </w:p>
    <w:p w14:paraId="0954C0DB" w14:textId="77777777" w:rsidR="00365921" w:rsidRPr="00861FCB" w:rsidRDefault="00365921" w:rsidP="00365921">
      <w:pPr>
        <w:widowControl/>
        <w:spacing w:line="360" w:lineRule="auto"/>
        <w:ind w:firstLine="1440"/>
        <w:rPr>
          <w:b/>
          <w:color w:val="000000" w:themeColor="text1"/>
          <w:sz w:val="26"/>
          <w:szCs w:val="26"/>
        </w:rPr>
      </w:pPr>
      <w:r w:rsidRPr="00861FCB">
        <w:rPr>
          <w:b/>
          <w:color w:val="000000" w:themeColor="text1"/>
          <w:sz w:val="26"/>
          <w:szCs w:val="26"/>
        </w:rPr>
        <w:t xml:space="preserve">b. </w:t>
      </w:r>
      <w:r w:rsidRPr="00861FCB">
        <w:rPr>
          <w:b/>
          <w:color w:val="000000" w:themeColor="text1"/>
          <w:sz w:val="26"/>
          <w:szCs w:val="26"/>
        </w:rPr>
        <w:tab/>
        <w:t>Replies</w:t>
      </w:r>
    </w:p>
    <w:p w14:paraId="13774D21" w14:textId="5318341A" w:rsidR="00365921" w:rsidRDefault="00365921" w:rsidP="00E6540F">
      <w:pPr>
        <w:spacing w:line="360" w:lineRule="auto"/>
        <w:contextualSpacing/>
        <w:rPr>
          <w:color w:val="000000" w:themeColor="text1"/>
          <w:sz w:val="26"/>
          <w:szCs w:val="26"/>
        </w:rPr>
      </w:pPr>
    </w:p>
    <w:p w14:paraId="62D6ADF9" w14:textId="0C39D27F" w:rsidR="00365921" w:rsidRDefault="00365921" w:rsidP="00C63305">
      <w:pPr>
        <w:widowControl/>
        <w:spacing w:line="360" w:lineRule="auto"/>
        <w:ind w:firstLine="1440"/>
        <w:contextualSpacing/>
        <w:rPr>
          <w:sz w:val="26"/>
          <w:szCs w:val="26"/>
        </w:rPr>
      </w:pPr>
      <w:bookmarkStart w:id="29" w:name="_Hlk45791936"/>
      <w:r>
        <w:rPr>
          <w:color w:val="000000" w:themeColor="text1"/>
          <w:sz w:val="26"/>
          <w:szCs w:val="26"/>
        </w:rPr>
        <w:t xml:space="preserve">PPL </w:t>
      </w:r>
      <w:r>
        <w:rPr>
          <w:sz w:val="26"/>
          <w:szCs w:val="26"/>
        </w:rPr>
        <w:t xml:space="preserve">argues that the Complainant’s characterizations of the expert opinions and qualifications of Dr. Davis and Dr. Israel lack merit because the credentials and credibility of Dr. Davis and Dr. Israel are </w:t>
      </w:r>
      <w:proofErr w:type="gramStart"/>
      <w:r>
        <w:rPr>
          <w:sz w:val="26"/>
          <w:szCs w:val="26"/>
        </w:rPr>
        <w:t>unassailable</w:t>
      </w:r>
      <w:proofErr w:type="gramEnd"/>
      <w:r>
        <w:rPr>
          <w:sz w:val="26"/>
          <w:szCs w:val="26"/>
        </w:rPr>
        <w:t xml:space="preserve"> and their opinions have been relied upon in several court proceedings and proceedings before the Commission.  R. Exc. at 10 (citing PPL St. 1 at 1-5; PPL St. 2 at 1-7).  Further, PPL contends that the Complainant waived his right to object to the qualifications of the Company witnesses to testify as experts in their respective fields of expertise.  PPL points out that, at the hearing, the Complainant did not object to Dr. Israel being certified as an expert witness in his field of expertise, nor did he object to Dr. Davis being accepted as an </w:t>
      </w:r>
      <w:bookmarkEnd w:id="29"/>
      <w:r>
        <w:rPr>
          <w:sz w:val="26"/>
          <w:szCs w:val="26"/>
        </w:rPr>
        <w:t xml:space="preserve">expert in the fields of physics, chemistry, electrical engineering, electromagnetics, </w:t>
      </w:r>
      <w:proofErr w:type="spellStart"/>
      <w:r>
        <w:rPr>
          <w:sz w:val="26"/>
          <w:szCs w:val="26"/>
        </w:rPr>
        <w:t>bioelectromagnetics</w:t>
      </w:r>
      <w:proofErr w:type="spellEnd"/>
      <w:r>
        <w:rPr>
          <w:sz w:val="26"/>
          <w:szCs w:val="26"/>
        </w:rPr>
        <w:t>, and RF</w:t>
      </w:r>
      <w:r w:rsidR="00C63305">
        <w:rPr>
          <w:sz w:val="26"/>
          <w:szCs w:val="26"/>
        </w:rPr>
        <w:t> </w:t>
      </w:r>
      <w:proofErr w:type="spellStart"/>
      <w:r>
        <w:rPr>
          <w:sz w:val="26"/>
          <w:szCs w:val="26"/>
        </w:rPr>
        <w:t>bioelectromagnetics</w:t>
      </w:r>
      <w:proofErr w:type="spellEnd"/>
      <w:r>
        <w:rPr>
          <w:sz w:val="26"/>
          <w:szCs w:val="26"/>
        </w:rPr>
        <w:t xml:space="preserve">.  R. Exc. at 11 (citing </w:t>
      </w:r>
      <w:bookmarkStart w:id="30" w:name="_Hlk47014462"/>
      <w:r>
        <w:rPr>
          <w:sz w:val="26"/>
          <w:szCs w:val="26"/>
        </w:rPr>
        <w:t>Tr. at 53-54, 78</w:t>
      </w:r>
      <w:bookmarkEnd w:id="30"/>
      <w:r>
        <w:rPr>
          <w:sz w:val="26"/>
          <w:szCs w:val="26"/>
        </w:rPr>
        <w:t>).</w:t>
      </w:r>
      <w:r>
        <w:rPr>
          <w:rStyle w:val="FootnoteReference"/>
          <w:sz w:val="26"/>
          <w:szCs w:val="26"/>
        </w:rPr>
        <w:footnoteReference w:id="16"/>
      </w:r>
      <w:r>
        <w:rPr>
          <w:sz w:val="26"/>
          <w:szCs w:val="26"/>
        </w:rPr>
        <w:t xml:space="preserve">  Moreover, PPL continues that, the Complainant’s argument that Dr. Davis has been testifying on the subject of biophysics for several decades does not provide any credible basis for ignoring the expert testimony of Dr. Davis.  R. Exc. at 12 (citing Exc. at 11).</w:t>
      </w:r>
    </w:p>
    <w:p w14:paraId="1C0D72AD" w14:textId="77777777" w:rsidR="00365921" w:rsidRDefault="00365921" w:rsidP="00365921">
      <w:pPr>
        <w:widowControl/>
        <w:spacing w:line="360" w:lineRule="auto"/>
        <w:ind w:firstLine="1440"/>
        <w:rPr>
          <w:b/>
          <w:color w:val="000000" w:themeColor="text1"/>
          <w:sz w:val="26"/>
          <w:szCs w:val="26"/>
        </w:rPr>
      </w:pPr>
      <w:r w:rsidRPr="0032746D">
        <w:rPr>
          <w:b/>
          <w:color w:val="000000" w:themeColor="text1"/>
          <w:sz w:val="26"/>
          <w:szCs w:val="26"/>
        </w:rPr>
        <w:lastRenderedPageBreak/>
        <w:t xml:space="preserve">c. </w:t>
      </w:r>
      <w:r w:rsidRPr="0032746D">
        <w:rPr>
          <w:b/>
          <w:color w:val="000000" w:themeColor="text1"/>
          <w:sz w:val="26"/>
          <w:szCs w:val="26"/>
        </w:rPr>
        <w:tab/>
        <w:t>Disposition</w:t>
      </w:r>
    </w:p>
    <w:p w14:paraId="4AF525E6" w14:textId="77777777" w:rsidR="00365921" w:rsidRDefault="00365921" w:rsidP="00365921">
      <w:pPr>
        <w:widowControl/>
        <w:spacing w:line="360" w:lineRule="auto"/>
        <w:ind w:firstLine="1440"/>
        <w:rPr>
          <w:b/>
          <w:color w:val="000000" w:themeColor="text1"/>
          <w:sz w:val="26"/>
          <w:szCs w:val="26"/>
        </w:rPr>
      </w:pPr>
    </w:p>
    <w:p w14:paraId="39BBB43C" w14:textId="32AB151E" w:rsidR="00365921" w:rsidRDefault="00365921" w:rsidP="00365921">
      <w:pPr>
        <w:widowControl/>
        <w:spacing w:line="360" w:lineRule="auto"/>
        <w:ind w:firstLine="1440"/>
        <w:contextualSpacing/>
        <w:rPr>
          <w:color w:val="000000" w:themeColor="text1"/>
          <w:sz w:val="26"/>
          <w:szCs w:val="26"/>
        </w:rPr>
      </w:pPr>
      <w:r>
        <w:rPr>
          <w:color w:val="000000" w:themeColor="text1"/>
          <w:sz w:val="26"/>
          <w:szCs w:val="26"/>
        </w:rPr>
        <w:t xml:space="preserve">In his direct testimony, Dr. Davis testified that the fields of expertise that relate to his testimony about smart meters in this case are physics, biophysics, chemistry, electrical engineering, electromagnetics, </w:t>
      </w:r>
      <w:proofErr w:type="spellStart"/>
      <w:r>
        <w:rPr>
          <w:color w:val="000000" w:themeColor="text1"/>
          <w:sz w:val="26"/>
          <w:szCs w:val="26"/>
        </w:rPr>
        <w:t>bioelectromagnetics</w:t>
      </w:r>
      <w:proofErr w:type="spellEnd"/>
      <w:r>
        <w:rPr>
          <w:color w:val="000000" w:themeColor="text1"/>
          <w:sz w:val="26"/>
          <w:szCs w:val="26"/>
        </w:rPr>
        <w:t xml:space="preserve">, RF </w:t>
      </w:r>
      <w:proofErr w:type="spellStart"/>
      <w:r>
        <w:rPr>
          <w:color w:val="000000" w:themeColor="text1"/>
          <w:sz w:val="26"/>
          <w:szCs w:val="26"/>
        </w:rPr>
        <w:t>bioelectromagnetics</w:t>
      </w:r>
      <w:proofErr w:type="spellEnd"/>
      <w:r>
        <w:rPr>
          <w:color w:val="000000" w:themeColor="text1"/>
          <w:sz w:val="26"/>
          <w:szCs w:val="26"/>
        </w:rPr>
        <w:t xml:space="preserve">, and dosimetry.  </w:t>
      </w:r>
      <w:r>
        <w:rPr>
          <w:sz w:val="26"/>
          <w:szCs w:val="26"/>
        </w:rPr>
        <w:t xml:space="preserve">PPL St. 1 at 4.  </w:t>
      </w:r>
      <w:r>
        <w:rPr>
          <w:color w:val="000000" w:themeColor="text1"/>
          <w:sz w:val="26"/>
          <w:szCs w:val="26"/>
        </w:rPr>
        <w:t xml:space="preserve">During the hearing, Dr. Davis testified that he has a degree in Natural Sciences, which includes, </w:t>
      </w:r>
      <w:r w:rsidRPr="004B2A1A">
        <w:rPr>
          <w:i/>
          <w:iCs/>
          <w:color w:val="000000" w:themeColor="text1"/>
          <w:sz w:val="26"/>
          <w:szCs w:val="26"/>
        </w:rPr>
        <w:t>inter alia</w:t>
      </w:r>
      <w:r>
        <w:rPr>
          <w:color w:val="000000" w:themeColor="text1"/>
          <w:sz w:val="26"/>
          <w:szCs w:val="26"/>
        </w:rPr>
        <w:t>, biophysics.  Further, Dr. Davis testified that he has over 40 years of research experience that resulted in his knowledge of biophysics.  Tr. at 53-54.  The ALJ accepted Dr. Davis as an expert</w:t>
      </w:r>
      <w:r w:rsidR="00A35755">
        <w:rPr>
          <w:color w:val="000000" w:themeColor="text1"/>
          <w:sz w:val="26"/>
          <w:szCs w:val="26"/>
        </w:rPr>
        <w:t xml:space="preserve"> witness</w:t>
      </w:r>
      <w:r>
        <w:rPr>
          <w:color w:val="000000" w:themeColor="text1"/>
          <w:sz w:val="26"/>
          <w:szCs w:val="26"/>
        </w:rPr>
        <w:t xml:space="preserve"> in his field despite the Complainant’s objection.  Tr. at 54</w:t>
      </w:r>
      <w:r>
        <w:rPr>
          <w:sz w:val="26"/>
          <w:szCs w:val="26"/>
        </w:rPr>
        <w:t>.</w:t>
      </w:r>
    </w:p>
    <w:p w14:paraId="70FE26CE" w14:textId="77777777" w:rsidR="00365921" w:rsidRDefault="00365921" w:rsidP="00365921">
      <w:pPr>
        <w:widowControl/>
        <w:spacing w:line="360" w:lineRule="auto"/>
        <w:ind w:firstLine="1440"/>
        <w:contextualSpacing/>
        <w:rPr>
          <w:color w:val="000000" w:themeColor="text1"/>
          <w:sz w:val="26"/>
          <w:szCs w:val="26"/>
        </w:rPr>
      </w:pPr>
    </w:p>
    <w:p w14:paraId="612391D6" w14:textId="08F5A869" w:rsidR="00365921" w:rsidRDefault="00365921" w:rsidP="00365921">
      <w:pPr>
        <w:widowControl/>
        <w:spacing w:line="360" w:lineRule="auto"/>
        <w:ind w:firstLine="1440"/>
        <w:contextualSpacing/>
        <w:rPr>
          <w:color w:val="000000" w:themeColor="text1"/>
          <w:sz w:val="26"/>
          <w:szCs w:val="26"/>
        </w:rPr>
      </w:pPr>
      <w:r>
        <w:rPr>
          <w:color w:val="000000" w:themeColor="text1"/>
          <w:sz w:val="26"/>
          <w:szCs w:val="26"/>
        </w:rPr>
        <w:t xml:space="preserve">Dr. Israel testified that his fields of expertise that are relevant to the instant proceeding are medicine and medical research, including RF fields and health.  </w:t>
      </w:r>
      <w:r>
        <w:rPr>
          <w:sz w:val="26"/>
          <w:szCs w:val="26"/>
        </w:rPr>
        <w:t xml:space="preserve">PPL St. 2 at 6.  </w:t>
      </w:r>
      <w:r>
        <w:rPr>
          <w:color w:val="000000" w:themeColor="text1"/>
          <w:sz w:val="26"/>
          <w:szCs w:val="26"/>
        </w:rPr>
        <w:t>During the hearing, the Complainant did not object to the acceptance of Dr. Israel as an expert witness in the fields of medicine and medical research.  Tr. at 78.</w:t>
      </w:r>
    </w:p>
    <w:p w14:paraId="2C9EB940" w14:textId="77777777" w:rsidR="00365921" w:rsidRDefault="00365921" w:rsidP="00365921">
      <w:pPr>
        <w:widowControl/>
        <w:spacing w:line="360" w:lineRule="auto"/>
        <w:ind w:firstLine="1440"/>
        <w:contextualSpacing/>
        <w:rPr>
          <w:color w:val="000000" w:themeColor="text1"/>
          <w:sz w:val="26"/>
          <w:szCs w:val="26"/>
        </w:rPr>
      </w:pPr>
    </w:p>
    <w:p w14:paraId="6035A56A" w14:textId="33C8D92A" w:rsidR="00365921" w:rsidRDefault="00365921" w:rsidP="00365921">
      <w:pPr>
        <w:widowControl/>
        <w:spacing w:line="360" w:lineRule="auto"/>
        <w:ind w:firstLine="1440"/>
        <w:contextualSpacing/>
        <w:rPr>
          <w:color w:val="000000" w:themeColor="text1"/>
          <w:sz w:val="26"/>
          <w:szCs w:val="26"/>
        </w:rPr>
      </w:pPr>
      <w:r>
        <w:rPr>
          <w:color w:val="000000" w:themeColor="text1"/>
          <w:sz w:val="26"/>
          <w:szCs w:val="26"/>
        </w:rPr>
        <w:t xml:space="preserve">Upon review of the record, including the direct testimony of Dr. Davis and Dr. Israel, we find no reason to question the ALJ’s acceptance of Dr. Davis and Dr. Israel as experts in their respective fields, nor do we have reason to question the credibility and reliability of their testimony.  </w:t>
      </w:r>
    </w:p>
    <w:p w14:paraId="0517B332" w14:textId="77777777" w:rsidR="00365921" w:rsidRDefault="00365921" w:rsidP="00365921">
      <w:pPr>
        <w:widowControl/>
        <w:spacing w:line="360" w:lineRule="auto"/>
        <w:ind w:firstLine="1440"/>
        <w:contextualSpacing/>
        <w:rPr>
          <w:color w:val="000000" w:themeColor="text1"/>
          <w:sz w:val="26"/>
          <w:szCs w:val="26"/>
        </w:rPr>
      </w:pPr>
    </w:p>
    <w:p w14:paraId="794236EA" w14:textId="06F7E9FF" w:rsidR="00365921" w:rsidRDefault="00365921" w:rsidP="00365921">
      <w:pPr>
        <w:widowControl/>
        <w:spacing w:line="360" w:lineRule="auto"/>
        <w:ind w:firstLine="1440"/>
        <w:contextualSpacing/>
        <w:rPr>
          <w:color w:val="000000" w:themeColor="text1"/>
          <w:sz w:val="26"/>
          <w:szCs w:val="26"/>
        </w:rPr>
      </w:pPr>
      <w:r>
        <w:rPr>
          <w:color w:val="000000" w:themeColor="text1"/>
          <w:sz w:val="26"/>
          <w:szCs w:val="26"/>
        </w:rPr>
        <w:t xml:space="preserve">Regarding the Complainant’s averment that Dr. Davis lied when he was asked how long he has been testifying for the law firm Watson and Renner, we are not persuaded to find that his response of “about two years” was an intentionally false statement.  </w:t>
      </w:r>
      <w:r w:rsidR="00737C1A">
        <w:rPr>
          <w:color w:val="000000" w:themeColor="text1"/>
          <w:sz w:val="26"/>
          <w:szCs w:val="26"/>
        </w:rPr>
        <w:t>Furth</w:t>
      </w:r>
      <w:r w:rsidR="001D03AA">
        <w:rPr>
          <w:color w:val="000000" w:themeColor="text1"/>
          <w:sz w:val="26"/>
          <w:szCs w:val="26"/>
        </w:rPr>
        <w:t>er,</w:t>
      </w:r>
      <w:r w:rsidR="0002361A">
        <w:rPr>
          <w:color w:val="000000" w:themeColor="text1"/>
          <w:sz w:val="26"/>
          <w:szCs w:val="26"/>
        </w:rPr>
        <w:t xml:space="preserve"> the Complainant does not provide an explanation </w:t>
      </w:r>
      <w:r w:rsidR="003B3BA2">
        <w:rPr>
          <w:color w:val="000000" w:themeColor="text1"/>
          <w:sz w:val="26"/>
          <w:szCs w:val="26"/>
        </w:rPr>
        <w:t>to support</w:t>
      </w:r>
      <w:r w:rsidR="0002361A">
        <w:rPr>
          <w:color w:val="000000" w:themeColor="text1"/>
          <w:sz w:val="26"/>
          <w:szCs w:val="26"/>
        </w:rPr>
        <w:t xml:space="preserve"> his belief that Dr. Davis has been testifying </w:t>
      </w:r>
      <w:r w:rsidR="003B2128">
        <w:rPr>
          <w:color w:val="000000" w:themeColor="text1"/>
          <w:sz w:val="26"/>
          <w:szCs w:val="26"/>
        </w:rPr>
        <w:t xml:space="preserve">for Watson and Renner “for several decades.”  </w:t>
      </w:r>
      <w:r>
        <w:rPr>
          <w:color w:val="000000" w:themeColor="text1"/>
          <w:sz w:val="26"/>
          <w:szCs w:val="26"/>
        </w:rPr>
        <w:t>Exc.</w:t>
      </w:r>
      <w:r w:rsidR="00C63305">
        <w:rPr>
          <w:color w:val="000000" w:themeColor="text1"/>
          <w:sz w:val="26"/>
          <w:szCs w:val="26"/>
        </w:rPr>
        <w:t> </w:t>
      </w:r>
      <w:r>
        <w:rPr>
          <w:color w:val="000000" w:themeColor="text1"/>
          <w:sz w:val="26"/>
          <w:szCs w:val="26"/>
        </w:rPr>
        <w:t>at</w:t>
      </w:r>
      <w:r w:rsidR="00BE2282">
        <w:rPr>
          <w:color w:val="000000" w:themeColor="text1"/>
          <w:sz w:val="26"/>
          <w:szCs w:val="26"/>
        </w:rPr>
        <w:t> </w:t>
      </w:r>
      <w:r>
        <w:rPr>
          <w:color w:val="000000" w:themeColor="text1"/>
          <w:sz w:val="26"/>
          <w:szCs w:val="26"/>
        </w:rPr>
        <w:t>11.</w:t>
      </w:r>
    </w:p>
    <w:p w14:paraId="7C41A039" w14:textId="77777777" w:rsidR="00365921" w:rsidRDefault="00365921" w:rsidP="00365921">
      <w:pPr>
        <w:widowControl/>
        <w:spacing w:line="360" w:lineRule="auto"/>
        <w:ind w:firstLine="1440"/>
        <w:contextualSpacing/>
        <w:rPr>
          <w:color w:val="000000" w:themeColor="text1"/>
          <w:sz w:val="26"/>
          <w:szCs w:val="26"/>
        </w:rPr>
      </w:pPr>
    </w:p>
    <w:p w14:paraId="7CAC963A" w14:textId="77777777" w:rsidR="00365921" w:rsidRDefault="00365921" w:rsidP="00365921">
      <w:pPr>
        <w:widowControl/>
        <w:spacing w:line="360" w:lineRule="auto"/>
        <w:ind w:firstLine="1440"/>
        <w:contextualSpacing/>
        <w:rPr>
          <w:color w:val="000000" w:themeColor="text1"/>
          <w:sz w:val="26"/>
          <w:szCs w:val="26"/>
        </w:rPr>
      </w:pPr>
      <w:r>
        <w:rPr>
          <w:color w:val="000000" w:themeColor="text1"/>
          <w:sz w:val="26"/>
          <w:szCs w:val="26"/>
        </w:rPr>
        <w:lastRenderedPageBreak/>
        <w:t>For the reasons outlined above, the Complainant’s Exception Nos. 4 and 5 are denied.</w:t>
      </w:r>
    </w:p>
    <w:p w14:paraId="622DFAA5" w14:textId="77777777" w:rsidR="001E4CD5" w:rsidRDefault="001E4CD5" w:rsidP="002025D8">
      <w:pPr>
        <w:spacing w:line="360" w:lineRule="auto"/>
        <w:rPr>
          <w:sz w:val="26"/>
          <w:szCs w:val="26"/>
        </w:rPr>
      </w:pPr>
    </w:p>
    <w:p w14:paraId="58FA76EE" w14:textId="7747E8C7" w:rsidR="002025D8" w:rsidRPr="00861FCB" w:rsidRDefault="002025D8" w:rsidP="00E6540F">
      <w:pPr>
        <w:keepNext/>
        <w:keepLines/>
        <w:widowControl/>
        <w:numPr>
          <w:ilvl w:val="0"/>
          <w:numId w:val="26"/>
        </w:numPr>
        <w:ind w:left="1440" w:hanging="720"/>
        <w:contextualSpacing/>
        <w:rPr>
          <w:b/>
          <w:color w:val="000000" w:themeColor="text1"/>
          <w:sz w:val="26"/>
          <w:szCs w:val="26"/>
        </w:rPr>
      </w:pPr>
      <w:r w:rsidRPr="00861FCB">
        <w:rPr>
          <w:b/>
          <w:color w:val="000000" w:themeColor="text1"/>
          <w:sz w:val="26"/>
          <w:szCs w:val="26"/>
        </w:rPr>
        <w:t xml:space="preserve">Complainant’s </w:t>
      </w:r>
      <w:r w:rsidR="00324E45">
        <w:rPr>
          <w:b/>
          <w:sz w:val="26"/>
          <w:szCs w:val="26"/>
        </w:rPr>
        <w:t xml:space="preserve">Concerns Regarding </w:t>
      </w:r>
      <w:bookmarkStart w:id="31" w:name="_Hlk45778082"/>
      <w:r w:rsidR="00F66911">
        <w:rPr>
          <w:b/>
          <w:sz w:val="26"/>
          <w:szCs w:val="26"/>
        </w:rPr>
        <w:t xml:space="preserve">Prior Decisions of </w:t>
      </w:r>
      <w:r w:rsidR="00E4643D">
        <w:rPr>
          <w:b/>
          <w:sz w:val="26"/>
          <w:szCs w:val="26"/>
        </w:rPr>
        <w:t>Smart Meter Complaints</w:t>
      </w:r>
      <w:bookmarkEnd w:id="31"/>
    </w:p>
    <w:p w14:paraId="1BB16AD8" w14:textId="77777777" w:rsidR="002025D8" w:rsidRPr="00861FCB" w:rsidRDefault="002025D8" w:rsidP="00E62A41">
      <w:pPr>
        <w:keepNext/>
        <w:keepLines/>
        <w:widowControl/>
        <w:spacing w:line="360" w:lineRule="auto"/>
        <w:ind w:left="1080"/>
        <w:contextualSpacing/>
        <w:rPr>
          <w:b/>
          <w:color w:val="000000" w:themeColor="text1"/>
          <w:sz w:val="26"/>
          <w:szCs w:val="26"/>
        </w:rPr>
      </w:pPr>
    </w:p>
    <w:p w14:paraId="2BB43C90" w14:textId="2A81AC8F" w:rsidR="00E43481" w:rsidRDefault="002025D8" w:rsidP="00E62A41">
      <w:pPr>
        <w:keepNext/>
        <w:keepLines/>
        <w:widowControl/>
        <w:numPr>
          <w:ilvl w:val="0"/>
          <w:numId w:val="34"/>
        </w:numPr>
        <w:spacing w:line="360" w:lineRule="auto"/>
        <w:contextualSpacing/>
        <w:outlineLvl w:val="3"/>
        <w:rPr>
          <w:b/>
          <w:sz w:val="26"/>
          <w:szCs w:val="26"/>
        </w:rPr>
      </w:pPr>
      <w:r w:rsidRPr="00861FCB">
        <w:rPr>
          <w:b/>
          <w:sz w:val="26"/>
          <w:szCs w:val="26"/>
        </w:rPr>
        <w:t>Exception No</w:t>
      </w:r>
      <w:r>
        <w:rPr>
          <w:b/>
          <w:sz w:val="26"/>
          <w:szCs w:val="26"/>
        </w:rPr>
        <w:t xml:space="preserve">. </w:t>
      </w:r>
      <w:r w:rsidR="00324E45">
        <w:rPr>
          <w:b/>
          <w:sz w:val="26"/>
          <w:szCs w:val="26"/>
        </w:rPr>
        <w:t>6</w:t>
      </w:r>
    </w:p>
    <w:p w14:paraId="4BC5A19F" w14:textId="77777777" w:rsidR="00E43481" w:rsidRDefault="00E43481" w:rsidP="00E43481">
      <w:pPr>
        <w:spacing w:line="360" w:lineRule="auto"/>
        <w:ind w:left="1440"/>
        <w:contextualSpacing/>
        <w:outlineLvl w:val="3"/>
        <w:rPr>
          <w:b/>
          <w:sz w:val="26"/>
          <w:szCs w:val="26"/>
        </w:rPr>
      </w:pPr>
    </w:p>
    <w:p w14:paraId="5694EE2A" w14:textId="3FB9CCB0" w:rsidR="00E43481" w:rsidRDefault="00E43481" w:rsidP="00EE4C52">
      <w:pPr>
        <w:spacing w:line="360" w:lineRule="auto"/>
        <w:ind w:firstLine="1440"/>
        <w:contextualSpacing/>
        <w:rPr>
          <w:i/>
          <w:iCs/>
          <w:sz w:val="26"/>
          <w:szCs w:val="26"/>
        </w:rPr>
      </w:pPr>
      <w:r>
        <w:rPr>
          <w:sz w:val="26"/>
          <w:szCs w:val="26"/>
        </w:rPr>
        <w:t xml:space="preserve">The Complainant </w:t>
      </w:r>
      <w:r w:rsidR="0033140E">
        <w:rPr>
          <w:sz w:val="26"/>
          <w:szCs w:val="26"/>
        </w:rPr>
        <w:t xml:space="preserve">avers that the ALJ erred </w:t>
      </w:r>
      <w:r w:rsidR="00F9522D">
        <w:rPr>
          <w:sz w:val="26"/>
          <w:szCs w:val="26"/>
        </w:rPr>
        <w:t>“</w:t>
      </w:r>
      <w:r w:rsidR="0033140E">
        <w:rPr>
          <w:sz w:val="26"/>
          <w:szCs w:val="26"/>
        </w:rPr>
        <w:t>when</w:t>
      </w:r>
      <w:r w:rsidR="00174ECA">
        <w:rPr>
          <w:sz w:val="26"/>
          <w:szCs w:val="26"/>
        </w:rPr>
        <w:t xml:space="preserve"> she stated that </w:t>
      </w:r>
      <w:r w:rsidR="00F9522D">
        <w:rPr>
          <w:sz w:val="26"/>
          <w:szCs w:val="26"/>
        </w:rPr>
        <w:t>[</w:t>
      </w:r>
      <w:r w:rsidR="00174ECA">
        <w:rPr>
          <w:sz w:val="26"/>
          <w:szCs w:val="26"/>
        </w:rPr>
        <w:t>the Commission</w:t>
      </w:r>
      <w:r w:rsidR="00F9522D">
        <w:rPr>
          <w:sz w:val="26"/>
          <w:szCs w:val="26"/>
        </w:rPr>
        <w:t>]</w:t>
      </w:r>
      <w:r w:rsidR="00174ECA">
        <w:rPr>
          <w:sz w:val="26"/>
          <w:szCs w:val="26"/>
        </w:rPr>
        <w:t xml:space="preserve"> decides cases on an individual basis and the specific allegations presented.”  Exc. at 11.  Mr. Ulmer clarifies that since 2015, </w:t>
      </w:r>
      <w:r w:rsidR="007754DE">
        <w:rPr>
          <w:sz w:val="26"/>
          <w:szCs w:val="26"/>
        </w:rPr>
        <w:t>no one has won an accommodation from the smart meter deployment.  In support, the Complainant points out</w:t>
      </w:r>
      <w:r w:rsidR="00F63B46">
        <w:rPr>
          <w:sz w:val="26"/>
          <w:szCs w:val="26"/>
        </w:rPr>
        <w:t xml:space="preserve"> that most of the other utilities</w:t>
      </w:r>
      <w:r>
        <w:rPr>
          <w:sz w:val="26"/>
          <w:szCs w:val="26"/>
        </w:rPr>
        <w:t xml:space="preserve"> </w:t>
      </w:r>
      <w:r w:rsidR="00C05FD5">
        <w:rPr>
          <w:sz w:val="26"/>
          <w:szCs w:val="26"/>
        </w:rPr>
        <w:t>have used Dr. Davis and Dr. Israel, an</w:t>
      </w:r>
      <w:r w:rsidR="006E55A1">
        <w:rPr>
          <w:sz w:val="26"/>
          <w:szCs w:val="26"/>
        </w:rPr>
        <w:t>d that the same ALJ has been assigned to most of the</w:t>
      </w:r>
      <w:r w:rsidR="00C05FD5">
        <w:rPr>
          <w:sz w:val="26"/>
          <w:szCs w:val="26"/>
        </w:rPr>
        <w:t xml:space="preserve"> prior smart meter complaint cases </w:t>
      </w:r>
      <w:r w:rsidR="00E4643D">
        <w:rPr>
          <w:sz w:val="26"/>
          <w:szCs w:val="26"/>
        </w:rPr>
        <w:t xml:space="preserve">for the same utility.  </w:t>
      </w:r>
      <w:r w:rsidR="00E4643D" w:rsidRPr="00E4643D">
        <w:rPr>
          <w:i/>
          <w:iCs/>
          <w:sz w:val="26"/>
          <w:szCs w:val="26"/>
        </w:rPr>
        <w:t>Id.</w:t>
      </w:r>
    </w:p>
    <w:p w14:paraId="55EE4B10" w14:textId="77777777" w:rsidR="00BE2282" w:rsidRPr="00BE2282" w:rsidRDefault="00BE2282" w:rsidP="00EE4C52">
      <w:pPr>
        <w:spacing w:line="360" w:lineRule="auto"/>
        <w:ind w:firstLine="1440"/>
        <w:contextualSpacing/>
        <w:rPr>
          <w:sz w:val="26"/>
          <w:szCs w:val="26"/>
        </w:rPr>
      </w:pPr>
    </w:p>
    <w:p w14:paraId="20450816" w14:textId="399E3CC3" w:rsidR="004768A0" w:rsidRDefault="004768A0" w:rsidP="00324E45">
      <w:pPr>
        <w:numPr>
          <w:ilvl w:val="0"/>
          <w:numId w:val="34"/>
        </w:numPr>
        <w:spacing w:line="360" w:lineRule="auto"/>
        <w:contextualSpacing/>
        <w:outlineLvl w:val="3"/>
        <w:rPr>
          <w:b/>
          <w:sz w:val="26"/>
          <w:szCs w:val="26"/>
        </w:rPr>
      </w:pPr>
      <w:r>
        <w:rPr>
          <w:b/>
          <w:sz w:val="26"/>
          <w:szCs w:val="26"/>
        </w:rPr>
        <w:t>Replies</w:t>
      </w:r>
    </w:p>
    <w:p w14:paraId="068DE0EE" w14:textId="77777777" w:rsidR="004768A0" w:rsidRDefault="004768A0" w:rsidP="004768A0">
      <w:pPr>
        <w:spacing w:line="360" w:lineRule="auto"/>
        <w:contextualSpacing/>
        <w:outlineLvl w:val="3"/>
        <w:rPr>
          <w:b/>
          <w:sz w:val="26"/>
          <w:szCs w:val="26"/>
        </w:rPr>
      </w:pPr>
    </w:p>
    <w:p w14:paraId="031B90BD" w14:textId="0E961343" w:rsidR="004768A0" w:rsidRDefault="004132E1" w:rsidP="00611EF9">
      <w:pPr>
        <w:widowControl/>
        <w:spacing w:line="360" w:lineRule="auto"/>
        <w:ind w:firstLine="1440"/>
        <w:contextualSpacing/>
        <w:rPr>
          <w:sz w:val="26"/>
          <w:szCs w:val="26"/>
        </w:rPr>
      </w:pPr>
      <w:bookmarkStart w:id="32" w:name="_Hlk45266520"/>
      <w:r>
        <w:rPr>
          <w:sz w:val="26"/>
          <w:szCs w:val="26"/>
        </w:rPr>
        <w:t xml:space="preserve">PPL </w:t>
      </w:r>
      <w:r w:rsidR="0003613E">
        <w:rPr>
          <w:sz w:val="26"/>
          <w:szCs w:val="26"/>
        </w:rPr>
        <w:t>counters</w:t>
      </w:r>
      <w:r>
        <w:rPr>
          <w:sz w:val="26"/>
          <w:szCs w:val="26"/>
        </w:rPr>
        <w:t xml:space="preserve"> </w:t>
      </w:r>
      <w:r w:rsidR="00E43A0D">
        <w:rPr>
          <w:sz w:val="26"/>
          <w:szCs w:val="26"/>
        </w:rPr>
        <w:t>that</w:t>
      </w:r>
      <w:r w:rsidR="0003613E">
        <w:rPr>
          <w:sz w:val="26"/>
          <w:szCs w:val="26"/>
        </w:rPr>
        <w:t xml:space="preserve"> </w:t>
      </w:r>
      <w:r>
        <w:rPr>
          <w:sz w:val="26"/>
          <w:szCs w:val="26"/>
        </w:rPr>
        <w:t xml:space="preserve">the Commission’s reliance on the opinions of the experts in multiple proceedings does not show bias or lack of credibility, but it does demonstrate that their expert opinions are reliable.  R. Exc. at 11 (citing Exc. at 11).  </w:t>
      </w:r>
      <w:r w:rsidR="004768A0">
        <w:rPr>
          <w:sz w:val="26"/>
          <w:szCs w:val="26"/>
        </w:rPr>
        <w:t xml:space="preserve">PPL </w:t>
      </w:r>
      <w:r w:rsidR="00E43A0D">
        <w:rPr>
          <w:sz w:val="26"/>
          <w:szCs w:val="26"/>
        </w:rPr>
        <w:t xml:space="preserve">further </w:t>
      </w:r>
      <w:r w:rsidR="004768A0">
        <w:rPr>
          <w:sz w:val="26"/>
          <w:szCs w:val="26"/>
        </w:rPr>
        <w:t xml:space="preserve">remarks that nothing presented by the Complainant demonstrates that the Commission fails to decide cases on an “individual basis” and on the “specific allegations presented.”  R. Exc. at 19 (citing Exc. at 11).  </w:t>
      </w:r>
      <w:r w:rsidR="00E43A0D">
        <w:rPr>
          <w:sz w:val="26"/>
          <w:szCs w:val="26"/>
        </w:rPr>
        <w:t>Moreover, t</w:t>
      </w:r>
      <w:r w:rsidR="004768A0">
        <w:rPr>
          <w:sz w:val="26"/>
          <w:szCs w:val="26"/>
        </w:rPr>
        <w:t xml:space="preserve">he Company observes that nothing in the record, or in any Commission orders, demonstrates that the Commission fails to “thoroughly review the records of every case before it and render its decisions accordingly.”  R. Exc. at 19.  </w:t>
      </w:r>
      <w:r w:rsidR="00E43A0D">
        <w:rPr>
          <w:sz w:val="26"/>
          <w:szCs w:val="26"/>
        </w:rPr>
        <w:t xml:space="preserve">In addition, </w:t>
      </w:r>
      <w:r w:rsidR="004768A0">
        <w:rPr>
          <w:sz w:val="26"/>
          <w:szCs w:val="26"/>
        </w:rPr>
        <w:t>PPL responds that, to date, the fact that no customer has received an opt-out of an AMI meter installation reflects that:</w:t>
      </w:r>
      <w:r w:rsidR="00284873">
        <w:rPr>
          <w:sz w:val="26"/>
          <w:szCs w:val="26"/>
        </w:rPr>
        <w:t xml:space="preserve"> </w:t>
      </w:r>
      <w:r w:rsidR="00E62A41">
        <w:rPr>
          <w:sz w:val="26"/>
          <w:szCs w:val="26"/>
        </w:rPr>
        <w:t xml:space="preserve"> </w:t>
      </w:r>
      <w:r w:rsidR="004768A0">
        <w:rPr>
          <w:sz w:val="26"/>
          <w:szCs w:val="26"/>
        </w:rPr>
        <w:t xml:space="preserve">(1) the Commission lacks the authority to approve an opt-out under Pennsylvania law; and </w:t>
      </w:r>
      <w:r w:rsidR="004768A0">
        <w:rPr>
          <w:sz w:val="26"/>
          <w:szCs w:val="26"/>
        </w:rPr>
        <w:lastRenderedPageBreak/>
        <w:t>(2)</w:t>
      </w:r>
      <w:r w:rsidR="00611EF9">
        <w:rPr>
          <w:sz w:val="26"/>
          <w:szCs w:val="26"/>
        </w:rPr>
        <w:t> </w:t>
      </w:r>
      <w:r w:rsidR="004768A0">
        <w:rPr>
          <w:sz w:val="26"/>
          <w:szCs w:val="26"/>
        </w:rPr>
        <w:t xml:space="preserve">the allegations that the new AMI meters cause, contribute to, or exacerbate adverse health effects are unfounded.  </w:t>
      </w:r>
      <w:r w:rsidR="004768A0" w:rsidRPr="00705D95">
        <w:rPr>
          <w:i/>
          <w:iCs/>
          <w:sz w:val="26"/>
          <w:szCs w:val="26"/>
        </w:rPr>
        <w:t>Id.</w:t>
      </w:r>
      <w:r w:rsidR="004768A0">
        <w:rPr>
          <w:sz w:val="26"/>
          <w:szCs w:val="26"/>
        </w:rPr>
        <w:t xml:space="preserve"> </w:t>
      </w:r>
    </w:p>
    <w:bookmarkEnd w:id="32"/>
    <w:p w14:paraId="525859D2" w14:textId="77777777" w:rsidR="004768A0" w:rsidRPr="004768A0" w:rsidRDefault="004768A0" w:rsidP="004768A0">
      <w:pPr>
        <w:spacing w:line="360" w:lineRule="auto"/>
        <w:ind w:firstLine="1440"/>
        <w:contextualSpacing/>
        <w:rPr>
          <w:sz w:val="26"/>
          <w:szCs w:val="26"/>
        </w:rPr>
      </w:pPr>
    </w:p>
    <w:p w14:paraId="37B18A7F" w14:textId="7A22E304" w:rsidR="00CA6142" w:rsidRPr="00CA6142" w:rsidRDefault="004768A0" w:rsidP="00A16CD4">
      <w:pPr>
        <w:keepNext/>
        <w:keepLines/>
        <w:widowControl/>
        <w:numPr>
          <w:ilvl w:val="0"/>
          <w:numId w:val="34"/>
        </w:numPr>
        <w:spacing w:line="360" w:lineRule="auto"/>
        <w:contextualSpacing/>
        <w:outlineLvl w:val="3"/>
        <w:rPr>
          <w:b/>
          <w:sz w:val="26"/>
          <w:szCs w:val="26"/>
        </w:rPr>
      </w:pPr>
      <w:r w:rsidRPr="00CA6142">
        <w:rPr>
          <w:b/>
          <w:sz w:val="26"/>
          <w:szCs w:val="26"/>
        </w:rPr>
        <w:t>Disposition</w:t>
      </w:r>
    </w:p>
    <w:p w14:paraId="59171362" w14:textId="02E4BBC1" w:rsidR="002359B6" w:rsidRDefault="002359B6" w:rsidP="00EE4C52">
      <w:pPr>
        <w:tabs>
          <w:tab w:val="left" w:pos="-720"/>
        </w:tabs>
        <w:suppressAutoHyphens/>
        <w:spacing w:line="360" w:lineRule="auto"/>
        <w:ind w:right="1440"/>
        <w:contextualSpacing/>
        <w:rPr>
          <w:rFonts w:eastAsia="Calibri"/>
          <w:sz w:val="26"/>
          <w:szCs w:val="26"/>
        </w:rPr>
      </w:pPr>
    </w:p>
    <w:p w14:paraId="35769B41" w14:textId="5975AE57" w:rsidR="002359B6" w:rsidRPr="002359B6" w:rsidRDefault="00B50A16" w:rsidP="00EE4C52">
      <w:pPr>
        <w:tabs>
          <w:tab w:val="left" w:pos="-720"/>
        </w:tabs>
        <w:suppressAutoHyphens/>
        <w:spacing w:line="360" w:lineRule="auto"/>
        <w:ind w:firstLine="1440"/>
        <w:contextualSpacing/>
        <w:rPr>
          <w:rFonts w:eastAsia="Calibri"/>
          <w:b/>
          <w:bCs/>
          <w:sz w:val="26"/>
          <w:szCs w:val="26"/>
        </w:rPr>
      </w:pPr>
      <w:r>
        <w:rPr>
          <w:rFonts w:eastAsia="Calibri"/>
          <w:sz w:val="26"/>
          <w:szCs w:val="26"/>
        </w:rPr>
        <w:t>We are of the opinion that</w:t>
      </w:r>
      <w:r w:rsidR="00AA5C3F">
        <w:rPr>
          <w:rFonts w:eastAsia="Calibri"/>
          <w:sz w:val="26"/>
          <w:szCs w:val="26"/>
        </w:rPr>
        <w:t>,</w:t>
      </w:r>
      <w:r>
        <w:rPr>
          <w:rFonts w:eastAsia="Calibri"/>
          <w:sz w:val="26"/>
          <w:szCs w:val="26"/>
        </w:rPr>
        <w:t xml:space="preserve"> </w:t>
      </w:r>
      <w:r w:rsidR="008E654D">
        <w:rPr>
          <w:rFonts w:eastAsia="Calibri"/>
          <w:sz w:val="26"/>
          <w:szCs w:val="26"/>
        </w:rPr>
        <w:t xml:space="preserve">the Complainant’s argument in support of his allegation </w:t>
      </w:r>
      <w:r w:rsidR="00534649">
        <w:rPr>
          <w:rFonts w:eastAsia="Calibri"/>
          <w:sz w:val="26"/>
          <w:szCs w:val="26"/>
        </w:rPr>
        <w:t xml:space="preserve">of </w:t>
      </w:r>
      <w:r w:rsidR="008E654D">
        <w:rPr>
          <w:rFonts w:eastAsia="Calibri"/>
          <w:sz w:val="26"/>
          <w:szCs w:val="26"/>
        </w:rPr>
        <w:t xml:space="preserve">biased positions and collusion between the Commission and the utilities is </w:t>
      </w:r>
      <w:r w:rsidR="00440ADE">
        <w:rPr>
          <w:rFonts w:eastAsia="Calibri"/>
          <w:sz w:val="26"/>
          <w:szCs w:val="26"/>
        </w:rPr>
        <w:t>without merit and must be denied.  We note that our decisions in each smart meter installation case</w:t>
      </w:r>
      <w:r w:rsidR="00C43387">
        <w:rPr>
          <w:rFonts w:eastAsia="Calibri"/>
          <w:sz w:val="26"/>
          <w:szCs w:val="26"/>
        </w:rPr>
        <w:t xml:space="preserve"> </w:t>
      </w:r>
      <w:r w:rsidR="005721EC">
        <w:rPr>
          <w:rFonts w:eastAsia="Calibri"/>
          <w:sz w:val="26"/>
          <w:szCs w:val="26"/>
        </w:rPr>
        <w:t xml:space="preserve">are considered on an individual </w:t>
      </w:r>
      <w:r w:rsidR="007255AC">
        <w:rPr>
          <w:rFonts w:eastAsia="Calibri"/>
          <w:sz w:val="26"/>
          <w:szCs w:val="26"/>
        </w:rPr>
        <w:t xml:space="preserve">basis established on the facts in the record of each particular proceeding. </w:t>
      </w:r>
    </w:p>
    <w:p w14:paraId="5D649D51" w14:textId="77777777" w:rsidR="00554D3B" w:rsidRPr="00481242" w:rsidRDefault="00554D3B" w:rsidP="00481242">
      <w:pPr>
        <w:widowControl/>
        <w:spacing w:line="360" w:lineRule="auto"/>
        <w:rPr>
          <w:color w:val="000000" w:themeColor="text1"/>
          <w:sz w:val="26"/>
          <w:szCs w:val="26"/>
          <w:highlight w:val="yellow"/>
        </w:rPr>
      </w:pPr>
    </w:p>
    <w:p w14:paraId="77F406B6" w14:textId="6F29FCE3" w:rsidR="001B0C5E" w:rsidRPr="00481242" w:rsidRDefault="001B0C5E" w:rsidP="00481242">
      <w:pPr>
        <w:keepNext/>
        <w:keepLines/>
        <w:widowControl/>
        <w:spacing w:line="360" w:lineRule="auto"/>
        <w:contextualSpacing/>
        <w:jc w:val="center"/>
        <w:rPr>
          <w:b/>
          <w:color w:val="000000" w:themeColor="text1"/>
          <w:sz w:val="26"/>
          <w:szCs w:val="26"/>
        </w:rPr>
      </w:pPr>
      <w:r w:rsidRPr="00481242">
        <w:rPr>
          <w:b/>
          <w:color w:val="000000" w:themeColor="text1"/>
          <w:sz w:val="26"/>
          <w:szCs w:val="26"/>
        </w:rPr>
        <w:t>Conclusion</w:t>
      </w:r>
    </w:p>
    <w:p w14:paraId="67B26F99" w14:textId="77777777" w:rsidR="001B0C5E" w:rsidRPr="00481242" w:rsidRDefault="001B0C5E" w:rsidP="00481242">
      <w:pPr>
        <w:keepNext/>
        <w:keepLines/>
        <w:widowControl/>
        <w:spacing w:line="360" w:lineRule="auto"/>
        <w:ind w:firstLine="1440"/>
        <w:contextualSpacing/>
        <w:rPr>
          <w:color w:val="000000" w:themeColor="text1"/>
          <w:sz w:val="26"/>
          <w:szCs w:val="26"/>
        </w:rPr>
      </w:pPr>
    </w:p>
    <w:p w14:paraId="4370279C" w14:textId="38FD2197" w:rsidR="001B0C5E" w:rsidRDefault="001B0C5E" w:rsidP="00481242">
      <w:pPr>
        <w:widowControl/>
        <w:spacing w:line="360" w:lineRule="auto"/>
        <w:ind w:firstLine="1440"/>
        <w:contextualSpacing/>
        <w:rPr>
          <w:b/>
          <w:color w:val="000000" w:themeColor="text1"/>
          <w:sz w:val="26"/>
          <w:szCs w:val="26"/>
        </w:rPr>
      </w:pPr>
      <w:r w:rsidRPr="00481242">
        <w:rPr>
          <w:color w:val="000000" w:themeColor="text1"/>
          <w:sz w:val="26"/>
          <w:szCs w:val="26"/>
        </w:rPr>
        <w:t>Based upon our review of the record and the applicable law</w:t>
      </w:r>
      <w:r w:rsidR="00BE44AB" w:rsidRPr="00481242">
        <w:rPr>
          <w:color w:val="000000" w:themeColor="text1"/>
          <w:sz w:val="26"/>
          <w:szCs w:val="26"/>
        </w:rPr>
        <w:t xml:space="preserve">, </w:t>
      </w:r>
      <w:r w:rsidR="00F0088A" w:rsidRPr="00481242">
        <w:rPr>
          <w:color w:val="000000" w:themeColor="text1"/>
          <w:sz w:val="26"/>
          <w:szCs w:val="26"/>
        </w:rPr>
        <w:t xml:space="preserve">we </w:t>
      </w:r>
      <w:r w:rsidRPr="00481242">
        <w:rPr>
          <w:color w:val="000000" w:themeColor="text1"/>
          <w:sz w:val="26"/>
          <w:szCs w:val="26"/>
        </w:rPr>
        <w:t>shall deny the Complainant’s Exceptions</w:t>
      </w:r>
      <w:r w:rsidR="008E1EC1" w:rsidRPr="00481242">
        <w:rPr>
          <w:color w:val="000000" w:themeColor="text1"/>
          <w:sz w:val="26"/>
          <w:szCs w:val="26"/>
        </w:rPr>
        <w:t xml:space="preserve"> and</w:t>
      </w:r>
      <w:r w:rsidRPr="00481242">
        <w:rPr>
          <w:color w:val="000000" w:themeColor="text1"/>
          <w:sz w:val="26"/>
          <w:szCs w:val="26"/>
        </w:rPr>
        <w:t xml:space="preserve"> adopt the Initial Decision, consistent with this Opinion and Order; </w:t>
      </w:r>
      <w:r w:rsidRPr="00481242">
        <w:rPr>
          <w:b/>
          <w:color w:val="000000" w:themeColor="text1"/>
          <w:sz w:val="26"/>
          <w:szCs w:val="26"/>
        </w:rPr>
        <w:t>T</w:t>
      </w:r>
      <w:r w:rsidR="00DD2BCB">
        <w:rPr>
          <w:b/>
          <w:color w:val="000000" w:themeColor="text1"/>
          <w:sz w:val="26"/>
          <w:szCs w:val="26"/>
        </w:rPr>
        <w:t>H</w:t>
      </w:r>
      <w:r w:rsidR="008B5D6F">
        <w:rPr>
          <w:b/>
          <w:color w:val="000000" w:themeColor="text1"/>
          <w:sz w:val="26"/>
          <w:szCs w:val="26"/>
        </w:rPr>
        <w:t>ER</w:t>
      </w:r>
      <w:r w:rsidRPr="00481242">
        <w:rPr>
          <w:b/>
          <w:color w:val="000000" w:themeColor="text1"/>
          <w:sz w:val="26"/>
          <w:szCs w:val="26"/>
        </w:rPr>
        <w:t>EFORE,</w:t>
      </w:r>
    </w:p>
    <w:p w14:paraId="61FE7512" w14:textId="77777777" w:rsidR="00C63305" w:rsidRDefault="00C63305" w:rsidP="00481242">
      <w:pPr>
        <w:widowControl/>
        <w:spacing w:line="360" w:lineRule="auto"/>
        <w:ind w:firstLine="1440"/>
        <w:contextualSpacing/>
        <w:rPr>
          <w:b/>
          <w:color w:val="000000" w:themeColor="text1"/>
          <w:sz w:val="26"/>
          <w:szCs w:val="26"/>
        </w:rPr>
      </w:pPr>
    </w:p>
    <w:p w14:paraId="577D4365" w14:textId="4387D3EE" w:rsidR="00757AE7" w:rsidRDefault="001B0C5E" w:rsidP="00C63305">
      <w:pPr>
        <w:widowControl/>
        <w:spacing w:line="360" w:lineRule="auto"/>
        <w:ind w:firstLine="1440"/>
        <w:contextualSpacing/>
        <w:rPr>
          <w:b/>
          <w:color w:val="000000" w:themeColor="text1"/>
          <w:sz w:val="26"/>
          <w:szCs w:val="26"/>
        </w:rPr>
      </w:pPr>
      <w:r w:rsidRPr="00481242">
        <w:rPr>
          <w:b/>
          <w:color w:val="000000" w:themeColor="text1"/>
          <w:sz w:val="26"/>
          <w:szCs w:val="26"/>
        </w:rPr>
        <w:t>IT IS ORDERED:</w:t>
      </w:r>
    </w:p>
    <w:p w14:paraId="4CDA3723" w14:textId="77777777" w:rsidR="003D61AE" w:rsidRPr="003D61AE" w:rsidRDefault="003D61AE" w:rsidP="00C63305">
      <w:pPr>
        <w:widowControl/>
        <w:spacing w:line="360" w:lineRule="auto"/>
        <w:ind w:firstLine="1440"/>
        <w:contextualSpacing/>
        <w:rPr>
          <w:b/>
          <w:color w:val="000000" w:themeColor="text1"/>
          <w:sz w:val="26"/>
          <w:szCs w:val="26"/>
        </w:rPr>
      </w:pPr>
    </w:p>
    <w:p w14:paraId="7B8F65CF" w14:textId="4DC070BB" w:rsidR="00707559" w:rsidRPr="00481242" w:rsidRDefault="001B0C5E" w:rsidP="00C63305">
      <w:pPr>
        <w:widowControl/>
        <w:numPr>
          <w:ilvl w:val="0"/>
          <w:numId w:val="1"/>
        </w:numPr>
        <w:tabs>
          <w:tab w:val="clear" w:pos="2160"/>
          <w:tab w:val="num" w:pos="0"/>
        </w:tabs>
        <w:spacing w:line="360" w:lineRule="auto"/>
        <w:ind w:left="0" w:firstLine="1440"/>
        <w:contextualSpacing/>
        <w:rPr>
          <w:color w:val="000000" w:themeColor="text1"/>
          <w:sz w:val="26"/>
          <w:szCs w:val="26"/>
        </w:rPr>
      </w:pPr>
      <w:r w:rsidRPr="00481242">
        <w:rPr>
          <w:color w:val="000000" w:themeColor="text1"/>
          <w:sz w:val="26"/>
          <w:szCs w:val="26"/>
        </w:rPr>
        <w:t xml:space="preserve">That the Exceptions </w:t>
      </w:r>
      <w:r w:rsidR="00405DB2" w:rsidRPr="00481242">
        <w:rPr>
          <w:color w:val="000000" w:themeColor="text1"/>
          <w:sz w:val="26"/>
          <w:szCs w:val="26"/>
        </w:rPr>
        <w:t xml:space="preserve">filed by </w:t>
      </w:r>
      <w:r w:rsidR="00BD5F06">
        <w:rPr>
          <w:color w:val="000000" w:themeColor="text1"/>
          <w:sz w:val="26"/>
          <w:szCs w:val="26"/>
        </w:rPr>
        <w:t>Jeffrey Ulmer</w:t>
      </w:r>
      <w:r w:rsidR="00277A2E" w:rsidRPr="00481242">
        <w:rPr>
          <w:color w:val="000000" w:themeColor="text1"/>
          <w:sz w:val="26"/>
          <w:szCs w:val="26"/>
        </w:rPr>
        <w:t xml:space="preserve"> </w:t>
      </w:r>
      <w:r w:rsidR="00A80FEA" w:rsidRPr="00481242">
        <w:rPr>
          <w:color w:val="000000" w:themeColor="text1"/>
          <w:sz w:val="26"/>
          <w:szCs w:val="26"/>
        </w:rPr>
        <w:t xml:space="preserve">on </w:t>
      </w:r>
      <w:r w:rsidR="00BD5F06">
        <w:rPr>
          <w:color w:val="000000" w:themeColor="text1"/>
          <w:sz w:val="26"/>
          <w:szCs w:val="26"/>
        </w:rPr>
        <w:t>March</w:t>
      </w:r>
      <w:r w:rsidR="00277A2E" w:rsidRPr="00481242">
        <w:rPr>
          <w:color w:val="000000" w:themeColor="text1"/>
          <w:sz w:val="26"/>
          <w:szCs w:val="26"/>
        </w:rPr>
        <w:t xml:space="preserve"> </w:t>
      </w:r>
      <w:r w:rsidR="00BD5F06">
        <w:rPr>
          <w:color w:val="000000" w:themeColor="text1"/>
          <w:sz w:val="26"/>
          <w:szCs w:val="26"/>
        </w:rPr>
        <w:t>26</w:t>
      </w:r>
      <w:r w:rsidR="00277A2E" w:rsidRPr="00481242">
        <w:rPr>
          <w:color w:val="000000" w:themeColor="text1"/>
          <w:sz w:val="26"/>
          <w:szCs w:val="26"/>
        </w:rPr>
        <w:t>, 2020</w:t>
      </w:r>
      <w:r w:rsidR="00A80FEA" w:rsidRPr="00481242">
        <w:rPr>
          <w:color w:val="000000" w:themeColor="text1"/>
          <w:sz w:val="26"/>
          <w:szCs w:val="26"/>
        </w:rPr>
        <w:t>, are denied</w:t>
      </w:r>
      <w:r w:rsidR="00CC4443">
        <w:rPr>
          <w:color w:val="000000" w:themeColor="text1"/>
          <w:sz w:val="26"/>
          <w:szCs w:val="26"/>
        </w:rPr>
        <w:t>, consistent with this Opinion and Order</w:t>
      </w:r>
      <w:r w:rsidR="00A80FEA" w:rsidRPr="00481242">
        <w:rPr>
          <w:color w:val="000000" w:themeColor="text1"/>
          <w:sz w:val="26"/>
          <w:szCs w:val="26"/>
        </w:rPr>
        <w:t>.</w:t>
      </w:r>
    </w:p>
    <w:p w14:paraId="4741BA86" w14:textId="77777777" w:rsidR="007B2F13" w:rsidRPr="00481242" w:rsidRDefault="007B2F13" w:rsidP="00C63305">
      <w:pPr>
        <w:widowControl/>
        <w:spacing w:line="360" w:lineRule="auto"/>
        <w:ind w:left="1440"/>
        <w:contextualSpacing/>
        <w:rPr>
          <w:color w:val="000000" w:themeColor="text1"/>
          <w:sz w:val="26"/>
          <w:szCs w:val="26"/>
        </w:rPr>
      </w:pPr>
    </w:p>
    <w:p w14:paraId="3F9D7821" w14:textId="48950CA4" w:rsidR="001B0C5E" w:rsidRPr="00481242" w:rsidRDefault="00707559" w:rsidP="00C63305">
      <w:pPr>
        <w:widowControl/>
        <w:numPr>
          <w:ilvl w:val="0"/>
          <w:numId w:val="1"/>
        </w:numPr>
        <w:tabs>
          <w:tab w:val="clear" w:pos="2160"/>
          <w:tab w:val="num" w:pos="0"/>
        </w:tabs>
        <w:spacing w:line="360" w:lineRule="auto"/>
        <w:ind w:left="0" w:firstLine="1440"/>
        <w:contextualSpacing/>
        <w:rPr>
          <w:color w:val="000000" w:themeColor="text1"/>
          <w:sz w:val="26"/>
          <w:szCs w:val="26"/>
        </w:rPr>
      </w:pPr>
      <w:r w:rsidRPr="00481242">
        <w:rPr>
          <w:color w:val="000000" w:themeColor="text1"/>
          <w:sz w:val="26"/>
          <w:szCs w:val="26"/>
        </w:rPr>
        <w:t xml:space="preserve">That the Initial Decision of Administrative Law Judge </w:t>
      </w:r>
      <w:r w:rsidR="00AC3AFA" w:rsidRPr="00481242">
        <w:rPr>
          <w:color w:val="000000" w:themeColor="text1"/>
          <w:sz w:val="26"/>
          <w:szCs w:val="26"/>
        </w:rPr>
        <w:t>Elizabeth H. Barn</w:t>
      </w:r>
      <w:r w:rsidR="009E22A8">
        <w:rPr>
          <w:color w:val="000000" w:themeColor="text1"/>
          <w:sz w:val="26"/>
          <w:szCs w:val="26"/>
        </w:rPr>
        <w:t>e</w:t>
      </w:r>
      <w:r w:rsidR="00AC3AFA" w:rsidRPr="00481242">
        <w:rPr>
          <w:color w:val="000000" w:themeColor="text1"/>
          <w:sz w:val="26"/>
          <w:szCs w:val="26"/>
        </w:rPr>
        <w:t>s</w:t>
      </w:r>
      <w:r w:rsidRPr="00481242">
        <w:rPr>
          <w:color w:val="000000" w:themeColor="text1"/>
          <w:sz w:val="26"/>
          <w:szCs w:val="26"/>
        </w:rPr>
        <w:t xml:space="preserve">, </w:t>
      </w:r>
      <w:r w:rsidR="00A80FEA" w:rsidRPr="00481242">
        <w:rPr>
          <w:color w:val="000000" w:themeColor="text1"/>
          <w:sz w:val="26"/>
          <w:szCs w:val="26"/>
        </w:rPr>
        <w:t>issued</w:t>
      </w:r>
      <w:r w:rsidRPr="00481242">
        <w:rPr>
          <w:color w:val="000000" w:themeColor="text1"/>
          <w:sz w:val="26"/>
          <w:szCs w:val="26"/>
        </w:rPr>
        <w:t xml:space="preserve"> on </w:t>
      </w:r>
      <w:r w:rsidR="00BD5F06">
        <w:rPr>
          <w:color w:val="000000" w:themeColor="text1"/>
          <w:sz w:val="26"/>
          <w:szCs w:val="26"/>
        </w:rPr>
        <w:t>March 6, 2020</w:t>
      </w:r>
      <w:r w:rsidR="00AC3AFA" w:rsidRPr="00481242">
        <w:rPr>
          <w:color w:val="000000" w:themeColor="text1"/>
          <w:sz w:val="26"/>
          <w:szCs w:val="26"/>
        </w:rPr>
        <w:t xml:space="preserve">, </w:t>
      </w:r>
      <w:r w:rsidR="006E5E7D">
        <w:rPr>
          <w:color w:val="000000" w:themeColor="text1"/>
          <w:sz w:val="26"/>
          <w:szCs w:val="26"/>
        </w:rPr>
        <w:t xml:space="preserve">at Docket No. </w:t>
      </w:r>
      <w:r w:rsidR="006E5E7D" w:rsidRPr="00481242">
        <w:rPr>
          <w:color w:val="000000" w:themeColor="text1"/>
          <w:sz w:val="26"/>
          <w:szCs w:val="26"/>
        </w:rPr>
        <w:t>C-201</w:t>
      </w:r>
      <w:r w:rsidR="006E5E7D">
        <w:rPr>
          <w:color w:val="000000" w:themeColor="text1"/>
          <w:sz w:val="26"/>
          <w:szCs w:val="26"/>
        </w:rPr>
        <w:t>8</w:t>
      </w:r>
      <w:r w:rsidR="006E5E7D" w:rsidRPr="00481242">
        <w:rPr>
          <w:color w:val="000000" w:themeColor="text1"/>
          <w:sz w:val="26"/>
          <w:szCs w:val="26"/>
        </w:rPr>
        <w:t>-300</w:t>
      </w:r>
      <w:r w:rsidR="006E5E7D">
        <w:rPr>
          <w:color w:val="000000" w:themeColor="text1"/>
          <w:sz w:val="26"/>
          <w:szCs w:val="26"/>
        </w:rPr>
        <w:t xml:space="preserve">3824, </w:t>
      </w:r>
      <w:r w:rsidRPr="00481242">
        <w:rPr>
          <w:color w:val="000000" w:themeColor="text1"/>
          <w:sz w:val="26"/>
          <w:szCs w:val="26"/>
        </w:rPr>
        <w:t>is adopted</w:t>
      </w:r>
      <w:r w:rsidR="00277A2E" w:rsidRPr="00481242">
        <w:rPr>
          <w:color w:val="000000" w:themeColor="text1"/>
          <w:sz w:val="26"/>
          <w:szCs w:val="26"/>
        </w:rPr>
        <w:t xml:space="preserve">, consistent with </w:t>
      </w:r>
      <w:r w:rsidR="00DE6CFC" w:rsidRPr="00481242">
        <w:rPr>
          <w:color w:val="000000" w:themeColor="text1"/>
          <w:sz w:val="26"/>
          <w:szCs w:val="26"/>
        </w:rPr>
        <w:t>this Opinion and Order</w:t>
      </w:r>
      <w:r w:rsidR="001B0C5E" w:rsidRPr="00481242">
        <w:rPr>
          <w:color w:val="000000" w:themeColor="text1"/>
          <w:sz w:val="26"/>
          <w:szCs w:val="26"/>
        </w:rPr>
        <w:t>.</w:t>
      </w:r>
    </w:p>
    <w:p w14:paraId="17164E7A" w14:textId="77777777" w:rsidR="007B2F13" w:rsidRPr="00481242" w:rsidRDefault="007B2F13" w:rsidP="00C63305">
      <w:pPr>
        <w:widowControl/>
        <w:spacing w:line="360" w:lineRule="auto"/>
        <w:ind w:left="1440"/>
        <w:contextualSpacing/>
        <w:rPr>
          <w:color w:val="000000" w:themeColor="text1"/>
          <w:sz w:val="26"/>
          <w:szCs w:val="26"/>
        </w:rPr>
      </w:pPr>
    </w:p>
    <w:p w14:paraId="536184F4" w14:textId="6D074321" w:rsidR="00744869" w:rsidRPr="00FA371E" w:rsidRDefault="001B0C5E" w:rsidP="00C63305">
      <w:pPr>
        <w:widowControl/>
        <w:numPr>
          <w:ilvl w:val="0"/>
          <w:numId w:val="1"/>
        </w:numPr>
        <w:tabs>
          <w:tab w:val="clear" w:pos="2160"/>
          <w:tab w:val="num" w:pos="0"/>
        </w:tabs>
        <w:spacing w:line="360" w:lineRule="auto"/>
        <w:ind w:left="0" w:firstLine="1440"/>
        <w:contextualSpacing/>
        <w:rPr>
          <w:color w:val="000000" w:themeColor="text1"/>
          <w:sz w:val="26"/>
          <w:szCs w:val="26"/>
        </w:rPr>
      </w:pPr>
      <w:r w:rsidRPr="00481242">
        <w:rPr>
          <w:color w:val="000000" w:themeColor="text1"/>
          <w:sz w:val="26"/>
          <w:szCs w:val="26"/>
        </w:rPr>
        <w:t xml:space="preserve">That the </w:t>
      </w:r>
      <w:r w:rsidR="002625EC" w:rsidRPr="00481242">
        <w:rPr>
          <w:color w:val="000000" w:themeColor="text1"/>
          <w:sz w:val="26"/>
          <w:szCs w:val="26"/>
        </w:rPr>
        <w:t xml:space="preserve">Formal </w:t>
      </w:r>
      <w:r w:rsidRPr="00481242">
        <w:rPr>
          <w:color w:val="000000" w:themeColor="text1"/>
          <w:sz w:val="26"/>
          <w:szCs w:val="26"/>
        </w:rPr>
        <w:t xml:space="preserve">Complaint filed on </w:t>
      </w:r>
      <w:r w:rsidR="006C6126">
        <w:rPr>
          <w:color w:val="000000" w:themeColor="text1"/>
          <w:sz w:val="26"/>
          <w:szCs w:val="26"/>
        </w:rPr>
        <w:t>August 3, 2018</w:t>
      </w:r>
      <w:r w:rsidRPr="00481242">
        <w:rPr>
          <w:color w:val="000000" w:themeColor="text1"/>
          <w:sz w:val="26"/>
          <w:szCs w:val="26"/>
        </w:rPr>
        <w:t xml:space="preserve">, </w:t>
      </w:r>
      <w:r w:rsidR="009B7551">
        <w:rPr>
          <w:color w:val="000000" w:themeColor="text1"/>
          <w:sz w:val="26"/>
          <w:szCs w:val="26"/>
        </w:rPr>
        <w:t>and the Amended Complaint filed on</w:t>
      </w:r>
      <w:r w:rsidR="00E9555F">
        <w:rPr>
          <w:color w:val="000000" w:themeColor="text1"/>
          <w:sz w:val="26"/>
          <w:szCs w:val="26"/>
        </w:rPr>
        <w:t xml:space="preserve"> </w:t>
      </w:r>
      <w:r w:rsidR="00895B03">
        <w:rPr>
          <w:color w:val="000000" w:themeColor="text1"/>
          <w:sz w:val="26"/>
          <w:szCs w:val="26"/>
        </w:rPr>
        <w:t>January 7, 2020</w:t>
      </w:r>
      <w:r w:rsidR="00E9555F">
        <w:rPr>
          <w:color w:val="000000" w:themeColor="text1"/>
          <w:sz w:val="26"/>
          <w:szCs w:val="26"/>
        </w:rPr>
        <w:t xml:space="preserve">, </w:t>
      </w:r>
      <w:r w:rsidR="007C4278">
        <w:rPr>
          <w:color w:val="000000" w:themeColor="text1"/>
          <w:sz w:val="26"/>
          <w:szCs w:val="26"/>
        </w:rPr>
        <w:t>by Jeffrey Ulmer against PPL Electric Utilities Corporation</w:t>
      </w:r>
      <w:r w:rsidR="00E972B3">
        <w:rPr>
          <w:color w:val="000000" w:themeColor="text1"/>
          <w:sz w:val="26"/>
          <w:szCs w:val="26"/>
        </w:rPr>
        <w:t xml:space="preserve">, </w:t>
      </w:r>
      <w:r w:rsidR="00707559" w:rsidRPr="00481242">
        <w:rPr>
          <w:color w:val="000000" w:themeColor="text1"/>
          <w:sz w:val="26"/>
          <w:szCs w:val="26"/>
        </w:rPr>
        <w:t>at</w:t>
      </w:r>
      <w:r w:rsidRPr="00481242">
        <w:rPr>
          <w:color w:val="000000" w:themeColor="text1"/>
          <w:sz w:val="26"/>
          <w:szCs w:val="26"/>
        </w:rPr>
        <w:t xml:space="preserve"> </w:t>
      </w:r>
      <w:r w:rsidR="00E9555F">
        <w:rPr>
          <w:color w:val="000000" w:themeColor="text1"/>
          <w:sz w:val="26"/>
          <w:szCs w:val="26"/>
        </w:rPr>
        <w:t xml:space="preserve">Docket No. </w:t>
      </w:r>
      <w:r w:rsidR="00E9555F" w:rsidRPr="00481242">
        <w:rPr>
          <w:color w:val="000000" w:themeColor="text1"/>
          <w:sz w:val="26"/>
          <w:szCs w:val="26"/>
        </w:rPr>
        <w:t>C</w:t>
      </w:r>
      <w:r w:rsidR="00895B03">
        <w:rPr>
          <w:color w:val="000000" w:themeColor="text1"/>
          <w:sz w:val="26"/>
          <w:szCs w:val="26"/>
        </w:rPr>
        <w:noBreakHyphen/>
      </w:r>
      <w:r w:rsidR="00E9555F" w:rsidRPr="00481242">
        <w:rPr>
          <w:color w:val="000000" w:themeColor="text1"/>
          <w:sz w:val="26"/>
          <w:szCs w:val="26"/>
        </w:rPr>
        <w:t>201</w:t>
      </w:r>
      <w:r w:rsidR="00E9555F">
        <w:rPr>
          <w:color w:val="000000" w:themeColor="text1"/>
          <w:sz w:val="26"/>
          <w:szCs w:val="26"/>
        </w:rPr>
        <w:t>8</w:t>
      </w:r>
      <w:r w:rsidR="00895B03">
        <w:rPr>
          <w:color w:val="000000" w:themeColor="text1"/>
          <w:sz w:val="26"/>
          <w:szCs w:val="26"/>
        </w:rPr>
        <w:noBreakHyphen/>
      </w:r>
      <w:r w:rsidR="00E9555F" w:rsidRPr="00481242">
        <w:rPr>
          <w:color w:val="000000" w:themeColor="text1"/>
          <w:sz w:val="26"/>
          <w:szCs w:val="26"/>
        </w:rPr>
        <w:t>300</w:t>
      </w:r>
      <w:r w:rsidR="00E9555F">
        <w:rPr>
          <w:color w:val="000000" w:themeColor="text1"/>
          <w:sz w:val="26"/>
          <w:szCs w:val="26"/>
        </w:rPr>
        <w:t>3824</w:t>
      </w:r>
      <w:r w:rsidRPr="00481242">
        <w:rPr>
          <w:color w:val="000000" w:themeColor="text1"/>
          <w:sz w:val="26"/>
          <w:szCs w:val="26"/>
        </w:rPr>
        <w:t xml:space="preserve">, </w:t>
      </w:r>
      <w:r w:rsidR="00A17324">
        <w:rPr>
          <w:color w:val="000000" w:themeColor="text1"/>
          <w:sz w:val="26"/>
          <w:szCs w:val="26"/>
        </w:rPr>
        <w:t>are</w:t>
      </w:r>
      <w:r w:rsidR="00A17324" w:rsidRPr="00481242">
        <w:rPr>
          <w:color w:val="000000" w:themeColor="text1"/>
          <w:sz w:val="26"/>
          <w:szCs w:val="26"/>
        </w:rPr>
        <w:t xml:space="preserve"> </w:t>
      </w:r>
      <w:r w:rsidR="00E972B3">
        <w:rPr>
          <w:color w:val="000000" w:themeColor="text1"/>
          <w:sz w:val="26"/>
          <w:szCs w:val="26"/>
        </w:rPr>
        <w:t>denied</w:t>
      </w:r>
      <w:r w:rsidRPr="00481242">
        <w:rPr>
          <w:color w:val="000000" w:themeColor="text1"/>
          <w:sz w:val="26"/>
          <w:szCs w:val="26"/>
        </w:rPr>
        <w:t>.</w:t>
      </w:r>
    </w:p>
    <w:p w14:paraId="5F36569C" w14:textId="72F0A197" w:rsidR="001B0C5E" w:rsidRDefault="00744869" w:rsidP="00481242">
      <w:pPr>
        <w:keepNext/>
        <w:keepLines/>
        <w:widowControl/>
        <w:spacing w:line="360" w:lineRule="auto"/>
        <w:contextualSpacing/>
        <w:rPr>
          <w:color w:val="000000" w:themeColor="text1"/>
          <w:sz w:val="26"/>
          <w:szCs w:val="26"/>
        </w:rPr>
      </w:pPr>
      <w:r w:rsidRPr="00481242">
        <w:rPr>
          <w:color w:val="000000" w:themeColor="text1"/>
          <w:sz w:val="26"/>
          <w:szCs w:val="26"/>
        </w:rPr>
        <w:lastRenderedPageBreak/>
        <w:tab/>
      </w:r>
      <w:r w:rsidRPr="00481242">
        <w:rPr>
          <w:color w:val="000000" w:themeColor="text1"/>
          <w:sz w:val="26"/>
          <w:szCs w:val="26"/>
        </w:rPr>
        <w:tab/>
        <w:t>4.</w:t>
      </w:r>
      <w:r w:rsidRPr="00481242">
        <w:rPr>
          <w:color w:val="000000" w:themeColor="text1"/>
          <w:sz w:val="26"/>
          <w:szCs w:val="26"/>
        </w:rPr>
        <w:tab/>
        <w:t>That</w:t>
      </w:r>
      <w:r w:rsidR="00D62069" w:rsidRPr="00481242">
        <w:rPr>
          <w:color w:val="000000" w:themeColor="text1"/>
          <w:sz w:val="26"/>
          <w:szCs w:val="26"/>
        </w:rPr>
        <w:t xml:space="preserve"> </w:t>
      </w:r>
      <w:r w:rsidR="001B0C5E" w:rsidRPr="00481242">
        <w:rPr>
          <w:color w:val="000000" w:themeColor="text1"/>
          <w:sz w:val="26"/>
          <w:szCs w:val="26"/>
        </w:rPr>
        <w:t>this proceeding</w:t>
      </w:r>
      <w:r w:rsidR="007C4278">
        <w:rPr>
          <w:color w:val="000000" w:themeColor="text1"/>
          <w:sz w:val="26"/>
          <w:szCs w:val="26"/>
        </w:rPr>
        <w:t xml:space="preserve"> at Docket No. C-2018-3003824</w:t>
      </w:r>
      <w:r w:rsidR="00CE5EB0" w:rsidRPr="00481242">
        <w:rPr>
          <w:color w:val="000000" w:themeColor="text1"/>
          <w:sz w:val="26"/>
          <w:szCs w:val="26"/>
        </w:rPr>
        <w:t xml:space="preserve"> be marked </w:t>
      </w:r>
      <w:r w:rsidR="001B0C5E" w:rsidRPr="00481242">
        <w:rPr>
          <w:color w:val="000000" w:themeColor="text1"/>
          <w:sz w:val="26"/>
          <w:szCs w:val="26"/>
        </w:rPr>
        <w:t>closed.</w:t>
      </w:r>
    </w:p>
    <w:p w14:paraId="770D3392" w14:textId="77777777" w:rsidR="008C5812" w:rsidRPr="00481242" w:rsidRDefault="008C5812" w:rsidP="00481242">
      <w:pPr>
        <w:keepNext/>
        <w:keepLines/>
        <w:widowControl/>
        <w:spacing w:line="360" w:lineRule="auto"/>
        <w:contextualSpacing/>
        <w:rPr>
          <w:color w:val="000000" w:themeColor="text1"/>
          <w:sz w:val="26"/>
          <w:szCs w:val="26"/>
        </w:rPr>
      </w:pPr>
    </w:p>
    <w:p w14:paraId="752146B6" w14:textId="4726A4D2" w:rsidR="001B0C5E" w:rsidRPr="00481242" w:rsidRDefault="002505F9" w:rsidP="00481242">
      <w:pPr>
        <w:keepNext/>
        <w:keepLines/>
        <w:widowControl/>
        <w:tabs>
          <w:tab w:val="left" w:pos="-720"/>
        </w:tabs>
        <w:ind w:firstLine="5040"/>
        <w:contextualSpacing/>
        <w:rPr>
          <w:color w:val="000000" w:themeColor="text1"/>
          <w:sz w:val="26"/>
          <w:szCs w:val="26"/>
        </w:rPr>
      </w:pPr>
      <w:bookmarkStart w:id="33" w:name="_GoBack"/>
      <w:r w:rsidRPr="009F01BA">
        <w:rPr>
          <w:b/>
          <w:noProof/>
        </w:rPr>
        <w:drawing>
          <wp:anchor distT="0" distB="0" distL="114300" distR="114300" simplePos="0" relativeHeight="251659264" behindDoc="1" locked="0" layoutInCell="1" allowOverlap="1" wp14:anchorId="70C9FF5B" wp14:editId="79553935">
            <wp:simplePos x="0" y="0"/>
            <wp:positionH relativeFrom="column">
              <wp:posOffset>2952750</wp:posOffset>
            </wp:positionH>
            <wp:positionV relativeFrom="paragraph">
              <wp:posOffset>122555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33"/>
      <w:r w:rsidR="001B0C5E" w:rsidRPr="00481242">
        <w:rPr>
          <w:b/>
          <w:color w:val="000000" w:themeColor="text1"/>
          <w:sz w:val="26"/>
          <w:szCs w:val="26"/>
        </w:rPr>
        <w:t>BY THE COMMISSION,</w:t>
      </w:r>
    </w:p>
    <w:p w14:paraId="18A29860" w14:textId="56B04EFA" w:rsidR="001B0C5E" w:rsidRPr="00481242" w:rsidRDefault="001B0C5E" w:rsidP="00481242">
      <w:pPr>
        <w:keepNext/>
        <w:keepLines/>
        <w:widowControl/>
        <w:tabs>
          <w:tab w:val="left" w:pos="-720"/>
        </w:tabs>
        <w:contextualSpacing/>
        <w:rPr>
          <w:color w:val="000000" w:themeColor="text1"/>
          <w:sz w:val="26"/>
          <w:szCs w:val="26"/>
        </w:rPr>
      </w:pPr>
    </w:p>
    <w:p w14:paraId="30BC4FDA" w14:textId="10CA979A" w:rsidR="001B0C5E" w:rsidRDefault="003B763C" w:rsidP="00481242">
      <w:pPr>
        <w:keepNext/>
        <w:keepLines/>
        <w:widowControl/>
        <w:tabs>
          <w:tab w:val="left" w:pos="-720"/>
          <w:tab w:val="left" w:pos="6495"/>
        </w:tabs>
        <w:contextualSpacing/>
        <w:rPr>
          <w:color w:val="000000" w:themeColor="text1"/>
          <w:sz w:val="26"/>
          <w:szCs w:val="26"/>
        </w:rPr>
      </w:pPr>
      <w:r w:rsidRPr="00481242">
        <w:rPr>
          <w:color w:val="000000" w:themeColor="text1"/>
          <w:sz w:val="26"/>
          <w:szCs w:val="26"/>
        </w:rPr>
        <w:tab/>
      </w:r>
    </w:p>
    <w:p w14:paraId="7AB7AC57" w14:textId="77777777" w:rsidR="00E9555F" w:rsidRPr="00481242" w:rsidRDefault="00E9555F" w:rsidP="00481242">
      <w:pPr>
        <w:keepNext/>
        <w:keepLines/>
        <w:widowControl/>
        <w:tabs>
          <w:tab w:val="left" w:pos="-720"/>
          <w:tab w:val="left" w:pos="6495"/>
        </w:tabs>
        <w:contextualSpacing/>
        <w:rPr>
          <w:color w:val="000000" w:themeColor="text1"/>
          <w:sz w:val="26"/>
          <w:szCs w:val="26"/>
        </w:rPr>
      </w:pPr>
    </w:p>
    <w:p w14:paraId="435021C8" w14:textId="77777777" w:rsidR="001B0C5E" w:rsidRPr="00481242" w:rsidRDefault="001B0C5E" w:rsidP="00481242">
      <w:pPr>
        <w:keepNext/>
        <w:keepLines/>
        <w:widowControl/>
        <w:tabs>
          <w:tab w:val="left" w:pos="-720"/>
        </w:tabs>
        <w:contextualSpacing/>
        <w:rPr>
          <w:color w:val="000000" w:themeColor="text1"/>
          <w:sz w:val="26"/>
          <w:szCs w:val="26"/>
        </w:rPr>
      </w:pPr>
    </w:p>
    <w:p w14:paraId="742CC959" w14:textId="77777777" w:rsidR="001B0C5E" w:rsidRPr="00481242" w:rsidRDefault="001B0C5E" w:rsidP="00481242">
      <w:pPr>
        <w:keepNext/>
        <w:keepLines/>
        <w:widowControl/>
        <w:tabs>
          <w:tab w:val="left" w:pos="-720"/>
        </w:tabs>
        <w:ind w:firstLine="5040"/>
        <w:contextualSpacing/>
        <w:rPr>
          <w:b/>
          <w:color w:val="000000" w:themeColor="text1"/>
          <w:sz w:val="26"/>
          <w:szCs w:val="26"/>
        </w:rPr>
      </w:pPr>
      <w:r w:rsidRPr="00481242">
        <w:rPr>
          <w:color w:val="000000" w:themeColor="text1"/>
          <w:sz w:val="26"/>
          <w:szCs w:val="26"/>
        </w:rPr>
        <w:t>Rosemary Chiavetta</w:t>
      </w:r>
    </w:p>
    <w:p w14:paraId="75355769" w14:textId="77777777" w:rsidR="001B0C5E" w:rsidRPr="00481242" w:rsidRDefault="001B0C5E" w:rsidP="00481242">
      <w:pPr>
        <w:keepNext/>
        <w:keepLines/>
        <w:widowControl/>
        <w:tabs>
          <w:tab w:val="left" w:pos="-720"/>
        </w:tabs>
        <w:ind w:firstLine="5040"/>
        <w:contextualSpacing/>
        <w:rPr>
          <w:color w:val="000000" w:themeColor="text1"/>
          <w:sz w:val="26"/>
          <w:szCs w:val="26"/>
        </w:rPr>
      </w:pPr>
      <w:r w:rsidRPr="00481242">
        <w:rPr>
          <w:color w:val="000000" w:themeColor="text1"/>
          <w:sz w:val="26"/>
          <w:szCs w:val="26"/>
        </w:rPr>
        <w:t>Secretary</w:t>
      </w:r>
    </w:p>
    <w:p w14:paraId="1A674F8F" w14:textId="77777777" w:rsidR="008A7709" w:rsidRPr="00481242" w:rsidRDefault="008A7709" w:rsidP="00481242">
      <w:pPr>
        <w:keepNext/>
        <w:keepLines/>
        <w:widowControl/>
        <w:tabs>
          <w:tab w:val="left" w:pos="-720"/>
        </w:tabs>
        <w:ind w:firstLine="5040"/>
        <w:contextualSpacing/>
        <w:rPr>
          <w:color w:val="000000" w:themeColor="text1"/>
          <w:sz w:val="26"/>
          <w:szCs w:val="26"/>
        </w:rPr>
      </w:pPr>
    </w:p>
    <w:p w14:paraId="0863D088" w14:textId="77777777" w:rsidR="001B0C5E" w:rsidRPr="00481242" w:rsidRDefault="001B0C5E" w:rsidP="00481242">
      <w:pPr>
        <w:keepNext/>
        <w:keepLines/>
        <w:widowControl/>
        <w:tabs>
          <w:tab w:val="left" w:pos="-720"/>
        </w:tabs>
        <w:contextualSpacing/>
        <w:rPr>
          <w:color w:val="000000" w:themeColor="text1"/>
          <w:sz w:val="26"/>
          <w:szCs w:val="26"/>
        </w:rPr>
      </w:pPr>
    </w:p>
    <w:p w14:paraId="7843B1FE" w14:textId="77777777" w:rsidR="001B0C5E" w:rsidRPr="00481242" w:rsidRDefault="001B0C5E" w:rsidP="00481242">
      <w:pPr>
        <w:keepNext/>
        <w:keepLines/>
        <w:widowControl/>
        <w:tabs>
          <w:tab w:val="left" w:pos="-720"/>
        </w:tabs>
        <w:contextualSpacing/>
        <w:rPr>
          <w:color w:val="000000" w:themeColor="text1"/>
          <w:sz w:val="26"/>
          <w:szCs w:val="26"/>
        </w:rPr>
      </w:pPr>
      <w:r w:rsidRPr="00481242">
        <w:rPr>
          <w:color w:val="000000" w:themeColor="text1"/>
          <w:sz w:val="26"/>
          <w:szCs w:val="26"/>
        </w:rPr>
        <w:t>(SEAL)</w:t>
      </w:r>
    </w:p>
    <w:p w14:paraId="58104D24" w14:textId="77777777" w:rsidR="001B0C5E" w:rsidRPr="00481242" w:rsidRDefault="001B0C5E" w:rsidP="00481242">
      <w:pPr>
        <w:widowControl/>
        <w:tabs>
          <w:tab w:val="left" w:pos="-720"/>
        </w:tabs>
        <w:contextualSpacing/>
        <w:rPr>
          <w:color w:val="000000" w:themeColor="text1"/>
          <w:sz w:val="26"/>
          <w:szCs w:val="26"/>
        </w:rPr>
      </w:pPr>
    </w:p>
    <w:p w14:paraId="046C3F44" w14:textId="2CEA61AF" w:rsidR="001B0C5E" w:rsidRPr="00481242" w:rsidRDefault="001B0C5E" w:rsidP="00481242">
      <w:pPr>
        <w:widowControl/>
        <w:tabs>
          <w:tab w:val="left" w:pos="-720"/>
        </w:tabs>
        <w:contextualSpacing/>
        <w:rPr>
          <w:color w:val="000000" w:themeColor="text1"/>
          <w:sz w:val="26"/>
          <w:szCs w:val="26"/>
        </w:rPr>
      </w:pPr>
      <w:r w:rsidRPr="00481242">
        <w:rPr>
          <w:color w:val="000000" w:themeColor="text1"/>
          <w:sz w:val="26"/>
          <w:szCs w:val="26"/>
        </w:rPr>
        <w:t xml:space="preserve">ORDER ADOPTED:  </w:t>
      </w:r>
      <w:r w:rsidR="006C6126">
        <w:rPr>
          <w:color w:val="000000" w:themeColor="text1"/>
          <w:sz w:val="26"/>
          <w:szCs w:val="26"/>
        </w:rPr>
        <w:t xml:space="preserve">August </w:t>
      </w:r>
      <w:r w:rsidR="00360B67">
        <w:rPr>
          <w:color w:val="000000" w:themeColor="text1"/>
          <w:sz w:val="26"/>
          <w:szCs w:val="26"/>
        </w:rPr>
        <w:t>27</w:t>
      </w:r>
      <w:r w:rsidR="005D3531" w:rsidRPr="00481242">
        <w:rPr>
          <w:color w:val="000000" w:themeColor="text1"/>
          <w:sz w:val="26"/>
          <w:szCs w:val="26"/>
        </w:rPr>
        <w:t>,</w:t>
      </w:r>
      <w:r w:rsidR="008E6BFD" w:rsidRPr="00481242">
        <w:rPr>
          <w:color w:val="000000" w:themeColor="text1"/>
          <w:sz w:val="26"/>
          <w:szCs w:val="26"/>
        </w:rPr>
        <w:t xml:space="preserve"> 2020</w:t>
      </w:r>
    </w:p>
    <w:p w14:paraId="47C3B75E" w14:textId="77777777" w:rsidR="001B0C5E" w:rsidRPr="00481242" w:rsidRDefault="001B0C5E" w:rsidP="00481242">
      <w:pPr>
        <w:widowControl/>
        <w:tabs>
          <w:tab w:val="left" w:pos="-720"/>
        </w:tabs>
        <w:contextualSpacing/>
        <w:rPr>
          <w:color w:val="000000" w:themeColor="text1"/>
          <w:sz w:val="26"/>
          <w:szCs w:val="26"/>
        </w:rPr>
      </w:pPr>
    </w:p>
    <w:p w14:paraId="3A5E7CAC" w14:textId="5F8C650B" w:rsidR="001B0C5E" w:rsidRPr="00481242" w:rsidRDefault="001B0C5E" w:rsidP="00481242">
      <w:pPr>
        <w:widowControl/>
        <w:tabs>
          <w:tab w:val="left" w:pos="-720"/>
        </w:tabs>
        <w:contextualSpacing/>
        <w:rPr>
          <w:color w:val="000000" w:themeColor="text1"/>
          <w:sz w:val="26"/>
          <w:szCs w:val="26"/>
        </w:rPr>
      </w:pPr>
      <w:r w:rsidRPr="00481242">
        <w:rPr>
          <w:color w:val="000000" w:themeColor="text1"/>
          <w:sz w:val="26"/>
          <w:szCs w:val="26"/>
        </w:rPr>
        <w:t>ORDER ENTERED:</w:t>
      </w:r>
      <w:r w:rsidR="002505F9">
        <w:rPr>
          <w:color w:val="000000" w:themeColor="text1"/>
          <w:sz w:val="26"/>
          <w:szCs w:val="26"/>
        </w:rPr>
        <w:t xml:space="preserve">  August 27, 2020</w:t>
      </w:r>
    </w:p>
    <w:p w14:paraId="55E19F0F" w14:textId="77777777" w:rsidR="003D5C5F" w:rsidRDefault="003D5C5F" w:rsidP="002625EC">
      <w:pPr>
        <w:widowControl/>
      </w:pPr>
    </w:p>
    <w:sectPr w:rsidR="003D5C5F" w:rsidSect="003161E5">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A79A6" w14:textId="77777777" w:rsidR="00975743" w:rsidRDefault="00975743" w:rsidP="001B0C5E">
      <w:r>
        <w:separator/>
      </w:r>
    </w:p>
  </w:endnote>
  <w:endnote w:type="continuationSeparator" w:id="0">
    <w:p w14:paraId="5350A37F" w14:textId="77777777" w:rsidR="00975743" w:rsidRDefault="00975743" w:rsidP="001B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7760473"/>
      <w:docPartObj>
        <w:docPartGallery w:val="Page Numbers (Bottom of Page)"/>
        <w:docPartUnique/>
      </w:docPartObj>
    </w:sdtPr>
    <w:sdtEndPr>
      <w:rPr>
        <w:noProof/>
        <w:sz w:val="24"/>
        <w:szCs w:val="24"/>
      </w:rPr>
    </w:sdtEndPr>
    <w:sdtContent>
      <w:p w14:paraId="1012CD31" w14:textId="11EFC136" w:rsidR="00A8708A" w:rsidRPr="007E4C92" w:rsidRDefault="00A8708A" w:rsidP="007E4C92">
        <w:pPr>
          <w:pStyle w:val="Footer"/>
          <w:jc w:val="center"/>
          <w:rPr>
            <w:sz w:val="24"/>
            <w:szCs w:val="24"/>
          </w:rPr>
        </w:pPr>
        <w:r w:rsidRPr="00360CBC">
          <w:rPr>
            <w:sz w:val="24"/>
            <w:szCs w:val="24"/>
          </w:rPr>
          <w:fldChar w:fldCharType="begin"/>
        </w:r>
        <w:r w:rsidRPr="00360CBC">
          <w:rPr>
            <w:sz w:val="24"/>
            <w:szCs w:val="24"/>
          </w:rPr>
          <w:instrText xml:space="preserve"> PAGE   \* MERGEFORMAT </w:instrText>
        </w:r>
        <w:r w:rsidRPr="00360CBC">
          <w:rPr>
            <w:sz w:val="24"/>
            <w:szCs w:val="24"/>
          </w:rPr>
          <w:fldChar w:fldCharType="separate"/>
        </w:r>
        <w:r w:rsidR="00B84AA0">
          <w:rPr>
            <w:noProof/>
            <w:sz w:val="24"/>
            <w:szCs w:val="24"/>
          </w:rPr>
          <w:t>38</w:t>
        </w:r>
        <w:r w:rsidRPr="00360CBC">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071E2" w14:textId="77777777" w:rsidR="00975743" w:rsidRDefault="00975743" w:rsidP="001B0C5E">
      <w:r>
        <w:separator/>
      </w:r>
    </w:p>
  </w:footnote>
  <w:footnote w:type="continuationSeparator" w:id="0">
    <w:p w14:paraId="1DCFBC85" w14:textId="77777777" w:rsidR="00975743" w:rsidRDefault="00975743" w:rsidP="001B0C5E">
      <w:r>
        <w:continuationSeparator/>
      </w:r>
    </w:p>
  </w:footnote>
  <w:footnote w:id="1">
    <w:p w14:paraId="13085803" w14:textId="77777777" w:rsidR="00E93CB1" w:rsidRPr="00D87F0C" w:rsidRDefault="00E93CB1" w:rsidP="00E93CB1">
      <w:pPr>
        <w:pStyle w:val="FootnoteText"/>
        <w:widowControl/>
        <w:ind w:firstLine="720"/>
        <w:contextualSpacing/>
        <w:rPr>
          <w:sz w:val="26"/>
          <w:szCs w:val="26"/>
        </w:rPr>
      </w:pPr>
      <w:r w:rsidRPr="00D87F0C">
        <w:rPr>
          <w:rStyle w:val="FootnoteReference"/>
          <w:sz w:val="26"/>
          <w:szCs w:val="26"/>
        </w:rPr>
        <w:footnoteRef/>
      </w:r>
      <w:r w:rsidRPr="00D87F0C">
        <w:rPr>
          <w:sz w:val="26"/>
          <w:szCs w:val="26"/>
        </w:rPr>
        <w:t xml:space="preserve"> </w:t>
      </w:r>
      <w:r w:rsidRPr="00D87F0C">
        <w:rPr>
          <w:sz w:val="26"/>
          <w:szCs w:val="26"/>
        </w:rPr>
        <w:tab/>
        <w:t>On January 9, 2019, PPL filed Interrogatories and Requests for Production of Documents Propounded by PPL on Jeffrey Ulmer – Set 1</w:t>
      </w:r>
      <w:r>
        <w:rPr>
          <w:sz w:val="26"/>
          <w:szCs w:val="26"/>
        </w:rPr>
        <w:t xml:space="preserve"> (Interrogatories)</w:t>
      </w:r>
      <w:r w:rsidRPr="00D87F0C">
        <w:rPr>
          <w:sz w:val="26"/>
          <w:szCs w:val="26"/>
        </w:rPr>
        <w:t xml:space="preserve">.  On January 29, 2019, the Complainant filed his Response to Interrogatories and Requests for Production of Documents by PPL (Response to Interrogatories).  According to </w:t>
      </w:r>
      <w:r>
        <w:rPr>
          <w:sz w:val="26"/>
          <w:szCs w:val="26"/>
        </w:rPr>
        <w:t>PPL’s</w:t>
      </w:r>
      <w:r w:rsidRPr="00D87F0C">
        <w:rPr>
          <w:sz w:val="26"/>
          <w:szCs w:val="26"/>
        </w:rPr>
        <w:t xml:space="preserve"> Motion to Compel</w:t>
      </w:r>
      <w:r>
        <w:rPr>
          <w:sz w:val="26"/>
          <w:szCs w:val="26"/>
        </w:rPr>
        <w:t xml:space="preserve"> </w:t>
      </w:r>
      <w:r w:rsidRPr="00D87F0C">
        <w:rPr>
          <w:sz w:val="26"/>
          <w:szCs w:val="26"/>
        </w:rPr>
        <w:t xml:space="preserve">and based </w:t>
      </w:r>
      <w:r>
        <w:rPr>
          <w:sz w:val="26"/>
          <w:szCs w:val="26"/>
        </w:rPr>
        <w:t>upon</w:t>
      </w:r>
      <w:r w:rsidRPr="00D87F0C">
        <w:rPr>
          <w:sz w:val="26"/>
          <w:szCs w:val="26"/>
        </w:rPr>
        <w:t xml:space="preserve"> a review of the Commission’s case </w:t>
      </w:r>
      <w:r>
        <w:rPr>
          <w:sz w:val="26"/>
          <w:szCs w:val="26"/>
        </w:rPr>
        <w:t>management</w:t>
      </w:r>
      <w:r w:rsidRPr="00D87F0C">
        <w:rPr>
          <w:sz w:val="26"/>
          <w:szCs w:val="26"/>
        </w:rPr>
        <w:t xml:space="preserve"> system, there is no record of PPL being served with the Complainant’s Response to Interrogatories.  </w:t>
      </w:r>
      <w:r>
        <w:rPr>
          <w:sz w:val="26"/>
          <w:szCs w:val="26"/>
        </w:rPr>
        <w:t>In the Motion to Compel, PPL explained that on August 20, 2019, the Complainant E-mailed PPL a copy of his Response to Interrogatories.  PPL further explained that the Complainant’s Response to Interrogatories is deficient and incomplete to Questions 1, 3, 4, 5, 6, and 7 in the Interrogatories.  Accordingly, PPL requested that the ALJ compel responses to Interrogatories, Questions 1, 3, 4, 5, 6, and 7.  Motion to Compel at 1-2.</w:t>
      </w:r>
    </w:p>
  </w:footnote>
  <w:footnote w:id="2">
    <w:p w14:paraId="496DE578" w14:textId="6207577A" w:rsidR="00A8708A" w:rsidRPr="00A92D79" w:rsidRDefault="00A8708A" w:rsidP="00E15989">
      <w:pPr>
        <w:pStyle w:val="FootnoteText"/>
        <w:keepNext/>
        <w:keepLines/>
        <w:spacing w:after="120"/>
        <w:ind w:firstLine="720"/>
        <w:rPr>
          <w:sz w:val="26"/>
          <w:szCs w:val="26"/>
        </w:rPr>
      </w:pPr>
      <w:r w:rsidRPr="007419AF">
        <w:rPr>
          <w:rStyle w:val="FootnoteReference"/>
          <w:sz w:val="26"/>
          <w:szCs w:val="26"/>
        </w:rPr>
        <w:footnoteRef/>
      </w:r>
      <w:r w:rsidRPr="007419AF">
        <w:rPr>
          <w:sz w:val="26"/>
          <w:szCs w:val="26"/>
        </w:rPr>
        <w:t xml:space="preserve"> </w:t>
      </w:r>
      <w:r w:rsidRPr="007419AF">
        <w:rPr>
          <w:sz w:val="26"/>
          <w:szCs w:val="26"/>
        </w:rPr>
        <w:tab/>
        <w:t xml:space="preserve">As discussed herein, according to the hearing transcript, Mr. Ulmer testified he had recently submitted evidence to PPL, at which point counsel for PPL clarified it had received an article and two YouTube videos from the Complainant the day before the hearing.  PPL objected, to the extent that the Complainant </w:t>
      </w:r>
      <w:r w:rsidR="0002059C">
        <w:rPr>
          <w:sz w:val="26"/>
          <w:szCs w:val="26"/>
        </w:rPr>
        <w:t>attempted</w:t>
      </w:r>
      <w:r w:rsidRPr="007419AF">
        <w:rPr>
          <w:sz w:val="26"/>
          <w:szCs w:val="26"/>
        </w:rPr>
        <w:t xml:space="preserve"> to introduce th</w:t>
      </w:r>
      <w:r w:rsidR="0002059C">
        <w:rPr>
          <w:sz w:val="26"/>
          <w:szCs w:val="26"/>
        </w:rPr>
        <w:t>ese items</w:t>
      </w:r>
      <w:r w:rsidRPr="007419AF">
        <w:rPr>
          <w:sz w:val="26"/>
          <w:szCs w:val="26"/>
        </w:rPr>
        <w:t xml:space="preserve"> into evidence</w:t>
      </w:r>
      <w:r w:rsidR="008029B8">
        <w:rPr>
          <w:sz w:val="26"/>
          <w:szCs w:val="26"/>
        </w:rPr>
        <w:t>, on the procedural grounds that the exhibits were not received by PPL at least five business days prior to the hearing as required under the Commission’s Regulations and on the evidentiary grounds that the videos contain hearsay, hearsay within hearsay, irrelevant materials, and had not been authenticated</w:t>
      </w:r>
      <w:r>
        <w:rPr>
          <w:sz w:val="26"/>
          <w:szCs w:val="26"/>
        </w:rPr>
        <w:t>.</w:t>
      </w:r>
      <w:r w:rsidRPr="007419AF">
        <w:rPr>
          <w:sz w:val="26"/>
          <w:szCs w:val="26"/>
        </w:rPr>
        <w:t xml:space="preserve">  Tr. at 17-19; I.D.</w:t>
      </w:r>
      <w:r w:rsidR="00E6540F">
        <w:rPr>
          <w:sz w:val="26"/>
          <w:szCs w:val="26"/>
        </w:rPr>
        <w:t> </w:t>
      </w:r>
      <w:r w:rsidRPr="007419AF">
        <w:rPr>
          <w:sz w:val="26"/>
          <w:szCs w:val="26"/>
        </w:rPr>
        <w:t>at</w:t>
      </w:r>
      <w:r w:rsidR="00F64C59">
        <w:rPr>
          <w:sz w:val="26"/>
          <w:szCs w:val="26"/>
        </w:rPr>
        <w:t> </w:t>
      </w:r>
      <w:r w:rsidRPr="007419AF">
        <w:rPr>
          <w:sz w:val="26"/>
          <w:szCs w:val="26"/>
        </w:rPr>
        <w:t>2.</w:t>
      </w:r>
    </w:p>
  </w:footnote>
  <w:footnote w:id="3">
    <w:p w14:paraId="0BC160BA" w14:textId="02748F3D" w:rsidR="00A8708A" w:rsidRPr="008A7E45" w:rsidRDefault="00A8708A" w:rsidP="00E15989">
      <w:pPr>
        <w:pStyle w:val="FootnoteText"/>
        <w:keepNext/>
        <w:keepLines/>
        <w:spacing w:after="120"/>
        <w:ind w:firstLine="720"/>
        <w:rPr>
          <w:sz w:val="26"/>
          <w:szCs w:val="26"/>
        </w:rPr>
      </w:pPr>
      <w:r w:rsidRPr="008A7E45">
        <w:rPr>
          <w:rStyle w:val="FootnoteReference"/>
          <w:sz w:val="26"/>
          <w:szCs w:val="26"/>
        </w:rPr>
        <w:footnoteRef/>
      </w:r>
      <w:r w:rsidRPr="008A7E45">
        <w:rPr>
          <w:sz w:val="26"/>
          <w:szCs w:val="26"/>
        </w:rPr>
        <w:t xml:space="preserve">  </w:t>
      </w:r>
      <w:r w:rsidRPr="008A7E45">
        <w:rPr>
          <w:sz w:val="26"/>
          <w:szCs w:val="26"/>
        </w:rPr>
        <w:tab/>
      </w:r>
      <w:r w:rsidRPr="00AF37E9">
        <w:rPr>
          <w:sz w:val="26"/>
          <w:szCs w:val="26"/>
        </w:rPr>
        <w:t>Michael Asbury a</w:t>
      </w:r>
      <w:r w:rsidRPr="008A7E45">
        <w:rPr>
          <w:sz w:val="26"/>
          <w:szCs w:val="26"/>
        </w:rPr>
        <w:t xml:space="preserve">dopted the written testimony of Donald Vinciguerra and sponsored Exhibit </w:t>
      </w:r>
      <w:r>
        <w:rPr>
          <w:sz w:val="26"/>
          <w:szCs w:val="26"/>
        </w:rPr>
        <w:t>DV</w:t>
      </w:r>
      <w:r w:rsidRPr="008A7E45">
        <w:rPr>
          <w:sz w:val="26"/>
          <w:szCs w:val="26"/>
        </w:rPr>
        <w:t xml:space="preserve">-1.  I.D. at </w:t>
      </w:r>
      <w:r>
        <w:rPr>
          <w:sz w:val="26"/>
          <w:szCs w:val="26"/>
        </w:rPr>
        <w:t>3</w:t>
      </w:r>
      <w:r w:rsidRPr="008A7E45">
        <w:rPr>
          <w:sz w:val="26"/>
          <w:szCs w:val="26"/>
        </w:rPr>
        <w:t xml:space="preserve"> (citing Tr. at </w:t>
      </w:r>
      <w:r>
        <w:rPr>
          <w:sz w:val="26"/>
          <w:szCs w:val="26"/>
        </w:rPr>
        <w:t>44</w:t>
      </w:r>
      <w:r w:rsidRPr="008A7E45">
        <w:rPr>
          <w:sz w:val="26"/>
          <w:szCs w:val="26"/>
        </w:rPr>
        <w:t>).</w:t>
      </w:r>
    </w:p>
  </w:footnote>
  <w:footnote w:id="4">
    <w:p w14:paraId="18348D36" w14:textId="44A271B0" w:rsidR="00A8708A" w:rsidRPr="00AE16C7" w:rsidRDefault="00A8708A" w:rsidP="008D4991">
      <w:pPr>
        <w:pStyle w:val="FootnoteText"/>
        <w:keepNext/>
        <w:keepLines/>
        <w:ind w:firstLine="720"/>
        <w:contextualSpacing/>
        <w:rPr>
          <w:sz w:val="26"/>
          <w:szCs w:val="26"/>
        </w:rPr>
      </w:pPr>
      <w:r w:rsidRPr="00AE16C7">
        <w:rPr>
          <w:rStyle w:val="FootnoteReference"/>
          <w:sz w:val="26"/>
          <w:szCs w:val="26"/>
        </w:rPr>
        <w:footnoteRef/>
      </w:r>
      <w:r w:rsidRPr="00AE16C7">
        <w:rPr>
          <w:sz w:val="26"/>
          <w:szCs w:val="26"/>
        </w:rPr>
        <w:t xml:space="preserve"> </w:t>
      </w:r>
      <w:r w:rsidRPr="00AE16C7">
        <w:rPr>
          <w:sz w:val="26"/>
          <w:szCs w:val="26"/>
        </w:rPr>
        <w:tab/>
        <w:t xml:space="preserve">We note that although the Commission’s </w:t>
      </w:r>
      <w:r w:rsidR="00003E9C">
        <w:rPr>
          <w:sz w:val="26"/>
          <w:szCs w:val="26"/>
        </w:rPr>
        <w:t>c</w:t>
      </w:r>
      <w:r w:rsidRPr="00AE16C7">
        <w:rPr>
          <w:sz w:val="26"/>
          <w:szCs w:val="26"/>
        </w:rPr>
        <w:t xml:space="preserve">ase </w:t>
      </w:r>
      <w:r w:rsidR="00003E9C">
        <w:rPr>
          <w:sz w:val="26"/>
          <w:szCs w:val="26"/>
        </w:rPr>
        <w:t>m</w:t>
      </w:r>
      <w:r w:rsidRPr="00AE16C7">
        <w:rPr>
          <w:sz w:val="26"/>
          <w:szCs w:val="26"/>
        </w:rPr>
        <w:t xml:space="preserve">anagement </w:t>
      </w:r>
      <w:r w:rsidR="00003E9C">
        <w:rPr>
          <w:sz w:val="26"/>
          <w:szCs w:val="26"/>
        </w:rPr>
        <w:t>s</w:t>
      </w:r>
      <w:r w:rsidRPr="00AE16C7">
        <w:rPr>
          <w:sz w:val="26"/>
          <w:szCs w:val="26"/>
        </w:rPr>
        <w:t>ystem indicates the hearing transcript was received January 14, 2020</w:t>
      </w:r>
      <w:r>
        <w:rPr>
          <w:sz w:val="26"/>
          <w:szCs w:val="26"/>
        </w:rPr>
        <w:t xml:space="preserve"> (the date of the hearing)</w:t>
      </w:r>
      <w:r w:rsidR="00F9392E">
        <w:rPr>
          <w:sz w:val="26"/>
          <w:szCs w:val="26"/>
        </w:rPr>
        <w:t xml:space="preserve"> and the Initial Decision </w:t>
      </w:r>
      <w:r w:rsidR="00BD4FE7">
        <w:rPr>
          <w:sz w:val="26"/>
          <w:szCs w:val="26"/>
        </w:rPr>
        <w:t>indicate</w:t>
      </w:r>
      <w:r w:rsidR="00850B9E">
        <w:rPr>
          <w:sz w:val="26"/>
          <w:szCs w:val="26"/>
        </w:rPr>
        <w:t>s</w:t>
      </w:r>
      <w:r w:rsidR="00BD4FE7">
        <w:rPr>
          <w:sz w:val="26"/>
          <w:szCs w:val="26"/>
        </w:rPr>
        <w:t xml:space="preserve"> that </w:t>
      </w:r>
      <w:r w:rsidR="00F9392E" w:rsidRPr="00AE16C7">
        <w:rPr>
          <w:sz w:val="26"/>
          <w:szCs w:val="26"/>
        </w:rPr>
        <w:t>the</w:t>
      </w:r>
      <w:r w:rsidR="00F81514">
        <w:rPr>
          <w:sz w:val="26"/>
          <w:szCs w:val="26"/>
        </w:rPr>
        <w:t xml:space="preserve"> </w:t>
      </w:r>
      <w:r w:rsidR="00F9392E" w:rsidRPr="00AE16C7">
        <w:rPr>
          <w:sz w:val="26"/>
          <w:szCs w:val="26"/>
        </w:rPr>
        <w:t xml:space="preserve">transcript was </w:t>
      </w:r>
      <w:r w:rsidR="00F9392E">
        <w:rPr>
          <w:sz w:val="26"/>
          <w:szCs w:val="26"/>
        </w:rPr>
        <w:t>received</w:t>
      </w:r>
      <w:r w:rsidR="00F9392E" w:rsidRPr="00AE16C7">
        <w:rPr>
          <w:sz w:val="26"/>
          <w:szCs w:val="26"/>
        </w:rPr>
        <w:t xml:space="preserve"> on January 31, 202</w:t>
      </w:r>
      <w:r w:rsidR="006F544C">
        <w:rPr>
          <w:sz w:val="26"/>
          <w:szCs w:val="26"/>
        </w:rPr>
        <w:t>0,</w:t>
      </w:r>
      <w:r w:rsidR="000A2BC8">
        <w:rPr>
          <w:sz w:val="26"/>
          <w:szCs w:val="26"/>
        </w:rPr>
        <w:t xml:space="preserve"> </w:t>
      </w:r>
      <w:r w:rsidRPr="00AE16C7">
        <w:rPr>
          <w:sz w:val="26"/>
          <w:szCs w:val="26"/>
        </w:rPr>
        <w:t>the hearing transcript is stamped</w:t>
      </w:r>
      <w:r w:rsidR="0002059C">
        <w:rPr>
          <w:sz w:val="26"/>
          <w:szCs w:val="26"/>
        </w:rPr>
        <w:t xml:space="preserve"> as</w:t>
      </w:r>
      <w:r w:rsidRPr="00AE16C7">
        <w:rPr>
          <w:sz w:val="26"/>
          <w:szCs w:val="26"/>
        </w:rPr>
        <w:t xml:space="preserve"> “Received” </w:t>
      </w:r>
      <w:r w:rsidR="00F81514">
        <w:rPr>
          <w:sz w:val="26"/>
          <w:szCs w:val="26"/>
        </w:rPr>
        <w:t>by the Commission’s Secretar</w:t>
      </w:r>
      <w:r w:rsidR="00207DED">
        <w:rPr>
          <w:sz w:val="26"/>
          <w:szCs w:val="26"/>
        </w:rPr>
        <w:t xml:space="preserve">y’s Bureau on </w:t>
      </w:r>
      <w:r w:rsidRPr="00AE16C7">
        <w:rPr>
          <w:sz w:val="26"/>
          <w:szCs w:val="26"/>
        </w:rPr>
        <w:t>January 27, 2020.</w:t>
      </w:r>
    </w:p>
  </w:footnote>
  <w:footnote w:id="5">
    <w:p w14:paraId="47A6EDEE" w14:textId="4A5F3792" w:rsidR="00A8708A" w:rsidRPr="00E75AE0" w:rsidRDefault="00A8708A" w:rsidP="00E75AE0">
      <w:pPr>
        <w:keepNext/>
        <w:keepLines/>
        <w:widowControl/>
        <w:spacing w:after="120"/>
        <w:ind w:firstLine="720"/>
        <w:rPr>
          <w:sz w:val="26"/>
          <w:szCs w:val="26"/>
        </w:rPr>
      </w:pPr>
      <w:r w:rsidRPr="00E75AE0">
        <w:rPr>
          <w:rStyle w:val="FootnoteReference"/>
          <w:sz w:val="26"/>
          <w:szCs w:val="26"/>
        </w:rPr>
        <w:footnoteRef/>
      </w:r>
      <w:r w:rsidRPr="00E75AE0">
        <w:rPr>
          <w:sz w:val="26"/>
          <w:szCs w:val="26"/>
        </w:rPr>
        <w:tab/>
        <w:t>I</w:t>
      </w:r>
      <w:r w:rsidRPr="00E75AE0">
        <w:rPr>
          <w:color w:val="000000"/>
          <w:sz w:val="26"/>
          <w:szCs w:val="26"/>
        </w:rPr>
        <w:t>n formal complaint proceedings</w:t>
      </w:r>
      <w:r w:rsidRPr="00E75AE0">
        <w:rPr>
          <w:color w:val="000000" w:themeColor="text1"/>
          <w:sz w:val="26"/>
          <w:szCs w:val="26"/>
        </w:rPr>
        <w:t xml:space="preserve">, </w:t>
      </w:r>
      <w:r w:rsidRPr="00E75AE0">
        <w:rPr>
          <w:color w:val="000000"/>
          <w:sz w:val="26"/>
          <w:szCs w:val="26"/>
        </w:rPr>
        <w:t>the Commission, not the ALJ, is the ultimate fact-finder</w:t>
      </w:r>
      <w:r w:rsidRPr="00E75AE0">
        <w:rPr>
          <w:color w:val="000000" w:themeColor="text1"/>
          <w:sz w:val="26"/>
          <w:szCs w:val="26"/>
        </w:rPr>
        <w:t xml:space="preserve">; it weighs the evidence and resolves conflicts in testimony.  </w:t>
      </w:r>
      <w:r w:rsidRPr="00E75AE0">
        <w:rPr>
          <w:color w:val="000000"/>
          <w:sz w:val="26"/>
          <w:szCs w:val="26"/>
        </w:rPr>
        <w:t>When reviewing the initial decision of an ALJ, the Commission has all the powers that it would have had in making the initial decision except as to any limits that it may impose by notice or by rule</w:t>
      </w:r>
      <w:r w:rsidRPr="00E75AE0">
        <w:rPr>
          <w:color w:val="000000" w:themeColor="text1"/>
          <w:sz w:val="26"/>
          <w:szCs w:val="26"/>
        </w:rPr>
        <w:t xml:space="preserve">.  </w:t>
      </w:r>
      <w:r w:rsidRPr="00E75AE0">
        <w:rPr>
          <w:i/>
          <w:color w:val="000000" w:themeColor="text1"/>
          <w:sz w:val="26"/>
          <w:szCs w:val="26"/>
        </w:rPr>
        <w:t>Milkie</w:t>
      </w:r>
      <w:r w:rsidRPr="00E75AE0">
        <w:rPr>
          <w:color w:val="000000" w:themeColor="text1"/>
          <w:sz w:val="26"/>
          <w:szCs w:val="26"/>
        </w:rPr>
        <w:t xml:space="preserve">, 768 A.2d at 1220, n. 7 (citing, </w:t>
      </w:r>
      <w:r w:rsidRPr="00E75AE0">
        <w:rPr>
          <w:i/>
          <w:color w:val="000000" w:themeColor="text1"/>
          <w:sz w:val="26"/>
          <w:szCs w:val="26"/>
        </w:rPr>
        <w:t>inter alia</w:t>
      </w:r>
      <w:r w:rsidRPr="00E75AE0">
        <w:rPr>
          <w:color w:val="000000" w:themeColor="text1"/>
          <w:sz w:val="26"/>
          <w:szCs w:val="26"/>
        </w:rPr>
        <w:t>, 66 Pa.</w:t>
      </w:r>
      <w:r>
        <w:rPr>
          <w:color w:val="000000" w:themeColor="text1"/>
          <w:sz w:val="26"/>
          <w:szCs w:val="26"/>
        </w:rPr>
        <w:t xml:space="preserve"> </w:t>
      </w:r>
      <w:r w:rsidRPr="00E75AE0">
        <w:rPr>
          <w:color w:val="000000" w:themeColor="text1"/>
          <w:sz w:val="26"/>
          <w:szCs w:val="26"/>
        </w:rPr>
        <w:t>C.S. § 335(a)).</w:t>
      </w:r>
    </w:p>
  </w:footnote>
  <w:footnote w:id="6">
    <w:p w14:paraId="4661CAB0" w14:textId="77777777" w:rsidR="00A8708A" w:rsidRPr="00681872" w:rsidRDefault="00A8708A" w:rsidP="00E75AE0">
      <w:pPr>
        <w:widowControl/>
        <w:spacing w:after="120"/>
        <w:ind w:firstLine="720"/>
        <w:rPr>
          <w:sz w:val="26"/>
          <w:szCs w:val="26"/>
        </w:rPr>
      </w:pPr>
      <w:r w:rsidRPr="00681872">
        <w:rPr>
          <w:rStyle w:val="FootnoteReference"/>
          <w:sz w:val="26"/>
          <w:szCs w:val="26"/>
        </w:rPr>
        <w:footnoteRef/>
      </w:r>
      <w:r w:rsidRPr="00681872">
        <w:rPr>
          <w:sz w:val="26"/>
          <w:szCs w:val="26"/>
        </w:rPr>
        <w:tab/>
      </w:r>
      <w:r w:rsidRPr="00681872">
        <w:rPr>
          <w:i/>
          <w:sz w:val="26"/>
          <w:szCs w:val="26"/>
        </w:rPr>
        <w:t>See Final Rulemaking Order, Rulemaking Re: Electric Safety Regulations, 52 Pa. Code Chapter 57</w:t>
      </w:r>
      <w:r w:rsidRPr="00681872">
        <w:rPr>
          <w:sz w:val="26"/>
          <w:szCs w:val="26"/>
        </w:rPr>
        <w:t>, Docket No. L-2015-2500632 (Order entered April 20, 2017) (</w:t>
      </w:r>
      <w:r w:rsidRPr="00681872">
        <w:rPr>
          <w:i/>
          <w:sz w:val="26"/>
          <w:szCs w:val="26"/>
        </w:rPr>
        <w:t>Electric Safety Final Rulemaking Order</w:t>
      </w:r>
      <w:r w:rsidRPr="00681872">
        <w:rPr>
          <w:sz w:val="26"/>
          <w:szCs w:val="26"/>
        </w:rPr>
        <w:t>).</w:t>
      </w:r>
    </w:p>
  </w:footnote>
  <w:footnote w:id="7">
    <w:p w14:paraId="194B8343" w14:textId="77777777" w:rsidR="00A8708A" w:rsidRPr="005A419C" w:rsidRDefault="00A8708A" w:rsidP="005A419C">
      <w:pPr>
        <w:pStyle w:val="FootnoteText"/>
        <w:rPr>
          <w:sz w:val="26"/>
          <w:szCs w:val="26"/>
        </w:rPr>
      </w:pPr>
      <w:r w:rsidRPr="005A419C">
        <w:rPr>
          <w:sz w:val="26"/>
          <w:szCs w:val="26"/>
        </w:rPr>
        <w:tab/>
      </w:r>
      <w:r w:rsidRPr="005A419C">
        <w:rPr>
          <w:rStyle w:val="FootnoteReference"/>
          <w:sz w:val="26"/>
          <w:szCs w:val="26"/>
        </w:rPr>
        <w:footnoteRef/>
      </w:r>
      <w:r w:rsidRPr="005A419C">
        <w:rPr>
          <w:sz w:val="26"/>
          <w:szCs w:val="26"/>
        </w:rPr>
        <w:t xml:space="preserve"> </w:t>
      </w:r>
      <w:r w:rsidRPr="005A419C">
        <w:rPr>
          <w:sz w:val="26"/>
          <w:szCs w:val="26"/>
        </w:rPr>
        <w:tab/>
        <w:t xml:space="preserve">RF is an abbreviation for radio frequency and is also used here to denote RF fields or RF signals.  An RF field is the field produced when an object sends a signal at a frequency in the radio frequency range, most commonly used for radio communications.  AMI meters send low level radio signals and produce RF fields which are a natural result of sending radio signals.  PPL St. </w:t>
      </w:r>
      <w:r w:rsidRPr="00FD0546">
        <w:rPr>
          <w:sz w:val="26"/>
          <w:szCs w:val="26"/>
        </w:rPr>
        <w:t>1 at 5, 7</w:t>
      </w:r>
      <w:r w:rsidRPr="005A419C">
        <w:rPr>
          <w:sz w:val="26"/>
          <w:szCs w:val="26"/>
        </w:rPr>
        <w:t>.</w:t>
      </w:r>
    </w:p>
  </w:footnote>
  <w:footnote w:id="8">
    <w:p w14:paraId="5F8883E9" w14:textId="71352DC7" w:rsidR="00A8708A" w:rsidRPr="005F1E7F" w:rsidRDefault="00A8708A" w:rsidP="005F1E7F">
      <w:pPr>
        <w:pStyle w:val="FootnoteText"/>
        <w:ind w:firstLine="720"/>
        <w:rPr>
          <w:sz w:val="26"/>
          <w:szCs w:val="26"/>
        </w:rPr>
      </w:pPr>
      <w:r w:rsidRPr="005F1E7F">
        <w:rPr>
          <w:rStyle w:val="FootnoteReference"/>
          <w:sz w:val="26"/>
          <w:szCs w:val="26"/>
        </w:rPr>
        <w:footnoteRef/>
      </w:r>
      <w:r w:rsidRPr="005F1E7F">
        <w:rPr>
          <w:sz w:val="26"/>
          <w:szCs w:val="26"/>
        </w:rPr>
        <w:tab/>
      </w:r>
      <w:r>
        <w:rPr>
          <w:sz w:val="26"/>
          <w:szCs w:val="26"/>
        </w:rPr>
        <w:t>In the Amended Complaint, the Complainant claimed that the AMI meter will emit RF radiation and, according to Dr. Robert Baan from the International Agency for Research on Cancer and the World Health Organization (WHO), “…RF is considered a Class 2B carcinogen...”  Amended Complaint at 3.</w:t>
      </w:r>
    </w:p>
  </w:footnote>
  <w:footnote w:id="9">
    <w:p w14:paraId="748BFAFD" w14:textId="231637F1" w:rsidR="00A8708A" w:rsidRPr="00F57CEF" w:rsidRDefault="00A8708A" w:rsidP="00F57CEF">
      <w:pPr>
        <w:pStyle w:val="FootnoteText"/>
        <w:ind w:firstLine="720"/>
        <w:rPr>
          <w:sz w:val="26"/>
          <w:szCs w:val="26"/>
        </w:rPr>
      </w:pPr>
      <w:r w:rsidRPr="00C72719">
        <w:rPr>
          <w:rStyle w:val="FootnoteReference"/>
          <w:sz w:val="26"/>
          <w:szCs w:val="26"/>
        </w:rPr>
        <w:footnoteRef/>
      </w:r>
      <w:r w:rsidRPr="00C72719">
        <w:rPr>
          <w:sz w:val="26"/>
          <w:szCs w:val="26"/>
        </w:rPr>
        <w:t xml:space="preserve"> </w:t>
      </w:r>
      <w:r w:rsidRPr="00C72719">
        <w:rPr>
          <w:sz w:val="26"/>
          <w:szCs w:val="26"/>
        </w:rPr>
        <w:tab/>
        <w:t>The applicable FCC Maximum Permissible Exposure Limit for the smart meter proposed by PPL is 0.6 mW/cm</w:t>
      </w:r>
      <w:r w:rsidRPr="00C72719">
        <w:rPr>
          <w:sz w:val="26"/>
          <w:szCs w:val="26"/>
          <w:vertAlign w:val="superscript"/>
        </w:rPr>
        <w:t>2</w:t>
      </w:r>
      <w:r w:rsidRPr="00C72719">
        <w:rPr>
          <w:sz w:val="26"/>
          <w:szCs w:val="26"/>
        </w:rPr>
        <w:t xml:space="preserve"> based on a 30-minute average.  47 CFR § 1.1310.</w:t>
      </w:r>
    </w:p>
  </w:footnote>
  <w:footnote w:id="10">
    <w:p w14:paraId="7F7E561C" w14:textId="6062E487" w:rsidR="00A8708A" w:rsidRPr="000324AD" w:rsidRDefault="00A8708A" w:rsidP="001706CE">
      <w:pPr>
        <w:pStyle w:val="FootnoteText"/>
        <w:keepNext/>
        <w:keepLines/>
        <w:spacing w:after="120"/>
        <w:rPr>
          <w:sz w:val="26"/>
          <w:szCs w:val="26"/>
        </w:rPr>
      </w:pPr>
      <w:r>
        <w:tab/>
      </w:r>
      <w:r w:rsidRPr="000324AD">
        <w:rPr>
          <w:rStyle w:val="FootnoteReference"/>
          <w:sz w:val="26"/>
          <w:szCs w:val="26"/>
        </w:rPr>
        <w:footnoteRef/>
      </w:r>
      <w:r w:rsidRPr="000324AD">
        <w:rPr>
          <w:sz w:val="26"/>
          <w:szCs w:val="26"/>
        </w:rPr>
        <w:t xml:space="preserve"> </w:t>
      </w:r>
      <w:r w:rsidRPr="000324AD">
        <w:rPr>
          <w:sz w:val="26"/>
          <w:szCs w:val="26"/>
        </w:rPr>
        <w:tab/>
        <w:t xml:space="preserve">We acknowledge that the format of the Complainant’s Exceptions does not strictly comply with Section 5.533(b) of our Regulations, 52 Pa. Code § 5.533(b), which requires that exceptions be numbered, identify the finding of fact and conclusions of law to which exceptions is taken, and cite to the relevant pages of the Initial Decision.  Nevertheless, particularly because the Complainant is appearing </w:t>
      </w:r>
      <w:r w:rsidRPr="000324AD">
        <w:rPr>
          <w:i/>
          <w:iCs/>
          <w:sz w:val="26"/>
          <w:szCs w:val="26"/>
        </w:rPr>
        <w:t>pro se</w:t>
      </w:r>
      <w:r w:rsidRPr="000324AD">
        <w:rPr>
          <w:sz w:val="26"/>
          <w:szCs w:val="26"/>
        </w:rPr>
        <w:t>, we will accept the Exceptions as filed</w:t>
      </w:r>
      <w:r>
        <w:rPr>
          <w:sz w:val="26"/>
          <w:szCs w:val="26"/>
        </w:rPr>
        <w:t>,</w:t>
      </w:r>
      <w:r w:rsidRPr="000324AD">
        <w:rPr>
          <w:sz w:val="26"/>
          <w:szCs w:val="26"/>
        </w:rPr>
        <w:t xml:space="preserve"> pursuant to Section 1.2(a)</w:t>
      </w:r>
      <w:r>
        <w:rPr>
          <w:sz w:val="26"/>
          <w:szCs w:val="26"/>
        </w:rPr>
        <w:t xml:space="preserve"> and (d)</w:t>
      </w:r>
      <w:r w:rsidRPr="000324AD">
        <w:rPr>
          <w:sz w:val="26"/>
          <w:szCs w:val="26"/>
        </w:rPr>
        <w:t xml:space="preserve"> of our </w:t>
      </w:r>
      <w:r w:rsidR="00B2785A">
        <w:rPr>
          <w:sz w:val="26"/>
          <w:szCs w:val="26"/>
        </w:rPr>
        <w:t>R</w:t>
      </w:r>
      <w:r w:rsidRPr="000324AD">
        <w:rPr>
          <w:sz w:val="26"/>
          <w:szCs w:val="26"/>
        </w:rPr>
        <w:t>egulations, 52 Pa. Code §</w:t>
      </w:r>
      <w:r>
        <w:rPr>
          <w:sz w:val="26"/>
          <w:szCs w:val="26"/>
        </w:rPr>
        <w:t> </w:t>
      </w:r>
      <w:r w:rsidRPr="000324AD">
        <w:rPr>
          <w:sz w:val="26"/>
          <w:szCs w:val="26"/>
        </w:rPr>
        <w:t>1.2(a)</w:t>
      </w:r>
      <w:r>
        <w:rPr>
          <w:sz w:val="26"/>
          <w:szCs w:val="26"/>
        </w:rPr>
        <w:t xml:space="preserve"> and (d)</w:t>
      </w:r>
      <w:r w:rsidRPr="000324AD">
        <w:rPr>
          <w:sz w:val="26"/>
          <w:szCs w:val="26"/>
        </w:rPr>
        <w:t xml:space="preserve">, in order to secure a just, speedy, and inexpensive determination.  </w:t>
      </w:r>
    </w:p>
  </w:footnote>
  <w:footnote w:id="11">
    <w:p w14:paraId="04366A31" w14:textId="0A6094D0" w:rsidR="00A8708A" w:rsidRPr="00CB76D8" w:rsidRDefault="00A8708A" w:rsidP="00CB76D8">
      <w:pPr>
        <w:pStyle w:val="FootnoteText"/>
        <w:ind w:firstLine="720"/>
        <w:rPr>
          <w:sz w:val="26"/>
          <w:szCs w:val="26"/>
        </w:rPr>
      </w:pPr>
      <w:r w:rsidRPr="00CB76D8">
        <w:rPr>
          <w:rStyle w:val="FootnoteReference"/>
          <w:sz w:val="26"/>
          <w:szCs w:val="26"/>
        </w:rPr>
        <w:footnoteRef/>
      </w:r>
      <w:r w:rsidRPr="00CB76D8">
        <w:rPr>
          <w:sz w:val="26"/>
          <w:szCs w:val="26"/>
        </w:rPr>
        <w:tab/>
        <w:t xml:space="preserve">A hyperlink to the extra record materials appears immediately following </w:t>
      </w:r>
      <w:r>
        <w:rPr>
          <w:sz w:val="26"/>
          <w:szCs w:val="26"/>
        </w:rPr>
        <w:t>the</w:t>
      </w:r>
      <w:r w:rsidRPr="00CB76D8">
        <w:rPr>
          <w:sz w:val="26"/>
          <w:szCs w:val="26"/>
        </w:rPr>
        <w:t xml:space="preserve"> </w:t>
      </w:r>
      <w:r>
        <w:rPr>
          <w:sz w:val="26"/>
          <w:szCs w:val="26"/>
        </w:rPr>
        <w:t xml:space="preserve">Complainant’s </w:t>
      </w:r>
      <w:r w:rsidRPr="00CB76D8">
        <w:rPr>
          <w:sz w:val="26"/>
          <w:szCs w:val="26"/>
        </w:rPr>
        <w:t xml:space="preserve">summarized </w:t>
      </w:r>
      <w:r>
        <w:rPr>
          <w:sz w:val="26"/>
          <w:szCs w:val="26"/>
        </w:rPr>
        <w:t>commen</w:t>
      </w:r>
      <w:r w:rsidRPr="00CB76D8">
        <w:rPr>
          <w:sz w:val="26"/>
          <w:szCs w:val="26"/>
        </w:rPr>
        <w:t>ts from those materials.  Exc. at 5-6.</w:t>
      </w:r>
    </w:p>
  </w:footnote>
  <w:footnote w:id="12">
    <w:p w14:paraId="7CBDC57A" w14:textId="76D7EF3D" w:rsidR="00A8708A" w:rsidRDefault="00A8708A" w:rsidP="00983FB9">
      <w:pPr>
        <w:keepNext/>
        <w:keepLines/>
        <w:widowControl/>
        <w:autoSpaceDE w:val="0"/>
        <w:autoSpaceDN w:val="0"/>
        <w:adjustRightInd w:val="0"/>
        <w:spacing w:after="120"/>
        <w:ind w:firstLine="720"/>
      </w:pPr>
      <w:r w:rsidRPr="0053117B">
        <w:rPr>
          <w:rStyle w:val="FootnoteReference"/>
          <w:sz w:val="26"/>
          <w:szCs w:val="26"/>
        </w:rPr>
        <w:footnoteRef/>
      </w:r>
      <w:r>
        <w:tab/>
      </w:r>
      <w:r w:rsidRPr="00AF095C">
        <w:rPr>
          <w:sz w:val="26"/>
          <w:szCs w:val="26"/>
        </w:rPr>
        <w:t xml:space="preserve">While PPL furnishes and owns the meter, the meter typically is located on a customer’s property.  PPL’s ability to change a meter or metering equipment – </w:t>
      </w:r>
      <w:r w:rsidRPr="00AF095C">
        <w:rPr>
          <w:iCs/>
          <w:sz w:val="26"/>
          <w:szCs w:val="26"/>
        </w:rPr>
        <w:t>i.e.,</w:t>
      </w:r>
      <w:r w:rsidRPr="00AF095C">
        <w:rPr>
          <w:sz w:val="26"/>
          <w:szCs w:val="26"/>
        </w:rPr>
        <w:t xml:space="preserve"> to remove an existing </w:t>
      </w:r>
      <w:r w:rsidR="009528F4">
        <w:rPr>
          <w:sz w:val="26"/>
          <w:szCs w:val="26"/>
        </w:rPr>
        <w:t>PLC</w:t>
      </w:r>
      <w:r w:rsidRPr="00AF095C">
        <w:rPr>
          <w:sz w:val="26"/>
          <w:szCs w:val="26"/>
        </w:rPr>
        <w:t xml:space="preserve"> meter and install a new AMI meter – requires the customer to give PPL reasonable access to its meter located on the customer’s property.  Indeed, PPL’s Tariff provides that “Company employees shall have access at all reasonable hours to customer’s premises, without charge, for the purpose of inspecting installations, installing meters, reading</w:t>
      </w:r>
      <w:r w:rsidRPr="007A51F0">
        <w:rPr>
          <w:sz w:val="26"/>
          <w:szCs w:val="26"/>
        </w:rPr>
        <w:t>, testing, removing, replacing or otherwise maintaining or disposing of any of Company’s property.”</w:t>
      </w:r>
      <w:r>
        <w:rPr>
          <w:sz w:val="26"/>
          <w:szCs w:val="26"/>
        </w:rPr>
        <w:t xml:space="preserve">  </w:t>
      </w:r>
      <w:r w:rsidRPr="007A51F0">
        <w:rPr>
          <w:sz w:val="26"/>
          <w:szCs w:val="26"/>
        </w:rPr>
        <w:t>PPL’s Tariff Electric Pa. P.U.C. No. 201, Rule 2.F, page 6B.</w:t>
      </w:r>
    </w:p>
  </w:footnote>
  <w:footnote w:id="13">
    <w:p w14:paraId="174DD57B" w14:textId="7B941635" w:rsidR="00A8708A" w:rsidRDefault="00A8708A" w:rsidP="00983FB9">
      <w:pPr>
        <w:pStyle w:val="FootnoteText"/>
        <w:keepNext/>
        <w:keepLines/>
        <w:spacing w:after="120"/>
        <w:ind w:firstLine="720"/>
      </w:pPr>
      <w:r w:rsidRPr="00D80A48">
        <w:rPr>
          <w:rStyle w:val="FootnoteReference"/>
          <w:sz w:val="26"/>
          <w:szCs w:val="26"/>
        </w:rPr>
        <w:footnoteRef/>
      </w:r>
      <w:r>
        <w:tab/>
      </w:r>
      <w:r w:rsidRPr="001C6E41">
        <w:rPr>
          <w:sz w:val="26"/>
          <w:szCs w:val="26"/>
        </w:rPr>
        <w:t xml:space="preserve">A public utility’s Commission-approved tariff is </w:t>
      </w:r>
      <w:r w:rsidRPr="001C6E41">
        <w:rPr>
          <w:i/>
          <w:iCs/>
          <w:sz w:val="26"/>
          <w:szCs w:val="26"/>
        </w:rPr>
        <w:t xml:space="preserve">prima facie </w:t>
      </w:r>
      <w:r w:rsidRPr="001C6E41">
        <w:rPr>
          <w:sz w:val="26"/>
          <w:szCs w:val="26"/>
        </w:rPr>
        <w:t xml:space="preserve">reasonable, has the full force of law and is binding on the utility and the customer. </w:t>
      </w:r>
      <w:r>
        <w:rPr>
          <w:sz w:val="26"/>
          <w:szCs w:val="26"/>
        </w:rPr>
        <w:t xml:space="preserve"> </w:t>
      </w:r>
      <w:r w:rsidRPr="001C6E41">
        <w:rPr>
          <w:sz w:val="26"/>
          <w:szCs w:val="26"/>
        </w:rPr>
        <w:t xml:space="preserve">66 </w:t>
      </w:r>
      <w:r>
        <w:rPr>
          <w:sz w:val="26"/>
          <w:szCs w:val="26"/>
        </w:rPr>
        <w:t>Pa.</w:t>
      </w:r>
      <w:r w:rsidR="00174049">
        <w:rPr>
          <w:sz w:val="26"/>
          <w:szCs w:val="26"/>
        </w:rPr>
        <w:t xml:space="preserve"> </w:t>
      </w:r>
      <w:r>
        <w:rPr>
          <w:sz w:val="26"/>
          <w:szCs w:val="26"/>
        </w:rPr>
        <w:t>C.S.</w:t>
      </w:r>
      <w:r w:rsidRPr="001C6E41">
        <w:rPr>
          <w:sz w:val="26"/>
          <w:szCs w:val="26"/>
        </w:rPr>
        <w:t xml:space="preserve"> § 316, </w:t>
      </w:r>
      <w:r w:rsidRPr="001C6E41">
        <w:rPr>
          <w:i/>
          <w:iCs/>
          <w:sz w:val="26"/>
          <w:szCs w:val="26"/>
        </w:rPr>
        <w:t>Kossman v. Pa. PUC</w:t>
      </w:r>
      <w:r w:rsidRPr="001C6E41">
        <w:rPr>
          <w:sz w:val="26"/>
          <w:szCs w:val="26"/>
        </w:rPr>
        <w:t>, 694 A.2d 1147 (Pa.</w:t>
      </w:r>
      <w:r>
        <w:rPr>
          <w:sz w:val="26"/>
          <w:szCs w:val="26"/>
        </w:rPr>
        <w:t xml:space="preserve"> </w:t>
      </w:r>
      <w:r w:rsidRPr="001C6E41">
        <w:rPr>
          <w:sz w:val="26"/>
          <w:szCs w:val="26"/>
        </w:rPr>
        <w:t>Cmwlth. 1997) (</w:t>
      </w:r>
      <w:r w:rsidRPr="001C6E41">
        <w:rPr>
          <w:i/>
          <w:iCs/>
          <w:sz w:val="26"/>
          <w:szCs w:val="26"/>
        </w:rPr>
        <w:t>Kossman)</w:t>
      </w:r>
      <w:r w:rsidRPr="001C6E41">
        <w:rPr>
          <w:sz w:val="26"/>
          <w:szCs w:val="26"/>
        </w:rPr>
        <w:t xml:space="preserve">; and </w:t>
      </w:r>
      <w:r w:rsidRPr="001C6E41">
        <w:rPr>
          <w:i/>
          <w:iCs/>
          <w:sz w:val="26"/>
          <w:szCs w:val="26"/>
        </w:rPr>
        <w:t>Stiteler v. Bell Telephone Co. of Pennsylvania</w:t>
      </w:r>
      <w:r w:rsidRPr="001C6E41">
        <w:rPr>
          <w:sz w:val="26"/>
          <w:szCs w:val="26"/>
        </w:rPr>
        <w:t xml:space="preserve">, </w:t>
      </w:r>
      <w:r>
        <w:rPr>
          <w:sz w:val="26"/>
          <w:szCs w:val="26"/>
        </w:rPr>
        <w:t xml:space="preserve">379 </w:t>
      </w:r>
      <w:r w:rsidRPr="001C6E41">
        <w:rPr>
          <w:sz w:val="26"/>
          <w:szCs w:val="26"/>
        </w:rPr>
        <w:t>A.2d 339 (Pa.</w:t>
      </w:r>
      <w:r>
        <w:rPr>
          <w:sz w:val="26"/>
          <w:szCs w:val="26"/>
        </w:rPr>
        <w:t xml:space="preserve"> </w:t>
      </w:r>
      <w:r w:rsidRPr="001C6E41">
        <w:rPr>
          <w:sz w:val="26"/>
          <w:szCs w:val="26"/>
        </w:rPr>
        <w:t>Cmwlth. 1977) (</w:t>
      </w:r>
      <w:r w:rsidRPr="001C6E41">
        <w:rPr>
          <w:i/>
          <w:iCs/>
          <w:sz w:val="26"/>
          <w:szCs w:val="26"/>
        </w:rPr>
        <w:t>Stiteler)</w:t>
      </w:r>
      <w:r w:rsidRPr="001C6E41">
        <w:rPr>
          <w:sz w:val="26"/>
          <w:szCs w:val="26"/>
        </w:rPr>
        <w:t>.</w:t>
      </w:r>
    </w:p>
  </w:footnote>
  <w:footnote w:id="14">
    <w:p w14:paraId="7B0C9C85" w14:textId="07F5521E" w:rsidR="00A8708A" w:rsidRPr="00B20269" w:rsidRDefault="00A8708A" w:rsidP="00EE4C52">
      <w:pPr>
        <w:pStyle w:val="FootnoteText"/>
        <w:keepNext/>
        <w:keepLines/>
        <w:spacing w:after="120"/>
        <w:ind w:firstLine="720"/>
        <w:contextualSpacing/>
        <w:rPr>
          <w:sz w:val="26"/>
          <w:szCs w:val="26"/>
        </w:rPr>
      </w:pPr>
      <w:r w:rsidRPr="00B20269">
        <w:rPr>
          <w:rStyle w:val="FootnoteReference"/>
          <w:sz w:val="26"/>
          <w:szCs w:val="26"/>
        </w:rPr>
        <w:footnoteRef/>
      </w:r>
      <w:r w:rsidRPr="00B20269">
        <w:rPr>
          <w:sz w:val="26"/>
          <w:szCs w:val="26"/>
        </w:rPr>
        <w:tab/>
      </w:r>
      <w:r w:rsidRPr="00B20269">
        <w:rPr>
          <w:i/>
          <w:iCs/>
          <w:sz w:val="26"/>
          <w:szCs w:val="26"/>
        </w:rPr>
        <w:t xml:space="preserve">See </w:t>
      </w:r>
      <w:bookmarkStart w:id="26" w:name="_Hlk45095419"/>
      <w:r w:rsidRPr="00B20269">
        <w:rPr>
          <w:i/>
          <w:iCs/>
          <w:sz w:val="26"/>
          <w:szCs w:val="26"/>
        </w:rPr>
        <w:t>Joint Petition of Metropolitan Edison Company, Pennsylvania Electric Company, and Pennsylvania Power Company for Approval of Smart Meter Technology Procurement and Installation Plan</w:t>
      </w:r>
      <w:r w:rsidRPr="00B20269">
        <w:rPr>
          <w:sz w:val="26"/>
          <w:szCs w:val="26"/>
        </w:rPr>
        <w:t>, 2010 Pa. PUC LEXIS 963 (Order Entered June</w:t>
      </w:r>
      <w:r w:rsidR="00456AFE">
        <w:rPr>
          <w:sz w:val="26"/>
          <w:szCs w:val="26"/>
        </w:rPr>
        <w:t> </w:t>
      </w:r>
      <w:r w:rsidRPr="00B20269">
        <w:rPr>
          <w:sz w:val="26"/>
          <w:szCs w:val="26"/>
        </w:rPr>
        <w:t>9,</w:t>
      </w:r>
      <w:r w:rsidR="00456AFE">
        <w:rPr>
          <w:sz w:val="26"/>
          <w:szCs w:val="26"/>
        </w:rPr>
        <w:t> </w:t>
      </w:r>
      <w:r w:rsidRPr="00B20269">
        <w:rPr>
          <w:sz w:val="26"/>
          <w:szCs w:val="26"/>
        </w:rPr>
        <w:t>2010).</w:t>
      </w:r>
      <w:bookmarkEnd w:id="26"/>
    </w:p>
  </w:footnote>
  <w:footnote w:id="15">
    <w:p w14:paraId="302EFD96" w14:textId="1176EB1E" w:rsidR="00CD75E3" w:rsidRPr="00991312" w:rsidRDefault="00CD75E3" w:rsidP="00CD75E3">
      <w:pPr>
        <w:pStyle w:val="FootnoteText"/>
        <w:keepNext/>
        <w:keepLines/>
        <w:ind w:firstLine="720"/>
      </w:pPr>
      <w:r w:rsidRPr="00F04C49">
        <w:rPr>
          <w:rStyle w:val="FootnoteReference"/>
          <w:sz w:val="26"/>
          <w:szCs w:val="26"/>
        </w:rPr>
        <w:footnoteRef/>
      </w:r>
      <w:r w:rsidRPr="00F04C49">
        <w:rPr>
          <w:sz w:val="26"/>
          <w:szCs w:val="26"/>
        </w:rPr>
        <w:t xml:space="preserve"> </w:t>
      </w:r>
      <w:r w:rsidRPr="00F04C49">
        <w:rPr>
          <w:sz w:val="26"/>
          <w:szCs w:val="26"/>
        </w:rPr>
        <w:tab/>
        <w:t xml:space="preserve">In the </w:t>
      </w:r>
      <w:r w:rsidRPr="00F04C49">
        <w:rPr>
          <w:i/>
          <w:iCs/>
          <w:sz w:val="26"/>
          <w:szCs w:val="26"/>
        </w:rPr>
        <w:t xml:space="preserve">Smart Meter </w:t>
      </w:r>
      <w:r>
        <w:rPr>
          <w:i/>
          <w:iCs/>
          <w:sz w:val="26"/>
          <w:szCs w:val="26"/>
        </w:rPr>
        <w:t>Implementa</w:t>
      </w:r>
      <w:r w:rsidRPr="00F04C49">
        <w:rPr>
          <w:i/>
          <w:iCs/>
          <w:sz w:val="26"/>
          <w:szCs w:val="26"/>
        </w:rPr>
        <w:t>tion Order</w:t>
      </w:r>
      <w:r w:rsidRPr="00F04C49">
        <w:rPr>
          <w:sz w:val="26"/>
          <w:szCs w:val="26"/>
        </w:rPr>
        <w:t>, we recognized that the EDCs needed time to select the technology, train personnel, and deploy the entire AMI network, including any associated hardware and software.</w:t>
      </w:r>
      <w:r>
        <w:t xml:space="preserve">  </w:t>
      </w:r>
      <w:r w:rsidRPr="00F04C49">
        <w:rPr>
          <w:i/>
          <w:iCs/>
          <w:sz w:val="26"/>
          <w:szCs w:val="26"/>
        </w:rPr>
        <w:t xml:space="preserve">Smart Meter </w:t>
      </w:r>
      <w:r w:rsidRPr="00E545D7">
        <w:rPr>
          <w:i/>
          <w:iCs/>
          <w:sz w:val="26"/>
          <w:szCs w:val="26"/>
        </w:rPr>
        <w:t>I</w:t>
      </w:r>
      <w:r>
        <w:rPr>
          <w:i/>
          <w:iCs/>
          <w:sz w:val="26"/>
          <w:szCs w:val="26"/>
        </w:rPr>
        <w:t>mplement</w:t>
      </w:r>
      <w:r w:rsidRPr="00E545D7">
        <w:rPr>
          <w:i/>
          <w:iCs/>
          <w:sz w:val="26"/>
          <w:szCs w:val="26"/>
        </w:rPr>
        <w:t>ation O</w:t>
      </w:r>
      <w:r w:rsidRPr="00F04C49">
        <w:rPr>
          <w:i/>
          <w:iCs/>
          <w:sz w:val="26"/>
          <w:szCs w:val="26"/>
        </w:rPr>
        <w:t>rder</w:t>
      </w:r>
      <w:r w:rsidRPr="00F04C49">
        <w:rPr>
          <w:sz w:val="26"/>
          <w:szCs w:val="26"/>
        </w:rPr>
        <w:t xml:space="preserve"> at</w:t>
      </w:r>
      <w:r w:rsidR="00DB6C42">
        <w:rPr>
          <w:sz w:val="26"/>
          <w:szCs w:val="26"/>
        </w:rPr>
        <w:t> </w:t>
      </w:r>
      <w:r w:rsidRPr="006246EA">
        <w:rPr>
          <w:sz w:val="26"/>
          <w:szCs w:val="26"/>
        </w:rPr>
        <w:t>6.</w:t>
      </w:r>
      <w:r>
        <w:t xml:space="preserve"> </w:t>
      </w:r>
      <w:r w:rsidRPr="00991312">
        <w:t xml:space="preserve"> </w:t>
      </w:r>
    </w:p>
  </w:footnote>
  <w:footnote w:id="16">
    <w:p w14:paraId="040C2217" w14:textId="2233FE5A" w:rsidR="00365921" w:rsidRPr="00273302" w:rsidRDefault="00365921" w:rsidP="00611EF9">
      <w:pPr>
        <w:pStyle w:val="FootnoteText"/>
        <w:keepNext/>
        <w:keepLines/>
        <w:ind w:firstLine="720"/>
        <w:contextualSpacing/>
        <w:rPr>
          <w:sz w:val="26"/>
          <w:szCs w:val="26"/>
        </w:rPr>
      </w:pPr>
      <w:r w:rsidRPr="00273302">
        <w:rPr>
          <w:rStyle w:val="FootnoteReference"/>
          <w:sz w:val="26"/>
          <w:szCs w:val="26"/>
        </w:rPr>
        <w:footnoteRef/>
      </w:r>
      <w:r w:rsidRPr="00273302">
        <w:rPr>
          <w:sz w:val="26"/>
          <w:szCs w:val="26"/>
        </w:rPr>
        <w:tab/>
        <w:t>PPL notes that Mr. Ulmer did object to Dr. Davis testifying as an expert in biophysics, but his objection was overruled.  R. Exc. at 11 (citing Tr. at 53-54)</w:t>
      </w:r>
      <w:r>
        <w:rPr>
          <w:sz w:val="26"/>
          <w:szCs w:val="26"/>
        </w:rPr>
        <w:t>.  Further, PPL claims that, “</w:t>
      </w:r>
      <w:r w:rsidR="00B84AA0">
        <w:rPr>
          <w:sz w:val="26"/>
          <w:szCs w:val="26"/>
        </w:rPr>
        <w:t>[</w:t>
      </w:r>
      <w:r>
        <w:rPr>
          <w:sz w:val="26"/>
          <w:szCs w:val="26"/>
        </w:rPr>
        <w:t>a</w:t>
      </w:r>
      <w:r w:rsidR="00B84AA0">
        <w:rPr>
          <w:sz w:val="26"/>
          <w:szCs w:val="26"/>
        </w:rPr>
        <w:t>]</w:t>
      </w:r>
      <w:r>
        <w:rPr>
          <w:sz w:val="26"/>
          <w:szCs w:val="26"/>
        </w:rPr>
        <w:t>ny fields of expertise to which the Complainant did not object, the Complainant waived his right to object to the expert witnesses’ qualifications to testify as experts in those fields.”  R. Exc. at 11</w:t>
      </w:r>
      <w:r w:rsidRPr="00273302">
        <w:rPr>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535F49"/>
    <w:multiLevelType w:val="hybridMultilevel"/>
    <w:tmpl w:val="363E53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652E64"/>
    <w:multiLevelType w:val="hybridMultilevel"/>
    <w:tmpl w:val="17113D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93875"/>
    <w:multiLevelType w:val="hybridMultilevel"/>
    <w:tmpl w:val="F89897C8"/>
    <w:lvl w:ilvl="0" w:tplc="EFC28A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502A72"/>
    <w:multiLevelType w:val="hybridMultilevel"/>
    <w:tmpl w:val="8B0479A0"/>
    <w:lvl w:ilvl="0" w:tplc="C8C255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7C5A25"/>
    <w:multiLevelType w:val="hybridMultilevel"/>
    <w:tmpl w:val="929CDF8E"/>
    <w:lvl w:ilvl="0" w:tplc="334074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E837DC"/>
    <w:multiLevelType w:val="hybridMultilevel"/>
    <w:tmpl w:val="9E223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64A40"/>
    <w:multiLevelType w:val="hybridMultilevel"/>
    <w:tmpl w:val="E9D07F5A"/>
    <w:lvl w:ilvl="0" w:tplc="50F89C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DF456F"/>
    <w:multiLevelType w:val="hybridMultilevel"/>
    <w:tmpl w:val="5D9EF5CC"/>
    <w:lvl w:ilvl="0" w:tplc="DC0AE7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BE0B31"/>
    <w:multiLevelType w:val="hybridMultilevel"/>
    <w:tmpl w:val="7DA23EC4"/>
    <w:lvl w:ilvl="0" w:tplc="D5B40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3B194A"/>
    <w:multiLevelType w:val="hybridMultilevel"/>
    <w:tmpl w:val="5B5091BE"/>
    <w:lvl w:ilvl="0" w:tplc="90E8857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E892BCB"/>
    <w:multiLevelType w:val="hybridMultilevel"/>
    <w:tmpl w:val="955EDA26"/>
    <w:lvl w:ilvl="0" w:tplc="F3BACC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0482E19"/>
    <w:multiLevelType w:val="hybridMultilevel"/>
    <w:tmpl w:val="E236CFB4"/>
    <w:lvl w:ilvl="0" w:tplc="E1284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4A50C3"/>
    <w:multiLevelType w:val="hybridMultilevel"/>
    <w:tmpl w:val="5DA4BE18"/>
    <w:lvl w:ilvl="0" w:tplc="924E2D46">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B54A44"/>
    <w:multiLevelType w:val="hybridMultilevel"/>
    <w:tmpl w:val="D9D42A80"/>
    <w:lvl w:ilvl="0" w:tplc="2DDC9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B76272"/>
    <w:multiLevelType w:val="hybridMultilevel"/>
    <w:tmpl w:val="26BEC772"/>
    <w:lvl w:ilvl="0" w:tplc="95F438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6762A53"/>
    <w:multiLevelType w:val="hybridMultilevel"/>
    <w:tmpl w:val="1AD6F9EE"/>
    <w:lvl w:ilvl="0" w:tplc="93F0E6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49445D"/>
    <w:multiLevelType w:val="hybridMultilevel"/>
    <w:tmpl w:val="DA36052E"/>
    <w:lvl w:ilvl="0" w:tplc="531A6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960409"/>
    <w:multiLevelType w:val="hybridMultilevel"/>
    <w:tmpl w:val="E14A67F6"/>
    <w:lvl w:ilvl="0" w:tplc="3CB0B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CF018B"/>
    <w:multiLevelType w:val="hybridMultilevel"/>
    <w:tmpl w:val="5B5091BE"/>
    <w:lvl w:ilvl="0" w:tplc="90E8857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1616E4E"/>
    <w:multiLevelType w:val="hybridMultilevel"/>
    <w:tmpl w:val="C1464400"/>
    <w:lvl w:ilvl="0" w:tplc="BFF6E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F55002"/>
    <w:multiLevelType w:val="hybridMultilevel"/>
    <w:tmpl w:val="637C12A8"/>
    <w:lvl w:ilvl="0" w:tplc="F97CB6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101D40"/>
    <w:multiLevelType w:val="hybridMultilevel"/>
    <w:tmpl w:val="4FF4DDC8"/>
    <w:lvl w:ilvl="0" w:tplc="2D0A52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47004D4"/>
    <w:multiLevelType w:val="hybridMultilevel"/>
    <w:tmpl w:val="BECC0D4A"/>
    <w:lvl w:ilvl="0" w:tplc="A6DE272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6D91060"/>
    <w:multiLevelType w:val="hybridMultilevel"/>
    <w:tmpl w:val="5B5091BE"/>
    <w:lvl w:ilvl="0" w:tplc="90E8857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697AE1"/>
    <w:multiLevelType w:val="hybridMultilevel"/>
    <w:tmpl w:val="98322AA4"/>
    <w:lvl w:ilvl="0" w:tplc="A1F4AB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AA16B6"/>
    <w:multiLevelType w:val="hybridMultilevel"/>
    <w:tmpl w:val="5B5091BE"/>
    <w:lvl w:ilvl="0" w:tplc="90E8857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FC60679"/>
    <w:multiLevelType w:val="hybridMultilevel"/>
    <w:tmpl w:val="5B5091BE"/>
    <w:lvl w:ilvl="0" w:tplc="90E8857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4D92EC4"/>
    <w:multiLevelType w:val="hybridMultilevel"/>
    <w:tmpl w:val="A5228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375123"/>
    <w:multiLevelType w:val="hybridMultilevel"/>
    <w:tmpl w:val="3D94C6CA"/>
    <w:lvl w:ilvl="0" w:tplc="BC00C6EE">
      <w:start w:val="1"/>
      <w:numFmt w:val="upperLetter"/>
      <w:pStyle w:val="Heading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C1A712"/>
    <w:multiLevelType w:val="hybridMultilevel"/>
    <w:tmpl w:val="7ABBC7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BF442F1"/>
    <w:multiLevelType w:val="hybridMultilevel"/>
    <w:tmpl w:val="5B5091BE"/>
    <w:lvl w:ilvl="0" w:tplc="90E8857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3B362E1"/>
    <w:multiLevelType w:val="hybridMultilevel"/>
    <w:tmpl w:val="5B5091BE"/>
    <w:lvl w:ilvl="0" w:tplc="90E8857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7652232"/>
    <w:multiLevelType w:val="hybridMultilevel"/>
    <w:tmpl w:val="15106FE2"/>
    <w:lvl w:ilvl="0" w:tplc="5E6A8FD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5"/>
  </w:num>
  <w:num w:numId="2">
    <w:abstractNumId w:val="5"/>
  </w:num>
  <w:num w:numId="3">
    <w:abstractNumId w:val="7"/>
  </w:num>
  <w:num w:numId="4">
    <w:abstractNumId w:val="2"/>
  </w:num>
  <w:num w:numId="5">
    <w:abstractNumId w:val="13"/>
  </w:num>
  <w:num w:numId="6">
    <w:abstractNumId w:val="21"/>
  </w:num>
  <w:num w:numId="7">
    <w:abstractNumId w:val="12"/>
  </w:num>
  <w:num w:numId="8">
    <w:abstractNumId w:val="20"/>
  </w:num>
  <w:num w:numId="9">
    <w:abstractNumId w:val="8"/>
  </w:num>
  <w:num w:numId="10">
    <w:abstractNumId w:val="17"/>
  </w:num>
  <w:num w:numId="11">
    <w:abstractNumId w:val="18"/>
  </w:num>
  <w:num w:numId="12">
    <w:abstractNumId w:val="16"/>
  </w:num>
  <w:num w:numId="13">
    <w:abstractNumId w:val="11"/>
  </w:num>
  <w:num w:numId="14">
    <w:abstractNumId w:val="3"/>
  </w:num>
  <w:num w:numId="15">
    <w:abstractNumId w:val="23"/>
  </w:num>
  <w:num w:numId="16">
    <w:abstractNumId w:val="0"/>
  </w:num>
  <w:num w:numId="17">
    <w:abstractNumId w:val="30"/>
  </w:num>
  <w:num w:numId="18">
    <w:abstractNumId w:val="1"/>
  </w:num>
  <w:num w:numId="19">
    <w:abstractNumId w:val="14"/>
  </w:num>
  <w:num w:numId="20">
    <w:abstractNumId w:val="10"/>
  </w:num>
  <w:num w:numId="21">
    <w:abstractNumId w:val="33"/>
  </w:num>
  <w:num w:numId="22">
    <w:abstractNumId w:val="22"/>
  </w:num>
  <w:num w:numId="23">
    <w:abstractNumId w:val="25"/>
  </w:num>
  <w:num w:numId="24">
    <w:abstractNumId w:val="28"/>
  </w:num>
  <w:num w:numId="25">
    <w:abstractNumId w:val="29"/>
  </w:num>
  <w:num w:numId="26">
    <w:abstractNumId w:val="4"/>
  </w:num>
  <w:num w:numId="27">
    <w:abstractNumId w:val="6"/>
  </w:num>
  <w:num w:numId="28">
    <w:abstractNumId w:val="9"/>
  </w:num>
  <w:num w:numId="29">
    <w:abstractNumId w:val="19"/>
  </w:num>
  <w:num w:numId="30">
    <w:abstractNumId w:val="27"/>
  </w:num>
  <w:num w:numId="31">
    <w:abstractNumId w:val="26"/>
  </w:num>
  <w:num w:numId="32">
    <w:abstractNumId w:val="24"/>
  </w:num>
  <w:num w:numId="33">
    <w:abstractNumId w:val="3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5E"/>
    <w:rsid w:val="000005F0"/>
    <w:rsid w:val="00001A9F"/>
    <w:rsid w:val="000023DD"/>
    <w:rsid w:val="000024CE"/>
    <w:rsid w:val="000031ED"/>
    <w:rsid w:val="00003E9C"/>
    <w:rsid w:val="00003F60"/>
    <w:rsid w:val="0000433A"/>
    <w:rsid w:val="00005717"/>
    <w:rsid w:val="000057D6"/>
    <w:rsid w:val="00005FAB"/>
    <w:rsid w:val="0000640B"/>
    <w:rsid w:val="00006AFC"/>
    <w:rsid w:val="00006C55"/>
    <w:rsid w:val="00006C84"/>
    <w:rsid w:val="00007668"/>
    <w:rsid w:val="00010BEB"/>
    <w:rsid w:val="00010C7C"/>
    <w:rsid w:val="00011320"/>
    <w:rsid w:val="000113CA"/>
    <w:rsid w:val="00011BF1"/>
    <w:rsid w:val="00012D52"/>
    <w:rsid w:val="00013BD3"/>
    <w:rsid w:val="00013E77"/>
    <w:rsid w:val="000140ED"/>
    <w:rsid w:val="00014746"/>
    <w:rsid w:val="00015802"/>
    <w:rsid w:val="00016D1E"/>
    <w:rsid w:val="00017D9D"/>
    <w:rsid w:val="00020248"/>
    <w:rsid w:val="000203E2"/>
    <w:rsid w:val="0002059C"/>
    <w:rsid w:val="00020B55"/>
    <w:rsid w:val="0002240E"/>
    <w:rsid w:val="0002361A"/>
    <w:rsid w:val="000236E4"/>
    <w:rsid w:val="00023FFD"/>
    <w:rsid w:val="00024ECF"/>
    <w:rsid w:val="0002506D"/>
    <w:rsid w:val="00025076"/>
    <w:rsid w:val="000259EB"/>
    <w:rsid w:val="00025DF9"/>
    <w:rsid w:val="00025E69"/>
    <w:rsid w:val="0002653E"/>
    <w:rsid w:val="00030EE5"/>
    <w:rsid w:val="00031985"/>
    <w:rsid w:val="00031A15"/>
    <w:rsid w:val="000324AD"/>
    <w:rsid w:val="0003253A"/>
    <w:rsid w:val="00032A10"/>
    <w:rsid w:val="00032D90"/>
    <w:rsid w:val="00032EFB"/>
    <w:rsid w:val="0003453F"/>
    <w:rsid w:val="00034926"/>
    <w:rsid w:val="000359C0"/>
    <w:rsid w:val="0003613E"/>
    <w:rsid w:val="0003623E"/>
    <w:rsid w:val="00036D74"/>
    <w:rsid w:val="0004009B"/>
    <w:rsid w:val="0004024B"/>
    <w:rsid w:val="00041A0B"/>
    <w:rsid w:val="00041D07"/>
    <w:rsid w:val="00041F45"/>
    <w:rsid w:val="00041F6D"/>
    <w:rsid w:val="00042D57"/>
    <w:rsid w:val="00042F0A"/>
    <w:rsid w:val="00042F28"/>
    <w:rsid w:val="00043176"/>
    <w:rsid w:val="0004362B"/>
    <w:rsid w:val="00044394"/>
    <w:rsid w:val="00044FD3"/>
    <w:rsid w:val="0004601E"/>
    <w:rsid w:val="00046819"/>
    <w:rsid w:val="00046CE3"/>
    <w:rsid w:val="00046FC9"/>
    <w:rsid w:val="00047197"/>
    <w:rsid w:val="000473BF"/>
    <w:rsid w:val="00047A38"/>
    <w:rsid w:val="00050267"/>
    <w:rsid w:val="00050351"/>
    <w:rsid w:val="00051A66"/>
    <w:rsid w:val="000523F8"/>
    <w:rsid w:val="0005338E"/>
    <w:rsid w:val="00054180"/>
    <w:rsid w:val="0005422D"/>
    <w:rsid w:val="00054291"/>
    <w:rsid w:val="00054989"/>
    <w:rsid w:val="00055921"/>
    <w:rsid w:val="00055C52"/>
    <w:rsid w:val="00055DC6"/>
    <w:rsid w:val="0005699F"/>
    <w:rsid w:val="0005711B"/>
    <w:rsid w:val="000571B2"/>
    <w:rsid w:val="000573EC"/>
    <w:rsid w:val="00057FF2"/>
    <w:rsid w:val="00060989"/>
    <w:rsid w:val="0006149A"/>
    <w:rsid w:val="00061685"/>
    <w:rsid w:val="00062656"/>
    <w:rsid w:val="0006310E"/>
    <w:rsid w:val="00063AAA"/>
    <w:rsid w:val="00064338"/>
    <w:rsid w:val="00064B0C"/>
    <w:rsid w:val="00064C51"/>
    <w:rsid w:val="00064E96"/>
    <w:rsid w:val="00064FA3"/>
    <w:rsid w:val="000654EC"/>
    <w:rsid w:val="00065B1A"/>
    <w:rsid w:val="0006698F"/>
    <w:rsid w:val="00066D73"/>
    <w:rsid w:val="000674BF"/>
    <w:rsid w:val="00070145"/>
    <w:rsid w:val="0007078A"/>
    <w:rsid w:val="00070BE0"/>
    <w:rsid w:val="00071A37"/>
    <w:rsid w:val="00071D51"/>
    <w:rsid w:val="000729E4"/>
    <w:rsid w:val="00072FB2"/>
    <w:rsid w:val="0007368A"/>
    <w:rsid w:val="00073BE2"/>
    <w:rsid w:val="00075273"/>
    <w:rsid w:val="000758AA"/>
    <w:rsid w:val="00076DF2"/>
    <w:rsid w:val="00077644"/>
    <w:rsid w:val="00077B82"/>
    <w:rsid w:val="00077D2C"/>
    <w:rsid w:val="00077D3D"/>
    <w:rsid w:val="00077EC1"/>
    <w:rsid w:val="0008080D"/>
    <w:rsid w:val="00080A5D"/>
    <w:rsid w:val="00081036"/>
    <w:rsid w:val="000817E0"/>
    <w:rsid w:val="00081EE4"/>
    <w:rsid w:val="0008231A"/>
    <w:rsid w:val="00082359"/>
    <w:rsid w:val="000836AE"/>
    <w:rsid w:val="00083ABE"/>
    <w:rsid w:val="00084203"/>
    <w:rsid w:val="00084592"/>
    <w:rsid w:val="00086CEC"/>
    <w:rsid w:val="00086F0B"/>
    <w:rsid w:val="00087121"/>
    <w:rsid w:val="00087914"/>
    <w:rsid w:val="000909A7"/>
    <w:rsid w:val="00090C69"/>
    <w:rsid w:val="00092FA1"/>
    <w:rsid w:val="00093040"/>
    <w:rsid w:val="00093602"/>
    <w:rsid w:val="000939C7"/>
    <w:rsid w:val="00093A77"/>
    <w:rsid w:val="00094518"/>
    <w:rsid w:val="000959E2"/>
    <w:rsid w:val="0009621E"/>
    <w:rsid w:val="0009637B"/>
    <w:rsid w:val="000965DD"/>
    <w:rsid w:val="000967F9"/>
    <w:rsid w:val="00096DEE"/>
    <w:rsid w:val="00096E4D"/>
    <w:rsid w:val="0009777B"/>
    <w:rsid w:val="000A07B3"/>
    <w:rsid w:val="000A0C72"/>
    <w:rsid w:val="000A11E9"/>
    <w:rsid w:val="000A1BD3"/>
    <w:rsid w:val="000A25BB"/>
    <w:rsid w:val="000A2869"/>
    <w:rsid w:val="000A2BC8"/>
    <w:rsid w:val="000A3525"/>
    <w:rsid w:val="000A4242"/>
    <w:rsid w:val="000A465C"/>
    <w:rsid w:val="000A472E"/>
    <w:rsid w:val="000A4927"/>
    <w:rsid w:val="000A5078"/>
    <w:rsid w:val="000A58E3"/>
    <w:rsid w:val="000A5F88"/>
    <w:rsid w:val="000A668C"/>
    <w:rsid w:val="000A6A37"/>
    <w:rsid w:val="000A78E3"/>
    <w:rsid w:val="000A7C2C"/>
    <w:rsid w:val="000B0419"/>
    <w:rsid w:val="000B071B"/>
    <w:rsid w:val="000B08FA"/>
    <w:rsid w:val="000B0A99"/>
    <w:rsid w:val="000B1A19"/>
    <w:rsid w:val="000B1C55"/>
    <w:rsid w:val="000B255B"/>
    <w:rsid w:val="000B2AC8"/>
    <w:rsid w:val="000B2B0A"/>
    <w:rsid w:val="000B366A"/>
    <w:rsid w:val="000B46BD"/>
    <w:rsid w:val="000B4D47"/>
    <w:rsid w:val="000B5986"/>
    <w:rsid w:val="000B674B"/>
    <w:rsid w:val="000B76D2"/>
    <w:rsid w:val="000C0FE0"/>
    <w:rsid w:val="000C15CC"/>
    <w:rsid w:val="000C2097"/>
    <w:rsid w:val="000C22D7"/>
    <w:rsid w:val="000C2859"/>
    <w:rsid w:val="000C3528"/>
    <w:rsid w:val="000C390B"/>
    <w:rsid w:val="000C4245"/>
    <w:rsid w:val="000C585B"/>
    <w:rsid w:val="000C60F5"/>
    <w:rsid w:val="000C7613"/>
    <w:rsid w:val="000C7A90"/>
    <w:rsid w:val="000C7E41"/>
    <w:rsid w:val="000D1BCC"/>
    <w:rsid w:val="000D20DD"/>
    <w:rsid w:val="000D23E6"/>
    <w:rsid w:val="000D2D66"/>
    <w:rsid w:val="000D33BF"/>
    <w:rsid w:val="000D3D1A"/>
    <w:rsid w:val="000D434E"/>
    <w:rsid w:val="000D4654"/>
    <w:rsid w:val="000D4DCA"/>
    <w:rsid w:val="000D597F"/>
    <w:rsid w:val="000D627D"/>
    <w:rsid w:val="000D62B3"/>
    <w:rsid w:val="000D6F48"/>
    <w:rsid w:val="000D7003"/>
    <w:rsid w:val="000D77BF"/>
    <w:rsid w:val="000D77E6"/>
    <w:rsid w:val="000D7901"/>
    <w:rsid w:val="000D7C55"/>
    <w:rsid w:val="000E0683"/>
    <w:rsid w:val="000E0830"/>
    <w:rsid w:val="000E092B"/>
    <w:rsid w:val="000E0D91"/>
    <w:rsid w:val="000E0F90"/>
    <w:rsid w:val="000E17D2"/>
    <w:rsid w:val="000E1B9B"/>
    <w:rsid w:val="000E1C44"/>
    <w:rsid w:val="000E1CB7"/>
    <w:rsid w:val="000E3A8B"/>
    <w:rsid w:val="000E3B0B"/>
    <w:rsid w:val="000E3ED6"/>
    <w:rsid w:val="000E437C"/>
    <w:rsid w:val="000E5C56"/>
    <w:rsid w:val="000E7543"/>
    <w:rsid w:val="000F00B7"/>
    <w:rsid w:val="000F03E5"/>
    <w:rsid w:val="000F0A1B"/>
    <w:rsid w:val="000F0E67"/>
    <w:rsid w:val="000F19A9"/>
    <w:rsid w:val="000F22AD"/>
    <w:rsid w:val="000F2344"/>
    <w:rsid w:val="000F236A"/>
    <w:rsid w:val="000F33D7"/>
    <w:rsid w:val="000F38B0"/>
    <w:rsid w:val="000F4166"/>
    <w:rsid w:val="000F4608"/>
    <w:rsid w:val="000F498C"/>
    <w:rsid w:val="000F4C63"/>
    <w:rsid w:val="000F4FA5"/>
    <w:rsid w:val="000F5A40"/>
    <w:rsid w:val="000F5D73"/>
    <w:rsid w:val="000F62D2"/>
    <w:rsid w:val="000F69FE"/>
    <w:rsid w:val="000F7266"/>
    <w:rsid w:val="000F72BD"/>
    <w:rsid w:val="000F7450"/>
    <w:rsid w:val="000F76C2"/>
    <w:rsid w:val="001008D8"/>
    <w:rsid w:val="00101FD8"/>
    <w:rsid w:val="00102073"/>
    <w:rsid w:val="00102E10"/>
    <w:rsid w:val="001033E8"/>
    <w:rsid w:val="00103C46"/>
    <w:rsid w:val="00103C4D"/>
    <w:rsid w:val="0010416C"/>
    <w:rsid w:val="001043C4"/>
    <w:rsid w:val="00104496"/>
    <w:rsid w:val="00105601"/>
    <w:rsid w:val="0010585D"/>
    <w:rsid w:val="00105971"/>
    <w:rsid w:val="00105AF3"/>
    <w:rsid w:val="001060C9"/>
    <w:rsid w:val="0010626F"/>
    <w:rsid w:val="0010681B"/>
    <w:rsid w:val="00107339"/>
    <w:rsid w:val="001076EF"/>
    <w:rsid w:val="001104DF"/>
    <w:rsid w:val="00110572"/>
    <w:rsid w:val="001106A0"/>
    <w:rsid w:val="00110A09"/>
    <w:rsid w:val="0011110C"/>
    <w:rsid w:val="00113871"/>
    <w:rsid w:val="00114BA6"/>
    <w:rsid w:val="00114F2B"/>
    <w:rsid w:val="001151C7"/>
    <w:rsid w:val="00115241"/>
    <w:rsid w:val="001153A7"/>
    <w:rsid w:val="0011544C"/>
    <w:rsid w:val="00115643"/>
    <w:rsid w:val="001156C7"/>
    <w:rsid w:val="00115DC3"/>
    <w:rsid w:val="00115F20"/>
    <w:rsid w:val="00117A64"/>
    <w:rsid w:val="001200A7"/>
    <w:rsid w:val="001203DA"/>
    <w:rsid w:val="00120400"/>
    <w:rsid w:val="00120C01"/>
    <w:rsid w:val="00120FF5"/>
    <w:rsid w:val="00121738"/>
    <w:rsid w:val="00122683"/>
    <w:rsid w:val="00122B7C"/>
    <w:rsid w:val="00122C48"/>
    <w:rsid w:val="00122E03"/>
    <w:rsid w:val="0012495E"/>
    <w:rsid w:val="00124F6E"/>
    <w:rsid w:val="001252CA"/>
    <w:rsid w:val="00125666"/>
    <w:rsid w:val="001269F2"/>
    <w:rsid w:val="00126A26"/>
    <w:rsid w:val="00126A59"/>
    <w:rsid w:val="00126DE3"/>
    <w:rsid w:val="00126EB3"/>
    <w:rsid w:val="00127620"/>
    <w:rsid w:val="00127A3D"/>
    <w:rsid w:val="00130237"/>
    <w:rsid w:val="00130895"/>
    <w:rsid w:val="001308EB"/>
    <w:rsid w:val="00130EE1"/>
    <w:rsid w:val="001314C2"/>
    <w:rsid w:val="001316C0"/>
    <w:rsid w:val="00132D23"/>
    <w:rsid w:val="00133C74"/>
    <w:rsid w:val="00134908"/>
    <w:rsid w:val="00135575"/>
    <w:rsid w:val="00135A07"/>
    <w:rsid w:val="00135FE5"/>
    <w:rsid w:val="0013619B"/>
    <w:rsid w:val="00136515"/>
    <w:rsid w:val="00137E12"/>
    <w:rsid w:val="00137E4F"/>
    <w:rsid w:val="00141287"/>
    <w:rsid w:val="0014290F"/>
    <w:rsid w:val="001429A6"/>
    <w:rsid w:val="00142B56"/>
    <w:rsid w:val="00142D98"/>
    <w:rsid w:val="00143206"/>
    <w:rsid w:val="001436E5"/>
    <w:rsid w:val="0014439C"/>
    <w:rsid w:val="00144EC3"/>
    <w:rsid w:val="0014530B"/>
    <w:rsid w:val="00145453"/>
    <w:rsid w:val="00145DE1"/>
    <w:rsid w:val="001476E4"/>
    <w:rsid w:val="001479B9"/>
    <w:rsid w:val="00147D51"/>
    <w:rsid w:val="00151849"/>
    <w:rsid w:val="00151CF5"/>
    <w:rsid w:val="00152023"/>
    <w:rsid w:val="00152A79"/>
    <w:rsid w:val="0015304B"/>
    <w:rsid w:val="001549EF"/>
    <w:rsid w:val="001550CF"/>
    <w:rsid w:val="00155718"/>
    <w:rsid w:val="00155A78"/>
    <w:rsid w:val="00155B8F"/>
    <w:rsid w:val="001609C5"/>
    <w:rsid w:val="001612B4"/>
    <w:rsid w:val="00163A41"/>
    <w:rsid w:val="00164437"/>
    <w:rsid w:val="0016522A"/>
    <w:rsid w:val="00165450"/>
    <w:rsid w:val="00165F0F"/>
    <w:rsid w:val="00166F8A"/>
    <w:rsid w:val="00167A8F"/>
    <w:rsid w:val="0017068F"/>
    <w:rsid w:val="001706CE"/>
    <w:rsid w:val="00170779"/>
    <w:rsid w:val="00170EBF"/>
    <w:rsid w:val="0017120E"/>
    <w:rsid w:val="001715E3"/>
    <w:rsid w:val="0017240A"/>
    <w:rsid w:val="001727F3"/>
    <w:rsid w:val="00172F07"/>
    <w:rsid w:val="00172F11"/>
    <w:rsid w:val="0017382E"/>
    <w:rsid w:val="00173C8A"/>
    <w:rsid w:val="00174049"/>
    <w:rsid w:val="0017467F"/>
    <w:rsid w:val="00174ECA"/>
    <w:rsid w:val="0017502C"/>
    <w:rsid w:val="00176EE0"/>
    <w:rsid w:val="00177400"/>
    <w:rsid w:val="00177801"/>
    <w:rsid w:val="00177D14"/>
    <w:rsid w:val="001816D6"/>
    <w:rsid w:val="00181743"/>
    <w:rsid w:val="001817E2"/>
    <w:rsid w:val="00182E59"/>
    <w:rsid w:val="00183BB1"/>
    <w:rsid w:val="00183C71"/>
    <w:rsid w:val="00184ABE"/>
    <w:rsid w:val="00185079"/>
    <w:rsid w:val="001858A6"/>
    <w:rsid w:val="00185FE9"/>
    <w:rsid w:val="001863FF"/>
    <w:rsid w:val="00186CEC"/>
    <w:rsid w:val="001900D6"/>
    <w:rsid w:val="00190513"/>
    <w:rsid w:val="00190BE2"/>
    <w:rsid w:val="001911F1"/>
    <w:rsid w:val="0019185E"/>
    <w:rsid w:val="00191C79"/>
    <w:rsid w:val="001925ED"/>
    <w:rsid w:val="00193435"/>
    <w:rsid w:val="00194FDF"/>
    <w:rsid w:val="001951C6"/>
    <w:rsid w:val="00195578"/>
    <w:rsid w:val="00195768"/>
    <w:rsid w:val="00195F9B"/>
    <w:rsid w:val="00196EDE"/>
    <w:rsid w:val="001A1278"/>
    <w:rsid w:val="001A15F2"/>
    <w:rsid w:val="001A184F"/>
    <w:rsid w:val="001A2E0A"/>
    <w:rsid w:val="001A42C0"/>
    <w:rsid w:val="001A462D"/>
    <w:rsid w:val="001A6709"/>
    <w:rsid w:val="001A6F19"/>
    <w:rsid w:val="001A6F37"/>
    <w:rsid w:val="001A7AE8"/>
    <w:rsid w:val="001A7B5F"/>
    <w:rsid w:val="001B0B33"/>
    <w:rsid w:val="001B0C5E"/>
    <w:rsid w:val="001B127B"/>
    <w:rsid w:val="001B2B6D"/>
    <w:rsid w:val="001B2D87"/>
    <w:rsid w:val="001B2E66"/>
    <w:rsid w:val="001B2EA9"/>
    <w:rsid w:val="001B38D1"/>
    <w:rsid w:val="001B3C0C"/>
    <w:rsid w:val="001B461E"/>
    <w:rsid w:val="001B4898"/>
    <w:rsid w:val="001B5139"/>
    <w:rsid w:val="001B5E04"/>
    <w:rsid w:val="001B68CD"/>
    <w:rsid w:val="001B6EB5"/>
    <w:rsid w:val="001B724D"/>
    <w:rsid w:val="001B7653"/>
    <w:rsid w:val="001C0252"/>
    <w:rsid w:val="001C05AD"/>
    <w:rsid w:val="001C076F"/>
    <w:rsid w:val="001C08B9"/>
    <w:rsid w:val="001C0DDA"/>
    <w:rsid w:val="001C14AA"/>
    <w:rsid w:val="001C19A6"/>
    <w:rsid w:val="001C296F"/>
    <w:rsid w:val="001C2D5B"/>
    <w:rsid w:val="001C2FA4"/>
    <w:rsid w:val="001C3130"/>
    <w:rsid w:val="001C3199"/>
    <w:rsid w:val="001C3984"/>
    <w:rsid w:val="001C3A7C"/>
    <w:rsid w:val="001C3B17"/>
    <w:rsid w:val="001C3BA2"/>
    <w:rsid w:val="001C445E"/>
    <w:rsid w:val="001C4CDE"/>
    <w:rsid w:val="001C50DB"/>
    <w:rsid w:val="001C5325"/>
    <w:rsid w:val="001C554A"/>
    <w:rsid w:val="001C5BFB"/>
    <w:rsid w:val="001C5D2A"/>
    <w:rsid w:val="001C6105"/>
    <w:rsid w:val="001C6C22"/>
    <w:rsid w:val="001C6E41"/>
    <w:rsid w:val="001C7581"/>
    <w:rsid w:val="001C78D5"/>
    <w:rsid w:val="001C7900"/>
    <w:rsid w:val="001D03AA"/>
    <w:rsid w:val="001D1839"/>
    <w:rsid w:val="001D1D1F"/>
    <w:rsid w:val="001D24D7"/>
    <w:rsid w:val="001D2733"/>
    <w:rsid w:val="001D2D34"/>
    <w:rsid w:val="001D385A"/>
    <w:rsid w:val="001D3E96"/>
    <w:rsid w:val="001D44AC"/>
    <w:rsid w:val="001D4609"/>
    <w:rsid w:val="001D4A94"/>
    <w:rsid w:val="001D5C8D"/>
    <w:rsid w:val="001D614E"/>
    <w:rsid w:val="001D717B"/>
    <w:rsid w:val="001E057D"/>
    <w:rsid w:val="001E0591"/>
    <w:rsid w:val="001E0AFB"/>
    <w:rsid w:val="001E1233"/>
    <w:rsid w:val="001E22C8"/>
    <w:rsid w:val="001E2317"/>
    <w:rsid w:val="001E39B8"/>
    <w:rsid w:val="001E3F92"/>
    <w:rsid w:val="001E41D0"/>
    <w:rsid w:val="001E48CA"/>
    <w:rsid w:val="001E4CD5"/>
    <w:rsid w:val="001E69AF"/>
    <w:rsid w:val="001E7CBC"/>
    <w:rsid w:val="001F0599"/>
    <w:rsid w:val="001F226B"/>
    <w:rsid w:val="001F22E6"/>
    <w:rsid w:val="001F2627"/>
    <w:rsid w:val="001F3291"/>
    <w:rsid w:val="001F39E7"/>
    <w:rsid w:val="001F3CEA"/>
    <w:rsid w:val="001F45DF"/>
    <w:rsid w:val="001F4B02"/>
    <w:rsid w:val="001F53F0"/>
    <w:rsid w:val="001F5463"/>
    <w:rsid w:val="001F5928"/>
    <w:rsid w:val="001F61E9"/>
    <w:rsid w:val="001F6470"/>
    <w:rsid w:val="001F690A"/>
    <w:rsid w:val="001F6B8E"/>
    <w:rsid w:val="001F6F08"/>
    <w:rsid w:val="001F730A"/>
    <w:rsid w:val="001F7BF9"/>
    <w:rsid w:val="001F7D11"/>
    <w:rsid w:val="002005C7"/>
    <w:rsid w:val="002005DA"/>
    <w:rsid w:val="002019D3"/>
    <w:rsid w:val="002022BE"/>
    <w:rsid w:val="002025D8"/>
    <w:rsid w:val="002039CE"/>
    <w:rsid w:val="0020500D"/>
    <w:rsid w:val="00206677"/>
    <w:rsid w:val="002075D3"/>
    <w:rsid w:val="00207C04"/>
    <w:rsid w:val="00207DED"/>
    <w:rsid w:val="002102EC"/>
    <w:rsid w:val="00210D79"/>
    <w:rsid w:val="00210E1F"/>
    <w:rsid w:val="00211273"/>
    <w:rsid w:val="00211464"/>
    <w:rsid w:val="002115CE"/>
    <w:rsid w:val="00211996"/>
    <w:rsid w:val="00212284"/>
    <w:rsid w:val="002123CB"/>
    <w:rsid w:val="002128EA"/>
    <w:rsid w:val="00212A4E"/>
    <w:rsid w:val="00212C06"/>
    <w:rsid w:val="002131EC"/>
    <w:rsid w:val="0021337B"/>
    <w:rsid w:val="00213ED9"/>
    <w:rsid w:val="002140DE"/>
    <w:rsid w:val="002141A4"/>
    <w:rsid w:val="002141C9"/>
    <w:rsid w:val="00214DDD"/>
    <w:rsid w:val="00216A44"/>
    <w:rsid w:val="0021736B"/>
    <w:rsid w:val="00217816"/>
    <w:rsid w:val="00217C6C"/>
    <w:rsid w:val="00217D1E"/>
    <w:rsid w:val="002202B8"/>
    <w:rsid w:val="00220860"/>
    <w:rsid w:val="002209BE"/>
    <w:rsid w:val="00221715"/>
    <w:rsid w:val="0022174D"/>
    <w:rsid w:val="00221BD5"/>
    <w:rsid w:val="002221FC"/>
    <w:rsid w:val="0022254F"/>
    <w:rsid w:val="00222938"/>
    <w:rsid w:val="00222E7A"/>
    <w:rsid w:val="0022372F"/>
    <w:rsid w:val="0022489D"/>
    <w:rsid w:val="00224CA2"/>
    <w:rsid w:val="00224EBD"/>
    <w:rsid w:val="0022509A"/>
    <w:rsid w:val="00225C1B"/>
    <w:rsid w:val="002263BE"/>
    <w:rsid w:val="00226B66"/>
    <w:rsid w:val="00226FE0"/>
    <w:rsid w:val="00227A7D"/>
    <w:rsid w:val="00230F7A"/>
    <w:rsid w:val="00231285"/>
    <w:rsid w:val="002312F7"/>
    <w:rsid w:val="00231D72"/>
    <w:rsid w:val="002325AB"/>
    <w:rsid w:val="002327DF"/>
    <w:rsid w:val="002331C5"/>
    <w:rsid w:val="002332EF"/>
    <w:rsid w:val="00234CB2"/>
    <w:rsid w:val="0023516F"/>
    <w:rsid w:val="00235760"/>
    <w:rsid w:val="002359B6"/>
    <w:rsid w:val="00235D85"/>
    <w:rsid w:val="002366CE"/>
    <w:rsid w:val="002370E8"/>
    <w:rsid w:val="00237153"/>
    <w:rsid w:val="00240C7D"/>
    <w:rsid w:val="0024149B"/>
    <w:rsid w:val="00241529"/>
    <w:rsid w:val="00241720"/>
    <w:rsid w:val="00241AFA"/>
    <w:rsid w:val="00242170"/>
    <w:rsid w:val="00242BE7"/>
    <w:rsid w:val="00242DF5"/>
    <w:rsid w:val="0024316D"/>
    <w:rsid w:val="0024412C"/>
    <w:rsid w:val="002463E4"/>
    <w:rsid w:val="002468AD"/>
    <w:rsid w:val="00246AB5"/>
    <w:rsid w:val="00246D56"/>
    <w:rsid w:val="002470BC"/>
    <w:rsid w:val="00247DAD"/>
    <w:rsid w:val="002502D1"/>
    <w:rsid w:val="002503BC"/>
    <w:rsid w:val="002505F9"/>
    <w:rsid w:val="002508EA"/>
    <w:rsid w:val="00251C8C"/>
    <w:rsid w:val="00251CAF"/>
    <w:rsid w:val="00252817"/>
    <w:rsid w:val="00253A47"/>
    <w:rsid w:val="00253E15"/>
    <w:rsid w:val="00254157"/>
    <w:rsid w:val="002546FD"/>
    <w:rsid w:val="00254CCB"/>
    <w:rsid w:val="0025541F"/>
    <w:rsid w:val="002557E0"/>
    <w:rsid w:val="00255853"/>
    <w:rsid w:val="00255BF9"/>
    <w:rsid w:val="00256B45"/>
    <w:rsid w:val="00256B73"/>
    <w:rsid w:val="00256BE3"/>
    <w:rsid w:val="00256CB3"/>
    <w:rsid w:val="00256D56"/>
    <w:rsid w:val="00256F78"/>
    <w:rsid w:val="00256FC9"/>
    <w:rsid w:val="002570E3"/>
    <w:rsid w:val="00257473"/>
    <w:rsid w:val="00257811"/>
    <w:rsid w:val="0026049D"/>
    <w:rsid w:val="00260523"/>
    <w:rsid w:val="00260C7C"/>
    <w:rsid w:val="00260F31"/>
    <w:rsid w:val="00261020"/>
    <w:rsid w:val="00261465"/>
    <w:rsid w:val="002617ED"/>
    <w:rsid w:val="00261E54"/>
    <w:rsid w:val="002625EC"/>
    <w:rsid w:val="00262992"/>
    <w:rsid w:val="002637EE"/>
    <w:rsid w:val="00263C79"/>
    <w:rsid w:val="0026414A"/>
    <w:rsid w:val="00264290"/>
    <w:rsid w:val="002646F1"/>
    <w:rsid w:val="00264756"/>
    <w:rsid w:val="00265751"/>
    <w:rsid w:val="00265F4A"/>
    <w:rsid w:val="00266292"/>
    <w:rsid w:val="00266BFC"/>
    <w:rsid w:val="00267F75"/>
    <w:rsid w:val="00270052"/>
    <w:rsid w:val="002711AF"/>
    <w:rsid w:val="002714B0"/>
    <w:rsid w:val="00271EEB"/>
    <w:rsid w:val="00272C8B"/>
    <w:rsid w:val="00273302"/>
    <w:rsid w:val="0027391D"/>
    <w:rsid w:val="002746FD"/>
    <w:rsid w:val="002754DA"/>
    <w:rsid w:val="00275714"/>
    <w:rsid w:val="00275F66"/>
    <w:rsid w:val="00276874"/>
    <w:rsid w:val="00276996"/>
    <w:rsid w:val="00277026"/>
    <w:rsid w:val="00277527"/>
    <w:rsid w:val="00277A2E"/>
    <w:rsid w:val="00277F46"/>
    <w:rsid w:val="00280703"/>
    <w:rsid w:val="00280CE1"/>
    <w:rsid w:val="00283A74"/>
    <w:rsid w:val="00283EF3"/>
    <w:rsid w:val="002840B1"/>
    <w:rsid w:val="00284873"/>
    <w:rsid w:val="00284EAD"/>
    <w:rsid w:val="00284F22"/>
    <w:rsid w:val="0028602C"/>
    <w:rsid w:val="0028632D"/>
    <w:rsid w:val="002872E6"/>
    <w:rsid w:val="00287438"/>
    <w:rsid w:val="00287643"/>
    <w:rsid w:val="002877DC"/>
    <w:rsid w:val="002879E9"/>
    <w:rsid w:val="00290C72"/>
    <w:rsid w:val="002916D5"/>
    <w:rsid w:val="00291A07"/>
    <w:rsid w:val="0029212A"/>
    <w:rsid w:val="00292825"/>
    <w:rsid w:val="00292D82"/>
    <w:rsid w:val="002930B3"/>
    <w:rsid w:val="002931D5"/>
    <w:rsid w:val="002935D2"/>
    <w:rsid w:val="00294404"/>
    <w:rsid w:val="00295C7D"/>
    <w:rsid w:val="00296575"/>
    <w:rsid w:val="00296E80"/>
    <w:rsid w:val="00296FBC"/>
    <w:rsid w:val="002978D2"/>
    <w:rsid w:val="002A058D"/>
    <w:rsid w:val="002A0787"/>
    <w:rsid w:val="002A1D64"/>
    <w:rsid w:val="002A2117"/>
    <w:rsid w:val="002A23B1"/>
    <w:rsid w:val="002A2A73"/>
    <w:rsid w:val="002A3A53"/>
    <w:rsid w:val="002A40F6"/>
    <w:rsid w:val="002A4572"/>
    <w:rsid w:val="002A45BD"/>
    <w:rsid w:val="002A48C8"/>
    <w:rsid w:val="002A4E46"/>
    <w:rsid w:val="002A6356"/>
    <w:rsid w:val="002A6AC9"/>
    <w:rsid w:val="002A71C9"/>
    <w:rsid w:val="002A740F"/>
    <w:rsid w:val="002B035F"/>
    <w:rsid w:val="002B0421"/>
    <w:rsid w:val="002B1F5B"/>
    <w:rsid w:val="002B204D"/>
    <w:rsid w:val="002B20B1"/>
    <w:rsid w:val="002B2540"/>
    <w:rsid w:val="002B316E"/>
    <w:rsid w:val="002B34A9"/>
    <w:rsid w:val="002B3648"/>
    <w:rsid w:val="002B3846"/>
    <w:rsid w:val="002B4EE1"/>
    <w:rsid w:val="002B50E9"/>
    <w:rsid w:val="002B5BD4"/>
    <w:rsid w:val="002B6470"/>
    <w:rsid w:val="002B6E37"/>
    <w:rsid w:val="002B705A"/>
    <w:rsid w:val="002B7279"/>
    <w:rsid w:val="002B785E"/>
    <w:rsid w:val="002B7899"/>
    <w:rsid w:val="002B78A1"/>
    <w:rsid w:val="002B78D1"/>
    <w:rsid w:val="002B799E"/>
    <w:rsid w:val="002C0BD6"/>
    <w:rsid w:val="002C0EBF"/>
    <w:rsid w:val="002C0FE5"/>
    <w:rsid w:val="002C1CEC"/>
    <w:rsid w:val="002C1D4D"/>
    <w:rsid w:val="002C1EEE"/>
    <w:rsid w:val="002C22DD"/>
    <w:rsid w:val="002C2A57"/>
    <w:rsid w:val="002C2B02"/>
    <w:rsid w:val="002C3A13"/>
    <w:rsid w:val="002C454A"/>
    <w:rsid w:val="002C45A2"/>
    <w:rsid w:val="002C4B9A"/>
    <w:rsid w:val="002C4E17"/>
    <w:rsid w:val="002C518C"/>
    <w:rsid w:val="002C591A"/>
    <w:rsid w:val="002C5963"/>
    <w:rsid w:val="002C6A0A"/>
    <w:rsid w:val="002C6FA1"/>
    <w:rsid w:val="002C752E"/>
    <w:rsid w:val="002C780B"/>
    <w:rsid w:val="002C7C47"/>
    <w:rsid w:val="002D00BD"/>
    <w:rsid w:val="002D00C3"/>
    <w:rsid w:val="002D114E"/>
    <w:rsid w:val="002D2405"/>
    <w:rsid w:val="002D3388"/>
    <w:rsid w:val="002D3641"/>
    <w:rsid w:val="002D4746"/>
    <w:rsid w:val="002D4B40"/>
    <w:rsid w:val="002D5414"/>
    <w:rsid w:val="002D5D5E"/>
    <w:rsid w:val="002D6053"/>
    <w:rsid w:val="002D6B19"/>
    <w:rsid w:val="002D7379"/>
    <w:rsid w:val="002D7E5C"/>
    <w:rsid w:val="002E0331"/>
    <w:rsid w:val="002E0508"/>
    <w:rsid w:val="002E0DD9"/>
    <w:rsid w:val="002E154B"/>
    <w:rsid w:val="002E1970"/>
    <w:rsid w:val="002E21E2"/>
    <w:rsid w:val="002E220F"/>
    <w:rsid w:val="002E27E8"/>
    <w:rsid w:val="002E2A77"/>
    <w:rsid w:val="002E3638"/>
    <w:rsid w:val="002E3A3D"/>
    <w:rsid w:val="002E5683"/>
    <w:rsid w:val="002E5EE2"/>
    <w:rsid w:val="002E65F8"/>
    <w:rsid w:val="002E69CA"/>
    <w:rsid w:val="002E6BE4"/>
    <w:rsid w:val="002E7357"/>
    <w:rsid w:val="002F005C"/>
    <w:rsid w:val="002F0819"/>
    <w:rsid w:val="002F18C2"/>
    <w:rsid w:val="002F205F"/>
    <w:rsid w:val="002F309E"/>
    <w:rsid w:val="002F34AB"/>
    <w:rsid w:val="002F380D"/>
    <w:rsid w:val="002F3B36"/>
    <w:rsid w:val="002F406D"/>
    <w:rsid w:val="002F4247"/>
    <w:rsid w:val="002F4A69"/>
    <w:rsid w:val="002F4A77"/>
    <w:rsid w:val="002F4D6E"/>
    <w:rsid w:val="002F5837"/>
    <w:rsid w:val="002F5A2D"/>
    <w:rsid w:val="002F6D54"/>
    <w:rsid w:val="002F6D72"/>
    <w:rsid w:val="002F7853"/>
    <w:rsid w:val="002F7F55"/>
    <w:rsid w:val="00300D3B"/>
    <w:rsid w:val="0030175F"/>
    <w:rsid w:val="0030220E"/>
    <w:rsid w:val="00302502"/>
    <w:rsid w:val="0030363B"/>
    <w:rsid w:val="00303C9F"/>
    <w:rsid w:val="00304EC5"/>
    <w:rsid w:val="0030579F"/>
    <w:rsid w:val="003063B3"/>
    <w:rsid w:val="003077E0"/>
    <w:rsid w:val="00311CC9"/>
    <w:rsid w:val="00311D7A"/>
    <w:rsid w:val="00311E2B"/>
    <w:rsid w:val="0031206F"/>
    <w:rsid w:val="00312197"/>
    <w:rsid w:val="00312E9A"/>
    <w:rsid w:val="00313456"/>
    <w:rsid w:val="00314320"/>
    <w:rsid w:val="0031437D"/>
    <w:rsid w:val="0031443C"/>
    <w:rsid w:val="003150DF"/>
    <w:rsid w:val="003150FB"/>
    <w:rsid w:val="0031552B"/>
    <w:rsid w:val="00315615"/>
    <w:rsid w:val="00315701"/>
    <w:rsid w:val="0031578D"/>
    <w:rsid w:val="003161E5"/>
    <w:rsid w:val="00316773"/>
    <w:rsid w:val="003168D0"/>
    <w:rsid w:val="00317F17"/>
    <w:rsid w:val="00320D8F"/>
    <w:rsid w:val="00321A18"/>
    <w:rsid w:val="00322EE4"/>
    <w:rsid w:val="0032352D"/>
    <w:rsid w:val="00323534"/>
    <w:rsid w:val="0032366A"/>
    <w:rsid w:val="00323715"/>
    <w:rsid w:val="003237B5"/>
    <w:rsid w:val="00323DE8"/>
    <w:rsid w:val="00324E45"/>
    <w:rsid w:val="00325B94"/>
    <w:rsid w:val="003266AC"/>
    <w:rsid w:val="00326996"/>
    <w:rsid w:val="0032746D"/>
    <w:rsid w:val="0032799C"/>
    <w:rsid w:val="00327AB1"/>
    <w:rsid w:val="00327EC8"/>
    <w:rsid w:val="00330C4F"/>
    <w:rsid w:val="0033140E"/>
    <w:rsid w:val="00332CFE"/>
    <w:rsid w:val="003342B2"/>
    <w:rsid w:val="003342DF"/>
    <w:rsid w:val="003349EF"/>
    <w:rsid w:val="003350DE"/>
    <w:rsid w:val="00336936"/>
    <w:rsid w:val="00337586"/>
    <w:rsid w:val="00337BC1"/>
    <w:rsid w:val="00337C40"/>
    <w:rsid w:val="00340D2A"/>
    <w:rsid w:val="003413B0"/>
    <w:rsid w:val="0034206D"/>
    <w:rsid w:val="00343135"/>
    <w:rsid w:val="003431C3"/>
    <w:rsid w:val="003432BA"/>
    <w:rsid w:val="0034456A"/>
    <w:rsid w:val="00344930"/>
    <w:rsid w:val="003450C3"/>
    <w:rsid w:val="00345A34"/>
    <w:rsid w:val="00345D57"/>
    <w:rsid w:val="0034640B"/>
    <w:rsid w:val="003467FE"/>
    <w:rsid w:val="00347237"/>
    <w:rsid w:val="00347452"/>
    <w:rsid w:val="00347825"/>
    <w:rsid w:val="00350178"/>
    <w:rsid w:val="00350A01"/>
    <w:rsid w:val="00350ACB"/>
    <w:rsid w:val="00350FB7"/>
    <w:rsid w:val="00352014"/>
    <w:rsid w:val="0035245F"/>
    <w:rsid w:val="00352797"/>
    <w:rsid w:val="003530CD"/>
    <w:rsid w:val="003537FD"/>
    <w:rsid w:val="00353F49"/>
    <w:rsid w:val="00353F64"/>
    <w:rsid w:val="003541EF"/>
    <w:rsid w:val="00355791"/>
    <w:rsid w:val="003561D7"/>
    <w:rsid w:val="00356429"/>
    <w:rsid w:val="003569F1"/>
    <w:rsid w:val="003575E3"/>
    <w:rsid w:val="00357729"/>
    <w:rsid w:val="0035790A"/>
    <w:rsid w:val="00360B67"/>
    <w:rsid w:val="00360ED2"/>
    <w:rsid w:val="003610F7"/>
    <w:rsid w:val="003611A9"/>
    <w:rsid w:val="0036121F"/>
    <w:rsid w:val="00362F0F"/>
    <w:rsid w:val="0036311B"/>
    <w:rsid w:val="00363477"/>
    <w:rsid w:val="003637B6"/>
    <w:rsid w:val="00364BE2"/>
    <w:rsid w:val="00365921"/>
    <w:rsid w:val="003669A3"/>
    <w:rsid w:val="003676D5"/>
    <w:rsid w:val="00367A62"/>
    <w:rsid w:val="00367EB2"/>
    <w:rsid w:val="003703DD"/>
    <w:rsid w:val="003706FE"/>
    <w:rsid w:val="0037391C"/>
    <w:rsid w:val="00374E23"/>
    <w:rsid w:val="00375AD5"/>
    <w:rsid w:val="00376D6E"/>
    <w:rsid w:val="00377E3F"/>
    <w:rsid w:val="00377F42"/>
    <w:rsid w:val="00380470"/>
    <w:rsid w:val="003820E8"/>
    <w:rsid w:val="003827FE"/>
    <w:rsid w:val="003837BA"/>
    <w:rsid w:val="00383B51"/>
    <w:rsid w:val="00384B43"/>
    <w:rsid w:val="00385076"/>
    <w:rsid w:val="0038567D"/>
    <w:rsid w:val="00385B8D"/>
    <w:rsid w:val="003861FB"/>
    <w:rsid w:val="00386451"/>
    <w:rsid w:val="003873EE"/>
    <w:rsid w:val="00387693"/>
    <w:rsid w:val="00387F95"/>
    <w:rsid w:val="003901A8"/>
    <w:rsid w:val="00390ACB"/>
    <w:rsid w:val="00391022"/>
    <w:rsid w:val="00391447"/>
    <w:rsid w:val="00391C7D"/>
    <w:rsid w:val="00392FDE"/>
    <w:rsid w:val="003932B1"/>
    <w:rsid w:val="00393321"/>
    <w:rsid w:val="00393538"/>
    <w:rsid w:val="003937F3"/>
    <w:rsid w:val="0039534D"/>
    <w:rsid w:val="00395785"/>
    <w:rsid w:val="00395DED"/>
    <w:rsid w:val="003965CC"/>
    <w:rsid w:val="00397292"/>
    <w:rsid w:val="00397482"/>
    <w:rsid w:val="0039777C"/>
    <w:rsid w:val="003977FC"/>
    <w:rsid w:val="003978D7"/>
    <w:rsid w:val="003A04EA"/>
    <w:rsid w:val="003A076D"/>
    <w:rsid w:val="003A0BC6"/>
    <w:rsid w:val="003A0C4E"/>
    <w:rsid w:val="003A1573"/>
    <w:rsid w:val="003A24CA"/>
    <w:rsid w:val="003A2C2E"/>
    <w:rsid w:val="003A3427"/>
    <w:rsid w:val="003A39CB"/>
    <w:rsid w:val="003A3D24"/>
    <w:rsid w:val="003A3E5C"/>
    <w:rsid w:val="003A43FB"/>
    <w:rsid w:val="003A4746"/>
    <w:rsid w:val="003A4C73"/>
    <w:rsid w:val="003A4DCD"/>
    <w:rsid w:val="003A4E23"/>
    <w:rsid w:val="003A52D9"/>
    <w:rsid w:val="003A53E7"/>
    <w:rsid w:val="003A57F1"/>
    <w:rsid w:val="003A5D9A"/>
    <w:rsid w:val="003A642A"/>
    <w:rsid w:val="003A67D5"/>
    <w:rsid w:val="003A78ED"/>
    <w:rsid w:val="003A7E8E"/>
    <w:rsid w:val="003B01F3"/>
    <w:rsid w:val="003B0757"/>
    <w:rsid w:val="003B0A1E"/>
    <w:rsid w:val="003B1A01"/>
    <w:rsid w:val="003B1D96"/>
    <w:rsid w:val="003B2128"/>
    <w:rsid w:val="003B3BA2"/>
    <w:rsid w:val="003B4161"/>
    <w:rsid w:val="003B4D55"/>
    <w:rsid w:val="003B541E"/>
    <w:rsid w:val="003B55E8"/>
    <w:rsid w:val="003B58E3"/>
    <w:rsid w:val="003B756B"/>
    <w:rsid w:val="003B763C"/>
    <w:rsid w:val="003B7845"/>
    <w:rsid w:val="003C0051"/>
    <w:rsid w:val="003C04FD"/>
    <w:rsid w:val="003C06B4"/>
    <w:rsid w:val="003C0721"/>
    <w:rsid w:val="003C0A92"/>
    <w:rsid w:val="003C0B71"/>
    <w:rsid w:val="003C0E96"/>
    <w:rsid w:val="003C10E3"/>
    <w:rsid w:val="003C1874"/>
    <w:rsid w:val="003C1CA6"/>
    <w:rsid w:val="003C1F85"/>
    <w:rsid w:val="003C2629"/>
    <w:rsid w:val="003C30D5"/>
    <w:rsid w:val="003C3166"/>
    <w:rsid w:val="003C3196"/>
    <w:rsid w:val="003C3D46"/>
    <w:rsid w:val="003C47A9"/>
    <w:rsid w:val="003C4D05"/>
    <w:rsid w:val="003C6362"/>
    <w:rsid w:val="003C7141"/>
    <w:rsid w:val="003C77B3"/>
    <w:rsid w:val="003D028D"/>
    <w:rsid w:val="003D03E1"/>
    <w:rsid w:val="003D09C6"/>
    <w:rsid w:val="003D1A05"/>
    <w:rsid w:val="003D2FAE"/>
    <w:rsid w:val="003D3428"/>
    <w:rsid w:val="003D34E5"/>
    <w:rsid w:val="003D4353"/>
    <w:rsid w:val="003D4699"/>
    <w:rsid w:val="003D4807"/>
    <w:rsid w:val="003D4E5F"/>
    <w:rsid w:val="003D5842"/>
    <w:rsid w:val="003D5852"/>
    <w:rsid w:val="003D5B48"/>
    <w:rsid w:val="003D5C5F"/>
    <w:rsid w:val="003D61AE"/>
    <w:rsid w:val="003D659B"/>
    <w:rsid w:val="003D6ECB"/>
    <w:rsid w:val="003D6F56"/>
    <w:rsid w:val="003E0DE1"/>
    <w:rsid w:val="003E1486"/>
    <w:rsid w:val="003E1DA5"/>
    <w:rsid w:val="003E2E5D"/>
    <w:rsid w:val="003E3AE4"/>
    <w:rsid w:val="003E40BF"/>
    <w:rsid w:val="003E4DBD"/>
    <w:rsid w:val="003E556E"/>
    <w:rsid w:val="003E55B9"/>
    <w:rsid w:val="003E5BD3"/>
    <w:rsid w:val="003E6CAD"/>
    <w:rsid w:val="003E709F"/>
    <w:rsid w:val="003F0215"/>
    <w:rsid w:val="003F0635"/>
    <w:rsid w:val="003F06A0"/>
    <w:rsid w:val="003F0D35"/>
    <w:rsid w:val="003F0E5A"/>
    <w:rsid w:val="003F0E80"/>
    <w:rsid w:val="003F140C"/>
    <w:rsid w:val="003F2BCF"/>
    <w:rsid w:val="003F3202"/>
    <w:rsid w:val="003F3215"/>
    <w:rsid w:val="003F38B7"/>
    <w:rsid w:val="003F50FE"/>
    <w:rsid w:val="003F5257"/>
    <w:rsid w:val="003F54B9"/>
    <w:rsid w:val="003F5A51"/>
    <w:rsid w:val="003F698C"/>
    <w:rsid w:val="003F6C57"/>
    <w:rsid w:val="003F7EEA"/>
    <w:rsid w:val="00400061"/>
    <w:rsid w:val="00401106"/>
    <w:rsid w:val="0040241F"/>
    <w:rsid w:val="00402800"/>
    <w:rsid w:val="004029D7"/>
    <w:rsid w:val="00402B04"/>
    <w:rsid w:val="00403017"/>
    <w:rsid w:val="00404438"/>
    <w:rsid w:val="004058AF"/>
    <w:rsid w:val="00405C53"/>
    <w:rsid w:val="00405CC0"/>
    <w:rsid w:val="00405DB2"/>
    <w:rsid w:val="00405F2F"/>
    <w:rsid w:val="004067BF"/>
    <w:rsid w:val="004068B0"/>
    <w:rsid w:val="0040694C"/>
    <w:rsid w:val="004074E3"/>
    <w:rsid w:val="00410EE7"/>
    <w:rsid w:val="004112A0"/>
    <w:rsid w:val="00411439"/>
    <w:rsid w:val="00411B3E"/>
    <w:rsid w:val="004121F7"/>
    <w:rsid w:val="004128CD"/>
    <w:rsid w:val="004130CE"/>
    <w:rsid w:val="004132E1"/>
    <w:rsid w:val="0041356A"/>
    <w:rsid w:val="004135CD"/>
    <w:rsid w:val="00413665"/>
    <w:rsid w:val="0041393A"/>
    <w:rsid w:val="00414BE7"/>
    <w:rsid w:val="00415D3C"/>
    <w:rsid w:val="00415FAC"/>
    <w:rsid w:val="0041606C"/>
    <w:rsid w:val="00416D4B"/>
    <w:rsid w:val="00417207"/>
    <w:rsid w:val="00417800"/>
    <w:rsid w:val="00417D1B"/>
    <w:rsid w:val="004208D0"/>
    <w:rsid w:val="00421189"/>
    <w:rsid w:val="00421E2D"/>
    <w:rsid w:val="004220EC"/>
    <w:rsid w:val="00422537"/>
    <w:rsid w:val="00422AA7"/>
    <w:rsid w:val="00422F3A"/>
    <w:rsid w:val="00425EC8"/>
    <w:rsid w:val="00426DB6"/>
    <w:rsid w:val="00426EBD"/>
    <w:rsid w:val="004279DB"/>
    <w:rsid w:val="00427E2E"/>
    <w:rsid w:val="00430CAE"/>
    <w:rsid w:val="0043125D"/>
    <w:rsid w:val="0043135B"/>
    <w:rsid w:val="004313EE"/>
    <w:rsid w:val="00431907"/>
    <w:rsid w:val="00431B42"/>
    <w:rsid w:val="00431FCF"/>
    <w:rsid w:val="0043289E"/>
    <w:rsid w:val="00432A5B"/>
    <w:rsid w:val="00433D56"/>
    <w:rsid w:val="0043421A"/>
    <w:rsid w:val="00435FB3"/>
    <w:rsid w:val="0043640C"/>
    <w:rsid w:val="004371DE"/>
    <w:rsid w:val="00440633"/>
    <w:rsid w:val="00440ADE"/>
    <w:rsid w:val="0044364C"/>
    <w:rsid w:val="00443B7A"/>
    <w:rsid w:val="0044497D"/>
    <w:rsid w:val="0044498C"/>
    <w:rsid w:val="00444ECC"/>
    <w:rsid w:val="00445225"/>
    <w:rsid w:val="004473EA"/>
    <w:rsid w:val="004507F8"/>
    <w:rsid w:val="00451718"/>
    <w:rsid w:val="00451B37"/>
    <w:rsid w:val="00451B9B"/>
    <w:rsid w:val="00451C0D"/>
    <w:rsid w:val="00452CB7"/>
    <w:rsid w:val="00452FB1"/>
    <w:rsid w:val="004533B5"/>
    <w:rsid w:val="00453409"/>
    <w:rsid w:val="0045381B"/>
    <w:rsid w:val="00453FAE"/>
    <w:rsid w:val="0045400C"/>
    <w:rsid w:val="00454949"/>
    <w:rsid w:val="004550F1"/>
    <w:rsid w:val="004551E0"/>
    <w:rsid w:val="00455E18"/>
    <w:rsid w:val="00455EDF"/>
    <w:rsid w:val="00456195"/>
    <w:rsid w:val="00456AFE"/>
    <w:rsid w:val="00456B65"/>
    <w:rsid w:val="00457158"/>
    <w:rsid w:val="00457281"/>
    <w:rsid w:val="00460433"/>
    <w:rsid w:val="00460720"/>
    <w:rsid w:val="004610F6"/>
    <w:rsid w:val="00461D62"/>
    <w:rsid w:val="00462C7A"/>
    <w:rsid w:val="00462D98"/>
    <w:rsid w:val="0046599E"/>
    <w:rsid w:val="004663E5"/>
    <w:rsid w:val="004665E4"/>
    <w:rsid w:val="00466766"/>
    <w:rsid w:val="00466A11"/>
    <w:rsid w:val="004671F9"/>
    <w:rsid w:val="00470A07"/>
    <w:rsid w:val="00471942"/>
    <w:rsid w:val="0047198A"/>
    <w:rsid w:val="00471AF0"/>
    <w:rsid w:val="00472362"/>
    <w:rsid w:val="004729BF"/>
    <w:rsid w:val="00472B8B"/>
    <w:rsid w:val="00472CDF"/>
    <w:rsid w:val="00472E1A"/>
    <w:rsid w:val="004734AB"/>
    <w:rsid w:val="004737E6"/>
    <w:rsid w:val="00473B32"/>
    <w:rsid w:val="00474421"/>
    <w:rsid w:val="00474D69"/>
    <w:rsid w:val="00475065"/>
    <w:rsid w:val="00475B12"/>
    <w:rsid w:val="00476265"/>
    <w:rsid w:val="004763BA"/>
    <w:rsid w:val="00476656"/>
    <w:rsid w:val="004768A0"/>
    <w:rsid w:val="004772A4"/>
    <w:rsid w:val="004801CC"/>
    <w:rsid w:val="00480419"/>
    <w:rsid w:val="00480593"/>
    <w:rsid w:val="00480F1E"/>
    <w:rsid w:val="00481036"/>
    <w:rsid w:val="00481242"/>
    <w:rsid w:val="004822E5"/>
    <w:rsid w:val="00482DAC"/>
    <w:rsid w:val="0048490F"/>
    <w:rsid w:val="00484B83"/>
    <w:rsid w:val="00484C8A"/>
    <w:rsid w:val="00485AE3"/>
    <w:rsid w:val="004862EE"/>
    <w:rsid w:val="004876D5"/>
    <w:rsid w:val="00487921"/>
    <w:rsid w:val="004904CB"/>
    <w:rsid w:val="00490AB2"/>
    <w:rsid w:val="00493696"/>
    <w:rsid w:val="00493BE0"/>
    <w:rsid w:val="00494752"/>
    <w:rsid w:val="0049478D"/>
    <w:rsid w:val="00496560"/>
    <w:rsid w:val="00497130"/>
    <w:rsid w:val="004A01F5"/>
    <w:rsid w:val="004A0BD4"/>
    <w:rsid w:val="004A0CF2"/>
    <w:rsid w:val="004A115A"/>
    <w:rsid w:val="004A133C"/>
    <w:rsid w:val="004A2301"/>
    <w:rsid w:val="004A44B1"/>
    <w:rsid w:val="004A559A"/>
    <w:rsid w:val="004A6609"/>
    <w:rsid w:val="004A7A35"/>
    <w:rsid w:val="004B0538"/>
    <w:rsid w:val="004B0712"/>
    <w:rsid w:val="004B15C7"/>
    <w:rsid w:val="004B2A1A"/>
    <w:rsid w:val="004B35C1"/>
    <w:rsid w:val="004B3A90"/>
    <w:rsid w:val="004B4653"/>
    <w:rsid w:val="004B4B8F"/>
    <w:rsid w:val="004B4C1C"/>
    <w:rsid w:val="004B4E37"/>
    <w:rsid w:val="004B4F8E"/>
    <w:rsid w:val="004B5D5E"/>
    <w:rsid w:val="004B62CD"/>
    <w:rsid w:val="004B62EF"/>
    <w:rsid w:val="004B6C9A"/>
    <w:rsid w:val="004B6E1A"/>
    <w:rsid w:val="004B72C1"/>
    <w:rsid w:val="004B7AD1"/>
    <w:rsid w:val="004B7F07"/>
    <w:rsid w:val="004C0F5E"/>
    <w:rsid w:val="004C101F"/>
    <w:rsid w:val="004C135A"/>
    <w:rsid w:val="004C3B3E"/>
    <w:rsid w:val="004C46A9"/>
    <w:rsid w:val="004C4AD4"/>
    <w:rsid w:val="004C524E"/>
    <w:rsid w:val="004C54E3"/>
    <w:rsid w:val="004C5C91"/>
    <w:rsid w:val="004C630A"/>
    <w:rsid w:val="004C7BEB"/>
    <w:rsid w:val="004D13E0"/>
    <w:rsid w:val="004D14F2"/>
    <w:rsid w:val="004D41D9"/>
    <w:rsid w:val="004D4850"/>
    <w:rsid w:val="004D49BF"/>
    <w:rsid w:val="004D4AC1"/>
    <w:rsid w:val="004D4E2F"/>
    <w:rsid w:val="004D56A6"/>
    <w:rsid w:val="004D6E6A"/>
    <w:rsid w:val="004D6EC7"/>
    <w:rsid w:val="004E009F"/>
    <w:rsid w:val="004E085F"/>
    <w:rsid w:val="004E0A35"/>
    <w:rsid w:val="004E11EE"/>
    <w:rsid w:val="004E1463"/>
    <w:rsid w:val="004E15AF"/>
    <w:rsid w:val="004E17BB"/>
    <w:rsid w:val="004E1F74"/>
    <w:rsid w:val="004E3B59"/>
    <w:rsid w:val="004E3B84"/>
    <w:rsid w:val="004E4412"/>
    <w:rsid w:val="004E5167"/>
    <w:rsid w:val="004E676D"/>
    <w:rsid w:val="004E6A20"/>
    <w:rsid w:val="004E6C16"/>
    <w:rsid w:val="004E6D26"/>
    <w:rsid w:val="004E788C"/>
    <w:rsid w:val="004E7C32"/>
    <w:rsid w:val="004E7F4B"/>
    <w:rsid w:val="004F042A"/>
    <w:rsid w:val="004F054E"/>
    <w:rsid w:val="004F0B49"/>
    <w:rsid w:val="004F1ECF"/>
    <w:rsid w:val="004F2679"/>
    <w:rsid w:val="004F2AFB"/>
    <w:rsid w:val="004F2CE2"/>
    <w:rsid w:val="004F2F45"/>
    <w:rsid w:val="004F37FB"/>
    <w:rsid w:val="004F3CDD"/>
    <w:rsid w:val="004F400B"/>
    <w:rsid w:val="004F441E"/>
    <w:rsid w:val="004F4F14"/>
    <w:rsid w:val="004F5636"/>
    <w:rsid w:val="004F5F97"/>
    <w:rsid w:val="004F6517"/>
    <w:rsid w:val="004F69B2"/>
    <w:rsid w:val="004F6B4A"/>
    <w:rsid w:val="004F6E17"/>
    <w:rsid w:val="004F7314"/>
    <w:rsid w:val="004F75BA"/>
    <w:rsid w:val="004F7698"/>
    <w:rsid w:val="004F7ABC"/>
    <w:rsid w:val="004F7B74"/>
    <w:rsid w:val="00500361"/>
    <w:rsid w:val="00500AF5"/>
    <w:rsid w:val="00501813"/>
    <w:rsid w:val="005019F2"/>
    <w:rsid w:val="00501F85"/>
    <w:rsid w:val="0050332E"/>
    <w:rsid w:val="005034C3"/>
    <w:rsid w:val="0050354A"/>
    <w:rsid w:val="005041E6"/>
    <w:rsid w:val="005045B9"/>
    <w:rsid w:val="005046B2"/>
    <w:rsid w:val="005069AE"/>
    <w:rsid w:val="0051153E"/>
    <w:rsid w:val="00511616"/>
    <w:rsid w:val="00511AC7"/>
    <w:rsid w:val="00511E8D"/>
    <w:rsid w:val="0051227F"/>
    <w:rsid w:val="0051253C"/>
    <w:rsid w:val="00512775"/>
    <w:rsid w:val="005127C6"/>
    <w:rsid w:val="00513B65"/>
    <w:rsid w:val="00514949"/>
    <w:rsid w:val="005168CD"/>
    <w:rsid w:val="00516984"/>
    <w:rsid w:val="005170A0"/>
    <w:rsid w:val="00517B72"/>
    <w:rsid w:val="00517C0F"/>
    <w:rsid w:val="00520A50"/>
    <w:rsid w:val="00520CAB"/>
    <w:rsid w:val="005213A8"/>
    <w:rsid w:val="005221E2"/>
    <w:rsid w:val="00522209"/>
    <w:rsid w:val="005226D3"/>
    <w:rsid w:val="00523565"/>
    <w:rsid w:val="00523606"/>
    <w:rsid w:val="005239D3"/>
    <w:rsid w:val="00523AD2"/>
    <w:rsid w:val="00523B4C"/>
    <w:rsid w:val="00525AEB"/>
    <w:rsid w:val="005264F4"/>
    <w:rsid w:val="0052681C"/>
    <w:rsid w:val="00526BBB"/>
    <w:rsid w:val="00526E29"/>
    <w:rsid w:val="00530233"/>
    <w:rsid w:val="0053117B"/>
    <w:rsid w:val="005313F9"/>
    <w:rsid w:val="00531902"/>
    <w:rsid w:val="005326FB"/>
    <w:rsid w:val="0053279A"/>
    <w:rsid w:val="005333D2"/>
    <w:rsid w:val="00533CE9"/>
    <w:rsid w:val="00534263"/>
    <w:rsid w:val="005344AB"/>
    <w:rsid w:val="00534649"/>
    <w:rsid w:val="00534854"/>
    <w:rsid w:val="005365D7"/>
    <w:rsid w:val="005367DE"/>
    <w:rsid w:val="00537267"/>
    <w:rsid w:val="0053736E"/>
    <w:rsid w:val="00537A3D"/>
    <w:rsid w:val="00537CAD"/>
    <w:rsid w:val="00537D63"/>
    <w:rsid w:val="00540426"/>
    <w:rsid w:val="005404F3"/>
    <w:rsid w:val="00541AA6"/>
    <w:rsid w:val="0054268B"/>
    <w:rsid w:val="00543167"/>
    <w:rsid w:val="00543B7B"/>
    <w:rsid w:val="00543EAE"/>
    <w:rsid w:val="00544935"/>
    <w:rsid w:val="005452EC"/>
    <w:rsid w:val="00545BA8"/>
    <w:rsid w:val="00545BE2"/>
    <w:rsid w:val="0054653B"/>
    <w:rsid w:val="00546866"/>
    <w:rsid w:val="00546F4C"/>
    <w:rsid w:val="00547506"/>
    <w:rsid w:val="00550CEC"/>
    <w:rsid w:val="005524C3"/>
    <w:rsid w:val="00552908"/>
    <w:rsid w:val="00553252"/>
    <w:rsid w:val="00553530"/>
    <w:rsid w:val="00554A2B"/>
    <w:rsid w:val="00554D3B"/>
    <w:rsid w:val="00555560"/>
    <w:rsid w:val="00556231"/>
    <w:rsid w:val="00556B14"/>
    <w:rsid w:val="005574D8"/>
    <w:rsid w:val="00557870"/>
    <w:rsid w:val="00560AFF"/>
    <w:rsid w:val="00560D55"/>
    <w:rsid w:val="005614CA"/>
    <w:rsid w:val="00561582"/>
    <w:rsid w:val="00561607"/>
    <w:rsid w:val="00562983"/>
    <w:rsid w:val="00562CBA"/>
    <w:rsid w:val="0056368E"/>
    <w:rsid w:val="00564EDB"/>
    <w:rsid w:val="00564F2E"/>
    <w:rsid w:val="00565308"/>
    <w:rsid w:val="005659E7"/>
    <w:rsid w:val="00565C99"/>
    <w:rsid w:val="00566301"/>
    <w:rsid w:val="005667E5"/>
    <w:rsid w:val="0056719D"/>
    <w:rsid w:val="00567749"/>
    <w:rsid w:val="00567DA0"/>
    <w:rsid w:val="005703B8"/>
    <w:rsid w:val="00570974"/>
    <w:rsid w:val="005709B0"/>
    <w:rsid w:val="00570FAC"/>
    <w:rsid w:val="00571AE6"/>
    <w:rsid w:val="005721EC"/>
    <w:rsid w:val="005722B9"/>
    <w:rsid w:val="005722D1"/>
    <w:rsid w:val="0057282E"/>
    <w:rsid w:val="00573795"/>
    <w:rsid w:val="00573E3D"/>
    <w:rsid w:val="0057406D"/>
    <w:rsid w:val="00574278"/>
    <w:rsid w:val="00574BCE"/>
    <w:rsid w:val="005756F5"/>
    <w:rsid w:val="00576E0A"/>
    <w:rsid w:val="00576FE0"/>
    <w:rsid w:val="00577BAE"/>
    <w:rsid w:val="005808B0"/>
    <w:rsid w:val="00580B29"/>
    <w:rsid w:val="005810B8"/>
    <w:rsid w:val="0058132B"/>
    <w:rsid w:val="00581583"/>
    <w:rsid w:val="005816AF"/>
    <w:rsid w:val="005823BD"/>
    <w:rsid w:val="00582CD7"/>
    <w:rsid w:val="00583B5E"/>
    <w:rsid w:val="005855CB"/>
    <w:rsid w:val="005864A0"/>
    <w:rsid w:val="005872B3"/>
    <w:rsid w:val="0058799D"/>
    <w:rsid w:val="00592360"/>
    <w:rsid w:val="00592389"/>
    <w:rsid w:val="00592521"/>
    <w:rsid w:val="00592682"/>
    <w:rsid w:val="005929D5"/>
    <w:rsid w:val="005945FE"/>
    <w:rsid w:val="005958C2"/>
    <w:rsid w:val="0059604F"/>
    <w:rsid w:val="005962F5"/>
    <w:rsid w:val="005965F9"/>
    <w:rsid w:val="00597087"/>
    <w:rsid w:val="005A016A"/>
    <w:rsid w:val="005A09B6"/>
    <w:rsid w:val="005A12D8"/>
    <w:rsid w:val="005A1BBA"/>
    <w:rsid w:val="005A1CC8"/>
    <w:rsid w:val="005A1F11"/>
    <w:rsid w:val="005A212A"/>
    <w:rsid w:val="005A2166"/>
    <w:rsid w:val="005A247E"/>
    <w:rsid w:val="005A2B95"/>
    <w:rsid w:val="005A3385"/>
    <w:rsid w:val="005A3862"/>
    <w:rsid w:val="005A3FBE"/>
    <w:rsid w:val="005A419C"/>
    <w:rsid w:val="005A41C6"/>
    <w:rsid w:val="005A4D79"/>
    <w:rsid w:val="005A4EB3"/>
    <w:rsid w:val="005A531C"/>
    <w:rsid w:val="005A5BAC"/>
    <w:rsid w:val="005A624A"/>
    <w:rsid w:val="005A7474"/>
    <w:rsid w:val="005A7977"/>
    <w:rsid w:val="005A7DB3"/>
    <w:rsid w:val="005A7FE1"/>
    <w:rsid w:val="005B05EE"/>
    <w:rsid w:val="005B06E1"/>
    <w:rsid w:val="005B1655"/>
    <w:rsid w:val="005B1CA6"/>
    <w:rsid w:val="005B3D71"/>
    <w:rsid w:val="005B42BA"/>
    <w:rsid w:val="005B477C"/>
    <w:rsid w:val="005B4928"/>
    <w:rsid w:val="005B4F4D"/>
    <w:rsid w:val="005B55E4"/>
    <w:rsid w:val="005B6173"/>
    <w:rsid w:val="005B6415"/>
    <w:rsid w:val="005B6E52"/>
    <w:rsid w:val="005B762E"/>
    <w:rsid w:val="005B7A5B"/>
    <w:rsid w:val="005B7A9D"/>
    <w:rsid w:val="005C1A41"/>
    <w:rsid w:val="005C1ABA"/>
    <w:rsid w:val="005C1DDD"/>
    <w:rsid w:val="005C25CB"/>
    <w:rsid w:val="005C28FE"/>
    <w:rsid w:val="005C30A8"/>
    <w:rsid w:val="005C3466"/>
    <w:rsid w:val="005C3AD7"/>
    <w:rsid w:val="005C4831"/>
    <w:rsid w:val="005C52AE"/>
    <w:rsid w:val="005C56ED"/>
    <w:rsid w:val="005C5B2A"/>
    <w:rsid w:val="005C66A8"/>
    <w:rsid w:val="005C74FF"/>
    <w:rsid w:val="005D0F3F"/>
    <w:rsid w:val="005D1552"/>
    <w:rsid w:val="005D3531"/>
    <w:rsid w:val="005D3862"/>
    <w:rsid w:val="005D4AA3"/>
    <w:rsid w:val="005D4EE2"/>
    <w:rsid w:val="005D5E32"/>
    <w:rsid w:val="005D6930"/>
    <w:rsid w:val="005D6DE3"/>
    <w:rsid w:val="005D7A1E"/>
    <w:rsid w:val="005D7A32"/>
    <w:rsid w:val="005E1689"/>
    <w:rsid w:val="005E1E0C"/>
    <w:rsid w:val="005E2290"/>
    <w:rsid w:val="005E2E5E"/>
    <w:rsid w:val="005E2EA9"/>
    <w:rsid w:val="005E347A"/>
    <w:rsid w:val="005E4767"/>
    <w:rsid w:val="005E49C4"/>
    <w:rsid w:val="005E4B55"/>
    <w:rsid w:val="005E4BC8"/>
    <w:rsid w:val="005E58E0"/>
    <w:rsid w:val="005E705C"/>
    <w:rsid w:val="005E785E"/>
    <w:rsid w:val="005E7970"/>
    <w:rsid w:val="005F042B"/>
    <w:rsid w:val="005F05EA"/>
    <w:rsid w:val="005F0AC7"/>
    <w:rsid w:val="005F0BAC"/>
    <w:rsid w:val="005F1AB1"/>
    <w:rsid w:val="005F1E33"/>
    <w:rsid w:val="005F1E7F"/>
    <w:rsid w:val="005F247E"/>
    <w:rsid w:val="005F2574"/>
    <w:rsid w:val="005F2B0F"/>
    <w:rsid w:val="005F309E"/>
    <w:rsid w:val="005F3814"/>
    <w:rsid w:val="005F4820"/>
    <w:rsid w:val="005F528A"/>
    <w:rsid w:val="005F536E"/>
    <w:rsid w:val="005F5FA6"/>
    <w:rsid w:val="005F6A6C"/>
    <w:rsid w:val="0060013E"/>
    <w:rsid w:val="00600261"/>
    <w:rsid w:val="0060091E"/>
    <w:rsid w:val="006009F7"/>
    <w:rsid w:val="00600A8A"/>
    <w:rsid w:val="0060143F"/>
    <w:rsid w:val="00601675"/>
    <w:rsid w:val="00601D74"/>
    <w:rsid w:val="00602153"/>
    <w:rsid w:val="00602653"/>
    <w:rsid w:val="00603006"/>
    <w:rsid w:val="00603855"/>
    <w:rsid w:val="006038FB"/>
    <w:rsid w:val="00603CFC"/>
    <w:rsid w:val="00603E75"/>
    <w:rsid w:val="00604A14"/>
    <w:rsid w:val="00604EEC"/>
    <w:rsid w:val="00604F89"/>
    <w:rsid w:val="006054E4"/>
    <w:rsid w:val="00605FB0"/>
    <w:rsid w:val="006061B3"/>
    <w:rsid w:val="0060711F"/>
    <w:rsid w:val="00607399"/>
    <w:rsid w:val="006074CA"/>
    <w:rsid w:val="00610C6C"/>
    <w:rsid w:val="00610D03"/>
    <w:rsid w:val="006113A1"/>
    <w:rsid w:val="00611EF9"/>
    <w:rsid w:val="0061278F"/>
    <w:rsid w:val="0061283A"/>
    <w:rsid w:val="00612B0A"/>
    <w:rsid w:val="00612F67"/>
    <w:rsid w:val="006133F7"/>
    <w:rsid w:val="00613440"/>
    <w:rsid w:val="00613891"/>
    <w:rsid w:val="00613898"/>
    <w:rsid w:val="0061402E"/>
    <w:rsid w:val="00614701"/>
    <w:rsid w:val="00614BCD"/>
    <w:rsid w:val="006150B0"/>
    <w:rsid w:val="00615254"/>
    <w:rsid w:val="006152D1"/>
    <w:rsid w:val="00615A4E"/>
    <w:rsid w:val="00615D32"/>
    <w:rsid w:val="00615F30"/>
    <w:rsid w:val="006164CC"/>
    <w:rsid w:val="00616BD3"/>
    <w:rsid w:val="00616E14"/>
    <w:rsid w:val="00617C2D"/>
    <w:rsid w:val="00617CEA"/>
    <w:rsid w:val="00620F27"/>
    <w:rsid w:val="00621081"/>
    <w:rsid w:val="00621B2C"/>
    <w:rsid w:val="00621B42"/>
    <w:rsid w:val="006225D5"/>
    <w:rsid w:val="0062310D"/>
    <w:rsid w:val="00623695"/>
    <w:rsid w:val="00623B8C"/>
    <w:rsid w:val="006246EA"/>
    <w:rsid w:val="00624FC9"/>
    <w:rsid w:val="0062559F"/>
    <w:rsid w:val="00626D9E"/>
    <w:rsid w:val="006302D1"/>
    <w:rsid w:val="00630320"/>
    <w:rsid w:val="00631509"/>
    <w:rsid w:val="00631AE1"/>
    <w:rsid w:val="0063256B"/>
    <w:rsid w:val="006337A9"/>
    <w:rsid w:val="00633BC1"/>
    <w:rsid w:val="00633CBD"/>
    <w:rsid w:val="00635DB4"/>
    <w:rsid w:val="00636CFF"/>
    <w:rsid w:val="0063784F"/>
    <w:rsid w:val="006412AB"/>
    <w:rsid w:val="006415CA"/>
    <w:rsid w:val="006418C6"/>
    <w:rsid w:val="00641A6E"/>
    <w:rsid w:val="00642399"/>
    <w:rsid w:val="00642F4C"/>
    <w:rsid w:val="00644045"/>
    <w:rsid w:val="00645A8F"/>
    <w:rsid w:val="006465C9"/>
    <w:rsid w:val="00646DC4"/>
    <w:rsid w:val="00646E90"/>
    <w:rsid w:val="006475CC"/>
    <w:rsid w:val="00647915"/>
    <w:rsid w:val="00650461"/>
    <w:rsid w:val="00650865"/>
    <w:rsid w:val="0065088A"/>
    <w:rsid w:val="0065112C"/>
    <w:rsid w:val="00651209"/>
    <w:rsid w:val="00651A3C"/>
    <w:rsid w:val="00651A7B"/>
    <w:rsid w:val="00651CE3"/>
    <w:rsid w:val="00651EC5"/>
    <w:rsid w:val="00651FD5"/>
    <w:rsid w:val="006521F5"/>
    <w:rsid w:val="00652520"/>
    <w:rsid w:val="00652644"/>
    <w:rsid w:val="00652995"/>
    <w:rsid w:val="00652B25"/>
    <w:rsid w:val="0065370E"/>
    <w:rsid w:val="00653760"/>
    <w:rsid w:val="00653B6C"/>
    <w:rsid w:val="00653F39"/>
    <w:rsid w:val="00654D20"/>
    <w:rsid w:val="00654ECB"/>
    <w:rsid w:val="0065514C"/>
    <w:rsid w:val="00655864"/>
    <w:rsid w:val="00655D41"/>
    <w:rsid w:val="00656678"/>
    <w:rsid w:val="006569C9"/>
    <w:rsid w:val="006572CF"/>
    <w:rsid w:val="006573C0"/>
    <w:rsid w:val="00657CC3"/>
    <w:rsid w:val="00657F16"/>
    <w:rsid w:val="00660020"/>
    <w:rsid w:val="006613AB"/>
    <w:rsid w:val="0066153A"/>
    <w:rsid w:val="00662846"/>
    <w:rsid w:val="00662EFE"/>
    <w:rsid w:val="00662FCA"/>
    <w:rsid w:val="0066489A"/>
    <w:rsid w:val="0066563C"/>
    <w:rsid w:val="00666027"/>
    <w:rsid w:val="0066685E"/>
    <w:rsid w:val="00666D89"/>
    <w:rsid w:val="0067047E"/>
    <w:rsid w:val="00671066"/>
    <w:rsid w:val="006710D5"/>
    <w:rsid w:val="00671555"/>
    <w:rsid w:val="0067199B"/>
    <w:rsid w:val="00671F77"/>
    <w:rsid w:val="00672ED3"/>
    <w:rsid w:val="00672FFA"/>
    <w:rsid w:val="00673160"/>
    <w:rsid w:val="006739B6"/>
    <w:rsid w:val="00673CBE"/>
    <w:rsid w:val="00673F57"/>
    <w:rsid w:val="00674489"/>
    <w:rsid w:val="006744FC"/>
    <w:rsid w:val="0067597A"/>
    <w:rsid w:val="00675FF6"/>
    <w:rsid w:val="006760E8"/>
    <w:rsid w:val="00676B85"/>
    <w:rsid w:val="00677091"/>
    <w:rsid w:val="006774A4"/>
    <w:rsid w:val="00677A36"/>
    <w:rsid w:val="00681872"/>
    <w:rsid w:val="00682154"/>
    <w:rsid w:val="0068257B"/>
    <w:rsid w:val="0068282F"/>
    <w:rsid w:val="00682B83"/>
    <w:rsid w:val="0068321A"/>
    <w:rsid w:val="0068357D"/>
    <w:rsid w:val="00683E42"/>
    <w:rsid w:val="00684920"/>
    <w:rsid w:val="00684BAB"/>
    <w:rsid w:val="00685598"/>
    <w:rsid w:val="00686A71"/>
    <w:rsid w:val="006901E1"/>
    <w:rsid w:val="00690DB9"/>
    <w:rsid w:val="0069127E"/>
    <w:rsid w:val="00691975"/>
    <w:rsid w:val="0069331A"/>
    <w:rsid w:val="006953E5"/>
    <w:rsid w:val="00695841"/>
    <w:rsid w:val="00696F3C"/>
    <w:rsid w:val="006A030E"/>
    <w:rsid w:val="006A0977"/>
    <w:rsid w:val="006A141F"/>
    <w:rsid w:val="006A14C8"/>
    <w:rsid w:val="006A1521"/>
    <w:rsid w:val="006A1BD1"/>
    <w:rsid w:val="006A3CEA"/>
    <w:rsid w:val="006A53F1"/>
    <w:rsid w:val="006A5947"/>
    <w:rsid w:val="006A5954"/>
    <w:rsid w:val="006A619C"/>
    <w:rsid w:val="006A6367"/>
    <w:rsid w:val="006A6375"/>
    <w:rsid w:val="006A669D"/>
    <w:rsid w:val="006A729E"/>
    <w:rsid w:val="006A7BD9"/>
    <w:rsid w:val="006B0EFB"/>
    <w:rsid w:val="006B10B2"/>
    <w:rsid w:val="006B14DD"/>
    <w:rsid w:val="006B1785"/>
    <w:rsid w:val="006B1878"/>
    <w:rsid w:val="006B1F19"/>
    <w:rsid w:val="006B2387"/>
    <w:rsid w:val="006B3163"/>
    <w:rsid w:val="006B5133"/>
    <w:rsid w:val="006B55F8"/>
    <w:rsid w:val="006B5FC5"/>
    <w:rsid w:val="006B6311"/>
    <w:rsid w:val="006B6B4F"/>
    <w:rsid w:val="006B6F74"/>
    <w:rsid w:val="006C0757"/>
    <w:rsid w:val="006C2B4B"/>
    <w:rsid w:val="006C2C32"/>
    <w:rsid w:val="006C303F"/>
    <w:rsid w:val="006C3325"/>
    <w:rsid w:val="006C332C"/>
    <w:rsid w:val="006C3DEB"/>
    <w:rsid w:val="006C453A"/>
    <w:rsid w:val="006C4D4A"/>
    <w:rsid w:val="006C51A8"/>
    <w:rsid w:val="006C5F4A"/>
    <w:rsid w:val="006C6126"/>
    <w:rsid w:val="006C6455"/>
    <w:rsid w:val="006C65F0"/>
    <w:rsid w:val="006C73AE"/>
    <w:rsid w:val="006D01D3"/>
    <w:rsid w:val="006D0347"/>
    <w:rsid w:val="006D0863"/>
    <w:rsid w:val="006D10A6"/>
    <w:rsid w:val="006D1DD1"/>
    <w:rsid w:val="006D29AD"/>
    <w:rsid w:val="006D3D1F"/>
    <w:rsid w:val="006D3D24"/>
    <w:rsid w:val="006D4340"/>
    <w:rsid w:val="006D44EF"/>
    <w:rsid w:val="006D496B"/>
    <w:rsid w:val="006D5081"/>
    <w:rsid w:val="006D59E3"/>
    <w:rsid w:val="006D5C2E"/>
    <w:rsid w:val="006D5F3A"/>
    <w:rsid w:val="006D5FCE"/>
    <w:rsid w:val="006D6444"/>
    <w:rsid w:val="006E0167"/>
    <w:rsid w:val="006E0AE7"/>
    <w:rsid w:val="006E0D74"/>
    <w:rsid w:val="006E0E01"/>
    <w:rsid w:val="006E0F38"/>
    <w:rsid w:val="006E11F6"/>
    <w:rsid w:val="006E178E"/>
    <w:rsid w:val="006E1B6D"/>
    <w:rsid w:val="006E2589"/>
    <w:rsid w:val="006E2A3C"/>
    <w:rsid w:val="006E2C45"/>
    <w:rsid w:val="006E3FBA"/>
    <w:rsid w:val="006E55A1"/>
    <w:rsid w:val="006E5DA4"/>
    <w:rsid w:val="006E5E7D"/>
    <w:rsid w:val="006E6B3D"/>
    <w:rsid w:val="006F05AF"/>
    <w:rsid w:val="006F076B"/>
    <w:rsid w:val="006F0DDD"/>
    <w:rsid w:val="006F0E61"/>
    <w:rsid w:val="006F199F"/>
    <w:rsid w:val="006F1E78"/>
    <w:rsid w:val="006F2351"/>
    <w:rsid w:val="006F26C8"/>
    <w:rsid w:val="006F2844"/>
    <w:rsid w:val="006F3761"/>
    <w:rsid w:val="006F44B6"/>
    <w:rsid w:val="006F485C"/>
    <w:rsid w:val="006F48CD"/>
    <w:rsid w:val="006F5102"/>
    <w:rsid w:val="006F544C"/>
    <w:rsid w:val="006F55DA"/>
    <w:rsid w:val="006F596D"/>
    <w:rsid w:val="006F5B69"/>
    <w:rsid w:val="006F6412"/>
    <w:rsid w:val="006F6DD1"/>
    <w:rsid w:val="006F6F32"/>
    <w:rsid w:val="006F79C2"/>
    <w:rsid w:val="006F7E78"/>
    <w:rsid w:val="006F7F8A"/>
    <w:rsid w:val="0070118F"/>
    <w:rsid w:val="00701B05"/>
    <w:rsid w:val="00702217"/>
    <w:rsid w:val="007024DD"/>
    <w:rsid w:val="007029F1"/>
    <w:rsid w:val="00702B40"/>
    <w:rsid w:val="00703B4E"/>
    <w:rsid w:val="00703D3A"/>
    <w:rsid w:val="00704416"/>
    <w:rsid w:val="007046C4"/>
    <w:rsid w:val="00705D95"/>
    <w:rsid w:val="0070669A"/>
    <w:rsid w:val="007067E1"/>
    <w:rsid w:val="00706803"/>
    <w:rsid w:val="007068D0"/>
    <w:rsid w:val="00707559"/>
    <w:rsid w:val="0070784D"/>
    <w:rsid w:val="00707954"/>
    <w:rsid w:val="00712552"/>
    <w:rsid w:val="00712D9E"/>
    <w:rsid w:val="00713352"/>
    <w:rsid w:val="007133E7"/>
    <w:rsid w:val="00714797"/>
    <w:rsid w:val="00714D63"/>
    <w:rsid w:val="00714E16"/>
    <w:rsid w:val="00715497"/>
    <w:rsid w:val="007157C6"/>
    <w:rsid w:val="00715966"/>
    <w:rsid w:val="0071747D"/>
    <w:rsid w:val="007174F5"/>
    <w:rsid w:val="007177AF"/>
    <w:rsid w:val="00717D84"/>
    <w:rsid w:val="007207E9"/>
    <w:rsid w:val="00721D45"/>
    <w:rsid w:val="00722552"/>
    <w:rsid w:val="00722C9F"/>
    <w:rsid w:val="0072318F"/>
    <w:rsid w:val="0072367E"/>
    <w:rsid w:val="007237F6"/>
    <w:rsid w:val="00723E02"/>
    <w:rsid w:val="00724050"/>
    <w:rsid w:val="00724D36"/>
    <w:rsid w:val="00724DFE"/>
    <w:rsid w:val="00724F11"/>
    <w:rsid w:val="0072548B"/>
    <w:rsid w:val="007255AC"/>
    <w:rsid w:val="00726525"/>
    <w:rsid w:val="00726ABB"/>
    <w:rsid w:val="00726AFE"/>
    <w:rsid w:val="00727F76"/>
    <w:rsid w:val="00730307"/>
    <w:rsid w:val="00730AA1"/>
    <w:rsid w:val="007319F9"/>
    <w:rsid w:val="00731DB4"/>
    <w:rsid w:val="00731FBB"/>
    <w:rsid w:val="00732183"/>
    <w:rsid w:val="00732255"/>
    <w:rsid w:val="007324FE"/>
    <w:rsid w:val="00732750"/>
    <w:rsid w:val="00732B1A"/>
    <w:rsid w:val="00732F84"/>
    <w:rsid w:val="00733351"/>
    <w:rsid w:val="00733AF9"/>
    <w:rsid w:val="0073454F"/>
    <w:rsid w:val="0073516F"/>
    <w:rsid w:val="00735235"/>
    <w:rsid w:val="00735777"/>
    <w:rsid w:val="007368EE"/>
    <w:rsid w:val="0073746D"/>
    <w:rsid w:val="00737C1A"/>
    <w:rsid w:val="00737FD2"/>
    <w:rsid w:val="007419AF"/>
    <w:rsid w:val="00741D21"/>
    <w:rsid w:val="00741E22"/>
    <w:rsid w:val="007424C3"/>
    <w:rsid w:val="007430C9"/>
    <w:rsid w:val="007431D3"/>
    <w:rsid w:val="00743942"/>
    <w:rsid w:val="00744869"/>
    <w:rsid w:val="0074615F"/>
    <w:rsid w:val="00746589"/>
    <w:rsid w:val="0074690D"/>
    <w:rsid w:val="007471DA"/>
    <w:rsid w:val="00747620"/>
    <w:rsid w:val="0075064E"/>
    <w:rsid w:val="007510E2"/>
    <w:rsid w:val="0075124C"/>
    <w:rsid w:val="00751590"/>
    <w:rsid w:val="00751768"/>
    <w:rsid w:val="00751A7E"/>
    <w:rsid w:val="0075203F"/>
    <w:rsid w:val="00752859"/>
    <w:rsid w:val="00752877"/>
    <w:rsid w:val="00752C0C"/>
    <w:rsid w:val="00753022"/>
    <w:rsid w:val="00753029"/>
    <w:rsid w:val="0075348A"/>
    <w:rsid w:val="00753523"/>
    <w:rsid w:val="007540DF"/>
    <w:rsid w:val="00755CB3"/>
    <w:rsid w:val="00755CFC"/>
    <w:rsid w:val="00755E4E"/>
    <w:rsid w:val="007562C8"/>
    <w:rsid w:val="00757736"/>
    <w:rsid w:val="00757AE7"/>
    <w:rsid w:val="00757E60"/>
    <w:rsid w:val="00760318"/>
    <w:rsid w:val="00761490"/>
    <w:rsid w:val="007628F7"/>
    <w:rsid w:val="00762D52"/>
    <w:rsid w:val="00763BB1"/>
    <w:rsid w:val="00763F81"/>
    <w:rsid w:val="00765167"/>
    <w:rsid w:val="00765A62"/>
    <w:rsid w:val="0076632C"/>
    <w:rsid w:val="0076668C"/>
    <w:rsid w:val="00767D3B"/>
    <w:rsid w:val="0077157E"/>
    <w:rsid w:val="00771C47"/>
    <w:rsid w:val="0077209E"/>
    <w:rsid w:val="007727BE"/>
    <w:rsid w:val="00772E1B"/>
    <w:rsid w:val="007735F6"/>
    <w:rsid w:val="007736A7"/>
    <w:rsid w:val="00773DB6"/>
    <w:rsid w:val="00774A34"/>
    <w:rsid w:val="00774B16"/>
    <w:rsid w:val="007754DE"/>
    <w:rsid w:val="0077583E"/>
    <w:rsid w:val="00775A1C"/>
    <w:rsid w:val="00775A61"/>
    <w:rsid w:val="00775DE8"/>
    <w:rsid w:val="00775F58"/>
    <w:rsid w:val="007761F8"/>
    <w:rsid w:val="007776CB"/>
    <w:rsid w:val="007779BF"/>
    <w:rsid w:val="007800DF"/>
    <w:rsid w:val="00780368"/>
    <w:rsid w:val="007807D8"/>
    <w:rsid w:val="00780E8C"/>
    <w:rsid w:val="007813BC"/>
    <w:rsid w:val="00781C03"/>
    <w:rsid w:val="00781F03"/>
    <w:rsid w:val="0078325A"/>
    <w:rsid w:val="0078391C"/>
    <w:rsid w:val="00783DE3"/>
    <w:rsid w:val="0078420A"/>
    <w:rsid w:val="00784296"/>
    <w:rsid w:val="0078458A"/>
    <w:rsid w:val="007852EE"/>
    <w:rsid w:val="00786185"/>
    <w:rsid w:val="007900AB"/>
    <w:rsid w:val="007907EB"/>
    <w:rsid w:val="00791F20"/>
    <w:rsid w:val="00792286"/>
    <w:rsid w:val="007926A3"/>
    <w:rsid w:val="00793357"/>
    <w:rsid w:val="00793918"/>
    <w:rsid w:val="00794AE2"/>
    <w:rsid w:val="00794C25"/>
    <w:rsid w:val="00794F60"/>
    <w:rsid w:val="00797EA0"/>
    <w:rsid w:val="007A1682"/>
    <w:rsid w:val="007A1725"/>
    <w:rsid w:val="007A256C"/>
    <w:rsid w:val="007A26F4"/>
    <w:rsid w:val="007A336C"/>
    <w:rsid w:val="007A4135"/>
    <w:rsid w:val="007A424E"/>
    <w:rsid w:val="007A44AB"/>
    <w:rsid w:val="007A4D43"/>
    <w:rsid w:val="007A4D72"/>
    <w:rsid w:val="007A56B4"/>
    <w:rsid w:val="007A5E97"/>
    <w:rsid w:val="007A6D0A"/>
    <w:rsid w:val="007A7191"/>
    <w:rsid w:val="007A7557"/>
    <w:rsid w:val="007B1E9D"/>
    <w:rsid w:val="007B1F99"/>
    <w:rsid w:val="007B234E"/>
    <w:rsid w:val="007B278C"/>
    <w:rsid w:val="007B2B01"/>
    <w:rsid w:val="007B2F13"/>
    <w:rsid w:val="007B341C"/>
    <w:rsid w:val="007B3539"/>
    <w:rsid w:val="007B3C60"/>
    <w:rsid w:val="007B4AC6"/>
    <w:rsid w:val="007B4BEC"/>
    <w:rsid w:val="007B5240"/>
    <w:rsid w:val="007B56D2"/>
    <w:rsid w:val="007B57E2"/>
    <w:rsid w:val="007B6523"/>
    <w:rsid w:val="007B66DF"/>
    <w:rsid w:val="007B6CCF"/>
    <w:rsid w:val="007B707A"/>
    <w:rsid w:val="007C00AB"/>
    <w:rsid w:val="007C0630"/>
    <w:rsid w:val="007C0EE6"/>
    <w:rsid w:val="007C1CAD"/>
    <w:rsid w:val="007C2E49"/>
    <w:rsid w:val="007C4278"/>
    <w:rsid w:val="007C4437"/>
    <w:rsid w:val="007C4EA5"/>
    <w:rsid w:val="007C56F8"/>
    <w:rsid w:val="007C5862"/>
    <w:rsid w:val="007C62B1"/>
    <w:rsid w:val="007C6D44"/>
    <w:rsid w:val="007C7B93"/>
    <w:rsid w:val="007C7E99"/>
    <w:rsid w:val="007C7EE2"/>
    <w:rsid w:val="007D036E"/>
    <w:rsid w:val="007D09C1"/>
    <w:rsid w:val="007D0A2F"/>
    <w:rsid w:val="007D0D2B"/>
    <w:rsid w:val="007D1D30"/>
    <w:rsid w:val="007D2024"/>
    <w:rsid w:val="007D2C1A"/>
    <w:rsid w:val="007D2E21"/>
    <w:rsid w:val="007D30C5"/>
    <w:rsid w:val="007D3319"/>
    <w:rsid w:val="007D3A50"/>
    <w:rsid w:val="007D3F55"/>
    <w:rsid w:val="007D4314"/>
    <w:rsid w:val="007D557F"/>
    <w:rsid w:val="007D562E"/>
    <w:rsid w:val="007D5F0F"/>
    <w:rsid w:val="007D6E95"/>
    <w:rsid w:val="007D7A39"/>
    <w:rsid w:val="007E009D"/>
    <w:rsid w:val="007E00EF"/>
    <w:rsid w:val="007E0DCF"/>
    <w:rsid w:val="007E33F9"/>
    <w:rsid w:val="007E4312"/>
    <w:rsid w:val="007E47FD"/>
    <w:rsid w:val="007E4C92"/>
    <w:rsid w:val="007E51F7"/>
    <w:rsid w:val="007E56D9"/>
    <w:rsid w:val="007E5D3C"/>
    <w:rsid w:val="007E6A62"/>
    <w:rsid w:val="007E6D6A"/>
    <w:rsid w:val="007F0BD9"/>
    <w:rsid w:val="007F10CB"/>
    <w:rsid w:val="007F20F9"/>
    <w:rsid w:val="007F2EB3"/>
    <w:rsid w:val="007F2F29"/>
    <w:rsid w:val="007F388F"/>
    <w:rsid w:val="007F411B"/>
    <w:rsid w:val="007F4C3F"/>
    <w:rsid w:val="007F4FDA"/>
    <w:rsid w:val="007F525B"/>
    <w:rsid w:val="007F541F"/>
    <w:rsid w:val="007F55DC"/>
    <w:rsid w:val="007F5C35"/>
    <w:rsid w:val="007F6100"/>
    <w:rsid w:val="007F7CCF"/>
    <w:rsid w:val="007F7EC3"/>
    <w:rsid w:val="00801D74"/>
    <w:rsid w:val="008029A5"/>
    <w:rsid w:val="008029B8"/>
    <w:rsid w:val="00803E2F"/>
    <w:rsid w:val="00804A09"/>
    <w:rsid w:val="00804C6B"/>
    <w:rsid w:val="00804EAE"/>
    <w:rsid w:val="008057A8"/>
    <w:rsid w:val="00805A62"/>
    <w:rsid w:val="00805BEC"/>
    <w:rsid w:val="008067C8"/>
    <w:rsid w:val="00806870"/>
    <w:rsid w:val="00806FAC"/>
    <w:rsid w:val="00807609"/>
    <w:rsid w:val="008100CA"/>
    <w:rsid w:val="008106C0"/>
    <w:rsid w:val="008107E2"/>
    <w:rsid w:val="00811120"/>
    <w:rsid w:val="0081122A"/>
    <w:rsid w:val="00811562"/>
    <w:rsid w:val="00811BEB"/>
    <w:rsid w:val="00813764"/>
    <w:rsid w:val="008142D9"/>
    <w:rsid w:val="00814D94"/>
    <w:rsid w:val="00815199"/>
    <w:rsid w:val="008159C0"/>
    <w:rsid w:val="00816020"/>
    <w:rsid w:val="0081615E"/>
    <w:rsid w:val="0081619A"/>
    <w:rsid w:val="0081623B"/>
    <w:rsid w:val="00816576"/>
    <w:rsid w:val="00816C29"/>
    <w:rsid w:val="00816F5C"/>
    <w:rsid w:val="0081708F"/>
    <w:rsid w:val="008172C5"/>
    <w:rsid w:val="00817488"/>
    <w:rsid w:val="0081753C"/>
    <w:rsid w:val="008206A2"/>
    <w:rsid w:val="00820E7C"/>
    <w:rsid w:val="00820ED7"/>
    <w:rsid w:val="00821425"/>
    <w:rsid w:val="0082178A"/>
    <w:rsid w:val="00821CF7"/>
    <w:rsid w:val="00821F05"/>
    <w:rsid w:val="0082232C"/>
    <w:rsid w:val="008225A3"/>
    <w:rsid w:val="0082262B"/>
    <w:rsid w:val="008228D1"/>
    <w:rsid w:val="00823D97"/>
    <w:rsid w:val="008246D4"/>
    <w:rsid w:val="00824BBF"/>
    <w:rsid w:val="00825BB7"/>
    <w:rsid w:val="00825EB3"/>
    <w:rsid w:val="0082607B"/>
    <w:rsid w:val="0082694F"/>
    <w:rsid w:val="008269D0"/>
    <w:rsid w:val="00827FD4"/>
    <w:rsid w:val="008309D9"/>
    <w:rsid w:val="00831976"/>
    <w:rsid w:val="00831FCD"/>
    <w:rsid w:val="008324F7"/>
    <w:rsid w:val="0083433A"/>
    <w:rsid w:val="00834984"/>
    <w:rsid w:val="00834DC7"/>
    <w:rsid w:val="00834FA7"/>
    <w:rsid w:val="00835949"/>
    <w:rsid w:val="008369CC"/>
    <w:rsid w:val="00836ED6"/>
    <w:rsid w:val="008376E0"/>
    <w:rsid w:val="008376F3"/>
    <w:rsid w:val="0084004E"/>
    <w:rsid w:val="00840456"/>
    <w:rsid w:val="00840935"/>
    <w:rsid w:val="008414B4"/>
    <w:rsid w:val="0084173C"/>
    <w:rsid w:val="008423BB"/>
    <w:rsid w:val="00842B04"/>
    <w:rsid w:val="00842C1D"/>
    <w:rsid w:val="00843079"/>
    <w:rsid w:val="00843160"/>
    <w:rsid w:val="00843F7A"/>
    <w:rsid w:val="00844A4D"/>
    <w:rsid w:val="008452ED"/>
    <w:rsid w:val="00845457"/>
    <w:rsid w:val="0084593F"/>
    <w:rsid w:val="008463E2"/>
    <w:rsid w:val="0084696B"/>
    <w:rsid w:val="0084748C"/>
    <w:rsid w:val="008475CA"/>
    <w:rsid w:val="00847A8A"/>
    <w:rsid w:val="00847B91"/>
    <w:rsid w:val="00850232"/>
    <w:rsid w:val="008509AD"/>
    <w:rsid w:val="00850A04"/>
    <w:rsid w:val="00850B9E"/>
    <w:rsid w:val="00850C93"/>
    <w:rsid w:val="008518BF"/>
    <w:rsid w:val="00851952"/>
    <w:rsid w:val="00851CFD"/>
    <w:rsid w:val="00852120"/>
    <w:rsid w:val="0085266D"/>
    <w:rsid w:val="008532B6"/>
    <w:rsid w:val="00854200"/>
    <w:rsid w:val="0085450C"/>
    <w:rsid w:val="00854A17"/>
    <w:rsid w:val="00855869"/>
    <w:rsid w:val="00855B90"/>
    <w:rsid w:val="00855FCC"/>
    <w:rsid w:val="0085644B"/>
    <w:rsid w:val="008573E5"/>
    <w:rsid w:val="00857541"/>
    <w:rsid w:val="008577CA"/>
    <w:rsid w:val="00861F61"/>
    <w:rsid w:val="00861FCB"/>
    <w:rsid w:val="0086247F"/>
    <w:rsid w:val="0086338E"/>
    <w:rsid w:val="00863CEF"/>
    <w:rsid w:val="00863E30"/>
    <w:rsid w:val="008676CF"/>
    <w:rsid w:val="00870455"/>
    <w:rsid w:val="0087061C"/>
    <w:rsid w:val="00872BB4"/>
    <w:rsid w:val="00872DD7"/>
    <w:rsid w:val="0087365B"/>
    <w:rsid w:val="00875350"/>
    <w:rsid w:val="00875D9C"/>
    <w:rsid w:val="00875E0C"/>
    <w:rsid w:val="00876774"/>
    <w:rsid w:val="008804C9"/>
    <w:rsid w:val="00880BA3"/>
    <w:rsid w:val="0088137B"/>
    <w:rsid w:val="0088183A"/>
    <w:rsid w:val="00884020"/>
    <w:rsid w:val="0088646D"/>
    <w:rsid w:val="00886E6C"/>
    <w:rsid w:val="00886FF6"/>
    <w:rsid w:val="008878AD"/>
    <w:rsid w:val="00890407"/>
    <w:rsid w:val="00890CEB"/>
    <w:rsid w:val="0089169E"/>
    <w:rsid w:val="00891DCD"/>
    <w:rsid w:val="00891EE0"/>
    <w:rsid w:val="00891F0D"/>
    <w:rsid w:val="0089200A"/>
    <w:rsid w:val="00892964"/>
    <w:rsid w:val="00892AE7"/>
    <w:rsid w:val="00892EE2"/>
    <w:rsid w:val="00892F7A"/>
    <w:rsid w:val="00892FDB"/>
    <w:rsid w:val="008936EF"/>
    <w:rsid w:val="00893A2D"/>
    <w:rsid w:val="008944A1"/>
    <w:rsid w:val="0089450A"/>
    <w:rsid w:val="00894660"/>
    <w:rsid w:val="00894857"/>
    <w:rsid w:val="00894A20"/>
    <w:rsid w:val="0089503F"/>
    <w:rsid w:val="008950B6"/>
    <w:rsid w:val="008953EB"/>
    <w:rsid w:val="00895B03"/>
    <w:rsid w:val="00895B4B"/>
    <w:rsid w:val="00895E68"/>
    <w:rsid w:val="0089697F"/>
    <w:rsid w:val="0089745A"/>
    <w:rsid w:val="008A0DED"/>
    <w:rsid w:val="008A1A80"/>
    <w:rsid w:val="008A1E24"/>
    <w:rsid w:val="008A2989"/>
    <w:rsid w:val="008A2FE5"/>
    <w:rsid w:val="008A3421"/>
    <w:rsid w:val="008A3426"/>
    <w:rsid w:val="008A3435"/>
    <w:rsid w:val="008A4CB9"/>
    <w:rsid w:val="008A5D85"/>
    <w:rsid w:val="008A6B0D"/>
    <w:rsid w:val="008A6D72"/>
    <w:rsid w:val="008A7709"/>
    <w:rsid w:val="008A771B"/>
    <w:rsid w:val="008A7793"/>
    <w:rsid w:val="008A7E45"/>
    <w:rsid w:val="008B04B8"/>
    <w:rsid w:val="008B1076"/>
    <w:rsid w:val="008B10BA"/>
    <w:rsid w:val="008B1AC5"/>
    <w:rsid w:val="008B1FE7"/>
    <w:rsid w:val="008B2418"/>
    <w:rsid w:val="008B47B6"/>
    <w:rsid w:val="008B49A4"/>
    <w:rsid w:val="008B4EF0"/>
    <w:rsid w:val="008B5285"/>
    <w:rsid w:val="008B5961"/>
    <w:rsid w:val="008B5AED"/>
    <w:rsid w:val="008B5D6F"/>
    <w:rsid w:val="008B66DB"/>
    <w:rsid w:val="008C131E"/>
    <w:rsid w:val="008C171B"/>
    <w:rsid w:val="008C1C30"/>
    <w:rsid w:val="008C2BF7"/>
    <w:rsid w:val="008C5072"/>
    <w:rsid w:val="008C5230"/>
    <w:rsid w:val="008C5812"/>
    <w:rsid w:val="008C7957"/>
    <w:rsid w:val="008C799B"/>
    <w:rsid w:val="008C7DE5"/>
    <w:rsid w:val="008D023C"/>
    <w:rsid w:val="008D1D8F"/>
    <w:rsid w:val="008D1E4D"/>
    <w:rsid w:val="008D2E6C"/>
    <w:rsid w:val="008D2F1D"/>
    <w:rsid w:val="008D366F"/>
    <w:rsid w:val="008D4991"/>
    <w:rsid w:val="008D4C03"/>
    <w:rsid w:val="008D5FB3"/>
    <w:rsid w:val="008D680F"/>
    <w:rsid w:val="008D6AE9"/>
    <w:rsid w:val="008D6B2C"/>
    <w:rsid w:val="008D70E5"/>
    <w:rsid w:val="008D72DF"/>
    <w:rsid w:val="008D7434"/>
    <w:rsid w:val="008D764E"/>
    <w:rsid w:val="008D77D7"/>
    <w:rsid w:val="008E028A"/>
    <w:rsid w:val="008E0B68"/>
    <w:rsid w:val="008E1459"/>
    <w:rsid w:val="008E1EC1"/>
    <w:rsid w:val="008E2DF0"/>
    <w:rsid w:val="008E34BC"/>
    <w:rsid w:val="008E3F0C"/>
    <w:rsid w:val="008E3FB3"/>
    <w:rsid w:val="008E5343"/>
    <w:rsid w:val="008E5534"/>
    <w:rsid w:val="008E56F6"/>
    <w:rsid w:val="008E63A1"/>
    <w:rsid w:val="008E654D"/>
    <w:rsid w:val="008E66F1"/>
    <w:rsid w:val="008E6BFD"/>
    <w:rsid w:val="008E7D8C"/>
    <w:rsid w:val="008F059E"/>
    <w:rsid w:val="008F1C71"/>
    <w:rsid w:val="008F289F"/>
    <w:rsid w:val="008F2998"/>
    <w:rsid w:val="008F2FDC"/>
    <w:rsid w:val="008F3AFF"/>
    <w:rsid w:val="008F427E"/>
    <w:rsid w:val="008F5FAC"/>
    <w:rsid w:val="008F6BA3"/>
    <w:rsid w:val="008F7996"/>
    <w:rsid w:val="009001E8"/>
    <w:rsid w:val="0090062F"/>
    <w:rsid w:val="00901755"/>
    <w:rsid w:val="00903404"/>
    <w:rsid w:val="00903E27"/>
    <w:rsid w:val="0090417C"/>
    <w:rsid w:val="00904238"/>
    <w:rsid w:val="00904574"/>
    <w:rsid w:val="00904ABE"/>
    <w:rsid w:val="00904D17"/>
    <w:rsid w:val="0090513C"/>
    <w:rsid w:val="00905644"/>
    <w:rsid w:val="00906854"/>
    <w:rsid w:val="009078A9"/>
    <w:rsid w:val="009109E9"/>
    <w:rsid w:val="00911B9C"/>
    <w:rsid w:val="00912C54"/>
    <w:rsid w:val="00912DC8"/>
    <w:rsid w:val="009132C4"/>
    <w:rsid w:val="009133D1"/>
    <w:rsid w:val="0091391B"/>
    <w:rsid w:val="00914428"/>
    <w:rsid w:val="009147D7"/>
    <w:rsid w:val="00914E0C"/>
    <w:rsid w:val="00914F3C"/>
    <w:rsid w:val="009157AF"/>
    <w:rsid w:val="009166D7"/>
    <w:rsid w:val="00916AC6"/>
    <w:rsid w:val="00916FBD"/>
    <w:rsid w:val="00917344"/>
    <w:rsid w:val="00920378"/>
    <w:rsid w:val="0092097B"/>
    <w:rsid w:val="0092185D"/>
    <w:rsid w:val="009224CB"/>
    <w:rsid w:val="009225F1"/>
    <w:rsid w:val="00922EE1"/>
    <w:rsid w:val="009235A1"/>
    <w:rsid w:val="00923C0E"/>
    <w:rsid w:val="00923C7F"/>
    <w:rsid w:val="00924E7A"/>
    <w:rsid w:val="009253A7"/>
    <w:rsid w:val="00925D05"/>
    <w:rsid w:val="009266FC"/>
    <w:rsid w:val="00926A62"/>
    <w:rsid w:val="00926CBA"/>
    <w:rsid w:val="009306BB"/>
    <w:rsid w:val="009309A7"/>
    <w:rsid w:val="009314BD"/>
    <w:rsid w:val="009314BF"/>
    <w:rsid w:val="0093231B"/>
    <w:rsid w:val="00932354"/>
    <w:rsid w:val="00932917"/>
    <w:rsid w:val="009333F3"/>
    <w:rsid w:val="009337A9"/>
    <w:rsid w:val="00933A7C"/>
    <w:rsid w:val="00933FB3"/>
    <w:rsid w:val="009341D6"/>
    <w:rsid w:val="009344EE"/>
    <w:rsid w:val="009351CB"/>
    <w:rsid w:val="009414FE"/>
    <w:rsid w:val="00942CB9"/>
    <w:rsid w:val="00942CDA"/>
    <w:rsid w:val="009432D7"/>
    <w:rsid w:val="0094351C"/>
    <w:rsid w:val="00943604"/>
    <w:rsid w:val="009436C8"/>
    <w:rsid w:val="00943915"/>
    <w:rsid w:val="00943ABF"/>
    <w:rsid w:val="00944EE3"/>
    <w:rsid w:val="00947D1F"/>
    <w:rsid w:val="00947D28"/>
    <w:rsid w:val="0095070E"/>
    <w:rsid w:val="0095072A"/>
    <w:rsid w:val="00951A23"/>
    <w:rsid w:val="00951D03"/>
    <w:rsid w:val="009528F4"/>
    <w:rsid w:val="00952A2F"/>
    <w:rsid w:val="00953CE5"/>
    <w:rsid w:val="0095421E"/>
    <w:rsid w:val="00955F4E"/>
    <w:rsid w:val="00956E3B"/>
    <w:rsid w:val="0095757F"/>
    <w:rsid w:val="009575D4"/>
    <w:rsid w:val="00957F55"/>
    <w:rsid w:val="00960C4E"/>
    <w:rsid w:val="00962EEC"/>
    <w:rsid w:val="00963550"/>
    <w:rsid w:val="00963604"/>
    <w:rsid w:val="00963695"/>
    <w:rsid w:val="009644F4"/>
    <w:rsid w:val="00964A7C"/>
    <w:rsid w:val="009652BB"/>
    <w:rsid w:val="00965C3B"/>
    <w:rsid w:val="00965F5C"/>
    <w:rsid w:val="0096675F"/>
    <w:rsid w:val="00966DB5"/>
    <w:rsid w:val="00967F2C"/>
    <w:rsid w:val="0097048B"/>
    <w:rsid w:val="00970CDC"/>
    <w:rsid w:val="009728DD"/>
    <w:rsid w:val="00972EEF"/>
    <w:rsid w:val="00973A7E"/>
    <w:rsid w:val="00973E9E"/>
    <w:rsid w:val="00973F37"/>
    <w:rsid w:val="0097442B"/>
    <w:rsid w:val="0097475A"/>
    <w:rsid w:val="00974865"/>
    <w:rsid w:val="00974EEB"/>
    <w:rsid w:val="0097513A"/>
    <w:rsid w:val="00975743"/>
    <w:rsid w:val="0097636D"/>
    <w:rsid w:val="009765CD"/>
    <w:rsid w:val="00976724"/>
    <w:rsid w:val="00981A41"/>
    <w:rsid w:val="009826BC"/>
    <w:rsid w:val="00983357"/>
    <w:rsid w:val="00983715"/>
    <w:rsid w:val="00983FB9"/>
    <w:rsid w:val="009841F3"/>
    <w:rsid w:val="0098579F"/>
    <w:rsid w:val="00986436"/>
    <w:rsid w:val="00986E98"/>
    <w:rsid w:val="00990379"/>
    <w:rsid w:val="00990995"/>
    <w:rsid w:val="00990E70"/>
    <w:rsid w:val="00991A8C"/>
    <w:rsid w:val="009928DE"/>
    <w:rsid w:val="00992A50"/>
    <w:rsid w:val="009932D3"/>
    <w:rsid w:val="00993356"/>
    <w:rsid w:val="00993C2E"/>
    <w:rsid w:val="00993CDB"/>
    <w:rsid w:val="00993E0E"/>
    <w:rsid w:val="0099403D"/>
    <w:rsid w:val="0099550A"/>
    <w:rsid w:val="009974F4"/>
    <w:rsid w:val="00997C62"/>
    <w:rsid w:val="00997EA1"/>
    <w:rsid w:val="009A0782"/>
    <w:rsid w:val="009A2723"/>
    <w:rsid w:val="009A2E56"/>
    <w:rsid w:val="009A4270"/>
    <w:rsid w:val="009A4C3E"/>
    <w:rsid w:val="009A4E14"/>
    <w:rsid w:val="009A6211"/>
    <w:rsid w:val="009A6243"/>
    <w:rsid w:val="009A6556"/>
    <w:rsid w:val="009A69B7"/>
    <w:rsid w:val="009A6CCE"/>
    <w:rsid w:val="009A783D"/>
    <w:rsid w:val="009A793F"/>
    <w:rsid w:val="009B051D"/>
    <w:rsid w:val="009B0C73"/>
    <w:rsid w:val="009B18C2"/>
    <w:rsid w:val="009B18EA"/>
    <w:rsid w:val="009B1D5F"/>
    <w:rsid w:val="009B2BC2"/>
    <w:rsid w:val="009B3A65"/>
    <w:rsid w:val="009B5286"/>
    <w:rsid w:val="009B5613"/>
    <w:rsid w:val="009B7551"/>
    <w:rsid w:val="009C0512"/>
    <w:rsid w:val="009C27CA"/>
    <w:rsid w:val="009C2B22"/>
    <w:rsid w:val="009C2B42"/>
    <w:rsid w:val="009C37FA"/>
    <w:rsid w:val="009C396E"/>
    <w:rsid w:val="009C46FD"/>
    <w:rsid w:val="009C49F7"/>
    <w:rsid w:val="009C4B0A"/>
    <w:rsid w:val="009C54C2"/>
    <w:rsid w:val="009C5C69"/>
    <w:rsid w:val="009C720C"/>
    <w:rsid w:val="009D084B"/>
    <w:rsid w:val="009D13C5"/>
    <w:rsid w:val="009D1829"/>
    <w:rsid w:val="009D209B"/>
    <w:rsid w:val="009D3C4D"/>
    <w:rsid w:val="009D42E2"/>
    <w:rsid w:val="009D5350"/>
    <w:rsid w:val="009D5B00"/>
    <w:rsid w:val="009D6256"/>
    <w:rsid w:val="009D6276"/>
    <w:rsid w:val="009D6F71"/>
    <w:rsid w:val="009D79AA"/>
    <w:rsid w:val="009D7F45"/>
    <w:rsid w:val="009E02B3"/>
    <w:rsid w:val="009E057A"/>
    <w:rsid w:val="009E06FC"/>
    <w:rsid w:val="009E0CE7"/>
    <w:rsid w:val="009E1775"/>
    <w:rsid w:val="009E20EA"/>
    <w:rsid w:val="009E22A8"/>
    <w:rsid w:val="009E323C"/>
    <w:rsid w:val="009E34CA"/>
    <w:rsid w:val="009E352E"/>
    <w:rsid w:val="009E3861"/>
    <w:rsid w:val="009E42D2"/>
    <w:rsid w:val="009E53FB"/>
    <w:rsid w:val="009E5EFF"/>
    <w:rsid w:val="009F0E8D"/>
    <w:rsid w:val="009F102B"/>
    <w:rsid w:val="009F1424"/>
    <w:rsid w:val="009F1750"/>
    <w:rsid w:val="009F2012"/>
    <w:rsid w:val="009F213B"/>
    <w:rsid w:val="009F2816"/>
    <w:rsid w:val="009F2B57"/>
    <w:rsid w:val="009F3457"/>
    <w:rsid w:val="009F428A"/>
    <w:rsid w:val="009F5EF9"/>
    <w:rsid w:val="009F7242"/>
    <w:rsid w:val="009F7720"/>
    <w:rsid w:val="009F7833"/>
    <w:rsid w:val="00A0005B"/>
    <w:rsid w:val="00A018B5"/>
    <w:rsid w:val="00A01E82"/>
    <w:rsid w:val="00A01E92"/>
    <w:rsid w:val="00A021D7"/>
    <w:rsid w:val="00A030EE"/>
    <w:rsid w:val="00A04372"/>
    <w:rsid w:val="00A048F4"/>
    <w:rsid w:val="00A04C50"/>
    <w:rsid w:val="00A05A0C"/>
    <w:rsid w:val="00A073B9"/>
    <w:rsid w:val="00A10755"/>
    <w:rsid w:val="00A10841"/>
    <w:rsid w:val="00A11B1F"/>
    <w:rsid w:val="00A12182"/>
    <w:rsid w:val="00A12949"/>
    <w:rsid w:val="00A1588C"/>
    <w:rsid w:val="00A1672A"/>
    <w:rsid w:val="00A16CD4"/>
    <w:rsid w:val="00A17324"/>
    <w:rsid w:val="00A17559"/>
    <w:rsid w:val="00A178A6"/>
    <w:rsid w:val="00A2039C"/>
    <w:rsid w:val="00A209E5"/>
    <w:rsid w:val="00A226AD"/>
    <w:rsid w:val="00A226FE"/>
    <w:rsid w:val="00A23DCF"/>
    <w:rsid w:val="00A257BB"/>
    <w:rsid w:val="00A25E60"/>
    <w:rsid w:val="00A27435"/>
    <w:rsid w:val="00A27F6D"/>
    <w:rsid w:val="00A303A6"/>
    <w:rsid w:val="00A306A7"/>
    <w:rsid w:val="00A306BA"/>
    <w:rsid w:val="00A30E88"/>
    <w:rsid w:val="00A31552"/>
    <w:rsid w:val="00A3269A"/>
    <w:rsid w:val="00A32DE0"/>
    <w:rsid w:val="00A33306"/>
    <w:rsid w:val="00A338F0"/>
    <w:rsid w:val="00A33AD7"/>
    <w:rsid w:val="00A33C45"/>
    <w:rsid w:val="00A33FE3"/>
    <w:rsid w:val="00A34243"/>
    <w:rsid w:val="00A34856"/>
    <w:rsid w:val="00A34F3D"/>
    <w:rsid w:val="00A35129"/>
    <w:rsid w:val="00A35755"/>
    <w:rsid w:val="00A35CF1"/>
    <w:rsid w:val="00A36234"/>
    <w:rsid w:val="00A36566"/>
    <w:rsid w:val="00A365A8"/>
    <w:rsid w:val="00A37400"/>
    <w:rsid w:val="00A4025D"/>
    <w:rsid w:val="00A4045F"/>
    <w:rsid w:val="00A40795"/>
    <w:rsid w:val="00A40877"/>
    <w:rsid w:val="00A408F2"/>
    <w:rsid w:val="00A40AEE"/>
    <w:rsid w:val="00A40BED"/>
    <w:rsid w:val="00A40CF0"/>
    <w:rsid w:val="00A410F0"/>
    <w:rsid w:val="00A42674"/>
    <w:rsid w:val="00A42C23"/>
    <w:rsid w:val="00A43150"/>
    <w:rsid w:val="00A431D5"/>
    <w:rsid w:val="00A43FA9"/>
    <w:rsid w:val="00A451BD"/>
    <w:rsid w:val="00A453EA"/>
    <w:rsid w:val="00A4592F"/>
    <w:rsid w:val="00A466A1"/>
    <w:rsid w:val="00A46C83"/>
    <w:rsid w:val="00A477E0"/>
    <w:rsid w:val="00A47915"/>
    <w:rsid w:val="00A508E3"/>
    <w:rsid w:val="00A51923"/>
    <w:rsid w:val="00A51F1B"/>
    <w:rsid w:val="00A5276E"/>
    <w:rsid w:val="00A54F05"/>
    <w:rsid w:val="00A55A1B"/>
    <w:rsid w:val="00A56518"/>
    <w:rsid w:val="00A56EE8"/>
    <w:rsid w:val="00A56F2A"/>
    <w:rsid w:val="00A574D5"/>
    <w:rsid w:val="00A57D5D"/>
    <w:rsid w:val="00A600FF"/>
    <w:rsid w:val="00A6086E"/>
    <w:rsid w:val="00A608DA"/>
    <w:rsid w:val="00A611E2"/>
    <w:rsid w:val="00A613CD"/>
    <w:rsid w:val="00A61BE1"/>
    <w:rsid w:val="00A61C4D"/>
    <w:rsid w:val="00A63E46"/>
    <w:rsid w:val="00A6443B"/>
    <w:rsid w:val="00A6455A"/>
    <w:rsid w:val="00A64903"/>
    <w:rsid w:val="00A650C6"/>
    <w:rsid w:val="00A65719"/>
    <w:rsid w:val="00A657F3"/>
    <w:rsid w:val="00A6652F"/>
    <w:rsid w:val="00A66ADE"/>
    <w:rsid w:val="00A66FE8"/>
    <w:rsid w:val="00A674BD"/>
    <w:rsid w:val="00A675D0"/>
    <w:rsid w:val="00A67D8E"/>
    <w:rsid w:val="00A70179"/>
    <w:rsid w:val="00A7040D"/>
    <w:rsid w:val="00A70590"/>
    <w:rsid w:val="00A707C9"/>
    <w:rsid w:val="00A71BF8"/>
    <w:rsid w:val="00A72C83"/>
    <w:rsid w:val="00A730BD"/>
    <w:rsid w:val="00A7449E"/>
    <w:rsid w:val="00A7467C"/>
    <w:rsid w:val="00A74D5E"/>
    <w:rsid w:val="00A75462"/>
    <w:rsid w:val="00A75ADB"/>
    <w:rsid w:val="00A761AD"/>
    <w:rsid w:val="00A76515"/>
    <w:rsid w:val="00A773AE"/>
    <w:rsid w:val="00A778FD"/>
    <w:rsid w:val="00A80635"/>
    <w:rsid w:val="00A809B9"/>
    <w:rsid w:val="00A80FEA"/>
    <w:rsid w:val="00A81848"/>
    <w:rsid w:val="00A81E89"/>
    <w:rsid w:val="00A82905"/>
    <w:rsid w:val="00A82ED3"/>
    <w:rsid w:val="00A83509"/>
    <w:rsid w:val="00A84597"/>
    <w:rsid w:val="00A84868"/>
    <w:rsid w:val="00A84F04"/>
    <w:rsid w:val="00A85A38"/>
    <w:rsid w:val="00A8601C"/>
    <w:rsid w:val="00A868A0"/>
    <w:rsid w:val="00A8708A"/>
    <w:rsid w:val="00A87960"/>
    <w:rsid w:val="00A9045A"/>
    <w:rsid w:val="00A924B0"/>
    <w:rsid w:val="00A929EF"/>
    <w:rsid w:val="00A92D79"/>
    <w:rsid w:val="00A94064"/>
    <w:rsid w:val="00A9482A"/>
    <w:rsid w:val="00A94BFE"/>
    <w:rsid w:val="00A95228"/>
    <w:rsid w:val="00A95C92"/>
    <w:rsid w:val="00A965EC"/>
    <w:rsid w:val="00A97647"/>
    <w:rsid w:val="00AA1B54"/>
    <w:rsid w:val="00AA1B8C"/>
    <w:rsid w:val="00AA2B09"/>
    <w:rsid w:val="00AA2CED"/>
    <w:rsid w:val="00AA3086"/>
    <w:rsid w:val="00AA3389"/>
    <w:rsid w:val="00AA383A"/>
    <w:rsid w:val="00AA45E3"/>
    <w:rsid w:val="00AA4BD3"/>
    <w:rsid w:val="00AA529E"/>
    <w:rsid w:val="00AA5690"/>
    <w:rsid w:val="00AA5C30"/>
    <w:rsid w:val="00AA5C3F"/>
    <w:rsid w:val="00AA5F8C"/>
    <w:rsid w:val="00AA617A"/>
    <w:rsid w:val="00AA6545"/>
    <w:rsid w:val="00AA7220"/>
    <w:rsid w:val="00AA7909"/>
    <w:rsid w:val="00AB0261"/>
    <w:rsid w:val="00AB0451"/>
    <w:rsid w:val="00AB1EE3"/>
    <w:rsid w:val="00AB26DE"/>
    <w:rsid w:val="00AB3218"/>
    <w:rsid w:val="00AB4021"/>
    <w:rsid w:val="00AB4FF2"/>
    <w:rsid w:val="00AB619B"/>
    <w:rsid w:val="00AB6237"/>
    <w:rsid w:val="00AB6445"/>
    <w:rsid w:val="00AB6B3E"/>
    <w:rsid w:val="00AB739B"/>
    <w:rsid w:val="00AB73FA"/>
    <w:rsid w:val="00AB77AB"/>
    <w:rsid w:val="00AC0AED"/>
    <w:rsid w:val="00AC0CE4"/>
    <w:rsid w:val="00AC0FD9"/>
    <w:rsid w:val="00AC1368"/>
    <w:rsid w:val="00AC1859"/>
    <w:rsid w:val="00AC2344"/>
    <w:rsid w:val="00AC2392"/>
    <w:rsid w:val="00AC3691"/>
    <w:rsid w:val="00AC38B5"/>
    <w:rsid w:val="00AC3AFA"/>
    <w:rsid w:val="00AC5985"/>
    <w:rsid w:val="00AC62F0"/>
    <w:rsid w:val="00AC666D"/>
    <w:rsid w:val="00AC6EFE"/>
    <w:rsid w:val="00AC76FB"/>
    <w:rsid w:val="00AD117B"/>
    <w:rsid w:val="00AD126C"/>
    <w:rsid w:val="00AD50DA"/>
    <w:rsid w:val="00AD5412"/>
    <w:rsid w:val="00AD5C85"/>
    <w:rsid w:val="00AD605D"/>
    <w:rsid w:val="00AD628F"/>
    <w:rsid w:val="00AD65D7"/>
    <w:rsid w:val="00AE0B6D"/>
    <w:rsid w:val="00AE117A"/>
    <w:rsid w:val="00AE1390"/>
    <w:rsid w:val="00AE1552"/>
    <w:rsid w:val="00AE16C7"/>
    <w:rsid w:val="00AE1CBA"/>
    <w:rsid w:val="00AE2658"/>
    <w:rsid w:val="00AE2CC7"/>
    <w:rsid w:val="00AE3B3A"/>
    <w:rsid w:val="00AE43CD"/>
    <w:rsid w:val="00AE4AAE"/>
    <w:rsid w:val="00AE56DD"/>
    <w:rsid w:val="00AE6808"/>
    <w:rsid w:val="00AE6929"/>
    <w:rsid w:val="00AE70CE"/>
    <w:rsid w:val="00AE7A2F"/>
    <w:rsid w:val="00AF05B2"/>
    <w:rsid w:val="00AF0987"/>
    <w:rsid w:val="00AF13C4"/>
    <w:rsid w:val="00AF23CA"/>
    <w:rsid w:val="00AF2950"/>
    <w:rsid w:val="00AF334E"/>
    <w:rsid w:val="00AF376F"/>
    <w:rsid w:val="00AF37E9"/>
    <w:rsid w:val="00AF469E"/>
    <w:rsid w:val="00AF5F0C"/>
    <w:rsid w:val="00AF6A2C"/>
    <w:rsid w:val="00AF6BC3"/>
    <w:rsid w:val="00AF6BD8"/>
    <w:rsid w:val="00AF7D5A"/>
    <w:rsid w:val="00B00AD6"/>
    <w:rsid w:val="00B00FA4"/>
    <w:rsid w:val="00B01DEE"/>
    <w:rsid w:val="00B02338"/>
    <w:rsid w:val="00B06616"/>
    <w:rsid w:val="00B06C9A"/>
    <w:rsid w:val="00B07689"/>
    <w:rsid w:val="00B07B07"/>
    <w:rsid w:val="00B1070E"/>
    <w:rsid w:val="00B116BB"/>
    <w:rsid w:val="00B11EE5"/>
    <w:rsid w:val="00B12014"/>
    <w:rsid w:val="00B121EC"/>
    <w:rsid w:val="00B125A5"/>
    <w:rsid w:val="00B12AFD"/>
    <w:rsid w:val="00B13071"/>
    <w:rsid w:val="00B1329D"/>
    <w:rsid w:val="00B132AB"/>
    <w:rsid w:val="00B133DA"/>
    <w:rsid w:val="00B136CD"/>
    <w:rsid w:val="00B13C90"/>
    <w:rsid w:val="00B13CFF"/>
    <w:rsid w:val="00B1405F"/>
    <w:rsid w:val="00B15749"/>
    <w:rsid w:val="00B162C0"/>
    <w:rsid w:val="00B16DDD"/>
    <w:rsid w:val="00B17981"/>
    <w:rsid w:val="00B17A71"/>
    <w:rsid w:val="00B17C9E"/>
    <w:rsid w:val="00B2002B"/>
    <w:rsid w:val="00B20269"/>
    <w:rsid w:val="00B2029B"/>
    <w:rsid w:val="00B20E37"/>
    <w:rsid w:val="00B21DD9"/>
    <w:rsid w:val="00B21E2B"/>
    <w:rsid w:val="00B21FFE"/>
    <w:rsid w:val="00B22832"/>
    <w:rsid w:val="00B22FFC"/>
    <w:rsid w:val="00B2379D"/>
    <w:rsid w:val="00B24409"/>
    <w:rsid w:val="00B2476D"/>
    <w:rsid w:val="00B2547A"/>
    <w:rsid w:val="00B2553C"/>
    <w:rsid w:val="00B26190"/>
    <w:rsid w:val="00B2689B"/>
    <w:rsid w:val="00B26CD4"/>
    <w:rsid w:val="00B27151"/>
    <w:rsid w:val="00B2785A"/>
    <w:rsid w:val="00B3007B"/>
    <w:rsid w:val="00B30AEB"/>
    <w:rsid w:val="00B3157B"/>
    <w:rsid w:val="00B3334B"/>
    <w:rsid w:val="00B3368A"/>
    <w:rsid w:val="00B34A73"/>
    <w:rsid w:val="00B35A9B"/>
    <w:rsid w:val="00B360CE"/>
    <w:rsid w:val="00B36C5F"/>
    <w:rsid w:val="00B370E9"/>
    <w:rsid w:val="00B402B3"/>
    <w:rsid w:val="00B40F9B"/>
    <w:rsid w:val="00B417F4"/>
    <w:rsid w:val="00B41887"/>
    <w:rsid w:val="00B41AC9"/>
    <w:rsid w:val="00B4204F"/>
    <w:rsid w:val="00B42906"/>
    <w:rsid w:val="00B42B84"/>
    <w:rsid w:val="00B42FED"/>
    <w:rsid w:val="00B43273"/>
    <w:rsid w:val="00B44244"/>
    <w:rsid w:val="00B44C83"/>
    <w:rsid w:val="00B4544F"/>
    <w:rsid w:val="00B45A07"/>
    <w:rsid w:val="00B466BA"/>
    <w:rsid w:val="00B46C70"/>
    <w:rsid w:val="00B47973"/>
    <w:rsid w:val="00B500BA"/>
    <w:rsid w:val="00B504A8"/>
    <w:rsid w:val="00B50A16"/>
    <w:rsid w:val="00B5234D"/>
    <w:rsid w:val="00B52E79"/>
    <w:rsid w:val="00B530CC"/>
    <w:rsid w:val="00B531A4"/>
    <w:rsid w:val="00B53801"/>
    <w:rsid w:val="00B5432E"/>
    <w:rsid w:val="00B54DD2"/>
    <w:rsid w:val="00B54E26"/>
    <w:rsid w:val="00B55E14"/>
    <w:rsid w:val="00B57120"/>
    <w:rsid w:val="00B57285"/>
    <w:rsid w:val="00B573EC"/>
    <w:rsid w:val="00B5754A"/>
    <w:rsid w:val="00B60E4E"/>
    <w:rsid w:val="00B61503"/>
    <w:rsid w:val="00B616C7"/>
    <w:rsid w:val="00B619BD"/>
    <w:rsid w:val="00B61AB0"/>
    <w:rsid w:val="00B62A5B"/>
    <w:rsid w:val="00B62BB2"/>
    <w:rsid w:val="00B635AF"/>
    <w:rsid w:val="00B638A4"/>
    <w:rsid w:val="00B63918"/>
    <w:rsid w:val="00B63EEA"/>
    <w:rsid w:val="00B648C9"/>
    <w:rsid w:val="00B64A49"/>
    <w:rsid w:val="00B64EE4"/>
    <w:rsid w:val="00B6506E"/>
    <w:rsid w:val="00B65732"/>
    <w:rsid w:val="00B665CA"/>
    <w:rsid w:val="00B67D71"/>
    <w:rsid w:val="00B67F2E"/>
    <w:rsid w:val="00B71163"/>
    <w:rsid w:val="00B71CBB"/>
    <w:rsid w:val="00B71D2E"/>
    <w:rsid w:val="00B71F40"/>
    <w:rsid w:val="00B71FCC"/>
    <w:rsid w:val="00B725A0"/>
    <w:rsid w:val="00B73312"/>
    <w:rsid w:val="00B73B50"/>
    <w:rsid w:val="00B73D28"/>
    <w:rsid w:val="00B7472F"/>
    <w:rsid w:val="00B74FAB"/>
    <w:rsid w:val="00B75120"/>
    <w:rsid w:val="00B75A26"/>
    <w:rsid w:val="00B75B00"/>
    <w:rsid w:val="00B75B69"/>
    <w:rsid w:val="00B766D7"/>
    <w:rsid w:val="00B76C99"/>
    <w:rsid w:val="00B76DEC"/>
    <w:rsid w:val="00B76E0A"/>
    <w:rsid w:val="00B770DF"/>
    <w:rsid w:val="00B77B01"/>
    <w:rsid w:val="00B77D02"/>
    <w:rsid w:val="00B77FD1"/>
    <w:rsid w:val="00B806AE"/>
    <w:rsid w:val="00B80CFA"/>
    <w:rsid w:val="00B8120B"/>
    <w:rsid w:val="00B812D1"/>
    <w:rsid w:val="00B82107"/>
    <w:rsid w:val="00B82521"/>
    <w:rsid w:val="00B82937"/>
    <w:rsid w:val="00B82B0E"/>
    <w:rsid w:val="00B8367E"/>
    <w:rsid w:val="00B83944"/>
    <w:rsid w:val="00B8413D"/>
    <w:rsid w:val="00B84727"/>
    <w:rsid w:val="00B84AA0"/>
    <w:rsid w:val="00B871A9"/>
    <w:rsid w:val="00B87AA2"/>
    <w:rsid w:val="00B9054E"/>
    <w:rsid w:val="00B907B0"/>
    <w:rsid w:val="00B90828"/>
    <w:rsid w:val="00B909CA"/>
    <w:rsid w:val="00B90B92"/>
    <w:rsid w:val="00B90DAD"/>
    <w:rsid w:val="00B91274"/>
    <w:rsid w:val="00B91698"/>
    <w:rsid w:val="00B92AF9"/>
    <w:rsid w:val="00B9344A"/>
    <w:rsid w:val="00B93477"/>
    <w:rsid w:val="00B94853"/>
    <w:rsid w:val="00B94DA5"/>
    <w:rsid w:val="00B950CA"/>
    <w:rsid w:val="00B9566A"/>
    <w:rsid w:val="00B958A9"/>
    <w:rsid w:val="00B968E1"/>
    <w:rsid w:val="00B96A27"/>
    <w:rsid w:val="00B9774C"/>
    <w:rsid w:val="00B97BD3"/>
    <w:rsid w:val="00BA0587"/>
    <w:rsid w:val="00BA0D8F"/>
    <w:rsid w:val="00BA3E39"/>
    <w:rsid w:val="00BA4066"/>
    <w:rsid w:val="00BA492C"/>
    <w:rsid w:val="00BA4E09"/>
    <w:rsid w:val="00BA5158"/>
    <w:rsid w:val="00BA52B6"/>
    <w:rsid w:val="00BA53A6"/>
    <w:rsid w:val="00BA6A0E"/>
    <w:rsid w:val="00BA78EB"/>
    <w:rsid w:val="00BA79DD"/>
    <w:rsid w:val="00BA7BC4"/>
    <w:rsid w:val="00BB0216"/>
    <w:rsid w:val="00BB114E"/>
    <w:rsid w:val="00BB3BFD"/>
    <w:rsid w:val="00BB41D1"/>
    <w:rsid w:val="00BB58C6"/>
    <w:rsid w:val="00BB6018"/>
    <w:rsid w:val="00BB68D4"/>
    <w:rsid w:val="00BB6ABF"/>
    <w:rsid w:val="00BB6B2D"/>
    <w:rsid w:val="00BB702B"/>
    <w:rsid w:val="00BB73C8"/>
    <w:rsid w:val="00BC00F1"/>
    <w:rsid w:val="00BC0694"/>
    <w:rsid w:val="00BC08C8"/>
    <w:rsid w:val="00BC12B6"/>
    <w:rsid w:val="00BC1FAA"/>
    <w:rsid w:val="00BC2413"/>
    <w:rsid w:val="00BC2A25"/>
    <w:rsid w:val="00BC4378"/>
    <w:rsid w:val="00BC44CA"/>
    <w:rsid w:val="00BC47DD"/>
    <w:rsid w:val="00BC5015"/>
    <w:rsid w:val="00BC5047"/>
    <w:rsid w:val="00BC5BBA"/>
    <w:rsid w:val="00BC5D68"/>
    <w:rsid w:val="00BC7B68"/>
    <w:rsid w:val="00BC7D44"/>
    <w:rsid w:val="00BC7E4B"/>
    <w:rsid w:val="00BC7F46"/>
    <w:rsid w:val="00BD02D8"/>
    <w:rsid w:val="00BD0715"/>
    <w:rsid w:val="00BD0807"/>
    <w:rsid w:val="00BD0CF7"/>
    <w:rsid w:val="00BD1B3D"/>
    <w:rsid w:val="00BD2036"/>
    <w:rsid w:val="00BD221E"/>
    <w:rsid w:val="00BD24D5"/>
    <w:rsid w:val="00BD253B"/>
    <w:rsid w:val="00BD2A5C"/>
    <w:rsid w:val="00BD3B7B"/>
    <w:rsid w:val="00BD3DB2"/>
    <w:rsid w:val="00BD42A5"/>
    <w:rsid w:val="00BD4FE7"/>
    <w:rsid w:val="00BD53B3"/>
    <w:rsid w:val="00BD54A6"/>
    <w:rsid w:val="00BD5876"/>
    <w:rsid w:val="00BD5A8C"/>
    <w:rsid w:val="00BD5F06"/>
    <w:rsid w:val="00BD5FAC"/>
    <w:rsid w:val="00BD6C57"/>
    <w:rsid w:val="00BD76CA"/>
    <w:rsid w:val="00BE0DF5"/>
    <w:rsid w:val="00BE2282"/>
    <w:rsid w:val="00BE2CF9"/>
    <w:rsid w:val="00BE344C"/>
    <w:rsid w:val="00BE4399"/>
    <w:rsid w:val="00BE44AB"/>
    <w:rsid w:val="00BE4769"/>
    <w:rsid w:val="00BE4AA0"/>
    <w:rsid w:val="00BE4F94"/>
    <w:rsid w:val="00BE53CA"/>
    <w:rsid w:val="00BE6737"/>
    <w:rsid w:val="00BE79AF"/>
    <w:rsid w:val="00BF0B7B"/>
    <w:rsid w:val="00BF2AC6"/>
    <w:rsid w:val="00BF2E42"/>
    <w:rsid w:val="00BF4054"/>
    <w:rsid w:val="00BF459D"/>
    <w:rsid w:val="00BF48AC"/>
    <w:rsid w:val="00BF4BB8"/>
    <w:rsid w:val="00BF504E"/>
    <w:rsid w:val="00BF543D"/>
    <w:rsid w:val="00BF5E1E"/>
    <w:rsid w:val="00BF6ADA"/>
    <w:rsid w:val="00C00825"/>
    <w:rsid w:val="00C01934"/>
    <w:rsid w:val="00C024F2"/>
    <w:rsid w:val="00C0276E"/>
    <w:rsid w:val="00C02844"/>
    <w:rsid w:val="00C02A03"/>
    <w:rsid w:val="00C02ABD"/>
    <w:rsid w:val="00C03670"/>
    <w:rsid w:val="00C03B5A"/>
    <w:rsid w:val="00C0519D"/>
    <w:rsid w:val="00C057AD"/>
    <w:rsid w:val="00C05FD5"/>
    <w:rsid w:val="00C06031"/>
    <w:rsid w:val="00C064DC"/>
    <w:rsid w:val="00C06B12"/>
    <w:rsid w:val="00C06E44"/>
    <w:rsid w:val="00C07F8A"/>
    <w:rsid w:val="00C109C3"/>
    <w:rsid w:val="00C10F8E"/>
    <w:rsid w:val="00C11208"/>
    <w:rsid w:val="00C128CD"/>
    <w:rsid w:val="00C128E0"/>
    <w:rsid w:val="00C12EBE"/>
    <w:rsid w:val="00C13588"/>
    <w:rsid w:val="00C14721"/>
    <w:rsid w:val="00C14B82"/>
    <w:rsid w:val="00C15257"/>
    <w:rsid w:val="00C15739"/>
    <w:rsid w:val="00C15C97"/>
    <w:rsid w:val="00C15EC2"/>
    <w:rsid w:val="00C167BD"/>
    <w:rsid w:val="00C16D79"/>
    <w:rsid w:val="00C175AC"/>
    <w:rsid w:val="00C2080C"/>
    <w:rsid w:val="00C208A6"/>
    <w:rsid w:val="00C209BB"/>
    <w:rsid w:val="00C21997"/>
    <w:rsid w:val="00C22087"/>
    <w:rsid w:val="00C22316"/>
    <w:rsid w:val="00C22421"/>
    <w:rsid w:val="00C22CD0"/>
    <w:rsid w:val="00C22F2B"/>
    <w:rsid w:val="00C234CA"/>
    <w:rsid w:val="00C236F1"/>
    <w:rsid w:val="00C23CE0"/>
    <w:rsid w:val="00C23D7C"/>
    <w:rsid w:val="00C302F8"/>
    <w:rsid w:val="00C30C58"/>
    <w:rsid w:val="00C324EB"/>
    <w:rsid w:val="00C3518B"/>
    <w:rsid w:val="00C35ABC"/>
    <w:rsid w:val="00C35BEF"/>
    <w:rsid w:val="00C37321"/>
    <w:rsid w:val="00C377E0"/>
    <w:rsid w:val="00C37D19"/>
    <w:rsid w:val="00C403E8"/>
    <w:rsid w:val="00C409E4"/>
    <w:rsid w:val="00C40CDD"/>
    <w:rsid w:val="00C41056"/>
    <w:rsid w:val="00C41E97"/>
    <w:rsid w:val="00C41F1D"/>
    <w:rsid w:val="00C42E5B"/>
    <w:rsid w:val="00C43387"/>
    <w:rsid w:val="00C43920"/>
    <w:rsid w:val="00C43EC6"/>
    <w:rsid w:val="00C44237"/>
    <w:rsid w:val="00C44244"/>
    <w:rsid w:val="00C44534"/>
    <w:rsid w:val="00C44E2E"/>
    <w:rsid w:val="00C45064"/>
    <w:rsid w:val="00C455A1"/>
    <w:rsid w:val="00C45626"/>
    <w:rsid w:val="00C45FBC"/>
    <w:rsid w:val="00C47692"/>
    <w:rsid w:val="00C4786B"/>
    <w:rsid w:val="00C47C28"/>
    <w:rsid w:val="00C50018"/>
    <w:rsid w:val="00C501BA"/>
    <w:rsid w:val="00C511EC"/>
    <w:rsid w:val="00C520C1"/>
    <w:rsid w:val="00C54D82"/>
    <w:rsid w:val="00C557FB"/>
    <w:rsid w:val="00C56734"/>
    <w:rsid w:val="00C568DF"/>
    <w:rsid w:val="00C56CC3"/>
    <w:rsid w:val="00C578EE"/>
    <w:rsid w:val="00C57F10"/>
    <w:rsid w:val="00C602CE"/>
    <w:rsid w:val="00C6063A"/>
    <w:rsid w:val="00C60F51"/>
    <w:rsid w:val="00C62577"/>
    <w:rsid w:val="00C62D38"/>
    <w:rsid w:val="00C63305"/>
    <w:rsid w:val="00C63DD3"/>
    <w:rsid w:val="00C646A2"/>
    <w:rsid w:val="00C65D48"/>
    <w:rsid w:val="00C6692F"/>
    <w:rsid w:val="00C67837"/>
    <w:rsid w:val="00C67AD2"/>
    <w:rsid w:val="00C70378"/>
    <w:rsid w:val="00C721B3"/>
    <w:rsid w:val="00C7248F"/>
    <w:rsid w:val="00C72719"/>
    <w:rsid w:val="00C7394B"/>
    <w:rsid w:val="00C73F39"/>
    <w:rsid w:val="00C74331"/>
    <w:rsid w:val="00C756C9"/>
    <w:rsid w:val="00C76A5A"/>
    <w:rsid w:val="00C770BA"/>
    <w:rsid w:val="00C773DC"/>
    <w:rsid w:val="00C778AE"/>
    <w:rsid w:val="00C77D29"/>
    <w:rsid w:val="00C80E19"/>
    <w:rsid w:val="00C81954"/>
    <w:rsid w:val="00C8253A"/>
    <w:rsid w:val="00C8370F"/>
    <w:rsid w:val="00C83824"/>
    <w:rsid w:val="00C84DA2"/>
    <w:rsid w:val="00C85CE5"/>
    <w:rsid w:val="00C85E01"/>
    <w:rsid w:val="00C862EC"/>
    <w:rsid w:val="00C87016"/>
    <w:rsid w:val="00C87DFC"/>
    <w:rsid w:val="00C91BAF"/>
    <w:rsid w:val="00C92339"/>
    <w:rsid w:val="00C9338E"/>
    <w:rsid w:val="00C93518"/>
    <w:rsid w:val="00C93787"/>
    <w:rsid w:val="00C9456C"/>
    <w:rsid w:val="00C96203"/>
    <w:rsid w:val="00C970BB"/>
    <w:rsid w:val="00C97C71"/>
    <w:rsid w:val="00CA0378"/>
    <w:rsid w:val="00CA0DAA"/>
    <w:rsid w:val="00CA2178"/>
    <w:rsid w:val="00CA2E00"/>
    <w:rsid w:val="00CA3D8A"/>
    <w:rsid w:val="00CA47BE"/>
    <w:rsid w:val="00CA5021"/>
    <w:rsid w:val="00CA5266"/>
    <w:rsid w:val="00CA5301"/>
    <w:rsid w:val="00CA5C0B"/>
    <w:rsid w:val="00CA6142"/>
    <w:rsid w:val="00CA68E5"/>
    <w:rsid w:val="00CB055A"/>
    <w:rsid w:val="00CB07E6"/>
    <w:rsid w:val="00CB08BE"/>
    <w:rsid w:val="00CB0AB8"/>
    <w:rsid w:val="00CB10C4"/>
    <w:rsid w:val="00CB17FC"/>
    <w:rsid w:val="00CB2280"/>
    <w:rsid w:val="00CB23CE"/>
    <w:rsid w:val="00CB3110"/>
    <w:rsid w:val="00CB31CE"/>
    <w:rsid w:val="00CB3BAB"/>
    <w:rsid w:val="00CB441A"/>
    <w:rsid w:val="00CB4BFA"/>
    <w:rsid w:val="00CB5179"/>
    <w:rsid w:val="00CB518E"/>
    <w:rsid w:val="00CB52E4"/>
    <w:rsid w:val="00CB53A9"/>
    <w:rsid w:val="00CB5F6E"/>
    <w:rsid w:val="00CB621F"/>
    <w:rsid w:val="00CB652C"/>
    <w:rsid w:val="00CB7186"/>
    <w:rsid w:val="00CB76D8"/>
    <w:rsid w:val="00CB7BC2"/>
    <w:rsid w:val="00CC0490"/>
    <w:rsid w:val="00CC055F"/>
    <w:rsid w:val="00CC18A8"/>
    <w:rsid w:val="00CC241A"/>
    <w:rsid w:val="00CC2681"/>
    <w:rsid w:val="00CC29EE"/>
    <w:rsid w:val="00CC2DFF"/>
    <w:rsid w:val="00CC2E2A"/>
    <w:rsid w:val="00CC33D0"/>
    <w:rsid w:val="00CC3A07"/>
    <w:rsid w:val="00CC4005"/>
    <w:rsid w:val="00CC4443"/>
    <w:rsid w:val="00CC5421"/>
    <w:rsid w:val="00CC6ECD"/>
    <w:rsid w:val="00CC7B18"/>
    <w:rsid w:val="00CD0553"/>
    <w:rsid w:val="00CD07B1"/>
    <w:rsid w:val="00CD17C3"/>
    <w:rsid w:val="00CD1E56"/>
    <w:rsid w:val="00CD299F"/>
    <w:rsid w:val="00CD2AE0"/>
    <w:rsid w:val="00CD3237"/>
    <w:rsid w:val="00CD3EB5"/>
    <w:rsid w:val="00CD4042"/>
    <w:rsid w:val="00CD4E17"/>
    <w:rsid w:val="00CD504C"/>
    <w:rsid w:val="00CD5786"/>
    <w:rsid w:val="00CD5EF1"/>
    <w:rsid w:val="00CD74A6"/>
    <w:rsid w:val="00CD7508"/>
    <w:rsid w:val="00CD75E3"/>
    <w:rsid w:val="00CE00E0"/>
    <w:rsid w:val="00CE0459"/>
    <w:rsid w:val="00CE098B"/>
    <w:rsid w:val="00CE136A"/>
    <w:rsid w:val="00CE1A61"/>
    <w:rsid w:val="00CE2575"/>
    <w:rsid w:val="00CE26AD"/>
    <w:rsid w:val="00CE3CF2"/>
    <w:rsid w:val="00CE5EB0"/>
    <w:rsid w:val="00CE6764"/>
    <w:rsid w:val="00CE69A7"/>
    <w:rsid w:val="00CE7146"/>
    <w:rsid w:val="00CE76E2"/>
    <w:rsid w:val="00CF0677"/>
    <w:rsid w:val="00CF0F19"/>
    <w:rsid w:val="00CF1214"/>
    <w:rsid w:val="00CF129E"/>
    <w:rsid w:val="00CF1A8E"/>
    <w:rsid w:val="00CF3E17"/>
    <w:rsid w:val="00CF407B"/>
    <w:rsid w:val="00CF40D2"/>
    <w:rsid w:val="00CF4140"/>
    <w:rsid w:val="00CF4BC2"/>
    <w:rsid w:val="00CF4BEE"/>
    <w:rsid w:val="00CF5B51"/>
    <w:rsid w:val="00CF5C99"/>
    <w:rsid w:val="00CF5CD1"/>
    <w:rsid w:val="00CF6A82"/>
    <w:rsid w:val="00CF7C37"/>
    <w:rsid w:val="00CF7CA6"/>
    <w:rsid w:val="00D0002A"/>
    <w:rsid w:val="00D004C4"/>
    <w:rsid w:val="00D01318"/>
    <w:rsid w:val="00D01815"/>
    <w:rsid w:val="00D01E17"/>
    <w:rsid w:val="00D022BD"/>
    <w:rsid w:val="00D02319"/>
    <w:rsid w:val="00D02AD0"/>
    <w:rsid w:val="00D0329F"/>
    <w:rsid w:val="00D036D1"/>
    <w:rsid w:val="00D036E5"/>
    <w:rsid w:val="00D04F16"/>
    <w:rsid w:val="00D070BF"/>
    <w:rsid w:val="00D071D1"/>
    <w:rsid w:val="00D075B0"/>
    <w:rsid w:val="00D07A6F"/>
    <w:rsid w:val="00D10647"/>
    <w:rsid w:val="00D106AB"/>
    <w:rsid w:val="00D107AD"/>
    <w:rsid w:val="00D108D6"/>
    <w:rsid w:val="00D10DB3"/>
    <w:rsid w:val="00D1134E"/>
    <w:rsid w:val="00D1197F"/>
    <w:rsid w:val="00D11DAC"/>
    <w:rsid w:val="00D1210E"/>
    <w:rsid w:val="00D125A9"/>
    <w:rsid w:val="00D12B02"/>
    <w:rsid w:val="00D1380C"/>
    <w:rsid w:val="00D13BBF"/>
    <w:rsid w:val="00D13E44"/>
    <w:rsid w:val="00D15042"/>
    <w:rsid w:val="00D150F3"/>
    <w:rsid w:val="00D162B5"/>
    <w:rsid w:val="00D16B8F"/>
    <w:rsid w:val="00D17320"/>
    <w:rsid w:val="00D179C5"/>
    <w:rsid w:val="00D17EBE"/>
    <w:rsid w:val="00D2119B"/>
    <w:rsid w:val="00D225E0"/>
    <w:rsid w:val="00D22B85"/>
    <w:rsid w:val="00D22F8E"/>
    <w:rsid w:val="00D2443B"/>
    <w:rsid w:val="00D244AB"/>
    <w:rsid w:val="00D24AF1"/>
    <w:rsid w:val="00D266F6"/>
    <w:rsid w:val="00D26D63"/>
    <w:rsid w:val="00D27034"/>
    <w:rsid w:val="00D30E74"/>
    <w:rsid w:val="00D33CC7"/>
    <w:rsid w:val="00D34B0D"/>
    <w:rsid w:val="00D36356"/>
    <w:rsid w:val="00D36899"/>
    <w:rsid w:val="00D369AF"/>
    <w:rsid w:val="00D36E27"/>
    <w:rsid w:val="00D36F0F"/>
    <w:rsid w:val="00D3714A"/>
    <w:rsid w:val="00D37BE6"/>
    <w:rsid w:val="00D4003A"/>
    <w:rsid w:val="00D4016C"/>
    <w:rsid w:val="00D41058"/>
    <w:rsid w:val="00D41F13"/>
    <w:rsid w:val="00D43C73"/>
    <w:rsid w:val="00D43F32"/>
    <w:rsid w:val="00D449FC"/>
    <w:rsid w:val="00D44FBA"/>
    <w:rsid w:val="00D45128"/>
    <w:rsid w:val="00D45ED5"/>
    <w:rsid w:val="00D4684E"/>
    <w:rsid w:val="00D46EF2"/>
    <w:rsid w:val="00D500DC"/>
    <w:rsid w:val="00D50176"/>
    <w:rsid w:val="00D5047F"/>
    <w:rsid w:val="00D51ACD"/>
    <w:rsid w:val="00D521E1"/>
    <w:rsid w:val="00D52258"/>
    <w:rsid w:val="00D52BA5"/>
    <w:rsid w:val="00D53D81"/>
    <w:rsid w:val="00D54C85"/>
    <w:rsid w:val="00D55117"/>
    <w:rsid w:val="00D559F3"/>
    <w:rsid w:val="00D55EE7"/>
    <w:rsid w:val="00D5778A"/>
    <w:rsid w:val="00D57AF1"/>
    <w:rsid w:val="00D602CE"/>
    <w:rsid w:val="00D603CB"/>
    <w:rsid w:val="00D60E23"/>
    <w:rsid w:val="00D61DD6"/>
    <w:rsid w:val="00D61F48"/>
    <w:rsid w:val="00D62069"/>
    <w:rsid w:val="00D626A6"/>
    <w:rsid w:val="00D6291D"/>
    <w:rsid w:val="00D6361C"/>
    <w:rsid w:val="00D64381"/>
    <w:rsid w:val="00D64C43"/>
    <w:rsid w:val="00D6531D"/>
    <w:rsid w:val="00D65B3A"/>
    <w:rsid w:val="00D66352"/>
    <w:rsid w:val="00D6690A"/>
    <w:rsid w:val="00D678B7"/>
    <w:rsid w:val="00D70470"/>
    <w:rsid w:val="00D704F2"/>
    <w:rsid w:val="00D70DB7"/>
    <w:rsid w:val="00D711EC"/>
    <w:rsid w:val="00D71242"/>
    <w:rsid w:val="00D71B6D"/>
    <w:rsid w:val="00D71D3D"/>
    <w:rsid w:val="00D7289B"/>
    <w:rsid w:val="00D72C73"/>
    <w:rsid w:val="00D7490F"/>
    <w:rsid w:val="00D75777"/>
    <w:rsid w:val="00D75DFE"/>
    <w:rsid w:val="00D76A20"/>
    <w:rsid w:val="00D76AA3"/>
    <w:rsid w:val="00D76BBF"/>
    <w:rsid w:val="00D77170"/>
    <w:rsid w:val="00D771E9"/>
    <w:rsid w:val="00D77F3A"/>
    <w:rsid w:val="00D80837"/>
    <w:rsid w:val="00D80A48"/>
    <w:rsid w:val="00D82098"/>
    <w:rsid w:val="00D82979"/>
    <w:rsid w:val="00D83C83"/>
    <w:rsid w:val="00D83CFF"/>
    <w:rsid w:val="00D84875"/>
    <w:rsid w:val="00D84E1A"/>
    <w:rsid w:val="00D851E0"/>
    <w:rsid w:val="00D85E2E"/>
    <w:rsid w:val="00D860F4"/>
    <w:rsid w:val="00D86F6F"/>
    <w:rsid w:val="00D8757F"/>
    <w:rsid w:val="00D87F0C"/>
    <w:rsid w:val="00D90343"/>
    <w:rsid w:val="00D911EF"/>
    <w:rsid w:val="00D91526"/>
    <w:rsid w:val="00D91D0D"/>
    <w:rsid w:val="00D91F8D"/>
    <w:rsid w:val="00D92058"/>
    <w:rsid w:val="00D92F36"/>
    <w:rsid w:val="00D93AD2"/>
    <w:rsid w:val="00D946E2"/>
    <w:rsid w:val="00D9578B"/>
    <w:rsid w:val="00D957DA"/>
    <w:rsid w:val="00D970F2"/>
    <w:rsid w:val="00D9732B"/>
    <w:rsid w:val="00D9752C"/>
    <w:rsid w:val="00D9781F"/>
    <w:rsid w:val="00D979AB"/>
    <w:rsid w:val="00D97D6E"/>
    <w:rsid w:val="00DA034F"/>
    <w:rsid w:val="00DA1AAF"/>
    <w:rsid w:val="00DA2D12"/>
    <w:rsid w:val="00DA398F"/>
    <w:rsid w:val="00DA475B"/>
    <w:rsid w:val="00DA4DD0"/>
    <w:rsid w:val="00DA4E0C"/>
    <w:rsid w:val="00DA584D"/>
    <w:rsid w:val="00DA594E"/>
    <w:rsid w:val="00DA69A9"/>
    <w:rsid w:val="00DA7910"/>
    <w:rsid w:val="00DA7FF9"/>
    <w:rsid w:val="00DB03F6"/>
    <w:rsid w:val="00DB072E"/>
    <w:rsid w:val="00DB0C4E"/>
    <w:rsid w:val="00DB117C"/>
    <w:rsid w:val="00DB23A4"/>
    <w:rsid w:val="00DB29F6"/>
    <w:rsid w:val="00DB2FC8"/>
    <w:rsid w:val="00DB4682"/>
    <w:rsid w:val="00DB51FE"/>
    <w:rsid w:val="00DB5FE0"/>
    <w:rsid w:val="00DB611B"/>
    <w:rsid w:val="00DB6C42"/>
    <w:rsid w:val="00DB6C73"/>
    <w:rsid w:val="00DB6CCD"/>
    <w:rsid w:val="00DB74B8"/>
    <w:rsid w:val="00DB77B1"/>
    <w:rsid w:val="00DC094F"/>
    <w:rsid w:val="00DC0BEE"/>
    <w:rsid w:val="00DC141A"/>
    <w:rsid w:val="00DC24FD"/>
    <w:rsid w:val="00DC295E"/>
    <w:rsid w:val="00DC2ADB"/>
    <w:rsid w:val="00DC2DA7"/>
    <w:rsid w:val="00DC2E3B"/>
    <w:rsid w:val="00DC3980"/>
    <w:rsid w:val="00DC39A2"/>
    <w:rsid w:val="00DC3AA0"/>
    <w:rsid w:val="00DC3F34"/>
    <w:rsid w:val="00DC5822"/>
    <w:rsid w:val="00DC6298"/>
    <w:rsid w:val="00DC7E60"/>
    <w:rsid w:val="00DC7EB3"/>
    <w:rsid w:val="00DD0D5E"/>
    <w:rsid w:val="00DD0F7D"/>
    <w:rsid w:val="00DD1386"/>
    <w:rsid w:val="00DD19A1"/>
    <w:rsid w:val="00DD2B42"/>
    <w:rsid w:val="00DD2BCB"/>
    <w:rsid w:val="00DD3473"/>
    <w:rsid w:val="00DD3BD7"/>
    <w:rsid w:val="00DD44EB"/>
    <w:rsid w:val="00DD4D18"/>
    <w:rsid w:val="00DD4ED2"/>
    <w:rsid w:val="00DD5B96"/>
    <w:rsid w:val="00DD5ED1"/>
    <w:rsid w:val="00DD689C"/>
    <w:rsid w:val="00DD70DB"/>
    <w:rsid w:val="00DD71D0"/>
    <w:rsid w:val="00DD7390"/>
    <w:rsid w:val="00DD7A1C"/>
    <w:rsid w:val="00DE01FF"/>
    <w:rsid w:val="00DE0574"/>
    <w:rsid w:val="00DE0F7B"/>
    <w:rsid w:val="00DE280C"/>
    <w:rsid w:val="00DE3F8D"/>
    <w:rsid w:val="00DE4353"/>
    <w:rsid w:val="00DE436F"/>
    <w:rsid w:val="00DE4399"/>
    <w:rsid w:val="00DE521D"/>
    <w:rsid w:val="00DE5F11"/>
    <w:rsid w:val="00DE6ABE"/>
    <w:rsid w:val="00DE6CFC"/>
    <w:rsid w:val="00DE783F"/>
    <w:rsid w:val="00DF010A"/>
    <w:rsid w:val="00DF0378"/>
    <w:rsid w:val="00DF0B4B"/>
    <w:rsid w:val="00DF1464"/>
    <w:rsid w:val="00DF1A56"/>
    <w:rsid w:val="00DF1BC4"/>
    <w:rsid w:val="00DF1C69"/>
    <w:rsid w:val="00DF247C"/>
    <w:rsid w:val="00DF32BD"/>
    <w:rsid w:val="00DF3882"/>
    <w:rsid w:val="00DF42C1"/>
    <w:rsid w:val="00DF4506"/>
    <w:rsid w:val="00DF4766"/>
    <w:rsid w:val="00DF4A5A"/>
    <w:rsid w:val="00DF4D1F"/>
    <w:rsid w:val="00DF4F2C"/>
    <w:rsid w:val="00DF5167"/>
    <w:rsid w:val="00DF5A85"/>
    <w:rsid w:val="00DF6747"/>
    <w:rsid w:val="00DF6D61"/>
    <w:rsid w:val="00DF7560"/>
    <w:rsid w:val="00DF7D4B"/>
    <w:rsid w:val="00E00318"/>
    <w:rsid w:val="00E00B8C"/>
    <w:rsid w:val="00E00E3A"/>
    <w:rsid w:val="00E0152B"/>
    <w:rsid w:val="00E02803"/>
    <w:rsid w:val="00E02A17"/>
    <w:rsid w:val="00E02F9C"/>
    <w:rsid w:val="00E03661"/>
    <w:rsid w:val="00E03830"/>
    <w:rsid w:val="00E03C19"/>
    <w:rsid w:val="00E04596"/>
    <w:rsid w:val="00E06AC7"/>
    <w:rsid w:val="00E07712"/>
    <w:rsid w:val="00E07DC0"/>
    <w:rsid w:val="00E10EEA"/>
    <w:rsid w:val="00E12BF4"/>
    <w:rsid w:val="00E134E3"/>
    <w:rsid w:val="00E13C75"/>
    <w:rsid w:val="00E13F6A"/>
    <w:rsid w:val="00E15989"/>
    <w:rsid w:val="00E16300"/>
    <w:rsid w:val="00E16ABA"/>
    <w:rsid w:val="00E16F7E"/>
    <w:rsid w:val="00E177FD"/>
    <w:rsid w:val="00E1794B"/>
    <w:rsid w:val="00E179DC"/>
    <w:rsid w:val="00E17E25"/>
    <w:rsid w:val="00E20F8C"/>
    <w:rsid w:val="00E2129C"/>
    <w:rsid w:val="00E21374"/>
    <w:rsid w:val="00E21E69"/>
    <w:rsid w:val="00E22288"/>
    <w:rsid w:val="00E2285B"/>
    <w:rsid w:val="00E22DE1"/>
    <w:rsid w:val="00E22F20"/>
    <w:rsid w:val="00E230B2"/>
    <w:rsid w:val="00E24302"/>
    <w:rsid w:val="00E24BC8"/>
    <w:rsid w:val="00E266C0"/>
    <w:rsid w:val="00E266FD"/>
    <w:rsid w:val="00E26BA3"/>
    <w:rsid w:val="00E27609"/>
    <w:rsid w:val="00E27B6C"/>
    <w:rsid w:val="00E27BA0"/>
    <w:rsid w:val="00E30218"/>
    <w:rsid w:val="00E30544"/>
    <w:rsid w:val="00E30C92"/>
    <w:rsid w:val="00E30CE9"/>
    <w:rsid w:val="00E31C53"/>
    <w:rsid w:val="00E31EBD"/>
    <w:rsid w:val="00E321BF"/>
    <w:rsid w:val="00E33383"/>
    <w:rsid w:val="00E33798"/>
    <w:rsid w:val="00E338E5"/>
    <w:rsid w:val="00E34D87"/>
    <w:rsid w:val="00E35143"/>
    <w:rsid w:val="00E353B1"/>
    <w:rsid w:val="00E35408"/>
    <w:rsid w:val="00E35744"/>
    <w:rsid w:val="00E35B93"/>
    <w:rsid w:val="00E36857"/>
    <w:rsid w:val="00E36B5C"/>
    <w:rsid w:val="00E36CAE"/>
    <w:rsid w:val="00E40167"/>
    <w:rsid w:val="00E403BF"/>
    <w:rsid w:val="00E40581"/>
    <w:rsid w:val="00E40695"/>
    <w:rsid w:val="00E40CE4"/>
    <w:rsid w:val="00E41E28"/>
    <w:rsid w:val="00E43481"/>
    <w:rsid w:val="00E43A0D"/>
    <w:rsid w:val="00E44C4C"/>
    <w:rsid w:val="00E44EC5"/>
    <w:rsid w:val="00E44F36"/>
    <w:rsid w:val="00E4520B"/>
    <w:rsid w:val="00E45739"/>
    <w:rsid w:val="00E45920"/>
    <w:rsid w:val="00E45AA8"/>
    <w:rsid w:val="00E45EEC"/>
    <w:rsid w:val="00E46285"/>
    <w:rsid w:val="00E4643D"/>
    <w:rsid w:val="00E465BB"/>
    <w:rsid w:val="00E467D6"/>
    <w:rsid w:val="00E46812"/>
    <w:rsid w:val="00E470E7"/>
    <w:rsid w:val="00E479AE"/>
    <w:rsid w:val="00E50010"/>
    <w:rsid w:val="00E50035"/>
    <w:rsid w:val="00E5012D"/>
    <w:rsid w:val="00E50A01"/>
    <w:rsid w:val="00E51333"/>
    <w:rsid w:val="00E51532"/>
    <w:rsid w:val="00E51E05"/>
    <w:rsid w:val="00E52022"/>
    <w:rsid w:val="00E52468"/>
    <w:rsid w:val="00E524DE"/>
    <w:rsid w:val="00E5270F"/>
    <w:rsid w:val="00E52777"/>
    <w:rsid w:val="00E52D55"/>
    <w:rsid w:val="00E532DF"/>
    <w:rsid w:val="00E533A7"/>
    <w:rsid w:val="00E537B6"/>
    <w:rsid w:val="00E543A5"/>
    <w:rsid w:val="00E545D7"/>
    <w:rsid w:val="00E54AF7"/>
    <w:rsid w:val="00E553B9"/>
    <w:rsid w:val="00E561DE"/>
    <w:rsid w:val="00E56517"/>
    <w:rsid w:val="00E566EF"/>
    <w:rsid w:val="00E56F89"/>
    <w:rsid w:val="00E57D75"/>
    <w:rsid w:val="00E60A28"/>
    <w:rsid w:val="00E6107C"/>
    <w:rsid w:val="00E62385"/>
    <w:rsid w:val="00E62A41"/>
    <w:rsid w:val="00E62E4D"/>
    <w:rsid w:val="00E63E02"/>
    <w:rsid w:val="00E6409B"/>
    <w:rsid w:val="00E65117"/>
    <w:rsid w:val="00E6540F"/>
    <w:rsid w:val="00E658CE"/>
    <w:rsid w:val="00E669E1"/>
    <w:rsid w:val="00E6715B"/>
    <w:rsid w:val="00E674B2"/>
    <w:rsid w:val="00E67C4F"/>
    <w:rsid w:val="00E704BE"/>
    <w:rsid w:val="00E706F7"/>
    <w:rsid w:val="00E70CD1"/>
    <w:rsid w:val="00E716D6"/>
    <w:rsid w:val="00E71889"/>
    <w:rsid w:val="00E71DA3"/>
    <w:rsid w:val="00E71DE0"/>
    <w:rsid w:val="00E72643"/>
    <w:rsid w:val="00E72EC8"/>
    <w:rsid w:val="00E72EFE"/>
    <w:rsid w:val="00E73EB7"/>
    <w:rsid w:val="00E73FFA"/>
    <w:rsid w:val="00E7418C"/>
    <w:rsid w:val="00E74343"/>
    <w:rsid w:val="00E74DC0"/>
    <w:rsid w:val="00E75056"/>
    <w:rsid w:val="00E753C0"/>
    <w:rsid w:val="00E75629"/>
    <w:rsid w:val="00E75AE0"/>
    <w:rsid w:val="00E768F7"/>
    <w:rsid w:val="00E777D0"/>
    <w:rsid w:val="00E77CCB"/>
    <w:rsid w:val="00E80396"/>
    <w:rsid w:val="00E80BF0"/>
    <w:rsid w:val="00E80CFA"/>
    <w:rsid w:val="00E81EFE"/>
    <w:rsid w:val="00E823D0"/>
    <w:rsid w:val="00E827A6"/>
    <w:rsid w:val="00E827E8"/>
    <w:rsid w:val="00E82C5C"/>
    <w:rsid w:val="00E83114"/>
    <w:rsid w:val="00E841F4"/>
    <w:rsid w:val="00E8504E"/>
    <w:rsid w:val="00E851B0"/>
    <w:rsid w:val="00E86C6A"/>
    <w:rsid w:val="00E8753D"/>
    <w:rsid w:val="00E900DA"/>
    <w:rsid w:val="00E9023A"/>
    <w:rsid w:val="00E9033B"/>
    <w:rsid w:val="00E90343"/>
    <w:rsid w:val="00E904B2"/>
    <w:rsid w:val="00E90648"/>
    <w:rsid w:val="00E90876"/>
    <w:rsid w:val="00E90927"/>
    <w:rsid w:val="00E918DA"/>
    <w:rsid w:val="00E91C28"/>
    <w:rsid w:val="00E921D1"/>
    <w:rsid w:val="00E92350"/>
    <w:rsid w:val="00E9271D"/>
    <w:rsid w:val="00E93CB1"/>
    <w:rsid w:val="00E9534C"/>
    <w:rsid w:val="00E9555F"/>
    <w:rsid w:val="00E95A16"/>
    <w:rsid w:val="00E95CD3"/>
    <w:rsid w:val="00E96D1E"/>
    <w:rsid w:val="00E972B3"/>
    <w:rsid w:val="00E97349"/>
    <w:rsid w:val="00EA0FB6"/>
    <w:rsid w:val="00EA1A0D"/>
    <w:rsid w:val="00EA2675"/>
    <w:rsid w:val="00EA4898"/>
    <w:rsid w:val="00EA48F0"/>
    <w:rsid w:val="00EA5310"/>
    <w:rsid w:val="00EA60D4"/>
    <w:rsid w:val="00EA69A5"/>
    <w:rsid w:val="00EA6E68"/>
    <w:rsid w:val="00EA78FF"/>
    <w:rsid w:val="00EB04B6"/>
    <w:rsid w:val="00EB0675"/>
    <w:rsid w:val="00EB1574"/>
    <w:rsid w:val="00EB21BF"/>
    <w:rsid w:val="00EB2951"/>
    <w:rsid w:val="00EB2EDD"/>
    <w:rsid w:val="00EB2FF7"/>
    <w:rsid w:val="00EB4365"/>
    <w:rsid w:val="00EB4C27"/>
    <w:rsid w:val="00EB595B"/>
    <w:rsid w:val="00EB63A1"/>
    <w:rsid w:val="00EB640A"/>
    <w:rsid w:val="00EB7337"/>
    <w:rsid w:val="00EB7FF0"/>
    <w:rsid w:val="00EC082C"/>
    <w:rsid w:val="00EC0932"/>
    <w:rsid w:val="00EC0F38"/>
    <w:rsid w:val="00EC1423"/>
    <w:rsid w:val="00EC2F6F"/>
    <w:rsid w:val="00EC37D3"/>
    <w:rsid w:val="00EC46E1"/>
    <w:rsid w:val="00EC4EB6"/>
    <w:rsid w:val="00EC5124"/>
    <w:rsid w:val="00EC52C6"/>
    <w:rsid w:val="00EC549B"/>
    <w:rsid w:val="00EC5DA7"/>
    <w:rsid w:val="00EC6452"/>
    <w:rsid w:val="00EC6BF9"/>
    <w:rsid w:val="00EC7045"/>
    <w:rsid w:val="00EC7971"/>
    <w:rsid w:val="00ED0335"/>
    <w:rsid w:val="00ED15AC"/>
    <w:rsid w:val="00ED267B"/>
    <w:rsid w:val="00ED2C47"/>
    <w:rsid w:val="00ED35FD"/>
    <w:rsid w:val="00ED38CD"/>
    <w:rsid w:val="00ED3927"/>
    <w:rsid w:val="00ED46AD"/>
    <w:rsid w:val="00ED5475"/>
    <w:rsid w:val="00ED5EE6"/>
    <w:rsid w:val="00ED6ABF"/>
    <w:rsid w:val="00ED6D51"/>
    <w:rsid w:val="00EE0122"/>
    <w:rsid w:val="00EE0DDC"/>
    <w:rsid w:val="00EE197F"/>
    <w:rsid w:val="00EE2303"/>
    <w:rsid w:val="00EE3221"/>
    <w:rsid w:val="00EE4C52"/>
    <w:rsid w:val="00EE4D6A"/>
    <w:rsid w:val="00EE5187"/>
    <w:rsid w:val="00EE5420"/>
    <w:rsid w:val="00EE58E3"/>
    <w:rsid w:val="00EE5E93"/>
    <w:rsid w:val="00EE5EFD"/>
    <w:rsid w:val="00EE60DE"/>
    <w:rsid w:val="00EE61D5"/>
    <w:rsid w:val="00EE6930"/>
    <w:rsid w:val="00EE723E"/>
    <w:rsid w:val="00EE7279"/>
    <w:rsid w:val="00EF0368"/>
    <w:rsid w:val="00EF083A"/>
    <w:rsid w:val="00EF0B9E"/>
    <w:rsid w:val="00EF1221"/>
    <w:rsid w:val="00EF130A"/>
    <w:rsid w:val="00EF2482"/>
    <w:rsid w:val="00EF3542"/>
    <w:rsid w:val="00EF365C"/>
    <w:rsid w:val="00EF431F"/>
    <w:rsid w:val="00EF4B0A"/>
    <w:rsid w:val="00EF5497"/>
    <w:rsid w:val="00EF561C"/>
    <w:rsid w:val="00EF56AA"/>
    <w:rsid w:val="00EF5828"/>
    <w:rsid w:val="00EF6624"/>
    <w:rsid w:val="00EF740C"/>
    <w:rsid w:val="00F0088A"/>
    <w:rsid w:val="00F009DA"/>
    <w:rsid w:val="00F01BE8"/>
    <w:rsid w:val="00F0200B"/>
    <w:rsid w:val="00F02897"/>
    <w:rsid w:val="00F02C70"/>
    <w:rsid w:val="00F03092"/>
    <w:rsid w:val="00F03242"/>
    <w:rsid w:val="00F03622"/>
    <w:rsid w:val="00F03980"/>
    <w:rsid w:val="00F039C6"/>
    <w:rsid w:val="00F0408C"/>
    <w:rsid w:val="00F04353"/>
    <w:rsid w:val="00F04673"/>
    <w:rsid w:val="00F04A49"/>
    <w:rsid w:val="00F04C49"/>
    <w:rsid w:val="00F0652D"/>
    <w:rsid w:val="00F0707C"/>
    <w:rsid w:val="00F07DCA"/>
    <w:rsid w:val="00F109A0"/>
    <w:rsid w:val="00F10BD6"/>
    <w:rsid w:val="00F10D82"/>
    <w:rsid w:val="00F11242"/>
    <w:rsid w:val="00F114E9"/>
    <w:rsid w:val="00F11C1D"/>
    <w:rsid w:val="00F12FF0"/>
    <w:rsid w:val="00F13178"/>
    <w:rsid w:val="00F13E13"/>
    <w:rsid w:val="00F13EA0"/>
    <w:rsid w:val="00F14A0E"/>
    <w:rsid w:val="00F14D3C"/>
    <w:rsid w:val="00F15B64"/>
    <w:rsid w:val="00F16330"/>
    <w:rsid w:val="00F16D47"/>
    <w:rsid w:val="00F201C9"/>
    <w:rsid w:val="00F201F5"/>
    <w:rsid w:val="00F2148A"/>
    <w:rsid w:val="00F22B13"/>
    <w:rsid w:val="00F2338C"/>
    <w:rsid w:val="00F2353E"/>
    <w:rsid w:val="00F237D6"/>
    <w:rsid w:val="00F24868"/>
    <w:rsid w:val="00F24928"/>
    <w:rsid w:val="00F256FD"/>
    <w:rsid w:val="00F25788"/>
    <w:rsid w:val="00F25B1B"/>
    <w:rsid w:val="00F262B8"/>
    <w:rsid w:val="00F2742A"/>
    <w:rsid w:val="00F27B10"/>
    <w:rsid w:val="00F30532"/>
    <w:rsid w:val="00F30F4E"/>
    <w:rsid w:val="00F3197A"/>
    <w:rsid w:val="00F33BF8"/>
    <w:rsid w:val="00F35871"/>
    <w:rsid w:val="00F35CF5"/>
    <w:rsid w:val="00F36007"/>
    <w:rsid w:val="00F3705D"/>
    <w:rsid w:val="00F37292"/>
    <w:rsid w:val="00F376F8"/>
    <w:rsid w:val="00F37B11"/>
    <w:rsid w:val="00F40824"/>
    <w:rsid w:val="00F41939"/>
    <w:rsid w:val="00F42305"/>
    <w:rsid w:val="00F438AB"/>
    <w:rsid w:val="00F43A9F"/>
    <w:rsid w:val="00F44009"/>
    <w:rsid w:val="00F440F3"/>
    <w:rsid w:val="00F44B5D"/>
    <w:rsid w:val="00F464AC"/>
    <w:rsid w:val="00F4721D"/>
    <w:rsid w:val="00F47237"/>
    <w:rsid w:val="00F506CD"/>
    <w:rsid w:val="00F51513"/>
    <w:rsid w:val="00F5159D"/>
    <w:rsid w:val="00F515DD"/>
    <w:rsid w:val="00F5197B"/>
    <w:rsid w:val="00F51F30"/>
    <w:rsid w:val="00F52B15"/>
    <w:rsid w:val="00F535C1"/>
    <w:rsid w:val="00F53843"/>
    <w:rsid w:val="00F53B20"/>
    <w:rsid w:val="00F53F85"/>
    <w:rsid w:val="00F54E3A"/>
    <w:rsid w:val="00F560AF"/>
    <w:rsid w:val="00F56950"/>
    <w:rsid w:val="00F57115"/>
    <w:rsid w:val="00F57326"/>
    <w:rsid w:val="00F57CEF"/>
    <w:rsid w:val="00F600A0"/>
    <w:rsid w:val="00F620B5"/>
    <w:rsid w:val="00F62EC4"/>
    <w:rsid w:val="00F63B46"/>
    <w:rsid w:val="00F63EA2"/>
    <w:rsid w:val="00F6496C"/>
    <w:rsid w:val="00F64C59"/>
    <w:rsid w:val="00F6550D"/>
    <w:rsid w:val="00F65A94"/>
    <w:rsid w:val="00F65AF9"/>
    <w:rsid w:val="00F65B6D"/>
    <w:rsid w:val="00F65C2B"/>
    <w:rsid w:val="00F6636D"/>
    <w:rsid w:val="00F66911"/>
    <w:rsid w:val="00F66C02"/>
    <w:rsid w:val="00F67EAD"/>
    <w:rsid w:val="00F703F4"/>
    <w:rsid w:val="00F71941"/>
    <w:rsid w:val="00F71C0E"/>
    <w:rsid w:val="00F72574"/>
    <w:rsid w:val="00F72F24"/>
    <w:rsid w:val="00F7307A"/>
    <w:rsid w:val="00F73633"/>
    <w:rsid w:val="00F73FAE"/>
    <w:rsid w:val="00F74864"/>
    <w:rsid w:val="00F769B9"/>
    <w:rsid w:val="00F771D1"/>
    <w:rsid w:val="00F7745C"/>
    <w:rsid w:val="00F774A3"/>
    <w:rsid w:val="00F77C42"/>
    <w:rsid w:val="00F80493"/>
    <w:rsid w:val="00F805C6"/>
    <w:rsid w:val="00F81510"/>
    <w:rsid w:val="00F81514"/>
    <w:rsid w:val="00F81678"/>
    <w:rsid w:val="00F8688E"/>
    <w:rsid w:val="00F876AB"/>
    <w:rsid w:val="00F87CD3"/>
    <w:rsid w:val="00F87F99"/>
    <w:rsid w:val="00F900BB"/>
    <w:rsid w:val="00F90903"/>
    <w:rsid w:val="00F91094"/>
    <w:rsid w:val="00F912E9"/>
    <w:rsid w:val="00F91D47"/>
    <w:rsid w:val="00F92004"/>
    <w:rsid w:val="00F921CF"/>
    <w:rsid w:val="00F92916"/>
    <w:rsid w:val="00F93362"/>
    <w:rsid w:val="00F9392E"/>
    <w:rsid w:val="00F93FF4"/>
    <w:rsid w:val="00F942B5"/>
    <w:rsid w:val="00F9522D"/>
    <w:rsid w:val="00F95269"/>
    <w:rsid w:val="00F95BBA"/>
    <w:rsid w:val="00F96269"/>
    <w:rsid w:val="00F9643E"/>
    <w:rsid w:val="00F969C6"/>
    <w:rsid w:val="00F97BA1"/>
    <w:rsid w:val="00F97D1D"/>
    <w:rsid w:val="00FA0285"/>
    <w:rsid w:val="00FA054F"/>
    <w:rsid w:val="00FA05E1"/>
    <w:rsid w:val="00FA0C1D"/>
    <w:rsid w:val="00FA0D0C"/>
    <w:rsid w:val="00FA16AE"/>
    <w:rsid w:val="00FA1C7B"/>
    <w:rsid w:val="00FA2647"/>
    <w:rsid w:val="00FA2D9F"/>
    <w:rsid w:val="00FA3137"/>
    <w:rsid w:val="00FA371E"/>
    <w:rsid w:val="00FA3D61"/>
    <w:rsid w:val="00FA4520"/>
    <w:rsid w:val="00FA4891"/>
    <w:rsid w:val="00FA5461"/>
    <w:rsid w:val="00FA59E9"/>
    <w:rsid w:val="00FA5C0D"/>
    <w:rsid w:val="00FA6DBA"/>
    <w:rsid w:val="00FA6F8A"/>
    <w:rsid w:val="00FA7290"/>
    <w:rsid w:val="00FA73DA"/>
    <w:rsid w:val="00FB0799"/>
    <w:rsid w:val="00FB089E"/>
    <w:rsid w:val="00FB10E1"/>
    <w:rsid w:val="00FB10FD"/>
    <w:rsid w:val="00FB1478"/>
    <w:rsid w:val="00FB2275"/>
    <w:rsid w:val="00FB443F"/>
    <w:rsid w:val="00FB59E5"/>
    <w:rsid w:val="00FB5FE1"/>
    <w:rsid w:val="00FB73A6"/>
    <w:rsid w:val="00FC0685"/>
    <w:rsid w:val="00FC0AC7"/>
    <w:rsid w:val="00FC0B51"/>
    <w:rsid w:val="00FC0BF9"/>
    <w:rsid w:val="00FC0D4E"/>
    <w:rsid w:val="00FC17AB"/>
    <w:rsid w:val="00FC2C3B"/>
    <w:rsid w:val="00FC3AF7"/>
    <w:rsid w:val="00FC4744"/>
    <w:rsid w:val="00FC6EBF"/>
    <w:rsid w:val="00FC721D"/>
    <w:rsid w:val="00FD0546"/>
    <w:rsid w:val="00FD1481"/>
    <w:rsid w:val="00FD15AE"/>
    <w:rsid w:val="00FD1716"/>
    <w:rsid w:val="00FD24B1"/>
    <w:rsid w:val="00FD2E5F"/>
    <w:rsid w:val="00FD3ACC"/>
    <w:rsid w:val="00FD6EB8"/>
    <w:rsid w:val="00FD7C79"/>
    <w:rsid w:val="00FE0019"/>
    <w:rsid w:val="00FE121F"/>
    <w:rsid w:val="00FE17B4"/>
    <w:rsid w:val="00FE20E9"/>
    <w:rsid w:val="00FE2691"/>
    <w:rsid w:val="00FE2BBF"/>
    <w:rsid w:val="00FE2E1B"/>
    <w:rsid w:val="00FE3457"/>
    <w:rsid w:val="00FE3664"/>
    <w:rsid w:val="00FE3AE3"/>
    <w:rsid w:val="00FE3EEA"/>
    <w:rsid w:val="00FE5B6B"/>
    <w:rsid w:val="00FE62E1"/>
    <w:rsid w:val="00FE6718"/>
    <w:rsid w:val="00FE7E69"/>
    <w:rsid w:val="00FF2884"/>
    <w:rsid w:val="00FF3C82"/>
    <w:rsid w:val="00FF3FB2"/>
    <w:rsid w:val="00FF4150"/>
    <w:rsid w:val="00FF4654"/>
    <w:rsid w:val="00FF51C9"/>
    <w:rsid w:val="00FF5360"/>
    <w:rsid w:val="00FF56AE"/>
    <w:rsid w:val="00FF61C7"/>
    <w:rsid w:val="00FF6CAF"/>
    <w:rsid w:val="00FF709F"/>
    <w:rsid w:val="00FF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1BBC"/>
  <w15:chartTrackingRefBased/>
  <w15:docId w15:val="{3EC1F9CC-E968-4536-816B-D325A6E5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FCB"/>
    <w:pPr>
      <w:widowControl w:val="0"/>
      <w:spacing w:after="0" w:line="240" w:lineRule="auto"/>
    </w:pPr>
    <w:rPr>
      <w:rFonts w:ascii="Times New Roman" w:eastAsia="Times New Roman" w:hAnsi="Times New Roman" w:cs="Times New Roman"/>
      <w:sz w:val="20"/>
      <w:szCs w:val="20"/>
    </w:rPr>
  </w:style>
  <w:style w:type="paragraph" w:styleId="Heading2">
    <w:name w:val="heading 2"/>
    <w:basedOn w:val="ListParagraph"/>
    <w:next w:val="Normal"/>
    <w:link w:val="Heading2Char"/>
    <w:uiPriority w:val="9"/>
    <w:unhideWhenUsed/>
    <w:qFormat/>
    <w:rsid w:val="00537D63"/>
    <w:pPr>
      <w:widowControl/>
      <w:numPr>
        <w:numId w:val="25"/>
      </w:numPr>
      <w:tabs>
        <w:tab w:val="left" w:pos="-720"/>
      </w:tabs>
      <w:suppressAutoHyphens/>
      <w:spacing w:line="360" w:lineRule="auto"/>
      <w:ind w:hanging="720"/>
      <w:outlineLvl w:val="1"/>
    </w:pPr>
    <w:rPr>
      <w:b/>
      <w:sz w:val="26"/>
    </w:rPr>
  </w:style>
  <w:style w:type="paragraph" w:styleId="Heading3">
    <w:name w:val="heading 3"/>
    <w:basedOn w:val="Normal"/>
    <w:next w:val="Normal"/>
    <w:link w:val="Heading3Char"/>
    <w:uiPriority w:val="9"/>
    <w:semiHidden/>
    <w:unhideWhenUsed/>
    <w:qFormat/>
    <w:rsid w:val="00AB1EE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4592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C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footnote text"/>
    <w:basedOn w:val="DefaultParagraphFont"/>
    <w:rsid w:val="001B0C5E"/>
    <w:rPr>
      <w:vertAlign w:val="superscript"/>
    </w:rPr>
  </w:style>
  <w:style w:type="character" w:styleId="Hyperlink">
    <w:name w:val="Hyperlink"/>
    <w:basedOn w:val="DefaultParagraphFont"/>
    <w:rsid w:val="001B0C5E"/>
    <w:rPr>
      <w:color w:val="0000FF"/>
      <w:u w:val="single"/>
    </w:rPr>
  </w:style>
  <w:style w:type="character" w:styleId="Emphasis">
    <w:name w:val="Emphasis"/>
    <w:basedOn w:val="DefaultParagraphFont"/>
    <w:qFormat/>
    <w:rsid w:val="001B0C5E"/>
    <w:rPr>
      <w:i/>
      <w:iCs/>
    </w:rPr>
  </w:style>
  <w:style w:type="paragraph" w:styleId="ListParagraph">
    <w:name w:val="List Paragraph"/>
    <w:basedOn w:val="Normal"/>
    <w:uiPriority w:val="34"/>
    <w:qFormat/>
    <w:rsid w:val="001B0C5E"/>
    <w:pPr>
      <w:ind w:left="720"/>
      <w:contextualSpacing/>
    </w:pPr>
  </w:style>
  <w:style w:type="paragraph" w:styleId="Footer">
    <w:name w:val="footer"/>
    <w:basedOn w:val="Normal"/>
    <w:link w:val="FooterChar"/>
    <w:uiPriority w:val="99"/>
    <w:unhideWhenUsed/>
    <w:rsid w:val="001B0C5E"/>
    <w:pPr>
      <w:tabs>
        <w:tab w:val="center" w:pos="4680"/>
        <w:tab w:val="right" w:pos="9360"/>
      </w:tabs>
    </w:pPr>
  </w:style>
  <w:style w:type="character" w:customStyle="1" w:styleId="FooterChar">
    <w:name w:val="Footer Char"/>
    <w:basedOn w:val="DefaultParagraphFont"/>
    <w:link w:val="Footer"/>
    <w:uiPriority w:val="99"/>
    <w:rsid w:val="001B0C5E"/>
    <w:rPr>
      <w:rFonts w:ascii="Times New Roman" w:eastAsia="Times New Roman" w:hAnsi="Times New Roman" w:cs="Times New Roman"/>
      <w:sz w:val="20"/>
      <w:szCs w:val="20"/>
    </w:rPr>
  </w:style>
  <w:style w:type="paragraph" w:styleId="FootnoteText">
    <w:name w:val="footnote text"/>
    <w:aliases w:val="fn,ALTS FOOTNOTE,Footnote Text 2,Footnote text,FOOTNOTE,fn Char Char,fn Char,Car,Footnote Text Char2,Footnote Text Char1 Char,Footnote Text Char Char Char,Footnote Text Char2 Char Char Char,Footnote Text Char Char1 Char Char Char"/>
    <w:basedOn w:val="Normal"/>
    <w:link w:val="FootnoteTextChar"/>
    <w:uiPriority w:val="99"/>
    <w:unhideWhenUsed/>
    <w:qFormat/>
    <w:rsid w:val="001B0C5E"/>
  </w:style>
  <w:style w:type="character" w:customStyle="1" w:styleId="FootnoteTextChar">
    <w:name w:val="Footnote Text Char"/>
    <w:aliases w:val="fn Char1,ALTS FOOTNOTE Char,Footnote Text 2 Char,Footnote text Char,FOOTNOTE Char,fn Char Char Char,fn Char Char1,Car Char,Footnote Text Char2 Char,Footnote Text Char1 Char Char,Footnote Text Char Char Char Char"/>
    <w:basedOn w:val="DefaultParagraphFont"/>
    <w:link w:val="FootnoteText"/>
    <w:uiPriority w:val="99"/>
    <w:rsid w:val="001B0C5E"/>
    <w:rPr>
      <w:rFonts w:ascii="Times New Roman" w:eastAsia="Times New Roman" w:hAnsi="Times New Roman" w:cs="Times New Roman"/>
      <w:sz w:val="20"/>
      <w:szCs w:val="20"/>
    </w:rPr>
  </w:style>
  <w:style w:type="paragraph" w:customStyle="1" w:styleId="Default">
    <w:name w:val="Default"/>
    <w:rsid w:val="001B0C5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31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25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84203"/>
    <w:rPr>
      <w:sz w:val="16"/>
      <w:szCs w:val="16"/>
    </w:rPr>
  </w:style>
  <w:style w:type="paragraph" w:styleId="CommentText">
    <w:name w:val="annotation text"/>
    <w:basedOn w:val="Normal"/>
    <w:link w:val="CommentTextChar"/>
    <w:uiPriority w:val="99"/>
    <w:semiHidden/>
    <w:unhideWhenUsed/>
    <w:rsid w:val="00084203"/>
  </w:style>
  <w:style w:type="character" w:customStyle="1" w:styleId="CommentTextChar">
    <w:name w:val="Comment Text Char"/>
    <w:basedOn w:val="DefaultParagraphFont"/>
    <w:link w:val="CommentText"/>
    <w:uiPriority w:val="99"/>
    <w:semiHidden/>
    <w:rsid w:val="000842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4203"/>
    <w:rPr>
      <w:b/>
      <w:bCs/>
    </w:rPr>
  </w:style>
  <w:style w:type="character" w:customStyle="1" w:styleId="CommentSubjectChar">
    <w:name w:val="Comment Subject Char"/>
    <w:basedOn w:val="CommentTextChar"/>
    <w:link w:val="CommentSubject"/>
    <w:uiPriority w:val="99"/>
    <w:semiHidden/>
    <w:rsid w:val="00084203"/>
    <w:rPr>
      <w:rFonts w:ascii="Times New Roman" w:eastAsia="Times New Roman" w:hAnsi="Times New Roman" w:cs="Times New Roman"/>
      <w:b/>
      <w:bCs/>
      <w:sz w:val="20"/>
      <w:szCs w:val="20"/>
    </w:rPr>
  </w:style>
  <w:style w:type="character" w:customStyle="1" w:styleId="term1">
    <w:name w:val="term1"/>
    <w:basedOn w:val="DefaultParagraphFont"/>
    <w:rsid w:val="00A85A38"/>
    <w:rPr>
      <w:b/>
      <w:bCs/>
    </w:rPr>
  </w:style>
  <w:style w:type="paragraph" w:styleId="Header">
    <w:name w:val="header"/>
    <w:basedOn w:val="Normal"/>
    <w:link w:val="HeaderChar"/>
    <w:uiPriority w:val="99"/>
    <w:unhideWhenUsed/>
    <w:rsid w:val="007E4C92"/>
    <w:pPr>
      <w:tabs>
        <w:tab w:val="center" w:pos="4680"/>
        <w:tab w:val="right" w:pos="9360"/>
      </w:tabs>
    </w:pPr>
  </w:style>
  <w:style w:type="character" w:customStyle="1" w:styleId="HeaderChar">
    <w:name w:val="Header Char"/>
    <w:basedOn w:val="DefaultParagraphFont"/>
    <w:link w:val="Header"/>
    <w:uiPriority w:val="99"/>
    <w:rsid w:val="007E4C92"/>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537D63"/>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semiHidden/>
    <w:rsid w:val="00AB1E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45920"/>
    <w:rPr>
      <w:rFonts w:asciiTheme="majorHAnsi" w:eastAsiaTheme="majorEastAsia" w:hAnsiTheme="majorHAnsi" w:cstheme="majorBidi"/>
      <w:i/>
      <w:iCs/>
      <w:color w:val="2F5496"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981879">
      <w:bodyDiv w:val="1"/>
      <w:marLeft w:val="0"/>
      <w:marRight w:val="0"/>
      <w:marTop w:val="0"/>
      <w:marBottom w:val="0"/>
      <w:divBdr>
        <w:top w:val="none" w:sz="0" w:space="0" w:color="auto"/>
        <w:left w:val="none" w:sz="0" w:space="0" w:color="auto"/>
        <w:bottom w:val="none" w:sz="0" w:space="0" w:color="auto"/>
        <w:right w:val="none" w:sz="0" w:space="0" w:color="auto"/>
      </w:divBdr>
      <w:divsChild>
        <w:div w:id="1464467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767191">
      <w:bodyDiv w:val="1"/>
      <w:marLeft w:val="0"/>
      <w:marRight w:val="0"/>
      <w:marTop w:val="0"/>
      <w:marBottom w:val="0"/>
      <w:divBdr>
        <w:top w:val="none" w:sz="0" w:space="0" w:color="auto"/>
        <w:left w:val="none" w:sz="0" w:space="0" w:color="auto"/>
        <w:bottom w:val="none" w:sz="0" w:space="0" w:color="auto"/>
        <w:right w:val="none" w:sz="0" w:space="0" w:color="auto"/>
      </w:divBdr>
      <w:divsChild>
        <w:div w:id="1667974989">
          <w:marLeft w:val="0"/>
          <w:marRight w:val="0"/>
          <w:marTop w:val="0"/>
          <w:marBottom w:val="0"/>
          <w:divBdr>
            <w:top w:val="none" w:sz="0" w:space="0" w:color="auto"/>
            <w:left w:val="single" w:sz="6" w:space="0" w:color="BBBBBB"/>
            <w:bottom w:val="single" w:sz="6" w:space="0" w:color="BBBBBB"/>
            <w:right w:val="single" w:sz="6" w:space="0" w:color="BBBBBB"/>
          </w:divBdr>
          <w:divsChild>
            <w:div w:id="1345477024">
              <w:marLeft w:val="0"/>
              <w:marRight w:val="0"/>
              <w:marTop w:val="0"/>
              <w:marBottom w:val="0"/>
              <w:divBdr>
                <w:top w:val="none" w:sz="0" w:space="0" w:color="auto"/>
                <w:left w:val="none" w:sz="0" w:space="0" w:color="auto"/>
                <w:bottom w:val="none" w:sz="0" w:space="0" w:color="auto"/>
                <w:right w:val="none" w:sz="0" w:space="0" w:color="auto"/>
              </w:divBdr>
              <w:divsChild>
                <w:div w:id="1679699359">
                  <w:marLeft w:val="0"/>
                  <w:marRight w:val="0"/>
                  <w:marTop w:val="75"/>
                  <w:marBottom w:val="0"/>
                  <w:divBdr>
                    <w:top w:val="none" w:sz="0" w:space="0" w:color="auto"/>
                    <w:left w:val="none" w:sz="0" w:space="0" w:color="auto"/>
                    <w:bottom w:val="none" w:sz="0" w:space="0" w:color="auto"/>
                    <w:right w:val="none" w:sz="0" w:space="0" w:color="auto"/>
                  </w:divBdr>
                  <w:divsChild>
                    <w:div w:id="1221016249">
                      <w:marLeft w:val="0"/>
                      <w:marRight w:val="0"/>
                      <w:marTop w:val="0"/>
                      <w:marBottom w:val="0"/>
                      <w:divBdr>
                        <w:top w:val="none" w:sz="0" w:space="0" w:color="auto"/>
                        <w:left w:val="none" w:sz="0" w:space="0" w:color="auto"/>
                        <w:bottom w:val="none" w:sz="0" w:space="0" w:color="auto"/>
                        <w:right w:val="none" w:sz="0" w:space="0" w:color="auto"/>
                      </w:divBdr>
                      <w:divsChild>
                        <w:div w:id="1651862814">
                          <w:marLeft w:val="0"/>
                          <w:marRight w:val="0"/>
                          <w:marTop w:val="0"/>
                          <w:marBottom w:val="0"/>
                          <w:divBdr>
                            <w:top w:val="none" w:sz="0" w:space="0" w:color="auto"/>
                            <w:left w:val="none" w:sz="0" w:space="0" w:color="auto"/>
                            <w:bottom w:val="none" w:sz="0" w:space="0" w:color="auto"/>
                            <w:right w:val="none" w:sz="0" w:space="0" w:color="auto"/>
                          </w:divBdr>
                          <w:divsChild>
                            <w:div w:id="26609360">
                              <w:marLeft w:val="0"/>
                              <w:marRight w:val="0"/>
                              <w:marTop w:val="0"/>
                              <w:marBottom w:val="0"/>
                              <w:divBdr>
                                <w:top w:val="none" w:sz="0" w:space="0" w:color="auto"/>
                                <w:left w:val="none" w:sz="0" w:space="0" w:color="auto"/>
                                <w:bottom w:val="none" w:sz="0" w:space="0" w:color="auto"/>
                                <w:right w:val="none" w:sz="0" w:space="0" w:color="auto"/>
                              </w:divBdr>
                              <w:divsChild>
                                <w:div w:id="193278259">
                                  <w:marLeft w:val="0"/>
                                  <w:marRight w:val="0"/>
                                  <w:marTop w:val="0"/>
                                  <w:marBottom w:val="0"/>
                                  <w:divBdr>
                                    <w:top w:val="none" w:sz="0" w:space="0" w:color="auto"/>
                                    <w:left w:val="none" w:sz="0" w:space="0" w:color="auto"/>
                                    <w:bottom w:val="none" w:sz="0" w:space="0" w:color="auto"/>
                                    <w:right w:val="none" w:sz="0" w:space="0" w:color="auto"/>
                                  </w:divBdr>
                                  <w:divsChild>
                                    <w:div w:id="553348107">
                                      <w:marLeft w:val="0"/>
                                      <w:marRight w:val="0"/>
                                      <w:marTop w:val="0"/>
                                      <w:marBottom w:val="0"/>
                                      <w:divBdr>
                                        <w:top w:val="none" w:sz="0" w:space="0" w:color="auto"/>
                                        <w:left w:val="none" w:sz="0" w:space="0" w:color="auto"/>
                                        <w:bottom w:val="none" w:sz="0" w:space="0" w:color="auto"/>
                                        <w:right w:val="none" w:sz="0" w:space="0" w:color="auto"/>
                                      </w:divBdr>
                                      <w:divsChild>
                                        <w:div w:id="1156919390">
                                          <w:marLeft w:val="1200"/>
                                          <w:marRight w:val="1200"/>
                                          <w:marTop w:val="0"/>
                                          <w:marBottom w:val="0"/>
                                          <w:divBdr>
                                            <w:top w:val="none" w:sz="0" w:space="0" w:color="auto"/>
                                            <w:left w:val="none" w:sz="0" w:space="0" w:color="auto"/>
                                            <w:bottom w:val="none" w:sz="0" w:space="0" w:color="auto"/>
                                            <w:right w:val="none" w:sz="0" w:space="0" w:color="auto"/>
                                          </w:divBdr>
                                          <w:divsChild>
                                            <w:div w:id="508831498">
                                              <w:marLeft w:val="0"/>
                                              <w:marRight w:val="0"/>
                                              <w:marTop w:val="0"/>
                                              <w:marBottom w:val="0"/>
                                              <w:divBdr>
                                                <w:top w:val="none" w:sz="0" w:space="0" w:color="auto"/>
                                                <w:left w:val="none" w:sz="0" w:space="0" w:color="auto"/>
                                                <w:bottom w:val="none" w:sz="0" w:space="0" w:color="auto"/>
                                                <w:right w:val="none" w:sz="0" w:space="0" w:color="auto"/>
                                              </w:divBdr>
                                              <w:divsChild>
                                                <w:div w:id="1025980080">
                                                  <w:marLeft w:val="0"/>
                                                  <w:marRight w:val="0"/>
                                                  <w:marTop w:val="240"/>
                                                  <w:marBottom w:val="0"/>
                                                  <w:divBdr>
                                                    <w:top w:val="none" w:sz="0" w:space="0" w:color="auto"/>
                                                    <w:left w:val="none" w:sz="0" w:space="0" w:color="auto"/>
                                                    <w:bottom w:val="none" w:sz="0" w:space="0" w:color="auto"/>
                                                    <w:right w:val="none" w:sz="0" w:space="0" w:color="auto"/>
                                                  </w:divBdr>
                                                  <w:divsChild>
                                                    <w:div w:id="1235165655">
                                                      <w:marLeft w:val="0"/>
                                                      <w:marRight w:val="0"/>
                                                      <w:marTop w:val="0"/>
                                                      <w:marBottom w:val="0"/>
                                                      <w:divBdr>
                                                        <w:top w:val="none" w:sz="0" w:space="0" w:color="auto"/>
                                                        <w:left w:val="none" w:sz="0" w:space="0" w:color="auto"/>
                                                        <w:bottom w:val="none" w:sz="0" w:space="0" w:color="auto"/>
                                                        <w:right w:val="none" w:sz="0" w:space="0" w:color="auto"/>
                                                      </w:divBdr>
                                                      <w:divsChild>
                                                        <w:div w:id="2079473257">
                                                          <w:marLeft w:val="1275"/>
                                                          <w:marRight w:val="0"/>
                                                          <w:marTop w:val="0"/>
                                                          <w:marBottom w:val="0"/>
                                                          <w:divBdr>
                                                            <w:top w:val="none" w:sz="0" w:space="0" w:color="auto"/>
                                                            <w:left w:val="none" w:sz="0" w:space="0" w:color="auto"/>
                                                            <w:bottom w:val="none" w:sz="0" w:space="0" w:color="auto"/>
                                                            <w:right w:val="none" w:sz="0" w:space="0" w:color="auto"/>
                                                          </w:divBdr>
                                                          <w:divsChild>
                                                            <w:div w:id="1270888225">
                                                              <w:marLeft w:val="0"/>
                                                              <w:marRight w:val="0"/>
                                                              <w:marTop w:val="0"/>
                                                              <w:marBottom w:val="0"/>
                                                              <w:divBdr>
                                                                <w:top w:val="none" w:sz="0" w:space="0" w:color="auto"/>
                                                                <w:left w:val="none" w:sz="0" w:space="0" w:color="auto"/>
                                                                <w:bottom w:val="none" w:sz="0" w:space="0" w:color="auto"/>
                                                                <w:right w:val="none" w:sz="0" w:space="0" w:color="auto"/>
                                                              </w:divBdr>
                                                              <w:divsChild>
                                                                <w:div w:id="924652331">
                                                                  <w:marLeft w:val="0"/>
                                                                  <w:marRight w:val="0"/>
                                                                  <w:marTop w:val="0"/>
                                                                  <w:marBottom w:val="0"/>
                                                                  <w:divBdr>
                                                                    <w:top w:val="none" w:sz="0" w:space="0" w:color="auto"/>
                                                                    <w:left w:val="none" w:sz="0" w:space="0" w:color="auto"/>
                                                                    <w:bottom w:val="none" w:sz="0" w:space="0" w:color="auto"/>
                                                                    <w:right w:val="none" w:sz="0" w:space="0" w:color="auto"/>
                                                                  </w:divBdr>
                                                                </w:div>
                                                                <w:div w:id="1461411972">
                                                                  <w:marLeft w:val="0"/>
                                                                  <w:marRight w:val="0"/>
                                                                  <w:marTop w:val="0"/>
                                                                  <w:marBottom w:val="0"/>
                                                                  <w:divBdr>
                                                                    <w:top w:val="none" w:sz="0" w:space="0" w:color="auto"/>
                                                                    <w:left w:val="none" w:sz="0" w:space="0" w:color="auto"/>
                                                                    <w:bottom w:val="none" w:sz="0" w:space="0" w:color="auto"/>
                                                                    <w:right w:val="none" w:sz="0" w:space="0" w:color="auto"/>
                                                                  </w:divBdr>
                                                                  <w:divsChild>
                                                                    <w:div w:id="17477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Link/Document/FullText?findType=L&amp;pubNum=1000262&amp;cite=PA66S102&amp;originatingDoc=I256572f2c22311e9a76eb9e71287f4ea&amp;refType=LQ&amp;originationContext=document&amp;transitionType=DocumentItem&amp;contextData=(sc.Search)"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5" Type="http://schemas.openxmlformats.org/officeDocument/2006/relationships/numbering" Target="numbering.xml"/><Relationship Id="rId15"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Link/Document/FullText?findType=Y&amp;serNum=1995028537&amp;pubNum=0000162&amp;originatingDoc=I68cba70861f811e7b73588f1a9cfce05&amp;refType=RP&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FD87D-EBF0-440C-872F-3FAD51E54A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A9AB67-1D57-4CAC-9E07-D3743C2EF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EA32C-4D31-40FA-9077-F4755AF9F143}">
  <ds:schemaRefs>
    <ds:schemaRef ds:uri="http://schemas.microsoft.com/sharepoint/v3/contenttype/forms"/>
  </ds:schemaRefs>
</ds:datastoreItem>
</file>

<file path=customXml/itemProps4.xml><?xml version="1.0" encoding="utf-8"?>
<ds:datastoreItem xmlns:ds="http://schemas.openxmlformats.org/officeDocument/2006/customXml" ds:itemID="{0432E548-BAD2-4D21-B112-058DB0559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37</Pages>
  <Words>9654</Words>
  <Characters>55030</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Sheffer, Ryan</cp:lastModifiedBy>
  <cp:revision>18</cp:revision>
  <cp:lastPrinted>2019-11-13T21:16:00Z</cp:lastPrinted>
  <dcterms:created xsi:type="dcterms:W3CDTF">2020-08-13T18:01:00Z</dcterms:created>
  <dcterms:modified xsi:type="dcterms:W3CDTF">2020-08-27T16:46:00Z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