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65B595FC" w14:textId="77777777">
        <w:trPr>
          <w:trHeight w:val="990"/>
        </w:trPr>
        <w:tc>
          <w:tcPr>
            <w:tcW w:w="1363" w:type="dxa"/>
          </w:tcPr>
          <w:p w14:paraId="19059370" w14:textId="77777777" w:rsidR="001B4AC2" w:rsidRDefault="007C59D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5FF99F0" wp14:editId="49C1781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5F5FC45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8DB889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9147C39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EE6F5A" w14:textId="7AB333F7" w:rsidR="001B4AC2" w:rsidRDefault="006637CB">
            <w:pPr>
              <w:jc w:val="center"/>
              <w:rPr>
                <w:rFonts w:ascii="Arial" w:hAnsi="Arial"/>
                <w:sz w:val="12"/>
              </w:rPr>
            </w:pPr>
            <w:r w:rsidRPr="006637CB"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3327E9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32FA88C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661CB1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0B9261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9F7406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3D6EBFE1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CC3FC5E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247DDB6" w14:textId="77777777" w:rsidR="001B4AC2" w:rsidRDefault="001B4AC2">
      <w:pPr>
        <w:rPr>
          <w:sz w:val="24"/>
        </w:rPr>
        <w:sectPr w:rsidR="001B4AC2">
          <w:pgSz w:w="12240" w:h="15840"/>
          <w:pgMar w:top="432" w:right="1440" w:bottom="1440" w:left="1440" w:header="720" w:footer="720" w:gutter="0"/>
          <w:cols w:space="720"/>
        </w:sectPr>
      </w:pPr>
    </w:p>
    <w:p w14:paraId="415CD2E3" w14:textId="6D2EDA23" w:rsidR="00D853D3" w:rsidRPr="00707FE7" w:rsidRDefault="00D853D3" w:rsidP="00D853D3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1, 2020</w:t>
      </w:r>
    </w:p>
    <w:p w14:paraId="294C25FC" w14:textId="3D1BBBED" w:rsidR="007C59D1" w:rsidRPr="0036773C" w:rsidRDefault="00AF253F" w:rsidP="003058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36773C" w:rsidRPr="0036773C">
        <w:rPr>
          <w:sz w:val="24"/>
          <w:szCs w:val="24"/>
        </w:rPr>
        <w:t>M-</w:t>
      </w:r>
      <w:r w:rsidR="000E30D3">
        <w:rPr>
          <w:sz w:val="24"/>
          <w:szCs w:val="24"/>
        </w:rPr>
        <w:t>2020</w:t>
      </w:r>
      <w:r w:rsidR="0036773C" w:rsidRPr="0036773C">
        <w:rPr>
          <w:sz w:val="24"/>
          <w:szCs w:val="24"/>
        </w:rPr>
        <w:t>-</w:t>
      </w:r>
      <w:r w:rsidR="000E30D3">
        <w:rPr>
          <w:sz w:val="24"/>
          <w:szCs w:val="24"/>
        </w:rPr>
        <w:t>301</w:t>
      </w:r>
      <w:r w:rsidR="004644FA">
        <w:rPr>
          <w:sz w:val="24"/>
          <w:szCs w:val="24"/>
        </w:rPr>
        <w:t>9711</w:t>
      </w:r>
    </w:p>
    <w:p w14:paraId="6959FECC" w14:textId="29E0A0FE" w:rsidR="007C59D1" w:rsidRPr="00F77BF6" w:rsidRDefault="006637CB" w:rsidP="006E782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Utility Code: </w:t>
      </w:r>
      <w:r w:rsidRPr="006637CB">
        <w:rPr>
          <w:sz w:val="24"/>
          <w:szCs w:val="24"/>
        </w:rPr>
        <w:t>125042</w:t>
      </w:r>
    </w:p>
    <w:p w14:paraId="3C90D889" w14:textId="77777777" w:rsidR="00EC7A7E" w:rsidRDefault="00EC7A7E" w:rsidP="00444DFB">
      <w:pPr>
        <w:rPr>
          <w:sz w:val="22"/>
          <w:szCs w:val="22"/>
        </w:rPr>
      </w:pPr>
    </w:p>
    <w:p w14:paraId="7DE1BFC8" w14:textId="11E1E390" w:rsidR="00856C5C" w:rsidRDefault="004644FA" w:rsidP="000E30D3">
      <w:pPr>
        <w:jc w:val="both"/>
        <w:rPr>
          <w:noProof/>
          <w:sz w:val="22"/>
        </w:rPr>
      </w:pPr>
      <w:r>
        <w:rPr>
          <w:noProof/>
          <w:sz w:val="22"/>
        </w:rPr>
        <w:t>RAYMOND J. WELTE</w:t>
      </w:r>
    </w:p>
    <w:p w14:paraId="21E3CCE0" w14:textId="57F164CB" w:rsidR="004644FA" w:rsidRDefault="004644FA" w:rsidP="000E30D3">
      <w:pPr>
        <w:jc w:val="both"/>
        <w:rPr>
          <w:noProof/>
          <w:sz w:val="22"/>
        </w:rPr>
      </w:pPr>
      <w:r>
        <w:rPr>
          <w:noProof/>
          <w:sz w:val="22"/>
        </w:rPr>
        <w:t>PHILAPELPHIA GAS WORKS</w:t>
      </w:r>
    </w:p>
    <w:p w14:paraId="62B4AA38" w14:textId="3000EE9C" w:rsidR="004644FA" w:rsidRDefault="004644FA" w:rsidP="000E30D3">
      <w:pPr>
        <w:jc w:val="both"/>
        <w:rPr>
          <w:noProof/>
          <w:sz w:val="22"/>
        </w:rPr>
      </w:pPr>
      <w:r>
        <w:rPr>
          <w:noProof/>
          <w:sz w:val="22"/>
        </w:rPr>
        <w:t>800 W. MONTGOMERY AVENUE</w:t>
      </w:r>
    </w:p>
    <w:p w14:paraId="2ECE99F5" w14:textId="7FE441F5" w:rsidR="004644FA" w:rsidRDefault="004644FA" w:rsidP="000E30D3">
      <w:pPr>
        <w:jc w:val="both"/>
        <w:rPr>
          <w:noProof/>
          <w:sz w:val="22"/>
        </w:rPr>
      </w:pPr>
      <w:r>
        <w:rPr>
          <w:noProof/>
          <w:sz w:val="22"/>
        </w:rPr>
        <w:t>PHILADELPHIA, PA 19122</w:t>
      </w:r>
    </w:p>
    <w:p w14:paraId="72C35D32" w14:textId="436FA75F" w:rsidR="00897BCB" w:rsidRPr="000E30D3" w:rsidRDefault="000B5CAA" w:rsidP="000E30D3">
      <w:pPr>
        <w:jc w:val="both"/>
        <w:rPr>
          <w:sz w:val="22"/>
          <w:szCs w:val="24"/>
        </w:rPr>
      </w:pPr>
      <w:hyperlink r:id="rId9" w:history="1">
        <w:r w:rsidR="006637CB" w:rsidRPr="00A12761">
          <w:rPr>
            <w:rStyle w:val="Hyperlink"/>
            <w:noProof/>
            <w:sz w:val="22"/>
          </w:rPr>
          <w:t>RAYMOND.WELTE@PGWORKS.COM</w:t>
        </w:r>
      </w:hyperlink>
      <w:r w:rsidR="006637CB">
        <w:rPr>
          <w:noProof/>
          <w:sz w:val="22"/>
        </w:rPr>
        <w:tab/>
      </w:r>
    </w:p>
    <w:p w14:paraId="58876885" w14:textId="77777777" w:rsidR="00EC7A7E" w:rsidRDefault="00EC7A7E" w:rsidP="00444DFB">
      <w:pPr>
        <w:rPr>
          <w:sz w:val="22"/>
          <w:szCs w:val="22"/>
        </w:rPr>
      </w:pPr>
    </w:p>
    <w:p w14:paraId="688D0021" w14:textId="77777777" w:rsidR="001B4AC2" w:rsidRPr="00707FE7" w:rsidRDefault="001B4AC2">
      <w:pPr>
        <w:rPr>
          <w:sz w:val="22"/>
          <w:szCs w:val="22"/>
        </w:rPr>
      </w:pPr>
    </w:p>
    <w:p w14:paraId="044AD92B" w14:textId="4C0E57B7" w:rsidR="00AD2260" w:rsidRPr="00707FE7" w:rsidRDefault="001B4AC2" w:rsidP="003C36E9">
      <w:pPr>
        <w:pStyle w:val="BodyTextIndent"/>
        <w:ind w:left="1440" w:hanging="720"/>
        <w:rPr>
          <w:sz w:val="22"/>
          <w:szCs w:val="22"/>
        </w:rPr>
      </w:pPr>
      <w:r w:rsidRPr="00707FE7">
        <w:rPr>
          <w:sz w:val="22"/>
          <w:szCs w:val="22"/>
        </w:rPr>
        <w:t>Re</w:t>
      </w:r>
      <w:r w:rsidR="006637CB">
        <w:rPr>
          <w:sz w:val="22"/>
          <w:szCs w:val="22"/>
        </w:rPr>
        <w:t>:</w:t>
      </w:r>
      <w:r w:rsidR="003C36E9">
        <w:rPr>
          <w:sz w:val="22"/>
          <w:szCs w:val="22"/>
        </w:rPr>
        <w:tab/>
      </w:r>
      <w:r w:rsidR="00856C5C">
        <w:rPr>
          <w:sz w:val="22"/>
          <w:szCs w:val="22"/>
        </w:rPr>
        <w:t xml:space="preserve">Periodic Review of </w:t>
      </w:r>
      <w:r w:rsidR="004644FA">
        <w:rPr>
          <w:sz w:val="22"/>
          <w:szCs w:val="22"/>
        </w:rPr>
        <w:t>Philadelphia Gas Works’</w:t>
      </w:r>
      <w:r w:rsidR="00856C5C">
        <w:rPr>
          <w:sz w:val="22"/>
          <w:szCs w:val="22"/>
        </w:rPr>
        <w:t xml:space="preserve"> Long</w:t>
      </w:r>
      <w:r w:rsidR="003C36E9">
        <w:rPr>
          <w:sz w:val="22"/>
          <w:szCs w:val="22"/>
        </w:rPr>
        <w:t>-</w:t>
      </w:r>
      <w:r w:rsidR="00856C5C">
        <w:rPr>
          <w:sz w:val="22"/>
          <w:szCs w:val="22"/>
        </w:rPr>
        <w:t>Term Infrastructure Improvement Plan</w:t>
      </w:r>
      <w:r w:rsidR="00AB16C3" w:rsidRPr="00707FE7">
        <w:rPr>
          <w:sz w:val="22"/>
          <w:szCs w:val="22"/>
        </w:rPr>
        <w:t>.</w:t>
      </w:r>
    </w:p>
    <w:p w14:paraId="4679FEAB" w14:textId="77777777" w:rsidR="00AD2260" w:rsidRPr="00707FE7" w:rsidRDefault="00AD2260">
      <w:pPr>
        <w:rPr>
          <w:sz w:val="22"/>
          <w:szCs w:val="22"/>
        </w:rPr>
      </w:pPr>
    </w:p>
    <w:p w14:paraId="512BBADD" w14:textId="6D254CF7" w:rsidR="001B4AC2" w:rsidRPr="00707FE7" w:rsidRDefault="008E4A45">
      <w:pPr>
        <w:rPr>
          <w:sz w:val="22"/>
          <w:szCs w:val="22"/>
        </w:rPr>
      </w:pPr>
      <w:r w:rsidRPr="00707FE7">
        <w:rPr>
          <w:sz w:val="22"/>
          <w:szCs w:val="22"/>
        </w:rPr>
        <w:t xml:space="preserve">Dear </w:t>
      </w:r>
      <w:r w:rsidR="006F41BC" w:rsidRPr="00707FE7">
        <w:rPr>
          <w:sz w:val="22"/>
          <w:szCs w:val="22"/>
        </w:rPr>
        <w:t xml:space="preserve">Mr. </w:t>
      </w:r>
      <w:proofErr w:type="spellStart"/>
      <w:r w:rsidR="004644FA">
        <w:rPr>
          <w:sz w:val="22"/>
          <w:szCs w:val="22"/>
        </w:rPr>
        <w:t>Welte</w:t>
      </w:r>
      <w:proofErr w:type="spellEnd"/>
      <w:r w:rsidR="001B4AC2" w:rsidRPr="00707FE7">
        <w:rPr>
          <w:sz w:val="22"/>
          <w:szCs w:val="22"/>
        </w:rPr>
        <w:t>:</w:t>
      </w:r>
    </w:p>
    <w:p w14:paraId="15AC9AD6" w14:textId="77777777" w:rsidR="001B4AC2" w:rsidRPr="00707FE7" w:rsidRDefault="001B4AC2">
      <w:pPr>
        <w:rPr>
          <w:sz w:val="22"/>
          <w:szCs w:val="22"/>
        </w:rPr>
      </w:pPr>
    </w:p>
    <w:p w14:paraId="19BCC276" w14:textId="2D0E81CA" w:rsidR="00460351" w:rsidRDefault="001B4AC2" w:rsidP="00460351">
      <w:pPr>
        <w:pStyle w:val="BodyText"/>
        <w:rPr>
          <w:color w:val="auto"/>
          <w:sz w:val="22"/>
          <w:szCs w:val="22"/>
        </w:rPr>
      </w:pPr>
      <w:r w:rsidRPr="00707FE7">
        <w:rPr>
          <w:color w:val="auto"/>
          <w:sz w:val="22"/>
          <w:szCs w:val="22"/>
        </w:rPr>
        <w:tab/>
      </w:r>
      <w:r w:rsidR="00856C5C">
        <w:rPr>
          <w:color w:val="auto"/>
          <w:sz w:val="22"/>
          <w:szCs w:val="22"/>
        </w:rPr>
        <w:t>The Commission is required to review a utility’s Long</w:t>
      </w:r>
      <w:r w:rsidR="003C36E9">
        <w:rPr>
          <w:color w:val="auto"/>
          <w:sz w:val="22"/>
          <w:szCs w:val="22"/>
        </w:rPr>
        <w:t>-</w:t>
      </w:r>
      <w:r w:rsidR="00856C5C">
        <w:rPr>
          <w:color w:val="auto"/>
          <w:sz w:val="22"/>
          <w:szCs w:val="22"/>
        </w:rPr>
        <w:t>Term Infrastructure Improvement Plan (LTIIP) periodically, but at least once every five (5) years</w:t>
      </w:r>
      <w:r w:rsidR="000D452C">
        <w:rPr>
          <w:color w:val="auto"/>
          <w:sz w:val="22"/>
          <w:szCs w:val="22"/>
        </w:rPr>
        <w:t>.</w:t>
      </w:r>
      <w:r w:rsidR="00856C5C">
        <w:rPr>
          <w:rStyle w:val="FootnoteReference"/>
          <w:color w:val="auto"/>
          <w:sz w:val="22"/>
          <w:szCs w:val="22"/>
        </w:rPr>
        <w:footnoteReference w:id="1"/>
      </w:r>
      <w:r w:rsidR="00856C5C">
        <w:rPr>
          <w:color w:val="auto"/>
          <w:sz w:val="22"/>
          <w:szCs w:val="22"/>
        </w:rPr>
        <w:t xml:space="preserve">  Unless otherwise directed, the review shall begin at the midpoint of </w:t>
      </w:r>
      <w:r w:rsidR="00D2361F">
        <w:rPr>
          <w:color w:val="auto"/>
          <w:sz w:val="22"/>
          <w:szCs w:val="22"/>
        </w:rPr>
        <w:t xml:space="preserve">the term of the current LTIIP.  </w:t>
      </w:r>
      <w:r w:rsidR="007422A9">
        <w:rPr>
          <w:color w:val="auto"/>
          <w:sz w:val="22"/>
          <w:szCs w:val="22"/>
        </w:rPr>
        <w:t>Philadelphia Gas Works’ (</w:t>
      </w:r>
      <w:r w:rsidR="004644FA">
        <w:rPr>
          <w:color w:val="auto"/>
          <w:sz w:val="22"/>
          <w:szCs w:val="22"/>
        </w:rPr>
        <w:t>PGW’s</w:t>
      </w:r>
      <w:r w:rsidR="007422A9">
        <w:rPr>
          <w:color w:val="auto"/>
          <w:sz w:val="22"/>
          <w:szCs w:val="22"/>
        </w:rPr>
        <w:t>)</w:t>
      </w:r>
      <w:r w:rsidR="00856C5C">
        <w:rPr>
          <w:color w:val="auto"/>
          <w:sz w:val="22"/>
          <w:szCs w:val="22"/>
        </w:rPr>
        <w:t xml:space="preserve"> current LTIIP</w:t>
      </w:r>
      <w:r w:rsidR="00770927">
        <w:rPr>
          <w:rStyle w:val="FootnoteReference"/>
          <w:color w:val="auto"/>
          <w:sz w:val="22"/>
          <w:szCs w:val="22"/>
        </w:rPr>
        <w:footnoteReference w:id="2"/>
      </w:r>
      <w:r w:rsidR="00856C5C">
        <w:rPr>
          <w:color w:val="auto"/>
          <w:sz w:val="22"/>
          <w:szCs w:val="22"/>
        </w:rPr>
        <w:t xml:space="preserve"> began </w:t>
      </w:r>
      <w:r w:rsidR="004644FA">
        <w:rPr>
          <w:color w:val="auto"/>
          <w:sz w:val="22"/>
          <w:szCs w:val="22"/>
        </w:rPr>
        <w:t>on</w:t>
      </w:r>
      <w:r w:rsidR="00856C5C">
        <w:rPr>
          <w:color w:val="auto"/>
          <w:sz w:val="22"/>
          <w:szCs w:val="22"/>
        </w:rPr>
        <w:t xml:space="preserve"> </w:t>
      </w:r>
      <w:r w:rsidR="004644FA">
        <w:rPr>
          <w:color w:val="auto"/>
          <w:sz w:val="22"/>
          <w:szCs w:val="22"/>
        </w:rPr>
        <w:t xml:space="preserve">September 1, 2017, and </w:t>
      </w:r>
      <w:r w:rsidR="000D5D63">
        <w:rPr>
          <w:color w:val="auto"/>
          <w:sz w:val="22"/>
          <w:szCs w:val="22"/>
        </w:rPr>
        <w:t>is in effect</w:t>
      </w:r>
      <w:r w:rsidR="004644FA">
        <w:rPr>
          <w:color w:val="auto"/>
          <w:sz w:val="22"/>
          <w:szCs w:val="22"/>
        </w:rPr>
        <w:t xml:space="preserve"> until August 31, 2022,</w:t>
      </w:r>
      <w:r w:rsidR="00856C5C">
        <w:rPr>
          <w:color w:val="auto"/>
          <w:sz w:val="22"/>
          <w:szCs w:val="22"/>
        </w:rPr>
        <w:t xml:space="preserve"> and thus the midpoint is approximately </w:t>
      </w:r>
      <w:r w:rsidR="004644FA">
        <w:rPr>
          <w:color w:val="auto"/>
          <w:sz w:val="22"/>
          <w:szCs w:val="22"/>
        </w:rPr>
        <w:t>March 1</w:t>
      </w:r>
      <w:r w:rsidR="00856C5C">
        <w:rPr>
          <w:color w:val="auto"/>
          <w:sz w:val="22"/>
          <w:szCs w:val="22"/>
        </w:rPr>
        <w:t xml:space="preserve">, </w:t>
      </w:r>
      <w:r w:rsidR="007C59D1">
        <w:rPr>
          <w:color w:val="auto"/>
          <w:sz w:val="22"/>
          <w:szCs w:val="22"/>
        </w:rPr>
        <w:t>20</w:t>
      </w:r>
      <w:r w:rsidR="000E30D3">
        <w:rPr>
          <w:color w:val="auto"/>
          <w:sz w:val="22"/>
          <w:szCs w:val="22"/>
        </w:rPr>
        <w:t>20</w:t>
      </w:r>
      <w:r w:rsidR="00856C5C">
        <w:rPr>
          <w:color w:val="auto"/>
          <w:sz w:val="22"/>
          <w:szCs w:val="22"/>
        </w:rPr>
        <w:t xml:space="preserve">.  </w:t>
      </w:r>
    </w:p>
    <w:p w14:paraId="797CDD9D" w14:textId="77777777" w:rsidR="00460351" w:rsidRDefault="00460351" w:rsidP="00460351">
      <w:pPr>
        <w:rPr>
          <w:sz w:val="22"/>
          <w:szCs w:val="22"/>
        </w:rPr>
      </w:pPr>
    </w:p>
    <w:p w14:paraId="464ECB71" w14:textId="7608846F" w:rsidR="00856C5C" w:rsidRDefault="00460351" w:rsidP="0046035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44FA">
        <w:rPr>
          <w:sz w:val="22"/>
          <w:szCs w:val="22"/>
        </w:rPr>
        <w:t>PGW</w:t>
      </w:r>
      <w:r w:rsidR="00856C5C">
        <w:rPr>
          <w:sz w:val="22"/>
          <w:szCs w:val="22"/>
        </w:rPr>
        <w:t xml:space="preserve"> is hereby notified that the Commission will begin the review of their LTIIP on</w:t>
      </w:r>
      <w:r w:rsidR="000D5D63">
        <w:rPr>
          <w:sz w:val="22"/>
          <w:szCs w:val="22"/>
        </w:rPr>
        <w:t xml:space="preserve"> September 1</w:t>
      </w:r>
      <w:r w:rsidR="007C59D1">
        <w:rPr>
          <w:sz w:val="22"/>
          <w:szCs w:val="22"/>
        </w:rPr>
        <w:t>, 20</w:t>
      </w:r>
      <w:r w:rsidR="000E30D3">
        <w:rPr>
          <w:sz w:val="22"/>
          <w:szCs w:val="22"/>
        </w:rPr>
        <w:t>20</w:t>
      </w:r>
      <w:r w:rsidR="00623A85">
        <w:rPr>
          <w:sz w:val="22"/>
          <w:szCs w:val="22"/>
        </w:rPr>
        <w:t xml:space="preserve"> at the docket number referenced above</w:t>
      </w:r>
      <w:r w:rsidR="00856C5C">
        <w:rPr>
          <w:sz w:val="22"/>
          <w:szCs w:val="22"/>
        </w:rPr>
        <w:t>.  The Commission’s review will determine:</w:t>
      </w:r>
    </w:p>
    <w:p w14:paraId="57DF8E2F" w14:textId="77777777" w:rsidR="00856C5C" w:rsidRDefault="00856C5C" w:rsidP="00460351">
      <w:pPr>
        <w:rPr>
          <w:sz w:val="22"/>
          <w:szCs w:val="22"/>
        </w:rPr>
      </w:pPr>
    </w:p>
    <w:p w14:paraId="365E7CA3" w14:textId="23EAE61D" w:rsidR="00856C5C" w:rsidRDefault="00856C5C" w:rsidP="00856C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4644FA">
        <w:rPr>
          <w:sz w:val="22"/>
          <w:szCs w:val="22"/>
        </w:rPr>
        <w:t>PGW</w:t>
      </w:r>
      <w:r w:rsidR="00D2361F">
        <w:rPr>
          <w:sz w:val="22"/>
          <w:szCs w:val="22"/>
        </w:rPr>
        <w:t xml:space="preserve"> </w:t>
      </w:r>
      <w:r>
        <w:rPr>
          <w:sz w:val="22"/>
          <w:szCs w:val="22"/>
        </w:rPr>
        <w:t>has adhered to its LTIIP</w:t>
      </w:r>
    </w:p>
    <w:p w14:paraId="61E051B4" w14:textId="09CEBCAB" w:rsidR="00856C5C" w:rsidRDefault="00856C5C" w:rsidP="00856C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changes to the LTIIP are necessary to maintain and improve the efficiency, safety, adequacy and reliability of </w:t>
      </w:r>
      <w:r w:rsidR="004644FA">
        <w:rPr>
          <w:sz w:val="22"/>
          <w:szCs w:val="22"/>
        </w:rPr>
        <w:t>PGW’s</w:t>
      </w:r>
      <w:r>
        <w:rPr>
          <w:sz w:val="22"/>
          <w:szCs w:val="22"/>
        </w:rPr>
        <w:t xml:space="preserve"> existing distribution infrastructure.</w:t>
      </w:r>
    </w:p>
    <w:p w14:paraId="75AB5415" w14:textId="77777777" w:rsidR="00856C5C" w:rsidRDefault="00856C5C" w:rsidP="00460351">
      <w:pPr>
        <w:rPr>
          <w:sz w:val="22"/>
          <w:szCs w:val="22"/>
        </w:rPr>
      </w:pPr>
    </w:p>
    <w:p w14:paraId="48C5A6D5" w14:textId="22E911A5" w:rsidR="00856C5C" w:rsidRDefault="00460351" w:rsidP="00856C5C">
      <w:pPr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-3"/>
          <w:sz w:val="22"/>
          <w:szCs w:val="22"/>
        </w:rPr>
        <w:tab/>
      </w:r>
      <w:r w:rsidR="00856C5C">
        <w:rPr>
          <w:spacing w:val="-3"/>
          <w:sz w:val="22"/>
          <w:szCs w:val="22"/>
        </w:rPr>
        <w:t>Upon completion of the review, the Commission shall issue a</w:t>
      </w:r>
      <w:r w:rsidR="00AF253F">
        <w:rPr>
          <w:spacing w:val="-3"/>
          <w:sz w:val="22"/>
          <w:szCs w:val="22"/>
        </w:rPr>
        <w:t>n Order with a</w:t>
      </w:r>
      <w:r w:rsidR="00856C5C">
        <w:rPr>
          <w:spacing w:val="-3"/>
          <w:sz w:val="22"/>
          <w:szCs w:val="22"/>
        </w:rPr>
        <w:t xml:space="preserve"> determination of whether or not </w:t>
      </w:r>
      <w:r w:rsidR="004644FA">
        <w:rPr>
          <w:spacing w:val="-3"/>
          <w:sz w:val="22"/>
          <w:szCs w:val="22"/>
        </w:rPr>
        <w:t>PGW</w:t>
      </w:r>
      <w:r w:rsidR="00D2361F">
        <w:rPr>
          <w:spacing w:val="-3"/>
          <w:sz w:val="22"/>
          <w:szCs w:val="22"/>
        </w:rPr>
        <w:t xml:space="preserve"> </w:t>
      </w:r>
      <w:r w:rsidR="00856C5C">
        <w:rPr>
          <w:spacing w:val="-3"/>
          <w:sz w:val="22"/>
          <w:szCs w:val="22"/>
        </w:rPr>
        <w:t xml:space="preserve">has adhered to its LTIIP and if any changes to the LTIIP are necessary.   The Commission will direct </w:t>
      </w:r>
      <w:r w:rsidR="004644FA">
        <w:rPr>
          <w:spacing w:val="-3"/>
          <w:sz w:val="22"/>
          <w:szCs w:val="22"/>
        </w:rPr>
        <w:t>PGW</w:t>
      </w:r>
      <w:r w:rsidR="00856C5C">
        <w:rPr>
          <w:spacing w:val="-3"/>
          <w:sz w:val="22"/>
          <w:szCs w:val="22"/>
        </w:rPr>
        <w:t xml:space="preserve"> to revise, update, or resubmit its LTIIP as appropriate if it determines </w:t>
      </w:r>
      <w:r w:rsidR="004644FA">
        <w:rPr>
          <w:spacing w:val="-3"/>
          <w:sz w:val="22"/>
          <w:szCs w:val="22"/>
        </w:rPr>
        <w:t>PGW’s</w:t>
      </w:r>
      <w:r w:rsidR="003D389B">
        <w:rPr>
          <w:spacing w:val="-3"/>
          <w:sz w:val="22"/>
          <w:szCs w:val="22"/>
        </w:rPr>
        <w:t xml:space="preserve"> approved</w:t>
      </w:r>
      <w:r w:rsidR="00856C5C">
        <w:rPr>
          <w:spacing w:val="-3"/>
          <w:sz w:val="22"/>
          <w:szCs w:val="22"/>
        </w:rPr>
        <w:t xml:space="preserve"> LTIIP is no longer adequate to ensure and maintain efficient, adequate, safe, reliable and reasonable service. Upon such a determination, </w:t>
      </w:r>
      <w:r w:rsidR="004644FA">
        <w:rPr>
          <w:spacing w:val="-3"/>
          <w:sz w:val="22"/>
          <w:szCs w:val="22"/>
        </w:rPr>
        <w:t>PGW</w:t>
      </w:r>
      <w:r w:rsidR="00856C5C">
        <w:rPr>
          <w:spacing w:val="-3"/>
          <w:sz w:val="22"/>
          <w:szCs w:val="22"/>
        </w:rPr>
        <w:t xml:space="preserve"> may elect to withdraw its LTIIP rather than comply with the Commission’s direction.  </w:t>
      </w:r>
      <w:r w:rsidR="004644FA">
        <w:rPr>
          <w:spacing w:val="-3"/>
          <w:sz w:val="22"/>
          <w:szCs w:val="22"/>
        </w:rPr>
        <w:t>PGW’s</w:t>
      </w:r>
      <w:r w:rsidR="00856C5C">
        <w:rPr>
          <w:spacing w:val="-3"/>
          <w:sz w:val="22"/>
          <w:szCs w:val="22"/>
        </w:rPr>
        <w:t xml:space="preserve"> approved distribution system improvement surcharge (DSIC) mechanism would immediately terminate upon such a withdrawal.  </w:t>
      </w:r>
    </w:p>
    <w:p w14:paraId="619E274C" w14:textId="77777777" w:rsidR="00856C5C" w:rsidRDefault="00856C5C" w:rsidP="00856C5C">
      <w:pPr>
        <w:rPr>
          <w:spacing w:val="-3"/>
          <w:sz w:val="22"/>
          <w:szCs w:val="22"/>
        </w:rPr>
      </w:pPr>
    </w:p>
    <w:p w14:paraId="0B567A5C" w14:textId="7B0C85A7" w:rsidR="00460351" w:rsidRDefault="00856C5C" w:rsidP="00856C5C">
      <w:pPr>
        <w:rPr>
          <w:spacing w:val="-3"/>
          <w:sz w:val="24"/>
          <w:szCs w:val="24"/>
        </w:rPr>
      </w:pPr>
      <w:r>
        <w:rPr>
          <w:spacing w:val="-3"/>
          <w:sz w:val="22"/>
          <w:szCs w:val="22"/>
        </w:rPr>
        <w:tab/>
        <w:t>T</w:t>
      </w:r>
      <w:r w:rsidR="00113122">
        <w:rPr>
          <w:spacing w:val="-3"/>
          <w:sz w:val="22"/>
          <w:szCs w:val="22"/>
        </w:rPr>
        <w:t>o aid in its review t</w:t>
      </w:r>
      <w:r>
        <w:rPr>
          <w:spacing w:val="-3"/>
          <w:sz w:val="22"/>
          <w:szCs w:val="22"/>
        </w:rPr>
        <w:t xml:space="preserve">he Commission is establishing a </w:t>
      </w:r>
      <w:r w:rsidR="001B66DE">
        <w:rPr>
          <w:spacing w:val="-3"/>
          <w:sz w:val="22"/>
          <w:szCs w:val="22"/>
        </w:rPr>
        <w:t>thirty</w:t>
      </w:r>
      <w:r>
        <w:rPr>
          <w:spacing w:val="-3"/>
          <w:sz w:val="22"/>
          <w:szCs w:val="22"/>
        </w:rPr>
        <w:t xml:space="preserve"> (</w:t>
      </w:r>
      <w:r w:rsidR="001B66DE">
        <w:rPr>
          <w:spacing w:val="-3"/>
          <w:sz w:val="22"/>
          <w:szCs w:val="22"/>
        </w:rPr>
        <w:t>3</w:t>
      </w:r>
      <w:r>
        <w:rPr>
          <w:spacing w:val="-3"/>
          <w:sz w:val="22"/>
          <w:szCs w:val="22"/>
        </w:rPr>
        <w:t xml:space="preserve">0) day comment period </w:t>
      </w:r>
      <w:r w:rsidR="00780C54" w:rsidRPr="00780C54">
        <w:rPr>
          <w:spacing w:val="-3"/>
          <w:sz w:val="22"/>
          <w:szCs w:val="22"/>
        </w:rPr>
        <w:t xml:space="preserve">beginning from the date of this letter </w:t>
      </w:r>
      <w:r>
        <w:rPr>
          <w:spacing w:val="-3"/>
          <w:sz w:val="22"/>
          <w:szCs w:val="22"/>
        </w:rPr>
        <w:t xml:space="preserve">and </w:t>
      </w:r>
      <w:r w:rsidR="00780C54">
        <w:rPr>
          <w:spacing w:val="-3"/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 xml:space="preserve">twenty (20) day </w:t>
      </w:r>
      <w:r w:rsidR="00780C54">
        <w:rPr>
          <w:spacing w:val="-3"/>
          <w:sz w:val="22"/>
          <w:szCs w:val="22"/>
        </w:rPr>
        <w:t>rep</w:t>
      </w:r>
      <w:r w:rsidR="00D2361F">
        <w:rPr>
          <w:spacing w:val="-3"/>
          <w:sz w:val="22"/>
          <w:szCs w:val="22"/>
        </w:rPr>
        <w:t>ly comment period.</w:t>
      </w:r>
      <w:r w:rsidR="00113122">
        <w:rPr>
          <w:rStyle w:val="FootnoteReference"/>
          <w:spacing w:val="-3"/>
          <w:sz w:val="22"/>
          <w:szCs w:val="22"/>
        </w:rPr>
        <w:footnoteReference w:id="3"/>
      </w:r>
      <w:r w:rsidR="00D2361F">
        <w:rPr>
          <w:spacing w:val="-3"/>
          <w:sz w:val="22"/>
          <w:szCs w:val="22"/>
        </w:rPr>
        <w:t xml:space="preserve">  </w:t>
      </w:r>
      <w:r w:rsidR="00780C54">
        <w:rPr>
          <w:spacing w:val="-3"/>
          <w:sz w:val="22"/>
          <w:szCs w:val="22"/>
        </w:rPr>
        <w:t xml:space="preserve">A copy of this letter has been served upon the </w:t>
      </w:r>
      <w:r w:rsidR="00D2361F">
        <w:rPr>
          <w:spacing w:val="-3"/>
          <w:sz w:val="22"/>
          <w:szCs w:val="22"/>
        </w:rPr>
        <w:t xml:space="preserve">statutory advocates, the Bureau of Investigation &amp; Enforcement, and the </w:t>
      </w:r>
      <w:r w:rsidR="00780C54">
        <w:rPr>
          <w:spacing w:val="-3"/>
          <w:sz w:val="22"/>
          <w:szCs w:val="22"/>
        </w:rPr>
        <w:t xml:space="preserve">parties of record from </w:t>
      </w:r>
      <w:r w:rsidR="004644FA">
        <w:rPr>
          <w:spacing w:val="-3"/>
          <w:sz w:val="22"/>
          <w:szCs w:val="22"/>
        </w:rPr>
        <w:t>PGW’s</w:t>
      </w:r>
      <w:r w:rsidR="00780C54">
        <w:rPr>
          <w:spacing w:val="-3"/>
          <w:sz w:val="22"/>
          <w:szCs w:val="22"/>
        </w:rPr>
        <w:t xml:space="preserve"> </w:t>
      </w:r>
      <w:r w:rsidR="00D2361F">
        <w:rPr>
          <w:spacing w:val="-3"/>
          <w:sz w:val="22"/>
          <w:szCs w:val="22"/>
        </w:rPr>
        <w:t>most recent</w:t>
      </w:r>
      <w:r w:rsidR="00780C54">
        <w:rPr>
          <w:spacing w:val="-3"/>
          <w:sz w:val="22"/>
          <w:szCs w:val="22"/>
        </w:rPr>
        <w:t xml:space="preserve"> base rate case</w:t>
      </w:r>
      <w:r w:rsidR="00D2361F">
        <w:rPr>
          <w:spacing w:val="-3"/>
          <w:sz w:val="22"/>
          <w:szCs w:val="22"/>
        </w:rPr>
        <w:t xml:space="preserve"> proceeding</w:t>
      </w:r>
      <w:r w:rsidR="00D53E7F">
        <w:rPr>
          <w:spacing w:val="-3"/>
          <w:sz w:val="22"/>
          <w:szCs w:val="22"/>
        </w:rPr>
        <w:t>,</w:t>
      </w:r>
      <w:r w:rsidR="00B73204">
        <w:rPr>
          <w:rStyle w:val="FootnoteReference"/>
          <w:spacing w:val="-3"/>
          <w:sz w:val="22"/>
          <w:szCs w:val="22"/>
        </w:rPr>
        <w:footnoteReference w:id="4"/>
      </w:r>
      <w:r w:rsidR="00D2361F">
        <w:rPr>
          <w:spacing w:val="-3"/>
          <w:sz w:val="22"/>
          <w:szCs w:val="22"/>
        </w:rPr>
        <w:t xml:space="preserve"> consistent with the LTIIP filing and review procedures</w:t>
      </w:r>
      <w:r w:rsidR="00780C54">
        <w:rPr>
          <w:spacing w:val="-3"/>
          <w:sz w:val="22"/>
          <w:szCs w:val="22"/>
        </w:rPr>
        <w:t>.</w:t>
      </w:r>
      <w:r w:rsidR="00C631B1">
        <w:rPr>
          <w:rStyle w:val="FootnoteReference"/>
          <w:spacing w:val="-3"/>
          <w:sz w:val="22"/>
          <w:szCs w:val="22"/>
        </w:rPr>
        <w:footnoteReference w:id="5"/>
      </w:r>
    </w:p>
    <w:p w14:paraId="0FA0D68B" w14:textId="77777777" w:rsidR="00460351" w:rsidRDefault="00460351" w:rsidP="00460351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28535209" w14:textId="2FC2FA14" w:rsidR="00DD12DA" w:rsidRPr="00707FE7" w:rsidRDefault="00460351" w:rsidP="00707FE7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ab/>
      </w:r>
      <w:r w:rsidR="00780C54">
        <w:rPr>
          <w:spacing w:val="-3"/>
          <w:sz w:val="22"/>
          <w:szCs w:val="22"/>
        </w:rPr>
        <w:t xml:space="preserve">If you have any questions regarding this matter, please contact </w:t>
      </w:r>
      <w:r w:rsidR="00EC7A7E">
        <w:rPr>
          <w:spacing w:val="-3"/>
          <w:sz w:val="22"/>
          <w:szCs w:val="22"/>
        </w:rPr>
        <w:t>Matthew Stewart</w:t>
      </w:r>
      <w:r w:rsidR="00780C54">
        <w:rPr>
          <w:spacing w:val="-3"/>
          <w:sz w:val="22"/>
          <w:szCs w:val="22"/>
        </w:rPr>
        <w:t xml:space="preserve"> in the Bureau of Technical Utility services at </w:t>
      </w:r>
      <w:hyperlink r:id="rId10" w:history="1">
        <w:r w:rsidR="00EC7A7E" w:rsidRPr="001B7A5C">
          <w:rPr>
            <w:rStyle w:val="Hyperlink"/>
            <w:spacing w:val="-3"/>
            <w:sz w:val="22"/>
            <w:szCs w:val="22"/>
          </w:rPr>
          <w:t>mattstewar@pa.gov</w:t>
        </w:r>
      </w:hyperlink>
      <w:r w:rsidR="00B070FC" w:rsidRPr="00707FE7">
        <w:rPr>
          <w:spacing w:val="-3"/>
          <w:sz w:val="22"/>
          <w:szCs w:val="22"/>
        </w:rPr>
        <w:t>.</w:t>
      </w:r>
    </w:p>
    <w:p w14:paraId="1F7EFE4F" w14:textId="77777777" w:rsidR="00707FE7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65EEEAC6" w14:textId="2A7E083B" w:rsidR="00707FE7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</w:p>
    <w:p w14:paraId="19B1921D" w14:textId="47F80FDC" w:rsidR="00334069" w:rsidRPr="00707FE7" w:rsidRDefault="00D853D3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  <w:bookmarkStart w:id="1" w:name="_GoBack"/>
      <w:r>
        <w:rPr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4962EF7" wp14:editId="18BD94E4">
            <wp:simplePos x="0" y="0"/>
            <wp:positionH relativeFrom="column">
              <wp:posOffset>3133725</wp:posOffset>
            </wp:positionH>
            <wp:positionV relativeFrom="paragraph">
              <wp:posOffset>6350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Sincerely,</w:t>
      </w:r>
    </w:p>
    <w:p w14:paraId="4C3F1064" w14:textId="00EEB5CC" w:rsidR="00334069" w:rsidRPr="00707FE7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</w:p>
    <w:p w14:paraId="2A64AC76" w14:textId="2D62C9D7" w:rsidR="00334069" w:rsidRPr="00707FE7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7339066D" w14:textId="77777777" w:rsidR="00334069" w:rsidRPr="00707FE7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</w:p>
    <w:p w14:paraId="6DB88273" w14:textId="77777777" w:rsidR="00334069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Rosemary Chiavetta</w:t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Secretary</w:t>
      </w:r>
    </w:p>
    <w:p w14:paraId="5A71638C" w14:textId="1A0A77BB" w:rsidR="00707FE7" w:rsidRPr="00707FE7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</w:p>
    <w:p w14:paraId="4B04CFBF" w14:textId="5871A104" w:rsidR="00DD12DA" w:rsidRPr="00707FE7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>Cc</w:t>
      </w:r>
      <w:r w:rsidRPr="00707FE7">
        <w:rPr>
          <w:spacing w:val="-3"/>
          <w:sz w:val="22"/>
          <w:szCs w:val="22"/>
        </w:rPr>
        <w:tab/>
      </w:r>
      <w:r w:rsidR="000E30D3">
        <w:rPr>
          <w:spacing w:val="-3"/>
          <w:sz w:val="22"/>
          <w:szCs w:val="22"/>
        </w:rPr>
        <w:t xml:space="preserve">John Van </w:t>
      </w:r>
      <w:proofErr w:type="spellStart"/>
      <w:r w:rsidR="000E30D3">
        <w:rPr>
          <w:spacing w:val="-3"/>
          <w:sz w:val="22"/>
          <w:szCs w:val="22"/>
        </w:rPr>
        <w:t>Zant</w:t>
      </w:r>
      <w:proofErr w:type="spellEnd"/>
      <w:r w:rsidRPr="00707FE7">
        <w:rPr>
          <w:spacing w:val="-3"/>
          <w:sz w:val="22"/>
          <w:szCs w:val="22"/>
        </w:rPr>
        <w:t>, TUS</w:t>
      </w:r>
    </w:p>
    <w:p w14:paraId="12A29CB8" w14:textId="5AA28430" w:rsidR="00DD12DA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="000E30D3">
        <w:rPr>
          <w:spacing w:val="-3"/>
          <w:sz w:val="22"/>
          <w:szCs w:val="22"/>
        </w:rPr>
        <w:t xml:space="preserve">Daniel </w:t>
      </w:r>
      <w:proofErr w:type="spellStart"/>
      <w:r w:rsidR="000E30D3">
        <w:rPr>
          <w:spacing w:val="-3"/>
          <w:sz w:val="22"/>
          <w:szCs w:val="22"/>
        </w:rPr>
        <w:t>Searfoorce</w:t>
      </w:r>
      <w:proofErr w:type="spellEnd"/>
      <w:r w:rsidRPr="00707FE7">
        <w:rPr>
          <w:spacing w:val="-3"/>
          <w:sz w:val="22"/>
          <w:szCs w:val="22"/>
        </w:rPr>
        <w:t>, TUS</w:t>
      </w:r>
    </w:p>
    <w:p w14:paraId="0362F984" w14:textId="5F319411" w:rsidR="00856C5C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0E30D3">
        <w:rPr>
          <w:spacing w:val="-3"/>
          <w:sz w:val="22"/>
          <w:szCs w:val="22"/>
        </w:rPr>
        <w:t>Kriss Brown</w:t>
      </w:r>
      <w:r>
        <w:rPr>
          <w:spacing w:val="-3"/>
          <w:sz w:val="22"/>
          <w:szCs w:val="22"/>
        </w:rPr>
        <w:t>, LAW</w:t>
      </w:r>
    </w:p>
    <w:p w14:paraId="070AF90D" w14:textId="6BDBC803" w:rsidR="00856C5C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42069F">
        <w:rPr>
          <w:spacing w:val="-3"/>
          <w:sz w:val="22"/>
          <w:szCs w:val="22"/>
        </w:rPr>
        <w:t xml:space="preserve">Richard </w:t>
      </w:r>
      <w:proofErr w:type="spellStart"/>
      <w:r w:rsidR="0042069F">
        <w:rPr>
          <w:spacing w:val="-3"/>
          <w:sz w:val="22"/>
          <w:szCs w:val="22"/>
        </w:rPr>
        <w:t>Kanaskie</w:t>
      </w:r>
      <w:proofErr w:type="spellEnd"/>
      <w:r>
        <w:rPr>
          <w:spacing w:val="-3"/>
          <w:sz w:val="22"/>
          <w:szCs w:val="22"/>
        </w:rPr>
        <w:t>, I&amp;E</w:t>
      </w:r>
    </w:p>
    <w:p w14:paraId="4B010EC3" w14:textId="1CE6DE13" w:rsidR="00856C5C" w:rsidRPr="00707FE7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42069F">
        <w:rPr>
          <w:spacing w:val="-3"/>
          <w:sz w:val="22"/>
          <w:szCs w:val="22"/>
        </w:rPr>
        <w:t xml:space="preserve">Robert </w:t>
      </w:r>
      <w:proofErr w:type="spellStart"/>
      <w:r w:rsidR="0042069F">
        <w:rPr>
          <w:spacing w:val="-3"/>
          <w:sz w:val="22"/>
          <w:szCs w:val="22"/>
        </w:rPr>
        <w:t>Horensky</w:t>
      </w:r>
      <w:proofErr w:type="spellEnd"/>
      <w:r>
        <w:rPr>
          <w:spacing w:val="-3"/>
          <w:sz w:val="22"/>
          <w:szCs w:val="22"/>
        </w:rPr>
        <w:t>, I&amp;E</w:t>
      </w:r>
    </w:p>
    <w:p w14:paraId="50CC308C" w14:textId="5DAD3319" w:rsidR="006637CB" w:rsidRPr="00FC5A5C" w:rsidRDefault="00DD12DA" w:rsidP="006637C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707FE7">
        <w:rPr>
          <w:spacing w:val="-3"/>
          <w:sz w:val="22"/>
          <w:szCs w:val="22"/>
        </w:rPr>
        <w:tab/>
      </w:r>
      <w:r w:rsidR="006637CB" w:rsidRPr="00FC5A5C">
        <w:rPr>
          <w:spacing w:val="-3"/>
          <w:sz w:val="24"/>
          <w:szCs w:val="24"/>
        </w:rPr>
        <w:t xml:space="preserve">Tanya McCloskey, Office of Consumer Advocate, </w:t>
      </w:r>
      <w:hyperlink r:id="rId12" w:history="1">
        <w:r w:rsidR="006637CB" w:rsidRPr="00FC5A5C">
          <w:rPr>
            <w:color w:val="0563C1"/>
            <w:spacing w:val="-3"/>
            <w:sz w:val="24"/>
            <w:szCs w:val="24"/>
            <w:u w:val="single"/>
          </w:rPr>
          <w:t>TMcCloskey@paoca.org</w:t>
        </w:r>
      </w:hyperlink>
      <w:r w:rsidR="006637CB" w:rsidRPr="00FC5A5C">
        <w:rPr>
          <w:spacing w:val="-3"/>
          <w:sz w:val="24"/>
          <w:szCs w:val="24"/>
        </w:rPr>
        <w:t xml:space="preserve">  </w:t>
      </w:r>
    </w:p>
    <w:p w14:paraId="446F3F01" w14:textId="77777777" w:rsidR="006637CB" w:rsidRPr="00FC5A5C" w:rsidRDefault="006637CB" w:rsidP="006637C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FC5A5C">
        <w:rPr>
          <w:spacing w:val="-3"/>
          <w:sz w:val="24"/>
          <w:szCs w:val="24"/>
        </w:rPr>
        <w:tab/>
        <w:t xml:space="preserve">John Evans, Office of Small Business Advocate, </w:t>
      </w:r>
      <w:hyperlink r:id="rId13" w:history="1">
        <w:r w:rsidRPr="00FC5A5C">
          <w:rPr>
            <w:color w:val="0563C1"/>
            <w:spacing w:val="-3"/>
            <w:sz w:val="24"/>
            <w:szCs w:val="24"/>
            <w:u w:val="single"/>
          </w:rPr>
          <w:t>jorevan@pa.gov</w:t>
        </w:r>
      </w:hyperlink>
      <w:r w:rsidRPr="00FC5A5C">
        <w:rPr>
          <w:spacing w:val="-3"/>
          <w:sz w:val="24"/>
          <w:szCs w:val="24"/>
        </w:rPr>
        <w:t xml:space="preserve"> </w:t>
      </w:r>
    </w:p>
    <w:p w14:paraId="532BE511" w14:textId="361E6AE8" w:rsidR="00780C54" w:rsidRDefault="006637CB" w:rsidP="006637C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FC5A5C">
        <w:rPr>
          <w:spacing w:val="-3"/>
          <w:sz w:val="24"/>
          <w:szCs w:val="24"/>
        </w:rPr>
        <w:tab/>
        <w:t>All Other Parties of Record for Docket No.</w:t>
      </w:r>
      <w:r>
        <w:rPr>
          <w:spacing w:val="-3"/>
          <w:sz w:val="24"/>
          <w:szCs w:val="24"/>
        </w:rPr>
        <w:t xml:space="preserve"> </w:t>
      </w:r>
      <w:r w:rsidRPr="006637CB">
        <w:rPr>
          <w:spacing w:val="-3"/>
          <w:sz w:val="24"/>
          <w:szCs w:val="24"/>
        </w:rPr>
        <w:t>R-2020-3017206</w:t>
      </w:r>
    </w:p>
    <w:sectPr w:rsidR="00780C54" w:rsidSect="00C631B1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A6FC" w14:textId="77777777" w:rsidR="000B5CAA" w:rsidRDefault="000B5CAA" w:rsidP="00334069">
      <w:r>
        <w:separator/>
      </w:r>
    </w:p>
  </w:endnote>
  <w:endnote w:type="continuationSeparator" w:id="0">
    <w:p w14:paraId="070AAE88" w14:textId="77777777" w:rsidR="000B5CAA" w:rsidRDefault="000B5CAA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ACCA3" w14:textId="77777777" w:rsidR="000B5CAA" w:rsidRDefault="000B5CAA" w:rsidP="00334069">
      <w:r>
        <w:separator/>
      </w:r>
    </w:p>
  </w:footnote>
  <w:footnote w:type="continuationSeparator" w:id="0">
    <w:p w14:paraId="1F9D18A7" w14:textId="77777777" w:rsidR="000B5CAA" w:rsidRDefault="000B5CAA" w:rsidP="00334069">
      <w:r>
        <w:continuationSeparator/>
      </w:r>
    </w:p>
  </w:footnote>
  <w:footnote w:id="1">
    <w:p w14:paraId="222C9D7C" w14:textId="77777777"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14:paraId="24A273C4" w14:textId="3259AA77" w:rsidR="00770927" w:rsidRDefault="00770927">
      <w:pPr>
        <w:pStyle w:val="FootnoteText"/>
      </w:pPr>
      <w:r>
        <w:rPr>
          <w:rStyle w:val="FootnoteReference"/>
        </w:rPr>
        <w:footnoteRef/>
      </w:r>
      <w:r>
        <w:t xml:space="preserve"> Docket No. </w:t>
      </w:r>
      <w:r w:rsidR="008D09AE" w:rsidRPr="008D09AE">
        <w:t>P-</w:t>
      </w:r>
      <w:r w:rsidR="000E30D3">
        <w:t>2017</w:t>
      </w:r>
      <w:r w:rsidR="008D09AE" w:rsidRPr="008D09AE">
        <w:t>-</w:t>
      </w:r>
      <w:r w:rsidR="004644FA">
        <w:t>2602315</w:t>
      </w:r>
    </w:p>
  </w:footnote>
  <w:footnote w:id="3">
    <w:p w14:paraId="073FF841" w14:textId="77777777"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36EFD7A7" w14:textId="3AC68146" w:rsidR="00B73204" w:rsidRDefault="00B732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41629860"/>
      <w:r>
        <w:t>Docket No. R-2020-3017206</w:t>
      </w:r>
      <w:bookmarkEnd w:id="0"/>
    </w:p>
  </w:footnote>
  <w:footnote w:id="5">
    <w:p w14:paraId="39B6AFE2" w14:textId="77777777" w:rsidR="00C631B1" w:rsidRPr="00D8358B" w:rsidRDefault="00C631B1" w:rsidP="00C631B1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rStyle w:val="FootnoteReference"/>
        </w:rPr>
        <w:footnoteRef/>
      </w:r>
      <w:r>
        <w:t xml:space="preserve"> 52 Pa. Code § 121.4(a).</w:t>
      </w:r>
    </w:p>
    <w:p w14:paraId="30863EBB" w14:textId="77777777" w:rsidR="00C631B1" w:rsidRDefault="00C631B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1082A"/>
    <w:rsid w:val="000213EA"/>
    <w:rsid w:val="00026701"/>
    <w:rsid w:val="0003038A"/>
    <w:rsid w:val="000428B5"/>
    <w:rsid w:val="0004379A"/>
    <w:rsid w:val="00064232"/>
    <w:rsid w:val="00071230"/>
    <w:rsid w:val="000B0E80"/>
    <w:rsid w:val="000B5CAA"/>
    <w:rsid w:val="000C4A97"/>
    <w:rsid w:val="000D452C"/>
    <w:rsid w:val="000D5D63"/>
    <w:rsid w:val="000E30D3"/>
    <w:rsid w:val="00113122"/>
    <w:rsid w:val="00155C77"/>
    <w:rsid w:val="00157BF7"/>
    <w:rsid w:val="001A643D"/>
    <w:rsid w:val="001B4AC2"/>
    <w:rsid w:val="001B66DE"/>
    <w:rsid w:val="001C700F"/>
    <w:rsid w:val="001D3E82"/>
    <w:rsid w:val="001E3409"/>
    <w:rsid w:val="00202AC7"/>
    <w:rsid w:val="00214E9A"/>
    <w:rsid w:val="00221615"/>
    <w:rsid w:val="002316DF"/>
    <w:rsid w:val="00231943"/>
    <w:rsid w:val="0023266D"/>
    <w:rsid w:val="0023471D"/>
    <w:rsid w:val="00234EE3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34069"/>
    <w:rsid w:val="00352AC3"/>
    <w:rsid w:val="00354327"/>
    <w:rsid w:val="00363D33"/>
    <w:rsid w:val="0036418D"/>
    <w:rsid w:val="0036773C"/>
    <w:rsid w:val="003732A4"/>
    <w:rsid w:val="00373E8B"/>
    <w:rsid w:val="00377869"/>
    <w:rsid w:val="003B5FBC"/>
    <w:rsid w:val="003C36E9"/>
    <w:rsid w:val="003D1743"/>
    <w:rsid w:val="003D233B"/>
    <w:rsid w:val="003D2F42"/>
    <w:rsid w:val="003D389B"/>
    <w:rsid w:val="003D64FF"/>
    <w:rsid w:val="003F3831"/>
    <w:rsid w:val="004100F1"/>
    <w:rsid w:val="004177F8"/>
    <w:rsid w:val="0042069F"/>
    <w:rsid w:val="00441D5A"/>
    <w:rsid w:val="00444DFB"/>
    <w:rsid w:val="004601F7"/>
    <w:rsid w:val="00460351"/>
    <w:rsid w:val="00460932"/>
    <w:rsid w:val="004624EF"/>
    <w:rsid w:val="004644FA"/>
    <w:rsid w:val="00471CD1"/>
    <w:rsid w:val="00475620"/>
    <w:rsid w:val="004760D0"/>
    <w:rsid w:val="00486516"/>
    <w:rsid w:val="00493D27"/>
    <w:rsid w:val="004A01AC"/>
    <w:rsid w:val="004A3778"/>
    <w:rsid w:val="004B14C6"/>
    <w:rsid w:val="004D51C8"/>
    <w:rsid w:val="004D78F9"/>
    <w:rsid w:val="004E2DD8"/>
    <w:rsid w:val="004F6F4B"/>
    <w:rsid w:val="00506723"/>
    <w:rsid w:val="00512E4C"/>
    <w:rsid w:val="00514F3E"/>
    <w:rsid w:val="005234A1"/>
    <w:rsid w:val="005413E9"/>
    <w:rsid w:val="005626C8"/>
    <w:rsid w:val="00571B97"/>
    <w:rsid w:val="00587BC8"/>
    <w:rsid w:val="005965A1"/>
    <w:rsid w:val="00597D4B"/>
    <w:rsid w:val="005E42C3"/>
    <w:rsid w:val="00604403"/>
    <w:rsid w:val="006215D3"/>
    <w:rsid w:val="00623A85"/>
    <w:rsid w:val="00635068"/>
    <w:rsid w:val="0064314C"/>
    <w:rsid w:val="00655BA8"/>
    <w:rsid w:val="00657572"/>
    <w:rsid w:val="006637CB"/>
    <w:rsid w:val="00681170"/>
    <w:rsid w:val="006A2C8A"/>
    <w:rsid w:val="006C14DD"/>
    <w:rsid w:val="006E7821"/>
    <w:rsid w:val="006F41BC"/>
    <w:rsid w:val="00700DDB"/>
    <w:rsid w:val="00707FE7"/>
    <w:rsid w:val="00722A89"/>
    <w:rsid w:val="00734BA6"/>
    <w:rsid w:val="00737507"/>
    <w:rsid w:val="007413FB"/>
    <w:rsid w:val="007422A9"/>
    <w:rsid w:val="00744444"/>
    <w:rsid w:val="0074770E"/>
    <w:rsid w:val="0075686B"/>
    <w:rsid w:val="00760769"/>
    <w:rsid w:val="00761C2F"/>
    <w:rsid w:val="00764178"/>
    <w:rsid w:val="007704FC"/>
    <w:rsid w:val="00770927"/>
    <w:rsid w:val="00780455"/>
    <w:rsid w:val="00780C54"/>
    <w:rsid w:val="00783E11"/>
    <w:rsid w:val="007A424F"/>
    <w:rsid w:val="007B166D"/>
    <w:rsid w:val="007C59D1"/>
    <w:rsid w:val="007D10D9"/>
    <w:rsid w:val="007D6850"/>
    <w:rsid w:val="007E1D6C"/>
    <w:rsid w:val="007F189C"/>
    <w:rsid w:val="0080787A"/>
    <w:rsid w:val="00815363"/>
    <w:rsid w:val="008172CD"/>
    <w:rsid w:val="00856C5C"/>
    <w:rsid w:val="00871368"/>
    <w:rsid w:val="00877E0E"/>
    <w:rsid w:val="0089035F"/>
    <w:rsid w:val="008931A0"/>
    <w:rsid w:val="00897BCB"/>
    <w:rsid w:val="008A0400"/>
    <w:rsid w:val="008B50C9"/>
    <w:rsid w:val="008D0250"/>
    <w:rsid w:val="008D09AE"/>
    <w:rsid w:val="008D0A6F"/>
    <w:rsid w:val="008D521D"/>
    <w:rsid w:val="008E4A45"/>
    <w:rsid w:val="008F21E3"/>
    <w:rsid w:val="008F653D"/>
    <w:rsid w:val="009025C6"/>
    <w:rsid w:val="00904039"/>
    <w:rsid w:val="009066AC"/>
    <w:rsid w:val="009507AB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309DD"/>
    <w:rsid w:val="00A44F3A"/>
    <w:rsid w:val="00A45BA8"/>
    <w:rsid w:val="00A816C0"/>
    <w:rsid w:val="00AA1E3F"/>
    <w:rsid w:val="00AA6412"/>
    <w:rsid w:val="00AA6B5B"/>
    <w:rsid w:val="00AB16C3"/>
    <w:rsid w:val="00AB2692"/>
    <w:rsid w:val="00AC0188"/>
    <w:rsid w:val="00AD2260"/>
    <w:rsid w:val="00AD278D"/>
    <w:rsid w:val="00AD71B2"/>
    <w:rsid w:val="00AF253F"/>
    <w:rsid w:val="00B070FC"/>
    <w:rsid w:val="00B13CB7"/>
    <w:rsid w:val="00B3518C"/>
    <w:rsid w:val="00B36CD3"/>
    <w:rsid w:val="00B479DF"/>
    <w:rsid w:val="00B62399"/>
    <w:rsid w:val="00B73204"/>
    <w:rsid w:val="00B95401"/>
    <w:rsid w:val="00B95F4B"/>
    <w:rsid w:val="00BA36A2"/>
    <w:rsid w:val="00BA5754"/>
    <w:rsid w:val="00BB089F"/>
    <w:rsid w:val="00BD3D76"/>
    <w:rsid w:val="00BD769C"/>
    <w:rsid w:val="00C029C8"/>
    <w:rsid w:val="00C24EDF"/>
    <w:rsid w:val="00C26F46"/>
    <w:rsid w:val="00C31029"/>
    <w:rsid w:val="00C32C46"/>
    <w:rsid w:val="00C35E25"/>
    <w:rsid w:val="00C41A15"/>
    <w:rsid w:val="00C631B1"/>
    <w:rsid w:val="00C665D7"/>
    <w:rsid w:val="00C72CD1"/>
    <w:rsid w:val="00C76073"/>
    <w:rsid w:val="00C8241C"/>
    <w:rsid w:val="00C87494"/>
    <w:rsid w:val="00CA127D"/>
    <w:rsid w:val="00CE7FDE"/>
    <w:rsid w:val="00D035BB"/>
    <w:rsid w:val="00D140DD"/>
    <w:rsid w:val="00D2361F"/>
    <w:rsid w:val="00D30F7C"/>
    <w:rsid w:val="00D43096"/>
    <w:rsid w:val="00D46435"/>
    <w:rsid w:val="00D53E7F"/>
    <w:rsid w:val="00D72BB4"/>
    <w:rsid w:val="00D77E26"/>
    <w:rsid w:val="00D80161"/>
    <w:rsid w:val="00D8358B"/>
    <w:rsid w:val="00D853D3"/>
    <w:rsid w:val="00D86DCA"/>
    <w:rsid w:val="00D95C9A"/>
    <w:rsid w:val="00DB328A"/>
    <w:rsid w:val="00DC3DB7"/>
    <w:rsid w:val="00DD12DA"/>
    <w:rsid w:val="00DD182B"/>
    <w:rsid w:val="00DD3C0C"/>
    <w:rsid w:val="00DE10E6"/>
    <w:rsid w:val="00DE6163"/>
    <w:rsid w:val="00DF5AA5"/>
    <w:rsid w:val="00E44685"/>
    <w:rsid w:val="00E8711D"/>
    <w:rsid w:val="00E955E6"/>
    <w:rsid w:val="00EC7A7E"/>
    <w:rsid w:val="00EE0672"/>
    <w:rsid w:val="00EF0477"/>
    <w:rsid w:val="00EF5D4F"/>
    <w:rsid w:val="00EF7999"/>
    <w:rsid w:val="00F02E4C"/>
    <w:rsid w:val="00F15AA6"/>
    <w:rsid w:val="00F4076B"/>
    <w:rsid w:val="00F40D11"/>
    <w:rsid w:val="00F56C1C"/>
    <w:rsid w:val="00F61B19"/>
    <w:rsid w:val="00F61DCC"/>
    <w:rsid w:val="00F7304C"/>
    <w:rsid w:val="00F73BA4"/>
    <w:rsid w:val="00F76585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64E942"/>
  <w15:docId w15:val="{4EC3F84E-C9CA-48E2-B582-4B73B5D3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6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reva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Closkey@pao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stewar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MOND.WELTE@PGWO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CC83-860D-4995-A856-A096574A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3039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2015-09-03T19:37:00Z</cp:lastPrinted>
  <dcterms:created xsi:type="dcterms:W3CDTF">2020-09-01T14:29:00Z</dcterms:created>
  <dcterms:modified xsi:type="dcterms:W3CDTF">2020-09-01T14:29:00Z</dcterms:modified>
</cp:coreProperties>
</file>