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9116" w14:textId="77777777" w:rsidR="0054768F" w:rsidRPr="00300F75" w:rsidRDefault="0054768F" w:rsidP="0054768F">
      <w:pPr>
        <w:jc w:val="right"/>
        <w:rPr>
          <w:sz w:val="24"/>
          <w:szCs w:val="24"/>
        </w:rPr>
      </w:pPr>
    </w:p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A55EB5" w:rsidRPr="00300F75" w14:paraId="1C1355B8" w14:textId="77777777" w:rsidTr="00A55EB5">
        <w:trPr>
          <w:trHeight w:val="990"/>
          <w:jc w:val="center"/>
        </w:trPr>
        <w:tc>
          <w:tcPr>
            <w:tcW w:w="1363" w:type="dxa"/>
          </w:tcPr>
          <w:p w14:paraId="76E8B0E3" w14:textId="77777777" w:rsidR="00A55EB5" w:rsidRPr="00300F75" w:rsidRDefault="00A55EB5" w:rsidP="00F9060B">
            <w:pPr>
              <w:rPr>
                <w:sz w:val="24"/>
              </w:rPr>
            </w:pPr>
            <w:r w:rsidRPr="00300F75">
              <w:rPr>
                <w:noProof/>
                <w:spacing w:val="-2"/>
              </w:rPr>
              <w:drawing>
                <wp:inline distT="0" distB="0" distL="0" distR="0" wp14:anchorId="5539900A" wp14:editId="1C57B84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57D6E1A3" w14:textId="77777777" w:rsidR="00A55EB5" w:rsidRPr="00300F75" w:rsidRDefault="00A55EB5" w:rsidP="00F9060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351A234" w14:textId="77777777" w:rsidR="00B35918" w:rsidRPr="00300F75" w:rsidRDefault="00B35918" w:rsidP="00B35918">
            <w:pPr>
              <w:suppressAutoHyphens/>
              <w:spacing w:line="320" w:lineRule="exact"/>
              <w:jc w:val="center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300F75">
              <w:rPr>
                <w:rFonts w:ascii="Arial" w:hAnsi="Arial" w:cs="Arial"/>
                <w:spacing w:val="-3"/>
                <w:sz w:val="26"/>
                <w:szCs w:val="26"/>
              </w:rPr>
              <w:t>COMMONWEALTH OF PENNSYLVANIA</w:t>
            </w:r>
          </w:p>
          <w:p w14:paraId="7DC88A7D" w14:textId="77777777" w:rsidR="00B35918" w:rsidRPr="00300F75" w:rsidRDefault="00B35918" w:rsidP="00B35918">
            <w:pPr>
              <w:suppressAutoHyphens/>
              <w:spacing w:line="320" w:lineRule="exact"/>
              <w:jc w:val="center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300F75">
              <w:rPr>
                <w:rFonts w:ascii="Arial" w:hAnsi="Arial" w:cs="Arial"/>
                <w:spacing w:val="-3"/>
                <w:sz w:val="26"/>
                <w:szCs w:val="26"/>
              </w:rPr>
              <w:t>PENNSYLVANIA PUBLIC UTILITY COMMISSION</w:t>
            </w:r>
          </w:p>
          <w:p w14:paraId="2861247E" w14:textId="1175E94E" w:rsidR="00A55EB5" w:rsidRPr="00300F75" w:rsidRDefault="00B35918" w:rsidP="00B35918">
            <w:pPr>
              <w:jc w:val="center"/>
              <w:rPr>
                <w:rFonts w:ascii="Arial" w:hAnsi="Arial"/>
                <w:sz w:val="12"/>
              </w:rPr>
            </w:pPr>
            <w:r w:rsidRPr="00300F75">
              <w:rPr>
                <w:rFonts w:ascii="Arial" w:hAnsi="Arial" w:cs="Arial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bottom"/>
          </w:tcPr>
          <w:p w14:paraId="31C1BB15" w14:textId="77777777" w:rsidR="00A55EB5" w:rsidRPr="00300F75" w:rsidRDefault="00A55EB5" w:rsidP="00F9060B">
            <w:pPr>
              <w:jc w:val="center"/>
              <w:rPr>
                <w:rFonts w:ascii="Arial" w:hAnsi="Arial"/>
                <w:sz w:val="12"/>
              </w:rPr>
            </w:pPr>
          </w:p>
          <w:p w14:paraId="7032EF24" w14:textId="77777777" w:rsidR="00A55EB5" w:rsidRPr="00300F75" w:rsidRDefault="00A55EB5" w:rsidP="00F9060B">
            <w:pPr>
              <w:jc w:val="center"/>
              <w:rPr>
                <w:rFonts w:ascii="Arial" w:hAnsi="Arial"/>
                <w:sz w:val="12"/>
              </w:rPr>
            </w:pPr>
          </w:p>
          <w:p w14:paraId="6D0D2219" w14:textId="77777777" w:rsidR="00A55EB5" w:rsidRPr="00300F75" w:rsidRDefault="00A55EB5" w:rsidP="00F9060B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300F75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BE21A2F" w14:textId="77777777" w:rsidR="00A55EB5" w:rsidRPr="00300F75" w:rsidRDefault="00A55EB5" w:rsidP="00F9060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CCC22C0" w14:textId="2FE25249" w:rsidR="004E3353" w:rsidRPr="00300F75" w:rsidRDefault="000E3956" w:rsidP="000E3956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2, 2020</w:t>
      </w:r>
    </w:p>
    <w:p w14:paraId="7E888CDB" w14:textId="3EF46D40" w:rsidR="00A254B2" w:rsidRPr="00300F75" w:rsidRDefault="009D172A" w:rsidP="0054768F">
      <w:pPr>
        <w:jc w:val="right"/>
        <w:rPr>
          <w:sz w:val="24"/>
          <w:szCs w:val="24"/>
        </w:rPr>
      </w:pPr>
      <w:r w:rsidRPr="00300F75">
        <w:rPr>
          <w:sz w:val="24"/>
          <w:szCs w:val="24"/>
        </w:rPr>
        <w:t>Docket No</w:t>
      </w:r>
      <w:r w:rsidR="00CC1D97" w:rsidRPr="00300F75">
        <w:rPr>
          <w:sz w:val="24"/>
          <w:szCs w:val="24"/>
        </w:rPr>
        <w:t>s</w:t>
      </w:r>
      <w:r w:rsidRPr="00300F75">
        <w:rPr>
          <w:sz w:val="24"/>
          <w:szCs w:val="24"/>
        </w:rPr>
        <w:t xml:space="preserve">. </w:t>
      </w:r>
      <w:r w:rsidR="00A254B2" w:rsidRPr="00300F75">
        <w:rPr>
          <w:sz w:val="24"/>
          <w:szCs w:val="24"/>
        </w:rPr>
        <w:t>A</w:t>
      </w:r>
      <w:r w:rsidRPr="00300F75">
        <w:rPr>
          <w:sz w:val="24"/>
          <w:szCs w:val="24"/>
        </w:rPr>
        <w:t>-20</w:t>
      </w:r>
      <w:r w:rsidR="00A254B2" w:rsidRPr="00300F75">
        <w:rPr>
          <w:sz w:val="24"/>
          <w:szCs w:val="24"/>
        </w:rPr>
        <w:t>19-3008733</w:t>
      </w:r>
      <w:r w:rsidR="00A80D62">
        <w:rPr>
          <w:sz w:val="24"/>
          <w:szCs w:val="24"/>
        </w:rPr>
        <w:t>, et al.</w:t>
      </w:r>
    </w:p>
    <w:p w14:paraId="648DBAED" w14:textId="129575AD" w:rsidR="00A55EB5" w:rsidRPr="00300F75" w:rsidRDefault="009D172A" w:rsidP="00A254B2">
      <w:pPr>
        <w:jc w:val="right"/>
        <w:rPr>
          <w:sz w:val="24"/>
          <w:szCs w:val="24"/>
        </w:rPr>
      </w:pPr>
      <w:r w:rsidRPr="00300F75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00F75">
        <w:rPr>
          <w:sz w:val="24"/>
          <w:szCs w:val="24"/>
        </w:rPr>
        <w:instrText xml:space="preserve"> FORMTEXT </w:instrText>
      </w:r>
      <w:r w:rsidR="00AC7012">
        <w:rPr>
          <w:sz w:val="24"/>
          <w:szCs w:val="24"/>
        </w:rPr>
      </w:r>
      <w:r w:rsidR="00AC7012">
        <w:rPr>
          <w:sz w:val="24"/>
          <w:szCs w:val="24"/>
        </w:rPr>
        <w:fldChar w:fldCharType="separate"/>
      </w:r>
      <w:r w:rsidRPr="00300F75">
        <w:rPr>
          <w:sz w:val="24"/>
          <w:szCs w:val="24"/>
        </w:rPr>
        <w:fldChar w:fldCharType="end"/>
      </w:r>
      <w:r w:rsidRPr="00300F75">
        <w:rPr>
          <w:sz w:val="24"/>
          <w:szCs w:val="24"/>
        </w:rPr>
        <w:t xml:space="preserve">Utility Code: </w:t>
      </w:r>
      <w:r w:rsidR="00A254B2" w:rsidRPr="00300F75">
        <w:rPr>
          <w:sz w:val="24"/>
          <w:szCs w:val="24"/>
        </w:rPr>
        <w:t>3122001</w:t>
      </w:r>
    </w:p>
    <w:p w14:paraId="50FF6F58" w14:textId="77777777" w:rsidR="00B35918" w:rsidRPr="00300F75" w:rsidRDefault="00B35918" w:rsidP="00B35918">
      <w:pPr>
        <w:rPr>
          <w:sz w:val="24"/>
          <w:szCs w:val="24"/>
        </w:rPr>
      </w:pPr>
      <w:r w:rsidRPr="00300F75">
        <w:rPr>
          <w:sz w:val="24"/>
          <w:szCs w:val="24"/>
        </w:rPr>
        <w:t>MARK FOSTER</w:t>
      </w:r>
    </w:p>
    <w:p w14:paraId="725F5C6E" w14:textId="77777777" w:rsidR="00B35918" w:rsidRPr="00300F75" w:rsidRDefault="00B35918" w:rsidP="00B35918">
      <w:pPr>
        <w:rPr>
          <w:sz w:val="24"/>
          <w:szCs w:val="24"/>
        </w:rPr>
      </w:pPr>
      <w:r w:rsidRPr="00300F75">
        <w:rPr>
          <w:sz w:val="24"/>
          <w:szCs w:val="24"/>
        </w:rPr>
        <w:t>FOSTERDANOWSKY LLP</w:t>
      </w:r>
    </w:p>
    <w:p w14:paraId="4F69E384" w14:textId="77777777" w:rsidR="00B35918" w:rsidRPr="00300F75" w:rsidRDefault="00B35918" w:rsidP="00B35918">
      <w:pPr>
        <w:rPr>
          <w:sz w:val="24"/>
          <w:szCs w:val="24"/>
        </w:rPr>
      </w:pPr>
      <w:r w:rsidRPr="00300F75">
        <w:rPr>
          <w:sz w:val="24"/>
          <w:szCs w:val="24"/>
        </w:rPr>
        <w:t>904 WEST AVENUE SUITE 107</w:t>
      </w:r>
    </w:p>
    <w:p w14:paraId="2C4A2D06" w14:textId="77777777" w:rsidR="00B35918" w:rsidRPr="00300F75" w:rsidRDefault="00B35918" w:rsidP="00B35918">
      <w:pPr>
        <w:rPr>
          <w:sz w:val="24"/>
          <w:szCs w:val="24"/>
        </w:rPr>
      </w:pPr>
      <w:r w:rsidRPr="00300F75">
        <w:rPr>
          <w:sz w:val="24"/>
          <w:szCs w:val="24"/>
        </w:rPr>
        <w:t>AUSTIN TX 78701</w:t>
      </w:r>
    </w:p>
    <w:p w14:paraId="460C3D3C" w14:textId="77777777" w:rsidR="00BF2405" w:rsidRPr="00A80D62" w:rsidRDefault="00BF2405" w:rsidP="00471FEB">
      <w:pPr>
        <w:ind w:left="1440" w:hanging="720"/>
        <w:jc w:val="both"/>
        <w:rPr>
          <w:sz w:val="24"/>
          <w:szCs w:val="24"/>
        </w:rPr>
      </w:pPr>
    </w:p>
    <w:p w14:paraId="26FBED54" w14:textId="19A0B9FF" w:rsidR="00873EAE" w:rsidRPr="00A80D62" w:rsidRDefault="00471FEB" w:rsidP="00471FEB">
      <w:pPr>
        <w:ind w:left="1440" w:hanging="720"/>
        <w:jc w:val="both"/>
        <w:rPr>
          <w:sz w:val="24"/>
          <w:szCs w:val="24"/>
        </w:rPr>
      </w:pPr>
      <w:r w:rsidRPr="00A80D62">
        <w:rPr>
          <w:sz w:val="24"/>
          <w:szCs w:val="24"/>
        </w:rPr>
        <w:t xml:space="preserve">Re:  </w:t>
      </w:r>
      <w:r w:rsidR="00771EC9" w:rsidRPr="00A80D62">
        <w:rPr>
          <w:sz w:val="24"/>
          <w:szCs w:val="24"/>
        </w:rPr>
        <w:t>One Year Timef</w:t>
      </w:r>
      <w:r w:rsidR="00873EAE" w:rsidRPr="00A80D62">
        <w:rPr>
          <w:sz w:val="24"/>
          <w:szCs w:val="24"/>
        </w:rPr>
        <w:t xml:space="preserve">rame to Provide Service </w:t>
      </w:r>
    </w:p>
    <w:p w14:paraId="29CC7EDE" w14:textId="3CA7D75D" w:rsidR="00A55EB5" w:rsidRPr="00A80D62" w:rsidRDefault="00A55EB5" w:rsidP="0054768F">
      <w:pPr>
        <w:ind w:left="720"/>
        <w:rPr>
          <w:sz w:val="24"/>
          <w:szCs w:val="24"/>
        </w:rPr>
      </w:pPr>
    </w:p>
    <w:p w14:paraId="77EE3FC0" w14:textId="760B0AE8" w:rsidR="00851E23" w:rsidRPr="00A80D62" w:rsidRDefault="0058661B" w:rsidP="00CC1D97">
      <w:pPr>
        <w:pStyle w:val="Default"/>
        <w:rPr>
          <w:color w:val="auto"/>
        </w:rPr>
      </w:pPr>
      <w:r w:rsidRPr="00A80D62">
        <w:rPr>
          <w:color w:val="auto"/>
        </w:rPr>
        <w:tab/>
      </w:r>
      <w:r w:rsidR="00771EC9" w:rsidRPr="00A80D62">
        <w:rPr>
          <w:color w:val="auto"/>
        </w:rPr>
        <w:t xml:space="preserve">By order </w:t>
      </w:r>
      <w:r w:rsidRPr="00A80D62">
        <w:rPr>
          <w:color w:val="auto"/>
        </w:rPr>
        <w:t>entered July 19, 2012, the Commission instituted a</w:t>
      </w:r>
      <w:r w:rsidR="00F15017" w:rsidRPr="00A80D62">
        <w:rPr>
          <w:color w:val="auto"/>
        </w:rPr>
        <w:t xml:space="preserve"> one-year timeframe requirement for</w:t>
      </w:r>
      <w:r w:rsidRPr="00A80D62">
        <w:rPr>
          <w:color w:val="auto"/>
        </w:rPr>
        <w:t xml:space="preserve"> Pennsylvania telecommunications carriers</w:t>
      </w:r>
      <w:r w:rsidR="00F15017" w:rsidRPr="00A80D62">
        <w:rPr>
          <w:color w:val="auto"/>
        </w:rPr>
        <w:t xml:space="preserve"> to</w:t>
      </w:r>
      <w:r w:rsidRPr="00A80D62">
        <w:rPr>
          <w:color w:val="auto"/>
        </w:rPr>
        <w:t xml:space="preserve"> begin providing intrastate service</w:t>
      </w:r>
      <w:r w:rsidR="00F15017" w:rsidRPr="00A80D62">
        <w:rPr>
          <w:color w:val="auto"/>
        </w:rPr>
        <w:t>s.</w:t>
      </w:r>
      <w:r w:rsidR="00F15017" w:rsidRPr="00A80D62">
        <w:rPr>
          <w:rStyle w:val="FootnoteReference"/>
          <w:color w:val="auto"/>
        </w:rPr>
        <w:footnoteReference w:id="1"/>
      </w:r>
      <w:r w:rsidR="00F15017" w:rsidRPr="00A80D62">
        <w:rPr>
          <w:color w:val="auto"/>
        </w:rPr>
        <w:t xml:space="preserve"> </w:t>
      </w:r>
      <w:r w:rsidR="00A55EB5" w:rsidRPr="00A80D62">
        <w:rPr>
          <w:color w:val="auto"/>
        </w:rPr>
        <w:t xml:space="preserve"> </w:t>
      </w:r>
      <w:r w:rsidR="00B57EE9" w:rsidRPr="00A80D62">
        <w:rPr>
          <w:color w:val="auto"/>
        </w:rPr>
        <w:t>On</w:t>
      </w:r>
      <w:r w:rsidR="00CC1D97" w:rsidRPr="00A80D62">
        <w:rPr>
          <w:color w:val="auto"/>
        </w:rPr>
        <w:t xml:space="preserve"> </w:t>
      </w:r>
      <w:r w:rsidR="00E40224" w:rsidRPr="00A80D62">
        <w:rPr>
          <w:color w:val="auto"/>
        </w:rPr>
        <w:t>April 22, 2020</w:t>
      </w:r>
      <w:r w:rsidR="00851E23" w:rsidRPr="00A80D62">
        <w:rPr>
          <w:color w:val="auto"/>
        </w:rPr>
        <w:t>,</w:t>
      </w:r>
      <w:r w:rsidR="00E40224" w:rsidRPr="00A80D62">
        <w:rPr>
          <w:color w:val="auto"/>
        </w:rPr>
        <w:t xml:space="preserve"> </w:t>
      </w:r>
      <w:proofErr w:type="spellStart"/>
      <w:r w:rsidR="00851E23" w:rsidRPr="00A80D62">
        <w:rPr>
          <w:color w:val="auto"/>
        </w:rPr>
        <w:t>WAN</w:t>
      </w:r>
      <w:r w:rsidR="00A80D62" w:rsidRPr="00A80D62">
        <w:rPr>
          <w:color w:val="auto"/>
        </w:rPr>
        <w:t>R</w:t>
      </w:r>
      <w:r w:rsidR="00851E23" w:rsidRPr="00A80D62">
        <w:rPr>
          <w:color w:val="auto"/>
        </w:rPr>
        <w:t>ack</w:t>
      </w:r>
      <w:proofErr w:type="spellEnd"/>
      <w:r w:rsidR="00851E23" w:rsidRPr="00A80D62">
        <w:rPr>
          <w:color w:val="auto"/>
        </w:rPr>
        <w:t xml:space="preserve">, LLC </w:t>
      </w:r>
      <w:r w:rsidR="00A80D62">
        <w:rPr>
          <w:color w:val="auto"/>
        </w:rPr>
        <w:t xml:space="preserve">(Company) </w:t>
      </w:r>
      <w:r w:rsidR="00851E23" w:rsidRPr="00A80D62">
        <w:rPr>
          <w:color w:val="auto"/>
        </w:rPr>
        <w:t>filed a Motion for Extension to Provide Service as Described in Docket No. M-2011-2273119 regarding the above</w:t>
      </w:r>
      <w:r w:rsidR="00A80D62" w:rsidRPr="00A80D62">
        <w:rPr>
          <w:color w:val="auto"/>
        </w:rPr>
        <w:t>-</w:t>
      </w:r>
      <w:r w:rsidR="00851E23" w:rsidRPr="00A80D62">
        <w:rPr>
          <w:color w:val="auto"/>
        </w:rPr>
        <w:t>mentioned one</w:t>
      </w:r>
      <w:r w:rsidR="00A80D62">
        <w:rPr>
          <w:color w:val="auto"/>
        </w:rPr>
        <w:t>-</w:t>
      </w:r>
      <w:r w:rsidR="00851E23" w:rsidRPr="00A80D62">
        <w:rPr>
          <w:color w:val="auto"/>
        </w:rPr>
        <w:t xml:space="preserve">year timeframe requirement. </w:t>
      </w:r>
      <w:r w:rsidR="00CC1D97" w:rsidRPr="00A80D62">
        <w:rPr>
          <w:color w:val="auto"/>
        </w:rPr>
        <w:t xml:space="preserve"> </w:t>
      </w:r>
    </w:p>
    <w:p w14:paraId="1C37ABA2" w14:textId="77777777" w:rsidR="004A62BC" w:rsidRPr="00300F75" w:rsidRDefault="004A62BC" w:rsidP="00B57EE9">
      <w:pPr>
        <w:pStyle w:val="Heading1"/>
        <w:rPr>
          <w:szCs w:val="24"/>
        </w:rPr>
      </w:pPr>
    </w:p>
    <w:p w14:paraId="1EC025FE" w14:textId="2F138850" w:rsidR="00513B9A" w:rsidRPr="00300F75" w:rsidRDefault="00851E23" w:rsidP="00513B9A">
      <w:pPr>
        <w:ind w:firstLine="720"/>
        <w:rPr>
          <w:sz w:val="24"/>
          <w:szCs w:val="24"/>
        </w:rPr>
      </w:pPr>
      <w:r w:rsidRPr="00300F75">
        <w:rPr>
          <w:sz w:val="24"/>
          <w:szCs w:val="24"/>
        </w:rPr>
        <w:t>T</w:t>
      </w:r>
      <w:r w:rsidR="002F4FCA" w:rsidRPr="00300F75">
        <w:rPr>
          <w:sz w:val="24"/>
          <w:szCs w:val="24"/>
        </w:rPr>
        <w:t xml:space="preserve">he </w:t>
      </w:r>
      <w:r w:rsidR="000D4F97" w:rsidRPr="00300F75">
        <w:rPr>
          <w:sz w:val="24"/>
          <w:szCs w:val="24"/>
        </w:rPr>
        <w:t>C</w:t>
      </w:r>
      <w:r w:rsidR="00513B9A" w:rsidRPr="00300F75">
        <w:rPr>
          <w:sz w:val="24"/>
          <w:szCs w:val="24"/>
        </w:rPr>
        <w:t>ompany</w:t>
      </w:r>
      <w:r w:rsidR="00CC1D97" w:rsidRPr="00300F75">
        <w:rPr>
          <w:sz w:val="24"/>
          <w:szCs w:val="24"/>
        </w:rPr>
        <w:t xml:space="preserve"> </w:t>
      </w:r>
      <w:r w:rsidR="00513B9A" w:rsidRPr="00300F75">
        <w:rPr>
          <w:sz w:val="24"/>
          <w:szCs w:val="24"/>
        </w:rPr>
        <w:t>requested an</w:t>
      </w:r>
      <w:r w:rsidR="00074E63" w:rsidRPr="00300F75">
        <w:rPr>
          <w:sz w:val="24"/>
          <w:szCs w:val="24"/>
        </w:rPr>
        <w:t xml:space="preserve"> </w:t>
      </w:r>
      <w:r w:rsidR="00B57EE9" w:rsidRPr="00300F75">
        <w:rPr>
          <w:sz w:val="24"/>
          <w:szCs w:val="24"/>
        </w:rPr>
        <w:t>extension of</w:t>
      </w:r>
      <w:r w:rsidR="00480360" w:rsidRPr="00300F75">
        <w:rPr>
          <w:sz w:val="24"/>
          <w:szCs w:val="24"/>
        </w:rPr>
        <w:t xml:space="preserve"> time to comply with the timeframe requirement.</w:t>
      </w:r>
      <w:r w:rsidR="00771EC9" w:rsidRPr="00300F75">
        <w:rPr>
          <w:sz w:val="24"/>
          <w:szCs w:val="24"/>
        </w:rPr>
        <w:t xml:space="preserve"> </w:t>
      </w:r>
      <w:r w:rsidR="007B06D7" w:rsidRPr="00300F75">
        <w:rPr>
          <w:sz w:val="24"/>
          <w:szCs w:val="24"/>
        </w:rPr>
        <w:t xml:space="preserve"> </w:t>
      </w:r>
      <w:r w:rsidR="00513B9A" w:rsidRPr="00300F75">
        <w:rPr>
          <w:sz w:val="24"/>
          <w:szCs w:val="24"/>
        </w:rPr>
        <w:t>Consisten</w:t>
      </w:r>
      <w:r w:rsidR="00961865" w:rsidRPr="00300F75">
        <w:rPr>
          <w:sz w:val="24"/>
          <w:szCs w:val="24"/>
        </w:rPr>
        <w:t xml:space="preserve">t </w:t>
      </w:r>
      <w:r w:rsidR="00513B9A" w:rsidRPr="00300F75">
        <w:rPr>
          <w:sz w:val="24"/>
          <w:szCs w:val="24"/>
        </w:rPr>
        <w:t>with our July 2012 Order, the Company’s extension request included proof of active good faith efforts to begin providing intrastate services.  Therefore, we grant the Company a six</w:t>
      </w:r>
      <w:r w:rsidR="00A80D62">
        <w:rPr>
          <w:sz w:val="24"/>
          <w:szCs w:val="24"/>
        </w:rPr>
        <w:noBreakHyphen/>
      </w:r>
      <w:r w:rsidR="00513B9A" w:rsidRPr="00300F75">
        <w:rPr>
          <w:sz w:val="24"/>
          <w:szCs w:val="24"/>
        </w:rPr>
        <w:t>month extension from</w:t>
      </w:r>
      <w:r w:rsidR="00961865" w:rsidRPr="00300F75">
        <w:rPr>
          <w:sz w:val="24"/>
          <w:szCs w:val="24"/>
        </w:rPr>
        <w:t xml:space="preserve"> </w:t>
      </w:r>
      <w:r w:rsidR="00CC1D97" w:rsidRPr="00300F75">
        <w:rPr>
          <w:sz w:val="24"/>
          <w:szCs w:val="24"/>
        </w:rPr>
        <w:t>May 23</w:t>
      </w:r>
      <w:r w:rsidR="00961865" w:rsidRPr="00300F75">
        <w:rPr>
          <w:sz w:val="24"/>
          <w:szCs w:val="24"/>
        </w:rPr>
        <w:t>, 2020, through</w:t>
      </w:r>
      <w:r w:rsidR="00513B9A" w:rsidRPr="00300F75">
        <w:rPr>
          <w:sz w:val="24"/>
          <w:szCs w:val="24"/>
        </w:rPr>
        <w:t xml:space="preserve"> </w:t>
      </w:r>
      <w:r w:rsidR="00CC1D97" w:rsidRPr="00300F75">
        <w:rPr>
          <w:sz w:val="24"/>
          <w:szCs w:val="24"/>
        </w:rPr>
        <w:t xml:space="preserve">November 23, 2020, </w:t>
      </w:r>
      <w:r w:rsidR="00513B9A" w:rsidRPr="00300F75">
        <w:rPr>
          <w:sz w:val="24"/>
          <w:szCs w:val="24"/>
        </w:rPr>
        <w:t xml:space="preserve">to comply with the timeframe requirement. </w:t>
      </w:r>
    </w:p>
    <w:p w14:paraId="4C7E4755" w14:textId="77777777" w:rsidR="00DD0805" w:rsidRPr="00300F75" w:rsidRDefault="00DD0805" w:rsidP="00513B9A">
      <w:pPr>
        <w:rPr>
          <w:sz w:val="24"/>
          <w:szCs w:val="24"/>
        </w:rPr>
      </w:pPr>
    </w:p>
    <w:p w14:paraId="23835B5A" w14:textId="37E93FF6" w:rsidR="004E3353" w:rsidRPr="00300F75" w:rsidRDefault="00DD0805" w:rsidP="00471FEB">
      <w:pPr>
        <w:ind w:firstLine="720"/>
        <w:rPr>
          <w:sz w:val="24"/>
          <w:szCs w:val="24"/>
        </w:rPr>
      </w:pPr>
      <w:r w:rsidRPr="00300F75">
        <w:rPr>
          <w:sz w:val="24"/>
          <w:szCs w:val="24"/>
        </w:rPr>
        <w:t xml:space="preserve">The Company </w:t>
      </w:r>
      <w:r w:rsidR="00961865" w:rsidRPr="00300F75">
        <w:rPr>
          <w:sz w:val="24"/>
          <w:szCs w:val="24"/>
        </w:rPr>
        <w:t>is required to submit</w:t>
      </w:r>
      <w:r w:rsidR="00513B9A" w:rsidRPr="00300F75">
        <w:rPr>
          <w:sz w:val="24"/>
          <w:szCs w:val="24"/>
        </w:rPr>
        <w:t xml:space="preserve"> </w:t>
      </w:r>
      <w:r w:rsidRPr="00300F75">
        <w:rPr>
          <w:sz w:val="24"/>
          <w:szCs w:val="24"/>
        </w:rPr>
        <w:t>proof that it is providing intrastate service</w:t>
      </w:r>
      <w:r w:rsidR="00513B9A" w:rsidRPr="00300F75">
        <w:rPr>
          <w:sz w:val="24"/>
          <w:szCs w:val="24"/>
        </w:rPr>
        <w:t>s</w:t>
      </w:r>
      <w:r w:rsidR="00961865" w:rsidRPr="00300F75">
        <w:rPr>
          <w:sz w:val="24"/>
          <w:szCs w:val="24"/>
        </w:rPr>
        <w:t xml:space="preserve"> before the Company’s approved </w:t>
      </w:r>
      <w:r w:rsidR="00A80D62" w:rsidRPr="00300F75">
        <w:rPr>
          <w:sz w:val="24"/>
          <w:szCs w:val="24"/>
        </w:rPr>
        <w:t>six-month</w:t>
      </w:r>
      <w:r w:rsidR="00961865" w:rsidRPr="00300F75">
        <w:rPr>
          <w:sz w:val="24"/>
          <w:szCs w:val="24"/>
        </w:rPr>
        <w:t xml:space="preserve"> extension expires.</w:t>
      </w:r>
      <w:r w:rsidR="00513B9A" w:rsidRPr="00300F75">
        <w:rPr>
          <w:sz w:val="24"/>
          <w:szCs w:val="24"/>
        </w:rPr>
        <w:t xml:space="preserve">  The Company also has the option of filing </w:t>
      </w:r>
      <w:r w:rsidR="00CF406F" w:rsidRPr="00300F75">
        <w:rPr>
          <w:sz w:val="24"/>
          <w:szCs w:val="24"/>
        </w:rPr>
        <w:t xml:space="preserve">an application to abandon its </w:t>
      </w:r>
      <w:r w:rsidR="00040EBE" w:rsidRPr="00300F75">
        <w:rPr>
          <w:sz w:val="24"/>
          <w:szCs w:val="24"/>
        </w:rPr>
        <w:t>Certificate of Public Convenience (CPC)</w:t>
      </w:r>
      <w:r w:rsidR="00471FEB" w:rsidRPr="00300F75">
        <w:rPr>
          <w:sz w:val="24"/>
          <w:szCs w:val="24"/>
        </w:rPr>
        <w:t>.</w:t>
      </w:r>
      <w:r w:rsidR="00471FEB" w:rsidRPr="00300F75">
        <w:rPr>
          <w:rStyle w:val="FootnoteReference"/>
          <w:sz w:val="24"/>
          <w:szCs w:val="24"/>
        </w:rPr>
        <w:footnoteReference w:id="2"/>
      </w:r>
      <w:r w:rsidR="00471FEB" w:rsidRPr="00300F75">
        <w:rPr>
          <w:sz w:val="24"/>
          <w:szCs w:val="24"/>
        </w:rPr>
        <w:t xml:space="preserve">  </w:t>
      </w:r>
      <w:r w:rsidR="00074E63" w:rsidRPr="00300F75">
        <w:rPr>
          <w:sz w:val="24"/>
          <w:szCs w:val="24"/>
        </w:rPr>
        <w:t>F</w:t>
      </w:r>
      <w:r w:rsidR="00C2111A" w:rsidRPr="00300F75">
        <w:rPr>
          <w:sz w:val="24"/>
          <w:szCs w:val="24"/>
        </w:rPr>
        <w:t xml:space="preserve">ailure to </w:t>
      </w:r>
      <w:r w:rsidR="005A7554" w:rsidRPr="00300F75">
        <w:rPr>
          <w:sz w:val="24"/>
          <w:szCs w:val="24"/>
        </w:rPr>
        <w:t>co</w:t>
      </w:r>
      <w:r w:rsidR="00CF406F" w:rsidRPr="00300F75">
        <w:rPr>
          <w:sz w:val="24"/>
          <w:szCs w:val="24"/>
        </w:rPr>
        <w:t xml:space="preserve">mply </w:t>
      </w:r>
      <w:r w:rsidR="005A7554" w:rsidRPr="00300F75">
        <w:rPr>
          <w:sz w:val="24"/>
          <w:szCs w:val="24"/>
        </w:rPr>
        <w:t>with one of these options</w:t>
      </w:r>
      <w:r w:rsidR="002F652E" w:rsidRPr="00300F75">
        <w:rPr>
          <w:sz w:val="24"/>
          <w:szCs w:val="24"/>
        </w:rPr>
        <w:t xml:space="preserve"> will result in the matter being referred to Commission legal staff to</w:t>
      </w:r>
      <w:r w:rsidR="00516220" w:rsidRPr="00300F75">
        <w:rPr>
          <w:sz w:val="24"/>
          <w:szCs w:val="24"/>
        </w:rPr>
        <w:t xml:space="preserve"> draft a tentative order whereby the Company’s CPC</w:t>
      </w:r>
      <w:r w:rsidR="00961865" w:rsidRPr="00300F75">
        <w:rPr>
          <w:sz w:val="24"/>
          <w:szCs w:val="24"/>
        </w:rPr>
        <w:t>s</w:t>
      </w:r>
      <w:r w:rsidR="00516220" w:rsidRPr="00300F75">
        <w:rPr>
          <w:sz w:val="24"/>
          <w:szCs w:val="24"/>
        </w:rPr>
        <w:t xml:space="preserve"> will be revoked if the company is unable to demonstrate jurisdictional operations.</w:t>
      </w:r>
    </w:p>
    <w:p w14:paraId="01544C83" w14:textId="77777777" w:rsidR="004E3353" w:rsidRPr="00300F75" w:rsidRDefault="004E3353" w:rsidP="004E3353">
      <w:pPr>
        <w:ind w:firstLine="720"/>
        <w:rPr>
          <w:sz w:val="24"/>
          <w:szCs w:val="24"/>
        </w:rPr>
      </w:pPr>
    </w:p>
    <w:p w14:paraId="1A07F5A4" w14:textId="03C258F4" w:rsidR="005C2D1F" w:rsidRPr="00300F75" w:rsidRDefault="005C2D1F" w:rsidP="005C2D1F">
      <w:pPr>
        <w:pStyle w:val="BodyText"/>
        <w:ind w:firstLine="720"/>
        <w:rPr>
          <w:szCs w:val="24"/>
        </w:rPr>
      </w:pPr>
      <w:r w:rsidRPr="00300F75">
        <w:rPr>
          <w:szCs w:val="24"/>
        </w:rPr>
        <w:t xml:space="preserve">If you have any questions in this matter, please contact </w:t>
      </w:r>
      <w:r w:rsidR="00961865" w:rsidRPr="00300F75">
        <w:rPr>
          <w:szCs w:val="24"/>
        </w:rPr>
        <w:t>Bryan Mahla</w:t>
      </w:r>
      <w:r w:rsidRPr="00300F75">
        <w:rPr>
          <w:szCs w:val="24"/>
        </w:rPr>
        <w:t xml:space="preserve">, Telco Section, Bureau of Technical Utility Services at (717) </w:t>
      </w:r>
      <w:r w:rsidR="00961865" w:rsidRPr="00300F75">
        <w:rPr>
          <w:szCs w:val="24"/>
        </w:rPr>
        <w:t>717-787-6381.</w:t>
      </w:r>
      <w:r w:rsidRPr="00300F75">
        <w:rPr>
          <w:szCs w:val="24"/>
        </w:rPr>
        <w:t xml:space="preserve"> </w:t>
      </w:r>
    </w:p>
    <w:p w14:paraId="3E6742F6" w14:textId="77777777" w:rsidR="00873EAE" w:rsidRPr="00C21679" w:rsidRDefault="00873EAE" w:rsidP="00EC0177">
      <w:pPr>
        <w:rPr>
          <w:b/>
          <w:sz w:val="24"/>
          <w:szCs w:val="24"/>
          <w:u w:val="single"/>
        </w:rPr>
      </w:pPr>
    </w:p>
    <w:p w14:paraId="1A80A70E" w14:textId="0DFDE30E" w:rsidR="00873EAE" w:rsidRPr="00C21679" w:rsidRDefault="000E3956" w:rsidP="00EC017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0E826F" wp14:editId="129A049D">
            <wp:simplePos x="0" y="0"/>
            <wp:positionH relativeFrom="column">
              <wp:posOffset>2695575</wp:posOffset>
            </wp:positionH>
            <wp:positionV relativeFrom="paragraph">
              <wp:posOffset>9525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48">
        <w:rPr>
          <w:b/>
          <w:sz w:val="24"/>
          <w:szCs w:val="24"/>
        </w:rPr>
        <w:tab/>
      </w:r>
      <w:r w:rsidR="005F3848">
        <w:rPr>
          <w:b/>
          <w:sz w:val="24"/>
          <w:szCs w:val="24"/>
        </w:rPr>
        <w:tab/>
      </w:r>
      <w:r w:rsidR="005F3848">
        <w:rPr>
          <w:b/>
          <w:sz w:val="24"/>
          <w:szCs w:val="24"/>
        </w:rPr>
        <w:tab/>
      </w:r>
      <w:r w:rsidR="005F3848">
        <w:rPr>
          <w:b/>
          <w:sz w:val="24"/>
          <w:szCs w:val="24"/>
        </w:rPr>
        <w:tab/>
      </w:r>
      <w:bookmarkStart w:id="0" w:name="_GoBack"/>
      <w:bookmarkEnd w:id="0"/>
      <w:r w:rsidR="005F3848">
        <w:rPr>
          <w:b/>
          <w:sz w:val="24"/>
          <w:szCs w:val="24"/>
        </w:rPr>
        <w:tab/>
      </w:r>
      <w:r w:rsidR="005F3848">
        <w:rPr>
          <w:b/>
          <w:sz w:val="24"/>
          <w:szCs w:val="24"/>
        </w:rPr>
        <w:tab/>
      </w:r>
      <w:r w:rsidR="00873EAE" w:rsidRPr="00C21679">
        <w:rPr>
          <w:sz w:val="24"/>
          <w:szCs w:val="24"/>
        </w:rPr>
        <w:t>Sincerely,</w:t>
      </w:r>
    </w:p>
    <w:p w14:paraId="54959169" w14:textId="77777777" w:rsidR="00873EAE" w:rsidRDefault="00873EAE" w:rsidP="00EC0177">
      <w:pPr>
        <w:rPr>
          <w:sz w:val="24"/>
          <w:szCs w:val="24"/>
        </w:rPr>
      </w:pPr>
    </w:p>
    <w:p w14:paraId="08F8545F" w14:textId="77777777" w:rsidR="004E3353" w:rsidRPr="00C21679" w:rsidRDefault="004E3353" w:rsidP="00EC0177">
      <w:pPr>
        <w:rPr>
          <w:sz w:val="24"/>
          <w:szCs w:val="24"/>
        </w:rPr>
      </w:pPr>
    </w:p>
    <w:p w14:paraId="39C97137" w14:textId="77777777" w:rsidR="00873EAE" w:rsidRPr="00C21679" w:rsidRDefault="00873EAE" w:rsidP="00EC0177">
      <w:pPr>
        <w:rPr>
          <w:sz w:val="24"/>
          <w:szCs w:val="24"/>
        </w:rPr>
      </w:pPr>
    </w:p>
    <w:p w14:paraId="0009275F" w14:textId="4569B6B8" w:rsidR="00873EAE" w:rsidRPr="00C21679" w:rsidRDefault="005F3848" w:rsidP="00EC01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3EAE" w:rsidRPr="00C21679">
        <w:rPr>
          <w:sz w:val="24"/>
          <w:szCs w:val="24"/>
        </w:rPr>
        <w:t>Rosemary Chiavetta</w:t>
      </w:r>
    </w:p>
    <w:p w14:paraId="6DC3C09D" w14:textId="72310F7D" w:rsidR="00E40224" w:rsidRPr="003F67E4" w:rsidRDefault="005F3848" w:rsidP="003F67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3EAE" w:rsidRPr="00C21679">
        <w:rPr>
          <w:sz w:val="24"/>
          <w:szCs w:val="24"/>
        </w:rPr>
        <w:t>Secretary</w:t>
      </w:r>
    </w:p>
    <w:sectPr w:rsidR="00E40224" w:rsidRPr="003F67E4" w:rsidSect="004E3353">
      <w:type w:val="continuous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D7FBC" w14:textId="77777777" w:rsidR="00AC7012" w:rsidRDefault="00AC7012" w:rsidP="00EC0177">
      <w:r>
        <w:separator/>
      </w:r>
    </w:p>
  </w:endnote>
  <w:endnote w:type="continuationSeparator" w:id="0">
    <w:p w14:paraId="3343D762" w14:textId="77777777" w:rsidR="00AC7012" w:rsidRDefault="00AC7012" w:rsidP="00EC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46F5A" w14:textId="77777777" w:rsidR="00AC7012" w:rsidRDefault="00AC7012" w:rsidP="00EC0177">
      <w:r>
        <w:separator/>
      </w:r>
    </w:p>
  </w:footnote>
  <w:footnote w:type="continuationSeparator" w:id="0">
    <w:p w14:paraId="051473BA" w14:textId="77777777" w:rsidR="00AC7012" w:rsidRDefault="00AC7012" w:rsidP="00EC0177">
      <w:r>
        <w:continuationSeparator/>
      </w:r>
    </w:p>
  </w:footnote>
  <w:footnote w:id="1">
    <w:p w14:paraId="74B7E3D7" w14:textId="77777777" w:rsidR="00F15017" w:rsidRPr="00CF406F" w:rsidRDefault="00F15017" w:rsidP="00471FEB">
      <w:pPr>
        <w:pStyle w:val="FootnoteText"/>
      </w:pPr>
      <w:r w:rsidRPr="00CF406F">
        <w:rPr>
          <w:rStyle w:val="FootnoteReference"/>
        </w:rPr>
        <w:footnoteRef/>
      </w:r>
      <w:r w:rsidRPr="00CF406F">
        <w:t xml:space="preserve"> </w:t>
      </w:r>
      <w:r w:rsidRPr="00CF406F">
        <w:rPr>
          <w:i/>
        </w:rPr>
        <w:t>See Final Order Regarding the Commission’s Plan to Implement A one-Year Timeframe for Inactive Telecommunication Carriers to Provide Service On An Annual Basis Within the Commonwealth of Pennsylvania,</w:t>
      </w:r>
      <w:r w:rsidRPr="00CF406F">
        <w:t xml:space="preserve"> Docket No. M-2011-2273119 (Order entered July 19, 2012) (“July 2012 Order”).</w:t>
      </w:r>
    </w:p>
  </w:footnote>
  <w:footnote w:id="2">
    <w:p w14:paraId="4DACB441" w14:textId="77777777" w:rsidR="00471FEB" w:rsidRPr="001B13D3" w:rsidRDefault="00471FEB" w:rsidP="00471FEB">
      <w:pPr>
        <w:pStyle w:val="FootnoteText"/>
      </w:pPr>
      <w:r w:rsidRPr="00CF406F">
        <w:rPr>
          <w:rStyle w:val="FootnoteReference"/>
        </w:rPr>
        <w:footnoteRef/>
      </w:r>
      <w:r w:rsidRPr="00CF406F">
        <w:t xml:space="preserve"> </w:t>
      </w:r>
      <w:r w:rsidRPr="00CF406F">
        <w:rPr>
          <w:i/>
        </w:rPr>
        <w:t>See</w:t>
      </w:r>
      <w:r w:rsidRPr="00CF406F">
        <w:t xml:space="preserve"> 66 Pa. C.S. § 1102(a)(2).  A fee of $350 fee applies to abandonment applications. </w:t>
      </w:r>
      <w:r w:rsidRPr="00CF406F">
        <w:rPr>
          <w:i/>
        </w:rPr>
        <w:t xml:space="preserve"> See</w:t>
      </w:r>
      <w:r w:rsidRPr="00CF406F">
        <w:t xml:space="preserve"> 52 Pa. Code § 1.43.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77"/>
    <w:rsid w:val="00021AD6"/>
    <w:rsid w:val="00025FB2"/>
    <w:rsid w:val="00040EBE"/>
    <w:rsid w:val="00074E63"/>
    <w:rsid w:val="000A735C"/>
    <w:rsid w:val="000B728B"/>
    <w:rsid w:val="000C1763"/>
    <w:rsid w:val="000D4F97"/>
    <w:rsid w:val="000E3956"/>
    <w:rsid w:val="001067DC"/>
    <w:rsid w:val="00123798"/>
    <w:rsid w:val="0014643B"/>
    <w:rsid w:val="00163C3A"/>
    <w:rsid w:val="00170B41"/>
    <w:rsid w:val="0017307B"/>
    <w:rsid w:val="001747A1"/>
    <w:rsid w:val="00185045"/>
    <w:rsid w:val="001B13D3"/>
    <w:rsid w:val="00234266"/>
    <w:rsid w:val="0028101E"/>
    <w:rsid w:val="002F1FEA"/>
    <w:rsid w:val="002F4FCA"/>
    <w:rsid w:val="002F652E"/>
    <w:rsid w:val="00300F75"/>
    <w:rsid w:val="00302DB5"/>
    <w:rsid w:val="0030380F"/>
    <w:rsid w:val="00312389"/>
    <w:rsid w:val="00347A35"/>
    <w:rsid w:val="003E3F06"/>
    <w:rsid w:val="003F67E4"/>
    <w:rsid w:val="00445B7C"/>
    <w:rsid w:val="00461E68"/>
    <w:rsid w:val="00471FEB"/>
    <w:rsid w:val="00480360"/>
    <w:rsid w:val="00497947"/>
    <w:rsid w:val="004A62BC"/>
    <w:rsid w:val="004E3353"/>
    <w:rsid w:val="00513B9A"/>
    <w:rsid w:val="00516220"/>
    <w:rsid w:val="005368EA"/>
    <w:rsid w:val="0054768F"/>
    <w:rsid w:val="0058661B"/>
    <w:rsid w:val="005A7554"/>
    <w:rsid w:val="005C2D1F"/>
    <w:rsid w:val="005D3F11"/>
    <w:rsid w:val="005D5EEA"/>
    <w:rsid w:val="005F3848"/>
    <w:rsid w:val="006131DB"/>
    <w:rsid w:val="006208DD"/>
    <w:rsid w:val="006A42C9"/>
    <w:rsid w:val="00765541"/>
    <w:rsid w:val="00766809"/>
    <w:rsid w:val="00771EC9"/>
    <w:rsid w:val="00782952"/>
    <w:rsid w:val="007A326E"/>
    <w:rsid w:val="007B06D7"/>
    <w:rsid w:val="007B6837"/>
    <w:rsid w:val="00851E23"/>
    <w:rsid w:val="008620DC"/>
    <w:rsid w:val="00873EAE"/>
    <w:rsid w:val="009259AC"/>
    <w:rsid w:val="00941256"/>
    <w:rsid w:val="00961865"/>
    <w:rsid w:val="00992294"/>
    <w:rsid w:val="009B42B7"/>
    <w:rsid w:val="009D172A"/>
    <w:rsid w:val="00A254B2"/>
    <w:rsid w:val="00A529D0"/>
    <w:rsid w:val="00A55EB5"/>
    <w:rsid w:val="00A80D62"/>
    <w:rsid w:val="00AA3FBA"/>
    <w:rsid w:val="00AC7012"/>
    <w:rsid w:val="00AD19F5"/>
    <w:rsid w:val="00B1367E"/>
    <w:rsid w:val="00B35918"/>
    <w:rsid w:val="00B57EE9"/>
    <w:rsid w:val="00B615E6"/>
    <w:rsid w:val="00B856D0"/>
    <w:rsid w:val="00B8584A"/>
    <w:rsid w:val="00BF2405"/>
    <w:rsid w:val="00C160E1"/>
    <w:rsid w:val="00C2111A"/>
    <w:rsid w:val="00C21679"/>
    <w:rsid w:val="00C401A3"/>
    <w:rsid w:val="00C9589B"/>
    <w:rsid w:val="00CC1D97"/>
    <w:rsid w:val="00CC357F"/>
    <w:rsid w:val="00CC3707"/>
    <w:rsid w:val="00CF406F"/>
    <w:rsid w:val="00CF4D20"/>
    <w:rsid w:val="00CF74B7"/>
    <w:rsid w:val="00CF76DC"/>
    <w:rsid w:val="00D21AA2"/>
    <w:rsid w:val="00D25830"/>
    <w:rsid w:val="00DD0805"/>
    <w:rsid w:val="00DF36BE"/>
    <w:rsid w:val="00E40224"/>
    <w:rsid w:val="00E46373"/>
    <w:rsid w:val="00E518DC"/>
    <w:rsid w:val="00E71CA3"/>
    <w:rsid w:val="00E851CA"/>
    <w:rsid w:val="00EC0177"/>
    <w:rsid w:val="00EC2B32"/>
    <w:rsid w:val="00ED0DE7"/>
    <w:rsid w:val="00F15017"/>
    <w:rsid w:val="00F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776B"/>
  <w15:docId w15:val="{116586CB-DEC6-485F-BB68-07C9B49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653"/>
  </w:style>
  <w:style w:type="paragraph" w:styleId="Heading1">
    <w:name w:val="heading 1"/>
    <w:basedOn w:val="Normal"/>
    <w:next w:val="Normal"/>
    <w:qFormat/>
    <w:rsid w:val="007D265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D2653"/>
    <w:pPr>
      <w:keepNext/>
      <w:ind w:left="7200" w:hanging="25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2653"/>
    <w:rPr>
      <w:color w:val="0000FF"/>
      <w:u w:val="single"/>
    </w:rPr>
  </w:style>
  <w:style w:type="paragraph" w:styleId="BodyText">
    <w:name w:val="Body Text"/>
    <w:basedOn w:val="Normal"/>
    <w:rsid w:val="007D2653"/>
    <w:rPr>
      <w:sz w:val="24"/>
    </w:rPr>
  </w:style>
  <w:style w:type="character" w:styleId="FollowedHyperlink">
    <w:name w:val="FollowedHyperlink"/>
    <w:rsid w:val="00AF549D"/>
    <w:rPr>
      <w:color w:val="800080"/>
      <w:u w:val="single"/>
    </w:rPr>
  </w:style>
  <w:style w:type="paragraph" w:styleId="BalloonText">
    <w:name w:val="Balloon Text"/>
    <w:basedOn w:val="Normal"/>
    <w:semiHidden/>
    <w:rsid w:val="00D03CE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20149"/>
  </w:style>
  <w:style w:type="character" w:customStyle="1" w:styleId="FootnoteTextChar">
    <w:name w:val="Footnote Text Char"/>
    <w:basedOn w:val="DefaultParagraphFont"/>
    <w:link w:val="FootnoteText"/>
    <w:rsid w:val="00B20149"/>
  </w:style>
  <w:style w:type="character" w:styleId="FootnoteReference">
    <w:name w:val="footnote reference"/>
    <w:basedOn w:val="DefaultParagraphFont"/>
    <w:rsid w:val="00B20149"/>
    <w:rPr>
      <w:vertAlign w:val="superscript"/>
    </w:rPr>
  </w:style>
  <w:style w:type="paragraph" w:styleId="Header">
    <w:name w:val="header"/>
    <w:basedOn w:val="Normal"/>
    <w:link w:val="HeaderChar"/>
    <w:rsid w:val="00074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E63"/>
  </w:style>
  <w:style w:type="paragraph" w:styleId="Footer">
    <w:name w:val="footer"/>
    <w:basedOn w:val="Normal"/>
    <w:link w:val="FooterChar"/>
    <w:rsid w:val="00074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E63"/>
  </w:style>
  <w:style w:type="character" w:styleId="CommentReference">
    <w:name w:val="annotation reference"/>
    <w:basedOn w:val="DefaultParagraphFont"/>
    <w:rsid w:val="00ED0D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0DE7"/>
  </w:style>
  <w:style w:type="character" w:customStyle="1" w:styleId="CommentTextChar">
    <w:name w:val="Comment Text Char"/>
    <w:basedOn w:val="DefaultParagraphFont"/>
    <w:link w:val="CommentText"/>
    <w:rsid w:val="00ED0DE7"/>
  </w:style>
  <w:style w:type="paragraph" w:styleId="CommentSubject">
    <w:name w:val="annotation subject"/>
    <w:basedOn w:val="CommentText"/>
    <w:next w:val="CommentText"/>
    <w:link w:val="CommentSubjectChar"/>
    <w:rsid w:val="00ED0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0DE7"/>
    <w:rPr>
      <w:b/>
      <w:bCs/>
    </w:rPr>
  </w:style>
  <w:style w:type="paragraph" w:customStyle="1" w:styleId="Default">
    <w:name w:val="Default"/>
    <w:rsid w:val="00E402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B482C56-0963-48A0-9C3F-05119317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Smeltz, Hannah</dc:creator>
  <cp:lastModifiedBy>Wagner, Nathan R</cp:lastModifiedBy>
  <cp:revision>2</cp:revision>
  <cp:lastPrinted>2014-02-07T16:36:00Z</cp:lastPrinted>
  <dcterms:created xsi:type="dcterms:W3CDTF">2020-09-02T18:34:00Z</dcterms:created>
  <dcterms:modified xsi:type="dcterms:W3CDTF">2020-09-02T18:34:00Z</dcterms:modified>
</cp:coreProperties>
</file>