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D8DF6" w14:textId="77777777" w:rsidR="00D876DA" w:rsidRPr="00D876DA" w:rsidRDefault="00D876DA" w:rsidP="00D31364">
      <w:pPr>
        <w:tabs>
          <w:tab w:val="left" w:pos="5400"/>
          <w:tab w:val="right" w:pos="8640"/>
        </w:tabs>
        <w:contextualSpacing/>
        <w:jc w:val="center"/>
        <w:rPr>
          <w:rFonts w:eastAsia="Calibri"/>
          <w:b/>
          <w:sz w:val="24"/>
          <w:szCs w:val="24"/>
        </w:rPr>
      </w:pPr>
      <w:r w:rsidRPr="00D876DA">
        <w:rPr>
          <w:rFonts w:eastAsia="Calibri"/>
          <w:b/>
          <w:caps/>
          <w:sz w:val="24"/>
          <w:szCs w:val="24"/>
        </w:rPr>
        <w:t>Before the</w:t>
      </w:r>
    </w:p>
    <w:p w14:paraId="13FBE98B" w14:textId="77777777" w:rsidR="00D876DA" w:rsidRPr="00D876DA" w:rsidRDefault="00D876DA" w:rsidP="00D31364">
      <w:pPr>
        <w:jc w:val="center"/>
        <w:rPr>
          <w:rFonts w:eastAsia="Calibri"/>
          <w:b/>
          <w:sz w:val="24"/>
          <w:szCs w:val="24"/>
        </w:rPr>
      </w:pPr>
      <w:r w:rsidRPr="00D876DA">
        <w:rPr>
          <w:rFonts w:eastAsia="Calibri"/>
          <w:b/>
          <w:sz w:val="24"/>
          <w:szCs w:val="24"/>
        </w:rPr>
        <w:t>PENNSYLVANIA PUBLIC UTILITY COMMISSION</w:t>
      </w:r>
    </w:p>
    <w:p w14:paraId="423B3570" w14:textId="77777777" w:rsidR="00D876DA" w:rsidRPr="00D876DA" w:rsidRDefault="00D876DA" w:rsidP="00D31364">
      <w:pPr>
        <w:jc w:val="center"/>
        <w:rPr>
          <w:rFonts w:eastAsia="Calibri"/>
          <w:b/>
          <w:sz w:val="24"/>
          <w:szCs w:val="24"/>
        </w:rPr>
      </w:pPr>
    </w:p>
    <w:p w14:paraId="747DEF83" w14:textId="77777777" w:rsidR="00D876DA" w:rsidRPr="00D876DA" w:rsidRDefault="00D876DA" w:rsidP="00D31364">
      <w:pPr>
        <w:jc w:val="center"/>
        <w:rPr>
          <w:rFonts w:eastAsia="Calibri"/>
          <w:b/>
          <w:sz w:val="24"/>
          <w:szCs w:val="24"/>
        </w:rPr>
      </w:pPr>
    </w:p>
    <w:p w14:paraId="1E5A6F06" w14:textId="77777777" w:rsidR="00D876DA" w:rsidRPr="00D876DA" w:rsidRDefault="00D876DA" w:rsidP="00D31364">
      <w:pPr>
        <w:jc w:val="center"/>
        <w:rPr>
          <w:rFonts w:eastAsia="Calibri"/>
          <w:b/>
          <w:sz w:val="24"/>
          <w:szCs w:val="24"/>
          <w:u w:val="single"/>
        </w:rPr>
      </w:pPr>
    </w:p>
    <w:p w14:paraId="0E620B87" w14:textId="77777777" w:rsidR="00D876DA" w:rsidRPr="00D876DA" w:rsidRDefault="00D876DA" w:rsidP="00D31364">
      <w:pPr>
        <w:jc w:val="both"/>
        <w:rPr>
          <w:rFonts w:eastAsia="Calibri"/>
          <w:sz w:val="24"/>
          <w:szCs w:val="24"/>
        </w:rPr>
      </w:pPr>
      <w:r w:rsidRPr="00D876DA">
        <w:rPr>
          <w:rFonts w:eastAsia="Calibri"/>
          <w:sz w:val="24"/>
          <w:szCs w:val="24"/>
        </w:rPr>
        <w:t>Steve Magill and Betty Magill</w:t>
      </w:r>
      <w:r w:rsidRPr="00D876DA">
        <w:rPr>
          <w:rFonts w:eastAsia="Calibri"/>
          <w:sz w:val="24"/>
          <w:szCs w:val="24"/>
        </w:rPr>
        <w:tab/>
      </w:r>
      <w:r w:rsidRPr="00D876DA">
        <w:rPr>
          <w:rFonts w:eastAsia="Calibri"/>
          <w:sz w:val="24"/>
          <w:szCs w:val="24"/>
        </w:rPr>
        <w:tab/>
      </w:r>
      <w:r w:rsidRPr="00D876DA">
        <w:rPr>
          <w:rFonts w:eastAsia="Calibri"/>
          <w:sz w:val="24"/>
          <w:szCs w:val="24"/>
        </w:rPr>
        <w:tab/>
        <w:t>:</w:t>
      </w:r>
      <w:r w:rsidRPr="00D876DA">
        <w:rPr>
          <w:rFonts w:eastAsia="Calibri"/>
          <w:sz w:val="24"/>
          <w:szCs w:val="24"/>
        </w:rPr>
        <w:tab/>
      </w:r>
    </w:p>
    <w:p w14:paraId="6261056B" w14:textId="77777777" w:rsidR="00D876DA" w:rsidRPr="00D876DA" w:rsidRDefault="00D876DA" w:rsidP="00D31364">
      <w:pPr>
        <w:jc w:val="both"/>
        <w:rPr>
          <w:rFonts w:eastAsia="Calibri"/>
          <w:sz w:val="24"/>
          <w:szCs w:val="24"/>
        </w:rPr>
      </w:pP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t>:</w:t>
      </w:r>
    </w:p>
    <w:p w14:paraId="3F19CFBC" w14:textId="77777777" w:rsidR="00D876DA" w:rsidRPr="00D876DA" w:rsidRDefault="00D876DA" w:rsidP="00D31364">
      <w:pPr>
        <w:jc w:val="both"/>
        <w:rPr>
          <w:rFonts w:eastAsia="Calibri"/>
          <w:sz w:val="24"/>
          <w:szCs w:val="24"/>
        </w:rPr>
      </w:pPr>
      <w:r w:rsidRPr="00D876DA">
        <w:rPr>
          <w:rFonts w:eastAsia="Calibri"/>
          <w:sz w:val="24"/>
          <w:szCs w:val="24"/>
        </w:rPr>
        <w:tab/>
        <w:t>v.</w:t>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t>:</w:t>
      </w:r>
      <w:r w:rsidRPr="00D876DA">
        <w:rPr>
          <w:rFonts w:eastAsia="Calibri"/>
          <w:sz w:val="24"/>
          <w:szCs w:val="24"/>
        </w:rPr>
        <w:tab/>
      </w:r>
      <w:r w:rsidRPr="00D876DA">
        <w:rPr>
          <w:rFonts w:eastAsia="Calibri"/>
          <w:sz w:val="24"/>
          <w:szCs w:val="24"/>
        </w:rPr>
        <w:tab/>
        <w:t>C-2018-3005818</w:t>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r>
      <w:r w:rsidRPr="00D876DA">
        <w:rPr>
          <w:rFonts w:eastAsia="Calibri"/>
          <w:sz w:val="24"/>
          <w:szCs w:val="24"/>
        </w:rPr>
        <w:tab/>
        <w:t>:</w:t>
      </w:r>
    </w:p>
    <w:p w14:paraId="5C432E6B" w14:textId="77777777" w:rsidR="00D876DA" w:rsidRPr="00D876DA" w:rsidRDefault="00D876DA" w:rsidP="005602C5">
      <w:pPr>
        <w:jc w:val="both"/>
        <w:rPr>
          <w:rFonts w:eastAsia="Calibri"/>
          <w:sz w:val="24"/>
          <w:szCs w:val="24"/>
        </w:rPr>
      </w:pPr>
      <w:r w:rsidRPr="00D876DA">
        <w:rPr>
          <w:rFonts w:eastAsia="Calibri"/>
          <w:sz w:val="24"/>
          <w:szCs w:val="24"/>
        </w:rPr>
        <w:t xml:space="preserve">West Penn Power Company     </w:t>
      </w:r>
      <w:r w:rsidRPr="00D876DA">
        <w:rPr>
          <w:rFonts w:eastAsia="Calibri"/>
          <w:sz w:val="24"/>
          <w:szCs w:val="24"/>
        </w:rPr>
        <w:tab/>
      </w:r>
      <w:r w:rsidRPr="00D876DA">
        <w:rPr>
          <w:rFonts w:eastAsia="Calibri"/>
          <w:sz w:val="24"/>
          <w:szCs w:val="24"/>
        </w:rPr>
        <w:tab/>
      </w:r>
      <w:r w:rsidRPr="00D876DA">
        <w:rPr>
          <w:rFonts w:eastAsia="Calibri"/>
          <w:sz w:val="24"/>
          <w:szCs w:val="24"/>
        </w:rPr>
        <w:tab/>
        <w:t>:</w:t>
      </w:r>
    </w:p>
    <w:p w14:paraId="1858B7E2" w14:textId="77777777" w:rsidR="00D876DA" w:rsidRPr="00D876DA" w:rsidRDefault="00D876DA" w:rsidP="005602C5">
      <w:pPr>
        <w:jc w:val="both"/>
        <w:rPr>
          <w:rFonts w:eastAsia="Calibri"/>
          <w:sz w:val="24"/>
          <w:szCs w:val="24"/>
        </w:rPr>
      </w:pPr>
      <w:r w:rsidRPr="00D876DA">
        <w:rPr>
          <w:rFonts w:eastAsia="Calibri"/>
          <w:sz w:val="24"/>
          <w:szCs w:val="24"/>
        </w:rPr>
        <w:tab/>
      </w:r>
      <w:r w:rsidRPr="00D876DA">
        <w:rPr>
          <w:rFonts w:eastAsia="Calibri"/>
          <w:sz w:val="24"/>
          <w:szCs w:val="24"/>
        </w:rPr>
        <w:tab/>
      </w:r>
      <w:r w:rsidRPr="00D876DA">
        <w:rPr>
          <w:rFonts w:eastAsia="Calibri"/>
          <w:sz w:val="24"/>
          <w:szCs w:val="24"/>
        </w:rPr>
        <w:tab/>
      </w:r>
    </w:p>
    <w:p w14:paraId="1E9319FE" w14:textId="77777777" w:rsidR="00D876DA" w:rsidRPr="00D876DA" w:rsidRDefault="00D876DA" w:rsidP="005602C5">
      <w:pPr>
        <w:jc w:val="center"/>
        <w:rPr>
          <w:rFonts w:eastAsia="Calibri"/>
          <w:b/>
          <w:sz w:val="24"/>
          <w:szCs w:val="24"/>
          <w:u w:val="single"/>
        </w:rPr>
      </w:pPr>
    </w:p>
    <w:p w14:paraId="0C58E44B" w14:textId="77777777" w:rsidR="00D876DA" w:rsidRPr="00D876DA" w:rsidRDefault="00D876DA" w:rsidP="005602C5">
      <w:pPr>
        <w:jc w:val="center"/>
        <w:rPr>
          <w:rFonts w:eastAsia="Calibri"/>
          <w:b/>
          <w:sz w:val="24"/>
          <w:szCs w:val="24"/>
          <w:u w:val="single"/>
        </w:rPr>
      </w:pPr>
    </w:p>
    <w:p w14:paraId="55C44371" w14:textId="1ACFF909" w:rsidR="005602C5" w:rsidRPr="005602C5" w:rsidRDefault="005602C5" w:rsidP="005602C5">
      <w:pPr>
        <w:tabs>
          <w:tab w:val="left" w:pos="720"/>
          <w:tab w:val="left" w:pos="1440"/>
        </w:tabs>
        <w:jc w:val="center"/>
        <w:textAlignment w:val="baseline"/>
        <w:rPr>
          <w:rFonts w:eastAsia="Times New Roman"/>
          <w:b/>
          <w:bCs/>
          <w:color w:val="000000"/>
          <w:spacing w:val="-1"/>
          <w:sz w:val="24"/>
        </w:rPr>
      </w:pPr>
      <w:r w:rsidRPr="005602C5">
        <w:rPr>
          <w:rFonts w:eastAsia="Times New Roman"/>
          <w:b/>
          <w:bCs/>
          <w:color w:val="000000"/>
          <w:spacing w:val="-1"/>
          <w:sz w:val="24"/>
        </w:rPr>
        <w:t>INTERIM ORDER</w:t>
      </w:r>
    </w:p>
    <w:p w14:paraId="0B49244B" w14:textId="69934594" w:rsidR="005602C5" w:rsidRPr="005602C5" w:rsidRDefault="005602C5" w:rsidP="005602C5">
      <w:pPr>
        <w:tabs>
          <w:tab w:val="left" w:pos="720"/>
          <w:tab w:val="left" w:pos="1440"/>
        </w:tabs>
        <w:jc w:val="center"/>
        <w:textAlignment w:val="baseline"/>
        <w:rPr>
          <w:rFonts w:eastAsia="Times New Roman"/>
          <w:b/>
          <w:bCs/>
          <w:color w:val="000000"/>
          <w:spacing w:val="-1"/>
          <w:sz w:val="24"/>
        </w:rPr>
      </w:pPr>
      <w:r w:rsidRPr="005602C5">
        <w:rPr>
          <w:rFonts w:eastAsia="Times New Roman"/>
          <w:b/>
          <w:bCs/>
          <w:color w:val="000000"/>
          <w:spacing w:val="-1"/>
          <w:sz w:val="24"/>
        </w:rPr>
        <w:t>RULING ON RESPONDENT’S OBJECTIONS</w:t>
      </w:r>
    </w:p>
    <w:p w14:paraId="42581C32" w14:textId="1C9E7AFA" w:rsidR="00100DC1" w:rsidRPr="005602C5" w:rsidRDefault="005602C5" w:rsidP="005602C5">
      <w:pPr>
        <w:tabs>
          <w:tab w:val="left" w:pos="720"/>
          <w:tab w:val="left" w:pos="1440"/>
        </w:tabs>
        <w:jc w:val="center"/>
        <w:textAlignment w:val="baseline"/>
        <w:rPr>
          <w:rFonts w:eastAsia="Times New Roman"/>
          <w:b/>
          <w:bCs/>
          <w:color w:val="000000"/>
          <w:spacing w:val="-1"/>
          <w:sz w:val="24"/>
          <w:u w:val="single"/>
        </w:rPr>
      </w:pPr>
      <w:r w:rsidRPr="005602C5">
        <w:rPr>
          <w:rFonts w:eastAsia="Times New Roman"/>
          <w:b/>
          <w:bCs/>
          <w:color w:val="000000"/>
          <w:spacing w:val="-1"/>
          <w:sz w:val="24"/>
          <w:u w:val="single"/>
        </w:rPr>
        <w:t>TO COMPLAINANTS’ LATE-FILED EXHIBITS</w:t>
      </w:r>
    </w:p>
    <w:p w14:paraId="06E08C56" w14:textId="77777777" w:rsidR="005602C5" w:rsidRPr="005602C5" w:rsidRDefault="005602C5" w:rsidP="005602C5">
      <w:pPr>
        <w:tabs>
          <w:tab w:val="left" w:pos="720"/>
          <w:tab w:val="left" w:pos="1440"/>
        </w:tabs>
        <w:spacing w:line="360" w:lineRule="auto"/>
        <w:jc w:val="center"/>
        <w:textAlignment w:val="baseline"/>
        <w:rPr>
          <w:rFonts w:eastAsia="Times New Roman"/>
          <w:b/>
          <w:bCs/>
          <w:color w:val="000000"/>
          <w:spacing w:val="-1"/>
          <w:sz w:val="24"/>
        </w:rPr>
      </w:pPr>
    </w:p>
    <w:p w14:paraId="187C1FAA" w14:textId="7F6EDF9E" w:rsidR="00D84739" w:rsidRDefault="00100DC1" w:rsidP="00D31364">
      <w:pPr>
        <w:tabs>
          <w:tab w:val="left" w:pos="720"/>
          <w:tab w:val="left" w:pos="1440"/>
        </w:tabs>
        <w:spacing w:line="360" w:lineRule="auto"/>
        <w:textAlignment w:val="baseline"/>
        <w:rPr>
          <w:rFonts w:eastAsia="Times New Roman"/>
          <w:color w:val="000000"/>
          <w:sz w:val="24"/>
        </w:rPr>
      </w:pPr>
      <w:r>
        <w:rPr>
          <w:rFonts w:eastAsia="Times New Roman"/>
          <w:color w:val="000000"/>
          <w:spacing w:val="-1"/>
          <w:sz w:val="24"/>
        </w:rPr>
        <w:tab/>
      </w:r>
      <w:r>
        <w:rPr>
          <w:rFonts w:eastAsia="Times New Roman"/>
          <w:color w:val="000000"/>
          <w:spacing w:val="-1"/>
          <w:sz w:val="24"/>
        </w:rPr>
        <w:tab/>
      </w:r>
      <w:r w:rsidR="00D84739">
        <w:rPr>
          <w:rFonts w:eastAsia="Times New Roman"/>
          <w:color w:val="000000"/>
          <w:spacing w:val="-1"/>
          <w:sz w:val="24"/>
        </w:rPr>
        <w:t xml:space="preserve">On May 7, 2020, a Prehearing Order was entered setting forth procedural rules and requirements for this proceeding, including the deadline of August 13, 2020, for the undersigned presiding officer and the </w:t>
      </w:r>
      <w:r w:rsidR="00D84739">
        <w:rPr>
          <w:rFonts w:eastAsia="Times New Roman"/>
          <w:color w:val="000000"/>
          <w:sz w:val="24"/>
        </w:rPr>
        <w:t>parties to receive hearing exhibits</w:t>
      </w:r>
      <w:r w:rsidR="002C742A">
        <w:rPr>
          <w:rFonts w:eastAsia="Times New Roman"/>
          <w:color w:val="000000"/>
          <w:sz w:val="24"/>
        </w:rPr>
        <w:t xml:space="preserve">.  </w:t>
      </w:r>
      <w:r w:rsidR="00D84739">
        <w:rPr>
          <w:rFonts w:eastAsia="Times New Roman"/>
          <w:color w:val="000000"/>
          <w:sz w:val="24"/>
        </w:rPr>
        <w:t>A Notice also was issued scheduling telephonic hearings for August 27-28, 2020.  On August 12, 2020, the undersigned presiding officer received Respondent’s proposed hearing exhibits.</w:t>
      </w:r>
    </w:p>
    <w:p w14:paraId="4299DE96" w14:textId="77777777" w:rsidR="00D31364" w:rsidRDefault="00D31364" w:rsidP="00D31364">
      <w:pPr>
        <w:tabs>
          <w:tab w:val="left" w:pos="720"/>
          <w:tab w:val="left" w:pos="1440"/>
        </w:tabs>
        <w:spacing w:line="360" w:lineRule="auto"/>
        <w:textAlignment w:val="baseline"/>
        <w:rPr>
          <w:rFonts w:eastAsia="Times New Roman"/>
          <w:color w:val="000000"/>
          <w:sz w:val="24"/>
        </w:rPr>
      </w:pPr>
    </w:p>
    <w:p w14:paraId="218BED5E" w14:textId="5B6A14AA" w:rsidR="00D84739" w:rsidRDefault="00D31364" w:rsidP="00D31364">
      <w:pPr>
        <w:tabs>
          <w:tab w:val="left" w:pos="720"/>
          <w:tab w:val="left" w:pos="1440"/>
        </w:tabs>
        <w:spacing w:line="360" w:lineRule="auto"/>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D84739">
        <w:rPr>
          <w:rFonts w:eastAsia="Times New Roman"/>
          <w:color w:val="000000"/>
          <w:sz w:val="24"/>
        </w:rPr>
        <w:t>On August 13, 2020, Complainants requested an extension until August 24, 2020, to submit their exhibits.  On August 14, 2020, an Interim Order was entered denying Complainants’ requested extension of the exhibit deadline.</w:t>
      </w:r>
    </w:p>
    <w:p w14:paraId="5D9A4000" w14:textId="77777777" w:rsidR="00D84739" w:rsidRDefault="00D84739" w:rsidP="00D31364">
      <w:pPr>
        <w:tabs>
          <w:tab w:val="left" w:pos="720"/>
          <w:tab w:val="left" w:pos="1440"/>
        </w:tabs>
        <w:spacing w:line="360" w:lineRule="auto"/>
        <w:textAlignment w:val="baseline"/>
        <w:rPr>
          <w:rFonts w:eastAsia="Times New Roman"/>
          <w:color w:val="000000"/>
          <w:sz w:val="24"/>
        </w:rPr>
      </w:pPr>
    </w:p>
    <w:p w14:paraId="6546E8E6" w14:textId="47BD5F5D" w:rsidR="00D84739" w:rsidRDefault="00D31364" w:rsidP="00D31364">
      <w:pPr>
        <w:tabs>
          <w:tab w:val="left" w:pos="720"/>
          <w:tab w:val="left" w:pos="1440"/>
        </w:tabs>
        <w:spacing w:line="360" w:lineRule="auto"/>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D84739">
        <w:rPr>
          <w:rFonts w:eastAsia="Times New Roman"/>
          <w:color w:val="000000"/>
          <w:sz w:val="24"/>
        </w:rPr>
        <w:t>On August 27, 2020, the telephonic hearing was held as scheduled</w:t>
      </w:r>
      <w:r w:rsidR="002C742A">
        <w:rPr>
          <w:rFonts w:eastAsia="Times New Roman"/>
          <w:color w:val="000000"/>
          <w:sz w:val="24"/>
        </w:rPr>
        <w:t xml:space="preserve">.  </w:t>
      </w:r>
      <w:r w:rsidR="00D84739">
        <w:rPr>
          <w:rFonts w:eastAsia="Times New Roman"/>
          <w:color w:val="000000"/>
          <w:sz w:val="24"/>
        </w:rPr>
        <w:t xml:space="preserve">At the hearing, </w:t>
      </w:r>
      <w:r w:rsidR="0059545E">
        <w:rPr>
          <w:rFonts w:eastAsia="Times New Roman"/>
          <w:color w:val="000000"/>
          <w:sz w:val="24"/>
        </w:rPr>
        <w:t>Complainants were p</w:t>
      </w:r>
      <w:r w:rsidR="00D84739">
        <w:rPr>
          <w:rFonts w:eastAsia="Times New Roman"/>
          <w:color w:val="000000"/>
          <w:sz w:val="24"/>
        </w:rPr>
        <w:t xml:space="preserve">ermitted to submit their exhibits by August 31, 2020, after which </w:t>
      </w:r>
      <w:r w:rsidR="0059545E">
        <w:rPr>
          <w:rFonts w:eastAsia="Times New Roman"/>
          <w:color w:val="000000"/>
          <w:sz w:val="24"/>
        </w:rPr>
        <w:t xml:space="preserve">Respondent was given a deadline of </w:t>
      </w:r>
      <w:r w:rsidR="00D84739">
        <w:rPr>
          <w:rFonts w:eastAsia="Times New Roman"/>
          <w:color w:val="000000"/>
          <w:sz w:val="24"/>
        </w:rPr>
        <w:t xml:space="preserve"> September 11, 2020, to serve the Company’s objections, if any, to those exhibits.</w:t>
      </w:r>
    </w:p>
    <w:p w14:paraId="3A51E48E" w14:textId="77777777" w:rsidR="005A2534" w:rsidRDefault="005A2534" w:rsidP="00D31364">
      <w:pPr>
        <w:tabs>
          <w:tab w:val="left" w:pos="1440"/>
        </w:tabs>
        <w:spacing w:line="360" w:lineRule="auto"/>
        <w:textAlignment w:val="baseline"/>
        <w:rPr>
          <w:rFonts w:eastAsia="Times New Roman"/>
          <w:color w:val="000000"/>
          <w:sz w:val="24"/>
        </w:rPr>
      </w:pPr>
    </w:p>
    <w:p w14:paraId="7A8823DB" w14:textId="6191D8C9" w:rsidR="00D84739" w:rsidRDefault="00D31364" w:rsidP="00D31364">
      <w:pPr>
        <w:tabs>
          <w:tab w:val="left" w:pos="1440"/>
        </w:tabs>
        <w:spacing w:line="360" w:lineRule="auto"/>
        <w:textAlignment w:val="baseline"/>
        <w:rPr>
          <w:rFonts w:eastAsia="Times New Roman"/>
          <w:color w:val="000000"/>
          <w:sz w:val="24"/>
        </w:rPr>
      </w:pPr>
      <w:r>
        <w:rPr>
          <w:rFonts w:eastAsia="Times New Roman"/>
          <w:color w:val="000000"/>
          <w:sz w:val="24"/>
        </w:rPr>
        <w:tab/>
      </w:r>
      <w:r w:rsidR="00D84739" w:rsidRPr="0059545E">
        <w:rPr>
          <w:rFonts w:eastAsia="Times New Roman"/>
          <w:color w:val="000000"/>
          <w:sz w:val="24"/>
        </w:rPr>
        <w:t>On August 28, 2020, the Complainants served their exhibits</w:t>
      </w:r>
      <w:r w:rsidR="002C742A" w:rsidRPr="0059545E">
        <w:rPr>
          <w:rFonts w:eastAsia="Times New Roman"/>
          <w:color w:val="000000"/>
          <w:sz w:val="24"/>
        </w:rPr>
        <w:t xml:space="preserve">.  </w:t>
      </w:r>
      <w:r w:rsidR="0059545E">
        <w:rPr>
          <w:rFonts w:eastAsia="Times New Roman"/>
          <w:color w:val="000000"/>
          <w:sz w:val="24"/>
        </w:rPr>
        <w:t xml:space="preserve">On September 11, 2020, Respondent filed its </w:t>
      </w:r>
      <w:r w:rsidR="00D84739">
        <w:rPr>
          <w:rFonts w:eastAsia="Times New Roman"/>
          <w:color w:val="000000"/>
          <w:sz w:val="24"/>
        </w:rPr>
        <w:t xml:space="preserve">Objections to the exhibits submitted by the Complainants </w:t>
      </w:r>
      <w:r w:rsidR="0059545E">
        <w:rPr>
          <w:rFonts w:eastAsia="Times New Roman"/>
          <w:color w:val="000000"/>
          <w:sz w:val="24"/>
        </w:rPr>
        <w:t>arguing th</w:t>
      </w:r>
      <w:r w:rsidR="00D84739">
        <w:rPr>
          <w:rFonts w:eastAsia="Times New Roman"/>
          <w:color w:val="000000"/>
          <w:sz w:val="24"/>
        </w:rPr>
        <w:t>ey are hearsay and not subject to a hearsay exception under the Pennsylvania Rules of Evidence</w:t>
      </w:r>
      <w:r w:rsidR="0059545E">
        <w:rPr>
          <w:rFonts w:eastAsia="Times New Roman"/>
          <w:color w:val="000000"/>
          <w:sz w:val="24"/>
        </w:rPr>
        <w:t xml:space="preserve">, </w:t>
      </w:r>
      <w:r w:rsidR="00D84739">
        <w:rPr>
          <w:rFonts w:eastAsia="Times New Roman"/>
          <w:color w:val="000000"/>
          <w:sz w:val="24"/>
        </w:rPr>
        <w:t xml:space="preserve">are </w:t>
      </w:r>
      <w:r w:rsidR="00D84739">
        <w:rPr>
          <w:rFonts w:eastAsia="Times New Roman"/>
          <w:color w:val="000000"/>
          <w:sz w:val="24"/>
        </w:rPr>
        <w:lastRenderedPageBreak/>
        <w:t>irrelevant, have not and cannot be authenticated by the Complainants, and are inherently unreliable.</w:t>
      </w:r>
    </w:p>
    <w:p w14:paraId="51798E04" w14:textId="77777777" w:rsidR="0059545E" w:rsidRDefault="0059545E" w:rsidP="00D31364">
      <w:pPr>
        <w:spacing w:line="360" w:lineRule="auto"/>
      </w:pPr>
    </w:p>
    <w:p w14:paraId="2C44101B" w14:textId="6E6176B1" w:rsidR="00D84739" w:rsidRDefault="00D31364" w:rsidP="00677E35">
      <w:pPr>
        <w:tabs>
          <w:tab w:val="left" w:pos="1440"/>
        </w:tabs>
        <w:spacing w:line="360" w:lineRule="auto"/>
        <w:textAlignment w:val="baseline"/>
        <w:rPr>
          <w:rFonts w:eastAsia="Times New Roman"/>
          <w:color w:val="000000"/>
          <w:sz w:val="24"/>
        </w:rPr>
      </w:pPr>
      <w:r>
        <w:rPr>
          <w:rFonts w:eastAsia="Times New Roman"/>
          <w:color w:val="000000"/>
          <w:sz w:val="24"/>
        </w:rPr>
        <w:tab/>
      </w:r>
      <w:r w:rsidR="00D84739">
        <w:rPr>
          <w:rFonts w:eastAsia="Times New Roman"/>
          <w:color w:val="000000"/>
          <w:sz w:val="24"/>
        </w:rPr>
        <w:t xml:space="preserve">The </w:t>
      </w:r>
      <w:r w:rsidR="00A433CE">
        <w:rPr>
          <w:rFonts w:eastAsia="Times New Roman"/>
          <w:color w:val="000000"/>
          <w:sz w:val="24"/>
        </w:rPr>
        <w:t xml:space="preserve">following summarizes the exhibits submitted by </w:t>
      </w:r>
      <w:r w:rsidR="00D84739">
        <w:rPr>
          <w:rFonts w:eastAsia="Times New Roman"/>
          <w:color w:val="000000"/>
          <w:sz w:val="24"/>
        </w:rPr>
        <w:t>Complainants</w:t>
      </w:r>
      <w:r w:rsidR="00A433CE">
        <w:rPr>
          <w:rFonts w:eastAsia="Times New Roman"/>
          <w:color w:val="000000"/>
          <w:sz w:val="24"/>
        </w:rPr>
        <w:t xml:space="preserve"> and the objections raised by Respondent</w:t>
      </w:r>
      <w:r w:rsidR="00D84739">
        <w:rPr>
          <w:rFonts w:eastAsia="Times New Roman"/>
          <w:color w:val="000000"/>
          <w:sz w:val="24"/>
        </w:rPr>
        <w:t>:</w:t>
      </w:r>
    </w:p>
    <w:p w14:paraId="47CD5589" w14:textId="77777777" w:rsidR="00D31364" w:rsidRDefault="00D31364" w:rsidP="00677E35">
      <w:pPr>
        <w:tabs>
          <w:tab w:val="left" w:pos="1440"/>
        </w:tabs>
        <w:spacing w:line="360" w:lineRule="auto"/>
        <w:textAlignment w:val="baseline"/>
        <w:rPr>
          <w:rFonts w:eastAsia="Times New Roman"/>
          <w:color w:val="000000"/>
          <w:sz w:val="24"/>
        </w:rPr>
      </w:pPr>
    </w:p>
    <w:p w14:paraId="4A2AA8C2" w14:textId="5CE79011" w:rsidR="00D84739" w:rsidRDefault="00D84739" w:rsidP="00677E35">
      <w:pPr>
        <w:numPr>
          <w:ilvl w:val="0"/>
          <w:numId w:val="6"/>
        </w:numPr>
        <w:tabs>
          <w:tab w:val="clear" w:pos="360"/>
          <w:tab w:val="left" w:pos="1080"/>
        </w:tabs>
        <w:ind w:left="1080" w:hanging="360"/>
        <w:textAlignment w:val="baseline"/>
        <w:rPr>
          <w:rFonts w:eastAsia="Times New Roman"/>
          <w:color w:val="000000"/>
          <w:sz w:val="24"/>
        </w:rPr>
      </w:pPr>
      <w:r>
        <w:rPr>
          <w:rFonts w:eastAsia="Times New Roman"/>
          <w:color w:val="000000"/>
          <w:sz w:val="24"/>
        </w:rPr>
        <w:t>Exhibit 1 – Document titled “Reducing Electrosmog &amp; Recovering from Electrohypersensitivity.”</w:t>
      </w:r>
      <w:r w:rsidR="00677E35">
        <w:rPr>
          <w:rFonts w:eastAsia="Times New Roman"/>
          <w:color w:val="000000"/>
          <w:sz w:val="24"/>
        </w:rPr>
        <w:br/>
      </w:r>
    </w:p>
    <w:p w14:paraId="61990938" w14:textId="3A8EB797" w:rsidR="00D84739" w:rsidRDefault="00D84739" w:rsidP="00677E35">
      <w:pPr>
        <w:ind w:left="1440"/>
        <w:textAlignment w:val="baseline"/>
        <w:rPr>
          <w:rFonts w:eastAsia="Times New Roman"/>
          <w:b/>
          <w:color w:val="000000"/>
          <w:sz w:val="24"/>
        </w:rPr>
      </w:pPr>
      <w:r>
        <w:rPr>
          <w:rFonts w:eastAsia="Times New Roman"/>
          <w:b/>
          <w:color w:val="000000"/>
          <w:sz w:val="24"/>
        </w:rPr>
        <w:t xml:space="preserve">Objections: </w:t>
      </w:r>
      <w:r>
        <w:rPr>
          <w:rFonts w:eastAsia="Times New Roman"/>
          <w:color w:val="000000"/>
          <w:sz w:val="24"/>
        </w:rPr>
        <w:t>(1) inadmissible hearsay opinions about medical and scientific issues; (2) improper medical and scientific expert opinion testimony by non-expert witness; (3) irrelevant; (4) lack authenticity; and (5) inherently unreliable.</w:t>
      </w:r>
      <w:r w:rsidR="00677E35">
        <w:rPr>
          <w:rFonts w:eastAsia="Times New Roman"/>
          <w:color w:val="000000"/>
          <w:sz w:val="24"/>
        </w:rPr>
        <w:br/>
      </w:r>
    </w:p>
    <w:p w14:paraId="47039504" w14:textId="1025E66A" w:rsidR="00D84739" w:rsidRDefault="00D84739" w:rsidP="00677E35">
      <w:pPr>
        <w:numPr>
          <w:ilvl w:val="0"/>
          <w:numId w:val="6"/>
        </w:numPr>
        <w:tabs>
          <w:tab w:val="clear" w:pos="360"/>
          <w:tab w:val="left" w:pos="1080"/>
        </w:tabs>
        <w:ind w:left="1080" w:hanging="360"/>
        <w:textAlignment w:val="baseline"/>
        <w:rPr>
          <w:rFonts w:eastAsia="Times New Roman"/>
          <w:color w:val="000000"/>
          <w:sz w:val="24"/>
        </w:rPr>
      </w:pPr>
      <w:r>
        <w:rPr>
          <w:rFonts w:eastAsia="Times New Roman"/>
          <w:color w:val="000000"/>
          <w:sz w:val="24"/>
        </w:rPr>
        <w:t>Exhibit 2 – Document titled “International Appeal: Scientists Call for Protection from Non-ionizing Electromagnetic Field Exposure.”</w:t>
      </w:r>
      <w:r w:rsidR="00677E35">
        <w:rPr>
          <w:rFonts w:eastAsia="Times New Roman"/>
          <w:color w:val="000000"/>
          <w:sz w:val="24"/>
        </w:rPr>
        <w:br/>
      </w:r>
    </w:p>
    <w:p w14:paraId="6F7894F7" w14:textId="190519B9" w:rsidR="00D84739" w:rsidRDefault="00D84739" w:rsidP="00677E35">
      <w:pPr>
        <w:ind w:left="1440"/>
        <w:textAlignment w:val="baseline"/>
        <w:rPr>
          <w:rFonts w:eastAsia="Times New Roman"/>
          <w:b/>
          <w:color w:val="000000"/>
          <w:sz w:val="24"/>
        </w:rPr>
      </w:pPr>
      <w:r>
        <w:rPr>
          <w:rFonts w:eastAsia="Times New Roman"/>
          <w:b/>
          <w:color w:val="000000"/>
          <w:sz w:val="24"/>
        </w:rPr>
        <w:t xml:space="preserve">Objections: </w:t>
      </w:r>
      <w:r>
        <w:rPr>
          <w:rFonts w:eastAsia="Times New Roman"/>
          <w:color w:val="000000"/>
          <w:sz w:val="24"/>
        </w:rPr>
        <w:t>(1) inadmissible hearsay opinions about medical and scientific issues; (2) improper medical and scientific expert opinion testimony by non-expert witness; (3) hearsay within hearsay; (4) irrelevant; (5) lack authenticity; and (6) inherently unreliable.</w:t>
      </w:r>
      <w:r w:rsidR="00677E35">
        <w:rPr>
          <w:rFonts w:eastAsia="Times New Roman"/>
          <w:color w:val="000000"/>
          <w:sz w:val="24"/>
        </w:rPr>
        <w:br/>
      </w:r>
    </w:p>
    <w:p w14:paraId="7FF7B1C0" w14:textId="73B87DEF" w:rsidR="00D84739" w:rsidRDefault="00D84739" w:rsidP="00677E35">
      <w:pPr>
        <w:numPr>
          <w:ilvl w:val="0"/>
          <w:numId w:val="6"/>
        </w:numPr>
        <w:tabs>
          <w:tab w:val="clear" w:pos="360"/>
          <w:tab w:val="left" w:pos="1080"/>
        </w:tabs>
        <w:ind w:left="1080" w:hanging="360"/>
        <w:textAlignment w:val="baseline"/>
        <w:rPr>
          <w:rFonts w:eastAsia="Times New Roman"/>
          <w:color w:val="000000"/>
          <w:sz w:val="24"/>
        </w:rPr>
      </w:pPr>
      <w:r>
        <w:rPr>
          <w:rFonts w:eastAsia="Times New Roman"/>
          <w:color w:val="000000"/>
          <w:sz w:val="24"/>
        </w:rPr>
        <w:t>Exhibit 3 – Document titled “Electromagnetic Pollution is a Neurotoxin.”</w:t>
      </w:r>
      <w:r w:rsidR="00677E35">
        <w:rPr>
          <w:rFonts w:eastAsia="Times New Roman"/>
          <w:color w:val="000000"/>
          <w:sz w:val="24"/>
        </w:rPr>
        <w:br/>
      </w:r>
    </w:p>
    <w:p w14:paraId="5C6B13DA" w14:textId="07C42EB7" w:rsidR="00D84739" w:rsidRDefault="00D84739" w:rsidP="00677E35">
      <w:pPr>
        <w:ind w:left="1440"/>
        <w:textAlignment w:val="baseline"/>
        <w:rPr>
          <w:rFonts w:eastAsia="Times New Roman"/>
          <w:b/>
          <w:color w:val="000000"/>
          <w:sz w:val="24"/>
        </w:rPr>
      </w:pPr>
      <w:r>
        <w:rPr>
          <w:rFonts w:eastAsia="Times New Roman"/>
          <w:b/>
          <w:color w:val="000000"/>
          <w:sz w:val="24"/>
        </w:rPr>
        <w:t xml:space="preserve">Objections: </w:t>
      </w:r>
      <w:r>
        <w:rPr>
          <w:rFonts w:eastAsia="Times New Roman"/>
          <w:color w:val="000000"/>
          <w:sz w:val="24"/>
        </w:rPr>
        <w:t>(1) inadmissible hearsay opinions about medical and scientific issues; (2) improper medical and scientific expert opinion testimony by non-expert witness; (3) hearsay within hearsay; (4) irrelevant; (5) lack authenticity; and (6) inherently unreliable.</w:t>
      </w:r>
      <w:r w:rsidR="00677E35">
        <w:rPr>
          <w:rFonts w:eastAsia="Times New Roman"/>
          <w:color w:val="000000"/>
          <w:sz w:val="24"/>
        </w:rPr>
        <w:br/>
      </w:r>
    </w:p>
    <w:p w14:paraId="12E56AD7" w14:textId="0C40E3BF" w:rsidR="00D84739" w:rsidRDefault="00D84739" w:rsidP="00677E35">
      <w:pPr>
        <w:numPr>
          <w:ilvl w:val="0"/>
          <w:numId w:val="6"/>
        </w:numPr>
        <w:tabs>
          <w:tab w:val="clear" w:pos="360"/>
          <w:tab w:val="left" w:pos="1080"/>
        </w:tabs>
        <w:ind w:left="1080" w:hanging="360"/>
        <w:textAlignment w:val="baseline"/>
        <w:rPr>
          <w:rFonts w:eastAsia="Times New Roman"/>
          <w:color w:val="000000"/>
          <w:sz w:val="24"/>
        </w:rPr>
      </w:pPr>
      <w:r>
        <w:rPr>
          <w:rFonts w:eastAsia="Times New Roman"/>
          <w:color w:val="000000"/>
          <w:sz w:val="24"/>
        </w:rPr>
        <w:t>Exhibit 4 – Document titled “IARC Classifies Radiofrequency Electromagnetic Fields as Possibly Carcinogenic to Humans.”</w:t>
      </w:r>
      <w:r w:rsidR="00677E35">
        <w:rPr>
          <w:rFonts w:eastAsia="Times New Roman"/>
          <w:color w:val="000000"/>
          <w:sz w:val="24"/>
        </w:rPr>
        <w:br/>
      </w:r>
    </w:p>
    <w:p w14:paraId="06406904" w14:textId="77777777" w:rsidR="00D84739" w:rsidRDefault="00D84739" w:rsidP="00677E35">
      <w:pPr>
        <w:ind w:left="1440"/>
        <w:textAlignment w:val="baseline"/>
        <w:rPr>
          <w:rFonts w:eastAsia="Times New Roman"/>
          <w:b/>
          <w:color w:val="000000"/>
          <w:spacing w:val="-1"/>
          <w:sz w:val="24"/>
        </w:rPr>
      </w:pPr>
      <w:r>
        <w:rPr>
          <w:rFonts w:eastAsia="Times New Roman"/>
          <w:b/>
          <w:color w:val="000000"/>
          <w:spacing w:val="-1"/>
          <w:sz w:val="24"/>
        </w:rPr>
        <w:t xml:space="preserve">Objections: </w:t>
      </w:r>
      <w:r>
        <w:rPr>
          <w:rFonts w:eastAsia="Times New Roman"/>
          <w:color w:val="000000"/>
          <w:spacing w:val="-1"/>
          <w:sz w:val="24"/>
        </w:rPr>
        <w:t>(1) inadmissible hearsay opinions about medical and scientific issues; (2) improper medical and scientific expert opinion testimony by non-expert witness; (3) hearsay within hearsay; (4) irrelevant; and (5) lack authenticity.</w:t>
      </w:r>
    </w:p>
    <w:p w14:paraId="427F665F" w14:textId="77777777" w:rsidR="00A433CE" w:rsidRDefault="00A433CE" w:rsidP="00D31364">
      <w:pPr>
        <w:tabs>
          <w:tab w:val="left" w:pos="1440"/>
        </w:tabs>
        <w:spacing w:line="360" w:lineRule="auto"/>
        <w:ind w:firstLine="720"/>
        <w:jc w:val="both"/>
        <w:textAlignment w:val="baseline"/>
        <w:rPr>
          <w:rFonts w:eastAsia="Times New Roman"/>
          <w:color w:val="000000"/>
          <w:spacing w:val="-2"/>
          <w:sz w:val="24"/>
        </w:rPr>
      </w:pPr>
    </w:p>
    <w:p w14:paraId="0EAFA58B" w14:textId="10AEEFE2" w:rsidR="00D84739" w:rsidRDefault="00100DC1" w:rsidP="00677E35">
      <w:pPr>
        <w:tabs>
          <w:tab w:val="left" w:pos="1440"/>
        </w:tabs>
        <w:spacing w:line="360" w:lineRule="auto"/>
        <w:ind w:firstLine="720"/>
        <w:textAlignment w:val="baseline"/>
        <w:rPr>
          <w:rFonts w:eastAsia="Times New Roman"/>
          <w:color w:val="000000"/>
          <w:sz w:val="24"/>
        </w:rPr>
      </w:pPr>
      <w:r>
        <w:rPr>
          <w:rFonts w:eastAsia="Times New Roman"/>
          <w:color w:val="000000"/>
          <w:spacing w:val="-2"/>
          <w:sz w:val="24"/>
        </w:rPr>
        <w:tab/>
      </w:r>
      <w:r w:rsidR="00A433CE">
        <w:rPr>
          <w:rFonts w:eastAsia="Times New Roman"/>
          <w:color w:val="000000"/>
          <w:spacing w:val="-2"/>
          <w:sz w:val="24"/>
        </w:rPr>
        <w:t xml:space="preserve">Respondent argues that the proposed exhibits submitted by </w:t>
      </w:r>
      <w:r w:rsidR="00D84739">
        <w:rPr>
          <w:rFonts w:eastAsia="Times New Roman"/>
          <w:color w:val="000000"/>
          <w:spacing w:val="-2"/>
          <w:sz w:val="24"/>
        </w:rPr>
        <w:t>Complainants should be excluded from the record in this proceeding because they are hearsay statements</w:t>
      </w:r>
      <w:r w:rsidR="00A433CE">
        <w:rPr>
          <w:rFonts w:eastAsia="Times New Roman"/>
          <w:color w:val="000000"/>
          <w:spacing w:val="-2"/>
          <w:sz w:val="24"/>
        </w:rPr>
        <w:t xml:space="preserve"> </w:t>
      </w:r>
      <w:r w:rsidR="00D84739">
        <w:rPr>
          <w:rFonts w:eastAsia="Times New Roman"/>
          <w:color w:val="000000"/>
          <w:spacing w:val="-2"/>
          <w:sz w:val="24"/>
        </w:rPr>
        <w:t>and not subject to a</w:t>
      </w:r>
      <w:r w:rsidR="00A433CE">
        <w:rPr>
          <w:rFonts w:eastAsia="Times New Roman"/>
          <w:color w:val="000000"/>
          <w:spacing w:val="-2"/>
          <w:sz w:val="24"/>
        </w:rPr>
        <w:t xml:space="preserve">ny </w:t>
      </w:r>
      <w:r w:rsidR="00D84739">
        <w:rPr>
          <w:rFonts w:eastAsia="Times New Roman"/>
          <w:color w:val="000000"/>
          <w:spacing w:val="-2"/>
          <w:sz w:val="24"/>
        </w:rPr>
        <w:t xml:space="preserve"> hearsay exception</w:t>
      </w:r>
      <w:r w:rsidR="00A433CE">
        <w:rPr>
          <w:rFonts w:eastAsia="Times New Roman"/>
          <w:color w:val="000000"/>
          <w:spacing w:val="-2"/>
          <w:sz w:val="24"/>
        </w:rPr>
        <w:t>s</w:t>
      </w:r>
      <w:r w:rsidR="00D84739">
        <w:rPr>
          <w:rFonts w:eastAsia="Times New Roman"/>
          <w:color w:val="000000"/>
          <w:spacing w:val="-2"/>
          <w:sz w:val="24"/>
        </w:rPr>
        <w:t>.</w:t>
      </w:r>
      <w:r w:rsidR="0013392C">
        <w:rPr>
          <w:rFonts w:eastAsia="Times New Roman"/>
          <w:color w:val="000000"/>
          <w:spacing w:val="-2"/>
          <w:sz w:val="24"/>
        </w:rPr>
        <w:t xml:space="preserve">  </w:t>
      </w:r>
      <w:r w:rsidR="00A433CE">
        <w:rPr>
          <w:rFonts w:eastAsia="Times New Roman"/>
          <w:color w:val="000000"/>
          <w:sz w:val="24"/>
        </w:rPr>
        <w:t xml:space="preserve">Respondent notes that the proposed </w:t>
      </w:r>
      <w:r w:rsidR="00D84739">
        <w:rPr>
          <w:rFonts w:eastAsia="Times New Roman"/>
          <w:color w:val="000000"/>
          <w:sz w:val="24"/>
        </w:rPr>
        <w:t>exhibits were not written by the Complainants</w:t>
      </w:r>
      <w:r w:rsidR="00A433CE">
        <w:rPr>
          <w:rFonts w:eastAsia="Times New Roman"/>
          <w:color w:val="000000"/>
          <w:sz w:val="24"/>
        </w:rPr>
        <w:t xml:space="preserve"> and </w:t>
      </w:r>
      <w:r w:rsidR="00D84739">
        <w:rPr>
          <w:rFonts w:eastAsia="Times New Roman"/>
          <w:color w:val="000000"/>
          <w:sz w:val="24"/>
        </w:rPr>
        <w:t xml:space="preserve">were written by others and largely consist of, quote, or reference statements </w:t>
      </w:r>
      <w:r w:rsidR="00D84739">
        <w:rPr>
          <w:rFonts w:eastAsia="Times New Roman"/>
          <w:color w:val="000000"/>
          <w:sz w:val="24"/>
        </w:rPr>
        <w:lastRenderedPageBreak/>
        <w:t>found in articles, studies, or reports</w:t>
      </w:r>
      <w:r w:rsidR="002C742A">
        <w:rPr>
          <w:rFonts w:eastAsia="Times New Roman"/>
          <w:color w:val="000000"/>
          <w:sz w:val="24"/>
        </w:rPr>
        <w:t xml:space="preserve">.  </w:t>
      </w:r>
      <w:r w:rsidR="00D84739">
        <w:rPr>
          <w:rFonts w:eastAsia="Times New Roman"/>
          <w:color w:val="000000"/>
          <w:sz w:val="24"/>
        </w:rPr>
        <w:t>Therefore, the exhibits objected to above as hearsay are out of court statements.</w:t>
      </w:r>
    </w:p>
    <w:p w14:paraId="00198720" w14:textId="77777777" w:rsidR="00677E35" w:rsidRDefault="00677E35" w:rsidP="00677E35">
      <w:pPr>
        <w:tabs>
          <w:tab w:val="left" w:pos="1440"/>
        </w:tabs>
        <w:spacing w:line="360" w:lineRule="auto"/>
        <w:ind w:firstLine="720"/>
        <w:textAlignment w:val="baseline"/>
        <w:rPr>
          <w:rFonts w:eastAsia="Times New Roman"/>
          <w:color w:val="000000"/>
          <w:sz w:val="24"/>
        </w:rPr>
      </w:pPr>
    </w:p>
    <w:p w14:paraId="1088CF88" w14:textId="4C237DE0" w:rsidR="00677E35" w:rsidRDefault="00677E35" w:rsidP="00677E35">
      <w:pPr>
        <w:tabs>
          <w:tab w:val="left" w:pos="648"/>
          <w:tab w:val="left" w:pos="1440"/>
        </w:tabs>
        <w:spacing w:line="360" w:lineRule="auto"/>
        <w:ind w:right="72"/>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13392C">
        <w:rPr>
          <w:rFonts w:eastAsia="Times New Roman"/>
          <w:color w:val="000000"/>
          <w:sz w:val="24"/>
        </w:rPr>
        <w:t>Respondent argued that Complainants’ proposed exhibits also are inadmissible due to other significant flaws, including relevance, authenticity, and inherent unreliability.  Respondent asserted that the contents of the proposed exhibits are irrelevant because they: (a) address exposures other than the RF fields from the smart meters being used by West Penn; (b) address health conditions other than the one raised by Complainants; and/or (c) do not address issues relevant to the installation of smart meters in Pennsylvania (Complainants’ Exhibits 1 through</w:t>
      </w:r>
      <w:r>
        <w:rPr>
          <w:rFonts w:eastAsia="Times New Roman"/>
          <w:color w:val="000000"/>
          <w:sz w:val="24"/>
        </w:rPr>
        <w:t> </w:t>
      </w:r>
      <w:r w:rsidR="0013392C">
        <w:rPr>
          <w:rFonts w:eastAsia="Times New Roman"/>
          <w:color w:val="000000"/>
          <w:sz w:val="24"/>
        </w:rPr>
        <w:t>4).</w:t>
      </w:r>
    </w:p>
    <w:p w14:paraId="220A1908" w14:textId="7C2E1FD9" w:rsidR="0013392C" w:rsidRDefault="0013392C" w:rsidP="00677E35">
      <w:pPr>
        <w:tabs>
          <w:tab w:val="left" w:pos="648"/>
          <w:tab w:val="left" w:pos="1440"/>
        </w:tabs>
        <w:spacing w:line="360" w:lineRule="auto"/>
        <w:ind w:right="72"/>
        <w:textAlignment w:val="baseline"/>
        <w:rPr>
          <w:rFonts w:eastAsia="Times New Roman"/>
          <w:color w:val="000000"/>
          <w:sz w:val="24"/>
        </w:rPr>
      </w:pPr>
      <w:r>
        <w:rPr>
          <w:rFonts w:eastAsia="Times New Roman"/>
          <w:color w:val="000000"/>
          <w:sz w:val="16"/>
        </w:rPr>
        <w:t xml:space="preserve"> </w:t>
      </w:r>
    </w:p>
    <w:p w14:paraId="3F1F209B" w14:textId="764C08D4" w:rsidR="00677E35" w:rsidRDefault="0013392C" w:rsidP="00677E35">
      <w:pPr>
        <w:tabs>
          <w:tab w:val="left" w:pos="720"/>
          <w:tab w:val="left" w:pos="1440"/>
        </w:tabs>
        <w:spacing w:line="360" w:lineRule="auto"/>
        <w:textAlignment w:val="baseline"/>
        <w:rPr>
          <w:rFonts w:eastAsia="Times New Roman"/>
          <w:color w:val="000000"/>
          <w:sz w:val="24"/>
        </w:rPr>
      </w:pPr>
      <w:r>
        <w:rPr>
          <w:rFonts w:eastAsia="Times New Roman"/>
          <w:color w:val="000000"/>
          <w:sz w:val="24"/>
        </w:rPr>
        <w:tab/>
      </w:r>
      <w:r w:rsidR="00677E35">
        <w:rPr>
          <w:rFonts w:eastAsia="Times New Roman"/>
          <w:color w:val="000000"/>
          <w:sz w:val="24"/>
        </w:rPr>
        <w:tab/>
      </w:r>
      <w:r w:rsidR="00D84739">
        <w:rPr>
          <w:rFonts w:eastAsia="Times New Roman"/>
          <w:color w:val="000000"/>
          <w:sz w:val="24"/>
        </w:rPr>
        <w:t xml:space="preserve">Complainants </w:t>
      </w:r>
      <w:r>
        <w:rPr>
          <w:rFonts w:eastAsia="Times New Roman"/>
          <w:color w:val="000000"/>
          <w:sz w:val="24"/>
        </w:rPr>
        <w:t xml:space="preserve">seek to </w:t>
      </w:r>
      <w:r w:rsidR="00D84739">
        <w:rPr>
          <w:rFonts w:eastAsia="Times New Roman"/>
          <w:color w:val="000000"/>
          <w:sz w:val="24"/>
        </w:rPr>
        <w:t xml:space="preserve">prove the truth of the matter asserted </w:t>
      </w:r>
      <w:r>
        <w:rPr>
          <w:rFonts w:eastAsia="Times New Roman"/>
          <w:color w:val="000000"/>
          <w:sz w:val="24"/>
        </w:rPr>
        <w:t xml:space="preserve">in the proposed exhibits, </w:t>
      </w:r>
      <w:r w:rsidR="00D84739">
        <w:rPr>
          <w:rFonts w:eastAsia="Times New Roman"/>
          <w:color w:val="000000"/>
          <w:sz w:val="24"/>
        </w:rPr>
        <w:t>including allegations about “electrosmog” and “electro-hyper-sensitivity” (</w:t>
      </w:r>
      <w:r w:rsidR="00D84739">
        <w:rPr>
          <w:rFonts w:eastAsia="Times New Roman"/>
          <w:i/>
          <w:color w:val="000000"/>
          <w:sz w:val="25"/>
        </w:rPr>
        <w:t>e.g.</w:t>
      </w:r>
      <w:r w:rsidR="00D84739">
        <w:rPr>
          <w:rFonts w:eastAsia="Times New Roman"/>
          <w:color w:val="000000"/>
          <w:sz w:val="24"/>
        </w:rPr>
        <w:t xml:space="preserve">, Complainants’ Exhibit 1), non-ionizing electromagnetic fields (EMFs) Complainants’ Exhibit 2), </w:t>
      </w:r>
      <w:r>
        <w:rPr>
          <w:rFonts w:eastAsia="Times New Roman"/>
          <w:color w:val="000000"/>
          <w:sz w:val="24"/>
        </w:rPr>
        <w:t xml:space="preserve">and </w:t>
      </w:r>
      <w:r w:rsidR="00D84739">
        <w:rPr>
          <w:rFonts w:eastAsia="Times New Roman"/>
          <w:color w:val="000000"/>
          <w:sz w:val="24"/>
        </w:rPr>
        <w:t>purported health concerns about radio frequency (RF) fields (Complainants’ Exhibits 3 and</w:t>
      </w:r>
      <w:r w:rsidR="00100DC1">
        <w:rPr>
          <w:rFonts w:eastAsia="Times New Roman"/>
          <w:color w:val="000000"/>
          <w:sz w:val="24"/>
        </w:rPr>
        <w:t> </w:t>
      </w:r>
      <w:r w:rsidR="00D84739">
        <w:rPr>
          <w:rFonts w:eastAsia="Times New Roman"/>
          <w:color w:val="000000"/>
          <w:sz w:val="24"/>
        </w:rPr>
        <w:t>4).</w:t>
      </w:r>
      <w:r>
        <w:rPr>
          <w:rFonts w:eastAsia="Times New Roman"/>
          <w:color w:val="000000"/>
          <w:sz w:val="24"/>
        </w:rPr>
        <w:t xml:space="preserve">  C</w:t>
      </w:r>
      <w:r w:rsidR="00D84739">
        <w:rPr>
          <w:rFonts w:eastAsia="Times New Roman"/>
          <w:color w:val="000000"/>
          <w:sz w:val="24"/>
        </w:rPr>
        <w:t xml:space="preserve">omplainants </w:t>
      </w:r>
      <w:r>
        <w:rPr>
          <w:rFonts w:eastAsia="Times New Roman"/>
          <w:color w:val="000000"/>
          <w:sz w:val="24"/>
        </w:rPr>
        <w:t xml:space="preserve">appear to offer </w:t>
      </w:r>
      <w:r w:rsidR="00D84739">
        <w:rPr>
          <w:rFonts w:eastAsia="Times New Roman"/>
          <w:color w:val="000000"/>
          <w:sz w:val="24"/>
        </w:rPr>
        <w:t xml:space="preserve">the </w:t>
      </w:r>
      <w:r>
        <w:rPr>
          <w:rFonts w:eastAsia="Times New Roman"/>
          <w:color w:val="000000"/>
          <w:sz w:val="24"/>
        </w:rPr>
        <w:t xml:space="preserve">exhibits </w:t>
      </w:r>
      <w:r w:rsidR="00D84739">
        <w:rPr>
          <w:rFonts w:eastAsia="Times New Roman"/>
          <w:color w:val="000000"/>
          <w:sz w:val="24"/>
        </w:rPr>
        <w:t xml:space="preserve">to prove their </w:t>
      </w:r>
      <w:r>
        <w:rPr>
          <w:rFonts w:eastAsia="Times New Roman"/>
          <w:color w:val="000000"/>
          <w:sz w:val="24"/>
        </w:rPr>
        <w:t xml:space="preserve">assertion </w:t>
      </w:r>
      <w:r w:rsidR="00D84739">
        <w:rPr>
          <w:rFonts w:eastAsia="Times New Roman"/>
          <w:color w:val="000000"/>
          <w:sz w:val="24"/>
        </w:rPr>
        <w:t xml:space="preserve">that the RF fields produced by </w:t>
      </w:r>
      <w:r>
        <w:rPr>
          <w:rFonts w:eastAsia="Times New Roman"/>
          <w:color w:val="000000"/>
          <w:sz w:val="24"/>
        </w:rPr>
        <w:t xml:space="preserve">Respondent’s </w:t>
      </w:r>
      <w:r w:rsidR="00D84739">
        <w:rPr>
          <w:rFonts w:eastAsia="Times New Roman"/>
          <w:color w:val="000000"/>
          <w:sz w:val="24"/>
        </w:rPr>
        <w:t>smart meters cause, contributed to, or exacerbate adverse health effects.</w:t>
      </w:r>
      <w:r w:rsidR="00781E1C">
        <w:rPr>
          <w:rFonts w:eastAsia="Times New Roman"/>
          <w:color w:val="000000"/>
          <w:sz w:val="24"/>
        </w:rPr>
        <w:t xml:space="preserve">  Respondent </w:t>
      </w:r>
      <w:r>
        <w:rPr>
          <w:rFonts w:eastAsia="Times New Roman"/>
          <w:color w:val="000000"/>
          <w:sz w:val="24"/>
        </w:rPr>
        <w:t xml:space="preserve">correctly </w:t>
      </w:r>
      <w:r w:rsidR="00781E1C">
        <w:rPr>
          <w:rFonts w:eastAsia="Times New Roman"/>
          <w:color w:val="000000"/>
          <w:sz w:val="24"/>
        </w:rPr>
        <w:t>argue</w:t>
      </w:r>
      <w:r>
        <w:rPr>
          <w:rFonts w:eastAsia="Times New Roman"/>
          <w:color w:val="000000"/>
          <w:sz w:val="24"/>
        </w:rPr>
        <w:t>d</w:t>
      </w:r>
      <w:r w:rsidR="00781E1C">
        <w:rPr>
          <w:rFonts w:eastAsia="Times New Roman"/>
          <w:color w:val="000000"/>
          <w:sz w:val="24"/>
        </w:rPr>
        <w:t xml:space="preserve"> that t</w:t>
      </w:r>
      <w:r w:rsidR="00D84739">
        <w:rPr>
          <w:rFonts w:eastAsia="Times New Roman"/>
          <w:color w:val="000000"/>
          <w:sz w:val="24"/>
        </w:rPr>
        <w:t>he</w:t>
      </w:r>
      <w:r>
        <w:rPr>
          <w:rFonts w:eastAsia="Times New Roman"/>
          <w:color w:val="000000"/>
          <w:sz w:val="24"/>
        </w:rPr>
        <w:t xml:space="preserve"> proposed exhibits </w:t>
      </w:r>
      <w:r w:rsidR="00705973">
        <w:rPr>
          <w:rFonts w:eastAsia="Times New Roman"/>
          <w:color w:val="000000"/>
          <w:sz w:val="24"/>
        </w:rPr>
        <w:t xml:space="preserve">constitute </w:t>
      </w:r>
      <w:r w:rsidR="00D84739">
        <w:rPr>
          <w:rFonts w:eastAsia="Times New Roman"/>
          <w:color w:val="000000"/>
          <w:sz w:val="24"/>
        </w:rPr>
        <w:t>hearsay statements and are inadmissible unless subject to a hearsay exception</w:t>
      </w:r>
      <w:r w:rsidR="002C742A">
        <w:rPr>
          <w:rFonts w:eastAsia="Times New Roman"/>
          <w:color w:val="000000"/>
          <w:sz w:val="24"/>
        </w:rPr>
        <w:t xml:space="preserve">.  </w:t>
      </w:r>
      <w:r w:rsidR="00D84739">
        <w:rPr>
          <w:rFonts w:eastAsia="Times New Roman"/>
          <w:color w:val="000000"/>
          <w:sz w:val="24"/>
        </w:rPr>
        <w:t>In addition,</w:t>
      </w:r>
      <w:r w:rsidR="00781E1C">
        <w:rPr>
          <w:rFonts w:eastAsia="Times New Roman"/>
          <w:color w:val="000000"/>
          <w:sz w:val="24"/>
        </w:rPr>
        <w:t xml:space="preserve"> </w:t>
      </w:r>
      <w:r w:rsidR="00D84739">
        <w:rPr>
          <w:rFonts w:eastAsia="Times New Roman"/>
          <w:color w:val="000000"/>
          <w:sz w:val="24"/>
        </w:rPr>
        <w:t>some of the proposed exhibits</w:t>
      </w:r>
      <w:r w:rsidR="00705973">
        <w:rPr>
          <w:rFonts w:eastAsia="Times New Roman"/>
          <w:color w:val="000000"/>
          <w:sz w:val="24"/>
        </w:rPr>
        <w:t>, including Complainant’s Exhibits 2, 3 and 4</w:t>
      </w:r>
      <w:r w:rsidR="00D84739">
        <w:rPr>
          <w:rFonts w:eastAsia="Times New Roman"/>
          <w:color w:val="000000"/>
          <w:sz w:val="24"/>
        </w:rPr>
        <w:t xml:space="preserve"> </w:t>
      </w:r>
      <w:r w:rsidR="00781E1C">
        <w:rPr>
          <w:rFonts w:eastAsia="Times New Roman"/>
          <w:color w:val="000000"/>
          <w:sz w:val="24"/>
        </w:rPr>
        <w:t xml:space="preserve">consist of </w:t>
      </w:r>
      <w:r w:rsidR="00D84739">
        <w:rPr>
          <w:rFonts w:eastAsia="Times New Roman"/>
          <w:color w:val="000000"/>
          <w:sz w:val="24"/>
        </w:rPr>
        <w:t xml:space="preserve">hearsay within hearsay, because the documents purport to quote from or characterize the views of third-parties. </w:t>
      </w:r>
    </w:p>
    <w:p w14:paraId="034F10EE" w14:textId="4FF8D65A" w:rsidR="009B4469" w:rsidRDefault="009B4469" w:rsidP="00677E35">
      <w:pPr>
        <w:tabs>
          <w:tab w:val="left" w:pos="720"/>
          <w:tab w:val="left" w:pos="1440"/>
        </w:tabs>
        <w:spacing w:line="360" w:lineRule="auto"/>
        <w:textAlignment w:val="baseline"/>
        <w:rPr>
          <w:rFonts w:eastAsia="Times New Roman"/>
          <w:color w:val="000000"/>
          <w:sz w:val="24"/>
        </w:rPr>
      </w:pPr>
    </w:p>
    <w:p w14:paraId="208EDFA1" w14:textId="3201549C" w:rsidR="00D84739" w:rsidRDefault="00677E35" w:rsidP="00677E35">
      <w:pPr>
        <w:tabs>
          <w:tab w:val="left" w:pos="648"/>
          <w:tab w:val="left" w:pos="1440"/>
        </w:tabs>
        <w:spacing w:line="360" w:lineRule="auto"/>
        <w:ind w:right="72"/>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6C3C46" w:rsidRPr="00655F77">
        <w:rPr>
          <w:rFonts w:eastAsia="Times New Roman"/>
          <w:color w:val="000000"/>
          <w:sz w:val="24"/>
        </w:rPr>
        <w:t>Respondent</w:t>
      </w:r>
      <w:r w:rsidR="00705973" w:rsidRPr="00655F77">
        <w:rPr>
          <w:rFonts w:eastAsia="Times New Roman"/>
          <w:color w:val="000000"/>
          <w:sz w:val="24"/>
        </w:rPr>
        <w:t xml:space="preserve"> further correctly argued </w:t>
      </w:r>
      <w:r w:rsidR="006C3C46" w:rsidRPr="00655F77">
        <w:rPr>
          <w:rFonts w:eastAsia="Times New Roman"/>
          <w:color w:val="000000"/>
          <w:sz w:val="24"/>
        </w:rPr>
        <w:t xml:space="preserve">that </w:t>
      </w:r>
      <w:r w:rsidR="00D84739" w:rsidRPr="00655F77">
        <w:rPr>
          <w:rFonts w:eastAsia="Times New Roman"/>
          <w:color w:val="000000"/>
          <w:sz w:val="24"/>
        </w:rPr>
        <w:t xml:space="preserve">Complainants’ proposed exhibits are inadmissible </w:t>
      </w:r>
      <w:r w:rsidR="00705973" w:rsidRPr="00655F77">
        <w:rPr>
          <w:rFonts w:eastAsia="Times New Roman"/>
          <w:color w:val="000000"/>
          <w:sz w:val="24"/>
        </w:rPr>
        <w:t xml:space="preserve">as they were irrelevant, lacked </w:t>
      </w:r>
      <w:r w:rsidR="00D84739" w:rsidRPr="00655F77">
        <w:rPr>
          <w:rFonts w:eastAsia="Times New Roman"/>
          <w:color w:val="000000"/>
          <w:sz w:val="24"/>
        </w:rPr>
        <w:t>authenticity</w:t>
      </w:r>
      <w:r w:rsidR="00705973" w:rsidRPr="00655F77">
        <w:rPr>
          <w:rFonts w:eastAsia="Times New Roman"/>
          <w:color w:val="000000"/>
          <w:sz w:val="24"/>
        </w:rPr>
        <w:t xml:space="preserve"> otherwise were </w:t>
      </w:r>
      <w:r w:rsidR="00D84739" w:rsidRPr="00655F77">
        <w:rPr>
          <w:rFonts w:eastAsia="Times New Roman"/>
          <w:color w:val="000000"/>
          <w:sz w:val="24"/>
        </w:rPr>
        <w:t>inherent</w:t>
      </w:r>
      <w:r w:rsidR="00705973" w:rsidRPr="00655F77">
        <w:rPr>
          <w:rFonts w:eastAsia="Times New Roman"/>
          <w:color w:val="000000"/>
          <w:sz w:val="24"/>
        </w:rPr>
        <w:t xml:space="preserve">ly </w:t>
      </w:r>
      <w:r w:rsidR="00D84739" w:rsidRPr="00655F77">
        <w:rPr>
          <w:rFonts w:eastAsia="Times New Roman"/>
          <w:color w:val="000000"/>
          <w:sz w:val="24"/>
        </w:rPr>
        <w:t>unreliab</w:t>
      </w:r>
      <w:r w:rsidR="00705973" w:rsidRPr="00655F77">
        <w:rPr>
          <w:rFonts w:eastAsia="Times New Roman"/>
          <w:color w:val="000000"/>
          <w:sz w:val="24"/>
        </w:rPr>
        <w:t xml:space="preserve">le, as </w:t>
      </w:r>
      <w:r w:rsidR="00D84739" w:rsidRPr="00655F77">
        <w:rPr>
          <w:rFonts w:eastAsia="Times New Roman"/>
          <w:color w:val="000000"/>
          <w:sz w:val="24"/>
        </w:rPr>
        <w:t xml:space="preserve">the contents of the proposed exhibits address exposures other than the RF fields from the smart meters being used by </w:t>
      </w:r>
      <w:r w:rsidR="00655F77" w:rsidRPr="00655F77">
        <w:rPr>
          <w:rFonts w:eastAsia="Times New Roman"/>
          <w:color w:val="000000"/>
          <w:sz w:val="24"/>
        </w:rPr>
        <w:t xml:space="preserve">Respondent, </w:t>
      </w:r>
      <w:r w:rsidR="00D84739" w:rsidRPr="00655F77">
        <w:rPr>
          <w:rFonts w:eastAsia="Times New Roman"/>
          <w:color w:val="000000"/>
          <w:sz w:val="24"/>
        </w:rPr>
        <w:t>address health conditions other than the one raised by Complainants</w:t>
      </w:r>
      <w:r w:rsidR="00655F77" w:rsidRPr="00655F77">
        <w:rPr>
          <w:rFonts w:eastAsia="Times New Roman"/>
          <w:color w:val="000000"/>
          <w:sz w:val="24"/>
        </w:rPr>
        <w:t xml:space="preserve">, or </w:t>
      </w:r>
      <w:r w:rsidR="00D84739" w:rsidRPr="00655F77">
        <w:rPr>
          <w:rFonts w:eastAsia="Times New Roman"/>
          <w:color w:val="000000"/>
          <w:sz w:val="24"/>
        </w:rPr>
        <w:t>do not address issues relevant to the installation of smart meters in Pennsylvania</w:t>
      </w:r>
      <w:r w:rsidR="00655F77" w:rsidRPr="00655F77">
        <w:rPr>
          <w:rFonts w:eastAsia="Times New Roman"/>
          <w:color w:val="000000"/>
          <w:sz w:val="24"/>
        </w:rPr>
        <w:t xml:space="preserve">.  Further, </w:t>
      </w:r>
      <w:r w:rsidR="00D84739" w:rsidRPr="00655F77">
        <w:rPr>
          <w:rFonts w:eastAsia="Times New Roman"/>
          <w:color w:val="000000"/>
          <w:sz w:val="24"/>
        </w:rPr>
        <w:t xml:space="preserve">Complainants’ Exhibits 1, 2, and 3 appear to be </w:t>
      </w:r>
      <w:r w:rsidR="00655F77">
        <w:rPr>
          <w:rFonts w:eastAsia="Times New Roman"/>
          <w:color w:val="000000"/>
          <w:sz w:val="24"/>
        </w:rPr>
        <w:t xml:space="preserve">taken </w:t>
      </w:r>
      <w:r w:rsidR="00D84739" w:rsidRPr="00655F77">
        <w:rPr>
          <w:rFonts w:eastAsia="Times New Roman"/>
          <w:color w:val="000000"/>
          <w:sz w:val="24"/>
        </w:rPr>
        <w:t xml:space="preserve">from </w:t>
      </w:r>
      <w:r w:rsidR="00655F77" w:rsidRPr="00655F77">
        <w:rPr>
          <w:rFonts w:eastAsia="Times New Roman"/>
          <w:color w:val="000000"/>
          <w:sz w:val="24"/>
        </w:rPr>
        <w:t xml:space="preserve">various internet </w:t>
      </w:r>
      <w:r w:rsidR="00D84739" w:rsidRPr="00655F77">
        <w:rPr>
          <w:rFonts w:eastAsia="Times New Roman"/>
          <w:color w:val="000000"/>
          <w:sz w:val="24"/>
        </w:rPr>
        <w:t xml:space="preserve">websites </w:t>
      </w:r>
      <w:r w:rsidR="00655F77" w:rsidRPr="00655F77">
        <w:rPr>
          <w:rFonts w:eastAsia="Times New Roman"/>
          <w:color w:val="000000"/>
          <w:sz w:val="24"/>
        </w:rPr>
        <w:t xml:space="preserve">and appear </w:t>
      </w:r>
      <w:r w:rsidR="00D84739" w:rsidRPr="00655F77">
        <w:rPr>
          <w:rFonts w:eastAsia="Times New Roman"/>
          <w:color w:val="000000"/>
          <w:sz w:val="24"/>
        </w:rPr>
        <w:t xml:space="preserve">to be incomplete </w:t>
      </w:r>
      <w:r w:rsidR="00655F77" w:rsidRPr="00655F77">
        <w:rPr>
          <w:rFonts w:eastAsia="Times New Roman"/>
          <w:color w:val="000000"/>
          <w:sz w:val="24"/>
        </w:rPr>
        <w:t>documents.</w:t>
      </w:r>
    </w:p>
    <w:p w14:paraId="4FA06A6D" w14:textId="77777777" w:rsidR="00100DC1" w:rsidRDefault="00100DC1" w:rsidP="00677E35">
      <w:pPr>
        <w:spacing w:line="360" w:lineRule="auto"/>
        <w:ind w:firstLine="1440"/>
        <w:textAlignment w:val="baseline"/>
        <w:rPr>
          <w:rFonts w:eastAsia="Times New Roman"/>
          <w:color w:val="000000"/>
          <w:sz w:val="24"/>
        </w:rPr>
      </w:pPr>
    </w:p>
    <w:p w14:paraId="4871388E" w14:textId="77777777" w:rsidR="005602C5" w:rsidRDefault="00D84739" w:rsidP="005602C5">
      <w:pPr>
        <w:spacing w:line="360" w:lineRule="auto"/>
        <w:ind w:firstLine="1440"/>
        <w:textAlignment w:val="baseline"/>
        <w:rPr>
          <w:rFonts w:eastAsia="Times New Roman"/>
          <w:color w:val="000000"/>
          <w:sz w:val="24"/>
        </w:rPr>
      </w:pPr>
      <w:r>
        <w:rPr>
          <w:rFonts w:eastAsia="Times New Roman"/>
          <w:color w:val="000000"/>
          <w:sz w:val="24"/>
        </w:rPr>
        <w:lastRenderedPageBreak/>
        <w:t>For the reasons</w:t>
      </w:r>
      <w:r w:rsidR="00655F77">
        <w:rPr>
          <w:rFonts w:eastAsia="Times New Roman"/>
          <w:color w:val="000000"/>
          <w:sz w:val="24"/>
        </w:rPr>
        <w:t xml:space="preserve"> set forth herein and as set forth in the objections filed By Respondent, </w:t>
      </w:r>
      <w:r>
        <w:rPr>
          <w:rFonts w:eastAsia="Times New Roman"/>
          <w:color w:val="000000"/>
          <w:sz w:val="24"/>
        </w:rPr>
        <w:t xml:space="preserve">Complainants’ Exhibits 1 through 4 </w:t>
      </w:r>
      <w:r w:rsidR="00655F77">
        <w:rPr>
          <w:rFonts w:eastAsia="Times New Roman"/>
          <w:color w:val="000000"/>
          <w:sz w:val="24"/>
        </w:rPr>
        <w:t xml:space="preserve">must be </w:t>
      </w:r>
      <w:r>
        <w:rPr>
          <w:rFonts w:eastAsia="Times New Roman"/>
          <w:color w:val="000000"/>
          <w:sz w:val="24"/>
        </w:rPr>
        <w:t>excluded</w:t>
      </w:r>
      <w:r w:rsidR="00655F77">
        <w:rPr>
          <w:rFonts w:eastAsia="Times New Roman"/>
          <w:color w:val="000000"/>
          <w:sz w:val="24"/>
        </w:rPr>
        <w:t xml:space="preserve"> as inadmissible hearsay as well as because </w:t>
      </w:r>
      <w:r>
        <w:rPr>
          <w:rFonts w:eastAsia="Times New Roman"/>
          <w:color w:val="000000"/>
          <w:sz w:val="24"/>
        </w:rPr>
        <w:t>they are irrelevant, lack authenticity, and are inherently unreliable</w:t>
      </w:r>
      <w:r w:rsidR="00100DC1">
        <w:rPr>
          <w:rFonts w:eastAsia="Times New Roman"/>
          <w:color w:val="000000"/>
          <w:sz w:val="24"/>
        </w:rPr>
        <w:t>.  U</w:t>
      </w:r>
      <w:r w:rsidR="00655F77">
        <w:rPr>
          <w:rFonts w:eastAsia="Times New Roman"/>
          <w:color w:val="000000"/>
          <w:sz w:val="24"/>
        </w:rPr>
        <w:t>nder the circumstances, the following order will be entered.</w:t>
      </w:r>
    </w:p>
    <w:p w14:paraId="449DD3AD" w14:textId="77777777" w:rsidR="005602C5" w:rsidRDefault="005602C5" w:rsidP="005602C5">
      <w:pPr>
        <w:spacing w:line="360" w:lineRule="auto"/>
        <w:ind w:firstLine="1440"/>
        <w:textAlignment w:val="baseline"/>
        <w:rPr>
          <w:rFonts w:eastAsia="Times New Roman"/>
          <w:color w:val="000000"/>
          <w:sz w:val="24"/>
        </w:rPr>
      </w:pPr>
    </w:p>
    <w:p w14:paraId="279FFA7D" w14:textId="0DCE0E08" w:rsidR="007339A9" w:rsidRDefault="007339A9" w:rsidP="005602C5">
      <w:pPr>
        <w:spacing w:line="360" w:lineRule="auto"/>
        <w:ind w:firstLine="1440"/>
        <w:textAlignment w:val="baseline"/>
        <w:rPr>
          <w:rFonts w:eastAsia="Times New Roman"/>
          <w:sz w:val="24"/>
          <w:szCs w:val="24"/>
        </w:rPr>
      </w:pPr>
      <w:r>
        <w:rPr>
          <w:rFonts w:eastAsia="Times New Roman"/>
          <w:sz w:val="24"/>
          <w:szCs w:val="24"/>
        </w:rPr>
        <w:t>THEREFORE,</w:t>
      </w:r>
    </w:p>
    <w:p w14:paraId="3F594AA0" w14:textId="77777777" w:rsidR="007339A9" w:rsidRDefault="007339A9" w:rsidP="00D31364">
      <w:pPr>
        <w:tabs>
          <w:tab w:val="center" w:pos="0"/>
          <w:tab w:val="left" w:pos="720"/>
          <w:tab w:val="left" w:pos="1440"/>
        </w:tabs>
        <w:spacing w:line="360" w:lineRule="auto"/>
        <w:rPr>
          <w:rFonts w:eastAsia="Times New Roman"/>
          <w:sz w:val="24"/>
          <w:szCs w:val="24"/>
        </w:rPr>
      </w:pPr>
    </w:p>
    <w:p w14:paraId="5F90C553" w14:textId="77777777" w:rsidR="007339A9" w:rsidRDefault="007339A9" w:rsidP="00D31364">
      <w:pPr>
        <w:tabs>
          <w:tab w:val="left" w:pos="2160"/>
        </w:tabs>
        <w:spacing w:line="360" w:lineRule="auto"/>
        <w:ind w:firstLine="1440"/>
        <w:rPr>
          <w:rFonts w:eastAsia="Times New Roman"/>
          <w:sz w:val="24"/>
          <w:szCs w:val="24"/>
        </w:rPr>
      </w:pPr>
      <w:r>
        <w:rPr>
          <w:rFonts w:eastAsia="Times New Roman"/>
          <w:sz w:val="24"/>
          <w:szCs w:val="24"/>
        </w:rPr>
        <w:t>IT IS ORDERED:</w:t>
      </w:r>
    </w:p>
    <w:p w14:paraId="4FEEDBE4" w14:textId="77777777" w:rsidR="007339A9" w:rsidRDefault="007339A9" w:rsidP="00D31364">
      <w:pPr>
        <w:spacing w:line="360" w:lineRule="auto"/>
        <w:ind w:firstLine="720"/>
        <w:rPr>
          <w:rFonts w:eastAsia="Times New Roman"/>
          <w:sz w:val="24"/>
          <w:szCs w:val="24"/>
        </w:rPr>
      </w:pPr>
    </w:p>
    <w:p w14:paraId="48537E19" w14:textId="4BA37996" w:rsidR="007339A9" w:rsidRPr="007339A9" w:rsidRDefault="007339A9" w:rsidP="00D31364">
      <w:pPr>
        <w:pStyle w:val="ListParagraph"/>
        <w:numPr>
          <w:ilvl w:val="0"/>
          <w:numId w:val="12"/>
        </w:numPr>
        <w:autoSpaceDE w:val="0"/>
        <w:autoSpaceDN w:val="0"/>
        <w:spacing w:after="0" w:line="360" w:lineRule="auto"/>
        <w:ind w:left="0"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That Respondent’s objections to the late-filed exhibits offered by Complainant’s, including </w:t>
      </w:r>
      <w:r w:rsidRPr="00655F77">
        <w:rPr>
          <w:rFonts w:ascii="Times New Roman" w:eastAsia="Times New Roman" w:hAnsi="Times New Roman"/>
          <w:color w:val="000000"/>
          <w:sz w:val="24"/>
        </w:rPr>
        <w:t>Complainants’ Exhibits 1, 2,</w:t>
      </w:r>
      <w:r>
        <w:rPr>
          <w:rFonts w:ascii="Times New Roman" w:eastAsia="Times New Roman" w:hAnsi="Times New Roman"/>
          <w:color w:val="000000"/>
          <w:sz w:val="24"/>
        </w:rPr>
        <w:t xml:space="preserve"> 3</w:t>
      </w:r>
      <w:r w:rsidRPr="00655F77">
        <w:rPr>
          <w:rFonts w:ascii="Times New Roman" w:eastAsia="Times New Roman" w:hAnsi="Times New Roman"/>
          <w:color w:val="000000"/>
          <w:sz w:val="24"/>
        </w:rPr>
        <w:t xml:space="preserve"> and </w:t>
      </w:r>
      <w:r>
        <w:rPr>
          <w:rFonts w:ascii="Times New Roman" w:eastAsia="Times New Roman" w:hAnsi="Times New Roman"/>
          <w:color w:val="000000"/>
          <w:sz w:val="24"/>
        </w:rPr>
        <w:t>4 are sustained.</w:t>
      </w:r>
      <w:r w:rsidR="00677E35">
        <w:rPr>
          <w:rFonts w:ascii="Times New Roman" w:eastAsia="Times New Roman" w:hAnsi="Times New Roman"/>
          <w:color w:val="000000"/>
          <w:sz w:val="24"/>
        </w:rPr>
        <w:br/>
      </w:r>
    </w:p>
    <w:p w14:paraId="0FDBB4FF" w14:textId="483E08AF" w:rsidR="007339A9" w:rsidRPr="007339A9" w:rsidRDefault="007339A9" w:rsidP="00D31364">
      <w:pPr>
        <w:pStyle w:val="ListParagraph"/>
        <w:widowControl w:val="0"/>
        <w:numPr>
          <w:ilvl w:val="0"/>
          <w:numId w:val="12"/>
        </w:numPr>
        <w:autoSpaceDE w:val="0"/>
        <w:autoSpaceDN w:val="0"/>
        <w:adjustRightInd w:val="0"/>
        <w:spacing w:after="0" w:line="360" w:lineRule="auto"/>
        <w:ind w:left="0" w:firstLine="1440"/>
        <w:rPr>
          <w:rFonts w:ascii="Times New Roman" w:eastAsia="Times New Roman" w:hAnsi="Times New Roman" w:cs="Times New Roman"/>
          <w:sz w:val="24"/>
          <w:szCs w:val="24"/>
        </w:rPr>
      </w:pPr>
      <w:r w:rsidRPr="007339A9">
        <w:rPr>
          <w:rFonts w:ascii="Times New Roman" w:eastAsia="Times New Roman" w:hAnsi="Times New Roman"/>
          <w:color w:val="000000"/>
          <w:sz w:val="24"/>
        </w:rPr>
        <w:t>That Complainant’s request for the admission of late-filed exhibits 1, 2, 3 and 4 is denied.</w:t>
      </w:r>
      <w:r w:rsidRPr="007339A9">
        <w:rPr>
          <w:rFonts w:ascii="Times New Roman" w:hAnsi="Times New Roman" w:cs="Times New Roman"/>
          <w:sz w:val="24"/>
          <w:szCs w:val="24"/>
        </w:rPr>
        <w:br/>
      </w:r>
      <w:r w:rsidR="00100DC1">
        <w:rPr>
          <w:rFonts w:ascii="Times New Roman" w:eastAsia="Times New Roman" w:hAnsi="Times New Roman" w:cs="Times New Roman"/>
          <w:sz w:val="24"/>
          <w:szCs w:val="24"/>
        </w:rPr>
        <w:br/>
      </w:r>
    </w:p>
    <w:p w14:paraId="01BE5D09" w14:textId="2C6D0DD3" w:rsidR="007339A9" w:rsidRDefault="007339A9" w:rsidP="00677E35">
      <w:pPr>
        <w:widowControl w:val="0"/>
        <w:tabs>
          <w:tab w:val="left" w:pos="0"/>
        </w:tabs>
        <w:autoSpaceDE w:val="0"/>
        <w:autoSpaceDN w:val="0"/>
        <w:adjustRightInd w:val="0"/>
        <w:rPr>
          <w:rFonts w:eastAsia="Times New Roman"/>
          <w:sz w:val="24"/>
          <w:szCs w:val="24"/>
          <w:u w:val="single"/>
        </w:rPr>
      </w:pPr>
      <w:bookmarkStart w:id="0" w:name="_Hlk10727748"/>
      <w:r>
        <w:rPr>
          <w:rFonts w:eastAsia="Times New Roman"/>
          <w:sz w:val="24"/>
          <w:szCs w:val="24"/>
        </w:rPr>
        <w:t xml:space="preserve">Date:  </w:t>
      </w:r>
      <w:r w:rsidRPr="00677E35">
        <w:rPr>
          <w:rFonts w:eastAsia="Times New Roman"/>
          <w:sz w:val="24"/>
          <w:szCs w:val="24"/>
          <w:u w:val="single"/>
        </w:rPr>
        <w:t>September 15, 2020</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u w:val="single"/>
        </w:rPr>
        <w:tab/>
      </w:r>
      <w:r>
        <w:rPr>
          <w:rFonts w:eastAsia="Times New Roman"/>
          <w:sz w:val="24"/>
          <w:szCs w:val="24"/>
          <w:u w:val="single"/>
        </w:rPr>
        <w:tab/>
        <w:t>/s/</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7F03CD0D" w14:textId="77777777" w:rsidR="007339A9" w:rsidRDefault="007339A9" w:rsidP="00677E35">
      <w:pPr>
        <w:widowControl w:val="0"/>
        <w:tabs>
          <w:tab w:val="left" w:pos="0"/>
        </w:tabs>
        <w:autoSpaceDE w:val="0"/>
        <w:autoSpaceDN w:val="0"/>
        <w:adjustRightInd w:val="0"/>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Jeffrey A. Watson</w:t>
      </w:r>
    </w:p>
    <w:p w14:paraId="4FDE6110" w14:textId="77777777" w:rsidR="007339A9" w:rsidRDefault="007339A9" w:rsidP="00677E35">
      <w:pPr>
        <w:widowControl w:val="0"/>
        <w:tabs>
          <w:tab w:val="left" w:pos="0"/>
        </w:tabs>
        <w:autoSpaceDE w:val="0"/>
        <w:autoSpaceDN w:val="0"/>
        <w:adjustRightInd w:val="0"/>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Administrative Law Judge</w:t>
      </w:r>
      <w:bookmarkEnd w:id="0"/>
    </w:p>
    <w:p w14:paraId="3A4E9CC1" w14:textId="77777777" w:rsidR="00963FD8" w:rsidRDefault="00963FD8" w:rsidP="00963FD8">
      <w:pPr>
        <w:spacing w:before="129" w:line="231" w:lineRule="exact"/>
        <w:ind w:left="72" w:firstLine="648"/>
        <w:textAlignment w:val="baseline"/>
        <w:rPr>
          <w:rFonts w:eastAsia="Times New Roman"/>
          <w:color w:val="000000"/>
          <w:sz w:val="24"/>
        </w:rPr>
        <w:sectPr w:rsidR="00963FD8" w:rsidSect="00677E35">
          <w:footerReference w:type="default" r:id="rId7"/>
          <w:pgSz w:w="12240" w:h="15840"/>
          <w:pgMar w:top="1440" w:right="1440" w:bottom="1440" w:left="1440" w:header="720" w:footer="720" w:gutter="0"/>
          <w:cols w:space="720"/>
          <w:titlePg/>
          <w:docGrid w:linePitch="360"/>
        </w:sectPr>
      </w:pPr>
    </w:p>
    <w:p w14:paraId="36720604" w14:textId="77777777" w:rsidR="00963FD8" w:rsidRPr="00963FD8" w:rsidRDefault="00963FD8" w:rsidP="00963FD8">
      <w:pPr>
        <w:rPr>
          <w:rFonts w:ascii="Microsoft Sans Serif" w:eastAsia="Microsoft Sans Serif" w:hAnsi="Microsoft Sans Serif" w:cs="Microsoft Sans Serif"/>
          <w:b/>
          <w:sz w:val="24"/>
          <w:szCs w:val="20"/>
          <w:u w:val="single"/>
        </w:rPr>
      </w:pPr>
      <w:r w:rsidRPr="00963FD8">
        <w:rPr>
          <w:rFonts w:ascii="Microsoft Sans Serif" w:eastAsia="Microsoft Sans Serif" w:hAnsi="Microsoft Sans Serif" w:cs="Microsoft Sans Serif"/>
          <w:b/>
          <w:sz w:val="24"/>
          <w:szCs w:val="20"/>
          <w:u w:val="single"/>
        </w:rPr>
        <w:lastRenderedPageBreak/>
        <w:t>C-2018-3005818 - STEVE &amp; BETTY MAGILL v. WEST PENN POWER COMPANY</w:t>
      </w:r>
      <w:r w:rsidRPr="00963FD8">
        <w:rPr>
          <w:rFonts w:ascii="Microsoft Sans Serif" w:eastAsia="Microsoft Sans Serif" w:hAnsi="Microsoft Sans Serif" w:cs="Microsoft Sans Serif"/>
          <w:b/>
          <w:sz w:val="24"/>
          <w:szCs w:val="20"/>
          <w:u w:val="single"/>
        </w:rPr>
        <w:cr/>
      </w:r>
    </w:p>
    <w:p w14:paraId="4F5DA171" w14:textId="77777777" w:rsidR="00963FD8" w:rsidRPr="00963FD8" w:rsidRDefault="00963FD8" w:rsidP="00963FD8">
      <w:pPr>
        <w:rPr>
          <w:rFonts w:ascii="Microsoft Sans Serif" w:eastAsia="Microsoft Sans Serif" w:hAnsi="Microsoft Sans Serif" w:cs="Microsoft Sans Serif"/>
          <w:bCs/>
          <w:i/>
          <w:iCs/>
          <w:sz w:val="24"/>
          <w:szCs w:val="20"/>
        </w:rPr>
      </w:pPr>
      <w:r w:rsidRPr="00963FD8">
        <w:rPr>
          <w:rFonts w:ascii="Microsoft Sans Serif" w:eastAsia="Microsoft Sans Serif" w:hAnsi="Microsoft Sans Serif" w:cs="Microsoft Sans Serif"/>
          <w:bCs/>
          <w:i/>
          <w:iCs/>
          <w:sz w:val="24"/>
          <w:szCs w:val="20"/>
        </w:rPr>
        <w:t>Revised 8/24/20</w:t>
      </w:r>
    </w:p>
    <w:p w14:paraId="56074BA9" w14:textId="77777777" w:rsidR="00963FD8" w:rsidRPr="00963FD8" w:rsidRDefault="00963FD8" w:rsidP="00963FD8">
      <w:pPr>
        <w:rPr>
          <w:rFonts w:ascii="Microsoft Sans Serif" w:eastAsia="Microsoft Sans Serif" w:hAnsi="Microsoft Sans Serif" w:cs="Microsoft Sans Serif"/>
          <w:b/>
          <w:sz w:val="24"/>
          <w:szCs w:val="20"/>
          <w:u w:val="single"/>
        </w:rPr>
      </w:pPr>
      <w:r w:rsidRPr="00963FD8">
        <w:rPr>
          <w:rFonts w:ascii="Microsoft Sans Serif" w:eastAsia="Microsoft Sans Serif" w:hAnsi="Microsoft Sans Serif" w:cs="Microsoft Sans Serif"/>
          <w:b/>
          <w:sz w:val="24"/>
          <w:szCs w:val="20"/>
          <w:u w:val="single"/>
        </w:rPr>
        <w:cr/>
      </w:r>
      <w:r w:rsidRPr="00963FD8">
        <w:rPr>
          <w:rFonts w:ascii="Microsoft Sans Serif" w:eastAsia="Microsoft Sans Serif" w:hAnsi="Microsoft Sans Serif" w:cs="Microsoft Sans Serif"/>
          <w:sz w:val="24"/>
          <w:szCs w:val="20"/>
        </w:rPr>
        <w:t>STEVE MAGILL</w:t>
      </w:r>
    </w:p>
    <w:p w14:paraId="70EE638A" w14:textId="77777777" w:rsidR="00963FD8" w:rsidRPr="00963FD8" w:rsidRDefault="00963FD8" w:rsidP="00963FD8">
      <w:pPr>
        <w:rPr>
          <w:rFonts w:ascii="Microsoft Sans Serif" w:eastAsia="Microsoft Sans Serif" w:hAnsi="Microsoft Sans Serif" w:cs="Microsoft Sans Serif"/>
          <w:sz w:val="24"/>
          <w:szCs w:val="20"/>
        </w:rPr>
      </w:pPr>
      <w:r w:rsidRPr="00963FD8">
        <w:rPr>
          <w:rFonts w:ascii="Microsoft Sans Serif" w:eastAsia="Microsoft Sans Serif" w:hAnsi="Microsoft Sans Serif" w:cs="Microsoft Sans Serif"/>
          <w:sz w:val="24"/>
          <w:szCs w:val="20"/>
        </w:rPr>
        <w:t>BETTY MAGILL</w:t>
      </w:r>
      <w:r w:rsidRPr="00963FD8">
        <w:rPr>
          <w:rFonts w:ascii="Microsoft Sans Serif" w:eastAsia="Microsoft Sans Serif" w:hAnsi="Microsoft Sans Serif" w:cs="Microsoft Sans Serif"/>
          <w:sz w:val="24"/>
          <w:szCs w:val="20"/>
        </w:rPr>
        <w:cr/>
        <w:t xml:space="preserve">265 </w:t>
      </w:r>
      <w:proofErr w:type="spellStart"/>
      <w:r w:rsidRPr="00963FD8">
        <w:rPr>
          <w:rFonts w:ascii="Microsoft Sans Serif" w:eastAsia="Microsoft Sans Serif" w:hAnsi="Microsoft Sans Serif" w:cs="Microsoft Sans Serif"/>
          <w:sz w:val="24"/>
          <w:szCs w:val="20"/>
        </w:rPr>
        <w:t>SHOAF</w:t>
      </w:r>
      <w:proofErr w:type="spellEnd"/>
      <w:r w:rsidRPr="00963FD8">
        <w:rPr>
          <w:rFonts w:ascii="Microsoft Sans Serif" w:eastAsia="Microsoft Sans Serif" w:hAnsi="Microsoft Sans Serif" w:cs="Microsoft Sans Serif"/>
          <w:sz w:val="24"/>
          <w:szCs w:val="20"/>
        </w:rPr>
        <w:t xml:space="preserve"> ROAD</w:t>
      </w:r>
      <w:r w:rsidRPr="00963FD8">
        <w:rPr>
          <w:rFonts w:ascii="Microsoft Sans Serif" w:eastAsia="Microsoft Sans Serif" w:hAnsi="Microsoft Sans Serif" w:cs="Microsoft Sans Serif"/>
          <w:sz w:val="24"/>
          <w:szCs w:val="20"/>
        </w:rPr>
        <w:cr/>
        <w:t>SMITHFIELD PA  15478</w:t>
      </w:r>
      <w:r w:rsidRPr="00963FD8">
        <w:rPr>
          <w:rFonts w:ascii="Microsoft Sans Serif" w:eastAsia="Microsoft Sans Serif" w:hAnsi="Microsoft Sans Serif" w:cs="Microsoft Sans Serif"/>
          <w:sz w:val="24"/>
          <w:szCs w:val="20"/>
        </w:rPr>
        <w:cr/>
      </w:r>
      <w:r w:rsidRPr="00963FD8">
        <w:rPr>
          <w:rFonts w:ascii="Microsoft Sans Serif" w:eastAsia="Microsoft Sans Serif" w:hAnsi="Microsoft Sans Serif" w:cs="Microsoft Sans Serif"/>
          <w:b/>
          <w:sz w:val="24"/>
          <w:szCs w:val="20"/>
        </w:rPr>
        <w:t>412.523.1148</w:t>
      </w:r>
    </w:p>
    <w:p w14:paraId="7BCBD8D0" w14:textId="000CA640" w:rsidR="00963FD8" w:rsidRPr="00963FD8" w:rsidRDefault="00963FD8" w:rsidP="00963FD8">
      <w:pPr>
        <w:rPr>
          <w:rFonts w:ascii="Microsoft Sans Serif" w:eastAsia="Microsoft Sans Serif" w:hAnsi="Microsoft Sans Serif" w:cs="Microsoft Sans Serif"/>
          <w:sz w:val="24"/>
          <w:szCs w:val="20"/>
        </w:rPr>
      </w:pPr>
      <w:r w:rsidRPr="00963FD8">
        <w:rPr>
          <w:rFonts w:ascii="Microsoft Sans Serif" w:eastAsia="Microsoft Sans Serif" w:hAnsi="Microsoft Sans Serif" w:cs="Microsoft Sans Serif"/>
          <w:b/>
          <w:sz w:val="24"/>
          <w:szCs w:val="20"/>
        </w:rPr>
        <w:t>724.564.9013</w:t>
      </w:r>
      <w:r w:rsidRPr="00963FD8">
        <w:rPr>
          <w:rFonts w:ascii="Microsoft Sans Serif" w:eastAsia="Microsoft Sans Serif" w:hAnsi="Microsoft Sans Serif" w:cs="Microsoft Sans Serif"/>
          <w:b/>
          <w:sz w:val="24"/>
          <w:szCs w:val="20"/>
        </w:rPr>
        <w:cr/>
      </w:r>
      <w:r w:rsidRPr="00963FD8">
        <w:rPr>
          <w:rFonts w:ascii="Microsoft Sans Serif" w:eastAsia="Microsoft Sans Serif" w:hAnsi="Microsoft Sans Serif" w:cs="Microsoft Sans Serif"/>
          <w:bCs/>
          <w:iCs/>
          <w:sz w:val="24"/>
          <w:szCs w:val="20"/>
        </w:rPr>
        <w:t>Accepts eService</w:t>
      </w:r>
      <w:r w:rsidRPr="00963FD8">
        <w:rPr>
          <w:rFonts w:ascii="Microsoft Sans Serif" w:eastAsia="Microsoft Sans Serif" w:hAnsi="Microsoft Sans Serif" w:cs="Microsoft Sans Serif"/>
          <w:b/>
          <w:i/>
          <w:sz w:val="24"/>
          <w:szCs w:val="20"/>
          <w:u w:val="single"/>
        </w:rPr>
        <w:br/>
      </w:r>
      <w:r w:rsidRPr="00963FD8">
        <w:rPr>
          <w:rFonts w:ascii="Microsoft Sans Serif" w:eastAsia="Microsoft Sans Serif" w:hAnsi="Microsoft Sans Serif" w:cs="Microsoft Sans Serif"/>
          <w:sz w:val="24"/>
          <w:szCs w:val="20"/>
        </w:rPr>
        <w:cr/>
        <w:t xml:space="preserve">LAUREN MARISSA </w:t>
      </w:r>
      <w:proofErr w:type="spellStart"/>
      <w:r w:rsidRPr="00963FD8">
        <w:rPr>
          <w:rFonts w:ascii="Microsoft Sans Serif" w:eastAsia="Microsoft Sans Serif" w:hAnsi="Microsoft Sans Serif" w:cs="Microsoft Sans Serif"/>
          <w:sz w:val="24"/>
          <w:szCs w:val="20"/>
        </w:rPr>
        <w:t>LEPKOSKI</w:t>
      </w:r>
      <w:proofErr w:type="spellEnd"/>
      <w:r w:rsidRPr="00963FD8">
        <w:rPr>
          <w:rFonts w:ascii="Microsoft Sans Serif" w:eastAsia="Microsoft Sans Serif" w:hAnsi="Microsoft Sans Serif" w:cs="Microsoft Sans Serif"/>
          <w:sz w:val="24"/>
          <w:szCs w:val="20"/>
        </w:rPr>
        <w:t xml:space="preserve"> ESQUIRE</w:t>
      </w:r>
      <w:r w:rsidRPr="00963FD8">
        <w:rPr>
          <w:rFonts w:ascii="Microsoft Sans Serif" w:eastAsia="Microsoft Sans Serif" w:hAnsi="Microsoft Sans Serif" w:cs="Microsoft Sans Serif"/>
          <w:sz w:val="24"/>
          <w:szCs w:val="20"/>
        </w:rPr>
        <w:cr/>
        <w:t xml:space="preserve">TORI L </w:t>
      </w:r>
      <w:proofErr w:type="spellStart"/>
      <w:r w:rsidRPr="00963FD8">
        <w:rPr>
          <w:rFonts w:ascii="Microsoft Sans Serif" w:eastAsia="Microsoft Sans Serif" w:hAnsi="Microsoft Sans Serif" w:cs="Microsoft Sans Serif"/>
          <w:sz w:val="24"/>
          <w:szCs w:val="20"/>
        </w:rPr>
        <w:t>GIESLER</w:t>
      </w:r>
      <w:proofErr w:type="spellEnd"/>
      <w:r w:rsidRPr="00963FD8">
        <w:rPr>
          <w:rFonts w:ascii="Microsoft Sans Serif" w:eastAsia="Microsoft Sans Serif" w:hAnsi="Microsoft Sans Serif" w:cs="Microsoft Sans Serif"/>
          <w:sz w:val="24"/>
          <w:szCs w:val="20"/>
        </w:rPr>
        <w:t xml:space="preserve"> ESQUIRE</w:t>
      </w:r>
    </w:p>
    <w:p w14:paraId="5649A0FE" w14:textId="77777777" w:rsidR="00963FD8" w:rsidRPr="00963FD8" w:rsidRDefault="00963FD8" w:rsidP="00963FD8">
      <w:pPr>
        <w:rPr>
          <w:rFonts w:ascii="Microsoft Sans Serif" w:eastAsia="Microsoft Sans Serif" w:hAnsi="Microsoft Sans Serif" w:cs="Microsoft Sans Serif"/>
          <w:b/>
          <w:sz w:val="24"/>
          <w:szCs w:val="20"/>
        </w:rPr>
      </w:pPr>
      <w:r w:rsidRPr="00963FD8">
        <w:rPr>
          <w:rFonts w:ascii="Microsoft Sans Serif" w:eastAsia="Microsoft Sans Serif" w:hAnsi="Microsoft Sans Serif" w:cs="Microsoft Sans Serif"/>
          <w:sz w:val="24"/>
          <w:szCs w:val="20"/>
        </w:rPr>
        <w:t>FIRSTENERGY SERVICE CO</w:t>
      </w:r>
      <w:r w:rsidRPr="00963FD8">
        <w:rPr>
          <w:rFonts w:ascii="Microsoft Sans Serif" w:eastAsia="Microsoft Sans Serif" w:hAnsi="Microsoft Sans Serif" w:cs="Microsoft Sans Serif"/>
          <w:sz w:val="24"/>
          <w:szCs w:val="20"/>
        </w:rPr>
        <w:cr/>
      </w:r>
      <w:r w:rsidRPr="00963FD8">
        <w:rPr>
          <w:rFonts w:ascii="Microsoft Sans Serif" w:eastAsia="Microsoft Sans Serif" w:hAnsi="Microsoft Sans Serif" w:cs="Microsoft Sans Serif"/>
          <w:caps/>
          <w:sz w:val="24"/>
          <w:szCs w:val="20"/>
        </w:rPr>
        <w:t>2800 Pottsville Pike</w:t>
      </w:r>
      <w:r w:rsidRPr="00963FD8">
        <w:rPr>
          <w:rFonts w:ascii="Microsoft Sans Serif" w:eastAsia="Microsoft Sans Serif" w:hAnsi="Microsoft Sans Serif" w:cs="Microsoft Sans Serif"/>
          <w:caps/>
          <w:sz w:val="24"/>
          <w:szCs w:val="20"/>
        </w:rPr>
        <w:cr/>
      </w:r>
      <w:r w:rsidRPr="00963FD8">
        <w:rPr>
          <w:rFonts w:ascii="Microsoft Sans Serif" w:eastAsia="Microsoft Sans Serif" w:hAnsi="Microsoft Sans Serif" w:cs="Microsoft Sans Serif"/>
          <w:sz w:val="24"/>
          <w:szCs w:val="20"/>
        </w:rPr>
        <w:t>PO BOX 16001</w:t>
      </w:r>
      <w:r w:rsidRPr="00963FD8">
        <w:rPr>
          <w:rFonts w:ascii="Microsoft Sans Serif" w:eastAsia="Microsoft Sans Serif" w:hAnsi="Microsoft Sans Serif" w:cs="Microsoft Sans Serif"/>
          <w:sz w:val="24"/>
          <w:szCs w:val="20"/>
        </w:rPr>
        <w:cr/>
        <w:t>READING PA  19612</w:t>
      </w:r>
      <w:r w:rsidRPr="00963FD8">
        <w:rPr>
          <w:rFonts w:ascii="Microsoft Sans Serif" w:eastAsia="Microsoft Sans Serif" w:hAnsi="Microsoft Sans Serif" w:cs="Microsoft Sans Serif"/>
          <w:sz w:val="24"/>
          <w:szCs w:val="20"/>
        </w:rPr>
        <w:cr/>
      </w:r>
      <w:r w:rsidRPr="00963FD8">
        <w:rPr>
          <w:rFonts w:ascii="Microsoft Sans Serif" w:eastAsia="Microsoft Sans Serif" w:hAnsi="Microsoft Sans Serif" w:cs="Microsoft Sans Serif"/>
          <w:b/>
          <w:sz w:val="24"/>
          <w:szCs w:val="20"/>
        </w:rPr>
        <w:t>610.921.6203</w:t>
      </w:r>
      <w:r w:rsidRPr="00963FD8">
        <w:rPr>
          <w:rFonts w:ascii="Microsoft Sans Serif" w:eastAsia="Microsoft Sans Serif" w:hAnsi="Microsoft Sans Serif" w:cs="Microsoft Sans Serif"/>
          <w:sz w:val="24"/>
          <w:szCs w:val="20"/>
        </w:rPr>
        <w:cr/>
      </w:r>
      <w:r w:rsidRPr="00963FD8">
        <w:rPr>
          <w:rFonts w:ascii="Microsoft Sans Serif" w:eastAsia="Microsoft Sans Serif" w:hAnsi="Microsoft Sans Serif" w:cs="Microsoft Sans Serif"/>
          <w:b/>
          <w:sz w:val="24"/>
          <w:szCs w:val="20"/>
        </w:rPr>
        <w:t>610.921.6658</w:t>
      </w:r>
    </w:p>
    <w:p w14:paraId="61B20CCF" w14:textId="77777777" w:rsidR="00963FD8" w:rsidRPr="00963FD8" w:rsidRDefault="00963FD8" w:rsidP="00963FD8">
      <w:pPr>
        <w:rPr>
          <w:rFonts w:ascii="Microsoft Sans Serif" w:eastAsia="Microsoft Sans Serif" w:hAnsi="Microsoft Sans Serif" w:cs="Microsoft Sans Serif"/>
          <w:sz w:val="24"/>
          <w:szCs w:val="20"/>
        </w:rPr>
      </w:pPr>
      <w:r w:rsidRPr="00963FD8">
        <w:rPr>
          <w:rFonts w:ascii="Microsoft Sans Serif" w:eastAsia="Microsoft Sans Serif" w:hAnsi="Microsoft Sans Serif" w:cs="Microsoft Sans Serif"/>
          <w:bCs/>
          <w:iCs/>
          <w:sz w:val="24"/>
          <w:szCs w:val="20"/>
        </w:rPr>
        <w:t>Accepts eService</w:t>
      </w:r>
      <w:r w:rsidRPr="00963FD8">
        <w:rPr>
          <w:rFonts w:ascii="Microsoft Sans Serif" w:eastAsia="Microsoft Sans Serif" w:hAnsi="Microsoft Sans Serif" w:cs="Microsoft Sans Serif"/>
          <w:sz w:val="24"/>
          <w:szCs w:val="20"/>
        </w:rPr>
        <w:cr/>
      </w:r>
    </w:p>
    <w:p w14:paraId="06A2478E" w14:textId="77777777" w:rsidR="00963FD8" w:rsidRPr="00963FD8" w:rsidRDefault="00963FD8" w:rsidP="00963FD8">
      <w:pPr>
        <w:rPr>
          <w:rFonts w:ascii="Microsoft Sans Serif" w:eastAsia="Microsoft Sans Serif" w:hAnsi="Microsoft Sans Serif" w:cs="Microsoft Sans Serif"/>
          <w:bCs/>
          <w:iCs/>
          <w:sz w:val="24"/>
        </w:rPr>
      </w:pPr>
      <w:r w:rsidRPr="00963FD8">
        <w:rPr>
          <w:rFonts w:ascii="Microsoft Sans Serif" w:eastAsia="Microsoft Sans Serif" w:hAnsi="Microsoft Sans Serif" w:cs="Microsoft Sans Serif"/>
          <w:bCs/>
          <w:iCs/>
          <w:sz w:val="24"/>
        </w:rPr>
        <w:t>CURTIS S RENNER</w:t>
      </w:r>
    </w:p>
    <w:p w14:paraId="1A9FCAB6" w14:textId="77777777" w:rsidR="00963FD8" w:rsidRPr="00963FD8" w:rsidRDefault="00963FD8" w:rsidP="00963FD8">
      <w:pPr>
        <w:rPr>
          <w:rFonts w:ascii="Microsoft Sans Serif" w:eastAsia="Microsoft Sans Serif" w:hAnsi="Microsoft Sans Serif" w:cs="Microsoft Sans Serif"/>
          <w:bCs/>
          <w:iCs/>
          <w:sz w:val="24"/>
        </w:rPr>
      </w:pPr>
      <w:r w:rsidRPr="00963FD8">
        <w:rPr>
          <w:rFonts w:ascii="Microsoft Sans Serif" w:eastAsia="Microsoft Sans Serif" w:hAnsi="Microsoft Sans Serif" w:cs="Microsoft Sans Serif"/>
          <w:bCs/>
          <w:iCs/>
          <w:sz w:val="24"/>
        </w:rPr>
        <w:t>WATSON &amp; RENNER</w:t>
      </w:r>
    </w:p>
    <w:p w14:paraId="7F305D76" w14:textId="77777777" w:rsidR="00963FD8" w:rsidRPr="00963FD8" w:rsidRDefault="00963FD8" w:rsidP="00963FD8">
      <w:pPr>
        <w:rPr>
          <w:rFonts w:ascii="Microsoft Sans Serif" w:eastAsia="Microsoft Sans Serif" w:hAnsi="Microsoft Sans Serif" w:cs="Microsoft Sans Serif"/>
          <w:bCs/>
          <w:iCs/>
          <w:sz w:val="24"/>
        </w:rPr>
      </w:pPr>
      <w:r w:rsidRPr="00963FD8">
        <w:rPr>
          <w:rFonts w:ascii="Microsoft Sans Serif" w:eastAsia="Microsoft Sans Serif" w:hAnsi="Microsoft Sans Serif" w:cs="Microsoft Sans Serif"/>
          <w:bCs/>
          <w:iCs/>
          <w:sz w:val="24"/>
        </w:rPr>
        <w:t>1901 PENNSYLVANIA AVE NW SUITE 1005-ENS</w:t>
      </w:r>
    </w:p>
    <w:p w14:paraId="7D7E84A7" w14:textId="77777777" w:rsidR="00963FD8" w:rsidRPr="00963FD8" w:rsidRDefault="00963FD8" w:rsidP="00963FD8">
      <w:pPr>
        <w:rPr>
          <w:rFonts w:ascii="Microsoft Sans Serif" w:eastAsia="Microsoft Sans Serif" w:hAnsi="Microsoft Sans Serif" w:cs="Microsoft Sans Serif"/>
          <w:bCs/>
          <w:iCs/>
          <w:sz w:val="24"/>
        </w:rPr>
      </w:pPr>
      <w:r w:rsidRPr="00963FD8">
        <w:rPr>
          <w:rFonts w:ascii="Microsoft Sans Serif" w:eastAsia="Microsoft Sans Serif" w:hAnsi="Microsoft Sans Serif" w:cs="Microsoft Sans Serif"/>
          <w:bCs/>
          <w:iCs/>
          <w:sz w:val="24"/>
        </w:rPr>
        <w:t>WASHINGTON DC  20006</w:t>
      </w:r>
    </w:p>
    <w:p w14:paraId="79B4068E" w14:textId="77777777" w:rsidR="00963FD8" w:rsidRPr="00963FD8" w:rsidRDefault="00963FD8" w:rsidP="00963FD8">
      <w:pPr>
        <w:rPr>
          <w:rFonts w:ascii="Microsoft Sans Serif" w:eastAsia="Microsoft Sans Serif" w:hAnsi="Microsoft Sans Serif" w:cs="Microsoft Sans Serif"/>
          <w:b/>
          <w:iCs/>
          <w:sz w:val="24"/>
        </w:rPr>
      </w:pPr>
      <w:r w:rsidRPr="00963FD8">
        <w:rPr>
          <w:rFonts w:ascii="Microsoft Sans Serif" w:eastAsia="Microsoft Sans Serif" w:hAnsi="Microsoft Sans Serif" w:cs="Microsoft Sans Serif"/>
          <w:b/>
          <w:iCs/>
          <w:sz w:val="24"/>
        </w:rPr>
        <w:t>202.737.6302</w:t>
      </w:r>
    </w:p>
    <w:p w14:paraId="0A6C7A96" w14:textId="77777777" w:rsidR="00963FD8" w:rsidRPr="00963FD8" w:rsidRDefault="00963FD8" w:rsidP="00963FD8">
      <w:pPr>
        <w:rPr>
          <w:rFonts w:ascii="Microsoft Sans Serif" w:eastAsia="Microsoft Sans Serif" w:hAnsi="Microsoft Sans Serif" w:cs="Microsoft Sans Serif"/>
          <w:b/>
          <w:iCs/>
          <w:sz w:val="24"/>
        </w:rPr>
      </w:pPr>
      <w:r w:rsidRPr="00963FD8">
        <w:rPr>
          <w:rFonts w:ascii="Microsoft Sans Serif" w:eastAsia="Microsoft Sans Serif" w:hAnsi="Microsoft Sans Serif" w:cs="Microsoft Sans Serif"/>
          <w:bCs/>
          <w:iCs/>
          <w:sz w:val="24"/>
          <w:szCs w:val="20"/>
        </w:rPr>
        <w:t>Accepts eService</w:t>
      </w:r>
    </w:p>
    <w:p w14:paraId="7EA78FD9" w14:textId="77777777" w:rsidR="00963FD8" w:rsidRPr="00963FD8" w:rsidRDefault="00963FD8" w:rsidP="00963FD8">
      <w:pPr>
        <w:rPr>
          <w:rFonts w:ascii="Microsoft Sans Serif" w:eastAsia="Times New Roman" w:hAnsi="Microsoft Sans Serif" w:cs="Microsoft Sans Serif"/>
          <w:sz w:val="24"/>
          <w:szCs w:val="24"/>
        </w:rPr>
      </w:pPr>
    </w:p>
    <w:p w14:paraId="2A31FA0E" w14:textId="0E0A403A" w:rsidR="00655F77" w:rsidRDefault="00655F77" w:rsidP="00963FD8">
      <w:pPr>
        <w:spacing w:before="129" w:line="231" w:lineRule="exact"/>
        <w:textAlignment w:val="baseline"/>
        <w:rPr>
          <w:rFonts w:eastAsia="Times New Roman"/>
          <w:color w:val="000000"/>
          <w:sz w:val="24"/>
        </w:rPr>
      </w:pPr>
    </w:p>
    <w:sectPr w:rsidR="00655F77" w:rsidSect="00677E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281CE" w14:textId="77777777" w:rsidR="00442DB1" w:rsidRDefault="00442DB1" w:rsidP="00677E35">
      <w:r>
        <w:separator/>
      </w:r>
    </w:p>
  </w:endnote>
  <w:endnote w:type="continuationSeparator" w:id="0">
    <w:p w14:paraId="07D70F3A" w14:textId="77777777" w:rsidR="00442DB1" w:rsidRDefault="00442DB1" w:rsidP="0067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463468"/>
      <w:docPartObj>
        <w:docPartGallery w:val="Page Numbers (Bottom of Page)"/>
        <w:docPartUnique/>
      </w:docPartObj>
    </w:sdtPr>
    <w:sdtEndPr>
      <w:rPr>
        <w:noProof/>
      </w:rPr>
    </w:sdtEndPr>
    <w:sdtContent>
      <w:p w14:paraId="21EAB08D" w14:textId="329C2780" w:rsidR="00677E35" w:rsidRDefault="00677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1D6FC" w14:textId="77777777" w:rsidR="00442DB1" w:rsidRDefault="00442DB1" w:rsidP="00677E35">
      <w:r>
        <w:separator/>
      </w:r>
    </w:p>
  </w:footnote>
  <w:footnote w:type="continuationSeparator" w:id="0">
    <w:p w14:paraId="33D67346" w14:textId="77777777" w:rsidR="00442DB1" w:rsidRDefault="00442DB1" w:rsidP="00677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688B"/>
    <w:multiLevelType w:val="multilevel"/>
    <w:tmpl w:val="D86A1C5E"/>
    <w:lvl w:ilvl="0">
      <w:start w:val="48"/>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63D6D"/>
    <w:multiLevelType w:val="multilevel"/>
    <w:tmpl w:val="A086C090"/>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C22054"/>
    <w:multiLevelType w:val="multilevel"/>
    <w:tmpl w:val="F36E74C2"/>
    <w:lvl w:ilvl="0">
      <w:start w:val="5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021AF1"/>
    <w:multiLevelType w:val="multilevel"/>
    <w:tmpl w:val="9F8E8B7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6311C3"/>
    <w:multiLevelType w:val="multilevel"/>
    <w:tmpl w:val="1F9E59D4"/>
    <w:lvl w:ilvl="0">
      <w:start w:val="30"/>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96566D"/>
    <w:multiLevelType w:val="multilevel"/>
    <w:tmpl w:val="C3D67C2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46E6A"/>
    <w:multiLevelType w:val="multilevel"/>
    <w:tmpl w:val="2D96581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675840"/>
    <w:multiLevelType w:val="multilevel"/>
    <w:tmpl w:val="AEAA2346"/>
    <w:lvl w:ilvl="0">
      <w:start w:val="40"/>
      <w:numFmt w:val="decimal"/>
      <w:lvlText w:val="%1."/>
      <w:lvlJc w:val="left"/>
      <w:pPr>
        <w:tabs>
          <w:tab w:val="left" w:pos="72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D645AB"/>
    <w:multiLevelType w:val="multilevel"/>
    <w:tmpl w:val="C9B22D4C"/>
    <w:lvl w:ilvl="0">
      <w:start w:val="4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FE5B96"/>
    <w:multiLevelType w:val="multilevel"/>
    <w:tmpl w:val="8B721BE2"/>
    <w:lvl w:ilvl="0">
      <w:start w:val="1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6F162B"/>
    <w:multiLevelType w:val="multilevel"/>
    <w:tmpl w:val="49A81FE2"/>
    <w:lvl w:ilvl="0">
      <w:start w:val="1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
  </w:num>
  <w:num w:numId="3">
    <w:abstractNumId w:val="9"/>
  </w:num>
  <w:num w:numId="4">
    <w:abstractNumId w:val="10"/>
  </w:num>
  <w:num w:numId="5">
    <w:abstractNumId w:val="4"/>
  </w:num>
  <w:num w:numId="6">
    <w:abstractNumId w:val="6"/>
  </w:num>
  <w:num w:numId="7">
    <w:abstractNumId w:val="7"/>
  </w:num>
  <w:num w:numId="8">
    <w:abstractNumId w:val="3"/>
  </w:num>
  <w:num w:numId="9">
    <w:abstractNumId w:val="8"/>
  </w:num>
  <w:num w:numId="10">
    <w:abstractNumId w:val="0"/>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39"/>
    <w:rsid w:val="00100DC1"/>
    <w:rsid w:val="0013392C"/>
    <w:rsid w:val="002C742A"/>
    <w:rsid w:val="00442DB1"/>
    <w:rsid w:val="005602C5"/>
    <w:rsid w:val="0059545E"/>
    <w:rsid w:val="005A2534"/>
    <w:rsid w:val="00655F77"/>
    <w:rsid w:val="00677E35"/>
    <w:rsid w:val="006C3C46"/>
    <w:rsid w:val="00705973"/>
    <w:rsid w:val="007339A9"/>
    <w:rsid w:val="00781E1C"/>
    <w:rsid w:val="007B5C79"/>
    <w:rsid w:val="00963FD8"/>
    <w:rsid w:val="009B01C3"/>
    <w:rsid w:val="009B4469"/>
    <w:rsid w:val="00A433CE"/>
    <w:rsid w:val="00B93135"/>
    <w:rsid w:val="00BC4FBE"/>
    <w:rsid w:val="00C6494F"/>
    <w:rsid w:val="00C65E14"/>
    <w:rsid w:val="00D31364"/>
    <w:rsid w:val="00D84739"/>
    <w:rsid w:val="00D876DA"/>
    <w:rsid w:val="00E703BA"/>
    <w:rsid w:val="00F0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B7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9"/>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9A9"/>
    <w:pPr>
      <w:spacing w:before="100" w:beforeAutospacing="1" w:after="100" w:afterAutospacing="1"/>
    </w:pPr>
    <w:rPr>
      <w:rFonts w:ascii="Calibri" w:eastAsiaTheme="minorHAnsi" w:hAnsi="Calibri" w:cs="Calibri"/>
    </w:rPr>
  </w:style>
  <w:style w:type="paragraph" w:styleId="ListParagraph">
    <w:name w:val="List Paragraph"/>
    <w:basedOn w:val="Normal"/>
    <w:uiPriority w:val="34"/>
    <w:qFormat/>
    <w:rsid w:val="007339A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77E35"/>
    <w:pPr>
      <w:tabs>
        <w:tab w:val="center" w:pos="4680"/>
        <w:tab w:val="right" w:pos="9360"/>
      </w:tabs>
    </w:pPr>
  </w:style>
  <w:style w:type="character" w:customStyle="1" w:styleId="HeaderChar">
    <w:name w:val="Header Char"/>
    <w:basedOn w:val="DefaultParagraphFont"/>
    <w:link w:val="Header"/>
    <w:uiPriority w:val="99"/>
    <w:rsid w:val="00677E35"/>
    <w:rPr>
      <w:rFonts w:ascii="Times New Roman" w:eastAsia="PMingLiU" w:hAnsi="Times New Roman" w:cs="Times New Roman"/>
    </w:rPr>
  </w:style>
  <w:style w:type="paragraph" w:styleId="Footer">
    <w:name w:val="footer"/>
    <w:basedOn w:val="Normal"/>
    <w:link w:val="FooterChar"/>
    <w:uiPriority w:val="99"/>
    <w:unhideWhenUsed/>
    <w:rsid w:val="00677E35"/>
    <w:pPr>
      <w:tabs>
        <w:tab w:val="center" w:pos="4680"/>
        <w:tab w:val="right" w:pos="9360"/>
      </w:tabs>
    </w:pPr>
  </w:style>
  <w:style w:type="character" w:customStyle="1" w:styleId="FooterChar">
    <w:name w:val="Footer Char"/>
    <w:basedOn w:val="DefaultParagraphFont"/>
    <w:link w:val="Footer"/>
    <w:uiPriority w:val="99"/>
    <w:rsid w:val="00677E35"/>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2020-09-15T15:40:00Z</dcterms:created>
  <dcterms:modified xsi:type="dcterms:W3CDTF">2020-09-15T16:07:00Z</dcterms:modified>
</cp:coreProperties>
</file>